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3F127A">
      <w:pPr>
        <w:jc w:val="center"/>
        <w:rPr>
          <w:rFonts w:ascii="宋体" w:hAnsi="宋体" w:eastAsia="宋体" w:cs="宋体"/>
          <w:b/>
          <w:color w:val="auto"/>
          <w:sz w:val="48"/>
          <w:szCs w:val="48"/>
        </w:rPr>
      </w:pPr>
      <w:bookmarkStart w:id="0" w:name="_Toc27710"/>
      <w:r>
        <w:rPr>
          <w:rFonts w:hint="eastAsia" w:ascii="宋体" w:hAnsi="宋体" w:eastAsia="宋体" w:cs="宋体"/>
          <w:b/>
          <w:color w:val="auto"/>
          <w:sz w:val="48"/>
          <w:szCs w:val="48"/>
        </w:rPr>
        <w:t>政府采购招标文件确认表</w:t>
      </w:r>
      <w:bookmarkEnd w:id="0"/>
    </w:p>
    <w:p w14:paraId="0F409239">
      <w:pPr>
        <w:rPr>
          <w:rFonts w:ascii="宋体" w:hAnsi="宋体" w:eastAsia="宋体" w:cs="宋体"/>
          <w:b/>
          <w:color w:val="auto"/>
          <w:sz w:val="21"/>
          <w:szCs w:val="21"/>
        </w:rPr>
      </w:pPr>
    </w:p>
    <w:tbl>
      <w:tblPr>
        <w:tblStyle w:val="19"/>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930"/>
        <w:gridCol w:w="5047"/>
      </w:tblGrid>
      <w:tr w14:paraId="49A8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exact"/>
          <w:jc w:val="center"/>
        </w:trPr>
        <w:tc>
          <w:tcPr>
            <w:tcW w:w="2182" w:type="dxa"/>
            <w:tcBorders>
              <w:top w:val="single" w:color="auto" w:sz="4" w:space="0"/>
              <w:left w:val="single" w:color="auto" w:sz="4" w:space="0"/>
              <w:bottom w:val="single" w:color="auto" w:sz="4" w:space="0"/>
              <w:right w:val="single" w:color="auto" w:sz="4" w:space="0"/>
              <w:tl2br w:val="nil"/>
              <w:tr2bl w:val="nil"/>
            </w:tcBorders>
            <w:vAlign w:val="center"/>
          </w:tcPr>
          <w:p w14:paraId="6831535B">
            <w:pPr>
              <w:spacing w:line="400" w:lineRule="exact"/>
              <w:rPr>
                <w:rFonts w:ascii="宋体" w:hAnsi="宋体" w:eastAsia="宋体" w:cs="宋体"/>
                <w:b/>
                <w:color w:val="auto"/>
                <w:sz w:val="28"/>
                <w:szCs w:val="28"/>
              </w:rPr>
            </w:pPr>
            <w:r>
              <w:rPr>
                <w:rFonts w:hint="eastAsia" w:ascii="宋体" w:hAnsi="宋体" w:eastAsia="宋体" w:cs="宋体"/>
                <w:b/>
                <w:color w:val="auto"/>
                <w:sz w:val="28"/>
                <w:szCs w:val="28"/>
              </w:rPr>
              <w:t>采购单位</w:t>
            </w:r>
          </w:p>
        </w:tc>
        <w:tc>
          <w:tcPr>
            <w:tcW w:w="79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5F5878B">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磐安县冷水镇人民政府</w:t>
            </w:r>
          </w:p>
        </w:tc>
      </w:tr>
      <w:tr w14:paraId="40C1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exact"/>
          <w:jc w:val="center"/>
        </w:trPr>
        <w:tc>
          <w:tcPr>
            <w:tcW w:w="2182" w:type="dxa"/>
            <w:tcBorders>
              <w:top w:val="single" w:color="auto" w:sz="4" w:space="0"/>
              <w:left w:val="single" w:color="auto" w:sz="4" w:space="0"/>
              <w:bottom w:val="single" w:color="auto" w:sz="4" w:space="0"/>
              <w:right w:val="single" w:color="auto" w:sz="4" w:space="0"/>
              <w:tl2br w:val="nil"/>
              <w:tr2bl w:val="nil"/>
            </w:tcBorders>
            <w:vAlign w:val="center"/>
          </w:tcPr>
          <w:p w14:paraId="127AA575">
            <w:pPr>
              <w:spacing w:line="400" w:lineRule="exact"/>
              <w:ind w:right="144"/>
              <w:rPr>
                <w:rFonts w:ascii="宋体" w:hAnsi="宋体" w:eastAsia="宋体" w:cs="宋体"/>
                <w:b/>
                <w:color w:val="auto"/>
                <w:sz w:val="28"/>
                <w:szCs w:val="28"/>
              </w:rPr>
            </w:pPr>
            <w:r>
              <w:rPr>
                <w:rFonts w:hint="eastAsia" w:ascii="宋体" w:hAnsi="宋体" w:eastAsia="宋体" w:cs="宋体"/>
                <w:b/>
                <w:color w:val="auto"/>
                <w:sz w:val="28"/>
                <w:szCs w:val="28"/>
              </w:rPr>
              <w:t>招标单位</w:t>
            </w:r>
          </w:p>
        </w:tc>
        <w:tc>
          <w:tcPr>
            <w:tcW w:w="79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90CCD5">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浙江科佳工程咨询有限公司</w:t>
            </w:r>
          </w:p>
        </w:tc>
      </w:tr>
      <w:tr w14:paraId="6B4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exact"/>
          <w:jc w:val="center"/>
        </w:trPr>
        <w:tc>
          <w:tcPr>
            <w:tcW w:w="2182" w:type="dxa"/>
            <w:tcBorders>
              <w:top w:val="single" w:color="auto" w:sz="4" w:space="0"/>
              <w:left w:val="single" w:color="auto" w:sz="4" w:space="0"/>
              <w:bottom w:val="single" w:color="auto" w:sz="4" w:space="0"/>
              <w:right w:val="single" w:color="auto" w:sz="4" w:space="0"/>
              <w:tl2br w:val="nil"/>
              <w:tr2bl w:val="nil"/>
            </w:tcBorders>
            <w:vAlign w:val="center"/>
          </w:tcPr>
          <w:p w14:paraId="39D5FA3A">
            <w:pPr>
              <w:spacing w:line="400" w:lineRule="exact"/>
              <w:ind w:right="144"/>
              <w:rPr>
                <w:rFonts w:ascii="宋体" w:hAnsi="宋体" w:eastAsia="宋体" w:cs="宋体"/>
                <w:b/>
                <w:color w:val="auto"/>
                <w:sz w:val="28"/>
                <w:szCs w:val="28"/>
              </w:rPr>
            </w:pPr>
            <w:r>
              <w:rPr>
                <w:rFonts w:hint="eastAsia" w:ascii="宋体" w:hAnsi="宋体" w:eastAsia="宋体" w:cs="宋体"/>
                <w:b/>
                <w:color w:val="auto"/>
                <w:sz w:val="28"/>
                <w:szCs w:val="28"/>
              </w:rPr>
              <w:t>招标项目名称</w:t>
            </w:r>
          </w:p>
        </w:tc>
        <w:tc>
          <w:tcPr>
            <w:tcW w:w="79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81947F">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2024-2025年冷水镇松材线虫病枯死松树清理服务</w:t>
            </w:r>
          </w:p>
        </w:tc>
      </w:tr>
      <w:tr w14:paraId="13B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2182" w:type="dxa"/>
            <w:tcBorders>
              <w:top w:val="single" w:color="auto" w:sz="4" w:space="0"/>
              <w:left w:val="single" w:color="auto" w:sz="4" w:space="0"/>
              <w:bottom w:val="single" w:color="auto" w:sz="4" w:space="0"/>
              <w:right w:val="single" w:color="auto" w:sz="4" w:space="0"/>
              <w:tl2br w:val="nil"/>
              <w:tr2bl w:val="nil"/>
            </w:tcBorders>
            <w:vAlign w:val="center"/>
          </w:tcPr>
          <w:p w14:paraId="76BA2B4E">
            <w:pPr>
              <w:spacing w:line="400" w:lineRule="exact"/>
              <w:ind w:right="144"/>
              <w:rPr>
                <w:rFonts w:ascii="宋体" w:hAnsi="宋体" w:eastAsia="宋体" w:cs="宋体"/>
                <w:b/>
                <w:color w:val="auto"/>
                <w:sz w:val="28"/>
                <w:szCs w:val="28"/>
              </w:rPr>
            </w:pPr>
            <w:r>
              <w:rPr>
                <w:rFonts w:hint="eastAsia" w:ascii="宋体" w:hAnsi="宋体" w:eastAsia="宋体" w:cs="宋体"/>
                <w:b/>
                <w:color w:val="auto"/>
                <w:sz w:val="28"/>
                <w:szCs w:val="28"/>
              </w:rPr>
              <w:t>财政审批号</w:t>
            </w:r>
          </w:p>
        </w:tc>
        <w:tc>
          <w:tcPr>
            <w:tcW w:w="79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805088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磐财采确临[</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2222</w:t>
            </w:r>
            <w:r>
              <w:rPr>
                <w:rFonts w:hint="eastAsia" w:ascii="宋体" w:hAnsi="宋体" w:eastAsia="宋体" w:cs="宋体"/>
                <w:color w:val="auto"/>
                <w:sz w:val="28"/>
                <w:szCs w:val="28"/>
              </w:rPr>
              <w:t>号</w:t>
            </w:r>
          </w:p>
        </w:tc>
      </w:tr>
      <w:tr w14:paraId="0DB1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exact"/>
          <w:jc w:val="center"/>
        </w:trPr>
        <w:tc>
          <w:tcPr>
            <w:tcW w:w="2182" w:type="dxa"/>
            <w:tcBorders>
              <w:top w:val="single" w:color="auto" w:sz="4" w:space="0"/>
              <w:left w:val="single" w:color="auto" w:sz="4" w:space="0"/>
              <w:bottom w:val="single" w:color="auto" w:sz="4" w:space="0"/>
              <w:right w:val="single" w:color="auto" w:sz="4" w:space="0"/>
              <w:tl2br w:val="nil"/>
              <w:tr2bl w:val="nil"/>
            </w:tcBorders>
            <w:vAlign w:val="center"/>
          </w:tcPr>
          <w:p w14:paraId="0B5D4AE7">
            <w:pPr>
              <w:spacing w:line="400" w:lineRule="exact"/>
              <w:ind w:right="144"/>
              <w:rPr>
                <w:rFonts w:ascii="宋体" w:hAnsi="宋体" w:eastAsia="宋体" w:cs="宋体"/>
                <w:b/>
                <w:color w:val="auto"/>
                <w:sz w:val="28"/>
                <w:szCs w:val="28"/>
              </w:rPr>
            </w:pPr>
            <w:r>
              <w:rPr>
                <w:rFonts w:hint="eastAsia" w:ascii="宋体" w:hAnsi="宋体" w:eastAsia="宋体" w:cs="宋体"/>
                <w:b/>
                <w:color w:val="auto"/>
                <w:sz w:val="28"/>
                <w:szCs w:val="28"/>
              </w:rPr>
              <w:t>招标项目编号</w:t>
            </w:r>
          </w:p>
        </w:tc>
        <w:tc>
          <w:tcPr>
            <w:tcW w:w="79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607C7C">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KJPACG2024-GK-001</w:t>
            </w:r>
          </w:p>
        </w:tc>
      </w:tr>
      <w:tr w14:paraId="6A3D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9" w:hRule="atLeast"/>
          <w:jc w:val="center"/>
        </w:trPr>
        <w:tc>
          <w:tcPr>
            <w:tcW w:w="5112" w:type="dxa"/>
            <w:gridSpan w:val="2"/>
            <w:tcBorders>
              <w:top w:val="single" w:color="auto" w:sz="4" w:space="0"/>
              <w:left w:val="single" w:color="auto" w:sz="4" w:space="0"/>
              <w:bottom w:val="single" w:color="auto" w:sz="4" w:space="0"/>
              <w:right w:val="single" w:color="auto" w:sz="4" w:space="0"/>
              <w:tl2br w:val="nil"/>
              <w:tr2bl w:val="nil"/>
            </w:tcBorders>
            <w:vAlign w:val="bottom"/>
          </w:tcPr>
          <w:p w14:paraId="7A662FF8">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经办人：（签名）</w:t>
            </w:r>
          </w:p>
          <w:p w14:paraId="574389AB">
            <w:pPr>
              <w:spacing w:line="360" w:lineRule="auto"/>
              <w:jc w:val="center"/>
              <w:rPr>
                <w:rFonts w:ascii="宋体" w:hAnsi="宋体" w:eastAsia="宋体" w:cs="宋体"/>
                <w:color w:val="auto"/>
                <w:sz w:val="28"/>
                <w:szCs w:val="28"/>
              </w:rPr>
            </w:pPr>
          </w:p>
          <w:p w14:paraId="3D87FB67">
            <w:pPr>
              <w:spacing w:line="360" w:lineRule="auto"/>
              <w:jc w:val="center"/>
              <w:rPr>
                <w:rFonts w:ascii="宋体" w:hAnsi="宋体" w:eastAsia="宋体" w:cs="宋体"/>
                <w:color w:val="auto"/>
                <w:sz w:val="28"/>
                <w:szCs w:val="28"/>
              </w:rPr>
            </w:pPr>
          </w:p>
          <w:p w14:paraId="559A8B19">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采购单位：（盖章）</w:t>
            </w:r>
          </w:p>
          <w:p w14:paraId="169D83C2">
            <w:pPr>
              <w:spacing w:line="360" w:lineRule="auto"/>
              <w:jc w:val="center"/>
              <w:rPr>
                <w:rFonts w:ascii="宋体" w:hAnsi="宋体" w:eastAsia="宋体" w:cs="宋体"/>
                <w:color w:val="auto"/>
                <w:sz w:val="28"/>
                <w:szCs w:val="28"/>
              </w:rPr>
            </w:pPr>
          </w:p>
          <w:p w14:paraId="211944C3">
            <w:pPr>
              <w:spacing w:line="360" w:lineRule="auto"/>
              <w:jc w:val="center"/>
              <w:rPr>
                <w:rFonts w:ascii="宋体" w:hAnsi="宋体" w:eastAsia="宋体" w:cs="宋体"/>
                <w:color w:val="auto"/>
                <w:sz w:val="28"/>
                <w:szCs w:val="28"/>
              </w:rPr>
            </w:pPr>
          </w:p>
          <w:p w14:paraId="50FF2662">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单位负责人（签名</w:t>
            </w:r>
            <w:r>
              <w:rPr>
                <w:rFonts w:hint="eastAsia" w:ascii="宋体" w:hAnsi="宋体" w:eastAsia="宋体" w:cs="宋体"/>
                <w:color w:val="auto"/>
                <w:sz w:val="28"/>
                <w:szCs w:val="28"/>
                <w:lang w:eastAsia="zh-CN"/>
              </w:rPr>
              <w:t>或盖章</w:t>
            </w:r>
            <w:r>
              <w:rPr>
                <w:rFonts w:hint="eastAsia" w:ascii="宋体" w:hAnsi="宋体" w:eastAsia="宋体" w:cs="宋体"/>
                <w:color w:val="auto"/>
                <w:sz w:val="28"/>
                <w:szCs w:val="28"/>
              </w:rPr>
              <w:t>）：</w:t>
            </w:r>
          </w:p>
          <w:p w14:paraId="01085B5F">
            <w:pPr>
              <w:spacing w:line="360" w:lineRule="auto"/>
              <w:jc w:val="center"/>
              <w:rPr>
                <w:rFonts w:ascii="宋体" w:hAnsi="宋体" w:eastAsia="宋体" w:cs="宋体"/>
                <w:color w:val="auto"/>
                <w:sz w:val="28"/>
                <w:szCs w:val="28"/>
              </w:rPr>
            </w:pPr>
          </w:p>
          <w:p w14:paraId="584A812D">
            <w:pPr>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2024年12月12日</w:t>
            </w:r>
          </w:p>
        </w:tc>
        <w:tc>
          <w:tcPr>
            <w:tcW w:w="5047" w:type="dxa"/>
            <w:tcBorders>
              <w:top w:val="single" w:color="auto" w:sz="4" w:space="0"/>
              <w:left w:val="single" w:color="auto" w:sz="4" w:space="0"/>
              <w:bottom w:val="single" w:color="auto" w:sz="4" w:space="0"/>
              <w:right w:val="single" w:color="auto" w:sz="4" w:space="0"/>
              <w:tl2br w:val="nil"/>
              <w:tr2bl w:val="nil"/>
            </w:tcBorders>
            <w:vAlign w:val="bottom"/>
          </w:tcPr>
          <w:p w14:paraId="769075C3">
            <w:pPr>
              <w:spacing w:line="360" w:lineRule="auto"/>
              <w:jc w:val="left"/>
              <w:rPr>
                <w:rFonts w:ascii="宋体" w:hAnsi="宋体" w:eastAsia="宋体" w:cs="宋体"/>
                <w:color w:val="auto"/>
                <w:sz w:val="28"/>
                <w:szCs w:val="28"/>
              </w:rPr>
            </w:pPr>
          </w:p>
          <w:p w14:paraId="488CD077">
            <w:pPr>
              <w:spacing w:line="360" w:lineRule="auto"/>
              <w:jc w:val="left"/>
              <w:rPr>
                <w:rFonts w:ascii="宋体" w:hAnsi="宋体" w:eastAsia="宋体" w:cs="宋体"/>
                <w:color w:val="auto"/>
                <w:sz w:val="28"/>
                <w:szCs w:val="28"/>
              </w:rPr>
            </w:pPr>
          </w:p>
          <w:p w14:paraId="263D34E7">
            <w:pPr>
              <w:spacing w:line="360" w:lineRule="auto"/>
              <w:jc w:val="left"/>
              <w:rPr>
                <w:rFonts w:ascii="宋体" w:hAnsi="宋体" w:eastAsia="宋体" w:cs="宋体"/>
                <w:color w:val="auto"/>
                <w:sz w:val="28"/>
                <w:szCs w:val="28"/>
              </w:rPr>
            </w:pPr>
          </w:p>
          <w:p w14:paraId="67A4C782">
            <w:pPr>
              <w:spacing w:line="360" w:lineRule="auto"/>
              <w:jc w:val="left"/>
              <w:rPr>
                <w:rFonts w:ascii="宋体" w:hAnsi="宋体" w:eastAsia="宋体" w:cs="宋体"/>
                <w:color w:val="auto"/>
                <w:sz w:val="28"/>
                <w:szCs w:val="28"/>
              </w:rPr>
            </w:pPr>
          </w:p>
          <w:p w14:paraId="070F5300">
            <w:pPr>
              <w:spacing w:line="360" w:lineRule="auto"/>
              <w:jc w:val="left"/>
              <w:rPr>
                <w:rFonts w:ascii="宋体" w:hAnsi="宋体" w:eastAsia="宋体" w:cs="宋体"/>
                <w:color w:val="auto"/>
                <w:sz w:val="28"/>
                <w:szCs w:val="28"/>
              </w:rPr>
            </w:pPr>
            <w:r>
              <w:rPr>
                <w:rFonts w:hint="eastAsia" w:ascii="宋体" w:hAnsi="宋体" w:eastAsia="宋体" w:cs="宋体"/>
                <w:bCs/>
                <w:color w:val="auto"/>
                <w:sz w:val="28"/>
                <w:szCs w:val="28"/>
              </w:rPr>
              <w:t xml:space="preserve"> 代理机构</w:t>
            </w:r>
            <w:r>
              <w:rPr>
                <w:rFonts w:hint="eastAsia" w:ascii="宋体" w:hAnsi="宋体" w:eastAsia="宋体" w:cs="宋体"/>
                <w:color w:val="auto"/>
                <w:sz w:val="28"/>
                <w:szCs w:val="28"/>
              </w:rPr>
              <w:t>：（盖章）</w:t>
            </w:r>
          </w:p>
          <w:p w14:paraId="3209F53F">
            <w:pPr>
              <w:spacing w:line="360" w:lineRule="auto"/>
              <w:jc w:val="left"/>
              <w:rPr>
                <w:rFonts w:ascii="宋体" w:hAnsi="宋体" w:eastAsia="宋体" w:cs="宋体"/>
                <w:color w:val="auto"/>
                <w:sz w:val="28"/>
                <w:szCs w:val="28"/>
              </w:rPr>
            </w:pPr>
          </w:p>
          <w:p w14:paraId="6A461D41">
            <w:pPr>
              <w:jc w:val="left"/>
              <w:rPr>
                <w:rFonts w:ascii="宋体" w:hAnsi="宋体" w:eastAsia="宋体" w:cs="宋体"/>
                <w:color w:val="auto"/>
                <w:sz w:val="28"/>
                <w:szCs w:val="28"/>
              </w:rPr>
            </w:pPr>
          </w:p>
          <w:p w14:paraId="47DF7611">
            <w:pPr>
              <w:ind w:firstLine="480"/>
              <w:rPr>
                <w:rFonts w:ascii="宋体" w:hAnsi="宋体" w:eastAsia="宋体" w:cs="宋体"/>
                <w:color w:val="auto"/>
                <w:sz w:val="28"/>
                <w:szCs w:val="28"/>
              </w:rPr>
            </w:pPr>
          </w:p>
          <w:p w14:paraId="5A149F4F">
            <w:pPr>
              <w:spacing w:line="360" w:lineRule="auto"/>
              <w:jc w:val="left"/>
              <w:rPr>
                <w:rFonts w:ascii="宋体" w:hAnsi="宋体" w:eastAsia="宋体" w:cs="宋体"/>
                <w:color w:val="auto"/>
                <w:sz w:val="28"/>
                <w:szCs w:val="28"/>
              </w:rPr>
            </w:pPr>
          </w:p>
          <w:p w14:paraId="38C7D377">
            <w:pPr>
              <w:spacing w:line="360" w:lineRule="auto"/>
              <w:ind w:firstLine="840" w:firstLineChars="3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2024年12月12日</w:t>
            </w:r>
          </w:p>
        </w:tc>
      </w:tr>
    </w:tbl>
    <w:p w14:paraId="299E0D03">
      <w:pPr>
        <w:spacing w:before="120" w:beforeLines="50" w:line="276" w:lineRule="auto"/>
        <w:rPr>
          <w:rFonts w:ascii="宋体" w:hAnsi="宋体" w:eastAsia="宋体" w:cs="宋体"/>
          <w:b/>
          <w:bCs/>
          <w:color w:val="auto"/>
          <w:sz w:val="21"/>
          <w:szCs w:val="21"/>
        </w:rPr>
      </w:pPr>
    </w:p>
    <w:p w14:paraId="4902A496">
      <w:pPr>
        <w:spacing w:before="120" w:beforeLines="50" w:line="276" w:lineRule="auto"/>
        <w:jc w:val="center"/>
        <w:rPr>
          <w:rFonts w:ascii="宋体" w:hAnsi="宋体" w:eastAsia="宋体" w:cs="宋体"/>
          <w:b/>
          <w:bCs/>
          <w:color w:val="auto"/>
          <w:sz w:val="21"/>
          <w:szCs w:val="21"/>
        </w:rPr>
        <w:sectPr>
          <w:footerReference r:id="rId3" w:type="default"/>
          <w:pgSz w:w="11906" w:h="16839"/>
          <w:pgMar w:top="1417" w:right="1134" w:bottom="1417" w:left="1134" w:header="1076" w:footer="994" w:gutter="0"/>
          <w:pgNumType w:fmt="decimal"/>
          <w:cols w:space="0" w:num="1"/>
          <w:rtlGutter w:val="0"/>
          <w:docGrid w:linePitch="0" w:charSpace="0"/>
        </w:sectPr>
      </w:pPr>
      <w:bookmarkStart w:id="1" w:name="_Toc25975"/>
    </w:p>
    <w:p w14:paraId="3E7C5B00">
      <w:pPr>
        <w:spacing w:before="120" w:beforeLines="50" w:line="276" w:lineRule="auto"/>
        <w:jc w:val="center"/>
        <w:rPr>
          <w:rFonts w:ascii="宋体" w:hAnsi="宋体" w:eastAsia="宋体" w:cs="宋体"/>
          <w:b/>
          <w:bCs/>
          <w:color w:val="auto"/>
          <w:sz w:val="21"/>
          <w:szCs w:val="21"/>
        </w:rPr>
      </w:pPr>
    </w:p>
    <w:bookmarkEnd w:id="1"/>
    <w:p w14:paraId="606D337C">
      <w:pPr>
        <w:spacing w:before="120" w:beforeLines="50" w:line="360" w:lineRule="auto"/>
        <w:jc w:val="center"/>
        <w:rPr>
          <w:rFonts w:hint="eastAsia" w:ascii="黑体" w:hAnsi="宋体" w:eastAsia="黑体"/>
          <w:b/>
          <w:color w:val="auto"/>
          <w:sz w:val="44"/>
          <w:szCs w:val="44"/>
          <w:lang w:eastAsia="zh-CN"/>
        </w:rPr>
      </w:pPr>
      <w:r>
        <w:rPr>
          <w:rFonts w:hint="eastAsia" w:ascii="黑体" w:hAnsi="宋体" w:eastAsia="黑体"/>
          <w:b/>
          <w:color w:val="auto"/>
          <w:sz w:val="44"/>
          <w:szCs w:val="44"/>
          <w:lang w:eastAsia="zh-CN"/>
        </w:rPr>
        <w:t>浙江科佳工程咨询有限公司</w:t>
      </w:r>
      <w:r>
        <w:rPr>
          <w:rFonts w:hint="eastAsia" w:ascii="黑体" w:hAnsi="宋体" w:eastAsia="黑体"/>
          <w:b/>
          <w:color w:val="auto"/>
          <w:sz w:val="44"/>
          <w:szCs w:val="44"/>
        </w:rPr>
        <w:t>关于</w:t>
      </w:r>
      <w:r>
        <w:rPr>
          <w:rFonts w:hint="eastAsia" w:ascii="黑体" w:hAnsi="宋体" w:eastAsia="黑体"/>
          <w:b/>
          <w:bCs/>
          <w:color w:val="auto"/>
          <w:sz w:val="44"/>
          <w:szCs w:val="44"/>
          <w:lang w:eastAsia="zh-CN"/>
        </w:rPr>
        <w:t>2024-2025年冷水镇松材线虫病枯死松树清理服务</w:t>
      </w:r>
    </w:p>
    <w:p w14:paraId="4B76D516">
      <w:pPr>
        <w:spacing w:before="120" w:beforeLines="50" w:line="276" w:lineRule="auto"/>
        <w:jc w:val="center"/>
        <w:rPr>
          <w:rFonts w:ascii="宋体" w:hAnsi="宋体" w:eastAsia="宋体" w:cs="宋体"/>
          <w:color w:val="auto"/>
          <w:sz w:val="28"/>
          <w:szCs w:val="28"/>
        </w:rPr>
      </w:pPr>
    </w:p>
    <w:p w14:paraId="2B2D0DF2">
      <w:pPr>
        <w:spacing w:before="120" w:beforeLines="50" w:line="276" w:lineRule="auto"/>
        <w:jc w:val="center"/>
        <w:rPr>
          <w:rFonts w:ascii="宋体" w:hAnsi="宋体" w:eastAsia="宋体" w:cs="宋体"/>
          <w:color w:val="auto"/>
          <w:sz w:val="28"/>
          <w:szCs w:val="28"/>
        </w:rPr>
      </w:pPr>
    </w:p>
    <w:p w14:paraId="6CD34BDE">
      <w:pPr>
        <w:spacing w:before="120" w:beforeLines="50" w:line="276" w:lineRule="auto"/>
        <w:jc w:val="center"/>
        <w:rPr>
          <w:rFonts w:ascii="宋体" w:hAnsi="宋体" w:eastAsia="宋体" w:cs="宋体"/>
          <w:color w:val="auto"/>
          <w:sz w:val="28"/>
          <w:szCs w:val="28"/>
        </w:rPr>
      </w:pPr>
    </w:p>
    <w:p w14:paraId="37E0BB48">
      <w:pPr>
        <w:spacing w:before="120" w:beforeLines="50" w:line="276" w:lineRule="auto"/>
        <w:jc w:val="center"/>
        <w:rPr>
          <w:rFonts w:ascii="宋体" w:hAnsi="宋体" w:eastAsia="宋体" w:cs="宋体"/>
          <w:color w:val="auto"/>
          <w:sz w:val="28"/>
          <w:szCs w:val="28"/>
        </w:rPr>
      </w:pPr>
    </w:p>
    <w:p w14:paraId="7D810D34">
      <w:pPr>
        <w:spacing w:before="120" w:beforeLines="50" w:line="276" w:lineRule="auto"/>
        <w:jc w:val="center"/>
        <w:rPr>
          <w:rFonts w:ascii="宋体" w:hAnsi="宋体" w:eastAsia="宋体" w:cs="宋体"/>
          <w:color w:val="auto"/>
          <w:sz w:val="28"/>
          <w:szCs w:val="28"/>
        </w:rPr>
      </w:pPr>
    </w:p>
    <w:p w14:paraId="6127A739">
      <w:pPr>
        <w:spacing w:before="120" w:beforeLines="50" w:line="276" w:lineRule="auto"/>
        <w:jc w:val="center"/>
        <w:rPr>
          <w:rFonts w:ascii="宋体" w:hAnsi="宋体" w:eastAsia="宋体" w:cs="宋体"/>
          <w:color w:val="auto"/>
          <w:sz w:val="28"/>
          <w:szCs w:val="28"/>
        </w:rPr>
      </w:pPr>
      <w:r>
        <w:rPr>
          <w:rFonts w:hint="eastAsia" w:ascii="宋体" w:hAnsi="宋体" w:eastAsia="宋体" w:cs="宋体"/>
          <w:color w:val="auto"/>
          <w:sz w:val="52"/>
          <w:szCs w:val="52"/>
        </w:rPr>
        <w:t>公开招标采购文件</w:t>
      </w:r>
    </w:p>
    <w:p w14:paraId="70D50E4B">
      <w:pPr>
        <w:spacing w:before="120" w:beforeLines="50" w:line="276" w:lineRule="auto"/>
        <w:jc w:val="center"/>
        <w:rPr>
          <w:rFonts w:ascii="宋体" w:hAnsi="宋体" w:eastAsia="宋体" w:cs="宋体"/>
          <w:color w:val="auto"/>
          <w:sz w:val="28"/>
          <w:szCs w:val="28"/>
        </w:rPr>
      </w:pPr>
    </w:p>
    <w:p w14:paraId="565EF453">
      <w:pPr>
        <w:snapToGrid w:val="0"/>
        <w:spacing w:before="120" w:beforeLines="50" w:line="276" w:lineRule="auto"/>
        <w:jc w:val="center"/>
        <w:rPr>
          <w:rFonts w:ascii="宋体" w:hAnsi="宋体" w:eastAsia="宋体" w:cs="宋体"/>
          <w:b/>
          <w:bCs/>
          <w:color w:val="auto"/>
          <w:sz w:val="28"/>
          <w:szCs w:val="28"/>
        </w:rPr>
      </w:pPr>
    </w:p>
    <w:p w14:paraId="5514E15C">
      <w:pPr>
        <w:spacing w:before="120" w:after="120" w:line="276" w:lineRule="auto"/>
        <w:rPr>
          <w:rFonts w:ascii="宋体" w:hAnsi="宋体" w:eastAsia="宋体" w:cs="宋体"/>
          <w:b/>
          <w:bCs/>
          <w:color w:val="auto"/>
          <w:sz w:val="28"/>
          <w:szCs w:val="28"/>
        </w:rPr>
      </w:pPr>
    </w:p>
    <w:p w14:paraId="4F8899EB">
      <w:pPr>
        <w:spacing w:before="120" w:after="120" w:line="276" w:lineRule="auto"/>
        <w:rPr>
          <w:rFonts w:ascii="宋体" w:hAnsi="宋体" w:eastAsia="宋体" w:cs="宋体"/>
          <w:b/>
          <w:bCs/>
          <w:color w:val="auto"/>
          <w:sz w:val="28"/>
          <w:szCs w:val="28"/>
        </w:rPr>
      </w:pPr>
    </w:p>
    <w:p w14:paraId="16419AD7">
      <w:pPr>
        <w:rPr>
          <w:rFonts w:ascii="宋体" w:hAnsi="宋体" w:eastAsia="宋体" w:cs="宋体"/>
          <w:color w:val="auto"/>
          <w:sz w:val="28"/>
          <w:szCs w:val="28"/>
        </w:rPr>
      </w:pPr>
    </w:p>
    <w:p w14:paraId="46464843">
      <w:pPr>
        <w:spacing w:before="120" w:after="120" w:line="276" w:lineRule="auto"/>
        <w:rPr>
          <w:rFonts w:ascii="宋体" w:hAnsi="宋体" w:eastAsia="宋体" w:cs="宋体"/>
          <w:b/>
          <w:bCs/>
          <w:color w:val="auto"/>
          <w:sz w:val="28"/>
          <w:szCs w:val="28"/>
        </w:rPr>
      </w:pPr>
    </w:p>
    <w:p w14:paraId="46348EA0">
      <w:pPr>
        <w:spacing w:before="120" w:after="120" w:line="276"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lang w:eastAsia="zh-CN"/>
        </w:rPr>
        <w:t>KJPACG2024-GK-001</w:t>
      </w:r>
    </w:p>
    <w:p w14:paraId="48437522">
      <w:pPr>
        <w:spacing w:before="120" w:after="120" w:line="276"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eastAsia="zh-CN"/>
        </w:rPr>
        <w:t>2024-2025年冷水镇松材线虫病枯死松树清理服务</w:t>
      </w:r>
    </w:p>
    <w:p w14:paraId="098F911B">
      <w:pPr>
        <w:spacing w:before="120" w:after="120" w:line="276"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采购单位：</w:t>
      </w:r>
      <w:r>
        <w:rPr>
          <w:rFonts w:hint="eastAsia" w:ascii="宋体" w:hAnsi="宋体" w:eastAsia="宋体" w:cs="宋体"/>
          <w:b/>
          <w:bCs/>
          <w:color w:val="auto"/>
          <w:sz w:val="28"/>
          <w:szCs w:val="28"/>
          <w:lang w:eastAsia="zh-CN"/>
        </w:rPr>
        <w:t>磐安县冷水镇人民政府</w:t>
      </w:r>
    </w:p>
    <w:p w14:paraId="709E1E0C">
      <w:pPr>
        <w:spacing w:before="120" w:after="120" w:line="276"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招标机构：</w:t>
      </w:r>
      <w:r>
        <w:rPr>
          <w:rFonts w:hint="eastAsia" w:ascii="宋体" w:hAnsi="宋体" w:eastAsia="宋体" w:cs="宋体"/>
          <w:b/>
          <w:bCs/>
          <w:color w:val="auto"/>
          <w:sz w:val="28"/>
          <w:szCs w:val="28"/>
          <w:lang w:eastAsia="zh-CN"/>
        </w:rPr>
        <w:t>浙江科佳工程咨询有限公司</w:t>
      </w:r>
    </w:p>
    <w:p w14:paraId="7DA840D6">
      <w:pPr>
        <w:spacing w:before="120" w:after="120" w:line="276" w:lineRule="auto"/>
        <w:rPr>
          <w:rFonts w:hint="eastAsia" w:ascii="宋体" w:hAnsi="宋体" w:eastAsia="宋体" w:cs="宋体"/>
          <w:b/>
          <w:bCs/>
          <w:color w:val="auto"/>
          <w:sz w:val="28"/>
          <w:szCs w:val="28"/>
        </w:rPr>
      </w:pPr>
    </w:p>
    <w:p w14:paraId="5A476E4A">
      <w:pPr>
        <w:snapToGrid w:val="0"/>
        <w:spacing w:before="120" w:beforeLines="50" w:line="276" w:lineRule="auto"/>
        <w:ind w:left="384" w:leftChars="183" w:firstLine="4292" w:firstLineChars="1607"/>
        <w:rPr>
          <w:rFonts w:ascii="宋体" w:hAnsi="宋体" w:eastAsia="宋体" w:cs="宋体"/>
          <w:b/>
          <w:bCs/>
          <w:color w:val="auto"/>
          <w:w w:val="95"/>
          <w:sz w:val="28"/>
          <w:szCs w:val="28"/>
        </w:rPr>
      </w:pPr>
    </w:p>
    <w:p w14:paraId="369CF880">
      <w:pPr>
        <w:ind w:firstLine="4760" w:firstLineChars="1700"/>
        <w:rPr>
          <w:rFonts w:hint="eastAsia" w:ascii="宋体" w:hAnsi="宋体" w:eastAsia="宋体" w:cs="宋体"/>
          <w:color w:val="auto"/>
          <w:sz w:val="28"/>
          <w:szCs w:val="28"/>
          <w:lang w:eastAsia="zh-CN"/>
        </w:rPr>
        <w:sectPr>
          <w:footerReference r:id="rId4" w:type="default"/>
          <w:pgSz w:w="11906" w:h="16839"/>
          <w:pgMar w:top="1417" w:right="1134" w:bottom="1417" w:left="1134" w:header="1076" w:footer="994" w:gutter="0"/>
          <w:pgNumType w:fmt="decimal"/>
          <w:cols w:space="0" w:num="1"/>
          <w:rtlGutter w:val="0"/>
          <w:docGrid w:linePitch="0" w:charSpace="0"/>
        </w:sectPr>
      </w:pPr>
      <w:r>
        <w:rPr>
          <w:rFonts w:hint="eastAsia" w:ascii="宋体" w:hAnsi="宋体" w:eastAsia="宋体" w:cs="宋体"/>
          <w:color w:val="auto"/>
          <w:sz w:val="28"/>
          <w:szCs w:val="28"/>
          <w:lang w:eastAsia="zh-CN"/>
        </w:rPr>
        <w:t>2024年12月12日</w:t>
      </w:r>
    </w:p>
    <w:p w14:paraId="150A86CE">
      <w:pPr>
        <w:ind w:firstLine="4760" w:firstLineChars="1700"/>
        <w:rPr>
          <w:rFonts w:hint="eastAsia" w:ascii="宋体" w:hAnsi="宋体" w:eastAsia="宋体" w:cs="宋体"/>
          <w:color w:val="auto"/>
          <w:sz w:val="28"/>
          <w:szCs w:val="28"/>
        </w:rPr>
      </w:pPr>
    </w:p>
    <w:p w14:paraId="62569646">
      <w:pPr>
        <w:spacing w:line="276" w:lineRule="auto"/>
        <w:rPr>
          <w:rFonts w:ascii="宋体" w:hAnsi="宋体" w:eastAsia="宋体" w:cs="宋体"/>
          <w:color w:val="auto"/>
          <w:sz w:val="21"/>
          <w:szCs w:val="21"/>
        </w:rPr>
      </w:pPr>
    </w:p>
    <w:p w14:paraId="38549E6B">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目    录</w:t>
      </w:r>
    </w:p>
    <w:p w14:paraId="57426374">
      <w:pPr>
        <w:rPr>
          <w:rFonts w:ascii="宋体" w:hAnsi="宋体" w:eastAsia="宋体" w:cs="宋体"/>
          <w:color w:val="auto"/>
          <w:sz w:val="21"/>
          <w:szCs w:val="21"/>
        </w:rPr>
      </w:pPr>
    </w:p>
    <w:p w14:paraId="057B33B0">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"1-1" \h \u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_Toc11174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第一章  招标公告</w:t>
      </w:r>
      <w:r>
        <w:rPr>
          <w:color w:val="auto"/>
        </w:rPr>
        <w:tab/>
      </w:r>
      <w:r>
        <w:rPr>
          <w:color w:val="auto"/>
        </w:rPr>
        <w:fldChar w:fldCharType="begin"/>
      </w:r>
      <w:r>
        <w:rPr>
          <w:color w:val="auto"/>
        </w:rPr>
        <w:instrText xml:space="preserve"> PAGEREF _Toc11174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14:paraId="372BC2B5">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_Toc5163 </w:instrText>
      </w:r>
      <w:r>
        <w:rPr>
          <w:rFonts w:hint="eastAsia" w:ascii="宋体" w:hAnsi="宋体" w:eastAsia="宋体" w:cs="宋体"/>
          <w:color w:val="auto"/>
          <w:szCs w:val="21"/>
        </w:rPr>
        <w:fldChar w:fldCharType="separate"/>
      </w:r>
      <w:r>
        <w:rPr>
          <w:rFonts w:hint="eastAsia" w:ascii="Times New Roman" w:hAnsi="Times New Roman" w:eastAsia="宋体" w:cs="Times New Roman"/>
          <w:bCs/>
          <w:color w:val="auto"/>
          <w:kern w:val="44"/>
          <w:lang w:val="en-US" w:eastAsia="zh-CN" w:bidi="ar-SA"/>
        </w:rPr>
        <w:t>第二章  招标需求</w:t>
      </w:r>
      <w:r>
        <w:rPr>
          <w:color w:val="auto"/>
        </w:rPr>
        <w:tab/>
      </w:r>
      <w:r>
        <w:rPr>
          <w:color w:val="auto"/>
        </w:rPr>
        <w:fldChar w:fldCharType="begin"/>
      </w:r>
      <w:r>
        <w:rPr>
          <w:color w:val="auto"/>
        </w:rPr>
        <w:instrText xml:space="preserve"> PAGEREF _Toc5163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14:paraId="313BD825">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_Toc3323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第四章  评标办法和评分标准</w:t>
      </w:r>
      <w:r>
        <w:rPr>
          <w:color w:val="auto"/>
        </w:rPr>
        <w:tab/>
      </w:r>
      <w:r>
        <w:rPr>
          <w:color w:val="auto"/>
        </w:rPr>
        <w:fldChar w:fldCharType="begin"/>
      </w:r>
      <w:r>
        <w:rPr>
          <w:color w:val="auto"/>
        </w:rPr>
        <w:instrText xml:space="preserve"> PAGEREF _Toc3323 \h </w:instrText>
      </w:r>
      <w:r>
        <w:rPr>
          <w:color w:val="auto"/>
        </w:rPr>
        <w:fldChar w:fldCharType="separate"/>
      </w:r>
      <w:r>
        <w:rPr>
          <w:color w:val="auto"/>
        </w:rPr>
        <w:t>51</w:t>
      </w:r>
      <w:r>
        <w:rPr>
          <w:color w:val="auto"/>
        </w:rPr>
        <w:fldChar w:fldCharType="end"/>
      </w:r>
      <w:r>
        <w:rPr>
          <w:rFonts w:hint="eastAsia" w:ascii="宋体" w:hAnsi="宋体" w:eastAsia="宋体" w:cs="宋体"/>
          <w:color w:val="auto"/>
          <w:szCs w:val="21"/>
        </w:rPr>
        <w:fldChar w:fldCharType="end"/>
      </w:r>
    </w:p>
    <w:p w14:paraId="6C9894DE">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_Toc20084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第五章  政府采购政策功能相关说明</w:t>
      </w:r>
      <w:r>
        <w:rPr>
          <w:color w:val="auto"/>
        </w:rPr>
        <w:tab/>
      </w:r>
      <w:r>
        <w:rPr>
          <w:color w:val="auto"/>
        </w:rPr>
        <w:fldChar w:fldCharType="begin"/>
      </w:r>
      <w:r>
        <w:rPr>
          <w:color w:val="auto"/>
        </w:rPr>
        <w:instrText xml:space="preserve"> PAGEREF _Toc20084 \h </w:instrText>
      </w:r>
      <w:r>
        <w:rPr>
          <w:color w:val="auto"/>
        </w:rPr>
        <w:fldChar w:fldCharType="separate"/>
      </w:r>
      <w:r>
        <w:rPr>
          <w:color w:val="auto"/>
        </w:rPr>
        <w:t>55</w:t>
      </w:r>
      <w:r>
        <w:rPr>
          <w:color w:val="auto"/>
        </w:rPr>
        <w:fldChar w:fldCharType="end"/>
      </w:r>
      <w:r>
        <w:rPr>
          <w:rFonts w:hint="eastAsia" w:ascii="宋体" w:hAnsi="宋体" w:eastAsia="宋体" w:cs="宋体"/>
          <w:color w:val="auto"/>
          <w:szCs w:val="21"/>
        </w:rPr>
        <w:fldChar w:fldCharType="end"/>
      </w:r>
    </w:p>
    <w:p w14:paraId="7AFDC408">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_Toc7680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 xml:space="preserve">第六章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采购合同（范本）</w:t>
      </w:r>
      <w:r>
        <w:rPr>
          <w:color w:val="auto"/>
        </w:rPr>
        <w:tab/>
      </w:r>
      <w:r>
        <w:rPr>
          <w:color w:val="auto"/>
        </w:rPr>
        <w:fldChar w:fldCharType="begin"/>
      </w:r>
      <w:r>
        <w:rPr>
          <w:color w:val="auto"/>
        </w:rPr>
        <w:instrText xml:space="preserve"> PAGEREF _Toc7680 \h </w:instrText>
      </w:r>
      <w:r>
        <w:rPr>
          <w:color w:val="auto"/>
        </w:rPr>
        <w:fldChar w:fldCharType="separate"/>
      </w:r>
      <w:r>
        <w:rPr>
          <w:color w:val="auto"/>
        </w:rPr>
        <w:t>57</w:t>
      </w:r>
      <w:r>
        <w:rPr>
          <w:color w:val="auto"/>
        </w:rPr>
        <w:fldChar w:fldCharType="end"/>
      </w:r>
      <w:r>
        <w:rPr>
          <w:rFonts w:hint="eastAsia" w:ascii="宋体" w:hAnsi="宋体" w:eastAsia="宋体" w:cs="宋体"/>
          <w:color w:val="auto"/>
          <w:szCs w:val="21"/>
        </w:rPr>
        <w:fldChar w:fldCharType="end"/>
      </w:r>
    </w:p>
    <w:p w14:paraId="3E68EF5F">
      <w:pPr>
        <w:pStyle w:val="1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_Toc21025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21"/>
        </w:rPr>
        <w:t>第七章　投标文件格式</w:t>
      </w:r>
      <w:r>
        <w:rPr>
          <w:color w:val="auto"/>
        </w:rPr>
        <w:tab/>
      </w:r>
      <w:r>
        <w:rPr>
          <w:color w:val="auto"/>
        </w:rPr>
        <w:fldChar w:fldCharType="begin"/>
      </w:r>
      <w:r>
        <w:rPr>
          <w:color w:val="auto"/>
        </w:rPr>
        <w:instrText xml:space="preserve"> PAGEREF _Toc21025 \h </w:instrText>
      </w:r>
      <w:r>
        <w:rPr>
          <w:color w:val="auto"/>
        </w:rPr>
        <w:fldChar w:fldCharType="separate"/>
      </w:r>
      <w:r>
        <w:rPr>
          <w:color w:val="auto"/>
        </w:rPr>
        <w:t>61</w:t>
      </w:r>
      <w:r>
        <w:rPr>
          <w:color w:val="auto"/>
        </w:rPr>
        <w:fldChar w:fldCharType="end"/>
      </w:r>
      <w:r>
        <w:rPr>
          <w:rFonts w:hint="eastAsia" w:ascii="宋体" w:hAnsi="宋体" w:eastAsia="宋体" w:cs="宋体"/>
          <w:color w:val="auto"/>
          <w:szCs w:val="21"/>
        </w:rPr>
        <w:fldChar w:fldCharType="end"/>
      </w:r>
    </w:p>
    <w:p w14:paraId="0F38A35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Cs w:val="21"/>
        </w:rPr>
        <w:fldChar w:fldCharType="end"/>
      </w:r>
    </w:p>
    <w:p w14:paraId="6C87EED2">
      <w:pPr>
        <w:rPr>
          <w:rFonts w:ascii="宋体" w:hAnsi="宋体" w:eastAsia="宋体" w:cs="宋体"/>
          <w:color w:val="auto"/>
          <w:sz w:val="21"/>
          <w:szCs w:val="21"/>
        </w:rPr>
      </w:pPr>
    </w:p>
    <w:p w14:paraId="0F69D50B">
      <w:pPr>
        <w:rPr>
          <w:rFonts w:ascii="宋体" w:hAnsi="宋体" w:eastAsia="宋体" w:cs="宋体"/>
          <w:color w:val="auto"/>
          <w:sz w:val="21"/>
          <w:szCs w:val="21"/>
        </w:rPr>
      </w:pPr>
    </w:p>
    <w:p w14:paraId="460EE769">
      <w:pPr>
        <w:spacing w:before="120" w:after="120"/>
        <w:jc w:val="center"/>
        <w:outlineLvl w:val="0"/>
        <w:rPr>
          <w:rFonts w:hint="eastAsia" w:ascii="Times New Roman" w:hAnsi="Times New Roman" w:eastAsia="宋体" w:cs="Times New Roman"/>
          <w:b/>
          <w:bCs/>
          <w:color w:val="auto"/>
          <w:kern w:val="44"/>
          <w:sz w:val="44"/>
          <w:szCs w:val="44"/>
          <w:lang w:val="en-US" w:eastAsia="zh-CN" w:bidi="ar-SA"/>
        </w:rPr>
      </w:pPr>
      <w:r>
        <w:rPr>
          <w:rFonts w:hint="eastAsia" w:ascii="宋体" w:hAnsi="宋体" w:eastAsia="宋体" w:cs="宋体"/>
          <w:color w:val="auto"/>
          <w:sz w:val="21"/>
          <w:szCs w:val="21"/>
        </w:rPr>
        <w:br w:type="page"/>
      </w:r>
      <w:bookmarkStart w:id="2" w:name="_Toc1688"/>
      <w:bookmarkStart w:id="3" w:name="_Toc11174"/>
      <w:bookmarkStart w:id="4" w:name="_Toc2068"/>
      <w:bookmarkStart w:id="5" w:name="_Toc5922"/>
      <w:bookmarkStart w:id="6" w:name="_Hlk74317073"/>
      <w:r>
        <w:rPr>
          <w:rFonts w:hint="eastAsia" w:ascii="Times New Roman" w:hAnsi="Times New Roman" w:eastAsia="宋体" w:cs="Times New Roman"/>
          <w:b/>
          <w:bCs/>
          <w:color w:val="auto"/>
          <w:kern w:val="44"/>
          <w:sz w:val="44"/>
          <w:szCs w:val="44"/>
          <w:lang w:val="en-US" w:eastAsia="zh-CN" w:bidi="ar-SA"/>
        </w:rPr>
        <w:t>第一章  招标公告</w:t>
      </w:r>
      <w:bookmarkEnd w:id="2"/>
      <w:bookmarkEnd w:id="3"/>
      <w:bookmarkEnd w:id="4"/>
      <w:bookmarkEnd w:id="5"/>
    </w:p>
    <w:p w14:paraId="37BF2AFD">
      <w:pPr>
        <w:spacing w:line="360" w:lineRule="auto"/>
        <w:ind w:firstLine="420" w:firstLineChars="200"/>
        <w:rPr>
          <w:rFonts w:ascii="宋体" w:hAnsi="宋体" w:eastAsia="宋体" w:cs="宋体"/>
          <w:b/>
          <w:color w:val="auto"/>
          <w:sz w:val="21"/>
          <w:szCs w:val="21"/>
        </w:rPr>
      </w:pPr>
      <w:r>
        <w:rPr>
          <w:rFonts w:hint="eastAsia" w:ascii="宋体" w:hAnsi="宋体" w:eastAsia="宋体" w:cs="宋体"/>
          <w:color w:val="auto"/>
          <w:sz w:val="21"/>
          <w:szCs w:val="21"/>
        </w:rPr>
        <w:t>本项目经磐安县财政局</w:t>
      </w:r>
      <w:r>
        <w:rPr>
          <w:color w:val="auto"/>
          <w:sz w:val="21"/>
          <w:szCs w:val="21"/>
        </w:rPr>
        <w:fldChar w:fldCharType="begin"/>
      </w:r>
      <w:r>
        <w:rPr>
          <w:color w:val="auto"/>
          <w:sz w:val="21"/>
          <w:szCs w:val="21"/>
        </w:rPr>
        <w:instrText xml:space="preserve"> HYPERLINK "https://pay.zcygov.cn/purchaseplan_front/" \l "/plan/list/detail?id=1000000000003445350&amp;encrypt=f6625fd24cdeb78dd47a2b1d97e1a416" </w:instrText>
      </w:r>
      <w:r>
        <w:rPr>
          <w:color w:val="auto"/>
          <w:sz w:val="21"/>
          <w:szCs w:val="21"/>
        </w:rPr>
        <w:fldChar w:fldCharType="separate"/>
      </w:r>
      <w:r>
        <w:rPr>
          <w:rFonts w:hint="eastAsia" w:ascii="宋体" w:hAnsi="宋体" w:eastAsia="宋体" w:cs="宋体"/>
          <w:color w:val="auto"/>
          <w:sz w:val="21"/>
          <w:szCs w:val="21"/>
        </w:rPr>
        <w:t>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2222</w:t>
      </w:r>
      <w:r>
        <w:rPr>
          <w:rFonts w:hint="eastAsia" w:ascii="宋体" w:hAnsi="宋体" w:eastAsia="宋体" w:cs="宋体"/>
          <w:color w:val="auto"/>
          <w:sz w:val="21"/>
          <w:szCs w:val="21"/>
        </w:rPr>
        <w:t>号</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采购计划确认书批准进行公开招标，本项目的潜在投标人应在浙江政府采购网获取招标文件，并于202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2 </w:t>
      </w:r>
      <w:r>
        <w:rPr>
          <w:rFonts w:hint="eastAsia" w:ascii="宋体" w:hAnsi="宋体" w:eastAsia="宋体" w:cs="宋体"/>
          <w:color w:val="auto"/>
          <w:sz w:val="21"/>
          <w:szCs w:val="21"/>
        </w:rPr>
        <w:t>日</w:t>
      </w:r>
      <w:r>
        <w:rPr>
          <w:rFonts w:hint="eastAsia" w:ascii="宋体" w:hAnsi="宋体" w:eastAsia="宋体" w:cs="宋体"/>
          <w:b/>
          <w:bCs/>
          <w:color w:val="auto"/>
          <w:sz w:val="21"/>
          <w:szCs w:val="21"/>
          <w:u w:val="single"/>
          <w:lang w:val="en-US" w:eastAsia="zh-CN"/>
        </w:rPr>
        <w:t>14</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val="en-US" w:eastAsia="zh-CN"/>
        </w:rPr>
        <w:t>0</w:t>
      </w:r>
      <w:r>
        <w:rPr>
          <w:rFonts w:hint="eastAsia" w:ascii="宋体" w:hAnsi="宋体" w:eastAsia="宋体" w:cs="宋体"/>
          <w:b/>
          <w:bCs/>
          <w:color w:val="auto"/>
          <w:sz w:val="21"/>
          <w:szCs w:val="21"/>
          <w:u w:val="single"/>
        </w:rPr>
        <w:t>0（北京时间）前</w:t>
      </w:r>
      <w:r>
        <w:rPr>
          <w:rFonts w:hint="eastAsia" w:ascii="宋体" w:hAnsi="宋体" w:eastAsia="宋体" w:cs="宋体"/>
          <w:color w:val="auto"/>
          <w:sz w:val="21"/>
          <w:szCs w:val="21"/>
        </w:rPr>
        <w:t>递交投标文件。</w:t>
      </w:r>
    </w:p>
    <w:p w14:paraId="75697586">
      <w:pPr>
        <w:spacing w:before="140" w:after="24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一、项目基本情况</w:t>
      </w:r>
    </w:p>
    <w:p w14:paraId="291DE281">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1.项目名称：</w:t>
      </w:r>
      <w:r>
        <w:rPr>
          <w:rFonts w:hint="eastAsia" w:ascii="宋体" w:hAnsi="宋体" w:eastAsia="宋体" w:cs="宋体"/>
          <w:color w:val="auto"/>
          <w:sz w:val="21"/>
          <w:szCs w:val="21"/>
          <w:lang w:eastAsia="zh-CN"/>
        </w:rPr>
        <w:t>2024-2025年冷水镇松材线虫病枯死松树清理服务</w:t>
      </w:r>
    </w:p>
    <w:p w14:paraId="0CC34F0E">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2.项目编号：</w:t>
      </w:r>
      <w:r>
        <w:rPr>
          <w:rFonts w:hint="eastAsia" w:ascii="宋体" w:hAnsi="宋体" w:eastAsia="宋体" w:cs="宋体"/>
          <w:color w:val="auto"/>
          <w:sz w:val="21"/>
          <w:szCs w:val="21"/>
          <w:lang w:eastAsia="zh-CN"/>
        </w:rPr>
        <w:t>KJPACG2024-GK-001</w:t>
      </w:r>
    </w:p>
    <w:p w14:paraId="24536231">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3.采购组织类型：分散采购</w:t>
      </w:r>
    </w:p>
    <w:p w14:paraId="6EE85D2D">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4.采购方式：公开招标</w:t>
      </w:r>
    </w:p>
    <w:p w14:paraId="191ECF11">
      <w:pPr>
        <w:spacing w:line="360" w:lineRule="auto"/>
        <w:ind w:firstLine="420" w:firstLineChars="200"/>
        <w:rPr>
          <w:rFonts w:ascii="宋体" w:hAnsi="宋体" w:eastAsia="宋体" w:cs="宋体"/>
          <w:color w:val="auto"/>
          <w:sz w:val="21"/>
          <w:szCs w:val="21"/>
          <w:u w:val="none"/>
        </w:rPr>
      </w:pPr>
      <w:r>
        <w:rPr>
          <w:rFonts w:hint="eastAsia" w:ascii="宋体" w:hAnsi="宋体" w:eastAsia="宋体" w:cs="宋体"/>
          <w:color w:val="auto"/>
          <w:sz w:val="21"/>
          <w:szCs w:val="21"/>
        </w:rPr>
        <w:t>5.预算金额：</w:t>
      </w:r>
      <w:r>
        <w:rPr>
          <w:rFonts w:hint="eastAsia" w:ascii="宋体" w:hAnsi="宋体" w:cs="宋体"/>
          <w:b w:val="0"/>
          <w:bCs w:val="0"/>
          <w:color w:val="auto"/>
          <w:szCs w:val="21"/>
          <w:u w:val="none"/>
          <w:lang w:val="en-US" w:eastAsia="zh-CN"/>
        </w:rPr>
        <w:t>744.8</w:t>
      </w:r>
      <w:r>
        <w:rPr>
          <w:rFonts w:hint="eastAsia" w:ascii="宋体" w:hAnsi="宋体" w:eastAsia="宋体" w:cs="宋体"/>
          <w:color w:val="auto"/>
          <w:sz w:val="21"/>
          <w:szCs w:val="21"/>
          <w:u w:val="none"/>
        </w:rPr>
        <w:t xml:space="preserve">万元   </w:t>
      </w:r>
    </w:p>
    <w:p w14:paraId="4E15446A">
      <w:pPr>
        <w:spacing w:line="360" w:lineRule="auto"/>
        <w:ind w:firstLine="420" w:firstLineChars="200"/>
        <w:rPr>
          <w:rFonts w:ascii="宋体" w:hAnsi="宋体" w:eastAsia="宋体" w:cs="宋体"/>
          <w:color w:val="auto"/>
          <w:sz w:val="21"/>
          <w:szCs w:val="21"/>
          <w:u w:val="none"/>
        </w:rPr>
      </w:pPr>
      <w:r>
        <w:rPr>
          <w:rFonts w:hint="eastAsia" w:ascii="宋体" w:hAnsi="宋体" w:eastAsia="宋体" w:cs="宋体"/>
          <w:color w:val="auto"/>
          <w:sz w:val="21"/>
          <w:szCs w:val="21"/>
          <w:u w:val="none"/>
        </w:rPr>
        <w:t>6.最高限价：</w:t>
      </w:r>
      <w:r>
        <w:rPr>
          <w:rFonts w:hint="eastAsia" w:ascii="宋体" w:hAnsi="宋体" w:cs="宋体"/>
          <w:b w:val="0"/>
          <w:bCs w:val="0"/>
          <w:color w:val="auto"/>
          <w:szCs w:val="21"/>
          <w:u w:val="none"/>
          <w:lang w:val="en-US" w:eastAsia="zh-CN"/>
        </w:rPr>
        <w:t>744.8</w:t>
      </w:r>
      <w:r>
        <w:rPr>
          <w:rFonts w:hint="eastAsia" w:ascii="宋体" w:hAnsi="宋体" w:eastAsia="宋体" w:cs="宋体"/>
          <w:color w:val="auto"/>
          <w:sz w:val="21"/>
          <w:szCs w:val="21"/>
          <w:u w:val="none"/>
        </w:rPr>
        <w:t>万元</w:t>
      </w:r>
    </w:p>
    <w:p w14:paraId="69276439">
      <w:pPr>
        <w:spacing w:line="360" w:lineRule="auto"/>
        <w:ind w:firstLine="420" w:firstLineChars="200"/>
        <w:rPr>
          <w:rFonts w:hint="default" w:ascii="宋体" w:hAnsi="宋体" w:eastAsia="宋体" w:cs="宋体"/>
          <w:color w:val="0000FF"/>
          <w:sz w:val="21"/>
          <w:szCs w:val="21"/>
          <w:highlight w:val="none"/>
          <w:lang w:val="en-US" w:eastAsia="zh-CN"/>
        </w:rPr>
      </w:pPr>
      <w:r>
        <w:rPr>
          <w:rFonts w:hint="eastAsia" w:ascii="宋体" w:hAnsi="宋体" w:eastAsia="宋体" w:cs="宋体"/>
          <w:color w:val="auto"/>
          <w:sz w:val="21"/>
          <w:szCs w:val="21"/>
        </w:rPr>
        <w:t>7.合同履行期限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合同签订至2025年9月底止。</w:t>
      </w:r>
    </w:p>
    <w:p w14:paraId="227D4486">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8.采购需求：</w:t>
      </w:r>
    </w:p>
    <w:tbl>
      <w:tblPr>
        <w:tblStyle w:val="19"/>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180"/>
        <w:gridCol w:w="2240"/>
        <w:gridCol w:w="1190"/>
        <w:gridCol w:w="2380"/>
      </w:tblGrid>
      <w:tr w14:paraId="181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l2br w:val="nil"/>
              <w:tr2bl w:val="nil"/>
            </w:tcBorders>
            <w:vAlign w:val="center"/>
          </w:tcPr>
          <w:p w14:paraId="74210356">
            <w:pPr>
              <w:spacing w:line="440" w:lineRule="exact"/>
              <w:jc w:val="center"/>
              <w:rPr>
                <w:rFonts w:ascii="宋体" w:hAnsi="宋体" w:eastAsia="宋体" w:cs="宋体"/>
                <w:color w:val="auto"/>
                <w:sz w:val="21"/>
                <w:szCs w:val="21"/>
              </w:rPr>
            </w:pPr>
            <w:r>
              <w:rPr>
                <w:rFonts w:hint="eastAsia" w:ascii="宋体" w:hAnsi="宋体" w:eastAsia="宋体" w:cs="宋体"/>
                <w:b/>
                <w:color w:val="auto"/>
                <w:sz w:val="21"/>
                <w:szCs w:val="21"/>
              </w:rPr>
              <w:t>标项</w:t>
            </w:r>
          </w:p>
        </w:tc>
        <w:tc>
          <w:tcPr>
            <w:tcW w:w="3180" w:type="dxa"/>
            <w:tcBorders>
              <w:tl2br w:val="nil"/>
              <w:tr2bl w:val="nil"/>
            </w:tcBorders>
            <w:vAlign w:val="center"/>
          </w:tcPr>
          <w:p w14:paraId="0AC4B45A">
            <w:pPr>
              <w:spacing w:line="44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项目名称</w:t>
            </w:r>
          </w:p>
        </w:tc>
        <w:tc>
          <w:tcPr>
            <w:tcW w:w="2240" w:type="dxa"/>
            <w:tcBorders>
              <w:tl2br w:val="nil"/>
              <w:tr2bl w:val="nil"/>
            </w:tcBorders>
            <w:vAlign w:val="center"/>
          </w:tcPr>
          <w:p w14:paraId="4D161756">
            <w:pPr>
              <w:spacing w:line="44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技术规格</w:t>
            </w:r>
          </w:p>
        </w:tc>
        <w:tc>
          <w:tcPr>
            <w:tcW w:w="1190" w:type="dxa"/>
            <w:tcBorders>
              <w:tl2br w:val="nil"/>
              <w:tr2bl w:val="nil"/>
            </w:tcBorders>
            <w:vAlign w:val="center"/>
          </w:tcPr>
          <w:p w14:paraId="239695A2">
            <w:pPr>
              <w:spacing w:line="44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数量</w:t>
            </w:r>
          </w:p>
        </w:tc>
        <w:tc>
          <w:tcPr>
            <w:tcW w:w="2380" w:type="dxa"/>
            <w:tcBorders>
              <w:tl2br w:val="nil"/>
              <w:tr2bl w:val="nil"/>
            </w:tcBorders>
            <w:vAlign w:val="center"/>
          </w:tcPr>
          <w:p w14:paraId="0EFDB724">
            <w:pPr>
              <w:spacing w:line="44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最高限价</w:t>
            </w:r>
          </w:p>
        </w:tc>
      </w:tr>
      <w:tr w14:paraId="0A9B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1" w:type="dxa"/>
            <w:tcBorders>
              <w:tl2br w:val="nil"/>
              <w:tr2bl w:val="nil"/>
            </w:tcBorders>
            <w:shd w:val="clear" w:color="auto" w:fill="FFFFFF"/>
            <w:vAlign w:val="center"/>
          </w:tcPr>
          <w:p w14:paraId="0DEDE2DF">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一</w:t>
            </w:r>
          </w:p>
        </w:tc>
        <w:tc>
          <w:tcPr>
            <w:tcW w:w="3180" w:type="dxa"/>
            <w:tcBorders>
              <w:tl2br w:val="nil"/>
              <w:tr2bl w:val="nil"/>
            </w:tcBorders>
            <w:vAlign w:val="center"/>
          </w:tcPr>
          <w:p w14:paraId="560D8D00">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lang w:eastAsia="zh-CN"/>
              </w:rPr>
              <w:t>2024-2025年冷水镇松材线虫病枯死松树清理服务</w:t>
            </w:r>
          </w:p>
        </w:tc>
        <w:tc>
          <w:tcPr>
            <w:tcW w:w="2240" w:type="dxa"/>
            <w:tcBorders>
              <w:tl2br w:val="nil"/>
              <w:tr2bl w:val="nil"/>
            </w:tcBorders>
            <w:vAlign w:val="center"/>
          </w:tcPr>
          <w:p w14:paraId="4BC685C3">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详见招标需求</w:t>
            </w:r>
          </w:p>
        </w:tc>
        <w:tc>
          <w:tcPr>
            <w:tcW w:w="1190" w:type="dxa"/>
            <w:tcBorders>
              <w:tl2br w:val="nil"/>
              <w:tr2bl w:val="nil"/>
            </w:tcBorders>
            <w:vAlign w:val="center"/>
          </w:tcPr>
          <w:p w14:paraId="7CAE1EF0">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1项</w:t>
            </w:r>
          </w:p>
        </w:tc>
        <w:tc>
          <w:tcPr>
            <w:tcW w:w="2380" w:type="dxa"/>
            <w:tcBorders>
              <w:tl2br w:val="nil"/>
              <w:tr2bl w:val="nil"/>
            </w:tcBorders>
            <w:vAlign w:val="center"/>
          </w:tcPr>
          <w:p w14:paraId="4B6A5584">
            <w:pPr>
              <w:spacing w:line="440" w:lineRule="exact"/>
              <w:jc w:val="center"/>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总价744.8万元；</w:t>
            </w:r>
          </w:p>
          <w:p w14:paraId="7AAE86F3">
            <w:pPr>
              <w:spacing w:line="440" w:lineRule="exact"/>
              <w:jc w:val="center"/>
              <w:rPr>
                <w:rFonts w:hint="default" w:ascii="宋体" w:hAnsi="宋体" w:eastAsia="方正兰亭黑_GBK" w:cs="宋体"/>
                <w:color w:val="auto"/>
                <w:sz w:val="21"/>
                <w:szCs w:val="21"/>
                <w:lang w:val="en-US" w:eastAsia="zh-CN"/>
              </w:rPr>
            </w:pPr>
            <w:r>
              <w:rPr>
                <w:rFonts w:hint="eastAsia" w:ascii="宋体" w:hAnsi="宋体" w:eastAsia="宋体" w:cs="宋体"/>
                <w:color w:val="0000FF"/>
                <w:sz w:val="21"/>
                <w:szCs w:val="21"/>
                <w:lang w:val="en-US" w:eastAsia="zh-CN"/>
              </w:rPr>
              <w:t>单价760元/吨</w:t>
            </w:r>
          </w:p>
        </w:tc>
      </w:tr>
    </w:tbl>
    <w:p w14:paraId="07297013">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二、合格投标人的资格要求</w:t>
      </w:r>
    </w:p>
    <w:p w14:paraId="7C4F3BFC">
      <w:pPr>
        <w:widowControl/>
        <w:spacing w:line="480" w:lineRule="exact"/>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1.满足《中华人民共和国政府采购法》第二十二条规定；未被“信用中国”网站（</w:t>
      </w:r>
      <w:r>
        <w:rPr>
          <w:rFonts w:hint="eastAsia" w:ascii="宋体" w:hAnsi="宋体" w:eastAsia="宋体" w:cs="宋体"/>
          <w:b/>
          <w:color w:val="auto"/>
          <w:sz w:val="21"/>
          <w:szCs w:val="21"/>
          <w:u w:val="single"/>
        </w:rPr>
        <w:t>www.creditchina.gov.cn</w:t>
      </w:r>
      <w:r>
        <w:rPr>
          <w:rFonts w:hint="eastAsia" w:ascii="宋体" w:hAnsi="宋体" w:eastAsia="宋体" w:cs="宋体"/>
          <w:bCs/>
          <w:color w:val="auto"/>
          <w:sz w:val="21"/>
          <w:szCs w:val="21"/>
        </w:rPr>
        <w:t>）、中国政府采购网（</w:t>
      </w:r>
      <w:r>
        <w:rPr>
          <w:rFonts w:hint="eastAsia" w:ascii="宋体" w:hAnsi="宋体" w:eastAsia="宋体" w:cs="宋体"/>
          <w:b/>
          <w:color w:val="auto"/>
          <w:sz w:val="21"/>
          <w:szCs w:val="21"/>
          <w:u w:val="single"/>
        </w:rPr>
        <w:t>www.ccgp.gov.cn</w:t>
      </w:r>
      <w:r>
        <w:rPr>
          <w:rFonts w:hint="eastAsia" w:ascii="宋体" w:hAnsi="宋体" w:eastAsia="宋体" w:cs="宋体"/>
          <w:bCs/>
          <w:color w:val="auto"/>
          <w:sz w:val="21"/>
          <w:szCs w:val="21"/>
        </w:rPr>
        <w:t>）列入失信被执行人、重大税收违法当事人名单、政府采购严重违法失信行为记录名单；</w:t>
      </w:r>
    </w:p>
    <w:p w14:paraId="536E8C00">
      <w:pPr>
        <w:snapToGrid w:val="0"/>
        <w:spacing w:line="48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.特定资格条件：</w:t>
      </w:r>
      <w:r>
        <w:rPr>
          <w:rFonts w:hint="eastAsia" w:ascii="宋体" w:hAnsi="宋体" w:eastAsia="宋体" w:cs="宋体"/>
          <w:bCs/>
          <w:color w:val="auto"/>
          <w:sz w:val="21"/>
          <w:szCs w:val="21"/>
          <w:lang w:eastAsia="zh-CN"/>
        </w:rPr>
        <w:t>无</w:t>
      </w:r>
    </w:p>
    <w:p w14:paraId="759AF728">
      <w:pPr>
        <w:snapToGrid w:val="0"/>
        <w:spacing w:line="480" w:lineRule="exact"/>
        <w:ind w:right="218" w:rightChars="104" w:firstLine="420" w:firstLineChars="200"/>
        <w:rPr>
          <w:rFonts w:hint="eastAsia" w:ascii="宋体" w:hAnsi="宋体" w:eastAsia="宋体" w:cs="宋体"/>
          <w:bCs/>
          <w:color w:val="auto"/>
          <w:sz w:val="21"/>
          <w:szCs w:val="21"/>
        </w:rPr>
      </w:pPr>
      <w:bookmarkStart w:id="7" w:name="_Toc23431"/>
      <w:bookmarkStart w:id="8" w:name="_Toc19722"/>
      <w:bookmarkStart w:id="9" w:name="_Toc23203"/>
      <w:bookmarkStart w:id="10" w:name="_Toc7631"/>
      <w:bookmarkStart w:id="11" w:name="_Toc25035"/>
      <w:bookmarkStart w:id="12" w:name="_Toc18695"/>
      <w:bookmarkStart w:id="13" w:name="_Toc2481"/>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落实政府采购政策需满足的资格要求：</w:t>
      </w:r>
    </w:p>
    <w:p w14:paraId="27899209">
      <w:pPr>
        <w:spacing w:line="48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本项目不专门面向中小企业</w:t>
      </w:r>
      <w:r>
        <w:rPr>
          <w:rFonts w:hint="eastAsia" w:ascii="宋体" w:hAnsi="宋体" w:eastAsia="宋体" w:cs="宋体"/>
          <w:color w:val="auto"/>
          <w:sz w:val="21"/>
          <w:szCs w:val="21"/>
          <w:lang w:eastAsia="zh-CN"/>
        </w:rPr>
        <w:t>。</w:t>
      </w:r>
    </w:p>
    <w:p w14:paraId="4DB6820E">
      <w:pPr>
        <w:spacing w:line="48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本项目专门面向中小企业</w:t>
      </w:r>
      <w:r>
        <w:rPr>
          <w:rFonts w:hint="eastAsia" w:ascii="宋体" w:hAnsi="宋体" w:eastAsia="宋体" w:cs="宋体"/>
          <w:color w:val="auto"/>
          <w:sz w:val="21"/>
          <w:szCs w:val="21"/>
          <w:lang w:eastAsia="zh-CN"/>
        </w:rPr>
        <w:t>。</w:t>
      </w:r>
    </w:p>
    <w:p w14:paraId="652E6BC4">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货物全部由符合政策要求的中小企业制造，提供中小企业声明函；</w:t>
      </w:r>
    </w:p>
    <w:p w14:paraId="4989B01C">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货物全部由符合政策要求的小微企业制造，提供中小企业声明函；</w:t>
      </w:r>
    </w:p>
    <w:p w14:paraId="4E17D882">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工程全部由符合政策要求的中小企业承接，提供中小企业声明函；</w:t>
      </w:r>
    </w:p>
    <w:p w14:paraId="0DEF39BA">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工程全部由符合政策要求的小微企业承接，提供中小企业声明函；</w:t>
      </w:r>
    </w:p>
    <w:p w14:paraId="74287862">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服务全部由符合政策要求的中小企业承接，提供中小企业声明函；</w:t>
      </w:r>
    </w:p>
    <w:p w14:paraId="45959E7D">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服务全部由符合政策要求的小微企业承接，提供中小企业声明函；</w:t>
      </w:r>
    </w:p>
    <w:p w14:paraId="51B62192">
      <w:pPr>
        <w:snapToGrid w:val="0"/>
        <w:spacing w:line="480" w:lineRule="exact"/>
        <w:ind w:right="218" w:rightChars="104"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4.本项目接受</w:t>
      </w: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rPr>
        <w:sym w:font="Wingdings" w:char="00FE"/>
      </w:r>
      <w:r>
        <w:rPr>
          <w:rFonts w:hint="eastAsia" w:ascii="宋体" w:hAnsi="宋体" w:eastAsia="宋体" w:cs="宋体"/>
          <w:bCs/>
          <w:color w:val="auto"/>
          <w:sz w:val="21"/>
          <w:szCs w:val="21"/>
          <w:lang w:eastAsia="zh-CN"/>
        </w:rPr>
        <w:t>部分</w:t>
      </w:r>
      <w:r>
        <w:rPr>
          <w:rFonts w:hint="eastAsia" w:ascii="宋体" w:hAnsi="宋体" w:eastAsia="宋体" w:cs="宋体"/>
          <w:bCs/>
          <w:color w:val="auto"/>
          <w:sz w:val="21"/>
          <w:szCs w:val="21"/>
          <w:lang w:val="en-US" w:eastAsia="zh-CN"/>
        </w:rPr>
        <w:t>/</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lang w:val="en-US" w:eastAsia="zh-CN"/>
        </w:rPr>
        <w:t>全部</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联合体投标。</w:t>
      </w:r>
    </w:p>
    <w:p w14:paraId="25C7FBDE">
      <w:pPr>
        <w:spacing w:line="480" w:lineRule="exact"/>
        <w:ind w:firstLine="1050" w:firstLineChars="5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大型企业与大型企业组成联合体</w:t>
      </w:r>
      <w:r>
        <w:rPr>
          <w:rFonts w:hint="eastAsia" w:ascii="宋体" w:hAnsi="宋体" w:eastAsia="宋体" w:cs="宋体"/>
          <w:color w:val="auto"/>
          <w:sz w:val="21"/>
          <w:szCs w:val="21"/>
          <w:lang w:eastAsia="zh-CN"/>
        </w:rPr>
        <w:t>；</w:t>
      </w:r>
    </w:p>
    <w:p w14:paraId="25AE380B">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大型企业与</w:t>
      </w:r>
      <w:r>
        <w:rPr>
          <w:rFonts w:hint="eastAsia" w:ascii="宋体" w:hAnsi="宋体" w:eastAsia="宋体" w:cs="宋体"/>
          <w:bCs/>
          <w:color w:val="auto"/>
          <w:sz w:val="21"/>
          <w:szCs w:val="21"/>
        </w:rPr>
        <w:t>中型</w:t>
      </w:r>
      <w:r>
        <w:rPr>
          <w:rFonts w:hint="eastAsia" w:ascii="宋体" w:hAnsi="宋体" w:eastAsia="宋体" w:cs="宋体"/>
          <w:color w:val="auto"/>
          <w:sz w:val="21"/>
          <w:szCs w:val="21"/>
        </w:rPr>
        <w:t>企业组成联合体；</w:t>
      </w:r>
    </w:p>
    <w:p w14:paraId="5054066F">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rPr>
        <w:t>大型企业与小微企业组成联合体；</w:t>
      </w:r>
    </w:p>
    <w:p w14:paraId="434B0B9E">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中型企业与中型企业组成联合体</w:t>
      </w:r>
      <w:r>
        <w:rPr>
          <w:rFonts w:hint="eastAsia" w:ascii="宋体" w:hAnsi="宋体" w:eastAsia="宋体" w:cs="宋体"/>
          <w:color w:val="auto"/>
          <w:sz w:val="21"/>
          <w:szCs w:val="21"/>
        </w:rPr>
        <w:t>；</w:t>
      </w:r>
    </w:p>
    <w:p w14:paraId="50769F60">
      <w:pPr>
        <w:spacing w:line="48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FE"/>
      </w:r>
      <w:r>
        <w:rPr>
          <w:rFonts w:hint="eastAsia" w:ascii="宋体" w:hAnsi="宋体" w:eastAsia="宋体" w:cs="宋体"/>
          <w:bCs/>
          <w:color w:val="auto"/>
          <w:sz w:val="21"/>
          <w:szCs w:val="21"/>
        </w:rPr>
        <w:t>中型企业与小微企业组成联合体</w:t>
      </w:r>
      <w:r>
        <w:rPr>
          <w:rFonts w:hint="eastAsia" w:ascii="宋体" w:hAnsi="宋体" w:eastAsia="宋体" w:cs="宋体"/>
          <w:color w:val="auto"/>
          <w:sz w:val="21"/>
          <w:szCs w:val="21"/>
        </w:rPr>
        <w:t>；</w:t>
      </w:r>
    </w:p>
    <w:p w14:paraId="05E11319">
      <w:pPr>
        <w:spacing w:line="480" w:lineRule="exact"/>
        <w:ind w:firstLine="1050" w:firstLineChars="500"/>
        <w:rPr>
          <w:rFonts w:hint="eastAsia" w:ascii="宋体" w:hAnsi="宋体" w:eastAsia="宋体" w:cs="宋体"/>
          <w:bCs/>
          <w:color w:val="auto"/>
          <w:sz w:val="21"/>
          <w:szCs w:val="21"/>
        </w:rPr>
      </w:pPr>
      <w:r>
        <w:rPr>
          <w:rFonts w:hint="eastAsia" w:ascii="宋体" w:hAnsi="宋体" w:eastAsia="宋体" w:cs="宋体"/>
          <w:color w:val="auto"/>
          <w:sz w:val="21"/>
          <w:szCs w:val="21"/>
        </w:rPr>
        <w:sym w:font="Wingdings" w:char="00FE"/>
      </w:r>
      <w:r>
        <w:rPr>
          <w:rFonts w:hint="eastAsia" w:ascii="宋体" w:hAnsi="宋体" w:eastAsia="宋体" w:cs="宋体"/>
          <w:bCs/>
          <w:color w:val="auto"/>
          <w:sz w:val="21"/>
          <w:szCs w:val="21"/>
        </w:rPr>
        <w:t>小微企业与小微企业组成联合体</w:t>
      </w:r>
      <w:r>
        <w:rPr>
          <w:rFonts w:hint="eastAsia" w:ascii="宋体" w:hAnsi="宋体" w:eastAsia="宋体" w:cs="宋体"/>
          <w:color w:val="auto"/>
          <w:sz w:val="21"/>
          <w:szCs w:val="21"/>
        </w:rPr>
        <w:t>；</w:t>
      </w:r>
    </w:p>
    <w:p w14:paraId="71710AFE">
      <w:pPr>
        <w:snapToGrid w:val="0"/>
        <w:spacing w:line="480" w:lineRule="exact"/>
        <w:ind w:right="218" w:rightChars="104"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体各方按要求签字、盖章后上传联合体协议书原件。牵头人制作、上传、解密电子投标文件即可。</w:t>
      </w:r>
    </w:p>
    <w:p w14:paraId="1D22DE14">
      <w:pPr>
        <w:snapToGrid w:val="0"/>
        <w:spacing w:line="480" w:lineRule="exact"/>
        <w:ind w:right="218" w:rightChars="104"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向小微企业合理分包的：提供分包意向协议和中小企业声明函</w:t>
      </w:r>
      <w:r>
        <w:rPr>
          <w:rFonts w:hint="eastAsia" w:ascii="宋体" w:hAnsi="宋体" w:eastAsia="宋体" w:cs="宋体"/>
          <w:bCs/>
          <w:color w:val="auto"/>
          <w:sz w:val="21"/>
          <w:szCs w:val="21"/>
        </w:rPr>
        <w:t>（详见附件）</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且</w:t>
      </w:r>
      <w:r>
        <w:rPr>
          <w:rFonts w:hint="eastAsia" w:ascii="宋体" w:hAnsi="宋体" w:eastAsia="宋体" w:cs="宋体"/>
          <w:bCs/>
          <w:color w:val="auto"/>
          <w:sz w:val="21"/>
          <w:szCs w:val="21"/>
          <w:lang w:eastAsia="zh-CN"/>
        </w:rPr>
        <w:t>分包</w:t>
      </w:r>
      <w:r>
        <w:rPr>
          <w:rFonts w:hint="eastAsia" w:ascii="宋体" w:hAnsi="宋体" w:eastAsia="宋体" w:cs="宋体"/>
          <w:bCs/>
          <w:color w:val="auto"/>
          <w:sz w:val="21"/>
          <w:szCs w:val="21"/>
        </w:rPr>
        <w:t>协议小微企业合同份额应当达到</w:t>
      </w:r>
      <w:r>
        <w:rPr>
          <w:rFonts w:hint="eastAsia" w:ascii="宋体" w:hAnsi="宋体" w:eastAsia="宋体" w:cs="宋体"/>
          <w:bCs/>
          <w:color w:val="auto"/>
          <w:sz w:val="21"/>
          <w:szCs w:val="21"/>
          <w:lang w:eastAsia="zh-CN"/>
        </w:rPr>
        <w:t>本项目规定的比例，如无特别规定的，小微企业合同份额应占</w:t>
      </w:r>
      <w:r>
        <w:rPr>
          <w:rFonts w:hint="eastAsia" w:ascii="宋体" w:hAnsi="宋体" w:eastAsia="宋体" w:cs="宋体"/>
          <w:bCs/>
          <w:color w:val="auto"/>
          <w:sz w:val="21"/>
          <w:szCs w:val="21"/>
        </w:rPr>
        <w:t>合同总金额的30%</w:t>
      </w:r>
      <w:r>
        <w:rPr>
          <w:rFonts w:hint="eastAsia" w:ascii="宋体" w:hAnsi="宋体" w:eastAsia="宋体" w:cs="宋体"/>
          <w:bCs/>
          <w:color w:val="auto"/>
          <w:sz w:val="21"/>
          <w:szCs w:val="21"/>
          <w:lang w:eastAsia="zh-CN"/>
        </w:rPr>
        <w:t>及以上</w:t>
      </w:r>
      <w:r>
        <w:rPr>
          <w:rFonts w:hint="eastAsia" w:ascii="宋体" w:hAnsi="宋体" w:eastAsia="宋体" w:cs="宋体"/>
          <w:bCs/>
          <w:color w:val="auto"/>
          <w:sz w:val="21"/>
          <w:szCs w:val="21"/>
        </w:rPr>
        <w:t>。</w:t>
      </w:r>
    </w:p>
    <w:p w14:paraId="2EABEF42">
      <w:pPr>
        <w:snapToGrid w:val="0"/>
        <w:spacing w:line="480" w:lineRule="exact"/>
        <w:ind w:right="218" w:rightChars="104" w:firstLine="420" w:firstLineChars="200"/>
        <w:rPr>
          <w:rFonts w:hint="eastAsia" w:ascii="宋体" w:hAnsi="宋体" w:eastAsia="宋体" w:cs="宋体"/>
          <w:color w:val="auto"/>
          <w:kern w:val="2"/>
          <w:sz w:val="21"/>
          <w:szCs w:val="21"/>
        </w:rPr>
      </w:pPr>
      <w:r>
        <w:rPr>
          <w:rFonts w:hint="eastAsia" w:ascii="宋体" w:hAnsi="宋体" w:eastAsia="宋体" w:cs="宋体"/>
          <w:bCs/>
          <w:color w:val="auto"/>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26BDCE">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三、招标文件的获取</w:t>
      </w:r>
      <w:bookmarkEnd w:id="7"/>
      <w:bookmarkEnd w:id="8"/>
      <w:bookmarkEnd w:id="9"/>
      <w:bookmarkEnd w:id="10"/>
      <w:bookmarkEnd w:id="11"/>
      <w:bookmarkEnd w:id="12"/>
      <w:bookmarkEnd w:id="13"/>
    </w:p>
    <w:p w14:paraId="63E77E3F">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1.招标文件获取期限：投标截止时间前</w:t>
      </w:r>
    </w:p>
    <w:p w14:paraId="0761D948">
      <w:pPr>
        <w:snapToGrid w:val="0"/>
        <w:spacing w:line="480" w:lineRule="exact"/>
        <w:ind w:right="218" w:rightChars="104" w:firstLine="420" w:firstLineChars="200"/>
        <w:rPr>
          <w:rFonts w:ascii="宋体" w:hAnsi="宋体" w:eastAsia="宋体" w:cs="宋体"/>
          <w:color w:val="auto"/>
          <w:sz w:val="21"/>
          <w:szCs w:val="21"/>
        </w:rPr>
      </w:pPr>
      <w:r>
        <w:rPr>
          <w:rFonts w:hint="eastAsia" w:ascii="宋体" w:hAnsi="宋体" w:eastAsia="宋体" w:cs="宋体"/>
          <w:bCs/>
          <w:color w:val="auto"/>
          <w:sz w:val="21"/>
          <w:szCs w:val="21"/>
        </w:rPr>
        <w:t>2.招标文件获取方式：政府采购云平台（www.zcygov.cn）</w:t>
      </w:r>
    </w:p>
    <w:p w14:paraId="2A18980B">
      <w:pPr>
        <w:snapToGrid w:val="0"/>
        <w:spacing w:line="480" w:lineRule="exact"/>
        <w:ind w:right="218" w:rightChars="104"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 xml:space="preserve">（1）供应商登录政采云平台在线申请获取采购文件（进入“项目采购”应用，在获取采购文件菜单中选择项目，申请获取采购文件）。 </w:t>
      </w:r>
    </w:p>
    <w:p w14:paraId="1F959293">
      <w:pPr>
        <w:snapToGrid w:val="0"/>
        <w:spacing w:line="480" w:lineRule="exact"/>
        <w:ind w:right="218" w:rightChars="104" w:firstLine="422" w:firstLineChars="200"/>
        <w:rPr>
          <w:rFonts w:ascii="宋体" w:hAnsi="宋体" w:eastAsia="宋体" w:cs="宋体"/>
          <w:b/>
          <w:bCs/>
          <w:color w:val="auto"/>
          <w:sz w:val="21"/>
          <w:szCs w:val="21"/>
        </w:rPr>
      </w:pPr>
      <w:r>
        <w:rPr>
          <w:rFonts w:hint="eastAsia" w:ascii="宋体" w:hAnsi="宋体" w:eastAsia="宋体" w:cs="宋体"/>
          <w:b/>
          <w:color w:val="auto"/>
          <w:sz w:val="21"/>
          <w:szCs w:val="21"/>
        </w:rPr>
        <w:t>（2）在浙江政府采购网采购公告附件中以“游客”身份获取的招标文件仅供阅览；潜在供应商未按上述第（1）条方式获取招标文件的不得对招标文件提起质疑投诉。</w:t>
      </w:r>
      <w:bookmarkStart w:id="14" w:name="_Toc24345"/>
      <w:bookmarkStart w:id="15" w:name="_Toc15817"/>
      <w:bookmarkStart w:id="16" w:name="_Toc24992"/>
      <w:bookmarkStart w:id="17" w:name="_Toc6715"/>
      <w:bookmarkStart w:id="18" w:name="_Toc19407"/>
      <w:bookmarkStart w:id="19" w:name="_Toc31426"/>
      <w:bookmarkStart w:id="20" w:name="_Toc18791"/>
    </w:p>
    <w:p w14:paraId="48740E5C">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四、提交投标文件截止时间</w:t>
      </w:r>
      <w:bookmarkEnd w:id="14"/>
      <w:bookmarkEnd w:id="15"/>
      <w:bookmarkEnd w:id="16"/>
      <w:bookmarkEnd w:id="17"/>
      <w:bookmarkEnd w:id="18"/>
      <w:bookmarkEnd w:id="19"/>
      <w:bookmarkEnd w:id="20"/>
    </w:p>
    <w:p w14:paraId="3DAF188E">
      <w:pPr>
        <w:snapToGrid w:val="0"/>
        <w:spacing w:line="480" w:lineRule="exact"/>
        <w:ind w:right="218" w:rightChars="104" w:firstLine="420" w:firstLineChars="200"/>
        <w:rPr>
          <w:rFonts w:ascii="宋体" w:hAnsi="宋体" w:eastAsia="宋体" w:cs="宋体"/>
          <w:color w:val="auto"/>
          <w:sz w:val="21"/>
          <w:szCs w:val="21"/>
        </w:rPr>
      </w:pPr>
      <w:r>
        <w:rPr>
          <w:rFonts w:hint="eastAsia" w:ascii="宋体" w:hAnsi="宋体" w:eastAsia="宋体" w:cs="宋体"/>
          <w:bCs/>
          <w:color w:val="auto"/>
          <w:sz w:val="21"/>
          <w:szCs w:val="21"/>
        </w:rPr>
        <w:t>1.提交投标文件截止时间：</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2 </w:t>
      </w:r>
      <w:r>
        <w:rPr>
          <w:rFonts w:hint="eastAsia" w:ascii="宋体" w:hAnsi="宋体" w:eastAsia="宋体" w:cs="宋体"/>
          <w:color w:val="auto"/>
          <w:sz w:val="21"/>
          <w:szCs w:val="21"/>
        </w:rPr>
        <w:t>日</w:t>
      </w:r>
      <w:r>
        <w:rPr>
          <w:rFonts w:hint="eastAsia" w:ascii="宋体" w:hAnsi="宋体" w:eastAsia="宋体" w:cs="宋体"/>
          <w:b/>
          <w:bCs/>
          <w:color w:val="auto"/>
          <w:sz w:val="21"/>
          <w:szCs w:val="21"/>
          <w:u w:val="single"/>
          <w:lang w:val="en-US" w:eastAsia="zh-CN"/>
        </w:rPr>
        <w:t>14</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val="en-US" w:eastAsia="zh-CN"/>
        </w:rPr>
        <w:t>0</w:t>
      </w:r>
      <w:r>
        <w:rPr>
          <w:rFonts w:hint="eastAsia" w:ascii="宋体" w:hAnsi="宋体" w:eastAsia="宋体" w:cs="宋体"/>
          <w:b/>
          <w:bCs/>
          <w:color w:val="auto"/>
          <w:sz w:val="21"/>
          <w:szCs w:val="21"/>
          <w:u w:val="single"/>
        </w:rPr>
        <w:t>0</w:t>
      </w:r>
      <w:r>
        <w:rPr>
          <w:rFonts w:hint="eastAsia" w:ascii="宋体" w:hAnsi="宋体" w:eastAsia="宋体" w:cs="宋体"/>
          <w:color w:val="auto"/>
          <w:sz w:val="21"/>
          <w:szCs w:val="21"/>
        </w:rPr>
        <w:t>（北京时间）前将电子加密投标文件上传到政府采购云平台，未上传电子投标文件的，视为供应商放弃投标。</w:t>
      </w:r>
    </w:p>
    <w:p w14:paraId="6274C98E">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2.供应商如提供备份投标文件的，应于</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2 </w:t>
      </w:r>
      <w:r>
        <w:rPr>
          <w:rFonts w:hint="eastAsia" w:ascii="宋体" w:hAnsi="宋体" w:eastAsia="宋体" w:cs="宋体"/>
          <w:color w:val="auto"/>
          <w:sz w:val="21"/>
          <w:szCs w:val="21"/>
        </w:rPr>
        <w:t>日</w:t>
      </w:r>
      <w:r>
        <w:rPr>
          <w:rFonts w:hint="eastAsia" w:ascii="宋体" w:hAnsi="宋体" w:eastAsia="宋体" w:cs="宋体"/>
          <w:b/>
          <w:bCs/>
          <w:color w:val="auto"/>
          <w:sz w:val="21"/>
          <w:szCs w:val="21"/>
          <w:u w:val="single"/>
          <w:lang w:val="en-US" w:eastAsia="zh-CN"/>
        </w:rPr>
        <w:t>14</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val="en-US" w:eastAsia="zh-CN"/>
        </w:rPr>
        <w:t>0</w:t>
      </w:r>
      <w:r>
        <w:rPr>
          <w:rFonts w:hint="eastAsia" w:ascii="宋体" w:hAnsi="宋体" w:eastAsia="宋体" w:cs="宋体"/>
          <w:b/>
          <w:bCs/>
          <w:color w:val="auto"/>
          <w:sz w:val="21"/>
          <w:szCs w:val="21"/>
          <w:u w:val="single"/>
        </w:rPr>
        <w:t>0</w:t>
      </w:r>
      <w:r>
        <w:rPr>
          <w:rFonts w:hint="eastAsia" w:ascii="宋体" w:hAnsi="宋体" w:eastAsia="宋体" w:cs="宋体"/>
          <w:bCs/>
          <w:color w:val="auto"/>
          <w:sz w:val="21"/>
          <w:szCs w:val="21"/>
        </w:rPr>
        <w:t>（北京时间）前，将电子备份投标文件和纸质备份投标文件分别密封，</w:t>
      </w:r>
      <w:r>
        <w:rPr>
          <w:rFonts w:hint="eastAsia" w:ascii="宋体" w:hAnsi="宋体" w:eastAsia="宋体" w:cs="宋体"/>
          <w:b/>
          <w:bCs/>
          <w:color w:val="auto"/>
          <w:sz w:val="21"/>
          <w:szCs w:val="21"/>
        </w:rPr>
        <w:t>递交至</w:t>
      </w:r>
      <w:r>
        <w:rPr>
          <w:rFonts w:hint="eastAsia" w:ascii="宋体" w:hAnsi="宋体" w:eastAsia="宋体" w:cs="宋体"/>
          <w:b/>
          <w:bCs/>
          <w:color w:val="auto"/>
          <w:sz w:val="21"/>
          <w:szCs w:val="21"/>
          <w:lang w:eastAsia="zh-CN"/>
        </w:rPr>
        <w:t>浙江科佳工程咨询有限公司</w:t>
      </w:r>
      <w:r>
        <w:rPr>
          <w:rFonts w:hint="eastAsia" w:ascii="宋体" w:hAnsi="宋体" w:eastAsia="宋体" w:cs="宋体"/>
          <w:b/>
          <w:bCs/>
          <w:color w:val="auto"/>
          <w:sz w:val="21"/>
          <w:szCs w:val="21"/>
        </w:rPr>
        <w:t>（磐安县安文街道花月路211号建设大厦6楼），联系人傅英丹，联系电话：13758941215(681215)</w:t>
      </w:r>
      <w:r>
        <w:rPr>
          <w:rFonts w:hint="eastAsia" w:ascii="宋体" w:hAnsi="宋体" w:eastAsia="宋体" w:cs="宋体"/>
          <w:bCs/>
          <w:color w:val="auto"/>
          <w:sz w:val="21"/>
          <w:szCs w:val="21"/>
        </w:rPr>
        <w:t>逾期送达或未密封将予以拒收。供应商仅提供备份投标文件（包括以电子备份投标文件或纸质备份投标文件）投标的，投标无效。</w:t>
      </w:r>
    </w:p>
    <w:p w14:paraId="5CEF6FF1">
      <w:pPr>
        <w:snapToGrid w:val="0"/>
        <w:spacing w:line="480" w:lineRule="exact"/>
        <w:ind w:right="218" w:rightChars="104" w:firstLine="420" w:firstLineChars="200"/>
        <w:rPr>
          <w:rFonts w:ascii="宋体" w:hAnsi="宋体" w:eastAsia="宋体" w:cs="宋体"/>
          <w:b/>
          <w:bCs/>
          <w:color w:val="auto"/>
          <w:sz w:val="21"/>
          <w:szCs w:val="21"/>
        </w:rPr>
      </w:pPr>
      <w:r>
        <w:rPr>
          <w:rFonts w:hint="eastAsia" w:ascii="宋体" w:hAnsi="宋体" w:eastAsia="宋体" w:cs="宋体"/>
          <w:bCs/>
          <w:color w:val="auto"/>
          <w:sz w:val="21"/>
          <w:szCs w:val="21"/>
        </w:rPr>
        <w:t>3.如因系统或部分电子投标文件无法解密，而采用纸质备份投标文件线下评审程序时，供应商在投标截止时间前未提交纸质备份投标文件的，视为供应商放弃投标。</w:t>
      </w:r>
      <w:bookmarkStart w:id="21" w:name="_Toc22135"/>
      <w:bookmarkStart w:id="22" w:name="_Toc20159"/>
      <w:bookmarkStart w:id="23" w:name="_Toc14408"/>
      <w:bookmarkStart w:id="24" w:name="_Toc17679"/>
      <w:bookmarkStart w:id="25" w:name="_Toc8418"/>
      <w:bookmarkStart w:id="26" w:name="_Toc15"/>
      <w:bookmarkStart w:id="27" w:name="_Toc7601"/>
    </w:p>
    <w:p w14:paraId="092D5B46">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五、开标时间和地点</w:t>
      </w:r>
      <w:bookmarkEnd w:id="21"/>
      <w:bookmarkEnd w:id="22"/>
      <w:bookmarkEnd w:id="23"/>
      <w:bookmarkEnd w:id="24"/>
      <w:bookmarkEnd w:id="25"/>
      <w:bookmarkEnd w:id="26"/>
      <w:bookmarkEnd w:id="27"/>
    </w:p>
    <w:p w14:paraId="07C003A0">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1.开标时间：</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2 </w:t>
      </w:r>
      <w:r>
        <w:rPr>
          <w:rFonts w:hint="eastAsia" w:ascii="宋体" w:hAnsi="宋体" w:eastAsia="宋体" w:cs="宋体"/>
          <w:color w:val="auto"/>
          <w:sz w:val="21"/>
          <w:szCs w:val="21"/>
        </w:rPr>
        <w:t>日</w:t>
      </w:r>
      <w:r>
        <w:rPr>
          <w:rFonts w:hint="eastAsia" w:ascii="宋体" w:hAnsi="宋体" w:eastAsia="宋体" w:cs="宋体"/>
          <w:b/>
          <w:bCs/>
          <w:color w:val="auto"/>
          <w:sz w:val="21"/>
          <w:szCs w:val="21"/>
          <w:u w:val="single"/>
          <w:lang w:val="en-US" w:eastAsia="zh-CN"/>
        </w:rPr>
        <w:t>14</w:t>
      </w:r>
      <w:r>
        <w:rPr>
          <w:rFonts w:hint="eastAsia" w:ascii="宋体" w:hAnsi="宋体" w:eastAsia="宋体" w:cs="宋体"/>
          <w:b/>
          <w:bCs/>
          <w:color w:val="auto"/>
          <w:sz w:val="21"/>
          <w:szCs w:val="21"/>
          <w:u w:val="single"/>
        </w:rPr>
        <w:t>:</w:t>
      </w:r>
      <w:r>
        <w:rPr>
          <w:rFonts w:hint="eastAsia" w:ascii="宋体" w:hAnsi="宋体" w:eastAsia="宋体" w:cs="宋体"/>
          <w:b/>
          <w:bCs/>
          <w:color w:val="auto"/>
          <w:sz w:val="21"/>
          <w:szCs w:val="21"/>
          <w:u w:val="single"/>
          <w:lang w:val="en-US" w:eastAsia="zh-CN"/>
        </w:rPr>
        <w:t>0</w:t>
      </w:r>
      <w:r>
        <w:rPr>
          <w:rFonts w:hint="eastAsia" w:ascii="宋体" w:hAnsi="宋体" w:eastAsia="宋体" w:cs="宋体"/>
          <w:b/>
          <w:bCs/>
          <w:color w:val="auto"/>
          <w:sz w:val="21"/>
          <w:szCs w:val="21"/>
          <w:u w:val="single"/>
        </w:rPr>
        <w:t>0</w:t>
      </w:r>
      <w:r>
        <w:rPr>
          <w:rFonts w:hint="eastAsia" w:ascii="宋体" w:hAnsi="宋体" w:eastAsia="宋体" w:cs="宋体"/>
          <w:bCs/>
          <w:color w:val="auto"/>
          <w:sz w:val="21"/>
          <w:szCs w:val="21"/>
        </w:rPr>
        <w:t>（（北京时间）</w:t>
      </w:r>
    </w:p>
    <w:p w14:paraId="68B66374">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2.开标地点（网址）：政采云平台（https://www.zcygov.cn/）</w:t>
      </w:r>
    </w:p>
    <w:p w14:paraId="3341F54A">
      <w:pPr>
        <w:snapToGrid w:val="0"/>
        <w:spacing w:line="480" w:lineRule="exact"/>
        <w:ind w:right="218" w:rightChars="104" w:firstLine="420" w:firstLineChars="200"/>
        <w:rPr>
          <w:rFonts w:ascii="宋体" w:hAnsi="宋体" w:eastAsia="宋体" w:cs="宋体"/>
          <w:b/>
          <w:bCs/>
          <w:color w:val="auto"/>
          <w:sz w:val="21"/>
          <w:szCs w:val="21"/>
        </w:rPr>
      </w:pPr>
      <w:r>
        <w:rPr>
          <w:rFonts w:hint="eastAsia" w:ascii="宋体" w:hAnsi="宋体" w:eastAsia="宋体" w:cs="宋体"/>
          <w:bCs/>
          <w:color w:val="auto"/>
          <w:sz w:val="21"/>
          <w:szCs w:val="21"/>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28" w:name="_Toc16756"/>
      <w:bookmarkStart w:id="29" w:name="_Toc19936"/>
      <w:bookmarkStart w:id="30" w:name="_Toc31439"/>
      <w:bookmarkStart w:id="31" w:name="_Toc1294"/>
      <w:bookmarkStart w:id="32" w:name="_Toc18619"/>
      <w:bookmarkStart w:id="33" w:name="_Toc28674"/>
      <w:bookmarkStart w:id="34" w:name="_Toc18909"/>
      <w:bookmarkStart w:id="35" w:name="_Toc15544"/>
      <w:bookmarkStart w:id="36" w:name="_Toc27683"/>
      <w:bookmarkStart w:id="37" w:name="_Toc29617"/>
    </w:p>
    <w:p w14:paraId="30C4DEB7">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六、公告期限</w:t>
      </w:r>
      <w:bookmarkEnd w:id="28"/>
      <w:bookmarkEnd w:id="29"/>
      <w:bookmarkEnd w:id="30"/>
      <w:bookmarkEnd w:id="31"/>
      <w:bookmarkEnd w:id="32"/>
      <w:bookmarkEnd w:id="33"/>
      <w:bookmarkEnd w:id="34"/>
      <w:bookmarkEnd w:id="35"/>
      <w:bookmarkEnd w:id="36"/>
      <w:bookmarkEnd w:id="37"/>
    </w:p>
    <w:p w14:paraId="4CD3AA91">
      <w:pPr>
        <w:snapToGrid w:val="0"/>
        <w:spacing w:line="480" w:lineRule="exact"/>
        <w:ind w:right="218" w:rightChars="104" w:firstLine="420" w:firstLineChars="200"/>
        <w:rPr>
          <w:rFonts w:ascii="宋体" w:hAnsi="宋体" w:eastAsia="宋体" w:cs="宋体"/>
          <w:b/>
          <w:bCs/>
          <w:color w:val="auto"/>
          <w:sz w:val="21"/>
          <w:szCs w:val="21"/>
        </w:rPr>
      </w:pPr>
      <w:r>
        <w:rPr>
          <w:rFonts w:hint="eastAsia" w:ascii="宋体" w:hAnsi="宋体" w:eastAsia="宋体" w:cs="宋体"/>
          <w:bCs/>
          <w:color w:val="auto"/>
          <w:sz w:val="21"/>
          <w:szCs w:val="21"/>
        </w:rPr>
        <w:t>自本公告发布之日起5个工作日</w:t>
      </w:r>
      <w:r>
        <w:rPr>
          <w:rFonts w:hint="eastAsia" w:ascii="宋体" w:hAnsi="宋体" w:eastAsia="宋体" w:cs="宋体"/>
          <w:b/>
          <w:bCs/>
          <w:color w:val="auto"/>
          <w:sz w:val="21"/>
          <w:szCs w:val="21"/>
        </w:rPr>
        <w:t>（以公告发布次日开始计算）</w:t>
      </w:r>
      <w:r>
        <w:rPr>
          <w:rFonts w:hint="eastAsia" w:ascii="宋体" w:hAnsi="宋体" w:eastAsia="宋体" w:cs="宋体"/>
          <w:bCs/>
          <w:color w:val="auto"/>
          <w:sz w:val="21"/>
          <w:szCs w:val="21"/>
        </w:rPr>
        <w:t>。</w:t>
      </w:r>
      <w:bookmarkStart w:id="38" w:name="_Toc15696"/>
      <w:bookmarkStart w:id="39" w:name="_Toc29944"/>
      <w:bookmarkStart w:id="40" w:name="_Toc22007"/>
      <w:bookmarkStart w:id="41" w:name="_Toc28590"/>
      <w:bookmarkStart w:id="42" w:name="_Toc8029"/>
      <w:bookmarkStart w:id="43" w:name="_Toc32256"/>
      <w:bookmarkStart w:id="44" w:name="_Toc7563"/>
    </w:p>
    <w:p w14:paraId="6BE1EACC">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七、其他补充事宜</w:t>
      </w:r>
      <w:bookmarkEnd w:id="38"/>
      <w:bookmarkEnd w:id="39"/>
      <w:bookmarkEnd w:id="40"/>
      <w:bookmarkEnd w:id="41"/>
      <w:bookmarkEnd w:id="42"/>
      <w:bookmarkEnd w:id="43"/>
      <w:bookmarkEnd w:id="44"/>
    </w:p>
    <w:p w14:paraId="600947F2">
      <w:pPr>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719D482E">
      <w:pPr>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CF18CA">
      <w:pPr>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96C651">
      <w:pPr>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供应商可以通过浙江政府采购网(https://zfcg.czt.zj. gov.cn/)首页的“浙江政采贷”模块进入申请，还可以通过政府采购云平台(https://www.zcygov.cn/)首页的“金融服务”模块进入申请。</w:t>
      </w:r>
    </w:p>
    <w:p w14:paraId="07E8310B">
      <w:pPr>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 5.根据《浙江省财政厅关于进一步加大政府采购支持中小企业力度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154F310D">
      <w:pPr>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6.落实政策：</w:t>
      </w:r>
    </w:p>
    <w:p w14:paraId="40CE5901">
      <w:pPr>
        <w:spacing w:line="480" w:lineRule="exact"/>
        <w:ind w:firstLine="420" w:firstLineChars="200"/>
        <w:rPr>
          <w:rFonts w:ascii="宋体" w:hAnsi="宋体" w:eastAsia="宋体" w:cs="宋体"/>
          <w:b/>
          <w:bCs/>
          <w:color w:val="auto"/>
          <w:sz w:val="21"/>
          <w:szCs w:val="21"/>
        </w:rPr>
      </w:pPr>
      <w:r>
        <w:rPr>
          <w:rFonts w:hint="eastAsia" w:ascii="宋体" w:hAnsi="宋体" w:eastAsia="宋体" w:cs="宋体"/>
          <w:color w:val="auto"/>
          <w:sz w:val="21"/>
          <w:szCs w:val="21"/>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r>
        <w:rPr>
          <w:rFonts w:hint="eastAsia" w:ascii="宋体" w:hAnsi="宋体" w:eastAsia="宋体" w:cs="宋体"/>
          <w:bCs/>
          <w:color w:val="auto"/>
          <w:sz w:val="21"/>
          <w:szCs w:val="21"/>
        </w:rPr>
        <w:t xml:space="preserve">   </w:t>
      </w:r>
      <w:bookmarkStart w:id="45" w:name="_Toc23494"/>
      <w:bookmarkStart w:id="46" w:name="_Toc14402"/>
      <w:bookmarkStart w:id="47" w:name="_Toc13168"/>
      <w:bookmarkStart w:id="48" w:name="_Toc13994"/>
    </w:p>
    <w:p w14:paraId="4A0F399A">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八、政采贷</w:t>
      </w:r>
    </w:p>
    <w:p w14:paraId="0AA6926F">
      <w:pPr>
        <w:spacing w:before="140" w:after="240" w:line="360" w:lineRule="auto"/>
        <w:ind w:firstLine="420" w:firstLineChars="200"/>
        <w:rPr>
          <w:rFonts w:ascii="宋体" w:hAnsi="宋体" w:eastAsia="宋体" w:cs="宋体"/>
          <w:color w:val="auto"/>
          <w:sz w:val="21"/>
          <w:szCs w:val="21"/>
        </w:rPr>
      </w:pPr>
      <w:r>
        <w:rPr>
          <w:rFonts w:hint="eastAsia" w:ascii="宋体" w:hAnsi="宋体" w:eastAsia="宋体" w:cs="宋体"/>
          <w:bCs/>
          <w:color w:val="auto"/>
          <w:sz w:val="21"/>
          <w:szCs w:val="21"/>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71205F2F">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风险提示：</w:t>
      </w:r>
    </w:p>
    <w:p w14:paraId="0961893A">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（1）本内容仅为提供给各中标供应商对办理政府采购金融服务的宣传和了解之方便，对金融服务的具体内容和操作流程均以各金融机构的要求为准，也不作强制要求。</w:t>
      </w:r>
    </w:p>
    <w:p w14:paraId="41BB781C">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（2）政府采购金融服务有风险，请详细了解并综合评估后再决定。</w:t>
      </w:r>
    </w:p>
    <w:p w14:paraId="4246A6F3">
      <w:pPr>
        <w:snapToGrid w:val="0"/>
        <w:spacing w:line="480" w:lineRule="exact"/>
        <w:ind w:right="218" w:rightChars="104" w:firstLine="420" w:firstLineChars="200"/>
        <w:rPr>
          <w:rFonts w:ascii="宋体" w:hAnsi="宋体" w:eastAsia="宋体" w:cs="宋体"/>
          <w:b/>
          <w:bCs/>
          <w:color w:val="auto"/>
          <w:sz w:val="21"/>
          <w:szCs w:val="21"/>
        </w:rPr>
      </w:pPr>
      <w:r>
        <w:rPr>
          <w:rFonts w:hint="eastAsia" w:ascii="宋体" w:hAnsi="宋体" w:eastAsia="宋体" w:cs="宋体"/>
          <w:bCs/>
          <w:color w:val="auto"/>
          <w:sz w:val="21"/>
          <w:szCs w:val="21"/>
        </w:rPr>
        <w:t>（3）政府采购金融服务遵循平等自愿、风险自担的原则。采购人、代理机构、财政部门不为任何政府采购金融服务项目承担任何形式的担保、解释或其他连带责任。</w:t>
      </w:r>
    </w:p>
    <w:p w14:paraId="70D18E05">
      <w:pPr>
        <w:spacing w:before="20" w:after="24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九、</w:t>
      </w:r>
      <w:bookmarkEnd w:id="45"/>
      <w:bookmarkEnd w:id="46"/>
      <w:bookmarkEnd w:id="47"/>
      <w:bookmarkEnd w:id="48"/>
      <w:r>
        <w:rPr>
          <w:rFonts w:hint="eastAsia" w:ascii="宋体" w:hAnsi="宋体" w:eastAsia="宋体" w:cs="宋体"/>
          <w:color w:val="auto"/>
          <w:sz w:val="21"/>
          <w:szCs w:val="21"/>
        </w:rPr>
        <w:t>业务咨询（招标需求的疑问请向采购人询问或反映）</w:t>
      </w:r>
    </w:p>
    <w:p w14:paraId="6048C789">
      <w:pPr>
        <w:spacing w:line="480" w:lineRule="exact"/>
        <w:ind w:right="60" w:firstLine="420" w:firstLineChars="200"/>
        <w:rPr>
          <w:rFonts w:hint="eastAsia" w:ascii="宋体" w:hAnsi="宋体" w:eastAsia="宋体" w:cs="宋体"/>
          <w:b/>
          <w:color w:val="auto"/>
          <w:sz w:val="21"/>
          <w:szCs w:val="21"/>
          <w:lang w:eastAsia="zh-CN"/>
        </w:rPr>
      </w:pPr>
      <w:r>
        <w:rPr>
          <w:rFonts w:hint="eastAsia" w:ascii="宋体" w:hAnsi="宋体" w:eastAsia="宋体" w:cs="宋体"/>
          <w:bCs/>
          <w:color w:val="auto"/>
          <w:sz w:val="21"/>
          <w:szCs w:val="21"/>
        </w:rPr>
        <w:t>1．采购单位：</w:t>
      </w:r>
      <w:r>
        <w:rPr>
          <w:rFonts w:hint="eastAsia" w:ascii="宋体" w:hAnsi="宋体" w:eastAsia="宋体" w:cs="宋体"/>
          <w:bCs/>
          <w:color w:val="auto"/>
          <w:sz w:val="21"/>
          <w:szCs w:val="21"/>
          <w:lang w:eastAsia="zh-CN"/>
        </w:rPr>
        <w:t>磐安县冷水镇人民政府</w:t>
      </w:r>
      <w:r>
        <w:rPr>
          <w:rFonts w:hint="eastAsia" w:ascii="宋体" w:hAnsi="宋体" w:eastAsia="宋体" w:cs="宋体"/>
          <w:bCs/>
          <w:color w:val="auto"/>
          <w:sz w:val="21"/>
          <w:szCs w:val="21"/>
          <w:lang w:val="en-US" w:eastAsia="zh-CN"/>
        </w:rPr>
        <w:t xml:space="preserve"> </w:t>
      </w:r>
    </w:p>
    <w:p w14:paraId="515247E8">
      <w:pPr>
        <w:spacing w:line="480" w:lineRule="exact"/>
        <w:ind w:right="6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项目联系人</w:t>
      </w:r>
      <w:r>
        <w:rPr>
          <w:rFonts w:hint="eastAsia" w:ascii="宋体" w:hAnsi="宋体" w:eastAsia="宋体" w:cs="宋体"/>
          <w:bCs/>
          <w:color w:val="auto"/>
          <w:sz w:val="21"/>
          <w:szCs w:val="21"/>
          <w:lang w:eastAsia="zh-CN"/>
        </w:rPr>
        <w:t>：羊荣方</w:t>
      </w:r>
      <w:r>
        <w:rPr>
          <w:rFonts w:hint="eastAsia" w:ascii="宋体" w:hAnsi="宋体" w:eastAsia="宋体" w:cs="宋体"/>
          <w:bCs/>
          <w:color w:val="auto"/>
          <w:sz w:val="21"/>
          <w:szCs w:val="21"/>
        </w:rPr>
        <w:t xml:space="preserve">         联系电话：0579-84736301</w:t>
      </w:r>
      <w:r>
        <w:rPr>
          <w:rFonts w:hint="eastAsia" w:ascii="宋体" w:hAnsi="宋体" w:eastAsia="宋体" w:cs="宋体"/>
          <w:bCs/>
          <w:color w:val="auto"/>
          <w:sz w:val="21"/>
          <w:szCs w:val="21"/>
          <w:lang w:val="en-US" w:eastAsia="zh-CN"/>
        </w:rPr>
        <w:t xml:space="preserve"> </w:t>
      </w:r>
    </w:p>
    <w:p w14:paraId="4E47526E">
      <w:pPr>
        <w:spacing w:line="480" w:lineRule="exact"/>
        <w:ind w:right="60" w:firstLine="420" w:firstLineChars="200"/>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质疑联系人：</w:t>
      </w:r>
      <w:r>
        <w:rPr>
          <w:rFonts w:hint="eastAsia" w:ascii="宋体" w:hAnsi="宋体" w:eastAsia="宋体" w:cs="宋体"/>
          <w:bCs/>
          <w:color w:val="auto"/>
          <w:sz w:val="21"/>
          <w:szCs w:val="21"/>
          <w:u w:val="none"/>
          <w:lang w:eastAsia="zh-CN"/>
        </w:rPr>
        <w:t>羊佛土</w:t>
      </w:r>
      <w:r>
        <w:rPr>
          <w:rFonts w:hint="eastAsia" w:ascii="宋体" w:hAnsi="宋体" w:eastAsia="宋体" w:cs="宋体"/>
          <w:bCs/>
          <w:color w:val="auto"/>
          <w:sz w:val="21"/>
          <w:szCs w:val="21"/>
          <w:u w:val="none"/>
          <w:lang w:val="en-US" w:eastAsia="zh-CN"/>
        </w:rPr>
        <w:t xml:space="preserve">         </w:t>
      </w:r>
      <w:r>
        <w:rPr>
          <w:rFonts w:hint="eastAsia" w:ascii="宋体" w:hAnsi="宋体" w:eastAsia="宋体" w:cs="宋体"/>
          <w:bCs/>
          <w:color w:val="auto"/>
          <w:sz w:val="21"/>
          <w:szCs w:val="21"/>
          <w:u w:val="none"/>
        </w:rPr>
        <w:t>联系电话：0579-84736301</w:t>
      </w:r>
    </w:p>
    <w:p w14:paraId="71516130">
      <w:pPr>
        <w:spacing w:line="480" w:lineRule="exact"/>
        <w:ind w:right="60"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lang w:eastAsia="zh-CN"/>
        </w:rPr>
        <w:t>磐安县冷水镇菇城路</w:t>
      </w:r>
      <w:r>
        <w:rPr>
          <w:rFonts w:hint="eastAsia" w:ascii="宋体" w:hAnsi="宋体" w:eastAsia="宋体" w:cs="宋体"/>
          <w:bCs/>
          <w:color w:val="auto"/>
          <w:sz w:val="21"/>
          <w:szCs w:val="21"/>
          <w:lang w:val="en-US" w:eastAsia="zh-CN"/>
        </w:rPr>
        <w:t xml:space="preserve">1号。 </w:t>
      </w:r>
    </w:p>
    <w:p w14:paraId="2148BC91">
      <w:pPr>
        <w:snapToGrid w:val="0"/>
        <w:spacing w:line="480" w:lineRule="exact"/>
        <w:ind w:right="218" w:rightChars="104"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2．招标采购机构名称：</w:t>
      </w:r>
      <w:r>
        <w:rPr>
          <w:rFonts w:hint="eastAsia" w:ascii="宋体" w:hAnsi="宋体" w:eastAsia="宋体" w:cs="宋体"/>
          <w:bCs/>
          <w:color w:val="auto"/>
          <w:sz w:val="21"/>
          <w:szCs w:val="21"/>
          <w:lang w:eastAsia="zh-CN"/>
        </w:rPr>
        <w:t>浙江科佳工程咨询有限公司</w:t>
      </w:r>
    </w:p>
    <w:p w14:paraId="1327D1D8">
      <w:pPr>
        <w:snapToGrid w:val="0"/>
        <w:spacing w:line="480" w:lineRule="exact"/>
        <w:ind w:right="218" w:rightChars="104"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lang w:eastAsia="zh-CN"/>
        </w:rPr>
        <w:t>林敏</w:t>
      </w:r>
    </w:p>
    <w:p w14:paraId="41E7FBBB">
      <w:pPr>
        <w:snapToGrid w:val="0"/>
        <w:spacing w:line="480" w:lineRule="exact"/>
        <w:ind w:right="218" w:rightChars="104"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联系电话：0579-84</w:t>
      </w:r>
      <w:r>
        <w:rPr>
          <w:rFonts w:hint="eastAsia" w:ascii="宋体" w:hAnsi="宋体" w:eastAsia="宋体" w:cs="宋体"/>
          <w:bCs/>
          <w:color w:val="auto"/>
          <w:sz w:val="21"/>
          <w:szCs w:val="21"/>
          <w:lang w:val="en-US" w:eastAsia="zh-CN"/>
        </w:rPr>
        <w:t>662690</w:t>
      </w:r>
      <w:r>
        <w:rPr>
          <w:rFonts w:hint="eastAsia" w:ascii="宋体" w:hAnsi="宋体" w:eastAsia="宋体" w:cs="宋体"/>
          <w:bCs/>
          <w:color w:val="auto"/>
          <w:sz w:val="21"/>
          <w:szCs w:val="21"/>
        </w:rPr>
        <w:t xml:space="preserve">     传真：0579-84</w:t>
      </w:r>
      <w:r>
        <w:rPr>
          <w:rFonts w:hint="eastAsia" w:ascii="宋体" w:hAnsi="宋体" w:eastAsia="宋体" w:cs="宋体"/>
          <w:bCs/>
          <w:color w:val="auto"/>
          <w:sz w:val="21"/>
          <w:szCs w:val="21"/>
          <w:lang w:val="en-US" w:eastAsia="zh-CN"/>
        </w:rPr>
        <w:t>662690</w:t>
      </w:r>
      <w:r>
        <w:rPr>
          <w:rFonts w:hint="eastAsia" w:ascii="宋体" w:hAnsi="宋体" w:eastAsia="宋体" w:cs="宋体"/>
          <w:bCs/>
          <w:color w:val="auto"/>
          <w:sz w:val="21"/>
          <w:szCs w:val="21"/>
        </w:rPr>
        <w:t xml:space="preserve"> </w:t>
      </w:r>
    </w:p>
    <w:p w14:paraId="469520AA">
      <w:pPr>
        <w:widowControl/>
        <w:tabs>
          <w:tab w:val="left" w:pos="4228"/>
        </w:tabs>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地址：磐安县安文街道花月路211号建设大厦6楼</w:t>
      </w:r>
    </w:p>
    <w:p w14:paraId="35C7EC43">
      <w:pPr>
        <w:snapToGrid w:val="0"/>
        <w:spacing w:line="480" w:lineRule="exact"/>
        <w:ind w:right="218" w:rightChars="104" w:firstLine="472" w:firstLineChars="225"/>
        <w:rPr>
          <w:rFonts w:ascii="宋体" w:hAnsi="宋体" w:eastAsia="宋体" w:cs="宋体"/>
          <w:bCs/>
          <w:color w:val="auto"/>
          <w:sz w:val="21"/>
          <w:szCs w:val="21"/>
        </w:rPr>
      </w:pPr>
      <w:r>
        <w:rPr>
          <w:rFonts w:hint="eastAsia" w:ascii="宋体" w:hAnsi="宋体" w:eastAsia="宋体" w:cs="宋体"/>
          <w:bCs/>
          <w:color w:val="auto"/>
          <w:sz w:val="21"/>
          <w:szCs w:val="21"/>
        </w:rPr>
        <w:t>3．同级政府采购监督管理部门名称：金华市磐安县财政局</w:t>
      </w:r>
    </w:p>
    <w:p w14:paraId="0B141062">
      <w:pPr>
        <w:snapToGrid w:val="0"/>
        <w:spacing w:line="480" w:lineRule="exact"/>
        <w:ind w:right="218" w:rightChars="104" w:firstLine="472" w:firstLineChars="225"/>
        <w:rPr>
          <w:rFonts w:ascii="宋体" w:hAnsi="宋体" w:eastAsia="宋体" w:cs="宋体"/>
          <w:bCs/>
          <w:color w:val="auto"/>
          <w:sz w:val="21"/>
          <w:szCs w:val="21"/>
        </w:rPr>
      </w:pPr>
      <w:r>
        <w:rPr>
          <w:rFonts w:hint="eastAsia" w:ascii="宋体" w:hAnsi="宋体" w:eastAsia="宋体" w:cs="宋体"/>
          <w:bCs/>
          <w:color w:val="auto"/>
          <w:sz w:val="21"/>
          <w:szCs w:val="21"/>
        </w:rPr>
        <w:t>联系人：陈巧慧</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 xml:space="preserve">             监督投诉电话：0579-84883829  </w:t>
      </w:r>
    </w:p>
    <w:p w14:paraId="349E29D1">
      <w:pPr>
        <w:snapToGrid w:val="0"/>
        <w:spacing w:line="480" w:lineRule="exact"/>
        <w:ind w:right="218" w:rightChars="104" w:firstLine="472" w:firstLineChars="225"/>
        <w:rPr>
          <w:rFonts w:ascii="宋体" w:hAnsi="宋体" w:eastAsia="宋体" w:cs="宋体"/>
          <w:color w:val="auto"/>
          <w:sz w:val="21"/>
          <w:szCs w:val="21"/>
        </w:rPr>
      </w:pPr>
      <w:r>
        <w:rPr>
          <w:rFonts w:hint="eastAsia" w:ascii="宋体" w:hAnsi="宋体" w:eastAsia="宋体" w:cs="宋体"/>
          <w:bCs/>
          <w:color w:val="auto"/>
          <w:sz w:val="21"/>
          <w:szCs w:val="21"/>
        </w:rPr>
        <w:t xml:space="preserve">地址：磐安县安文街道文溪南路88号 </w:t>
      </w:r>
      <w:r>
        <w:rPr>
          <w:rFonts w:hint="eastAsia" w:ascii="宋体" w:hAnsi="宋体" w:eastAsia="宋体" w:cs="宋体"/>
          <w:color w:val="auto"/>
          <w:sz w:val="21"/>
          <w:szCs w:val="21"/>
        </w:rPr>
        <w:t xml:space="preserve">      </w:t>
      </w:r>
    </w:p>
    <w:p w14:paraId="33A529C8">
      <w:pPr>
        <w:wordWrap w:val="0"/>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若对项目采购电子交易系统操作有疑问，可登录政采云（https://www.zcygov.cn/），点击右侧咨询小采，获取采小蜜智能服务管家帮助，或拨打政采云服务热线400-881-7190获取热线服务帮助。</w:t>
      </w:r>
    </w:p>
    <w:p w14:paraId="060F3930">
      <w:pPr>
        <w:wordWrap w:val="0"/>
        <w:snapToGrid w:val="0"/>
        <w:spacing w:line="480" w:lineRule="exact"/>
        <w:ind w:firstLine="420" w:firstLineChars="200"/>
        <w:rPr>
          <w:rFonts w:ascii="宋体" w:hAnsi="宋体" w:eastAsia="宋体" w:cs="宋体"/>
          <w:b/>
          <w:color w:val="auto"/>
          <w:sz w:val="21"/>
          <w:szCs w:val="21"/>
        </w:rPr>
      </w:pPr>
      <w:r>
        <w:rPr>
          <w:rFonts w:hint="eastAsia" w:ascii="宋体" w:hAnsi="宋体" w:eastAsia="宋体" w:cs="宋体"/>
          <w:color w:val="auto"/>
          <w:sz w:val="21"/>
          <w:szCs w:val="21"/>
        </w:rPr>
        <w:t>CA问题联系电话（人工）：汇信CA 400-888-4636；天谷CA 400-087-8198。</w:t>
      </w:r>
    </w:p>
    <w:bookmarkEnd w:id="6"/>
    <w:p w14:paraId="136080BD">
      <w:pPr>
        <w:wordWrap w:val="0"/>
        <w:snapToGrid w:val="0"/>
        <w:spacing w:line="360" w:lineRule="auto"/>
        <w:ind w:firstLine="420" w:firstLineChars="200"/>
        <w:jc w:val="center"/>
        <w:rPr>
          <w:rFonts w:ascii="宋体" w:hAnsi="宋体" w:eastAsia="宋体" w:cs="宋体"/>
          <w:color w:val="auto"/>
          <w:sz w:val="21"/>
          <w:szCs w:val="21"/>
        </w:rPr>
      </w:pPr>
      <w:bookmarkStart w:id="49" w:name="_Toc2844"/>
      <w:bookmarkStart w:id="50" w:name="_Toc15298"/>
      <w:bookmarkStart w:id="51" w:name="_Toc20561"/>
      <w:r>
        <w:rPr>
          <w:rFonts w:hint="eastAsia" w:ascii="宋体" w:hAnsi="宋体" w:eastAsia="宋体" w:cs="宋体"/>
          <w:color w:val="auto"/>
          <w:sz w:val="21"/>
          <w:szCs w:val="21"/>
        </w:rPr>
        <w:br w:type="page"/>
      </w:r>
      <w:bookmarkEnd w:id="49"/>
      <w:bookmarkEnd w:id="50"/>
      <w:bookmarkEnd w:id="51"/>
    </w:p>
    <w:p w14:paraId="108A5A7B">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kern w:val="44"/>
          <w:sz w:val="44"/>
          <w:lang w:val="en-US" w:eastAsia="zh-CN" w:bidi="ar-SA"/>
        </w:rPr>
      </w:pPr>
      <w:bookmarkStart w:id="52" w:name="_Toc3046"/>
      <w:bookmarkStart w:id="53" w:name="_Toc18282"/>
      <w:bookmarkStart w:id="54" w:name="_Toc25516"/>
      <w:bookmarkStart w:id="55" w:name="_Toc6241"/>
      <w:bookmarkStart w:id="56" w:name="_Toc28889"/>
      <w:bookmarkStart w:id="57" w:name="_Toc19781"/>
      <w:bookmarkStart w:id="58" w:name="_Toc5163"/>
      <w:bookmarkStart w:id="59" w:name="_Toc10766"/>
      <w:bookmarkStart w:id="60" w:name="_Toc10774"/>
      <w:bookmarkStart w:id="61" w:name="_Toc15459"/>
      <w:r>
        <w:rPr>
          <w:rFonts w:hint="eastAsia" w:ascii="Times New Roman" w:hAnsi="Times New Roman" w:eastAsia="宋体" w:cs="Times New Roman"/>
          <w:b/>
          <w:bCs/>
          <w:color w:val="auto"/>
          <w:kern w:val="44"/>
          <w:sz w:val="44"/>
          <w:lang w:val="en-US" w:eastAsia="zh-CN" w:bidi="ar-SA"/>
        </w:rPr>
        <w:t>招标需求</w:t>
      </w:r>
      <w:bookmarkEnd w:id="52"/>
      <w:bookmarkEnd w:id="53"/>
      <w:bookmarkEnd w:id="54"/>
      <w:bookmarkEnd w:id="55"/>
      <w:bookmarkEnd w:id="56"/>
      <w:bookmarkEnd w:id="57"/>
      <w:bookmarkEnd w:id="58"/>
    </w:p>
    <w:p w14:paraId="5389D633">
      <w:pPr>
        <w:wordWrap w:val="0"/>
        <w:snapToGrid w:val="0"/>
        <w:spacing w:line="480" w:lineRule="exact"/>
        <w:ind w:firstLine="422" w:firstLineChars="200"/>
        <w:rPr>
          <w:rFonts w:hint="eastAsia" w:ascii="宋体" w:hAnsi="宋体" w:eastAsia="宋体" w:cs="宋体"/>
          <w:b/>
          <w:bCs/>
          <w:color w:val="auto"/>
          <w:sz w:val="21"/>
          <w:szCs w:val="21"/>
          <w:lang w:val="en-US" w:eastAsia="zh-CN"/>
        </w:rPr>
      </w:pPr>
      <w:bookmarkStart w:id="388" w:name="_GoBack"/>
      <w:r>
        <w:rPr>
          <w:rFonts w:hint="eastAsia" w:ascii="宋体" w:hAnsi="宋体" w:eastAsia="宋体" w:cs="宋体"/>
          <w:b/>
          <w:bCs/>
          <w:color w:val="auto"/>
          <w:sz w:val="21"/>
          <w:szCs w:val="21"/>
          <w:lang w:val="en-US" w:eastAsia="zh-CN"/>
        </w:rPr>
        <w:t>一、项目概况</w:t>
      </w:r>
    </w:p>
    <w:p w14:paraId="31E6C6F0">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为了有效防治松材线虫病，保护森林资源和生态环境，根据《国务院办公厅关于进一步加强松材线虫病预防和除治工作的通知》（国办明电〔2002〕5 号）、《松材线虫病疫区和疫木管理办法》（林生发〔2018〕117 号）、《松材线虫病生态灾害督办追责办法》（林生发〔2019〕55 号）、《国家林业和草原局关于科学防控松材线虫病疫情的指导意见》（林生发〔2021〕30号）、《松材线虫病防治技术方案（2022 年版）》（林生发〔2022〕94 号）、《浙江省松材线虫病防治条例》《浙江省林业局关于印发&lt;浙江省松材线虫病疫情防控五年攻坚行动计划（2021—2025 年）&gt;的通知》（浙林绿〔2021〕77 号）等有关法律法规和文件规定，以及中央和地方各级关于全面推行林长制的文件精神,现决定采用招标方式选择供应商对2024-2025年冷水镇松材线虫病枯死松树进行清理。</w:t>
      </w:r>
    </w:p>
    <w:p w14:paraId="3C96B10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本项目范围内容：业主指定范围内容。</w:t>
      </w:r>
    </w:p>
    <w:p w14:paraId="0CC63C6A">
      <w:p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二、清理处置要求</w:t>
      </w:r>
    </w:p>
    <w:p w14:paraId="6F7C055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1、按照《松材线虫病枯死木清理防治技术规程及评分标准》清理防治技术标准；</w:t>
      </w:r>
    </w:p>
    <w:p w14:paraId="6A149FFF">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（1）遗留伐桩高度（山体上坡侧测量）不得超过 5 厘米； </w:t>
      </w:r>
    </w:p>
    <w:p w14:paraId="2D403CFC">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（2）松疫木和 1 厘米以上松疫木枝桠必须全部清理下山，难以清理下山的就地彻底销毁； </w:t>
      </w:r>
    </w:p>
    <w:p w14:paraId="36A76C52">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（3）采伐的每株病枯死木按要求拍照上传省“数字森防”系统，每株上传不少于2张清理照片，包含“清理前立木+伐桩测量照片”； </w:t>
      </w:r>
    </w:p>
    <w:p w14:paraId="793C40E7">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（4）严禁违法违规砍伐活松树；</w:t>
      </w:r>
    </w:p>
    <w:p w14:paraId="78ED3332">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（5）建设立台账。</w:t>
      </w:r>
    </w:p>
    <w:p w14:paraId="76D4A4D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2、规范除害处理</w:t>
      </w:r>
    </w:p>
    <w:p w14:paraId="514E24E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除治队必须取得病虫害除治采伐许可证，按照省疫木除治“510·清干净”技术标准进行疫木清理。确因地理条件受限，无法按规定的技术标准执行的，应做好登记并报告属地乡镇（街道），按同意后的方式进行处理，不得擅自变更除治方式。下山疫木统一按就近原则拉到疫木加工厂进行集中处置，严防长途运输造成疫情扩散。</w:t>
      </w:r>
    </w:p>
    <w:p w14:paraId="4A99AD56">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理采伐的疫木统一运至疫木定点处理企业集中处置。各除治队伍要按照合同约定，运用“数字森防”系统的运输管理模块，每车疫木需拍摄起运前和到定点加工厂过磅及卸车后空车三张现场照片备查。若发现有历年疫木、非法采伐活松及其他树木进厂的应按合同约定扣减相应的重量。疫木定点处理企业要按照规范要求做好疫木全过程无害化处置（旋切、粉碎等），并在除治安全期内完成疫木无害化处置工作。</w:t>
      </w:r>
    </w:p>
    <w:p w14:paraId="542AD642">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（2）除治队需按规定时间节点全面完成除治任务，按时完成数据上传。定期汇报除治进度、除治株数、除治吨数。自觉接受属地乡镇和林业主管部门监管。</w:t>
      </w:r>
    </w:p>
    <w:p w14:paraId="24F0BE9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3、严格质量监管</w:t>
      </w:r>
    </w:p>
    <w:p w14:paraId="3E87771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（1）严格按照省 510 技术规范要求执行清理并拍照上传数字森防，及时整改检查过程中发现整株枯死木未清理、伐桩超高、枝桠遗留、未按要求上传数字森防等问题。</w:t>
      </w:r>
    </w:p>
    <w:p w14:paraId="1027BA88">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（2）除治队需做好下山疫木监管，严防疫木流失。</w:t>
      </w:r>
    </w:p>
    <w:p w14:paraId="0ABAA1E7">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（3）清理过磅数量以乡镇监管人员、疫木加工厂和除治队人员进行三方签字确认，所有下山疫木必须及时运往定点疫木处置厂，当日做好登记台账。</w:t>
      </w:r>
    </w:p>
    <w:p w14:paraId="6D3BB4E2">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（4）存在砍伐活松树及其他林木的，去除活树重量后，扣除2000 元/次。</w:t>
      </w:r>
    </w:p>
    <w:p w14:paraId="012FB45C">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（5）有上传数据造假行为的，扣除 200 元/条数据。</w:t>
      </w:r>
    </w:p>
    <w:p w14:paraId="3ECAA4BF">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（6）违规开展除治工作造成信访投诉或引发较大群众矛盾，得不到妥善解决的，扣除 2000 元/次。</w:t>
      </w:r>
    </w:p>
    <w:p w14:paraId="5AC13DDA">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（7）因除治进度慢或除治质量差被县级督查的，扣除 200 元/处，省、市督查通报的扣除 2000 元/处。</w:t>
      </w:r>
    </w:p>
    <w:p w14:paraId="3DA4624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（8）如遇情节严重的按《磐安县松材线虫病防治“黑名单”管理办法》列入“黑名单”。</w:t>
      </w:r>
    </w:p>
    <w:p w14:paraId="79E0B2E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4、疫木运输</w:t>
      </w:r>
    </w:p>
    <w:p w14:paraId="1902900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（1）每车疫木运输前，需做好数字森防上传调运单及疫木进厂前后拍照、过磅重量拍照。</w:t>
      </w:r>
    </w:p>
    <w:p w14:paraId="42A68CC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（2）疫木加工厂保存好每车疫木过磅监控视频、进出厂监控视频以及卸车监控视频。并将备份送县森防站备案。</w:t>
      </w:r>
    </w:p>
    <w:p w14:paraId="2A7ED157">
      <w:p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三、疫木清理验收</w:t>
      </w:r>
    </w:p>
    <w:p w14:paraId="1937433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1、根据《磐安县松材线虫病枯死木清理除治验收操作细</w:t>
      </w:r>
      <w:r>
        <w:rPr>
          <w:rFonts w:hint="default" w:ascii="宋体" w:hAnsi="宋体" w:eastAsia="宋体" w:cs="宋体"/>
          <w:color w:val="auto"/>
          <w:sz w:val="21"/>
          <w:szCs w:val="21"/>
          <w:lang w:val="en-US" w:eastAsia="zh-CN"/>
        </w:rPr>
        <w:t>则及补助资金计算规定</w:t>
      </w:r>
      <w:r>
        <w:rPr>
          <w:rFonts w:hint="eastAsia" w:ascii="宋体" w:hAnsi="宋体" w:eastAsia="宋体" w:cs="宋体"/>
          <w:color w:val="auto"/>
          <w:sz w:val="21"/>
          <w:szCs w:val="21"/>
          <w:lang w:val="en-US" w:eastAsia="zh-CN"/>
        </w:rPr>
        <w:t>》进行验收，验收范围包含（但不仅限于）：</w:t>
      </w:r>
    </w:p>
    <w:p w14:paraId="31279842">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（1）清理合同范围有枯死松木分布的全部小班所有死树是否完成全面清理；</w:t>
      </w:r>
    </w:p>
    <w:p w14:paraId="7A64A2E1">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（2）范围内有死松木分布的所有小班的清理质量（包括普查死树和后续死树）；</w:t>
      </w:r>
    </w:p>
    <w:p w14:paraId="2A08803C">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（3）日常管理、疫木运输等是否按照规定执行；</w:t>
      </w:r>
    </w:p>
    <w:p w14:paraId="44B08FB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（4）台账资料是否完整齐全。</w:t>
      </w:r>
    </w:p>
    <w:p w14:paraId="60EEC47A">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乡级验收以山场小班为单位，按照“清理一片、验收一片、合格一片、再继续一片”的原则开展清理山场小班验收。每一个山场小班除治完毕后，由除治队向除治（清理）实施单位提出验收申请，各除治实施单位组织有关人员对照《磐安县松材线虫病防治疫木清理检查验收评分表》逐个进行初级验收，验收不合格的的小班由除治队整改后再另行验收（验收不合格的小班复检的验收费用 </w:t>
      </w:r>
      <w:r>
        <w:rPr>
          <w:rFonts w:hint="default" w:ascii="宋体" w:hAnsi="宋体" w:eastAsia="宋体" w:cs="宋体"/>
          <w:color w:val="auto"/>
          <w:sz w:val="21"/>
          <w:szCs w:val="21"/>
          <w:lang w:val="en-US" w:eastAsia="zh-CN"/>
        </w:rPr>
        <w:t xml:space="preserve">300 </w:t>
      </w:r>
      <w:r>
        <w:rPr>
          <w:rFonts w:hint="eastAsia" w:ascii="宋体" w:hAnsi="宋体" w:eastAsia="宋体" w:cs="宋体"/>
          <w:color w:val="auto"/>
          <w:sz w:val="21"/>
          <w:szCs w:val="21"/>
          <w:lang w:val="en-US" w:eastAsia="zh-CN"/>
        </w:rPr>
        <w:t>元</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小班由除治中标单位承担），验收合格再进行下一小班除治。各除治实施单位必须在集中处置期内对本辖区范围内所有山场除治小班验收合格后，再以书面形式报告县林业植物重大疫情防控办公室，并报送验收资料，进入县级验收环节。</w:t>
      </w:r>
    </w:p>
    <w:p w14:paraId="232A328F">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3、县级验收：县资规局委托第三方单位随机抽查各实施单位不少于8个小班，等级按最终检查小班数的平均得分划分，每个小班的初始分为100分。该除治主体抽查小班平均得分为 90（含）分以上评定合格等次，抽查小班平均得分 80（含）分-90（不含）分评定基本合格等次，抽查小班平均得分 80（不含）分以下评定不合格等次。验收为不合格等次或基本合格的除治主体，可以有一次申请整改验收的机会。除治单位应在确认等次后立即提出整改申请，此次整改时限为2周，逾期将以第一次验收结果为最终质量等级。（验收不合格的小班复检的验收费用 </w:t>
      </w:r>
      <w:r>
        <w:rPr>
          <w:rFonts w:hint="default" w:ascii="宋体" w:hAnsi="宋体" w:eastAsia="宋体" w:cs="宋体"/>
          <w:color w:val="auto"/>
          <w:sz w:val="21"/>
          <w:szCs w:val="21"/>
          <w:lang w:val="en-US" w:eastAsia="zh-CN"/>
        </w:rPr>
        <w:t xml:space="preserve">300 </w:t>
      </w:r>
      <w:r>
        <w:rPr>
          <w:rFonts w:hint="eastAsia" w:ascii="宋体" w:hAnsi="宋体" w:eastAsia="宋体" w:cs="宋体"/>
          <w:color w:val="auto"/>
          <w:sz w:val="21"/>
          <w:szCs w:val="21"/>
          <w:lang w:val="en-US" w:eastAsia="zh-CN"/>
        </w:rPr>
        <w:t>元</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小班由除治中标单位承担）。县森防站将结合两次验收结果确定最终质量等级，对存在问题，相关清理专业队必须无条件组织整改，否则可由各实施单位组织人员代为整改，整改费用由中标除治队承担。</w:t>
      </w:r>
    </w:p>
    <w:p w14:paraId="72B4134C">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4、2025年5月-9月在全区范围内采取发现一株清理一株的方式开展病死松树“即现即清”工作，并由验收单位对该阶段清理效果跟踪验收。</w:t>
      </w:r>
    </w:p>
    <w:p w14:paraId="6647EDDF">
      <w:pPr>
        <w:numPr>
          <w:ilvl w:val="0"/>
          <w:numId w:val="2"/>
        </w:num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结算方式</w:t>
      </w:r>
    </w:p>
    <w:p w14:paraId="7E384940">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1、按照《磐安县松材线虫病枯死木清理除治验收操作细则及补助资金计算规定》进行结算：</w:t>
      </w:r>
    </w:p>
    <w:p w14:paraId="5022DB2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（1）按年度进厂疫木重量（含枝桠材）核算年度疫木清理费用，历年疫木、非法采伐的活松木、工程项目合法审批采伐的活松木、火烧迹地等松木和其他树木不计入财政补助结算重量。 </w:t>
      </w:r>
    </w:p>
    <w:p w14:paraId="6FF2D991">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（2）财政清理补助资金计算方式：年度疫木清理补助资金=核定年度疫木进厂数量*（每吨疫木合同除治价格-每吨疫木厂回收价格）--2024-2025年疫木厂回收价格为 300 元/吨。</w:t>
      </w:r>
    </w:p>
    <w:p w14:paraId="1C8979A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（3）年度疫木清理补助资金按规定分为两部分进行拨付，基本除治经费占比 70%，绩效考核经费占比 30%。（以合同价 700元/吨为例，其中 400 元为财政补助资金，400 元*70%=280元为基本除治经费，400 元*30%=120 元为绩效考核经费。）</w:t>
      </w:r>
    </w:p>
    <w:p w14:paraId="25A7CFC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（4）疫木定点加工企业松树残值：本项资金按乙方清理下山疫木重量，由疫木定点加工企业支付，不受枯死松树清理验收质量等级影响，但须优先用于支付农民工工资。</w:t>
      </w:r>
    </w:p>
    <w:p w14:paraId="29DBB724">
      <w:pPr>
        <w:numPr>
          <w:ilvl w:val="0"/>
          <w:numId w:val="2"/>
        </w:num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付款方式</w:t>
      </w:r>
    </w:p>
    <w:p w14:paraId="48FA9F60">
      <w:pPr>
        <w:wordWrap w:val="0"/>
        <w:snapToGrid w:val="0"/>
        <w:spacing w:line="480" w:lineRule="exact"/>
        <w:ind w:firstLine="420" w:firstLineChars="200"/>
        <w:rPr>
          <w:rFonts w:hint="eastAsia" w:ascii="宋体" w:hAnsi="宋体" w:eastAsia="宋体" w:cs="宋体"/>
          <w:color w:val="auto"/>
          <w:sz w:val="21"/>
          <w:szCs w:val="21"/>
          <w:lang w:val="en-US" w:eastAsia="zh-CN"/>
        </w:rPr>
      </w:pPr>
      <w:bookmarkStart w:id="62" w:name="_Toc494558344"/>
      <w:bookmarkStart w:id="63" w:name="_Toc486423875"/>
      <w:bookmarkStart w:id="64" w:name="_Toc493955949"/>
      <w:r>
        <w:rPr>
          <w:rFonts w:hint="eastAsia" w:ascii="宋体" w:hAnsi="宋体" w:eastAsia="宋体" w:cs="宋体"/>
          <w:color w:val="auto"/>
          <w:sz w:val="21"/>
          <w:szCs w:val="21"/>
          <w:lang w:val="en-US" w:eastAsia="zh-CN"/>
        </w:rPr>
        <w:t>1、补助资金实行分期、分批拨付，最后结算制度。具体付款进度如下：</w:t>
      </w:r>
    </w:p>
    <w:p w14:paraId="7F8D2F3A">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（1）在合同生效以及具备实施条件后7个工作日内支付合同价的20%作为预付款（该预付款支付前供应商应向采购人提交银行、保险公司等金融机构出具同等额度的预付款保函）；</w:t>
      </w:r>
    </w:p>
    <w:p w14:paraId="360C47F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（2）项目实施期间，如上级部门有拨款的，业主可根据除治工作量给予支付相应的款项。</w:t>
      </w:r>
    </w:p>
    <w:p w14:paraId="7C4EDDD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（3）经竣工验收通过后，基本清理经费和绩效考核经费在县级验收合格后按文件拨付，并退回履约保证金。</w:t>
      </w:r>
    </w:p>
    <w:p w14:paraId="27C9F2AB">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在上述约定的每期付款前，供应商应向采购人开具每期付款同等金额的符合国家及当地税务规定的增值税发票。否则，由于供应商未能及时开具并提供发票而导致付款延误，采购人不承担责任。</w:t>
      </w:r>
    </w:p>
    <w:p w14:paraId="4D8843EF">
      <w:pPr>
        <w:numPr>
          <w:ilvl w:val="0"/>
          <w:numId w:val="2"/>
        </w:num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工期要求</w:t>
      </w:r>
      <w:bookmarkEnd w:id="62"/>
      <w:bookmarkEnd w:id="63"/>
      <w:bookmarkEnd w:id="64"/>
    </w:p>
    <w:p w14:paraId="57E727ED">
      <w:pPr>
        <w:wordWrap w:val="0"/>
        <w:snapToGrid w:val="0"/>
        <w:spacing w:line="480" w:lineRule="exact"/>
        <w:ind w:firstLine="420" w:firstLineChars="200"/>
        <w:rPr>
          <w:rFonts w:hint="eastAsia" w:ascii="宋体" w:hAnsi="宋体" w:eastAsia="宋体" w:cs="宋体"/>
          <w:color w:val="auto"/>
          <w:sz w:val="21"/>
          <w:szCs w:val="21"/>
          <w:lang w:val="en-US" w:eastAsia="zh-CN"/>
        </w:rPr>
      </w:pPr>
      <w:bookmarkStart w:id="65" w:name="_Toc494558345"/>
      <w:bookmarkStart w:id="66" w:name="_Toc486423876"/>
      <w:bookmarkStart w:id="67" w:name="_Toc493955950"/>
      <w:r>
        <w:rPr>
          <w:rFonts w:hint="eastAsia" w:ascii="宋体" w:hAnsi="宋体" w:eastAsia="宋体" w:cs="宋体"/>
          <w:color w:val="auto"/>
          <w:sz w:val="21"/>
          <w:szCs w:val="21"/>
          <w:lang w:val="en-US" w:eastAsia="zh-CN"/>
        </w:rPr>
        <w:t>1、2025 年 1 月底前，完成本辖区病死树除治清理数量面积总任务的 80%以上，疫点拟拨除区域全面完成病死树木清理除治工作，对完成清理的小班地块及时组织力量进行乡级验收，并上报录入省“数字森防”系统。</w:t>
      </w:r>
    </w:p>
    <w:p w14:paraId="3B170BA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2、2025 年 3 月中旬前，完成本辖区面上病枯死木防治理，并对完成治理的小班地块及时组织力量进行乡级验收，并上报录入省“数字森防”系统，申请县级验收。</w:t>
      </w:r>
    </w:p>
    <w:p w14:paraId="47E38C90">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3、2025年4月中旬，完成县级验收工作。验收不合格的，于2025年4月底前完成整改；</w:t>
      </w:r>
    </w:p>
    <w:p w14:paraId="20E5641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8、2025年6月-2025年9月，开展“即现即清”工作，对零星发生以及特殊情况需要处理的疫木进行清理并除害处理。</w:t>
      </w:r>
    </w:p>
    <w:bookmarkEnd w:id="65"/>
    <w:bookmarkEnd w:id="66"/>
    <w:bookmarkEnd w:id="67"/>
    <w:p w14:paraId="12FD0B1C">
      <w:pPr>
        <w:numPr>
          <w:ilvl w:val="0"/>
          <w:numId w:val="2"/>
        </w:numPr>
        <w:wordWrap w:val="0"/>
        <w:snapToGrid w:val="0"/>
        <w:spacing w:line="480" w:lineRule="exact"/>
        <w:ind w:firstLine="420" w:firstLineChars="200"/>
        <w:rPr>
          <w:rFonts w:hint="eastAsia" w:ascii="宋体" w:hAnsi="宋体" w:eastAsia="宋体" w:cs="宋体"/>
          <w:color w:val="auto"/>
          <w:sz w:val="21"/>
          <w:szCs w:val="21"/>
          <w:lang w:val="en-US" w:eastAsia="zh-CN"/>
        </w:rPr>
      </w:pPr>
      <w:bookmarkStart w:id="68" w:name="_Toc494558349"/>
      <w:bookmarkStart w:id="69" w:name="_Toc493955954"/>
      <w:bookmarkStart w:id="70" w:name="_Toc486423880"/>
      <w:r>
        <w:rPr>
          <w:rFonts w:hint="eastAsia" w:ascii="宋体" w:hAnsi="宋体" w:eastAsia="宋体" w:cs="宋体"/>
          <w:color w:val="auto"/>
          <w:sz w:val="21"/>
          <w:szCs w:val="21"/>
          <w:lang w:val="en-US" w:eastAsia="zh-CN"/>
        </w:rPr>
        <w:t>其他</w:t>
      </w:r>
      <w:bookmarkEnd w:id="68"/>
      <w:bookmarkEnd w:id="69"/>
      <w:bookmarkEnd w:id="70"/>
      <w:r>
        <w:rPr>
          <w:rFonts w:hint="eastAsia" w:ascii="宋体" w:hAnsi="宋体" w:eastAsia="宋体" w:cs="宋体"/>
          <w:color w:val="auto"/>
          <w:sz w:val="21"/>
          <w:szCs w:val="21"/>
          <w:lang w:val="en-US" w:eastAsia="zh-CN"/>
        </w:rPr>
        <w:t>要求</w:t>
      </w:r>
    </w:p>
    <w:p w14:paraId="5DF6D5E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1、供应商应在收到采购人的林木采伐许可证后方能进行采伐。</w:t>
      </w:r>
    </w:p>
    <w:p w14:paraId="284AAA1F">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2、除治队需建立与除治任务相匹配的除治队伍，明确每个施工队伍管理人员。</w:t>
      </w:r>
    </w:p>
    <w:p w14:paraId="71656D07">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3、建立施工队员信息档案，包括成员名单、身份证信息、家庭住址、电话号码等。</w:t>
      </w:r>
    </w:p>
    <w:p w14:paraId="2ECFEFD6">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4、进场除治前为每个队员购买人身意外伤害保险，除治人员上山作业前必须做好作业安全培训及“数字森防”等软件的使用培训；采伐作业时应统一穿着明显标志服装，佩戴安全帽。</w:t>
      </w:r>
    </w:p>
    <w:p w14:paraId="4FF00B0B">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5、为确保清理枯死松树进度和质量，在清理工程实施期间，中标供应商必须集中精力和人员清理枯死松树。</w:t>
      </w:r>
    </w:p>
    <w:p w14:paraId="28EFFDA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中标供应商应安排专人负责工程质量和安全施工管理工作，对作业人员要经常进行质量和安全施工教育，落实安全防护措施，为作业人员进行人身安全保险。在采伐作业山场严禁抽烟，防止引发山林火灾，如被监管人员或甲方管理人员发现，则每发现一次扣除违约金100元。</w:t>
      </w:r>
    </w:p>
    <w:p w14:paraId="73042D20">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在施工期间，中标供应商作业人员工资、生活费及生产用具费、运输费、装卸费、房屋租赁费等一切费用均由中标供应商负责，本次报价还包括代理服务费、交通费、利润、税金及政策性文件规定及合同包含的所有风险、责任等全部费用。供应商应列入而未列入其中的费用，均视为已包含在内，风险由供应商承担。</w:t>
      </w:r>
    </w:p>
    <w:p w14:paraId="05C12E3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8、在枯死松树运输中，运输车辆必须有年检合格证和车辆保险，严禁货、人混运。中标供应商要经常教育驾驶员，如发生安全事故，则后果由驾驶员和中标供应商承担。</w:t>
      </w:r>
    </w:p>
    <w:p w14:paraId="4021EE3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9、在施工过程中，如遇非中标供应商直接原因而引起的与当地群众的矛盾时，采购人有义务进行协调解决。因中标供应商原因直接引起他人利益损害、山林火灾、工伤事故等一切责任均由中标供应商负责。</w:t>
      </w:r>
    </w:p>
    <w:p w14:paraId="63FE1717">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10、如中标供应商恶意采伐阔叶树、无明显病兆的活松树或擅自将枯死松树另作他用引起病松木流失扩散，采购人可立即终止合同，并向采购人赔偿由此而造成的损失，情节严重的依法追究刑事责任。</w:t>
      </w:r>
    </w:p>
    <w:p w14:paraId="36115A5B">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11、松材线虫病预防和清理工作中，应当建立和完善档案资料并妥善保管。</w:t>
      </w:r>
    </w:p>
    <w:p w14:paraId="7D564E86">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12、枯死松树运输，要求直接运达处理点，中间不能停留。</w:t>
      </w:r>
    </w:p>
    <w:p w14:paraId="434CC680">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13、供应商应具备处理与枯死木所有权人关系的能力，政策处理费用由中标供应商承担。</w:t>
      </w:r>
    </w:p>
    <w:p w14:paraId="0F449305">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14、如实施过程中相关政策调整按林业主管部门制订的相关技术规程执行。</w:t>
      </w:r>
    </w:p>
    <w:bookmarkEnd w:id="388"/>
    <w:p w14:paraId="73449BBC">
      <w:pPr>
        <w:jc w:val="left"/>
        <w:rPr>
          <w:color w:val="auto"/>
        </w:rPr>
      </w:pPr>
    </w:p>
    <w:p w14:paraId="5C192681">
      <w:pPr>
        <w:rPr>
          <w:rFonts w:hint="default" w:ascii="宋体" w:hAnsi="宋体" w:eastAsia="宋体" w:cs="宋体"/>
          <w:color w:val="auto"/>
          <w:sz w:val="21"/>
          <w:szCs w:val="21"/>
          <w:lang w:val="en-US"/>
        </w:rPr>
      </w:pPr>
      <w:r>
        <w:rPr>
          <w:rFonts w:hint="default" w:ascii="宋体" w:hAnsi="宋体" w:eastAsia="宋体" w:cs="宋体"/>
          <w:color w:val="auto"/>
          <w:sz w:val="21"/>
          <w:szCs w:val="21"/>
          <w:lang w:val="en-US"/>
        </w:rPr>
        <w:br w:type="page"/>
      </w:r>
    </w:p>
    <w:p w14:paraId="41B1034D">
      <w:pPr>
        <w:spacing w:before="220"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第三章  投标人须知</w:t>
      </w:r>
      <w:bookmarkEnd w:id="59"/>
      <w:bookmarkEnd w:id="60"/>
      <w:bookmarkEnd w:id="61"/>
      <w:r>
        <w:rPr>
          <w:rFonts w:hint="eastAsia" w:ascii="宋体" w:hAnsi="宋体" w:eastAsia="宋体" w:cs="宋体"/>
          <w:b/>
          <w:bCs/>
          <w:color w:val="auto"/>
          <w:sz w:val="21"/>
          <w:szCs w:val="21"/>
        </w:rPr>
        <w:t>前附表</w:t>
      </w:r>
    </w:p>
    <w:tbl>
      <w:tblPr>
        <w:tblStyle w:val="19"/>
        <w:tblW w:w="9500" w:type="dxa"/>
        <w:tblInd w:w="93" w:type="dxa"/>
        <w:tblLayout w:type="fixed"/>
        <w:tblCellMar>
          <w:top w:w="0" w:type="dxa"/>
          <w:left w:w="108" w:type="dxa"/>
          <w:bottom w:w="0" w:type="dxa"/>
          <w:right w:w="108" w:type="dxa"/>
        </w:tblCellMar>
      </w:tblPr>
      <w:tblGrid>
        <w:gridCol w:w="494"/>
        <w:gridCol w:w="1306"/>
        <w:gridCol w:w="7700"/>
      </w:tblGrid>
      <w:tr w14:paraId="06A5E2D3">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37A8FB1B">
            <w:pPr>
              <w:spacing w:line="360" w:lineRule="auto"/>
              <w:jc w:val="center"/>
              <w:rPr>
                <w:rFonts w:ascii="宋体" w:hAnsi="宋体" w:eastAsia="宋体" w:cs="宋体"/>
                <w:b/>
                <w:bCs/>
                <w:color w:val="auto"/>
                <w:sz w:val="21"/>
                <w:szCs w:val="21"/>
              </w:rPr>
            </w:pPr>
            <w:bookmarkStart w:id="71" w:name="_Toc28964"/>
            <w:bookmarkStart w:id="72" w:name="_Toc32315"/>
            <w:bookmarkStart w:id="73" w:name="_Toc5053"/>
            <w:bookmarkStart w:id="74" w:name="_Toc18857"/>
            <w:bookmarkStart w:id="75" w:name="_Toc31446"/>
            <w:bookmarkStart w:id="76" w:name="_Toc9522"/>
            <w:bookmarkStart w:id="77" w:name="_Toc16323"/>
            <w:bookmarkStart w:id="78" w:name="_Toc30919"/>
            <w:bookmarkStart w:id="79" w:name="_Toc4890"/>
            <w:r>
              <w:rPr>
                <w:rFonts w:hint="eastAsia" w:ascii="宋体" w:hAnsi="宋体" w:eastAsia="宋体" w:cs="宋体"/>
                <w:b/>
                <w:bCs/>
                <w:color w:val="auto"/>
                <w:sz w:val="21"/>
                <w:szCs w:val="21"/>
              </w:rPr>
              <w:t>序号</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118DA157">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内容</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13202476">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要求与说明</w:t>
            </w:r>
          </w:p>
        </w:tc>
      </w:tr>
      <w:tr w14:paraId="0253F47C">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5211EFBF">
            <w:pPr>
              <w:spacing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6F7C6E6C">
            <w:pPr>
              <w:spacing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效力标准</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56387825">
            <w:pPr>
              <w:spacing w:line="440" w:lineRule="exact"/>
              <w:rPr>
                <w:rFonts w:ascii="宋体" w:hAnsi="宋体" w:eastAsia="宋体" w:cs="宋体"/>
                <w:b/>
                <w:bCs/>
                <w:color w:val="auto"/>
                <w:sz w:val="21"/>
                <w:szCs w:val="21"/>
              </w:rPr>
            </w:pPr>
            <w:r>
              <w:rPr>
                <w:rFonts w:hint="eastAsia" w:ascii="宋体" w:hAnsi="宋体" w:eastAsia="宋体" w:cs="宋体"/>
                <w:b/>
                <w:bCs/>
                <w:color w:val="auto"/>
                <w:sz w:val="21"/>
                <w:szCs w:val="21"/>
              </w:rPr>
              <w:t>其他内容与前附表有冲突的，以“前附表”为准。</w:t>
            </w:r>
          </w:p>
        </w:tc>
      </w:tr>
      <w:tr w14:paraId="338BE070">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576116C4">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32F8D763">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解释权</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2FAF7E95">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本招标文件的解释权属于招标采购单位。</w:t>
            </w:r>
          </w:p>
        </w:tc>
      </w:tr>
      <w:tr w14:paraId="5218A65E">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09459E5D">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73D92D17">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免责声明</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50D5CA14">
            <w:pPr>
              <w:pStyle w:val="25"/>
              <w:numPr>
                <w:ilvl w:val="0"/>
                <w:numId w:val="3"/>
              </w:numPr>
              <w:spacing w:line="440" w:lineRule="exact"/>
              <w:ind w:left="0" w:leftChars="0" w:firstLine="0" w:firstLineChars="0"/>
              <w:rPr>
                <w:rFonts w:ascii="宋体" w:hAnsi="宋体" w:eastAsia="宋体" w:cs="宋体"/>
                <w:color w:val="auto"/>
                <w:sz w:val="21"/>
                <w:szCs w:val="21"/>
              </w:rPr>
            </w:pPr>
            <w:r>
              <w:rPr>
                <w:rFonts w:hint="eastAsia" w:ascii="宋体" w:hAnsi="宋体" w:eastAsia="宋体" w:cs="宋体"/>
                <w:color w:val="auto"/>
                <w:sz w:val="21"/>
                <w:szCs w:val="21"/>
              </w:rPr>
              <w:t>投标供应商自行承担投标过程中产生的费用。无论何种因素导致采购项目延期开标、废标（流标）、投标供应商未中标、项目终止采购的，采购人与采购机构均不承担供应商投标费用。</w:t>
            </w:r>
          </w:p>
          <w:p w14:paraId="73601F35">
            <w:pPr>
              <w:pStyle w:val="25"/>
              <w:numPr>
                <w:ilvl w:val="0"/>
                <w:numId w:val="3"/>
              </w:numPr>
              <w:spacing w:line="440" w:lineRule="exact"/>
              <w:ind w:left="0" w:leftChars="0" w:firstLine="0" w:firstLineChars="0"/>
              <w:rPr>
                <w:rFonts w:ascii="宋体" w:hAnsi="宋体" w:eastAsia="宋体" w:cs="宋体"/>
                <w:color w:val="auto"/>
                <w:sz w:val="21"/>
                <w:szCs w:val="21"/>
              </w:rPr>
            </w:pPr>
            <w:r>
              <w:rPr>
                <w:rFonts w:hint="eastAsia" w:ascii="宋体" w:hAnsi="宋体" w:eastAsia="宋体" w:cs="宋体"/>
                <w:color w:val="auto"/>
                <w:sz w:val="21"/>
                <w:szCs w:val="21"/>
              </w:rPr>
              <w:t>投标供应商在投标、合同履行过程中必须做好安全保障工作，不因项目实施而危及自身及第三方人员、财产安全。若发生任何安全事故，由中标供应商自行承担一切责任并赔偿损失。</w:t>
            </w:r>
          </w:p>
          <w:p w14:paraId="12F66BD4">
            <w:pPr>
              <w:pStyle w:val="25"/>
              <w:numPr>
                <w:ilvl w:val="0"/>
                <w:numId w:val="3"/>
              </w:numPr>
              <w:spacing w:line="440" w:lineRule="exact"/>
              <w:ind w:left="0" w:leftChars="0" w:firstLine="0" w:firstLineChars="0"/>
              <w:rPr>
                <w:rFonts w:ascii="宋体" w:hAnsi="宋体" w:eastAsia="宋体" w:cs="宋体"/>
                <w:color w:val="auto"/>
                <w:sz w:val="21"/>
                <w:szCs w:val="21"/>
              </w:rPr>
            </w:pPr>
            <w:r>
              <w:rPr>
                <w:rFonts w:hint="eastAsia" w:ascii="宋体" w:hAnsi="宋体" w:eastAsia="宋体" w:cs="宋体"/>
                <w:b/>
                <w:bCs/>
                <w:color w:val="auto"/>
                <w:sz w:val="21"/>
                <w:szCs w:val="21"/>
              </w:rPr>
              <w:t>本项目代理服务费参照《 计价格［2002］1980号》及 《发改办价格［2003］857号》 文件规定的计算标准计取，以中标价为取费基数，由中标供应商支付。</w:t>
            </w:r>
          </w:p>
        </w:tc>
      </w:tr>
      <w:tr w14:paraId="51868BAD">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313078F3">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3EA2D502">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投标报价及费用</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7473AC56">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 xml:space="preserve">1.投标报价设置以单价或总价形式报价的，应以人民币报价；设置以利率报价的，应以利率形式报价。 </w:t>
            </w:r>
          </w:p>
          <w:p w14:paraId="6E42BC3E">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2.不论投标结果如何，投标人均应自行承担所有与投标有关的全部费用。</w:t>
            </w:r>
          </w:p>
        </w:tc>
      </w:tr>
      <w:tr w14:paraId="2DDBFF14">
        <w:tblPrEx>
          <w:tblCellMar>
            <w:top w:w="0" w:type="dxa"/>
            <w:left w:w="108" w:type="dxa"/>
            <w:bottom w:w="0" w:type="dxa"/>
            <w:right w:w="108" w:type="dxa"/>
          </w:tblCellMar>
        </w:tblPrEx>
        <w:trPr>
          <w:trHeight w:val="657"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6BDAB726">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2377FFC8">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联合体</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30189BCB">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不限制大中型企业与小微企业组成联合体参与投标</w:t>
            </w:r>
          </w:p>
        </w:tc>
      </w:tr>
      <w:tr w14:paraId="2386A64D">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416412A7">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3E224191">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签字或盖章</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0CD5C7BC">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7AA52DD6">
        <w:tblPrEx>
          <w:tblCellMar>
            <w:top w:w="0" w:type="dxa"/>
            <w:left w:w="108" w:type="dxa"/>
            <w:bottom w:w="0" w:type="dxa"/>
            <w:right w:w="108" w:type="dxa"/>
          </w:tblCellMar>
        </w:tblPrEx>
        <w:trPr>
          <w:trHeight w:val="658"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3CE0F300">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45880309">
            <w:pPr>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投标文件有效期</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0763367C">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提交投标文件截止时间起60天</w:t>
            </w:r>
          </w:p>
        </w:tc>
      </w:tr>
      <w:tr w14:paraId="1532571B">
        <w:tblPrEx>
          <w:tblCellMar>
            <w:top w:w="0" w:type="dxa"/>
            <w:left w:w="108" w:type="dxa"/>
            <w:bottom w:w="0" w:type="dxa"/>
            <w:right w:w="108" w:type="dxa"/>
          </w:tblCellMar>
        </w:tblPrEx>
        <w:trPr>
          <w:trHeight w:val="1452"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0B4307D1">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01A28025">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答疑与澄清</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7E65CCB1">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5D46F9A4">
        <w:tblPrEx>
          <w:tblCellMar>
            <w:top w:w="0" w:type="dxa"/>
            <w:left w:w="108" w:type="dxa"/>
            <w:bottom w:w="0" w:type="dxa"/>
            <w:right w:w="108" w:type="dxa"/>
          </w:tblCellMar>
        </w:tblPrEx>
        <w:trPr>
          <w:trHeight w:val="4651"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2C1262A6">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306" w:type="dxa"/>
            <w:tcBorders>
              <w:top w:val="single" w:color="000000" w:sz="4" w:space="0"/>
              <w:left w:val="single" w:color="000000" w:sz="4" w:space="0"/>
              <w:bottom w:val="nil"/>
              <w:right w:val="single" w:color="000000" w:sz="4" w:space="0"/>
              <w:tl2br w:val="nil"/>
              <w:tr2bl w:val="nil"/>
            </w:tcBorders>
            <w:vAlign w:val="center"/>
          </w:tcPr>
          <w:p w14:paraId="77BE7745">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投标文件的递交</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3563886C">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本项目实行在线电子投标。分电子投标文件、以介质存储的数据电文形式的备份投标文件、纸质备份投标文件三类，不同形式递交的文件内容均应一致：</w:t>
            </w:r>
          </w:p>
          <w:p w14:paraId="2DE85ACD">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1B18A498">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（2）以介质存储的数据电文形式的备份投标文件，按政采云平台项目采购-电子招投标操作指南中上传的电子投标文件格式，以U盘形式提供1份。</w:t>
            </w:r>
          </w:p>
          <w:p w14:paraId="3FD8900B">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（3）纸质备份投标文件将以纸质文件的形式递交，正本 1 份，副本1份。</w:t>
            </w:r>
          </w:p>
          <w:p w14:paraId="465D61F9">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备份文件不做强制性要求，由投标人自行考虑是否提供，后果自行承担。</w:t>
            </w:r>
          </w:p>
          <w:p w14:paraId="6242019D">
            <w:pPr>
              <w:spacing w:line="440" w:lineRule="exact"/>
              <w:rPr>
                <w:rFonts w:ascii="宋体" w:hAnsi="宋体" w:eastAsia="宋体" w:cs="宋体"/>
                <w:b/>
                <w:bCs/>
                <w:color w:val="auto"/>
                <w:sz w:val="21"/>
                <w:szCs w:val="21"/>
              </w:rPr>
            </w:pPr>
            <w:r>
              <w:rPr>
                <w:rFonts w:hint="eastAsia" w:ascii="宋体" w:hAnsi="宋体" w:eastAsia="宋体" w:cs="宋体"/>
                <w:b/>
                <w:bCs/>
                <w:color w:val="auto"/>
                <w:sz w:val="21"/>
                <w:szCs w:val="21"/>
              </w:rPr>
              <w:t>供应商仅提供备份投标文件（包括以电子备份投标文件、纸质备份投标文件）投标的，投标无效。备份投标文件应与电子投标文件内容一致。</w:t>
            </w:r>
          </w:p>
          <w:p w14:paraId="0B0068F0">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供应商若提供备份投标文件的，投标人在投标截止时间前将纸质备份投标文件分别按要求密封送交到</w:t>
            </w:r>
            <w:r>
              <w:rPr>
                <w:rFonts w:hint="eastAsia" w:ascii="宋体" w:hAnsi="宋体" w:eastAsia="宋体" w:cs="宋体"/>
                <w:color w:val="auto"/>
                <w:sz w:val="21"/>
                <w:szCs w:val="21"/>
                <w:lang w:eastAsia="zh-CN"/>
              </w:rPr>
              <w:t>浙江科佳工程咨询有限公司</w:t>
            </w:r>
            <w:r>
              <w:rPr>
                <w:rFonts w:hint="eastAsia" w:ascii="宋体" w:hAnsi="宋体" w:eastAsia="宋体" w:cs="宋体"/>
                <w:color w:val="auto"/>
                <w:sz w:val="21"/>
                <w:szCs w:val="21"/>
              </w:rPr>
              <w:t>（安文街道花月路211号建设大厦6楼），逾期送达或未按要求密封将被拒收。如投标人未在投标截止时间前完成电子投标文件的传输递交，其纸质备份投标文件也将被拒收。</w:t>
            </w:r>
          </w:p>
        </w:tc>
      </w:tr>
      <w:tr w14:paraId="45FB036D">
        <w:tblPrEx>
          <w:tblCellMar>
            <w:top w:w="0" w:type="dxa"/>
            <w:left w:w="108" w:type="dxa"/>
            <w:bottom w:w="0" w:type="dxa"/>
            <w:right w:w="108" w:type="dxa"/>
          </w:tblCellMar>
        </w:tblPrEx>
        <w:trPr>
          <w:trHeight w:val="558"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24F27DC7">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44CBEFEA">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信用查询</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63552482">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根据《关于在政府采购活动中查询及使用信用记录有关问题的通知》财库[2016]125号的规定：</w:t>
            </w:r>
          </w:p>
          <w:p w14:paraId="48ABFD7A">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（1）招标人或采购代理机构将对本项目供应商的信用记录进行查询。查询渠道为信用中国网站（www.creditchina.gov.cn）、中国政府采购网（www.ccgp.gov.cn）；</w:t>
            </w:r>
          </w:p>
          <w:p w14:paraId="2BFEA9FF">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（2）截止时点：提交投标文件（响应文件）截止时间前3年内；</w:t>
            </w:r>
          </w:p>
          <w:p w14:paraId="36196F54">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（3）查询记录和证据的留存：信用信息查询记录和证据以网页截图等方式留存。</w:t>
            </w:r>
          </w:p>
          <w:p w14:paraId="081EEA7B">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559941D1">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（5）联合体成员任意一方存在不良信用记录的，视同联合体存在不良信用记录。</w:t>
            </w:r>
          </w:p>
        </w:tc>
      </w:tr>
      <w:tr w14:paraId="501F9DE3">
        <w:tblPrEx>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2EE7FE8E">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036D6892">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评标结果公示</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3CD0024C">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确定中标人之日起2个工作日内，发中标通知书，并同时将中标结果公示于浙江省政府采购网；</w:t>
            </w:r>
          </w:p>
        </w:tc>
      </w:tr>
      <w:tr w14:paraId="48B24466">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0716EF5E">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55BEAE8C">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签订合同时间</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7E1885D7">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中标通知书发出后20日内。</w:t>
            </w:r>
          </w:p>
        </w:tc>
      </w:tr>
      <w:tr w14:paraId="47280292">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5FE08CC7">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3FBAE30B">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投标保证金</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4F9458C3">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本项目不收取投标保证金。</w:t>
            </w:r>
          </w:p>
        </w:tc>
      </w:tr>
      <w:tr w14:paraId="2363FF8F">
        <w:tblPrEx>
          <w:tblCellMar>
            <w:top w:w="0" w:type="dxa"/>
            <w:left w:w="108" w:type="dxa"/>
            <w:bottom w:w="0" w:type="dxa"/>
            <w:right w:w="108" w:type="dxa"/>
          </w:tblCellMar>
        </w:tblPrEx>
        <w:trPr>
          <w:trHeight w:val="1163"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345BEAC7">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2B68F515">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履约保证金</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2CE8FAD8">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 xml:space="preserve">采购人要求中标或者成交供应商提交履约保证金的，供应商可以以支票、汇票、本票或者金融机构、担保机构出具的保函等非现金形式提交。本项目履约保证金按合同金额的 </w:t>
            </w:r>
            <w:r>
              <w:rPr>
                <w:rFonts w:hint="eastAsia" w:ascii="宋体" w:hAnsi="宋体" w:eastAsia="宋体" w:cs="宋体"/>
                <w:b/>
                <w:bCs/>
                <w:color w:val="auto"/>
                <w:sz w:val="21"/>
                <w:szCs w:val="21"/>
                <w:u w:val="single"/>
              </w:rPr>
              <w:t xml:space="preserve">1% </w:t>
            </w:r>
            <w:r>
              <w:rPr>
                <w:rFonts w:hint="eastAsia" w:ascii="宋体" w:hAnsi="宋体" w:eastAsia="宋体" w:cs="宋体"/>
                <w:color w:val="auto"/>
                <w:sz w:val="21"/>
                <w:szCs w:val="21"/>
              </w:rPr>
              <w:t>收取，在合同签订时向采购单位交纳。履约保证金自提交之日起至项目最终验收合格后十个工作日无息退还。</w:t>
            </w:r>
          </w:p>
        </w:tc>
      </w:tr>
      <w:tr w14:paraId="1CDCB026">
        <w:tblPrEx>
          <w:tblCellMar>
            <w:top w:w="0" w:type="dxa"/>
            <w:left w:w="108" w:type="dxa"/>
            <w:bottom w:w="0" w:type="dxa"/>
            <w:right w:w="108" w:type="dxa"/>
          </w:tblCellMar>
        </w:tblPrEx>
        <w:trPr>
          <w:trHeight w:val="1882"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49B65656">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2A68511F">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付款方式</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577A7D76">
            <w:pPr>
              <w:spacing w:line="440" w:lineRule="exact"/>
              <w:rPr>
                <w:rFonts w:ascii="宋体" w:hAnsi="宋体" w:eastAsia="宋体" w:cs="宋体"/>
                <w:color w:val="auto"/>
                <w:sz w:val="21"/>
                <w:szCs w:val="21"/>
              </w:rPr>
            </w:pPr>
            <w:r>
              <w:rPr>
                <w:rFonts w:hint="eastAsia" w:ascii="宋体" w:hAnsi="宋体" w:eastAsia="宋体" w:cs="宋体"/>
                <w:color w:val="auto"/>
                <w:sz w:val="21"/>
                <w:szCs w:val="21"/>
                <w:lang w:val="en-US" w:eastAsia="zh-CN"/>
              </w:rPr>
              <w:t>合同生效以及具备实施条件后 7 个工作日内，供应商出具预付款和履约保证金保函后 (可在政采云平台购买) ，采购人向中标人支付40%合同款。（按浙财监[2022]3号文件规定，合同签订时，中标人明确表示无需预付款或主动降低预付款比例的，采购单位可不适用前述规定。采购人根据项目特点、中标人诚信等因素，可要求中标人提供预付款保函），中标人按要求全部供货完成并通过验收合格后15个工作日内付清。</w:t>
            </w:r>
          </w:p>
        </w:tc>
      </w:tr>
      <w:tr w14:paraId="0EAB49D8">
        <w:tblPrEx>
          <w:tblCellMar>
            <w:top w:w="0" w:type="dxa"/>
            <w:left w:w="108" w:type="dxa"/>
            <w:bottom w:w="0" w:type="dxa"/>
            <w:right w:w="108" w:type="dxa"/>
          </w:tblCellMar>
        </w:tblPrEx>
        <w:trPr>
          <w:trHeight w:val="815"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61F7250C">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73CFDC55">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核心产品</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6407AFB1">
            <w:pPr>
              <w:widowControl/>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本项目的核心产品为：</w:t>
            </w:r>
            <w:r>
              <w:rPr>
                <w:rFonts w:hint="eastAsia" w:ascii="宋体" w:hAnsi="宋体" w:eastAsia="宋体" w:cs="宋体"/>
                <w:color w:val="auto"/>
                <w:sz w:val="21"/>
                <w:szCs w:val="21"/>
                <w:lang w:val="en-US" w:eastAsia="zh-CN"/>
              </w:rPr>
              <w:t xml:space="preserve"> 无 </w:t>
            </w:r>
          </w:p>
        </w:tc>
      </w:tr>
      <w:tr w14:paraId="2409E895">
        <w:tblPrEx>
          <w:tblCellMar>
            <w:top w:w="0" w:type="dxa"/>
            <w:left w:w="108" w:type="dxa"/>
            <w:bottom w:w="0" w:type="dxa"/>
            <w:right w:w="108" w:type="dxa"/>
          </w:tblCellMar>
        </w:tblPrEx>
        <w:trPr>
          <w:trHeight w:val="1072"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50F0C409">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0E6B3A1A">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54F300F3">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12300173">
        <w:tblPrEx>
          <w:tblCellMar>
            <w:top w:w="0" w:type="dxa"/>
            <w:left w:w="108" w:type="dxa"/>
            <w:bottom w:w="0" w:type="dxa"/>
            <w:right w:w="108" w:type="dxa"/>
          </w:tblCellMar>
        </w:tblPrEx>
        <w:trPr>
          <w:trHeight w:val="4378" w:hRule="atLeast"/>
        </w:trPr>
        <w:tc>
          <w:tcPr>
            <w:tcW w:w="494" w:type="dxa"/>
            <w:tcBorders>
              <w:top w:val="single" w:color="000000" w:sz="4" w:space="0"/>
              <w:left w:val="single" w:color="000000" w:sz="4" w:space="0"/>
              <w:bottom w:val="single" w:color="000000" w:sz="4" w:space="0"/>
              <w:right w:val="single" w:color="000000" w:sz="4" w:space="0"/>
              <w:tl2br w:val="nil"/>
              <w:tr2bl w:val="nil"/>
            </w:tcBorders>
            <w:vAlign w:val="center"/>
          </w:tcPr>
          <w:p w14:paraId="511DE6B7">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14:paraId="75BC8236">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扶持中小企业政策（监狱企业、残疾人福利性单位视同小微企业）</w:t>
            </w:r>
          </w:p>
        </w:tc>
        <w:tc>
          <w:tcPr>
            <w:tcW w:w="7700" w:type="dxa"/>
            <w:tcBorders>
              <w:top w:val="single" w:color="000000" w:sz="4" w:space="0"/>
              <w:left w:val="single" w:color="000000" w:sz="4" w:space="0"/>
              <w:bottom w:val="single" w:color="000000" w:sz="4" w:space="0"/>
              <w:right w:val="single" w:color="000000" w:sz="4" w:space="0"/>
              <w:tl2br w:val="nil"/>
              <w:tr2bl w:val="nil"/>
            </w:tcBorders>
            <w:vAlign w:val="center"/>
          </w:tcPr>
          <w:p w14:paraId="4C5DF9BA">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1C2236E">
            <w:pPr>
              <w:spacing w:line="440" w:lineRule="exact"/>
              <w:rPr>
                <w:rFonts w:ascii="宋体" w:hAnsi="宋体" w:eastAsia="宋体" w:cs="宋体"/>
                <w:color w:val="auto"/>
                <w:sz w:val="21"/>
                <w:szCs w:val="21"/>
                <w:highlight w:val="yellow"/>
              </w:rPr>
            </w:pPr>
            <w:r>
              <w:rPr>
                <w:rFonts w:hint="eastAsia" w:ascii="宋体" w:hAnsi="宋体" w:eastAsia="宋体" w:cs="宋体"/>
                <w:color w:val="auto"/>
                <w:sz w:val="21"/>
                <w:szCs w:val="21"/>
              </w:rPr>
              <w:t>（1）最高限价：</w:t>
            </w:r>
            <w:r>
              <w:rPr>
                <w:rFonts w:hint="eastAsia" w:ascii="宋体" w:hAnsi="宋体" w:eastAsia="宋体" w:cs="宋体"/>
                <w:color w:val="auto"/>
                <w:sz w:val="21"/>
                <w:szCs w:val="21"/>
                <w:highlight w:val="none"/>
                <w:u w:val="single"/>
                <w:lang w:val="en-US" w:eastAsia="zh-CN"/>
              </w:rPr>
              <w:t>744.8</w:t>
            </w:r>
            <w:r>
              <w:rPr>
                <w:rFonts w:hint="eastAsia" w:ascii="宋体" w:hAnsi="宋体" w:eastAsia="宋体" w:cs="宋体"/>
                <w:color w:val="auto"/>
                <w:sz w:val="21"/>
                <w:szCs w:val="21"/>
                <w:highlight w:val="none"/>
              </w:rPr>
              <w:t>万元</w:t>
            </w:r>
          </w:p>
          <w:p w14:paraId="6BB436F2">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（2）项目属性：②服务类（①货物类/②服务类/③工程类）</w:t>
            </w:r>
          </w:p>
          <w:p w14:paraId="3460FAF9">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（3）项目对应的中小企业划分标准所属行业：②服务类（根据《中小企业划型标准规定的通知》（工信部联企业〔2011〕300号）规定明确）</w:t>
            </w:r>
          </w:p>
          <w:p w14:paraId="0BE538A2">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（注：现行中小企业划分标准行业包括①农、林、牧、渔业/ ②工业/ ③建筑业/   ④批发业/ ⑤零售业/ ⑥交通运输业/ ⑦仓储业/ ⑧邮政业/ ⑨住宿业/ ⑩餐饮业/ ⑪信息传输业/ ⑫软件和信息技术服务业/ ⑬房地产开发经营/ ⑭物业管理/⑮租赁和商业服务业/ ⑯其他未列明行业等十六类）</w:t>
            </w:r>
          </w:p>
          <w:p w14:paraId="1B0CEACD">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（4）本项目</w:t>
            </w:r>
            <w:r>
              <w:rPr>
                <w:rFonts w:hint="eastAsia" w:ascii="宋体" w:hAnsi="宋体" w:eastAsia="宋体" w:cs="宋体"/>
                <w:color w:val="auto"/>
                <w:sz w:val="21"/>
                <w:szCs w:val="21"/>
                <w:u w:val="single"/>
              </w:rPr>
              <w:t xml:space="preserve"> ②否 </w:t>
            </w:r>
            <w:r>
              <w:rPr>
                <w:rFonts w:hint="eastAsia" w:ascii="宋体" w:hAnsi="宋体" w:eastAsia="宋体" w:cs="宋体"/>
                <w:color w:val="auto"/>
                <w:sz w:val="21"/>
                <w:szCs w:val="21"/>
              </w:rPr>
              <w:t>（①是/②否）属于预留份额专门面向中小企业采购的项目。</w:t>
            </w:r>
          </w:p>
          <w:p w14:paraId="1D2FA657">
            <w:pPr>
              <w:numPr>
                <w:ilvl w:val="0"/>
                <w:numId w:val="4"/>
              </w:num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上述第（4）项中确定为“①是”的采购项目，专门面向中小企业采购的项目或者标项，不再执行价格评审优惠的扶持政策。预留份额通过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措施进行：</w:t>
            </w:r>
          </w:p>
          <w:p w14:paraId="214DDF6A">
            <w:pPr>
              <w:numPr>
                <w:ilvl w:val="0"/>
                <w:numId w:val="4"/>
              </w:num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①将采购项目整体专门面向中小企业采购；</w:t>
            </w:r>
          </w:p>
          <w:p w14:paraId="69916A48">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②将采购项目标项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（一/二）专门面向中小企业采购；</w:t>
            </w:r>
          </w:p>
          <w:p w14:paraId="0F8848C7">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 xml:space="preserve">③要求供应商以联合体形式参加采购活动，且联合体中中小企业承担的部分达到  </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 xml:space="preserve">0% </w:t>
            </w:r>
            <w:r>
              <w:rPr>
                <w:rFonts w:hint="eastAsia" w:ascii="宋体" w:hAnsi="宋体" w:eastAsia="宋体" w:cs="宋体"/>
                <w:color w:val="auto"/>
                <w:sz w:val="21"/>
                <w:szCs w:val="21"/>
              </w:rPr>
              <w:t>以上；</w:t>
            </w:r>
          </w:p>
          <w:p w14:paraId="43E54DAD">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④要求获得采购合同的供应商将采购项目中的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(比例）分包给一家或者多家中小企业。</w:t>
            </w:r>
          </w:p>
          <w:p w14:paraId="2BA13949">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⑤组成联合体或者接受分包合同的中小企业与联合体内 其他企业、分包企业之间不得存在直接控股、管理关系。</w:t>
            </w:r>
          </w:p>
          <w:p w14:paraId="51D7CC3D">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（6）上述第（4）项中确定为“②否”的采购项目，即非专门面向中小微企业招标项目，执行价格评审优惠的扶持政策。相关政策按本招标文件（第五章  政府采购政策相关说明）执行。</w:t>
            </w:r>
          </w:p>
        </w:tc>
      </w:tr>
    </w:tbl>
    <w:p w14:paraId="7FE646A8">
      <w:pPr>
        <w:widowControl/>
        <w:spacing w:line="480" w:lineRule="exact"/>
        <w:ind w:firstLine="422" w:firstLineChars="200"/>
        <w:jc w:val="left"/>
        <w:rPr>
          <w:rFonts w:ascii="宋体" w:hAnsi="宋体" w:eastAsia="宋体" w:cs="宋体"/>
          <w:b/>
          <w:bCs/>
          <w:color w:val="auto"/>
          <w:sz w:val="21"/>
          <w:szCs w:val="21"/>
        </w:rPr>
        <w:sectPr>
          <w:headerReference r:id="rId5" w:type="default"/>
          <w:footerReference r:id="rId6" w:type="default"/>
          <w:pgSz w:w="11906" w:h="16838"/>
          <w:pgMar w:top="1417" w:right="1134" w:bottom="1417" w:left="1134" w:header="851" w:footer="992" w:gutter="0"/>
          <w:pgNumType w:fmt="decimal"/>
          <w:cols w:space="0" w:num="1"/>
          <w:rtlGutter w:val="0"/>
          <w:docGrid w:linePitch="312" w:charSpace="0"/>
        </w:sectPr>
      </w:pPr>
    </w:p>
    <w:p w14:paraId="2DE6E0AC">
      <w:pPr>
        <w:widowControl/>
        <w:spacing w:line="48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一、总则</w:t>
      </w:r>
      <w:bookmarkEnd w:id="71"/>
      <w:bookmarkEnd w:id="72"/>
      <w:bookmarkEnd w:id="73"/>
      <w:bookmarkEnd w:id="74"/>
      <w:bookmarkEnd w:id="75"/>
      <w:bookmarkEnd w:id="76"/>
      <w:bookmarkEnd w:id="77"/>
      <w:bookmarkEnd w:id="78"/>
      <w:bookmarkEnd w:id="79"/>
    </w:p>
    <w:p w14:paraId="6A4A7625">
      <w:pPr>
        <w:widowControl/>
        <w:spacing w:line="480" w:lineRule="exact"/>
        <w:ind w:firstLine="422" w:firstLineChars="200"/>
        <w:jc w:val="left"/>
        <w:rPr>
          <w:rFonts w:ascii="宋体" w:hAnsi="宋体" w:eastAsia="宋体" w:cs="宋体"/>
          <w:b/>
          <w:bCs/>
          <w:color w:val="auto"/>
          <w:sz w:val="21"/>
          <w:szCs w:val="21"/>
        </w:rPr>
      </w:pPr>
      <w:bookmarkStart w:id="80" w:name="_Toc13133"/>
      <w:bookmarkStart w:id="81" w:name="_Toc8924"/>
      <w:bookmarkStart w:id="82" w:name="_Toc17597"/>
      <w:bookmarkStart w:id="83" w:name="_Toc363"/>
      <w:bookmarkStart w:id="84" w:name="_Toc32099"/>
      <w:r>
        <w:rPr>
          <w:rFonts w:hint="eastAsia" w:ascii="宋体" w:hAnsi="宋体" w:eastAsia="宋体" w:cs="宋体"/>
          <w:b/>
          <w:bCs/>
          <w:color w:val="auto"/>
          <w:sz w:val="21"/>
          <w:szCs w:val="21"/>
        </w:rPr>
        <w:t>（一） 适用范围</w:t>
      </w:r>
      <w:bookmarkEnd w:id="80"/>
      <w:bookmarkEnd w:id="81"/>
      <w:bookmarkEnd w:id="82"/>
      <w:bookmarkEnd w:id="83"/>
      <w:bookmarkEnd w:id="84"/>
    </w:p>
    <w:p w14:paraId="6F88B754">
      <w:pPr>
        <w:widowControl/>
        <w:spacing w:line="48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本招标文件适用于</w:t>
      </w:r>
      <w:r>
        <w:rPr>
          <w:rFonts w:hint="eastAsia" w:ascii="宋体" w:hAnsi="宋体" w:eastAsia="宋体" w:cs="宋体"/>
          <w:b/>
          <w:bCs/>
          <w:color w:val="auto"/>
          <w:sz w:val="21"/>
          <w:szCs w:val="21"/>
          <w:lang w:eastAsia="zh-CN"/>
        </w:rPr>
        <w:t>2024-2025年冷水镇松材线虫病枯死松树清理服务</w:t>
      </w:r>
      <w:r>
        <w:rPr>
          <w:rFonts w:hint="eastAsia" w:ascii="宋体" w:hAnsi="宋体" w:eastAsia="宋体" w:cs="宋体"/>
          <w:color w:val="auto"/>
          <w:sz w:val="21"/>
          <w:szCs w:val="21"/>
        </w:rPr>
        <w:t>的招标、投标、评标、定标、验收、合同履约、付款等行为（法律、法规另有规定的，从其规定）。</w:t>
      </w:r>
    </w:p>
    <w:p w14:paraId="7D8EC457">
      <w:pPr>
        <w:widowControl/>
        <w:spacing w:line="480" w:lineRule="exact"/>
        <w:ind w:firstLine="422" w:firstLineChars="200"/>
        <w:jc w:val="left"/>
        <w:rPr>
          <w:rFonts w:ascii="宋体" w:hAnsi="宋体" w:eastAsia="宋体" w:cs="宋体"/>
          <w:b/>
          <w:bCs/>
          <w:color w:val="auto"/>
          <w:sz w:val="21"/>
          <w:szCs w:val="21"/>
        </w:rPr>
      </w:pPr>
      <w:bookmarkStart w:id="85" w:name="_Toc25456"/>
      <w:bookmarkStart w:id="86" w:name="_Toc24686"/>
      <w:bookmarkStart w:id="87" w:name="_Toc25060"/>
      <w:bookmarkStart w:id="88" w:name="_Toc17795"/>
      <w:bookmarkStart w:id="89" w:name="_Toc32680"/>
      <w:r>
        <w:rPr>
          <w:rFonts w:hint="eastAsia" w:ascii="宋体" w:hAnsi="宋体" w:eastAsia="宋体" w:cs="宋体"/>
          <w:b/>
          <w:bCs/>
          <w:color w:val="auto"/>
          <w:sz w:val="21"/>
          <w:szCs w:val="21"/>
        </w:rPr>
        <w:t>（二）定义</w:t>
      </w:r>
      <w:bookmarkEnd w:id="85"/>
      <w:bookmarkEnd w:id="86"/>
      <w:bookmarkEnd w:id="87"/>
      <w:bookmarkEnd w:id="88"/>
      <w:bookmarkEnd w:id="89"/>
    </w:p>
    <w:p w14:paraId="7A98173A">
      <w:pPr>
        <w:widowControl/>
        <w:spacing w:line="48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1.招标采购单位系指组织本次招标的</w:t>
      </w:r>
      <w:r>
        <w:rPr>
          <w:rFonts w:hint="eastAsia" w:ascii="宋体" w:hAnsi="宋体" w:eastAsia="宋体" w:cs="宋体"/>
          <w:b/>
          <w:bCs/>
          <w:color w:val="auto"/>
          <w:sz w:val="21"/>
          <w:szCs w:val="21"/>
          <w:lang w:eastAsia="zh-CN"/>
        </w:rPr>
        <w:t>浙江科佳工程咨询有限公司</w:t>
      </w:r>
      <w:r>
        <w:rPr>
          <w:rFonts w:hint="eastAsia" w:ascii="宋体" w:hAnsi="宋体" w:eastAsia="宋体" w:cs="宋体"/>
          <w:b/>
          <w:bCs/>
          <w:color w:val="auto"/>
          <w:sz w:val="21"/>
          <w:szCs w:val="21"/>
        </w:rPr>
        <w:t>（“招标方”）</w:t>
      </w:r>
      <w:r>
        <w:rPr>
          <w:rFonts w:hint="eastAsia" w:ascii="宋体" w:hAnsi="宋体" w:eastAsia="宋体" w:cs="宋体"/>
          <w:color w:val="auto"/>
          <w:sz w:val="21"/>
          <w:szCs w:val="21"/>
        </w:rPr>
        <w:t>和</w:t>
      </w:r>
      <w:r>
        <w:rPr>
          <w:rFonts w:hint="eastAsia" w:ascii="宋体" w:hAnsi="宋体" w:eastAsia="宋体" w:cs="宋体"/>
          <w:b/>
          <w:bCs/>
          <w:color w:val="auto"/>
          <w:sz w:val="21"/>
          <w:szCs w:val="21"/>
          <w:lang w:eastAsia="zh-CN"/>
        </w:rPr>
        <w:t>磐安县冷水镇人民政府</w:t>
      </w:r>
      <w:r>
        <w:rPr>
          <w:rFonts w:hint="eastAsia" w:ascii="宋体" w:hAnsi="宋体" w:eastAsia="宋体" w:cs="宋体"/>
          <w:b/>
          <w:bCs/>
          <w:color w:val="auto"/>
          <w:sz w:val="21"/>
          <w:szCs w:val="21"/>
        </w:rPr>
        <w:t>（“采购人”）</w:t>
      </w:r>
      <w:r>
        <w:rPr>
          <w:rFonts w:hint="eastAsia" w:ascii="宋体" w:hAnsi="宋体" w:eastAsia="宋体" w:cs="宋体"/>
          <w:color w:val="auto"/>
          <w:sz w:val="21"/>
          <w:szCs w:val="21"/>
        </w:rPr>
        <w:t>。</w:t>
      </w:r>
    </w:p>
    <w:p w14:paraId="1E302C7B">
      <w:pPr>
        <w:widowControl/>
        <w:spacing w:line="48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2.“投标人”系指向招标方提交投标文件的单位。</w:t>
      </w:r>
    </w:p>
    <w:p w14:paraId="1ACA967E">
      <w:pPr>
        <w:widowControl/>
        <w:spacing w:line="480" w:lineRule="exact"/>
        <w:ind w:firstLine="420" w:firstLineChars="200"/>
        <w:jc w:val="left"/>
        <w:rPr>
          <w:rFonts w:ascii="宋体" w:hAnsi="宋体" w:eastAsia="宋体" w:cs="宋体"/>
          <w:color w:val="auto"/>
          <w:sz w:val="21"/>
          <w:szCs w:val="21"/>
        </w:rPr>
      </w:pPr>
      <w:bookmarkStart w:id="90" w:name="_Toc835"/>
      <w:bookmarkStart w:id="91" w:name="_Toc3568"/>
      <w:bookmarkStart w:id="92" w:name="_Toc20622"/>
      <w:bookmarkStart w:id="93" w:name="_Toc16944"/>
      <w:bookmarkStart w:id="94" w:name="_Toc48"/>
      <w:r>
        <w:rPr>
          <w:rFonts w:hint="eastAsia" w:ascii="宋体" w:hAnsi="宋体" w:eastAsia="宋体" w:cs="宋体"/>
          <w:color w:val="auto"/>
          <w:sz w:val="21"/>
          <w:szCs w:val="21"/>
        </w:rPr>
        <w:t>3.“电子签名”系指数据电文中以电子形式所含、所附用于识别签名人身份并表明签名人认可其中内容的数据；“公章”系指投标文件中所涉及的加盖公章均采用CA电子签章。</w:t>
      </w:r>
      <w:bookmarkEnd w:id="90"/>
      <w:bookmarkEnd w:id="91"/>
      <w:bookmarkEnd w:id="92"/>
      <w:bookmarkEnd w:id="93"/>
      <w:bookmarkEnd w:id="94"/>
    </w:p>
    <w:p w14:paraId="39CB1377">
      <w:pPr>
        <w:widowControl/>
        <w:spacing w:line="480" w:lineRule="exact"/>
        <w:ind w:firstLine="420" w:firstLineChars="200"/>
        <w:jc w:val="left"/>
        <w:rPr>
          <w:rFonts w:ascii="宋体" w:hAnsi="宋体" w:eastAsia="宋体" w:cs="宋体"/>
          <w:color w:val="auto"/>
          <w:sz w:val="21"/>
          <w:szCs w:val="21"/>
        </w:rPr>
      </w:pPr>
      <w:bookmarkStart w:id="95" w:name="_Toc20446"/>
      <w:bookmarkStart w:id="96" w:name="_Toc16226"/>
      <w:bookmarkStart w:id="97" w:name="_Toc26912"/>
      <w:bookmarkStart w:id="98" w:name="_Toc1555"/>
      <w:bookmarkStart w:id="99" w:name="_Toc16109"/>
      <w:r>
        <w:rPr>
          <w:rFonts w:hint="eastAsia" w:ascii="宋体" w:hAnsi="宋体" w:eastAsia="宋体" w:cs="宋体"/>
          <w:color w:val="auto"/>
          <w:sz w:val="21"/>
          <w:szCs w:val="21"/>
        </w:rPr>
        <w:t>4.“电子交易平台”是指本项目政府采购活动所依托的政府采购云平台（https://www.zcygov.cn/）。</w:t>
      </w:r>
      <w:bookmarkEnd w:id="95"/>
      <w:bookmarkEnd w:id="96"/>
      <w:bookmarkEnd w:id="97"/>
      <w:bookmarkEnd w:id="98"/>
      <w:bookmarkEnd w:id="99"/>
    </w:p>
    <w:p w14:paraId="0B2F04D9">
      <w:pPr>
        <w:snapToGrid w:val="0"/>
        <w:spacing w:line="400" w:lineRule="exact"/>
        <w:ind w:firstLine="420" w:firstLineChars="200"/>
        <w:jc w:val="left"/>
        <w:rPr>
          <w:rFonts w:ascii="宋体" w:hAnsi="宋体" w:eastAsia="宋体" w:cs="宋体"/>
          <w:color w:val="auto"/>
          <w:sz w:val="21"/>
          <w:szCs w:val="21"/>
        </w:rPr>
      </w:pPr>
      <w:bookmarkStart w:id="100" w:name="_Toc9580"/>
      <w:bookmarkStart w:id="101" w:name="_Toc32163"/>
      <w:bookmarkStart w:id="102" w:name="_Toc8582"/>
      <w:bookmarkStart w:id="103" w:name="_Toc31468"/>
      <w:bookmarkStart w:id="104" w:name="_Toc16702"/>
      <w:r>
        <w:rPr>
          <w:rFonts w:hint="eastAsia" w:ascii="宋体" w:hAnsi="宋体" w:eastAsia="宋体" w:cs="宋体"/>
          <w:color w:val="auto"/>
          <w:sz w:val="21"/>
          <w:szCs w:val="21"/>
        </w:rPr>
        <w:t xml:space="preserve">5. </w:t>
      </w:r>
      <w:bookmarkEnd w:id="100"/>
      <w:bookmarkEnd w:id="101"/>
      <w:bookmarkEnd w:id="102"/>
      <w:bookmarkEnd w:id="103"/>
      <w:bookmarkEnd w:id="104"/>
      <w:r>
        <w:rPr>
          <w:rFonts w:hint="eastAsia" w:ascii="宋体" w:hAnsi="宋体" w:eastAsia="宋体" w:cs="宋体"/>
          <w:color w:val="auto"/>
          <w:sz w:val="21"/>
          <w:szCs w:val="21"/>
        </w:rPr>
        <w:t>“▲” 系指实质性要求条款，“★”系产品采购项目中重要参数。</w:t>
      </w:r>
    </w:p>
    <w:p w14:paraId="7C0015DF">
      <w:pPr>
        <w:widowControl/>
        <w:spacing w:line="480" w:lineRule="exact"/>
        <w:ind w:firstLine="422" w:firstLineChars="200"/>
        <w:jc w:val="left"/>
        <w:rPr>
          <w:rFonts w:ascii="宋体" w:hAnsi="宋体" w:eastAsia="宋体" w:cs="宋体"/>
          <w:b/>
          <w:bCs/>
          <w:color w:val="auto"/>
          <w:sz w:val="21"/>
          <w:szCs w:val="21"/>
        </w:rPr>
      </w:pPr>
      <w:bookmarkStart w:id="105" w:name="_Toc10000"/>
      <w:bookmarkStart w:id="106" w:name="_Toc27853"/>
      <w:bookmarkStart w:id="107" w:name="_Toc6535"/>
      <w:bookmarkStart w:id="108" w:name="_Toc30903"/>
      <w:bookmarkStart w:id="109" w:name="_Toc2587"/>
      <w:r>
        <w:rPr>
          <w:rFonts w:hint="eastAsia" w:ascii="宋体" w:hAnsi="宋体" w:eastAsia="宋体" w:cs="宋体"/>
          <w:b/>
          <w:bCs/>
          <w:color w:val="auto"/>
          <w:sz w:val="21"/>
          <w:szCs w:val="21"/>
        </w:rPr>
        <w:t>（三）招标方式</w:t>
      </w:r>
      <w:bookmarkEnd w:id="105"/>
      <w:bookmarkEnd w:id="106"/>
      <w:bookmarkEnd w:id="107"/>
      <w:bookmarkEnd w:id="108"/>
      <w:bookmarkEnd w:id="109"/>
    </w:p>
    <w:p w14:paraId="44ED87DB">
      <w:pPr>
        <w:widowControl/>
        <w:spacing w:line="48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本次招标采用公开招标方式进行。</w:t>
      </w:r>
    </w:p>
    <w:p w14:paraId="07FF2F50">
      <w:pPr>
        <w:widowControl/>
        <w:spacing w:line="480" w:lineRule="exact"/>
        <w:ind w:firstLine="422" w:firstLineChars="200"/>
        <w:jc w:val="left"/>
        <w:rPr>
          <w:rFonts w:ascii="宋体" w:hAnsi="宋体" w:eastAsia="宋体" w:cs="宋体"/>
          <w:b/>
          <w:bCs/>
          <w:color w:val="auto"/>
          <w:sz w:val="21"/>
          <w:szCs w:val="21"/>
        </w:rPr>
      </w:pPr>
      <w:bookmarkStart w:id="110" w:name="_Toc15865"/>
      <w:bookmarkStart w:id="111" w:name="_Toc7882"/>
      <w:bookmarkStart w:id="112" w:name="_Toc16932"/>
      <w:bookmarkStart w:id="113" w:name="_Toc4962"/>
      <w:bookmarkStart w:id="114" w:name="_Toc19949"/>
      <w:r>
        <w:rPr>
          <w:rFonts w:hint="eastAsia" w:ascii="宋体" w:hAnsi="宋体" w:eastAsia="宋体" w:cs="宋体"/>
          <w:b/>
          <w:bCs/>
          <w:color w:val="auto"/>
          <w:sz w:val="21"/>
          <w:szCs w:val="21"/>
        </w:rPr>
        <w:t>（四）投标委托</w:t>
      </w:r>
      <w:bookmarkEnd w:id="110"/>
      <w:bookmarkEnd w:id="111"/>
      <w:bookmarkEnd w:id="112"/>
      <w:bookmarkEnd w:id="113"/>
      <w:bookmarkEnd w:id="114"/>
    </w:p>
    <w:p w14:paraId="1B431C6D">
      <w:pPr>
        <w:widowControl/>
        <w:spacing w:line="480" w:lineRule="exact"/>
        <w:ind w:firstLine="420" w:firstLineChars="200"/>
        <w:jc w:val="left"/>
        <w:rPr>
          <w:rFonts w:ascii="宋体" w:hAnsi="宋体" w:eastAsia="宋体" w:cs="宋体"/>
          <w:color w:val="auto"/>
          <w:sz w:val="21"/>
          <w:szCs w:val="21"/>
        </w:rPr>
      </w:pPr>
      <w:bookmarkStart w:id="115" w:name="_Toc7017"/>
      <w:bookmarkStart w:id="116" w:name="_Toc21699"/>
      <w:bookmarkStart w:id="117" w:name="_Toc1675"/>
      <w:bookmarkStart w:id="118" w:name="_Toc15588"/>
      <w:bookmarkStart w:id="119" w:name="_Toc255"/>
      <w:r>
        <w:rPr>
          <w:rFonts w:hint="eastAsia" w:ascii="宋体" w:hAnsi="宋体" w:eastAsia="宋体" w:cs="宋体"/>
          <w:color w:val="auto"/>
          <w:sz w:val="21"/>
          <w:szCs w:val="21"/>
        </w:rPr>
        <w:t>本项目采用在线投标响应方式，执行《浙江省财政厅关于印发浙江省政府采购项目电子交易管理暂行办法的通知》（浙财采监〔2019〕10 号）等相关规定。</w:t>
      </w:r>
    </w:p>
    <w:p w14:paraId="7E78DFE6">
      <w:pPr>
        <w:widowControl/>
        <w:spacing w:line="48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417AEAC5">
      <w:pPr>
        <w:widowControl/>
        <w:spacing w:line="48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投标人未按招标文件要求派代表参加电子开标会议的，视同认可开标结果，不得对开标过程及开标结果提出质疑。</w:t>
      </w:r>
      <w:bookmarkEnd w:id="115"/>
      <w:bookmarkEnd w:id="116"/>
      <w:bookmarkEnd w:id="117"/>
      <w:bookmarkEnd w:id="118"/>
      <w:bookmarkEnd w:id="119"/>
    </w:p>
    <w:p w14:paraId="2261D218">
      <w:pPr>
        <w:widowControl/>
        <w:spacing w:line="48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（五）转包和分包</w:t>
      </w:r>
    </w:p>
    <w:p w14:paraId="273DA329">
      <w:pPr>
        <w:snapToGrid w:val="0"/>
        <w:spacing w:line="400" w:lineRule="exact"/>
        <w:ind w:firstLine="630" w:firstLineChars="300"/>
        <w:rPr>
          <w:rFonts w:ascii="宋体" w:hAnsi="宋体" w:eastAsia="宋体" w:cs="宋体"/>
          <w:color w:val="auto"/>
          <w:sz w:val="21"/>
          <w:szCs w:val="21"/>
        </w:rPr>
      </w:pPr>
      <w:bookmarkStart w:id="120" w:name="_Toc10240"/>
      <w:bookmarkStart w:id="121" w:name="_Toc26291"/>
      <w:bookmarkStart w:id="122" w:name="_Toc28200"/>
      <w:bookmarkStart w:id="123" w:name="_Toc6127"/>
      <w:bookmarkStart w:id="124" w:name="_Toc15773"/>
      <w:r>
        <w:rPr>
          <w:rFonts w:hint="eastAsia" w:ascii="宋体" w:hAnsi="宋体" w:eastAsia="宋体" w:cs="宋体"/>
          <w:color w:val="auto"/>
          <w:sz w:val="21"/>
          <w:szCs w:val="21"/>
        </w:rPr>
        <w:t>本项目</w:t>
      </w:r>
      <w:r>
        <w:rPr>
          <w:rFonts w:hint="eastAsia" w:ascii="宋体" w:hAnsi="宋体" w:eastAsia="宋体" w:cs="宋体"/>
          <w:b/>
          <w:bCs/>
          <w:color w:val="auto"/>
          <w:sz w:val="21"/>
          <w:szCs w:val="21"/>
        </w:rPr>
        <w:t>不允许</w:t>
      </w:r>
      <w:r>
        <w:rPr>
          <w:rFonts w:hint="eastAsia" w:ascii="宋体" w:hAnsi="宋体" w:eastAsia="宋体" w:cs="宋体"/>
          <w:color w:val="auto"/>
          <w:sz w:val="21"/>
          <w:szCs w:val="21"/>
        </w:rPr>
        <w:t>转包。分包须经采购人书面同意后方可实施。</w:t>
      </w:r>
    </w:p>
    <w:p w14:paraId="51D0F250">
      <w:pPr>
        <w:widowControl/>
        <w:spacing w:line="48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（六）特别说明：</w:t>
      </w:r>
      <w:bookmarkEnd w:id="120"/>
      <w:bookmarkEnd w:id="121"/>
      <w:bookmarkEnd w:id="122"/>
      <w:bookmarkEnd w:id="123"/>
      <w:bookmarkEnd w:id="124"/>
    </w:p>
    <w:p w14:paraId="264498FA">
      <w:pPr>
        <w:spacing w:line="480" w:lineRule="exact"/>
        <w:ind w:firstLine="210" w:firstLineChars="100"/>
        <w:rPr>
          <w:rFonts w:ascii="宋体" w:hAnsi="宋体" w:eastAsia="宋体" w:cs="宋体"/>
          <w:color w:val="auto"/>
          <w:sz w:val="21"/>
          <w:szCs w:val="21"/>
        </w:rPr>
      </w:pPr>
      <w:bookmarkStart w:id="125" w:name="_Toc22711"/>
      <w:bookmarkStart w:id="126" w:name="_Toc16041"/>
      <w:bookmarkStart w:id="127" w:name="_Toc20289"/>
      <w:bookmarkStart w:id="128" w:name="_Toc13579"/>
      <w:bookmarkStart w:id="129" w:name="_Toc31223"/>
      <w:bookmarkStart w:id="130" w:name="_Toc27921"/>
      <w:bookmarkStart w:id="131" w:name="_Toc18823"/>
      <w:bookmarkStart w:id="132" w:name="_Toc16817"/>
      <w:bookmarkStart w:id="133" w:name="_Toc21517"/>
      <w:bookmarkStart w:id="134" w:name="_Toc28428"/>
      <w:bookmarkStart w:id="135" w:name="_Toc15408"/>
      <w:bookmarkStart w:id="136" w:name="_Toc4337"/>
      <w:r>
        <w:rPr>
          <w:rFonts w:hint="eastAsia" w:ascii="宋体" w:hAnsi="宋体" w:eastAsia="宋体" w:cs="宋体"/>
          <w:color w:val="auto"/>
          <w:sz w:val="21"/>
          <w:szCs w:val="21"/>
        </w:rPr>
        <w:t>▲1.</w:t>
      </w:r>
      <w:bookmarkStart w:id="137" w:name="OLE_LINK1"/>
      <w:r>
        <w:rPr>
          <w:rFonts w:hint="eastAsia" w:ascii="宋体" w:hAnsi="宋体" w:eastAsia="宋体" w:cs="宋体"/>
          <w:color w:val="auto"/>
          <w:sz w:val="21"/>
          <w:szCs w:val="21"/>
        </w:rPr>
        <w:t>多家供应商参加投标，提供相同品牌产品</w:t>
      </w:r>
      <w:bookmarkEnd w:id="137"/>
      <w:r>
        <w:rPr>
          <w:rFonts w:hint="eastAsia" w:ascii="宋体" w:hAnsi="宋体" w:eastAsia="宋体" w:cs="宋体"/>
          <w:color w:val="auto"/>
          <w:sz w:val="21"/>
          <w:szCs w:val="21"/>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56BCDE">
      <w:pPr>
        <w:snapToGrid w:val="0"/>
        <w:spacing w:line="480" w:lineRule="exact"/>
        <w:ind w:firstLine="413" w:firstLineChars="196"/>
        <w:jc w:val="left"/>
        <w:rPr>
          <w:rFonts w:ascii="宋体" w:hAnsi="宋体" w:eastAsia="宋体" w:cs="宋体"/>
          <w:color w:val="auto"/>
          <w:sz w:val="21"/>
          <w:szCs w:val="21"/>
        </w:rPr>
      </w:pPr>
      <w:r>
        <w:rPr>
          <w:rFonts w:hint="eastAsia" w:ascii="宋体" w:hAnsi="宋体" w:eastAsia="宋体" w:cs="宋体"/>
          <w:b/>
          <w:bCs/>
          <w:color w:val="auto"/>
          <w:sz w:val="21"/>
          <w:szCs w:val="21"/>
        </w:rPr>
        <w:t>非单一产品采购项目，投标人使用相同产品的价格总和均超过项目各自投标总价50%及以上的，按一家投标人认定。多家投标人提供的核心产品品牌相同的，按前两款规定处理。</w:t>
      </w:r>
    </w:p>
    <w:p w14:paraId="3379D51A">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2.（1）投标人投标所使用的资格、信誉、荣誉、业绩与企业认证必须为本法人所拥有。</w:t>
      </w:r>
    </w:p>
    <w:p w14:paraId="4ABCDAC7">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▲（2）投标人投标所使用的采购项目实施人员必须为本法人员工（或必须为本法人或控股公司正式员工）。</w:t>
      </w:r>
    </w:p>
    <w:p w14:paraId="2FFC5E2F">
      <w:pPr>
        <w:spacing w:line="480" w:lineRule="exact"/>
        <w:ind w:firstLine="464"/>
        <w:rPr>
          <w:rFonts w:ascii="宋体" w:hAnsi="宋体" w:eastAsia="宋体" w:cs="宋体"/>
          <w:color w:val="auto"/>
          <w:sz w:val="21"/>
          <w:szCs w:val="21"/>
        </w:rPr>
      </w:pPr>
      <w:r>
        <w:rPr>
          <w:rFonts w:hint="eastAsia" w:ascii="宋体" w:hAnsi="宋体" w:eastAsia="宋体" w:cs="宋体"/>
          <w:color w:val="auto"/>
          <w:sz w:val="21"/>
          <w:szCs w:val="21"/>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2B4FEB94">
      <w:pPr>
        <w:spacing w:line="480" w:lineRule="exact"/>
        <w:ind w:firstLine="464"/>
        <w:rPr>
          <w:rFonts w:ascii="宋体" w:hAnsi="宋体" w:eastAsia="宋体" w:cs="宋体"/>
          <w:color w:val="auto"/>
          <w:sz w:val="21"/>
          <w:szCs w:val="21"/>
        </w:rPr>
      </w:pPr>
      <w:r>
        <w:rPr>
          <w:rFonts w:hint="eastAsia" w:ascii="宋体" w:hAnsi="宋体" w:eastAsia="宋体" w:cs="宋体"/>
          <w:color w:val="auto"/>
          <w:sz w:val="21"/>
          <w:szCs w:val="21"/>
        </w:rPr>
        <w:t>4.除单一来源采购项目外，为采购项目提供整体设计、规范编制或者项目管理、监理、检测等服务的供应商，不得再参加该采购项目的其他采购活动。</w:t>
      </w:r>
    </w:p>
    <w:p w14:paraId="7B34BC48">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5.支持绿色发展</w:t>
      </w:r>
    </w:p>
    <w:p w14:paraId="30668EAD">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E0316A1">
      <w:pPr>
        <w:widowControl/>
        <w:spacing w:line="48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二、招标文件</w:t>
      </w:r>
      <w:bookmarkEnd w:id="125"/>
      <w:bookmarkEnd w:id="126"/>
      <w:bookmarkEnd w:id="127"/>
      <w:bookmarkEnd w:id="128"/>
      <w:bookmarkEnd w:id="129"/>
      <w:bookmarkEnd w:id="130"/>
      <w:bookmarkEnd w:id="131"/>
      <w:bookmarkEnd w:id="132"/>
      <w:bookmarkEnd w:id="133"/>
      <w:bookmarkEnd w:id="134"/>
      <w:bookmarkEnd w:id="135"/>
      <w:bookmarkEnd w:id="136"/>
    </w:p>
    <w:p w14:paraId="335C5ABC">
      <w:pPr>
        <w:snapToGrid w:val="0"/>
        <w:spacing w:line="480" w:lineRule="exact"/>
        <w:ind w:firstLine="422" w:firstLineChars="200"/>
        <w:jc w:val="left"/>
        <w:rPr>
          <w:rFonts w:ascii="宋体" w:hAnsi="宋体" w:eastAsia="宋体" w:cs="宋体"/>
          <w:b/>
          <w:color w:val="auto"/>
          <w:sz w:val="21"/>
          <w:szCs w:val="21"/>
        </w:rPr>
      </w:pPr>
      <w:r>
        <w:rPr>
          <w:rFonts w:hint="eastAsia" w:ascii="宋体" w:hAnsi="宋体" w:eastAsia="宋体" w:cs="宋体"/>
          <w:b/>
          <w:color w:val="auto"/>
          <w:sz w:val="21"/>
          <w:szCs w:val="21"/>
        </w:rPr>
        <w:t>（一）招标文件的构成。</w:t>
      </w:r>
    </w:p>
    <w:p w14:paraId="01BA914B">
      <w:pPr>
        <w:spacing w:line="480" w:lineRule="exact"/>
        <w:rPr>
          <w:rFonts w:ascii="宋体" w:hAnsi="宋体" w:eastAsia="宋体" w:cs="宋体"/>
          <w:color w:val="auto"/>
          <w:sz w:val="21"/>
          <w:szCs w:val="21"/>
        </w:rPr>
      </w:pPr>
      <w:r>
        <w:rPr>
          <w:rFonts w:hint="eastAsia" w:ascii="宋体" w:hAnsi="宋体" w:eastAsia="宋体" w:cs="宋体"/>
          <w:color w:val="auto"/>
          <w:sz w:val="21"/>
          <w:szCs w:val="21"/>
        </w:rPr>
        <w:t>按《目录》</w:t>
      </w:r>
    </w:p>
    <w:p w14:paraId="0BEF0DC7">
      <w:pPr>
        <w:snapToGrid w:val="0"/>
        <w:spacing w:line="480" w:lineRule="exact"/>
        <w:ind w:firstLine="422" w:firstLineChars="200"/>
        <w:jc w:val="left"/>
        <w:rPr>
          <w:rFonts w:ascii="宋体" w:hAnsi="宋体" w:eastAsia="宋体" w:cs="宋体"/>
          <w:b/>
          <w:color w:val="auto"/>
          <w:sz w:val="21"/>
          <w:szCs w:val="21"/>
        </w:rPr>
      </w:pPr>
      <w:r>
        <w:rPr>
          <w:rFonts w:hint="eastAsia" w:ascii="宋体" w:hAnsi="宋体" w:eastAsia="宋体" w:cs="宋体"/>
          <w:b/>
          <w:color w:val="auto"/>
          <w:sz w:val="21"/>
          <w:szCs w:val="21"/>
        </w:rPr>
        <w:t>（二）投标人的风险</w:t>
      </w:r>
    </w:p>
    <w:p w14:paraId="731A1F18">
      <w:pPr>
        <w:spacing w:line="480" w:lineRule="exact"/>
        <w:rPr>
          <w:rFonts w:ascii="宋体" w:hAnsi="宋体" w:eastAsia="宋体" w:cs="宋体"/>
          <w:color w:val="auto"/>
          <w:sz w:val="21"/>
          <w:szCs w:val="21"/>
        </w:rPr>
      </w:pPr>
      <w:r>
        <w:rPr>
          <w:rFonts w:hint="eastAsia" w:ascii="宋体" w:hAnsi="宋体" w:eastAsia="宋体" w:cs="宋体"/>
          <w:color w:val="auto"/>
          <w:sz w:val="21"/>
          <w:szCs w:val="21"/>
        </w:rPr>
        <w:t>投标人没有按照招标文件要求提供全部资料，或者投标人没有对招标文件在各方面作出实质性响应是投标人的风险，并可能导致其投标被拒绝。</w:t>
      </w:r>
    </w:p>
    <w:p w14:paraId="398FF1D4">
      <w:pPr>
        <w:snapToGrid w:val="0"/>
        <w:spacing w:line="480" w:lineRule="exact"/>
        <w:ind w:firstLine="422" w:firstLineChars="200"/>
        <w:jc w:val="left"/>
        <w:rPr>
          <w:rFonts w:ascii="宋体" w:hAnsi="宋体" w:eastAsia="宋体" w:cs="宋体"/>
          <w:b/>
          <w:color w:val="auto"/>
          <w:sz w:val="21"/>
          <w:szCs w:val="21"/>
        </w:rPr>
      </w:pPr>
      <w:r>
        <w:rPr>
          <w:rFonts w:hint="eastAsia" w:ascii="宋体" w:hAnsi="宋体" w:eastAsia="宋体" w:cs="宋体"/>
          <w:b/>
          <w:color w:val="auto"/>
          <w:sz w:val="21"/>
          <w:szCs w:val="21"/>
        </w:rPr>
        <w:t xml:space="preserve">（三）招标文件的澄清与修改 </w:t>
      </w:r>
    </w:p>
    <w:p w14:paraId="5DF31BE7">
      <w:pPr>
        <w:spacing w:line="480" w:lineRule="exact"/>
        <w:jc w:val="left"/>
        <w:rPr>
          <w:rFonts w:ascii="宋体" w:hAnsi="宋体" w:eastAsia="宋体" w:cs="宋体"/>
          <w:color w:val="auto"/>
          <w:sz w:val="21"/>
          <w:szCs w:val="21"/>
        </w:rPr>
      </w:pPr>
      <w:bookmarkStart w:id="138" w:name="_Toc505"/>
      <w:bookmarkStart w:id="139" w:name="_Toc32490"/>
      <w:bookmarkStart w:id="140" w:name="_Toc3857"/>
      <w:bookmarkStart w:id="141" w:name="_Toc32299"/>
      <w:bookmarkStart w:id="142" w:name="_Toc21585"/>
      <w:bookmarkStart w:id="143" w:name="_Toc10219"/>
      <w:bookmarkStart w:id="144" w:name="_Toc31619"/>
      <w:bookmarkStart w:id="145" w:name="_Toc29942"/>
      <w:bookmarkStart w:id="146" w:name="_Toc6991"/>
      <w:r>
        <w:rPr>
          <w:rFonts w:hint="eastAsia" w:ascii="宋体" w:hAnsi="宋体" w:eastAsia="宋体" w:cs="宋体"/>
          <w:color w:val="auto"/>
          <w:sz w:val="21"/>
          <w:szCs w:val="21"/>
        </w:rPr>
        <w:t>1.投标人应认真阅读本招标文件，发现其中有误或有不合理要求的，投标人必须在递交投标文件截止时间七日前，以书面形式要求采购代理机构或采购人澄清。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14:paraId="043A14E5">
      <w:pPr>
        <w:spacing w:line="480" w:lineRule="exact"/>
        <w:jc w:val="left"/>
        <w:rPr>
          <w:rFonts w:ascii="宋体" w:hAnsi="宋体" w:eastAsia="宋体" w:cs="宋体"/>
          <w:color w:val="auto"/>
          <w:sz w:val="21"/>
          <w:szCs w:val="21"/>
        </w:rPr>
      </w:pPr>
      <w:r>
        <w:rPr>
          <w:rFonts w:hint="eastAsia" w:ascii="宋体" w:hAnsi="宋体" w:eastAsia="宋体" w:cs="宋体"/>
          <w:color w:val="auto"/>
          <w:sz w:val="21"/>
          <w:szCs w:val="21"/>
        </w:rPr>
        <w:t>2.采购代理机构根据实际情况，以书面或采购信息发布媒体上发布的形式答复投标人要求澄清的问题，不包含问题来源。</w:t>
      </w:r>
    </w:p>
    <w:p w14:paraId="2201C2D3">
      <w:pPr>
        <w:spacing w:line="480" w:lineRule="exact"/>
        <w:jc w:val="left"/>
        <w:rPr>
          <w:rFonts w:ascii="宋体" w:hAnsi="宋体" w:eastAsia="宋体" w:cs="宋体"/>
          <w:color w:val="auto"/>
          <w:sz w:val="21"/>
          <w:szCs w:val="21"/>
        </w:rPr>
      </w:pPr>
      <w:r>
        <w:rPr>
          <w:rFonts w:hint="eastAsia" w:ascii="宋体" w:hAns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01927A1A">
      <w:pPr>
        <w:spacing w:line="480" w:lineRule="exact"/>
        <w:jc w:val="left"/>
        <w:rPr>
          <w:rFonts w:ascii="宋体" w:hAnsi="宋体" w:eastAsia="宋体" w:cs="宋体"/>
          <w:color w:val="auto"/>
          <w:sz w:val="21"/>
          <w:szCs w:val="21"/>
        </w:rPr>
      </w:pPr>
      <w:r>
        <w:rPr>
          <w:rFonts w:hint="eastAsia" w:ascii="宋体" w:hAnsi="宋体" w:eastAsia="宋体" w:cs="宋体"/>
          <w:color w:val="auto"/>
          <w:sz w:val="21"/>
          <w:szCs w:val="21"/>
        </w:rPr>
        <w:t>4.招标文件的澄清、答复、修改或补充都应该通过本代理机构以法定形式发布，采购人非通过本机构，不得擅自澄清、答复、修改或补充招标文件。</w:t>
      </w:r>
    </w:p>
    <w:p w14:paraId="78972B8A">
      <w:pPr>
        <w:widowControl/>
        <w:spacing w:line="48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三、投标文件的编制</w:t>
      </w:r>
      <w:bookmarkEnd w:id="138"/>
      <w:bookmarkEnd w:id="139"/>
      <w:bookmarkEnd w:id="140"/>
      <w:bookmarkEnd w:id="141"/>
      <w:bookmarkEnd w:id="142"/>
      <w:bookmarkEnd w:id="143"/>
      <w:bookmarkEnd w:id="144"/>
      <w:bookmarkEnd w:id="145"/>
      <w:bookmarkEnd w:id="146"/>
    </w:p>
    <w:p w14:paraId="33D0A452">
      <w:pPr>
        <w:snapToGrid w:val="0"/>
        <w:spacing w:line="360" w:lineRule="auto"/>
        <w:ind w:firstLine="420" w:firstLineChars="200"/>
        <w:jc w:val="left"/>
        <w:outlineLvl w:val="2"/>
        <w:rPr>
          <w:rFonts w:ascii="宋体" w:hAnsi="宋体" w:eastAsia="宋体" w:cs="宋体"/>
          <w:bCs/>
          <w:color w:val="auto"/>
          <w:sz w:val="21"/>
          <w:szCs w:val="21"/>
        </w:rPr>
      </w:pPr>
      <w:r>
        <w:rPr>
          <w:rFonts w:hint="eastAsia" w:ascii="宋体" w:hAnsi="宋体" w:eastAsia="宋体" w:cs="宋体"/>
          <w:bCs/>
          <w:color w:val="auto"/>
          <w:sz w:val="21"/>
          <w:szCs w:val="21"/>
        </w:rPr>
        <w:t>注：投标人应保证所提供文件资料的真实性，所有文件资料必须是针对本次投标的。如发现投标人提供了虚假文件资料，其投标将被拒绝，并自行承担相应的法律责任。</w:t>
      </w:r>
    </w:p>
    <w:p w14:paraId="2DFA73EF">
      <w:pPr>
        <w:snapToGrid w:val="0"/>
        <w:spacing w:line="360" w:lineRule="auto"/>
        <w:ind w:firstLine="420" w:firstLineChars="200"/>
        <w:jc w:val="left"/>
        <w:outlineLvl w:val="2"/>
        <w:rPr>
          <w:rFonts w:ascii="宋体" w:hAnsi="宋体" w:eastAsia="宋体" w:cs="宋体"/>
          <w:bCs/>
          <w:color w:val="auto"/>
          <w:sz w:val="21"/>
          <w:szCs w:val="21"/>
        </w:rPr>
      </w:pPr>
      <w:bookmarkStart w:id="147" w:name="_Toc985"/>
      <w:bookmarkStart w:id="148" w:name="_Toc6708"/>
      <w:bookmarkStart w:id="149" w:name="_Toc1643"/>
      <w:r>
        <w:rPr>
          <w:rFonts w:hint="eastAsia" w:ascii="宋体" w:hAnsi="宋体" w:eastAsia="宋体" w:cs="宋体"/>
          <w:bCs/>
          <w:color w:val="auto"/>
          <w:sz w:val="21"/>
          <w:szCs w:val="21"/>
        </w:rPr>
        <w:t>（一）投标文件的形式和效力</w:t>
      </w:r>
      <w:bookmarkEnd w:id="147"/>
      <w:bookmarkEnd w:id="148"/>
      <w:bookmarkEnd w:id="149"/>
    </w:p>
    <w:p w14:paraId="72A6C4B6">
      <w:pPr>
        <w:snapToGrid w:val="0"/>
        <w:spacing w:line="360" w:lineRule="auto"/>
        <w:ind w:firstLine="420" w:firstLineChars="200"/>
        <w:jc w:val="left"/>
        <w:outlineLvl w:val="2"/>
        <w:rPr>
          <w:rFonts w:ascii="宋体" w:hAnsi="宋体" w:eastAsia="宋体" w:cs="宋体"/>
          <w:bCs/>
          <w:color w:val="auto"/>
          <w:sz w:val="21"/>
          <w:szCs w:val="21"/>
        </w:rPr>
      </w:pPr>
      <w:bookmarkStart w:id="150" w:name="_Toc1160"/>
      <w:bookmarkStart w:id="151" w:name="_Toc15545"/>
      <w:bookmarkStart w:id="152" w:name="_Toc14660"/>
      <w:r>
        <w:rPr>
          <w:rFonts w:hint="eastAsia" w:ascii="宋体" w:hAnsi="宋体" w:eastAsia="宋体" w:cs="宋体"/>
          <w:bCs/>
          <w:color w:val="auto"/>
          <w:sz w:val="21"/>
          <w:szCs w:val="21"/>
        </w:rPr>
        <w:t>1. 投标文件分为电子投标文件以及备份投标文件，备份文件分为备份电子投标文件和纸质备份投标文件两部分。（其中备份投标文件的提供与否不做强制性要求）</w:t>
      </w:r>
      <w:bookmarkEnd w:id="150"/>
      <w:bookmarkEnd w:id="151"/>
      <w:bookmarkEnd w:id="152"/>
    </w:p>
    <w:p w14:paraId="23356F32">
      <w:pPr>
        <w:snapToGrid w:val="0"/>
        <w:spacing w:line="360" w:lineRule="auto"/>
        <w:ind w:firstLine="420" w:firstLineChars="200"/>
        <w:jc w:val="left"/>
        <w:rPr>
          <w:rFonts w:ascii="宋体" w:hAnsi="宋体" w:eastAsia="宋体" w:cs="宋体"/>
          <w:bCs/>
          <w:color w:val="auto"/>
          <w:sz w:val="21"/>
          <w:szCs w:val="21"/>
        </w:rPr>
      </w:pPr>
      <w:bookmarkStart w:id="153" w:name="_Toc20478"/>
      <w:bookmarkStart w:id="154" w:name="_Toc23694"/>
      <w:bookmarkStart w:id="155" w:name="_Toc8383"/>
      <w:bookmarkStart w:id="156" w:name="_Toc2210"/>
      <w:bookmarkStart w:id="157" w:name="_Toc22499"/>
      <w:bookmarkStart w:id="158" w:name="_Toc13124"/>
      <w:r>
        <w:rPr>
          <w:rFonts w:hint="eastAsia" w:ascii="宋体" w:hAnsi="宋体" w:eastAsia="宋体" w:cs="宋体"/>
          <w:bCs/>
          <w:color w:val="auto"/>
          <w:sz w:val="21"/>
          <w:szCs w:val="21"/>
        </w:rPr>
        <w:t>（1）电子投标文件编制请按政府采购云平台供应商项目采购－电子招投标操作指南</w:t>
      </w:r>
      <w:r>
        <w:rPr>
          <w:rFonts w:hint="eastAsia" w:ascii="宋体" w:hAnsi="宋体" w:eastAsia="宋体" w:cs="宋体"/>
          <w:bCs/>
          <w:color w:val="auto"/>
          <w:spacing w:val="-11"/>
          <w:sz w:val="21"/>
          <w:szCs w:val="21"/>
        </w:rPr>
        <w:t>（</w:t>
      </w:r>
      <w:r>
        <w:rPr>
          <w:color w:val="auto"/>
          <w:sz w:val="21"/>
          <w:szCs w:val="21"/>
        </w:rPr>
        <w:fldChar w:fldCharType="begin"/>
      </w:r>
      <w:r>
        <w:rPr>
          <w:color w:val="auto"/>
          <w:sz w:val="21"/>
          <w:szCs w:val="21"/>
        </w:rPr>
        <w:instrText xml:space="preserve"> HYPERLINK "https://service.zcygov.cn/" \l "/knowledges/CW1EtGwBFdiHxlNd6I3m/6IMVAG0BFdiHxlNdQ8Na" </w:instrText>
      </w:r>
      <w:r>
        <w:rPr>
          <w:color w:val="auto"/>
          <w:sz w:val="21"/>
          <w:szCs w:val="21"/>
        </w:rPr>
        <w:fldChar w:fldCharType="separate"/>
      </w:r>
      <w:r>
        <w:rPr>
          <w:rFonts w:hint="eastAsia" w:ascii="宋体" w:hAnsi="宋体" w:eastAsia="宋体" w:cs="宋体"/>
          <w:bCs/>
          <w:color w:val="auto"/>
          <w:spacing w:val="-11"/>
          <w:sz w:val="21"/>
          <w:szCs w:val="21"/>
        </w:rPr>
        <w:t>https://service.zcygov.cn/#/knowledges/CW1EtGwBFdiHxlNd6I3m/6ImVAG0BFdiHxlNdQ8Na</w:t>
      </w:r>
      <w:r>
        <w:rPr>
          <w:rFonts w:hint="eastAsia" w:ascii="宋体" w:hAnsi="宋体" w:eastAsia="宋体" w:cs="宋体"/>
          <w:bCs/>
          <w:color w:val="auto"/>
          <w:spacing w:val="-11"/>
          <w:sz w:val="21"/>
          <w:szCs w:val="21"/>
        </w:rPr>
        <w:fldChar w:fldCharType="end"/>
      </w:r>
      <w:r>
        <w:rPr>
          <w:rFonts w:hint="eastAsia" w:ascii="宋体" w:hAnsi="宋体" w:eastAsia="宋体" w:cs="宋体"/>
          <w:bCs/>
          <w:color w:val="auto"/>
          <w:spacing w:val="-11"/>
          <w:sz w:val="21"/>
          <w:szCs w:val="21"/>
        </w:rPr>
        <w:t>）</w:t>
      </w:r>
      <w:r>
        <w:rPr>
          <w:rFonts w:hint="eastAsia" w:ascii="宋体" w:hAnsi="宋体" w:eastAsia="宋体" w:cs="宋体"/>
          <w:bCs/>
          <w:color w:val="auto"/>
          <w:sz w:val="21"/>
          <w:szCs w:val="21"/>
        </w:rPr>
        <w:t>和本招标文件要求编制并进行关联定位。</w:t>
      </w:r>
      <w:bookmarkEnd w:id="153"/>
      <w:bookmarkEnd w:id="154"/>
      <w:bookmarkEnd w:id="155"/>
    </w:p>
    <w:p w14:paraId="365A065E">
      <w:pPr>
        <w:snapToGrid w:val="0"/>
        <w:spacing w:line="360" w:lineRule="auto"/>
        <w:ind w:firstLine="420" w:firstLineChars="200"/>
        <w:jc w:val="left"/>
        <w:outlineLvl w:val="2"/>
        <w:rPr>
          <w:rFonts w:ascii="宋体" w:hAnsi="宋体" w:eastAsia="宋体" w:cs="宋体"/>
          <w:bCs/>
          <w:color w:val="auto"/>
          <w:sz w:val="21"/>
          <w:szCs w:val="21"/>
        </w:rPr>
      </w:pPr>
      <w:r>
        <w:rPr>
          <w:rFonts w:hint="eastAsia" w:ascii="宋体" w:hAnsi="宋体" w:eastAsia="宋体" w:cs="宋体"/>
          <w:bCs/>
          <w:color w:val="auto"/>
          <w:sz w:val="21"/>
          <w:szCs w:val="21"/>
        </w:rPr>
        <w:t>（2）备份电子投标文件：即电子投标文件按“政采云供应商项目采购－电子招投标操作指南”制作的备份文件。</w:t>
      </w:r>
      <w:bookmarkEnd w:id="156"/>
      <w:bookmarkEnd w:id="157"/>
      <w:bookmarkEnd w:id="158"/>
    </w:p>
    <w:p w14:paraId="67EF3612">
      <w:pPr>
        <w:snapToGrid w:val="0"/>
        <w:spacing w:line="360" w:lineRule="auto"/>
        <w:ind w:firstLine="420" w:firstLineChars="200"/>
        <w:jc w:val="left"/>
        <w:outlineLvl w:val="2"/>
        <w:rPr>
          <w:rFonts w:ascii="宋体" w:hAnsi="宋体" w:eastAsia="宋体" w:cs="宋体"/>
          <w:bCs/>
          <w:color w:val="auto"/>
          <w:sz w:val="21"/>
          <w:szCs w:val="21"/>
        </w:rPr>
      </w:pPr>
      <w:bookmarkStart w:id="159" w:name="_Toc21980"/>
      <w:bookmarkStart w:id="160" w:name="_Toc24783"/>
      <w:bookmarkStart w:id="161" w:name="_Toc3026"/>
      <w:r>
        <w:rPr>
          <w:rFonts w:hint="eastAsia" w:ascii="宋体" w:hAnsi="宋体" w:eastAsia="宋体" w:cs="宋体"/>
          <w:bCs/>
          <w:color w:val="auto"/>
          <w:sz w:val="21"/>
          <w:szCs w:val="21"/>
        </w:rPr>
        <w:t>（3）纸质备份投标文件：系电子投标文件纸质版，按照“（二）投标文件的组成”要求制作。</w:t>
      </w:r>
      <w:bookmarkEnd w:id="159"/>
      <w:bookmarkEnd w:id="160"/>
      <w:bookmarkEnd w:id="161"/>
    </w:p>
    <w:p w14:paraId="1360F890">
      <w:pPr>
        <w:snapToGrid w:val="0"/>
        <w:spacing w:line="360" w:lineRule="auto"/>
        <w:ind w:firstLine="420" w:firstLineChars="200"/>
        <w:jc w:val="left"/>
        <w:outlineLvl w:val="2"/>
        <w:rPr>
          <w:rFonts w:ascii="宋体" w:hAnsi="宋体" w:eastAsia="宋体" w:cs="宋体"/>
          <w:bCs/>
          <w:color w:val="auto"/>
          <w:sz w:val="21"/>
          <w:szCs w:val="21"/>
        </w:rPr>
      </w:pPr>
      <w:bookmarkStart w:id="162" w:name="_Toc25995"/>
      <w:bookmarkStart w:id="163" w:name="_Toc1528"/>
      <w:bookmarkStart w:id="164" w:name="_Toc20678"/>
      <w:r>
        <w:rPr>
          <w:rFonts w:hint="eastAsia" w:ascii="宋体" w:hAnsi="宋体" w:eastAsia="宋体" w:cs="宋体"/>
          <w:bCs/>
          <w:color w:val="auto"/>
          <w:sz w:val="21"/>
          <w:szCs w:val="21"/>
        </w:rPr>
        <w:t>2.投标文件的效力</w:t>
      </w:r>
      <w:bookmarkEnd w:id="162"/>
      <w:bookmarkEnd w:id="163"/>
      <w:bookmarkEnd w:id="164"/>
    </w:p>
    <w:p w14:paraId="21F752F4">
      <w:pPr>
        <w:snapToGrid w:val="0"/>
        <w:spacing w:line="360" w:lineRule="auto"/>
        <w:ind w:firstLine="420" w:firstLineChars="200"/>
        <w:jc w:val="left"/>
        <w:outlineLvl w:val="2"/>
        <w:rPr>
          <w:rFonts w:ascii="宋体" w:hAnsi="宋体" w:eastAsia="宋体" w:cs="宋体"/>
          <w:bCs/>
          <w:color w:val="auto"/>
          <w:sz w:val="21"/>
          <w:szCs w:val="21"/>
        </w:rPr>
      </w:pPr>
      <w:bookmarkStart w:id="165" w:name="_Toc13794"/>
      <w:bookmarkStart w:id="166" w:name="_Toc10246"/>
      <w:bookmarkStart w:id="167" w:name="_Toc23835"/>
      <w:r>
        <w:rPr>
          <w:rFonts w:hint="eastAsia" w:ascii="宋体" w:hAnsi="宋体" w:eastAsia="宋体" w:cs="宋体"/>
          <w:bCs/>
          <w:color w:val="auto"/>
          <w:sz w:val="21"/>
          <w:szCs w:val="21"/>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65"/>
      <w:bookmarkEnd w:id="166"/>
      <w:bookmarkEnd w:id="167"/>
    </w:p>
    <w:p w14:paraId="67702F03">
      <w:pPr>
        <w:snapToGrid w:val="0"/>
        <w:spacing w:line="480" w:lineRule="exact"/>
        <w:ind w:firstLine="413" w:firstLineChars="196"/>
        <w:jc w:val="left"/>
        <w:rPr>
          <w:rFonts w:ascii="宋体" w:hAnsi="宋体" w:eastAsia="宋体" w:cs="宋体"/>
          <w:b/>
          <w:color w:val="auto"/>
          <w:sz w:val="21"/>
          <w:szCs w:val="21"/>
        </w:rPr>
      </w:pPr>
      <w:bookmarkStart w:id="168" w:name="_Toc7298"/>
      <w:bookmarkStart w:id="169" w:name="_Toc14880"/>
      <w:bookmarkStart w:id="170" w:name="_Toc27236"/>
      <w:r>
        <w:rPr>
          <w:rFonts w:hint="eastAsia" w:ascii="宋体" w:hAnsi="宋体" w:eastAsia="宋体" w:cs="宋体"/>
          <w:b/>
          <w:color w:val="auto"/>
          <w:sz w:val="21"/>
          <w:szCs w:val="21"/>
        </w:rPr>
        <w:t>（二）投标文件的组成</w:t>
      </w:r>
      <w:bookmarkEnd w:id="168"/>
      <w:bookmarkEnd w:id="169"/>
      <w:bookmarkEnd w:id="170"/>
    </w:p>
    <w:p w14:paraId="4AC99DFF">
      <w:pPr>
        <w:snapToGrid w:val="0"/>
        <w:spacing w:line="480" w:lineRule="exact"/>
        <w:ind w:firstLine="411" w:firstLineChars="196"/>
        <w:jc w:val="left"/>
        <w:rPr>
          <w:rFonts w:ascii="宋体" w:hAnsi="宋体" w:eastAsia="宋体" w:cs="宋体"/>
          <w:b/>
          <w:bCs/>
          <w:color w:val="auto"/>
          <w:sz w:val="21"/>
          <w:szCs w:val="21"/>
        </w:rPr>
      </w:pPr>
      <w:bookmarkStart w:id="171" w:name="_Toc22737"/>
      <w:bookmarkStart w:id="172" w:name="_Toc24122"/>
      <w:bookmarkStart w:id="173" w:name="_Toc23987"/>
      <w:r>
        <w:rPr>
          <w:rFonts w:hint="eastAsia" w:ascii="宋体" w:hAnsi="宋体" w:eastAsia="宋体" w:cs="宋体"/>
          <w:bCs/>
          <w:color w:val="auto"/>
          <w:sz w:val="21"/>
          <w:szCs w:val="21"/>
        </w:rPr>
        <w:t>投标文件（包括电子投标文件和备份投标文件）由</w:t>
      </w:r>
      <w:r>
        <w:rPr>
          <w:rFonts w:hint="eastAsia" w:ascii="宋体" w:hAnsi="宋体" w:eastAsia="宋体" w:cs="宋体"/>
          <w:b/>
          <w:color w:val="auto"/>
          <w:sz w:val="21"/>
          <w:szCs w:val="21"/>
        </w:rPr>
        <w:t>资格审查文件</w:t>
      </w:r>
      <w:r>
        <w:rPr>
          <w:rFonts w:hint="eastAsia" w:ascii="宋体" w:hAnsi="宋体" w:eastAsia="宋体" w:cs="宋体"/>
          <w:bCs/>
          <w:color w:val="auto"/>
          <w:sz w:val="21"/>
          <w:szCs w:val="21"/>
        </w:rPr>
        <w:t>、</w:t>
      </w:r>
      <w:r>
        <w:rPr>
          <w:rFonts w:hint="eastAsia" w:ascii="宋体" w:hAnsi="宋体" w:eastAsia="宋体" w:cs="宋体"/>
          <w:b/>
          <w:color w:val="auto"/>
          <w:sz w:val="21"/>
          <w:szCs w:val="21"/>
        </w:rPr>
        <w:t>技术商务文件</w:t>
      </w:r>
      <w:r>
        <w:rPr>
          <w:rFonts w:hint="eastAsia" w:ascii="宋体" w:hAnsi="宋体" w:eastAsia="宋体" w:cs="宋体"/>
          <w:bCs/>
          <w:color w:val="auto"/>
          <w:sz w:val="21"/>
          <w:szCs w:val="21"/>
        </w:rPr>
        <w:t>和</w:t>
      </w:r>
      <w:r>
        <w:rPr>
          <w:rFonts w:hint="eastAsia" w:ascii="宋体" w:hAnsi="宋体" w:eastAsia="宋体" w:cs="宋体"/>
          <w:b/>
          <w:color w:val="auto"/>
          <w:sz w:val="21"/>
          <w:szCs w:val="21"/>
        </w:rPr>
        <w:t>报价文件</w:t>
      </w:r>
      <w:r>
        <w:rPr>
          <w:rFonts w:hint="eastAsia" w:ascii="宋体" w:hAnsi="宋体" w:eastAsia="宋体" w:cs="宋体"/>
          <w:bCs/>
          <w:color w:val="auto"/>
          <w:sz w:val="21"/>
          <w:szCs w:val="21"/>
        </w:rPr>
        <w:t>三部分组成。</w:t>
      </w:r>
      <w:bookmarkEnd w:id="171"/>
      <w:bookmarkEnd w:id="172"/>
      <w:bookmarkEnd w:id="173"/>
      <w:bookmarkStart w:id="174" w:name="_Toc23025"/>
      <w:bookmarkStart w:id="175" w:name="_Toc13109"/>
      <w:bookmarkStart w:id="176" w:name="_Toc23514"/>
      <w:r>
        <w:rPr>
          <w:rFonts w:hint="eastAsia" w:ascii="宋体" w:hAnsi="宋体" w:eastAsia="宋体" w:cs="宋体"/>
          <w:bCs/>
          <w:color w:val="auto"/>
          <w:sz w:val="21"/>
          <w:szCs w:val="21"/>
        </w:rPr>
        <w:t>备份电子投标文件，按政采云平台项目采购－电子招投标操作指南中上传的电子投标文件格式，以光盘或U盘形式提供。数量为1份。</w:t>
      </w:r>
      <w:bookmarkEnd w:id="174"/>
      <w:bookmarkEnd w:id="175"/>
      <w:bookmarkEnd w:id="176"/>
    </w:p>
    <w:p w14:paraId="084B437A">
      <w:pPr>
        <w:snapToGrid w:val="0"/>
        <w:spacing w:line="480" w:lineRule="exact"/>
        <w:ind w:firstLine="413" w:firstLineChars="196"/>
        <w:jc w:val="left"/>
        <w:rPr>
          <w:rFonts w:ascii="宋体" w:hAnsi="宋体" w:eastAsia="宋体" w:cs="宋体"/>
          <w:b/>
          <w:bCs/>
          <w:color w:val="auto"/>
          <w:sz w:val="21"/>
          <w:szCs w:val="21"/>
        </w:rPr>
      </w:pPr>
      <w:r>
        <w:rPr>
          <w:rFonts w:hint="eastAsia" w:ascii="宋体" w:hAnsi="宋体" w:eastAsia="宋体" w:cs="宋体"/>
          <w:b/>
          <w:bCs/>
          <w:color w:val="auto"/>
          <w:sz w:val="21"/>
          <w:szCs w:val="21"/>
        </w:rPr>
        <w:t>1.资格审查文件</w:t>
      </w:r>
    </w:p>
    <w:tbl>
      <w:tblPr>
        <w:tblStyle w:val="19"/>
        <w:tblW w:w="91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2578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38B5B137">
            <w:pPr>
              <w:autoSpaceDE w:val="0"/>
              <w:autoSpaceDN w:val="0"/>
              <w:adjustRightInd w:val="0"/>
              <w:snapToGrid w:val="0"/>
              <w:spacing w:line="430" w:lineRule="atLeast"/>
              <w:jc w:val="center"/>
              <w:rPr>
                <w:rFonts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8399" w:type="dxa"/>
            <w:tcBorders>
              <w:tl2br w:val="nil"/>
              <w:tr2bl w:val="nil"/>
            </w:tcBorders>
          </w:tcPr>
          <w:p w14:paraId="14EA9F7A">
            <w:pPr>
              <w:autoSpaceDE w:val="0"/>
              <w:autoSpaceDN w:val="0"/>
              <w:adjustRightInd w:val="0"/>
              <w:snapToGrid w:val="0"/>
              <w:spacing w:line="430" w:lineRule="atLeast"/>
              <w:rPr>
                <w:rFonts w:ascii="宋体" w:hAnsi="宋体" w:eastAsia="宋体" w:cs="宋体"/>
                <w:color w:val="auto"/>
                <w:sz w:val="21"/>
                <w:szCs w:val="21"/>
              </w:rPr>
            </w:pPr>
            <w:r>
              <w:rPr>
                <w:rFonts w:hint="eastAsia" w:ascii="宋体" w:hAnsi="宋体" w:eastAsia="宋体" w:cs="宋体"/>
                <w:color w:val="auto"/>
                <w:sz w:val="21"/>
                <w:szCs w:val="21"/>
                <w:lang w:val="zh-CN"/>
              </w:rPr>
              <w:t>内容（</w:t>
            </w:r>
            <w:r>
              <w:rPr>
                <w:rFonts w:hint="eastAsia" w:ascii="宋体" w:hAnsi="宋体" w:eastAsia="宋体" w:cs="宋体"/>
                <w:b/>
                <w:color w:val="auto"/>
                <w:sz w:val="21"/>
                <w:szCs w:val="21"/>
                <w:lang w:val="zh-CN"/>
              </w:rPr>
              <w:t>以下内容投标供应商必须提供，否则不能通过资格审查的，责任自负。</w:t>
            </w:r>
            <w:r>
              <w:rPr>
                <w:rFonts w:hint="eastAsia" w:ascii="宋体" w:hAnsi="宋体" w:eastAsia="宋体" w:cs="宋体"/>
                <w:color w:val="auto"/>
                <w:sz w:val="21"/>
                <w:szCs w:val="21"/>
                <w:lang w:val="zh-CN"/>
              </w:rPr>
              <w:t>）</w:t>
            </w:r>
          </w:p>
        </w:tc>
      </w:tr>
      <w:tr w14:paraId="4B1C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74711E49">
            <w:pPr>
              <w:autoSpaceDE w:val="0"/>
              <w:autoSpaceDN w:val="0"/>
              <w:adjustRightInd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399" w:type="dxa"/>
            <w:tcBorders>
              <w:tl2br w:val="nil"/>
              <w:tr2bl w:val="nil"/>
            </w:tcBorders>
            <w:vAlign w:val="top"/>
          </w:tcPr>
          <w:p w14:paraId="0FBBC57A">
            <w:pPr>
              <w:autoSpaceDE w:val="0"/>
              <w:autoSpaceDN w:val="0"/>
              <w:adjustRightInd w:val="0"/>
              <w:snapToGrid w:val="0"/>
              <w:spacing w:line="440" w:lineRule="exact"/>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rPr>
              <w:t>资格声明函</w:t>
            </w:r>
          </w:p>
        </w:tc>
      </w:tr>
      <w:tr w14:paraId="5D91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7CB7F6F0">
            <w:pPr>
              <w:autoSpaceDE w:val="0"/>
              <w:autoSpaceDN w:val="0"/>
              <w:adjustRightInd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399" w:type="dxa"/>
            <w:tcBorders>
              <w:tl2br w:val="nil"/>
              <w:tr2bl w:val="nil"/>
            </w:tcBorders>
            <w:vAlign w:val="top"/>
          </w:tcPr>
          <w:p w14:paraId="7F069315">
            <w:pPr>
              <w:autoSpaceDE w:val="0"/>
              <w:autoSpaceDN w:val="0"/>
              <w:adjustRightInd w:val="0"/>
              <w:snapToGrid w:val="0"/>
              <w:spacing w:line="440" w:lineRule="exact"/>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投标单位情况表</w:t>
            </w:r>
          </w:p>
        </w:tc>
      </w:tr>
      <w:tr w14:paraId="4D14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4DBA73A6">
            <w:pPr>
              <w:autoSpaceDE w:val="0"/>
              <w:autoSpaceDN w:val="0"/>
              <w:adjustRightInd w:val="0"/>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399" w:type="dxa"/>
            <w:tcBorders>
              <w:tl2br w:val="nil"/>
              <w:tr2bl w:val="nil"/>
            </w:tcBorders>
            <w:vAlign w:val="top"/>
          </w:tcPr>
          <w:p w14:paraId="5F9F8468">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投标供应商的营业执照（若联合体投标，联合体各方均需提供，扫描件加盖公章）</w:t>
            </w:r>
          </w:p>
        </w:tc>
      </w:tr>
      <w:tr w14:paraId="2DF5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132D12B2">
            <w:pPr>
              <w:autoSpaceDE w:val="0"/>
              <w:autoSpaceDN w:val="0"/>
              <w:adjustRightInd w:val="0"/>
              <w:snapToGri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399" w:type="dxa"/>
            <w:tcBorders>
              <w:tl2br w:val="nil"/>
              <w:tr2bl w:val="nil"/>
            </w:tcBorders>
            <w:vAlign w:val="top"/>
          </w:tcPr>
          <w:p w14:paraId="4ABD2DBC">
            <w:pPr>
              <w:autoSpaceDE w:val="0"/>
              <w:autoSpaceDN w:val="0"/>
              <w:adjustRightInd w:val="0"/>
              <w:snapToGrid w:val="0"/>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资质证书副本</w:t>
            </w:r>
            <w:r>
              <w:rPr>
                <w:rFonts w:hint="eastAsia" w:ascii="宋体" w:hAnsi="宋体" w:eastAsia="宋体" w:cs="宋体"/>
                <w:color w:val="auto"/>
                <w:sz w:val="21"/>
                <w:szCs w:val="21"/>
              </w:rPr>
              <w:t>（若联合体投标，联合体各方均需提供，扫描件加盖公章）</w:t>
            </w:r>
            <w:r>
              <w:rPr>
                <w:rFonts w:hint="eastAsia" w:ascii="宋体" w:hAnsi="宋体" w:eastAsia="宋体" w:cs="宋体"/>
                <w:color w:val="auto"/>
                <w:sz w:val="21"/>
                <w:szCs w:val="21"/>
                <w:lang w:eastAsia="zh-CN"/>
              </w:rPr>
              <w:t>如有提供</w:t>
            </w:r>
          </w:p>
        </w:tc>
      </w:tr>
      <w:tr w14:paraId="162C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041426E4">
            <w:pPr>
              <w:autoSpaceDE w:val="0"/>
              <w:autoSpaceDN w:val="0"/>
              <w:adjustRightInd w:val="0"/>
              <w:snapToGrid w:val="0"/>
              <w:spacing w:line="440" w:lineRule="exac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5</w:t>
            </w:r>
          </w:p>
        </w:tc>
        <w:tc>
          <w:tcPr>
            <w:tcW w:w="8399" w:type="dxa"/>
            <w:tcBorders>
              <w:tl2br w:val="nil"/>
              <w:tr2bl w:val="nil"/>
            </w:tcBorders>
            <w:vAlign w:val="top"/>
          </w:tcPr>
          <w:p w14:paraId="1F38F259">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政府采购供应商诚信承诺书（若联合体投标，联合体各方均需提供）</w:t>
            </w:r>
          </w:p>
        </w:tc>
      </w:tr>
      <w:tr w14:paraId="1F93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4A59325B">
            <w:pPr>
              <w:autoSpaceDE w:val="0"/>
              <w:autoSpaceDN w:val="0"/>
              <w:adjustRightInd w:val="0"/>
              <w:snapToGrid w:val="0"/>
              <w:spacing w:line="440" w:lineRule="exac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6</w:t>
            </w:r>
          </w:p>
        </w:tc>
        <w:tc>
          <w:tcPr>
            <w:tcW w:w="8399" w:type="dxa"/>
            <w:tcBorders>
              <w:tl2br w:val="nil"/>
              <w:tr2bl w:val="nil"/>
            </w:tcBorders>
            <w:vAlign w:val="center"/>
          </w:tcPr>
          <w:p w14:paraId="465BF29B">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无围标串标等负面行为承诺书、《供应商市场行为信誉情况承诺书》（若联合体投标，联合体各方均需提供）</w:t>
            </w:r>
          </w:p>
        </w:tc>
      </w:tr>
      <w:tr w14:paraId="238E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7D07E3C5">
            <w:pPr>
              <w:autoSpaceDE w:val="0"/>
              <w:autoSpaceDN w:val="0"/>
              <w:adjustRightInd w:val="0"/>
              <w:snapToGrid w:val="0"/>
              <w:spacing w:line="440" w:lineRule="exact"/>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7</w:t>
            </w:r>
          </w:p>
        </w:tc>
        <w:tc>
          <w:tcPr>
            <w:tcW w:w="8399" w:type="dxa"/>
            <w:tcBorders>
              <w:tl2br w:val="nil"/>
              <w:tr2bl w:val="nil"/>
            </w:tcBorders>
            <w:vAlign w:val="center"/>
          </w:tcPr>
          <w:p w14:paraId="55B11F35">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投标供应商“信用中国”(www.creditchina.gov.cn)；“中国政府采购网”（www.ccgp.gov.cn）信用记录查询网页截图（招标公告发布之日至投标截止时间前）</w:t>
            </w:r>
          </w:p>
        </w:tc>
      </w:tr>
      <w:tr w14:paraId="2C3E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2D2D9F8C">
            <w:pPr>
              <w:autoSpaceDE w:val="0"/>
              <w:autoSpaceDN w:val="0"/>
              <w:adjustRightInd w:val="0"/>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8</w:t>
            </w:r>
          </w:p>
        </w:tc>
        <w:tc>
          <w:tcPr>
            <w:tcW w:w="8399" w:type="dxa"/>
            <w:tcBorders>
              <w:tl2br w:val="nil"/>
              <w:tr2bl w:val="nil"/>
            </w:tcBorders>
            <w:vAlign w:val="top"/>
          </w:tcPr>
          <w:p w14:paraId="1736EEBA">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与参加本次项目同一合同项下政府采购活动的其他供应商不存在单位负责人为同一人或者直接控股、管理关系的承诺函</w:t>
            </w:r>
          </w:p>
        </w:tc>
      </w:tr>
      <w:tr w14:paraId="1D3E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378BE08A">
            <w:pPr>
              <w:autoSpaceDE w:val="0"/>
              <w:autoSpaceDN w:val="0"/>
              <w:adjustRightInd w:val="0"/>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9</w:t>
            </w:r>
          </w:p>
        </w:tc>
        <w:tc>
          <w:tcPr>
            <w:tcW w:w="8399" w:type="dxa"/>
            <w:tcBorders>
              <w:tl2br w:val="nil"/>
              <w:tr2bl w:val="nil"/>
            </w:tcBorders>
            <w:vAlign w:val="center"/>
          </w:tcPr>
          <w:p w14:paraId="6B6A47F6">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法定代表人授权书，法定代表人参与投标的需提供法人身份证及法定代表人的身份证扫描件（联合体牵头方提供）</w:t>
            </w:r>
          </w:p>
        </w:tc>
      </w:tr>
      <w:tr w14:paraId="28E5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040421D4">
            <w:pPr>
              <w:autoSpaceDE w:val="0"/>
              <w:autoSpaceDN w:val="0"/>
              <w:adjustRightInd w:val="0"/>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10</w:t>
            </w:r>
          </w:p>
        </w:tc>
        <w:tc>
          <w:tcPr>
            <w:tcW w:w="8399" w:type="dxa"/>
            <w:tcBorders>
              <w:tl2br w:val="nil"/>
              <w:tr2bl w:val="nil"/>
            </w:tcBorders>
            <w:vAlign w:val="top"/>
          </w:tcPr>
          <w:p w14:paraId="125431DE">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符合参加政府采购活动应当具备的一般条件的承诺函（联合体各方均需提供）</w:t>
            </w:r>
          </w:p>
        </w:tc>
      </w:tr>
      <w:tr w14:paraId="7116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680C3EAF">
            <w:pPr>
              <w:autoSpaceDE w:val="0"/>
              <w:autoSpaceDN w:val="0"/>
              <w:adjustRightInd w:val="0"/>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11</w:t>
            </w:r>
          </w:p>
        </w:tc>
        <w:tc>
          <w:tcPr>
            <w:tcW w:w="8399" w:type="dxa"/>
            <w:tcBorders>
              <w:tl2br w:val="nil"/>
              <w:tr2bl w:val="nil"/>
            </w:tcBorders>
            <w:vAlign w:val="top"/>
          </w:tcPr>
          <w:p w14:paraId="46333AC7">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联合投标协议书（若联合体投标，需提供）</w:t>
            </w:r>
          </w:p>
        </w:tc>
      </w:tr>
      <w:tr w14:paraId="4D1C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540FAB66">
            <w:pPr>
              <w:autoSpaceDE w:val="0"/>
              <w:autoSpaceDN w:val="0"/>
              <w:adjustRightInd w:val="0"/>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12</w:t>
            </w:r>
          </w:p>
        </w:tc>
        <w:tc>
          <w:tcPr>
            <w:tcW w:w="8399" w:type="dxa"/>
            <w:tcBorders>
              <w:tl2br w:val="nil"/>
              <w:tr2bl w:val="nil"/>
            </w:tcBorders>
            <w:vAlign w:val="top"/>
          </w:tcPr>
          <w:p w14:paraId="23CAB2C5">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中小企业相关材料（小微企业、监狱企业、残疾人福利性单位）</w:t>
            </w:r>
            <w:r>
              <w:rPr>
                <w:rFonts w:hint="eastAsia" w:ascii="宋体" w:hAnsi="宋体" w:eastAsia="宋体" w:cs="宋体"/>
                <w:color w:val="auto"/>
                <w:sz w:val="21"/>
                <w:szCs w:val="21"/>
                <w:lang w:eastAsia="zh-CN"/>
              </w:rPr>
              <w:t>面向中小企业采购时必须在资格审查文件中提供，非面向中小企业采购时在报价文件中提供。</w:t>
            </w:r>
          </w:p>
        </w:tc>
      </w:tr>
      <w:tr w14:paraId="21B3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0F1CAE99">
            <w:pPr>
              <w:autoSpaceDE w:val="0"/>
              <w:autoSpaceDN w:val="0"/>
              <w:adjustRightInd w:val="0"/>
              <w:snapToGrid w:val="0"/>
              <w:spacing w:line="4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8399" w:type="dxa"/>
            <w:tcBorders>
              <w:tl2br w:val="nil"/>
              <w:tr2bl w:val="nil"/>
            </w:tcBorders>
            <w:vAlign w:val="top"/>
          </w:tcPr>
          <w:p w14:paraId="04B8B483">
            <w:pPr>
              <w:autoSpaceDE w:val="0"/>
              <w:autoSpaceDN w:val="0"/>
              <w:adjustRightInd w:val="0"/>
              <w:snapToGri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投标人认为有必要提供的其它文件（格式自拟）</w:t>
            </w:r>
          </w:p>
        </w:tc>
      </w:tr>
    </w:tbl>
    <w:p w14:paraId="31D7C3B6">
      <w:pPr>
        <w:spacing w:line="44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2.技术商务文件</w:t>
      </w:r>
    </w:p>
    <w:tbl>
      <w:tblPr>
        <w:tblStyle w:val="19"/>
        <w:tblW w:w="91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5C6E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l2br w:val="nil"/>
              <w:tr2bl w:val="nil"/>
            </w:tcBorders>
          </w:tcPr>
          <w:p w14:paraId="716A2404">
            <w:pPr>
              <w:autoSpaceDE w:val="0"/>
              <w:autoSpaceDN w:val="0"/>
              <w:adjustRightInd w:val="0"/>
              <w:snapToGrid w:val="0"/>
              <w:spacing w:line="440" w:lineRule="exact"/>
              <w:rPr>
                <w:rFonts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8388" w:type="dxa"/>
            <w:tcBorders>
              <w:tl2br w:val="nil"/>
              <w:tr2bl w:val="nil"/>
            </w:tcBorders>
          </w:tcPr>
          <w:p w14:paraId="2AC7DC07">
            <w:pPr>
              <w:autoSpaceDE w:val="0"/>
              <w:autoSpaceDN w:val="0"/>
              <w:adjustRightInd w:val="0"/>
              <w:snapToGrid w:val="0"/>
              <w:spacing w:line="440" w:lineRule="exact"/>
              <w:rPr>
                <w:rFonts w:ascii="宋体" w:hAnsi="宋体" w:eastAsia="宋体" w:cs="宋体"/>
                <w:color w:val="auto"/>
                <w:sz w:val="21"/>
                <w:szCs w:val="21"/>
                <w:lang w:val="zh-CN"/>
              </w:rPr>
            </w:pPr>
            <w:r>
              <w:rPr>
                <w:rFonts w:hint="eastAsia" w:ascii="宋体" w:hAnsi="宋体" w:eastAsia="宋体" w:cs="宋体"/>
                <w:color w:val="auto"/>
                <w:sz w:val="21"/>
                <w:szCs w:val="21"/>
                <w:lang w:val="zh-CN"/>
              </w:rPr>
              <w:t>内容</w:t>
            </w:r>
          </w:p>
        </w:tc>
      </w:tr>
      <w:tr w14:paraId="2DC5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l2br w:val="nil"/>
              <w:tr2bl w:val="nil"/>
            </w:tcBorders>
            <w:vAlign w:val="top"/>
          </w:tcPr>
          <w:p w14:paraId="418F7772">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388" w:type="dxa"/>
            <w:tcBorders>
              <w:tl2br w:val="nil"/>
              <w:tr2bl w:val="nil"/>
            </w:tcBorders>
            <w:vAlign w:val="top"/>
          </w:tcPr>
          <w:p w14:paraId="584C4BC8">
            <w:pPr>
              <w:autoSpaceDE w:val="0"/>
              <w:autoSpaceDN w:val="0"/>
              <w:adjustRightInd w:val="0"/>
              <w:spacing w:line="440" w:lineRule="exact"/>
              <w:textAlignment w:val="bottom"/>
              <w:rPr>
                <w:rFonts w:hint="eastAsia" w:ascii="宋体" w:hAnsi="宋体" w:eastAsia="宋体" w:cs="宋体"/>
                <w:color w:val="auto"/>
                <w:sz w:val="21"/>
                <w:szCs w:val="21"/>
                <w:lang w:val="zh-CN"/>
              </w:rPr>
            </w:pPr>
            <w:r>
              <w:rPr>
                <w:rFonts w:hint="eastAsia" w:ascii="宋体" w:hAnsi="宋体" w:eastAsia="宋体" w:cs="宋体"/>
                <w:color w:val="auto"/>
                <w:sz w:val="21"/>
                <w:szCs w:val="21"/>
              </w:rPr>
              <w:t>评分响应表（联合体牵头方提供，格式见附件4.1）</w:t>
            </w:r>
          </w:p>
        </w:tc>
      </w:tr>
      <w:tr w14:paraId="0323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1F29C209">
            <w:pPr>
              <w:autoSpaceDE w:val="0"/>
              <w:autoSpaceDN w:val="0"/>
              <w:adjustRightInd w:val="0"/>
              <w:spacing w:line="440" w:lineRule="exact"/>
              <w:textAlignment w:val="bottom"/>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p>
        </w:tc>
        <w:tc>
          <w:tcPr>
            <w:tcW w:w="8388" w:type="dxa"/>
            <w:tcBorders>
              <w:tl2br w:val="nil"/>
              <w:tr2bl w:val="nil"/>
            </w:tcBorders>
            <w:vAlign w:val="center"/>
          </w:tcPr>
          <w:p w14:paraId="243D7E90">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投标声明书(联合体各方均需提供，格式见附件4.2）</w:t>
            </w:r>
          </w:p>
        </w:tc>
      </w:tr>
      <w:tr w14:paraId="6571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4E4555E4">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8388" w:type="dxa"/>
            <w:tcBorders>
              <w:tl2br w:val="nil"/>
              <w:tr2bl w:val="nil"/>
            </w:tcBorders>
            <w:vAlign w:val="center"/>
          </w:tcPr>
          <w:p w14:paraId="2C989FED">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评审办法和评分标准中的评分内容（1，2，3，4，5，6......）尽量按序排列</w:t>
            </w:r>
          </w:p>
        </w:tc>
      </w:tr>
      <w:tr w14:paraId="7B5C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63D96E0A">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p>
        </w:tc>
        <w:tc>
          <w:tcPr>
            <w:tcW w:w="8388" w:type="dxa"/>
            <w:tcBorders>
              <w:tl2br w:val="nil"/>
              <w:tr2bl w:val="nil"/>
            </w:tcBorders>
            <w:vAlign w:val="top"/>
          </w:tcPr>
          <w:p w14:paraId="62329812">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根据招标文件要求，其他需说明的资料。(格式自拟）</w:t>
            </w:r>
          </w:p>
        </w:tc>
      </w:tr>
      <w:tr w14:paraId="3D08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l2br w:val="nil"/>
              <w:tr2bl w:val="nil"/>
            </w:tcBorders>
            <w:vAlign w:val="center"/>
          </w:tcPr>
          <w:p w14:paraId="2A784370">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8388" w:type="dxa"/>
            <w:tcBorders>
              <w:tl2br w:val="nil"/>
              <w:tr2bl w:val="nil"/>
            </w:tcBorders>
            <w:vAlign w:val="top"/>
          </w:tcPr>
          <w:p w14:paraId="756703BF">
            <w:pPr>
              <w:autoSpaceDE w:val="0"/>
              <w:autoSpaceDN w:val="0"/>
              <w:adjustRightInd w:val="0"/>
              <w:spacing w:line="4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投标人认为需提供的其他资料。(格式自拟）</w:t>
            </w:r>
          </w:p>
        </w:tc>
      </w:tr>
    </w:tbl>
    <w:p w14:paraId="49E01E0D">
      <w:pPr>
        <w:snapToGrid w:val="0"/>
        <w:spacing w:line="44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3.报价文件</w:t>
      </w:r>
    </w:p>
    <w:tbl>
      <w:tblPr>
        <w:tblStyle w:val="19"/>
        <w:tblW w:w="91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122B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l2br w:val="nil"/>
              <w:tr2bl w:val="nil"/>
            </w:tcBorders>
            <w:vAlign w:val="center"/>
          </w:tcPr>
          <w:p w14:paraId="5926FA42">
            <w:pPr>
              <w:autoSpaceDE w:val="0"/>
              <w:autoSpaceDN w:val="0"/>
              <w:adjustRightInd w:val="0"/>
              <w:snapToGrid w:val="0"/>
              <w:spacing w:line="440" w:lineRule="exact"/>
              <w:jc w:val="center"/>
              <w:rPr>
                <w:rFonts w:ascii="宋体" w:hAnsi="宋体" w:eastAsia="宋体" w:cs="宋体"/>
                <w:color w:val="auto"/>
                <w:sz w:val="21"/>
                <w:szCs w:val="21"/>
                <w:lang w:val="zh-CN"/>
              </w:rPr>
            </w:pPr>
            <w:bookmarkStart w:id="177" w:name="_Toc20239"/>
            <w:bookmarkStart w:id="178" w:name="_Toc3284"/>
            <w:bookmarkStart w:id="179" w:name="_Toc27491"/>
            <w:bookmarkStart w:id="180" w:name="_Toc31427"/>
            <w:bookmarkStart w:id="181" w:name="_Toc14946"/>
            <w:bookmarkStart w:id="182" w:name="_Toc16950"/>
            <w:bookmarkStart w:id="183" w:name="_Toc15007"/>
            <w:bookmarkStart w:id="184" w:name="_Toc11861"/>
            <w:r>
              <w:rPr>
                <w:rFonts w:hint="eastAsia" w:ascii="宋体" w:hAnsi="宋体" w:eastAsia="宋体" w:cs="宋体"/>
                <w:color w:val="auto"/>
                <w:sz w:val="21"/>
                <w:szCs w:val="21"/>
                <w:lang w:val="zh-CN"/>
              </w:rPr>
              <w:t>序号</w:t>
            </w:r>
          </w:p>
        </w:tc>
        <w:tc>
          <w:tcPr>
            <w:tcW w:w="8432" w:type="dxa"/>
            <w:tcBorders>
              <w:tl2br w:val="nil"/>
              <w:tr2bl w:val="nil"/>
            </w:tcBorders>
          </w:tcPr>
          <w:p w14:paraId="77BEF081">
            <w:pPr>
              <w:autoSpaceDE w:val="0"/>
              <w:autoSpaceDN w:val="0"/>
              <w:adjustRightInd w:val="0"/>
              <w:snapToGrid w:val="0"/>
              <w:spacing w:line="440" w:lineRule="exact"/>
              <w:rPr>
                <w:rFonts w:ascii="宋体" w:hAnsi="宋体" w:eastAsia="宋体" w:cs="宋体"/>
                <w:color w:val="auto"/>
                <w:sz w:val="21"/>
                <w:szCs w:val="21"/>
                <w:lang w:val="zh-CN"/>
              </w:rPr>
            </w:pPr>
            <w:r>
              <w:rPr>
                <w:rFonts w:hint="eastAsia" w:ascii="宋体" w:hAnsi="宋体" w:eastAsia="宋体" w:cs="宋体"/>
                <w:color w:val="auto"/>
                <w:sz w:val="21"/>
                <w:szCs w:val="21"/>
                <w:lang w:val="zh-CN"/>
              </w:rPr>
              <w:t>内容（</w:t>
            </w:r>
            <w:r>
              <w:rPr>
                <w:rFonts w:hint="eastAsia" w:ascii="宋体" w:hAnsi="宋体" w:eastAsia="宋体" w:cs="宋体"/>
                <w:b/>
                <w:color w:val="auto"/>
                <w:sz w:val="21"/>
                <w:szCs w:val="21"/>
                <w:lang w:val="zh-CN"/>
              </w:rPr>
              <w:t>序号</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3</w:t>
            </w:r>
            <w:r>
              <w:rPr>
                <w:rFonts w:hint="eastAsia" w:ascii="宋体" w:hAnsi="宋体" w:eastAsia="宋体" w:cs="宋体"/>
                <w:b/>
                <w:color w:val="auto"/>
                <w:sz w:val="21"/>
                <w:szCs w:val="21"/>
                <w:lang w:val="zh-CN"/>
              </w:rPr>
              <w:t>项投标供应商必须提供，否则不能通过审查</w:t>
            </w:r>
            <w:r>
              <w:rPr>
                <w:rFonts w:hint="eastAsia" w:ascii="宋体" w:hAnsi="宋体" w:eastAsia="宋体" w:cs="宋体"/>
                <w:b/>
                <w:color w:val="auto"/>
                <w:sz w:val="21"/>
                <w:szCs w:val="21"/>
              </w:rPr>
              <w:t>的</w:t>
            </w:r>
            <w:r>
              <w:rPr>
                <w:rFonts w:hint="eastAsia" w:ascii="宋体" w:hAnsi="宋体" w:eastAsia="宋体" w:cs="宋体"/>
                <w:b/>
                <w:color w:val="auto"/>
                <w:sz w:val="21"/>
                <w:szCs w:val="21"/>
                <w:lang w:val="zh-CN"/>
              </w:rPr>
              <w:t>，责任自负。</w:t>
            </w:r>
            <w:r>
              <w:rPr>
                <w:rFonts w:hint="eastAsia" w:ascii="宋体" w:hAnsi="宋体" w:eastAsia="宋体" w:cs="宋体"/>
                <w:color w:val="auto"/>
                <w:sz w:val="21"/>
                <w:szCs w:val="21"/>
                <w:lang w:val="zh-CN"/>
              </w:rPr>
              <w:t>）</w:t>
            </w:r>
          </w:p>
        </w:tc>
      </w:tr>
      <w:tr w14:paraId="77C2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l2br w:val="nil"/>
              <w:tr2bl w:val="nil"/>
            </w:tcBorders>
            <w:vAlign w:val="center"/>
          </w:tcPr>
          <w:p w14:paraId="1D6A0A40">
            <w:pPr>
              <w:autoSpaceDE w:val="0"/>
              <w:autoSpaceDN w:val="0"/>
              <w:adjustRightInd w:val="0"/>
              <w:snapToGrid w:val="0"/>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8432" w:type="dxa"/>
            <w:tcBorders>
              <w:tl2br w:val="nil"/>
              <w:tr2bl w:val="nil"/>
            </w:tcBorders>
          </w:tcPr>
          <w:p w14:paraId="7ABAF3F4">
            <w:pPr>
              <w:autoSpaceDE w:val="0"/>
              <w:autoSpaceDN w:val="0"/>
              <w:adjustRightInd w:val="0"/>
              <w:spacing w:line="440" w:lineRule="exact"/>
              <w:textAlignment w:val="bottom"/>
              <w:rPr>
                <w:rFonts w:ascii="宋体" w:hAnsi="宋体" w:eastAsia="宋体" w:cs="宋体"/>
                <w:color w:val="auto"/>
                <w:sz w:val="21"/>
                <w:szCs w:val="21"/>
                <w:lang w:val="zh-CN"/>
              </w:rPr>
            </w:pPr>
            <w:r>
              <w:rPr>
                <w:rFonts w:hint="eastAsia" w:ascii="宋体" w:hAnsi="宋体" w:eastAsia="宋体" w:cs="宋体"/>
                <w:color w:val="auto"/>
                <w:sz w:val="21"/>
                <w:szCs w:val="21"/>
              </w:rPr>
              <w:t>投标函（联合体牵头方提供）</w:t>
            </w:r>
          </w:p>
        </w:tc>
      </w:tr>
      <w:tr w14:paraId="07D3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l2br w:val="nil"/>
              <w:tr2bl w:val="nil"/>
            </w:tcBorders>
            <w:vAlign w:val="center"/>
          </w:tcPr>
          <w:p w14:paraId="013112D5">
            <w:pPr>
              <w:autoSpaceDE w:val="0"/>
              <w:autoSpaceDN w:val="0"/>
              <w:adjustRightInd w:val="0"/>
              <w:snapToGrid w:val="0"/>
              <w:spacing w:line="440" w:lineRule="exact"/>
              <w:jc w:val="center"/>
              <w:rPr>
                <w:rFonts w:ascii="宋体" w:hAnsi="宋体" w:eastAsia="宋体" w:cs="宋体"/>
                <w:color w:val="auto"/>
                <w:sz w:val="21"/>
                <w:szCs w:val="21"/>
                <w:lang w:val="zh-CN"/>
              </w:rPr>
            </w:pPr>
            <w:r>
              <w:rPr>
                <w:rFonts w:hint="eastAsia" w:ascii="宋体" w:hAnsi="宋体" w:eastAsia="宋体" w:cs="宋体"/>
                <w:color w:val="auto"/>
                <w:sz w:val="21"/>
                <w:szCs w:val="21"/>
              </w:rPr>
              <w:t>2</w:t>
            </w:r>
          </w:p>
        </w:tc>
        <w:tc>
          <w:tcPr>
            <w:tcW w:w="8432" w:type="dxa"/>
            <w:tcBorders>
              <w:tl2br w:val="nil"/>
              <w:tr2bl w:val="nil"/>
            </w:tcBorders>
          </w:tcPr>
          <w:p w14:paraId="129A1817">
            <w:pPr>
              <w:autoSpaceDE w:val="0"/>
              <w:autoSpaceDN w:val="0"/>
              <w:adjustRightInd w:val="0"/>
              <w:spacing w:line="440" w:lineRule="exact"/>
              <w:textAlignment w:val="bottom"/>
              <w:rPr>
                <w:rFonts w:ascii="宋体" w:hAnsi="宋体" w:eastAsia="宋体" w:cs="宋体"/>
                <w:color w:val="auto"/>
                <w:sz w:val="21"/>
                <w:szCs w:val="21"/>
              </w:rPr>
            </w:pPr>
            <w:r>
              <w:rPr>
                <w:rFonts w:hint="eastAsia" w:ascii="宋体" w:hAnsi="宋体" w:eastAsia="宋体" w:cs="宋体"/>
                <w:color w:val="auto"/>
                <w:sz w:val="21"/>
                <w:szCs w:val="21"/>
              </w:rPr>
              <w:t>开标一览表（联合体牵头方提供）</w:t>
            </w:r>
          </w:p>
        </w:tc>
      </w:tr>
      <w:tr w14:paraId="4A8E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l2br w:val="nil"/>
              <w:tr2bl w:val="nil"/>
            </w:tcBorders>
            <w:vAlign w:val="center"/>
          </w:tcPr>
          <w:p w14:paraId="3913D7FA">
            <w:pPr>
              <w:autoSpaceDE w:val="0"/>
              <w:autoSpaceDN w:val="0"/>
              <w:adjustRightInd w:val="0"/>
              <w:snapToGrid w:val="0"/>
              <w:spacing w:line="440" w:lineRule="exact"/>
              <w:jc w:val="center"/>
              <w:rPr>
                <w:rFonts w:ascii="宋体" w:hAnsi="宋体" w:eastAsia="宋体" w:cs="宋体"/>
                <w:color w:val="auto"/>
                <w:sz w:val="21"/>
                <w:szCs w:val="21"/>
                <w:lang w:val="zh-CN"/>
              </w:rPr>
            </w:pPr>
            <w:r>
              <w:rPr>
                <w:rFonts w:hint="eastAsia" w:ascii="宋体" w:hAnsi="宋体" w:eastAsia="宋体" w:cs="宋体"/>
                <w:color w:val="auto"/>
                <w:sz w:val="21"/>
                <w:szCs w:val="21"/>
              </w:rPr>
              <w:t>3</w:t>
            </w:r>
          </w:p>
        </w:tc>
        <w:tc>
          <w:tcPr>
            <w:tcW w:w="8432" w:type="dxa"/>
            <w:tcBorders>
              <w:tl2br w:val="nil"/>
              <w:tr2bl w:val="nil"/>
            </w:tcBorders>
          </w:tcPr>
          <w:p w14:paraId="00E42776">
            <w:pPr>
              <w:autoSpaceDE w:val="0"/>
              <w:autoSpaceDN w:val="0"/>
              <w:adjustRightInd w:val="0"/>
              <w:spacing w:line="440" w:lineRule="exact"/>
              <w:textAlignment w:val="bottom"/>
              <w:rPr>
                <w:rFonts w:ascii="宋体" w:hAnsi="宋体" w:eastAsia="宋体" w:cs="宋体"/>
                <w:color w:val="auto"/>
                <w:sz w:val="21"/>
                <w:szCs w:val="21"/>
                <w:lang w:val="zh-CN"/>
              </w:rPr>
            </w:pPr>
            <w:r>
              <w:rPr>
                <w:rFonts w:hint="eastAsia" w:ascii="宋体" w:hAnsi="宋体" w:eastAsia="宋体" w:cs="宋体"/>
                <w:color w:val="auto"/>
                <w:sz w:val="21"/>
                <w:szCs w:val="21"/>
              </w:rPr>
              <w:t>投标分项报价表（联合体牵头方提供）</w:t>
            </w:r>
          </w:p>
        </w:tc>
      </w:tr>
      <w:tr w14:paraId="2EB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l2br w:val="nil"/>
              <w:tr2bl w:val="nil"/>
            </w:tcBorders>
            <w:vAlign w:val="center"/>
          </w:tcPr>
          <w:p w14:paraId="65E3B1B5">
            <w:pPr>
              <w:autoSpaceDE w:val="0"/>
              <w:autoSpaceDN w:val="0"/>
              <w:adjustRightInd w:val="0"/>
              <w:snapToGrid w:val="0"/>
              <w:spacing w:line="430" w:lineRule="atLeast"/>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8432" w:type="dxa"/>
            <w:tcBorders>
              <w:tl2br w:val="nil"/>
              <w:tr2bl w:val="nil"/>
            </w:tcBorders>
          </w:tcPr>
          <w:p w14:paraId="1C7D80E1">
            <w:pPr>
              <w:autoSpaceDE w:val="0"/>
              <w:autoSpaceDN w:val="0"/>
              <w:adjustRightInd w:val="0"/>
              <w:spacing w:line="430" w:lineRule="atLeast"/>
              <w:textAlignment w:val="bottom"/>
              <w:rPr>
                <w:rFonts w:ascii="宋体" w:hAnsi="宋体" w:eastAsia="宋体" w:cs="宋体"/>
                <w:color w:val="auto"/>
                <w:sz w:val="21"/>
                <w:szCs w:val="21"/>
              </w:rPr>
            </w:pPr>
            <w:r>
              <w:rPr>
                <w:rFonts w:hint="eastAsia" w:ascii="宋体" w:hAnsi="宋体" w:eastAsia="宋体" w:cs="宋体"/>
                <w:color w:val="auto"/>
                <w:sz w:val="21"/>
                <w:szCs w:val="21"/>
              </w:rPr>
              <w:t>享受价格优惠的相应材料（小微企业、监狱企业、残疾人福利性单位）如有则提供</w:t>
            </w:r>
          </w:p>
        </w:tc>
      </w:tr>
      <w:tr w14:paraId="31D9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l2br w:val="nil"/>
              <w:tr2bl w:val="nil"/>
            </w:tcBorders>
            <w:vAlign w:val="center"/>
          </w:tcPr>
          <w:p w14:paraId="70357D45">
            <w:pPr>
              <w:autoSpaceDE w:val="0"/>
              <w:autoSpaceDN w:val="0"/>
              <w:adjustRightInd w:val="0"/>
              <w:snapToGrid w:val="0"/>
              <w:spacing w:line="440" w:lineRule="exact"/>
              <w:jc w:val="center"/>
              <w:rPr>
                <w:rFonts w:ascii="宋体" w:hAnsi="宋体" w:eastAsia="宋体" w:cs="宋体"/>
                <w:color w:val="auto"/>
                <w:sz w:val="21"/>
                <w:szCs w:val="21"/>
                <w:lang w:val="zh-CN"/>
              </w:rPr>
            </w:pPr>
            <w:r>
              <w:rPr>
                <w:rFonts w:hint="eastAsia" w:ascii="宋体" w:hAnsi="宋体" w:eastAsia="宋体" w:cs="宋体"/>
                <w:color w:val="auto"/>
                <w:sz w:val="21"/>
                <w:szCs w:val="21"/>
              </w:rPr>
              <w:t>5</w:t>
            </w:r>
          </w:p>
        </w:tc>
        <w:tc>
          <w:tcPr>
            <w:tcW w:w="8432" w:type="dxa"/>
            <w:tcBorders>
              <w:tl2br w:val="nil"/>
              <w:tr2bl w:val="nil"/>
            </w:tcBorders>
          </w:tcPr>
          <w:p w14:paraId="51C17233">
            <w:pPr>
              <w:autoSpaceDE w:val="0"/>
              <w:autoSpaceDN w:val="0"/>
              <w:adjustRightInd w:val="0"/>
              <w:spacing w:line="440" w:lineRule="exact"/>
              <w:textAlignment w:val="bottom"/>
              <w:rPr>
                <w:rFonts w:ascii="宋体" w:hAnsi="宋体" w:eastAsia="宋体" w:cs="宋体"/>
                <w:color w:val="auto"/>
                <w:sz w:val="21"/>
                <w:szCs w:val="21"/>
              </w:rPr>
            </w:pPr>
            <w:r>
              <w:rPr>
                <w:rFonts w:hint="eastAsia" w:ascii="宋体" w:hAnsi="宋体" w:eastAsia="宋体" w:cs="宋体"/>
                <w:color w:val="auto"/>
                <w:sz w:val="21"/>
                <w:szCs w:val="21"/>
              </w:rPr>
              <w:t>投标人针对报价需要说明的其他文件和资料（格式自拟）</w:t>
            </w:r>
          </w:p>
        </w:tc>
      </w:tr>
    </w:tbl>
    <w:p w14:paraId="1DF9E42C">
      <w:pPr>
        <w:spacing w:before="120" w:after="120"/>
        <w:ind w:firstLine="422" w:firstLineChars="200"/>
        <w:jc w:val="left"/>
        <w:rPr>
          <w:rFonts w:ascii="宋体" w:hAnsi="宋体" w:eastAsia="宋体" w:cs="宋体"/>
          <w:color w:val="auto"/>
          <w:sz w:val="21"/>
          <w:szCs w:val="21"/>
        </w:rPr>
      </w:pPr>
      <w:r>
        <w:rPr>
          <w:rFonts w:hint="eastAsia" w:ascii="宋体" w:hAnsi="宋体" w:eastAsia="宋体" w:cs="宋体"/>
          <w:b/>
          <w:bCs/>
          <w:color w:val="auto"/>
          <w:sz w:val="21"/>
          <w:szCs w:val="21"/>
        </w:rPr>
        <w:t>注：（1）以上要求提供的内容附件中如有格式，按招标文件格式，若未提供则格式自拟。</w:t>
      </w:r>
    </w:p>
    <w:p w14:paraId="2323D936">
      <w:pPr>
        <w:spacing w:before="120" w:after="120"/>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填写报价表格时，各项费用应如实填写，如已含在产品价格中，则填“含”，不允许免费赠送，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59687487">
      <w:pPr>
        <w:spacing w:before="120" w:after="120"/>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2AD0F67C">
      <w:pPr>
        <w:spacing w:before="120" w:after="120"/>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（4）投标商对在合同执行中，除上述费用及招标文件规定的由中标人负责的工作范围以外需要买方协调或提供便利的工作应当在投标文件中说明。</w:t>
      </w:r>
    </w:p>
    <w:p w14:paraId="5DD2821B">
      <w:pPr>
        <w:snapToGrid w:val="0"/>
        <w:spacing w:line="46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（5）</w:t>
      </w:r>
      <w:r>
        <w:rPr>
          <w:rFonts w:hint="eastAsia" w:ascii="宋体" w:hAnsi="宋体" w:eastAsia="宋体" w:cs="宋体"/>
          <w:b/>
          <w:color w:val="auto"/>
          <w:sz w:val="21"/>
          <w:szCs w:val="21"/>
        </w:rPr>
        <w:t>关于本项目投标价格的信息只允许出现在“报价文件”中，不得出现在技术标及商务标中。如提供纸质备份文件的，报价文件须单独密封。</w:t>
      </w:r>
    </w:p>
    <w:p w14:paraId="4BD7A8FE">
      <w:pPr>
        <w:snapToGrid w:val="0"/>
        <w:spacing w:line="46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（二）投标文件的语言及计量</w:t>
      </w:r>
      <w:bookmarkEnd w:id="177"/>
      <w:bookmarkEnd w:id="178"/>
      <w:bookmarkEnd w:id="179"/>
      <w:bookmarkEnd w:id="180"/>
      <w:bookmarkEnd w:id="181"/>
      <w:bookmarkEnd w:id="182"/>
      <w:bookmarkEnd w:id="183"/>
      <w:bookmarkEnd w:id="184"/>
    </w:p>
    <w:p w14:paraId="69C31424">
      <w:pPr>
        <w:snapToGrid w:val="0"/>
        <w:spacing w:line="4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▲1.投标文件以及投标方与招标方就有关投标事宜的所有来往函电，均应以中文汉语书写。除签名、盖章、专用名称等特殊情形外，以中文汉语以外的文字表述的投标文件视同未提供。</w:t>
      </w:r>
    </w:p>
    <w:p w14:paraId="735FB3DA">
      <w:pPr>
        <w:snapToGrid w:val="0"/>
        <w:spacing w:line="4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▲2.投标计量单位，应采用中华人民共和国法定计量单位（货币单位：人民币元），否则视同未响应。</w:t>
      </w:r>
    </w:p>
    <w:p w14:paraId="421A5033">
      <w:pPr>
        <w:snapToGrid w:val="0"/>
        <w:spacing w:line="460" w:lineRule="exact"/>
        <w:ind w:firstLine="422" w:firstLineChars="200"/>
        <w:jc w:val="left"/>
        <w:rPr>
          <w:rFonts w:ascii="宋体" w:hAnsi="宋体" w:eastAsia="宋体" w:cs="宋体"/>
          <w:b/>
          <w:bCs/>
          <w:color w:val="auto"/>
          <w:sz w:val="21"/>
          <w:szCs w:val="21"/>
        </w:rPr>
      </w:pPr>
      <w:bookmarkStart w:id="185" w:name="_Toc5952"/>
      <w:bookmarkStart w:id="186" w:name="_Toc24316"/>
      <w:bookmarkStart w:id="187" w:name="_Toc3387"/>
      <w:bookmarkStart w:id="188" w:name="_Toc20145"/>
      <w:bookmarkStart w:id="189" w:name="_Toc15337"/>
      <w:bookmarkStart w:id="190" w:name="_Toc24256"/>
      <w:bookmarkStart w:id="191" w:name="_Toc30164"/>
      <w:bookmarkStart w:id="192" w:name="_Toc32223"/>
      <w:r>
        <w:rPr>
          <w:rFonts w:hint="eastAsia" w:ascii="宋体" w:hAnsi="宋体" w:eastAsia="宋体" w:cs="宋体"/>
          <w:b/>
          <w:bCs/>
          <w:color w:val="auto"/>
          <w:sz w:val="21"/>
          <w:szCs w:val="21"/>
        </w:rPr>
        <w:t>（三）投标报价</w:t>
      </w:r>
      <w:bookmarkEnd w:id="185"/>
      <w:bookmarkEnd w:id="186"/>
      <w:bookmarkEnd w:id="187"/>
      <w:bookmarkEnd w:id="188"/>
      <w:bookmarkEnd w:id="189"/>
      <w:bookmarkEnd w:id="190"/>
      <w:bookmarkEnd w:id="191"/>
      <w:bookmarkEnd w:id="192"/>
    </w:p>
    <w:p w14:paraId="3D38FF4C">
      <w:pPr>
        <w:snapToGrid w:val="0"/>
        <w:spacing w:line="4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1.投标报价应按招标文件中相关附表格式填写。</w:t>
      </w:r>
    </w:p>
    <w:p w14:paraId="381311E2">
      <w:pPr>
        <w:snapToGrid w:val="0"/>
        <w:spacing w:line="4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▲2.本次招标的投标报价以总价方式报价，本项目最高限价</w:t>
      </w:r>
      <w:r>
        <w:rPr>
          <w:rFonts w:hint="eastAsia" w:ascii="宋体" w:hAnsi="宋体" w:eastAsia="宋体" w:cs="宋体"/>
          <w:color w:val="auto"/>
          <w:sz w:val="21"/>
          <w:szCs w:val="21"/>
          <w:lang w:eastAsia="zh-CN"/>
        </w:rPr>
        <w:t>总价</w:t>
      </w:r>
      <w:r>
        <w:rPr>
          <w:rFonts w:hint="eastAsia" w:ascii="宋体" w:hAnsi="宋体" w:eastAsia="宋体" w:cs="宋体"/>
          <w:color w:val="auto"/>
          <w:sz w:val="21"/>
          <w:szCs w:val="21"/>
        </w:rPr>
        <w:t>为人民币</w:t>
      </w:r>
      <w:r>
        <w:rPr>
          <w:rFonts w:hint="eastAsia" w:ascii="宋体" w:hAnsi="宋体" w:eastAsia="宋体" w:cs="宋体"/>
          <w:color w:val="auto"/>
          <w:sz w:val="21"/>
          <w:szCs w:val="21"/>
          <w:lang w:val="en-US" w:eastAsia="zh-CN"/>
        </w:rPr>
        <w:t>744.8</w:t>
      </w:r>
      <w:r>
        <w:rPr>
          <w:rFonts w:hint="eastAsia" w:ascii="宋体" w:hAnsi="宋体" w:eastAsia="宋体" w:cs="宋体"/>
          <w:color w:val="auto"/>
          <w:sz w:val="21"/>
          <w:szCs w:val="21"/>
        </w:rPr>
        <w:t>万元</w:t>
      </w:r>
      <w:r>
        <w:rPr>
          <w:rFonts w:hint="eastAsia" w:ascii="宋体" w:hAnsi="宋体" w:eastAsia="宋体" w:cs="宋体"/>
          <w:color w:val="auto"/>
          <w:sz w:val="21"/>
          <w:szCs w:val="21"/>
          <w:lang w:eastAsia="zh-CN"/>
        </w:rPr>
        <w:t>，单价为</w:t>
      </w:r>
      <w:r>
        <w:rPr>
          <w:rFonts w:hint="eastAsia" w:ascii="宋体" w:hAnsi="宋体" w:eastAsia="宋体" w:cs="宋体"/>
          <w:color w:val="auto"/>
          <w:sz w:val="21"/>
          <w:szCs w:val="21"/>
          <w:lang w:val="en-US" w:eastAsia="zh-CN"/>
        </w:rPr>
        <w:t>760元/吨。</w:t>
      </w:r>
      <w:r>
        <w:rPr>
          <w:rFonts w:hint="eastAsia" w:ascii="宋体" w:hAnsi="宋体" w:eastAsia="宋体" w:cs="宋体"/>
          <w:color w:val="auto"/>
          <w:sz w:val="21"/>
          <w:szCs w:val="21"/>
        </w:rPr>
        <w:t>超过最高限价的报价为无效报价,投标单位应在招标文件中相关附表格式中明确本次投标报价，任何有选择的报价将不予接受。投标方的投标报价包括自疫木采伐至运入疫木定点处理企业整个清理过程所发生的一切费用，包括枯死松树采伐、造材、伐桩处理、枝桠处理、人工搬运、运输、安全（保险）、税收及源头监管费、招标代理费、人员工资、机械材料、利润、税金、测量、勘察、保险（施工人员一律参加工伤保险）等完成合同所需的一切本身和不可或缺的所有工作开支、政策性文件规定及合同包含的所有风险、责任等各项全部费用。如有漏项，视为已包含在其它项目中。</w:t>
      </w:r>
    </w:p>
    <w:p w14:paraId="75239FAA">
      <w:pPr>
        <w:snapToGrid w:val="0"/>
        <w:spacing w:line="4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▲3.投标文件只允许有一个报价，有选择的或有条件的报价将不予接受。</w:t>
      </w:r>
    </w:p>
    <w:p w14:paraId="7DB7B38C">
      <w:pPr>
        <w:snapToGrid w:val="0"/>
        <w:spacing w:line="480" w:lineRule="exact"/>
        <w:ind w:firstLine="422" w:firstLineChars="200"/>
        <w:jc w:val="left"/>
        <w:rPr>
          <w:rFonts w:ascii="宋体" w:hAnsi="宋体" w:eastAsia="宋体" w:cs="宋体"/>
          <w:b/>
          <w:color w:val="auto"/>
          <w:sz w:val="21"/>
          <w:szCs w:val="21"/>
        </w:rPr>
      </w:pPr>
      <w:bookmarkStart w:id="193" w:name="_Toc28306"/>
      <w:bookmarkStart w:id="194" w:name="_Toc13772"/>
      <w:bookmarkStart w:id="195" w:name="_Toc26005"/>
      <w:bookmarkStart w:id="196" w:name="_Toc1595"/>
      <w:bookmarkStart w:id="197" w:name="_Toc105"/>
      <w:bookmarkStart w:id="198" w:name="_Toc26142"/>
      <w:bookmarkStart w:id="199" w:name="_Toc12502"/>
      <w:bookmarkStart w:id="200" w:name="_Toc4546"/>
      <w:r>
        <w:rPr>
          <w:rFonts w:hint="eastAsia" w:ascii="宋体" w:hAnsi="宋体" w:eastAsia="宋体" w:cs="宋体"/>
          <w:b/>
          <w:color w:val="auto"/>
          <w:sz w:val="21"/>
          <w:szCs w:val="21"/>
        </w:rPr>
        <w:t>（四）投标文件的有效期</w:t>
      </w:r>
      <w:bookmarkEnd w:id="193"/>
      <w:bookmarkEnd w:id="194"/>
      <w:bookmarkEnd w:id="195"/>
      <w:bookmarkEnd w:id="196"/>
      <w:bookmarkEnd w:id="197"/>
      <w:bookmarkEnd w:id="198"/>
      <w:bookmarkEnd w:id="199"/>
      <w:bookmarkEnd w:id="200"/>
    </w:p>
    <w:p w14:paraId="6AB1FCAB">
      <w:pPr>
        <w:snapToGrid w:val="0"/>
        <w:spacing w:line="480" w:lineRule="exact"/>
        <w:ind w:firstLine="411" w:firstLineChars="196"/>
        <w:jc w:val="left"/>
        <w:rPr>
          <w:rFonts w:ascii="宋体" w:hAnsi="宋体" w:eastAsia="宋体" w:cs="宋体"/>
          <w:color w:val="auto"/>
          <w:sz w:val="21"/>
          <w:szCs w:val="21"/>
        </w:rPr>
      </w:pPr>
      <w:bookmarkStart w:id="201" w:name="_Toc11741"/>
      <w:bookmarkStart w:id="202" w:name="_Toc2492"/>
      <w:bookmarkStart w:id="203" w:name="_Toc11775"/>
      <w:bookmarkStart w:id="204" w:name="_Toc20104"/>
      <w:bookmarkStart w:id="205" w:name="_Toc6910"/>
      <w:bookmarkStart w:id="206" w:name="_Toc30936"/>
      <w:bookmarkStart w:id="207" w:name="_Toc3352"/>
      <w:bookmarkStart w:id="208" w:name="_Toc16094"/>
      <w:bookmarkStart w:id="209" w:name="_Toc21755"/>
      <w:bookmarkStart w:id="210" w:name="_Toc12000"/>
      <w:bookmarkStart w:id="211" w:name="_Toc20729"/>
      <w:r>
        <w:rPr>
          <w:rFonts w:hint="eastAsia" w:ascii="宋体" w:hAnsi="宋体" w:eastAsia="宋体" w:cs="宋体"/>
          <w:color w:val="auto"/>
          <w:sz w:val="21"/>
          <w:szCs w:val="21"/>
        </w:rPr>
        <w:t>▲1.自投标截止日起60天投标文件应保持有效</w:t>
      </w:r>
      <w:bookmarkEnd w:id="201"/>
      <w:bookmarkEnd w:id="202"/>
      <w:bookmarkEnd w:id="203"/>
      <w:bookmarkEnd w:id="204"/>
      <w:bookmarkEnd w:id="205"/>
      <w:bookmarkEnd w:id="206"/>
      <w:bookmarkEnd w:id="207"/>
      <w:bookmarkEnd w:id="208"/>
      <w:r>
        <w:rPr>
          <w:rFonts w:hint="eastAsia" w:ascii="宋体" w:hAnsi="宋体" w:eastAsia="宋体" w:cs="宋体"/>
          <w:color w:val="auto"/>
          <w:sz w:val="21"/>
          <w:szCs w:val="21"/>
        </w:rPr>
        <w:t>，</w:t>
      </w:r>
      <w:r>
        <w:rPr>
          <w:rFonts w:hint="eastAsia" w:ascii="宋体" w:hAnsi="宋体" w:eastAsia="宋体" w:cs="宋体"/>
          <w:b/>
          <w:color w:val="auto"/>
          <w:sz w:val="21"/>
          <w:szCs w:val="21"/>
        </w:rPr>
        <w:t>投标人的投标文件中承诺的投标有效期少于招标文件中载明的投标有效期的，投标无效。</w:t>
      </w:r>
      <w:bookmarkEnd w:id="209"/>
      <w:bookmarkEnd w:id="210"/>
      <w:bookmarkEnd w:id="211"/>
    </w:p>
    <w:p w14:paraId="08BA6170">
      <w:pPr>
        <w:widowControl/>
        <w:spacing w:line="48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2.在特殊情况下，招标人可与投标人协商延长投标书的有效期，这种要求和答复均以书面形式进行。</w:t>
      </w:r>
    </w:p>
    <w:p w14:paraId="2F1C3CF6">
      <w:pPr>
        <w:widowControl/>
        <w:spacing w:line="4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3.中标人的投标文件自开标之日起至合同履行完毕止均应保持有效。</w:t>
      </w:r>
    </w:p>
    <w:p w14:paraId="23B3BEAC">
      <w:pPr>
        <w:widowControl/>
        <w:spacing w:line="460" w:lineRule="exact"/>
        <w:ind w:firstLine="422" w:firstLineChars="200"/>
        <w:jc w:val="left"/>
        <w:rPr>
          <w:rFonts w:ascii="宋体" w:hAnsi="宋体" w:eastAsia="宋体" w:cs="宋体"/>
          <w:b/>
          <w:bCs/>
          <w:color w:val="auto"/>
          <w:sz w:val="21"/>
          <w:szCs w:val="21"/>
        </w:rPr>
      </w:pPr>
      <w:bookmarkStart w:id="212" w:name="_Toc2438"/>
      <w:bookmarkStart w:id="213" w:name="_Toc29474"/>
      <w:bookmarkStart w:id="214" w:name="_Toc13842"/>
      <w:bookmarkStart w:id="215" w:name="_Toc23456"/>
      <w:bookmarkStart w:id="216" w:name="_Toc27608"/>
      <w:bookmarkStart w:id="217" w:name="_Toc22132"/>
      <w:bookmarkStart w:id="218" w:name="_Toc32250"/>
      <w:bookmarkStart w:id="219" w:name="_Toc14156"/>
      <w:r>
        <w:rPr>
          <w:rFonts w:hint="eastAsia" w:ascii="宋体" w:hAnsi="宋体" w:eastAsia="宋体" w:cs="宋体"/>
          <w:b/>
          <w:bCs/>
          <w:color w:val="auto"/>
          <w:sz w:val="21"/>
          <w:szCs w:val="21"/>
        </w:rPr>
        <w:t>（五）投标文件的签署和份数</w:t>
      </w:r>
      <w:bookmarkEnd w:id="212"/>
      <w:bookmarkEnd w:id="213"/>
      <w:bookmarkEnd w:id="214"/>
      <w:bookmarkEnd w:id="215"/>
      <w:bookmarkEnd w:id="216"/>
      <w:bookmarkEnd w:id="217"/>
      <w:bookmarkEnd w:id="218"/>
      <w:bookmarkEnd w:id="219"/>
    </w:p>
    <w:p w14:paraId="52603BBF">
      <w:pPr>
        <w:spacing w:line="48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1.电子投标文件部分：</w:t>
      </w:r>
    </w:p>
    <w:p w14:paraId="1EFD8421">
      <w:pPr>
        <w:spacing w:line="48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投标人应根据“政采云供应商项目采购－电子招投标操作指南”及本招标文件规定的格式和顺序编制电子投标文件并进行关联定位。</w:t>
      </w:r>
    </w:p>
    <w:p w14:paraId="37565A1C">
      <w:pPr>
        <w:spacing w:line="48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2.备份电子投标文件部分：</w:t>
      </w:r>
    </w:p>
    <w:p w14:paraId="45D3BD52">
      <w:pPr>
        <w:spacing w:line="48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电子投标文件的备份文件，以光盘或U盘形式存储，并单独密封递交。数量为1份。</w:t>
      </w:r>
    </w:p>
    <w:p w14:paraId="1180B0A8">
      <w:pPr>
        <w:snapToGrid w:val="0"/>
        <w:spacing w:line="48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3.纸质备份投标文件部分：</w:t>
      </w:r>
    </w:p>
    <w:p w14:paraId="4D01E779">
      <w:pPr>
        <w:snapToGrid w:val="0"/>
        <w:spacing w:line="480" w:lineRule="exact"/>
        <w:ind w:firstLine="422" w:firstLineChars="200"/>
        <w:jc w:val="left"/>
        <w:rPr>
          <w:rFonts w:ascii="宋体" w:hAnsi="宋体" w:eastAsia="宋体" w:cs="宋体"/>
          <w:b/>
          <w:color w:val="auto"/>
          <w:sz w:val="21"/>
          <w:szCs w:val="21"/>
        </w:rPr>
      </w:pPr>
      <w:r>
        <w:rPr>
          <w:rFonts w:hint="eastAsia" w:ascii="宋体" w:hAnsi="宋体" w:eastAsia="宋体" w:cs="宋体"/>
          <w:b/>
          <w:color w:val="auto"/>
          <w:sz w:val="21"/>
          <w:szCs w:val="21"/>
        </w:rPr>
        <w:t xml:space="preserve">纸质备份投标文件：资格审查文件1份、技术商务文件1份、报价文件1份。 </w:t>
      </w:r>
    </w:p>
    <w:p w14:paraId="3FD23A07">
      <w:pPr>
        <w:snapToGrid w:val="0"/>
        <w:spacing w:line="480" w:lineRule="exact"/>
        <w:ind w:firstLine="411" w:firstLineChars="196"/>
        <w:jc w:val="left"/>
        <w:rPr>
          <w:rFonts w:ascii="宋体" w:hAnsi="宋体" w:eastAsia="宋体" w:cs="宋体"/>
          <w:color w:val="auto"/>
          <w:sz w:val="21"/>
          <w:szCs w:val="21"/>
        </w:rPr>
      </w:pPr>
      <w:r>
        <w:rPr>
          <w:rFonts w:hint="eastAsia" w:ascii="宋体" w:hAnsi="宋体" w:eastAsia="宋体" w:cs="宋体"/>
          <w:color w:val="auto"/>
          <w:sz w:val="21"/>
          <w:szCs w:val="21"/>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sz w:val="21"/>
          <w:szCs w:val="21"/>
        </w:rPr>
        <w:t>不符合上述制作、存储、密封规定的备份投标文件将被视为无效或者被拒绝接收。</w:t>
      </w:r>
    </w:p>
    <w:p w14:paraId="3A09F6FD">
      <w:pPr>
        <w:snapToGrid w:val="0"/>
        <w:spacing w:line="480" w:lineRule="exact"/>
        <w:ind w:firstLine="422" w:firstLineChars="200"/>
        <w:jc w:val="left"/>
        <w:rPr>
          <w:rFonts w:ascii="宋体" w:hAnsi="宋体" w:eastAsia="宋体" w:cs="宋体"/>
          <w:color w:val="auto"/>
          <w:sz w:val="21"/>
          <w:szCs w:val="21"/>
        </w:rPr>
      </w:pPr>
      <w:r>
        <w:rPr>
          <w:rFonts w:hint="eastAsia" w:ascii="宋体" w:hAnsi="宋体" w:eastAsia="宋体" w:cs="宋体"/>
          <w:b/>
          <w:color w:val="auto"/>
          <w:sz w:val="21"/>
          <w:szCs w:val="21"/>
        </w:rPr>
        <w:t>以上所称的备份投标文件（即备份电子投标文件和纸质备份投标文件）的提供与否不做强制性要求，由投标人自行考虑相关利弊因素自主决定。</w:t>
      </w:r>
    </w:p>
    <w:p w14:paraId="1D7727DE">
      <w:pPr>
        <w:snapToGrid w:val="0"/>
        <w:spacing w:line="480" w:lineRule="exact"/>
        <w:ind w:firstLine="422" w:firstLineChars="200"/>
        <w:jc w:val="left"/>
        <w:rPr>
          <w:rFonts w:ascii="宋体" w:hAnsi="宋体" w:eastAsia="宋体" w:cs="宋体"/>
          <w:b/>
          <w:color w:val="auto"/>
          <w:sz w:val="21"/>
          <w:szCs w:val="21"/>
        </w:rPr>
      </w:pPr>
      <w:r>
        <w:rPr>
          <w:rFonts w:hint="eastAsia" w:ascii="宋体" w:hAnsi="宋体" w:eastAsia="宋体" w:cs="宋体"/>
          <w:b/>
          <w:color w:val="auto"/>
          <w:sz w:val="21"/>
          <w:szCs w:val="21"/>
        </w:rPr>
        <w:t>（六）投标文件的包装、递交、修改和撤回</w:t>
      </w:r>
    </w:p>
    <w:p w14:paraId="41D8B9E4">
      <w:pPr>
        <w:snapToGrid w:val="0"/>
        <w:spacing w:line="480" w:lineRule="exact"/>
        <w:ind w:firstLine="420" w:firstLineChars="200"/>
        <w:rPr>
          <w:rFonts w:ascii="宋体" w:hAnsi="宋体" w:eastAsia="宋体" w:cs="宋体"/>
          <w:bCs/>
          <w:color w:val="auto"/>
          <w:sz w:val="21"/>
          <w:szCs w:val="21"/>
        </w:rPr>
      </w:pPr>
      <w:bookmarkStart w:id="220" w:name="_Toc20991"/>
      <w:bookmarkStart w:id="221" w:name="_Toc11169"/>
      <w:r>
        <w:rPr>
          <w:rFonts w:hint="eastAsia" w:ascii="宋体" w:hAnsi="宋体" w:eastAsia="宋体" w:cs="宋体"/>
          <w:bCs/>
          <w:color w:val="auto"/>
          <w:sz w:val="21"/>
          <w:szCs w:val="21"/>
        </w:rPr>
        <w:t>1.以介质存储的数据电文形式的电子备份投标文件用封袋密封包装。</w:t>
      </w:r>
    </w:p>
    <w:p w14:paraId="47D97399">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2.纸质备份投标文件，要求按</w:t>
      </w:r>
      <w:r>
        <w:rPr>
          <w:rFonts w:hint="eastAsia" w:ascii="宋体" w:hAnsi="宋体" w:eastAsia="宋体" w:cs="宋体"/>
          <w:b/>
          <w:color w:val="auto"/>
          <w:sz w:val="21"/>
          <w:szCs w:val="21"/>
        </w:rPr>
        <w:t>资格审查文件、</w:t>
      </w:r>
      <w:r>
        <w:rPr>
          <w:rFonts w:hint="eastAsia" w:ascii="宋体" w:hAnsi="宋体" w:eastAsia="宋体" w:cs="宋体"/>
          <w:b/>
          <w:bCs/>
          <w:color w:val="auto"/>
          <w:sz w:val="21"/>
          <w:szCs w:val="21"/>
        </w:rPr>
        <w:t>技术商务文件和报价文件分</w:t>
      </w:r>
      <w:r>
        <w:rPr>
          <w:rFonts w:hint="eastAsia" w:ascii="宋体" w:hAnsi="宋体" w:eastAsia="宋体" w:cs="宋体"/>
          <w:bCs/>
          <w:color w:val="auto"/>
          <w:sz w:val="21"/>
          <w:szCs w:val="21"/>
        </w:rPr>
        <w:t>别密封包装。</w:t>
      </w:r>
    </w:p>
    <w:p w14:paraId="3BAC01A0">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3.投标文件的包封应密封完好，正确标明投标文件名称（电子备份投标文件/资格审查文件</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技术商务文件/报价文件）、投标项目名称、项目编号及投标人名称。</w:t>
      </w:r>
      <w:r>
        <w:rPr>
          <w:rFonts w:hint="eastAsia" w:ascii="宋体" w:hAnsi="宋体" w:eastAsia="宋体" w:cs="宋体"/>
          <w:b/>
          <w:bCs/>
          <w:color w:val="auto"/>
          <w:sz w:val="21"/>
          <w:szCs w:val="21"/>
        </w:rPr>
        <w:t>电子投标文件须根据评分标准进行关联定位。</w:t>
      </w:r>
    </w:p>
    <w:p w14:paraId="52EE64E0">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19333ADE">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5.纸质投标文件须与电子投标文件保持一致。如有篡改，一经发现，将被列入不良行为。</w:t>
      </w:r>
    </w:p>
    <w:p w14:paraId="0ED0B201">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color w:val="auto"/>
          <w:sz w:val="21"/>
          <w:szCs w:val="21"/>
        </w:rPr>
        <w:t>电子投标文件（</w:t>
      </w:r>
      <w:r>
        <w:rPr>
          <w:rFonts w:hint="eastAsia" w:ascii="宋体" w:hAnsi="宋体" w:eastAsia="宋体" w:cs="宋体"/>
          <w:b/>
          <w:bCs/>
          <w:color w:val="auto"/>
          <w:sz w:val="21"/>
          <w:szCs w:val="21"/>
        </w:rPr>
        <w:t>包括</w:t>
      </w:r>
      <w:r>
        <w:rPr>
          <w:rFonts w:hint="eastAsia" w:ascii="宋体" w:hAnsi="宋体" w:eastAsia="宋体" w:cs="宋体"/>
          <w:b/>
          <w:color w:val="auto"/>
          <w:sz w:val="21"/>
          <w:szCs w:val="21"/>
        </w:rPr>
        <w:t>资格审查文件</w:t>
      </w:r>
      <w:r>
        <w:rPr>
          <w:rFonts w:hint="eastAsia" w:ascii="宋体" w:hAnsi="宋体" w:eastAsia="宋体" w:cs="宋体"/>
          <w:b/>
          <w:color w:val="auto"/>
          <w:sz w:val="21"/>
          <w:szCs w:val="21"/>
          <w:lang w:eastAsia="zh-CN"/>
        </w:rPr>
        <w:t>、</w:t>
      </w:r>
      <w:r>
        <w:rPr>
          <w:rFonts w:hint="eastAsia" w:ascii="宋体" w:hAnsi="宋体" w:eastAsia="宋体" w:cs="宋体"/>
          <w:b/>
          <w:bCs/>
          <w:color w:val="auto"/>
          <w:sz w:val="21"/>
          <w:szCs w:val="21"/>
        </w:rPr>
        <w:t>技术商务文件和报价文件</w:t>
      </w:r>
      <w:r>
        <w:rPr>
          <w:rFonts w:hint="eastAsia" w:ascii="宋体" w:hAnsi="宋体" w:eastAsia="宋体" w:cs="宋体"/>
          <w:color w:val="auto"/>
          <w:sz w:val="21"/>
          <w:szCs w:val="21"/>
        </w:rPr>
        <w:t>）中招标文件要求加盖公章的部分均采用CA签章。</w:t>
      </w:r>
    </w:p>
    <w:p w14:paraId="3D89C57E">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7.投标文件未按时解密，供应商提供了备份投标文件的，以备份投标文件作为依据，否则视为投标文件撤回。投标文件已按时解密的，备份投标文件自动失效。</w:t>
      </w:r>
    </w:p>
    <w:p w14:paraId="7E77FDF8">
      <w:pPr>
        <w:snapToGrid w:val="0"/>
        <w:spacing w:line="48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8.中标方在领取中标通知书前，须向</w:t>
      </w:r>
      <w:r>
        <w:rPr>
          <w:rFonts w:hint="eastAsia" w:ascii="宋体" w:hAnsi="宋体" w:eastAsia="宋体" w:cs="宋体"/>
          <w:b/>
          <w:color w:val="auto"/>
          <w:sz w:val="21"/>
          <w:szCs w:val="21"/>
          <w:lang w:eastAsia="zh-CN"/>
        </w:rPr>
        <w:t>浙江科佳工程咨询有限公司</w:t>
      </w:r>
      <w:r>
        <w:rPr>
          <w:rFonts w:hint="eastAsia" w:ascii="宋体" w:hAnsi="宋体" w:eastAsia="宋体" w:cs="宋体"/>
          <w:b/>
          <w:color w:val="auto"/>
          <w:sz w:val="21"/>
          <w:szCs w:val="21"/>
        </w:rPr>
        <w:t>提供纸质投标文件2套，按资格审查文件</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技术商务文件和报价文件分别编制并单独装订成册。（递交或邮寄地址：</w:t>
      </w:r>
      <w:r>
        <w:rPr>
          <w:rFonts w:hint="eastAsia" w:ascii="宋体" w:hAnsi="宋体" w:eastAsia="宋体" w:cs="宋体"/>
          <w:b/>
          <w:color w:val="auto"/>
          <w:sz w:val="21"/>
          <w:szCs w:val="21"/>
          <w:lang w:eastAsia="zh-CN"/>
        </w:rPr>
        <w:t>浙江科佳工程咨询有限公司</w:t>
      </w:r>
      <w:r>
        <w:rPr>
          <w:rFonts w:hint="eastAsia" w:ascii="宋体" w:hAnsi="宋体" w:eastAsia="宋体" w:cs="宋体"/>
          <w:b/>
          <w:color w:val="auto"/>
          <w:sz w:val="21"/>
          <w:szCs w:val="21"/>
        </w:rPr>
        <w:t>（磐安县安文街道花月路211号建设大厦6楼）；电话：0579-84669890）</w:t>
      </w:r>
    </w:p>
    <w:p w14:paraId="2F5908BB">
      <w:pPr>
        <w:snapToGrid w:val="0"/>
        <w:spacing w:line="480" w:lineRule="exact"/>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（七）供应商有下列情形之一的，列入失信名单，同时依照《政府采购法》第七十七条及《中华人民共和国政府采购法实施条例》第七十二条规定处罚并追究法律责任。</w:t>
      </w:r>
      <w:bookmarkEnd w:id="220"/>
      <w:bookmarkEnd w:id="221"/>
    </w:p>
    <w:p w14:paraId="4C14AE9E">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1.不同供应商的电子投标(响应）文件上传计算机的网卡MAC地址、CPU序列号和硬盘序列号等硬件信息相同的；</w:t>
      </w:r>
    </w:p>
    <w:p w14:paraId="6EEA147B">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2.不同供应商的投标(响应）文件由同一电子设备编制、打印加密或者上传；</w:t>
      </w:r>
    </w:p>
    <w:p w14:paraId="6274B84A">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3.不同供应商的投标(响应）文件由同一电子设备打印、复印；</w:t>
      </w:r>
    </w:p>
    <w:p w14:paraId="6FAC6E45">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4.不同供应商的投标(响应）文件由同一人送达或者分发，或者不同供应商联系人为同一人或不同联系人的联系电话一致的；</w:t>
      </w:r>
    </w:p>
    <w:p w14:paraId="04614821">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5.不同供应商的投标(响应）文件的内容存在两处以上细节错误一致；</w:t>
      </w:r>
    </w:p>
    <w:p w14:paraId="0704A3DC">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6.不同供应商的法定代表人、委托代理人、项目经理、项目负责人等由同一个单位缴纳社会保险或者领取报酬的；</w:t>
      </w:r>
    </w:p>
    <w:p w14:paraId="3E3AEA85">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7.不同供应商投标(响应）文件中法定代表人或者负责人签字出自同一人之手；</w:t>
      </w:r>
    </w:p>
    <w:p w14:paraId="18F7120F">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8.投标人在投标有效期内撤销投标文件的及其它涉嫌串通的情形。</w:t>
      </w:r>
    </w:p>
    <w:p w14:paraId="13F019FC">
      <w:pPr>
        <w:snapToGrid w:val="0"/>
        <w:spacing w:line="46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（八）投标无效的情形</w:t>
      </w:r>
    </w:p>
    <w:p w14:paraId="0875CDE4">
      <w:pPr>
        <w:snapToGrid w:val="0"/>
        <w:spacing w:line="480" w:lineRule="exact"/>
        <w:ind w:firstLine="422" w:firstLineChars="200"/>
        <w:rPr>
          <w:rFonts w:ascii="宋体" w:hAnsi="宋体" w:eastAsia="宋体" w:cs="宋体"/>
          <w:bCs/>
          <w:color w:val="auto"/>
          <w:sz w:val="21"/>
          <w:szCs w:val="21"/>
        </w:rPr>
      </w:pPr>
      <w:bookmarkStart w:id="222" w:name="_Toc28701"/>
      <w:bookmarkStart w:id="223" w:name="_Toc26260"/>
      <w:bookmarkStart w:id="224" w:name="_Toc25820"/>
      <w:bookmarkStart w:id="225" w:name="_Toc19269"/>
      <w:bookmarkStart w:id="226" w:name="_Toc11776"/>
      <w:bookmarkStart w:id="227" w:name="_Toc11970"/>
      <w:bookmarkStart w:id="228" w:name="_Toc13143"/>
      <w:bookmarkStart w:id="229" w:name="_Toc1053"/>
      <w:bookmarkStart w:id="230" w:name="_Toc6623"/>
      <w:bookmarkStart w:id="231" w:name="_Toc91899903"/>
      <w:r>
        <w:rPr>
          <w:rFonts w:hint="eastAsia" w:ascii="宋体" w:hAnsi="宋体" w:eastAsia="宋体" w:cs="宋体"/>
          <w:b/>
          <w:color w:val="auto"/>
          <w:sz w:val="21"/>
          <w:szCs w:val="21"/>
        </w:rPr>
        <w:t>有下列情况之一的，投标无效</w:t>
      </w:r>
      <w:r>
        <w:rPr>
          <w:rFonts w:hint="eastAsia" w:ascii="宋体" w:hAnsi="宋体" w:eastAsia="宋体" w:cs="宋体"/>
          <w:bCs/>
          <w:color w:val="auto"/>
          <w:sz w:val="21"/>
          <w:szCs w:val="21"/>
        </w:rPr>
        <w:t>：</w:t>
      </w:r>
    </w:p>
    <w:p w14:paraId="5DB6690E">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1.投标人不具备招标文件中规定的资格要求的（投标人未提供有效的资格文件的，视为投标人不具备招标文件中规定的资格要求）；</w:t>
      </w:r>
    </w:p>
    <w:p w14:paraId="2E80E2D7">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2.投标文件未按照招标文件要求签署、盖章的；</w:t>
      </w:r>
    </w:p>
    <w:p w14:paraId="476C3B69">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3.采购人拟采购的产品属于政府强制采购的节能产品品目清单范围的，投标人未按招标文件要求提供国家确定的认证机构出具的、处于有效期之内的节能产品认证证书的；</w:t>
      </w:r>
    </w:p>
    <w:p w14:paraId="1C33747C">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4.投标文件含有采购人不能接受的附加条件的；</w:t>
      </w:r>
    </w:p>
    <w:p w14:paraId="50DD1130">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5.投标文件中承诺的投标有效期少于招标文件中载明的投标有效期的；</w:t>
      </w:r>
    </w:p>
    <w:p w14:paraId="2769AFB8">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6.投标文件出现不是唯一的、有选择性投标报价的；</w:t>
      </w:r>
    </w:p>
    <w:p w14:paraId="0C2E934D">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7.投标报价超过招标文件中规定的预算金额或者最高限价的；</w:t>
      </w:r>
    </w:p>
    <w:p w14:paraId="609F9DE1">
      <w:pPr>
        <w:adjustRightInd w:val="0"/>
        <w:snapToGrid w:val="0"/>
        <w:spacing w:line="480" w:lineRule="exact"/>
        <w:ind w:firstLine="420" w:firstLineChars="200"/>
        <w:rPr>
          <w:rFonts w:ascii="宋体" w:hAnsi="宋体" w:eastAsia="宋体" w:cs="宋体"/>
          <w:b/>
          <w:color w:val="auto"/>
          <w:sz w:val="21"/>
          <w:szCs w:val="21"/>
        </w:rPr>
      </w:pPr>
      <w:r>
        <w:rPr>
          <w:rFonts w:hint="eastAsia" w:ascii="宋体" w:hAnsi="宋体" w:eastAsia="宋体" w:cs="宋体"/>
          <w:bCs/>
          <w:color w:val="auto"/>
          <w:sz w:val="21"/>
          <w:szCs w:val="21"/>
        </w:rPr>
        <w:t>8.</w:t>
      </w:r>
      <w:r>
        <w:rPr>
          <w:rFonts w:hint="eastAsia" w:ascii="宋体" w:hAnsi="宋体" w:eastAsia="宋体" w:cs="宋体"/>
          <w:b/>
          <w:color w:val="auto"/>
          <w:sz w:val="21"/>
          <w:szCs w:val="21"/>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0AC29555">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9.投标人对根据修正原则修正后的报价不确认的；</w:t>
      </w:r>
    </w:p>
    <w:p w14:paraId="50A45852">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10.投标人提供虚假材料投标的；</w:t>
      </w:r>
    </w:p>
    <w:p w14:paraId="0BC13BB0">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11.投标人有恶意串通、妨碍其他投标人的竞争行为、损害采购人或者其他投标人的合法权益情形的；</w:t>
      </w:r>
    </w:p>
    <w:p w14:paraId="1CE2EF2D">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
          <w:color w:val="auto"/>
          <w:sz w:val="21"/>
          <w:szCs w:val="21"/>
        </w:rPr>
        <w:t>投标人仅提交备份投标文件，没有在电子交易平台传输递交投标文件的，投标无效；</w:t>
      </w:r>
    </w:p>
    <w:p w14:paraId="6096959B">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13.投标文件不满足招标文件的其他实质性要求的；</w:t>
      </w:r>
    </w:p>
    <w:p w14:paraId="752790E0">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14.法律、法规、规章（适用本市的）及省级以上规范性文件（适用本市的）规定的其他无效情形。</w:t>
      </w:r>
    </w:p>
    <w:p w14:paraId="37A7DDF3">
      <w:pPr>
        <w:snapToGrid w:val="0"/>
        <w:spacing w:line="48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废标的情形：</w:t>
      </w:r>
    </w:p>
    <w:p w14:paraId="4467CE67">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根据《中华人民共和国政府采购法》第三十六条之规定，在采购中，出现下列情形之一的，应予废标：</w:t>
      </w:r>
    </w:p>
    <w:p w14:paraId="155D41CF">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1.符合专业条件的供应商或者对招标文件作实质响应的供应商不足3家的；</w:t>
      </w:r>
    </w:p>
    <w:p w14:paraId="48DDB6AC">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2.出现影响采购公正的违法、违规行为的；</w:t>
      </w:r>
    </w:p>
    <w:p w14:paraId="686A3021">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3.投标人的报价均超过了采购预算，采购人不能支付的；</w:t>
      </w:r>
    </w:p>
    <w:p w14:paraId="22A08385">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4.因重大变故，采购任务取消的；</w:t>
      </w:r>
    </w:p>
    <w:p w14:paraId="5F4600FD">
      <w:pPr>
        <w:snapToGrid w:val="0"/>
        <w:spacing w:line="48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废标后，采购机构应当将废标理由通知所有投标人。</w:t>
      </w:r>
    </w:p>
    <w:p w14:paraId="0C7EDCA1">
      <w:pPr>
        <w:snapToGrid w:val="0"/>
        <w:spacing w:line="480" w:lineRule="exact"/>
        <w:ind w:firstLine="413" w:firstLineChars="196"/>
        <w:rPr>
          <w:rFonts w:ascii="宋体" w:hAnsi="宋体" w:eastAsia="宋体" w:cs="宋体"/>
          <w:b/>
          <w:bCs/>
          <w:color w:val="auto"/>
          <w:sz w:val="21"/>
          <w:szCs w:val="21"/>
        </w:rPr>
      </w:pPr>
      <w:r>
        <w:rPr>
          <w:rFonts w:hint="eastAsia" w:ascii="宋体" w:hAnsi="宋体" w:eastAsia="宋体" w:cs="宋体"/>
          <w:b/>
          <w:bCs/>
          <w:color w:val="auto"/>
          <w:sz w:val="21"/>
          <w:szCs w:val="21"/>
        </w:rPr>
        <w:t>如有下列情形之一的，可中止电子交易活动的情形：</w:t>
      </w:r>
    </w:p>
    <w:p w14:paraId="4C6B9477">
      <w:pPr>
        <w:snapToGrid w:val="0"/>
        <w:spacing w:line="4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招标过程中出现以下情形，导致政府采购云平台无法正常运行，或者无法保证电子交易的公平、公正和安全时，采购代理机构将中止电子交易活动：</w:t>
      </w:r>
    </w:p>
    <w:p w14:paraId="64FF2585">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⑴电子交易平台发生故障而无法登录访问的；</w:t>
      </w:r>
    </w:p>
    <w:p w14:paraId="5B53D0B0">
      <w:pPr>
        <w:snapToGrid w:val="0"/>
        <w:spacing w:line="4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⑵电子交易平台应用或数据库出现错误，不能进行正常操作的；</w:t>
      </w:r>
    </w:p>
    <w:p w14:paraId="35CCEDBC">
      <w:pPr>
        <w:snapToGrid w:val="0"/>
        <w:spacing w:line="4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⑶电子交易平台发现严重安全漏洞，有潜在泄密危险的；</w:t>
      </w:r>
    </w:p>
    <w:p w14:paraId="0682B5D1">
      <w:pPr>
        <w:snapToGrid w:val="0"/>
        <w:spacing w:line="4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 xml:space="preserve">⑷病毒发作导致不能进行正常操作的； </w:t>
      </w:r>
    </w:p>
    <w:p w14:paraId="79BCF396">
      <w:pPr>
        <w:snapToGrid w:val="0"/>
        <w:spacing w:line="4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⑸其他无法保证电子交易的公平、公正和安全的情况。</w:t>
      </w:r>
    </w:p>
    <w:p w14:paraId="02072F1D">
      <w:pPr>
        <w:snapToGrid w:val="0"/>
        <w:spacing w:line="480" w:lineRule="exact"/>
        <w:ind w:firstLine="413" w:firstLineChars="196"/>
        <w:rPr>
          <w:rFonts w:ascii="宋体" w:hAnsi="宋体" w:eastAsia="宋体" w:cs="宋体"/>
          <w:color w:val="auto"/>
          <w:sz w:val="21"/>
          <w:szCs w:val="21"/>
        </w:rPr>
      </w:pPr>
      <w:r>
        <w:rPr>
          <w:rFonts w:hint="eastAsia" w:ascii="宋体" w:hAnsi="宋体" w:eastAsia="宋体" w:cs="宋体"/>
          <w:b/>
          <w:color w:val="auto"/>
          <w:sz w:val="21"/>
          <w:szCs w:val="21"/>
        </w:rPr>
        <w:t>出现上述规定情形，不影响采购公平、公正性的，采购代理机构可以待上述情形消除后继续组织电子交易活动；影响或可能影响采购公平、公正性的，应当重新组织采购。</w:t>
      </w:r>
    </w:p>
    <w:p w14:paraId="76DAC17A">
      <w:pPr>
        <w:widowControl/>
        <w:spacing w:line="48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四、开标</w:t>
      </w:r>
      <w:bookmarkEnd w:id="222"/>
      <w:bookmarkEnd w:id="223"/>
      <w:bookmarkEnd w:id="224"/>
      <w:bookmarkEnd w:id="225"/>
      <w:bookmarkEnd w:id="226"/>
      <w:bookmarkEnd w:id="227"/>
      <w:bookmarkEnd w:id="228"/>
      <w:bookmarkEnd w:id="229"/>
      <w:bookmarkEnd w:id="230"/>
    </w:p>
    <w:p w14:paraId="3B8D899C">
      <w:pPr>
        <w:snapToGrid w:val="0"/>
        <w:spacing w:line="48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（一）开标准备</w:t>
      </w:r>
    </w:p>
    <w:p w14:paraId="2EA85880">
      <w:pPr>
        <w:snapToGrid w:val="0"/>
        <w:spacing w:line="460" w:lineRule="exact"/>
        <w:ind w:firstLine="420" w:firstLineChars="200"/>
        <w:rPr>
          <w:rFonts w:ascii="宋体" w:hAnsi="宋体" w:eastAsia="宋体" w:cs="宋体"/>
          <w:bCs/>
          <w:color w:val="auto"/>
          <w:sz w:val="21"/>
          <w:szCs w:val="21"/>
        </w:rPr>
      </w:pPr>
      <w:r>
        <w:rPr>
          <w:rFonts w:hint="eastAsia" w:ascii="宋体" w:hAnsi="宋体" w:eastAsia="宋体" w:cs="宋体"/>
          <w:color w:val="auto"/>
          <w:sz w:val="21"/>
          <w:szCs w:val="21"/>
        </w:rPr>
        <w:t>采购代理机构将在规定的时间和地点进行开标，本项目实行不见面开标，投标人无需前往</w:t>
      </w:r>
      <w:r>
        <w:rPr>
          <w:rFonts w:hint="eastAsia" w:ascii="宋体" w:hAnsi="宋体" w:eastAsia="宋体" w:cs="宋体"/>
          <w:color w:val="auto"/>
          <w:sz w:val="21"/>
          <w:szCs w:val="21"/>
          <w:lang w:eastAsia="zh-CN"/>
        </w:rPr>
        <w:t>浙江科佳工程咨询有限公司</w:t>
      </w:r>
      <w:r>
        <w:rPr>
          <w:rFonts w:hint="eastAsia" w:ascii="宋体" w:hAnsi="宋体" w:eastAsia="宋体" w:cs="宋体"/>
          <w:color w:val="auto"/>
          <w:sz w:val="21"/>
          <w:szCs w:val="21"/>
        </w:rPr>
        <w:t>，只需在开标时间做好开标准备（如投标文件的解密和投标价格的确认），确保联系方式的畅通。</w:t>
      </w:r>
    </w:p>
    <w:p w14:paraId="7B9EC74C">
      <w:pPr>
        <w:snapToGrid w:val="0"/>
        <w:spacing w:line="46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（二）开标程序：</w:t>
      </w:r>
    </w:p>
    <w:p w14:paraId="20C4191B">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1.本项目原则上采用政采云电子招投标系统进行开标及评审，但有下情形之一的，按以下情况处理：</w:t>
      </w:r>
    </w:p>
    <w:p w14:paraId="028F70CF">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（1）若投标人的电子投标文件在规定时间内无法解密或解密失败，工作人员将开启投标人递交的电子备份投标文件，以完成开标。</w:t>
      </w:r>
    </w:p>
    <w:p w14:paraId="105F963C">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（2）若投标人的电子投标文件在规定时间内无法解密或解密失败，或者因政采云平台原因无法读取或电子开评标无法正常进行时，工作人员将上传投标人的电子备份投标文件，以完成开标。</w:t>
      </w:r>
    </w:p>
    <w:p w14:paraId="7FE0DF00">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2.开标及评审程序</w:t>
      </w:r>
    </w:p>
    <w:p w14:paraId="28FB75EE">
      <w:pPr>
        <w:snapToGrid w:val="0"/>
        <w:spacing w:line="4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（1）投标截止时间后，投标人须登录政采云平台，用“项目采购－开标评标”功能对电子投标文件进行在线解密。在线解密电子投标文件时间为投标截止时间起半个小时内。</w:t>
      </w:r>
    </w:p>
    <w:p w14:paraId="6E89D9F7">
      <w:pPr>
        <w:snapToGrid w:val="0"/>
        <w:spacing w:line="4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（2）由采购人代表对资格审查文件进行评审，评标委员会对商务技术响应文件进行评审；</w:t>
      </w:r>
    </w:p>
    <w:p w14:paraId="2ACE0B46">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（3）在系统上公开资格审查和技术商务评审结果；</w:t>
      </w:r>
    </w:p>
    <w:p w14:paraId="3330FFB5">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（4）在系统上公开报价开标情况；</w:t>
      </w:r>
    </w:p>
    <w:p w14:paraId="3E19B0F5">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（5）评标委员会对报价情况进行评审；</w:t>
      </w:r>
    </w:p>
    <w:p w14:paraId="76309F47">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（6）在系统上公布评审结果。</w:t>
      </w:r>
    </w:p>
    <w:p w14:paraId="604AE0B1">
      <w:pPr>
        <w:snapToGrid w:val="0"/>
        <w:spacing w:line="460" w:lineRule="exact"/>
        <w:ind w:firstLine="420" w:firstLineChars="200"/>
        <w:rPr>
          <w:rFonts w:ascii="宋体" w:hAnsi="宋体" w:eastAsia="宋体" w:cs="宋体"/>
          <w:b/>
          <w:bCs/>
          <w:color w:val="auto"/>
          <w:sz w:val="21"/>
          <w:szCs w:val="21"/>
        </w:rPr>
      </w:pPr>
      <w:r>
        <w:rPr>
          <w:rFonts w:hint="eastAsia" w:ascii="宋体" w:hAnsi="宋体" w:eastAsia="宋体" w:cs="宋体"/>
          <w:bCs/>
          <w:color w:val="auto"/>
          <w:sz w:val="21"/>
          <w:szCs w:val="21"/>
        </w:rPr>
        <w:t>特别说明：政采云公司如对电子化开标及评审程序有调整的，按调整后的程序操作。</w:t>
      </w:r>
      <w:bookmarkStart w:id="232" w:name="_Toc21636"/>
      <w:bookmarkStart w:id="233" w:name="_Toc10390"/>
      <w:bookmarkStart w:id="234" w:name="_Toc23660"/>
      <w:bookmarkStart w:id="235" w:name="_Toc14743"/>
      <w:bookmarkStart w:id="236" w:name="_Toc6545"/>
    </w:p>
    <w:p w14:paraId="5CD9FE5E">
      <w:pPr>
        <w:adjustRightInd w:val="0"/>
        <w:snapToGrid w:val="0"/>
        <w:spacing w:line="46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电子招投标开标及评审程序</w:t>
      </w:r>
      <w:bookmarkEnd w:id="232"/>
      <w:bookmarkEnd w:id="233"/>
      <w:bookmarkEnd w:id="234"/>
      <w:bookmarkEnd w:id="235"/>
      <w:bookmarkEnd w:id="236"/>
    </w:p>
    <w:p w14:paraId="70A6A91D">
      <w:pPr>
        <w:adjustRightInd w:val="0"/>
        <w:snapToGrid w:val="0"/>
        <w:spacing w:line="460" w:lineRule="exact"/>
        <w:ind w:firstLine="422" w:firstLineChars="200"/>
        <w:rPr>
          <w:rFonts w:ascii="宋体" w:hAnsi="宋体" w:eastAsia="宋体" w:cs="宋体"/>
          <w:b/>
          <w:bCs/>
          <w:color w:val="auto"/>
          <w:sz w:val="21"/>
          <w:szCs w:val="21"/>
        </w:rPr>
      </w:pPr>
      <w:bookmarkStart w:id="237" w:name="_Toc29198"/>
      <w:bookmarkStart w:id="238" w:name="_Toc19339"/>
      <w:bookmarkStart w:id="239" w:name="_Toc4002"/>
      <w:bookmarkStart w:id="240" w:name="_Toc18188"/>
      <w:bookmarkStart w:id="241" w:name="_Toc20711"/>
      <w:r>
        <w:rPr>
          <w:rFonts w:hint="eastAsia" w:ascii="宋体" w:hAnsi="宋体" w:eastAsia="宋体" w:cs="宋体"/>
          <w:b/>
          <w:bCs/>
          <w:color w:val="auto"/>
          <w:sz w:val="21"/>
          <w:szCs w:val="21"/>
        </w:rPr>
        <w:t>1.开标第一阶段</w:t>
      </w:r>
      <w:bookmarkEnd w:id="237"/>
      <w:bookmarkEnd w:id="238"/>
      <w:bookmarkEnd w:id="239"/>
      <w:bookmarkEnd w:id="240"/>
      <w:bookmarkEnd w:id="241"/>
    </w:p>
    <w:p w14:paraId="4CDC6ED9">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5E76802F">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（2）开启资格文件、技术商务文件。</w:t>
      </w:r>
    </w:p>
    <w:p w14:paraId="7D68559B">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（3）进行资格审查。对通过资格审查的投标人进行符合性审查、技术商务评审；</w:t>
      </w:r>
    </w:p>
    <w:p w14:paraId="73803B93">
      <w:pPr>
        <w:adjustRightInd w:val="0"/>
        <w:snapToGrid w:val="0"/>
        <w:spacing w:line="460" w:lineRule="exact"/>
        <w:ind w:firstLine="422" w:firstLineChars="200"/>
        <w:rPr>
          <w:rFonts w:ascii="宋体" w:hAnsi="宋体" w:eastAsia="宋体" w:cs="宋体"/>
          <w:b/>
          <w:bCs/>
          <w:color w:val="auto"/>
          <w:sz w:val="21"/>
          <w:szCs w:val="21"/>
        </w:rPr>
      </w:pPr>
      <w:bookmarkStart w:id="242" w:name="_Toc28938"/>
      <w:bookmarkStart w:id="243" w:name="_Toc27486"/>
      <w:bookmarkStart w:id="244" w:name="_Toc24502"/>
      <w:bookmarkStart w:id="245" w:name="_Toc13812"/>
      <w:bookmarkStart w:id="246" w:name="_Toc2285"/>
      <w:r>
        <w:rPr>
          <w:rFonts w:hint="eastAsia" w:ascii="宋体" w:hAnsi="宋体" w:eastAsia="宋体" w:cs="宋体"/>
          <w:b/>
          <w:bCs/>
          <w:color w:val="auto"/>
          <w:sz w:val="21"/>
          <w:szCs w:val="21"/>
        </w:rPr>
        <w:t>2.开标第二阶段</w:t>
      </w:r>
      <w:bookmarkEnd w:id="242"/>
      <w:bookmarkEnd w:id="243"/>
      <w:bookmarkEnd w:id="244"/>
      <w:bookmarkEnd w:id="245"/>
      <w:bookmarkEnd w:id="246"/>
    </w:p>
    <w:p w14:paraId="00ECA218">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（1）资格审查、符合性审查、技术商务评审结束后，进入开标第二阶段。</w:t>
      </w:r>
    </w:p>
    <w:p w14:paraId="133A4A7A">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（2）通过电子交易平台公布无效供应商名单及导致无效的原因；公布有效供应商的名单及其技术商务得分。</w:t>
      </w:r>
    </w:p>
    <w:p w14:paraId="16521CDA">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（3）开启有效供应商的《报价文件》，系统形成开标记录。</w:t>
      </w:r>
    </w:p>
    <w:p w14:paraId="43B4AB94">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（4）价格评审。价格评审结束后，通过电子交易平台公布中标候选供应商名单。</w:t>
      </w:r>
    </w:p>
    <w:p w14:paraId="1A19A253">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2070D13B">
      <w:pPr>
        <w:widowControl/>
        <w:spacing w:line="460" w:lineRule="exact"/>
        <w:ind w:firstLine="422" w:firstLineChars="200"/>
        <w:jc w:val="left"/>
        <w:rPr>
          <w:rFonts w:ascii="宋体" w:hAnsi="宋体" w:eastAsia="宋体" w:cs="宋体"/>
          <w:b/>
          <w:bCs/>
          <w:color w:val="auto"/>
          <w:sz w:val="21"/>
          <w:szCs w:val="21"/>
        </w:rPr>
      </w:pPr>
      <w:bookmarkStart w:id="247" w:name="_Toc21931"/>
      <w:bookmarkStart w:id="248" w:name="_Toc10900"/>
      <w:bookmarkStart w:id="249" w:name="_Toc8808"/>
      <w:bookmarkStart w:id="250" w:name="_Toc1556"/>
      <w:bookmarkStart w:id="251" w:name="_Toc26702"/>
      <w:bookmarkStart w:id="252" w:name="_Toc1416"/>
      <w:bookmarkStart w:id="253" w:name="_Toc22281"/>
      <w:bookmarkStart w:id="254" w:name="_Toc18085"/>
      <w:bookmarkStart w:id="255" w:name="_Toc14300"/>
      <w:bookmarkStart w:id="256" w:name="_Toc6712"/>
      <w:r>
        <w:rPr>
          <w:rFonts w:hint="eastAsia" w:ascii="宋体" w:hAnsi="宋体" w:eastAsia="宋体" w:cs="宋体"/>
          <w:b/>
          <w:bCs/>
          <w:color w:val="auto"/>
          <w:sz w:val="21"/>
          <w:szCs w:val="21"/>
        </w:rPr>
        <w:t>五、评标</w:t>
      </w:r>
      <w:bookmarkEnd w:id="247"/>
      <w:bookmarkEnd w:id="248"/>
      <w:bookmarkEnd w:id="249"/>
      <w:bookmarkEnd w:id="250"/>
      <w:bookmarkEnd w:id="251"/>
      <w:bookmarkEnd w:id="252"/>
      <w:bookmarkEnd w:id="253"/>
      <w:bookmarkEnd w:id="254"/>
      <w:bookmarkEnd w:id="255"/>
      <w:bookmarkEnd w:id="256"/>
    </w:p>
    <w:p w14:paraId="1976CF32">
      <w:pPr>
        <w:keepLines/>
        <w:spacing w:line="460" w:lineRule="exact"/>
        <w:ind w:firstLine="422" w:firstLineChars="200"/>
        <w:contextualSpacing/>
        <w:jc w:val="left"/>
        <w:rPr>
          <w:rFonts w:ascii="宋体" w:hAnsi="宋体" w:eastAsia="宋体" w:cs="宋体"/>
          <w:b/>
          <w:color w:val="auto"/>
          <w:sz w:val="21"/>
          <w:szCs w:val="21"/>
          <w:lang w:bidi="en-US"/>
        </w:rPr>
      </w:pPr>
      <w:bookmarkStart w:id="257" w:name="_Toc19693"/>
      <w:bookmarkStart w:id="258" w:name="_Toc30349"/>
      <w:r>
        <w:rPr>
          <w:rFonts w:hint="eastAsia" w:ascii="宋体" w:hAnsi="宋体" w:eastAsia="宋体" w:cs="宋体"/>
          <w:b/>
          <w:color w:val="auto"/>
          <w:sz w:val="21"/>
          <w:szCs w:val="21"/>
          <w:lang w:bidi="en-US"/>
        </w:rPr>
        <w:t>（一）组建评标委员会</w:t>
      </w:r>
      <w:bookmarkEnd w:id="257"/>
      <w:bookmarkEnd w:id="258"/>
    </w:p>
    <w:p w14:paraId="166E577E">
      <w:pPr>
        <w:tabs>
          <w:tab w:val="left" w:pos="1200"/>
        </w:tabs>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本项目评标委员会由政府采购评审专家≧5人单数组成，其中采购人代表不超过评委总数的1/3。</w:t>
      </w:r>
    </w:p>
    <w:p w14:paraId="0DFC1A81">
      <w:pPr>
        <w:keepLines/>
        <w:spacing w:line="460" w:lineRule="exact"/>
        <w:ind w:firstLine="422" w:firstLineChars="200"/>
        <w:contextualSpacing/>
        <w:jc w:val="left"/>
        <w:rPr>
          <w:rFonts w:ascii="宋体" w:hAnsi="宋体" w:eastAsia="宋体" w:cs="宋体"/>
          <w:b/>
          <w:color w:val="auto"/>
          <w:sz w:val="21"/>
          <w:szCs w:val="21"/>
          <w:lang w:bidi="en-US"/>
        </w:rPr>
      </w:pPr>
      <w:bookmarkStart w:id="259" w:name="_Toc9863"/>
      <w:bookmarkStart w:id="260" w:name="_Toc25842"/>
      <w:r>
        <w:rPr>
          <w:rFonts w:hint="eastAsia" w:ascii="宋体" w:hAnsi="宋体" w:eastAsia="宋体" w:cs="宋体"/>
          <w:b/>
          <w:color w:val="auto"/>
          <w:sz w:val="21"/>
          <w:szCs w:val="21"/>
          <w:lang w:bidi="en-US"/>
        </w:rPr>
        <w:t>（二）评标的方式</w:t>
      </w:r>
      <w:bookmarkEnd w:id="259"/>
      <w:bookmarkEnd w:id="260"/>
    </w:p>
    <w:p w14:paraId="412703C0">
      <w:pPr>
        <w:tabs>
          <w:tab w:val="left" w:pos="1200"/>
        </w:tabs>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本项目采用不公开方式评标，评标的依据为招标文件和投标文件。</w:t>
      </w:r>
    </w:p>
    <w:p w14:paraId="0249B8D6">
      <w:pPr>
        <w:snapToGrid w:val="0"/>
        <w:spacing w:line="460" w:lineRule="exact"/>
        <w:ind w:firstLine="422" w:firstLineChars="200"/>
        <w:rPr>
          <w:rFonts w:ascii="宋体" w:hAnsi="宋体" w:eastAsia="宋体" w:cs="宋体"/>
          <w:b/>
          <w:bCs/>
          <w:color w:val="auto"/>
          <w:sz w:val="21"/>
          <w:szCs w:val="21"/>
        </w:rPr>
      </w:pPr>
      <w:r>
        <w:rPr>
          <w:rFonts w:hint="eastAsia" w:ascii="宋体" w:hAnsi="宋体" w:eastAsia="宋体" w:cs="宋体"/>
          <w:b/>
          <w:color w:val="auto"/>
          <w:sz w:val="21"/>
          <w:szCs w:val="21"/>
        </w:rPr>
        <w:t>（三）组织</w:t>
      </w:r>
      <w:r>
        <w:rPr>
          <w:rFonts w:hint="eastAsia" w:ascii="宋体" w:hAnsi="宋体" w:eastAsia="宋体" w:cs="宋体"/>
          <w:b/>
          <w:bCs/>
          <w:color w:val="auto"/>
          <w:sz w:val="21"/>
          <w:szCs w:val="21"/>
        </w:rPr>
        <w:t>评标程序</w:t>
      </w:r>
    </w:p>
    <w:p w14:paraId="546899AD">
      <w:pPr>
        <w:keepLines/>
        <w:spacing w:line="460" w:lineRule="exact"/>
        <w:ind w:firstLine="420" w:firstLineChars="200"/>
        <w:contextualSpacing/>
        <w:jc w:val="left"/>
        <w:rPr>
          <w:rFonts w:ascii="宋体" w:hAnsi="宋体" w:eastAsia="宋体" w:cs="宋体"/>
          <w:color w:val="auto"/>
          <w:sz w:val="21"/>
          <w:szCs w:val="21"/>
        </w:rPr>
      </w:pPr>
      <w:bookmarkStart w:id="261" w:name="_Toc7123"/>
      <w:bookmarkStart w:id="262" w:name="_Toc26259"/>
      <w:r>
        <w:rPr>
          <w:rFonts w:hint="eastAsia" w:ascii="宋体" w:hAnsi="宋体" w:eastAsia="宋体" w:cs="宋体"/>
          <w:color w:val="auto"/>
          <w:sz w:val="21"/>
          <w:szCs w:val="21"/>
        </w:rPr>
        <w:t>1.向各投标人发出电子加密投标文件【开始解密】通知，由供应商按招标文件规定的时间内自行进行投标文件解密。投标人在规定的时间内无法完成已递交的“电子加密投标文件”解密的，其投标文件按拒收处理。</w:t>
      </w:r>
      <w:bookmarkEnd w:id="261"/>
      <w:bookmarkEnd w:id="262"/>
    </w:p>
    <w:p w14:paraId="01027D48">
      <w:pPr>
        <w:keepLines/>
        <w:spacing w:line="460" w:lineRule="exact"/>
        <w:ind w:firstLine="420" w:firstLineChars="200"/>
        <w:contextualSpacing/>
        <w:jc w:val="left"/>
        <w:rPr>
          <w:rFonts w:ascii="宋体" w:hAnsi="宋体" w:eastAsia="宋体" w:cs="宋体"/>
          <w:color w:val="auto"/>
          <w:sz w:val="21"/>
          <w:szCs w:val="21"/>
        </w:rPr>
      </w:pPr>
      <w:bookmarkStart w:id="263" w:name="_Toc31218"/>
      <w:bookmarkStart w:id="264" w:name="_Toc26963"/>
      <w:r>
        <w:rPr>
          <w:rFonts w:hint="eastAsia" w:ascii="宋体" w:hAnsi="宋体" w:eastAsia="宋体" w:cs="宋体"/>
          <w:color w:val="auto"/>
          <w:sz w:val="21"/>
          <w:szCs w:val="21"/>
        </w:rPr>
        <w:t>2.投标文件解密结束，开启资格文件，进入资格审查环节，采购人将依法对投标人的资格进行审查。</w:t>
      </w:r>
      <w:bookmarkEnd w:id="263"/>
      <w:bookmarkEnd w:id="264"/>
    </w:p>
    <w:p w14:paraId="42F3713D">
      <w:pPr>
        <w:keepLines/>
        <w:spacing w:line="460" w:lineRule="exact"/>
        <w:ind w:firstLine="420" w:firstLineChars="200"/>
        <w:contextualSpacing/>
        <w:jc w:val="left"/>
        <w:rPr>
          <w:rFonts w:ascii="宋体" w:hAnsi="宋体" w:eastAsia="宋体" w:cs="宋体"/>
          <w:color w:val="auto"/>
          <w:sz w:val="21"/>
          <w:szCs w:val="21"/>
        </w:rPr>
      </w:pPr>
      <w:bookmarkStart w:id="265" w:name="_Toc7579"/>
      <w:bookmarkStart w:id="266" w:name="_Toc15105"/>
      <w:r>
        <w:rPr>
          <w:rFonts w:hint="eastAsia" w:ascii="宋体" w:hAnsi="宋体" w:eastAsia="宋体" w:cs="宋体"/>
          <w:color w:val="auto"/>
          <w:sz w:val="21"/>
          <w:szCs w:val="21"/>
        </w:rPr>
        <w:t>3.开启资格审查通过的投标人的商务技术文件进入符合性审查及商务技术评审。</w:t>
      </w:r>
      <w:bookmarkEnd w:id="265"/>
      <w:bookmarkEnd w:id="266"/>
    </w:p>
    <w:p w14:paraId="1021C510">
      <w:pPr>
        <w:keepLines/>
        <w:spacing w:line="460" w:lineRule="exact"/>
        <w:ind w:firstLine="420" w:firstLineChars="200"/>
        <w:contextualSpacing/>
        <w:jc w:val="left"/>
        <w:rPr>
          <w:rFonts w:ascii="宋体" w:hAnsi="宋体" w:eastAsia="宋体" w:cs="宋体"/>
          <w:color w:val="auto"/>
          <w:sz w:val="21"/>
          <w:szCs w:val="21"/>
        </w:rPr>
      </w:pPr>
      <w:bookmarkStart w:id="267" w:name="_Toc25921"/>
      <w:bookmarkStart w:id="268" w:name="_Toc4317"/>
      <w:r>
        <w:rPr>
          <w:rFonts w:hint="eastAsia" w:ascii="宋体" w:hAnsi="宋体" w:eastAsia="宋体" w:cs="宋体"/>
          <w:color w:val="auto"/>
          <w:sz w:val="21"/>
          <w:szCs w:val="21"/>
        </w:rPr>
        <w:t>4.符合性审查、商务技术评审结束后，开启符合性审查、商务技术评审有效投标人的报价文件。由评标委员会对报价文件的符合性等进行审查核实，对报价进行得分计算。</w:t>
      </w:r>
      <w:bookmarkEnd w:id="267"/>
      <w:bookmarkEnd w:id="268"/>
    </w:p>
    <w:p w14:paraId="7C064111">
      <w:pPr>
        <w:keepLines/>
        <w:spacing w:line="460" w:lineRule="exact"/>
        <w:ind w:firstLine="420" w:firstLineChars="200"/>
        <w:contextualSpacing/>
        <w:jc w:val="left"/>
        <w:rPr>
          <w:rFonts w:ascii="宋体" w:hAnsi="宋体" w:eastAsia="宋体" w:cs="宋体"/>
          <w:color w:val="auto"/>
          <w:sz w:val="21"/>
          <w:szCs w:val="21"/>
        </w:rPr>
      </w:pPr>
      <w:bookmarkStart w:id="269" w:name="_Toc4982"/>
      <w:bookmarkStart w:id="270" w:name="_Toc16740"/>
      <w:r>
        <w:rPr>
          <w:rFonts w:hint="eastAsia" w:ascii="宋体" w:hAnsi="宋体" w:eastAsia="宋体" w:cs="宋体"/>
          <w:color w:val="auto"/>
          <w:sz w:val="21"/>
          <w:szCs w:val="21"/>
        </w:rPr>
        <w:t>5.根据各投标供应商综合得分从高到低进行排序，推荐中标候选人；综合得分最高的供应商推荐为中标人。</w:t>
      </w:r>
      <w:bookmarkEnd w:id="269"/>
      <w:bookmarkEnd w:id="270"/>
    </w:p>
    <w:p w14:paraId="02BAC76E">
      <w:pPr>
        <w:keepLines/>
        <w:spacing w:line="460" w:lineRule="exact"/>
        <w:ind w:firstLine="420" w:firstLineChars="200"/>
        <w:contextualSpacing/>
        <w:jc w:val="left"/>
        <w:rPr>
          <w:rFonts w:ascii="宋体" w:hAnsi="宋体" w:eastAsia="宋体" w:cs="宋体"/>
          <w:color w:val="auto"/>
          <w:sz w:val="21"/>
          <w:szCs w:val="21"/>
        </w:rPr>
      </w:pPr>
      <w:bookmarkStart w:id="271" w:name="_Toc32009"/>
      <w:bookmarkStart w:id="272" w:name="_Toc18939"/>
      <w:r>
        <w:rPr>
          <w:rFonts w:hint="eastAsia" w:ascii="宋体" w:hAnsi="宋体" w:eastAsia="宋体" w:cs="宋体"/>
          <w:color w:val="auto"/>
          <w:sz w:val="21"/>
          <w:szCs w:val="21"/>
        </w:rPr>
        <w:t>6.由评标委员会向采购人推荐综合得分第一名的供应商为中标人，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37A1FE04">
      <w:pPr>
        <w:keepLines/>
        <w:spacing w:line="460" w:lineRule="exact"/>
        <w:ind w:firstLine="420" w:firstLineChars="200"/>
        <w:contextualSpacing/>
        <w:jc w:val="left"/>
        <w:rPr>
          <w:rFonts w:ascii="宋体" w:hAnsi="宋体" w:eastAsia="宋体" w:cs="宋体"/>
          <w:b/>
          <w:color w:val="auto"/>
          <w:sz w:val="21"/>
          <w:szCs w:val="21"/>
          <w:lang w:bidi="en-US"/>
        </w:rPr>
      </w:pPr>
      <w:r>
        <w:rPr>
          <w:rFonts w:hint="eastAsia" w:ascii="宋体" w:hAnsi="宋体" w:eastAsia="宋体" w:cs="宋体"/>
          <w:color w:val="auto"/>
          <w:sz w:val="21"/>
          <w:szCs w:val="21"/>
        </w:rPr>
        <w:t>7.评审结束后，公布采购结果。</w:t>
      </w:r>
      <w:bookmarkEnd w:id="271"/>
      <w:bookmarkEnd w:id="272"/>
    </w:p>
    <w:p w14:paraId="65929E1A">
      <w:pPr>
        <w:widowControl/>
        <w:spacing w:line="44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（四）</w:t>
      </w:r>
      <w:r>
        <w:rPr>
          <w:rFonts w:hint="eastAsia" w:ascii="宋体" w:hAnsi="宋体" w:eastAsia="宋体" w:cs="宋体"/>
          <w:b/>
          <w:color w:val="auto"/>
          <w:sz w:val="21"/>
          <w:szCs w:val="21"/>
          <w:lang w:bidi="en-US"/>
        </w:rPr>
        <w:t>评审纪律和要求</w:t>
      </w:r>
    </w:p>
    <w:p w14:paraId="355D7E14">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1.评审专家必须公平、公正评审，遵纪守法，客观、廉洁地履行职责。</w:t>
      </w:r>
    </w:p>
    <w:p w14:paraId="7E8E6389">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2.评审专家在评审开始前，应关闭并上交随身携带的各种通信工具。</w:t>
      </w:r>
    </w:p>
    <w:p w14:paraId="6B27DE40">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3.评审专家在评审过程中，未经许可不得中途离开评审现场，不得迟到早退。</w:t>
      </w:r>
    </w:p>
    <w:p w14:paraId="4E33A57A">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4.评审专家和工作人员不得透露评审过程中的讨论情况和评审结果。</w:t>
      </w:r>
    </w:p>
    <w:p w14:paraId="057B8A67">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A9E6AB3">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6.采购人、采购代理机构不得向评审委员会的评审专家作倾向性、误导性的解释或者说明。</w:t>
      </w:r>
    </w:p>
    <w:p w14:paraId="32DFA75A">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1051ED2">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8.评审专家在评审过程中不得将自己的观点强加给其他评审专家，评审专家应自主发表见解，对评审意见承担个人责任。</w:t>
      </w:r>
    </w:p>
    <w:p w14:paraId="0A294005">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8B34586">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10.评审专家应当独立、客观、公正地提出评审意见，不得带有倾向性，不得影响其他评审专家评审，并在评审报告上签字；如对评审报告有异议的，可在报告上签署不同意见，并说明理由，否则将视为同意。</w:t>
      </w:r>
    </w:p>
    <w:p w14:paraId="0A58D94A">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11.评审专家应当遵守评审工作纪律，不得泄露评审文件、评审情况和评审中获悉的商业秘密。</w:t>
      </w:r>
    </w:p>
    <w:p w14:paraId="33BCC51C">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评审委员会在评审过程中发现投标人有行贿、提供虚假材料或者串通等违法行为的，应当及时向财政部门报告。</w:t>
      </w:r>
    </w:p>
    <w:p w14:paraId="37FD748F">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12.招标文件内容违反国家有关强制性规定的，评审委员会应当停止评审并向采购代理机构说明情况。</w:t>
      </w:r>
    </w:p>
    <w:p w14:paraId="51E231F2">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13.评审专家应当配合采购代理机构答复投标人提出的质疑。</w:t>
      </w:r>
    </w:p>
    <w:p w14:paraId="0716B5E8">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14.评审专家应当配合财政部门的投诉处理工作。</w:t>
      </w:r>
    </w:p>
    <w:p w14:paraId="73A740FC">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15.评审专家有如下行为之一的，责令改正，给予警告，可以并处一千元以下的罚款：</w:t>
      </w:r>
    </w:p>
    <w:p w14:paraId="77A82621">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①明知应当回避而未主动回避的；</w:t>
      </w:r>
    </w:p>
    <w:p w14:paraId="08EADE8B">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②在得知自己为评审专家身份后至评审结束前时段内私下接触投标人的；</w:t>
      </w:r>
    </w:p>
    <w:p w14:paraId="32A70758">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③在评审过程中擅离职守，影响评审程序正常进行的；</w:t>
      </w:r>
    </w:p>
    <w:p w14:paraId="2E0319B5">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④在评审过程有明显不合理或者不正当倾向性的；</w:t>
      </w:r>
    </w:p>
    <w:p w14:paraId="6A74D044">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⑤未按招标文件规定的评审方法和标准进行评审的。</w:t>
      </w:r>
    </w:p>
    <w:p w14:paraId="7DF2C21F">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⑥上述①至⑤行为影响中标结果的，中标结果无效。</w:t>
      </w:r>
    </w:p>
    <w:p w14:paraId="7B095B20">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753E599">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政府采购评审专家与投标人存在利害关系未回避的，处2万元以上5万元以下的罚款，禁止其参加政府采购评审活动。</w:t>
      </w:r>
    </w:p>
    <w:p w14:paraId="7BF2EC2F">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政府采购评审专家收受采购人、采购代理机构、投标人贿赂或者获取其他不正当利益，构成犯罪的，依法追究刑事责任；尚不构成犯罪的，处2万元以上5万元以下的罚款，禁止其参加政府采购评审活动。</w:t>
      </w:r>
    </w:p>
    <w:p w14:paraId="1CC64219">
      <w:pPr>
        <w:spacing w:line="440" w:lineRule="exact"/>
        <w:ind w:firstLine="420" w:firstLineChars="200"/>
        <w:rPr>
          <w:rFonts w:ascii="宋体" w:hAnsi="宋体" w:eastAsia="宋体" w:cs="宋体"/>
          <w:b/>
          <w:bCs/>
          <w:color w:val="auto"/>
          <w:sz w:val="21"/>
          <w:szCs w:val="21"/>
        </w:rPr>
      </w:pPr>
      <w:r>
        <w:rPr>
          <w:rFonts w:hint="eastAsia" w:ascii="宋体" w:hAnsi="宋体" w:eastAsia="宋体" w:cs="宋体"/>
          <w:color w:val="auto"/>
          <w:sz w:val="21"/>
          <w:szCs w:val="21"/>
        </w:rPr>
        <w:t>政府采购评审专家有上述违法行为的，其评审意见无效，不得获取评审费；有违法所得的，没收违法所得；给他人造成损失的，依法承担民事责任。</w:t>
      </w:r>
    </w:p>
    <w:p w14:paraId="7781CB7C">
      <w:pPr>
        <w:widowControl/>
        <w:spacing w:line="46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（五）澄清问题的形式</w:t>
      </w:r>
    </w:p>
    <w:p w14:paraId="25C5ABDB">
      <w:pPr>
        <w:widowControl/>
        <w:spacing w:line="460" w:lineRule="exact"/>
        <w:ind w:firstLine="420" w:firstLineChars="200"/>
        <w:jc w:val="left"/>
        <w:rPr>
          <w:rFonts w:ascii="宋体" w:hAnsi="宋体" w:eastAsia="宋体" w:cs="宋体"/>
          <w:color w:val="auto"/>
          <w:sz w:val="21"/>
          <w:szCs w:val="21"/>
        </w:rPr>
      </w:pPr>
      <w:bookmarkStart w:id="273" w:name="_Toc24183"/>
      <w:bookmarkStart w:id="274" w:name="_Toc32057"/>
      <w:bookmarkStart w:id="275" w:name="_Toc3131"/>
      <w:bookmarkStart w:id="276" w:name="_Toc30178"/>
      <w:bookmarkStart w:id="277" w:name="_Toc12786"/>
      <w:r>
        <w:rPr>
          <w:rFonts w:hint="eastAsia" w:ascii="宋体" w:hAnsi="宋体" w:eastAsia="宋体" w:cs="宋体"/>
          <w:color w:val="auto"/>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73"/>
      <w:bookmarkEnd w:id="274"/>
      <w:bookmarkEnd w:id="275"/>
      <w:bookmarkEnd w:id="276"/>
      <w:bookmarkEnd w:id="277"/>
    </w:p>
    <w:p w14:paraId="151F6998">
      <w:pPr>
        <w:keepLines/>
        <w:spacing w:line="460" w:lineRule="exact"/>
        <w:ind w:firstLine="422" w:firstLineChars="200"/>
        <w:contextualSpacing/>
        <w:jc w:val="left"/>
        <w:rPr>
          <w:rFonts w:ascii="宋体" w:hAnsi="宋体" w:eastAsia="宋体" w:cs="宋体"/>
          <w:b/>
          <w:color w:val="auto"/>
          <w:sz w:val="21"/>
          <w:szCs w:val="21"/>
          <w:lang w:bidi="en-US"/>
        </w:rPr>
      </w:pPr>
      <w:bookmarkStart w:id="278" w:name="_Toc4098"/>
      <w:bookmarkStart w:id="279" w:name="_Toc21438"/>
      <w:r>
        <w:rPr>
          <w:rFonts w:hint="eastAsia" w:ascii="宋体" w:hAnsi="宋体" w:eastAsia="宋体" w:cs="宋体"/>
          <w:b/>
          <w:color w:val="auto"/>
          <w:sz w:val="21"/>
          <w:szCs w:val="21"/>
          <w:lang w:bidi="en-US"/>
        </w:rPr>
        <w:t>（六）错误修正</w:t>
      </w:r>
      <w:bookmarkEnd w:id="278"/>
      <w:bookmarkEnd w:id="279"/>
    </w:p>
    <w:p w14:paraId="24BCD328">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投标文件如果出现计算或表达上的错误，修正错误的原则如下：</w:t>
      </w:r>
    </w:p>
    <w:p w14:paraId="5FCA4518">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1.开标一览表总价与投标报价明细表汇总数不一致的，以开标一览表为准；</w:t>
      </w:r>
    </w:p>
    <w:p w14:paraId="53586DD8">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2.投标文件的大写金额和小写金额不一致的，以大写金额为准；</w:t>
      </w:r>
    </w:p>
    <w:p w14:paraId="4A7A495F">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3.单价金额小数点或者百分比有明显错位的，以开标一览表的总价为准，并修改单价；</w:t>
      </w:r>
    </w:p>
    <w:p w14:paraId="7AF53441">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4.总价金额与按单价汇总金额不一致的，以单价金额计算结果为准；</w:t>
      </w:r>
    </w:p>
    <w:p w14:paraId="4DF45A1E">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5.对不同文字文本投标文件的解释发生异议的，以中文文本为准。</w:t>
      </w:r>
      <w:bookmarkStart w:id="280" w:name="_Toc5602"/>
      <w:bookmarkStart w:id="281" w:name="_Toc32392"/>
    </w:p>
    <w:p w14:paraId="367B41F5">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6.在电子投标系统中显示的金额与投标文件的金额不一致时，以投标文件的金额为准。</w:t>
      </w:r>
    </w:p>
    <w:p w14:paraId="54949F4D">
      <w:pPr>
        <w:snapToGrid w:val="0"/>
        <w:spacing w:line="460" w:lineRule="exact"/>
        <w:ind w:firstLine="422" w:firstLineChars="200"/>
        <w:rPr>
          <w:rFonts w:ascii="宋体" w:hAnsi="宋体" w:eastAsia="宋体" w:cs="宋体"/>
          <w:b/>
          <w:bCs/>
          <w:color w:val="auto"/>
          <w:sz w:val="21"/>
          <w:szCs w:val="21"/>
        </w:rPr>
      </w:pPr>
      <w:r>
        <w:rPr>
          <w:rFonts w:hint="eastAsia" w:ascii="宋体" w:hAnsi="宋体" w:eastAsia="宋体" w:cs="宋体"/>
          <w:b/>
          <w:color w:val="auto"/>
          <w:sz w:val="21"/>
          <w:szCs w:val="21"/>
          <w:lang w:bidi="en-US"/>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80"/>
      <w:bookmarkEnd w:id="281"/>
      <w:bookmarkStart w:id="282" w:name="_Toc8736"/>
      <w:bookmarkStart w:id="283" w:name="_Toc9938"/>
      <w:bookmarkStart w:id="284" w:name="_Toc31002"/>
      <w:bookmarkStart w:id="285" w:name="_Toc16478"/>
      <w:bookmarkStart w:id="286" w:name="_Toc23828"/>
      <w:bookmarkStart w:id="287" w:name="_Toc12959"/>
      <w:bookmarkStart w:id="288" w:name="_Toc6194"/>
      <w:bookmarkStart w:id="289" w:name="_Toc23938"/>
      <w:bookmarkStart w:id="290" w:name="_Toc21770"/>
      <w:bookmarkStart w:id="291" w:name="_Toc29304"/>
    </w:p>
    <w:p w14:paraId="5BEA46E5">
      <w:pPr>
        <w:snapToGrid w:val="0"/>
        <w:spacing w:line="40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（七）评标原则和评标办法</w:t>
      </w:r>
    </w:p>
    <w:p w14:paraId="66A8AC79">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128F6DE">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2.评标办法。本项目评标办法是 综合评分法 ，具体评标内容及评分标准等详见《评标办法及评分标准》。</w:t>
      </w:r>
    </w:p>
    <w:p w14:paraId="7A39B1F9">
      <w:pPr>
        <w:widowControl/>
        <w:spacing w:line="460" w:lineRule="exact"/>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六、采购方式变更</w:t>
      </w:r>
      <w:bookmarkEnd w:id="282"/>
      <w:bookmarkEnd w:id="283"/>
      <w:bookmarkEnd w:id="284"/>
      <w:bookmarkEnd w:id="285"/>
      <w:bookmarkEnd w:id="286"/>
      <w:bookmarkEnd w:id="287"/>
      <w:bookmarkEnd w:id="288"/>
      <w:bookmarkEnd w:id="289"/>
      <w:bookmarkEnd w:id="290"/>
      <w:bookmarkEnd w:id="291"/>
    </w:p>
    <w:p w14:paraId="197DE70C">
      <w:pPr>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采购响应截止时间止或评审期间，出现参与采购响应或者对招标文件作出实质性响应的供应商不足3家的情况，原则上应终止采购活动，重新组织采购。</w:t>
      </w:r>
    </w:p>
    <w:p w14:paraId="18CF2E57">
      <w:pPr>
        <w:widowControl/>
        <w:spacing w:line="460" w:lineRule="exact"/>
        <w:ind w:firstLine="422" w:firstLineChars="200"/>
        <w:jc w:val="left"/>
        <w:rPr>
          <w:rFonts w:ascii="宋体" w:hAnsi="宋体" w:eastAsia="宋体" w:cs="宋体"/>
          <w:b/>
          <w:bCs/>
          <w:color w:val="auto"/>
          <w:sz w:val="21"/>
          <w:szCs w:val="21"/>
        </w:rPr>
      </w:pPr>
      <w:bookmarkStart w:id="292" w:name="_Toc23525"/>
      <w:bookmarkStart w:id="293" w:name="_Toc21419"/>
      <w:bookmarkStart w:id="294" w:name="_Toc11020"/>
      <w:bookmarkStart w:id="295" w:name="_Toc1684"/>
      <w:bookmarkStart w:id="296" w:name="_Toc14572"/>
      <w:bookmarkStart w:id="297" w:name="_Toc27001"/>
      <w:bookmarkStart w:id="298" w:name="_Toc15643"/>
      <w:bookmarkStart w:id="299" w:name="_Toc14250"/>
      <w:bookmarkStart w:id="300" w:name="_Toc1505"/>
      <w:bookmarkStart w:id="301" w:name="_Toc11850"/>
      <w:r>
        <w:rPr>
          <w:rFonts w:hint="eastAsia" w:ascii="宋体" w:hAnsi="宋体" w:eastAsia="宋体" w:cs="宋体"/>
          <w:b/>
          <w:bCs/>
          <w:color w:val="auto"/>
          <w:sz w:val="21"/>
          <w:szCs w:val="21"/>
        </w:rPr>
        <w:t>七、定标</w:t>
      </w:r>
      <w:bookmarkEnd w:id="292"/>
      <w:bookmarkEnd w:id="293"/>
      <w:bookmarkEnd w:id="294"/>
      <w:bookmarkEnd w:id="295"/>
      <w:bookmarkEnd w:id="296"/>
      <w:bookmarkEnd w:id="297"/>
      <w:bookmarkEnd w:id="298"/>
      <w:bookmarkEnd w:id="299"/>
      <w:bookmarkEnd w:id="300"/>
      <w:bookmarkEnd w:id="301"/>
    </w:p>
    <w:p w14:paraId="433F7F05">
      <w:pPr>
        <w:snapToGrid w:val="0"/>
        <w:spacing w:line="44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（一）采购项目需要落实的政府采购政策</w:t>
      </w:r>
    </w:p>
    <w:p w14:paraId="7B2DE54A">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B9B29B9">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2.支持绿色发展</w:t>
      </w:r>
    </w:p>
    <w:p w14:paraId="5A92F9A3">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5C924C8">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6B192C">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3.支持创新发展</w:t>
      </w:r>
    </w:p>
    <w:p w14:paraId="28620213">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3.1 采购人优先采购被认定为首台套产品和“制造精品”的自主创新产品。</w:t>
      </w:r>
    </w:p>
    <w:p w14:paraId="16E48257">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7B47809">
      <w:pPr>
        <w:spacing w:line="440" w:lineRule="exact"/>
        <w:ind w:firstLine="420" w:firstLineChars="200"/>
        <w:rPr>
          <w:rFonts w:ascii="宋体" w:hAnsi="宋体" w:eastAsia="宋体" w:cs="宋体"/>
          <w:b/>
          <w:bCs/>
          <w:color w:val="auto"/>
          <w:sz w:val="21"/>
          <w:szCs w:val="21"/>
        </w:rPr>
      </w:pPr>
      <w:r>
        <w:rPr>
          <w:rFonts w:hint="eastAsia" w:ascii="宋体" w:hAnsi="宋体" w:eastAsia="宋体" w:cs="宋体"/>
          <w:color w:val="auto"/>
          <w:sz w:val="21"/>
          <w:szCs w:val="21"/>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E263907">
      <w:pPr>
        <w:snapToGrid w:val="0"/>
        <w:spacing w:line="46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（二）确定中标人。本项目由采购人（或采购人事先授权评标委员会）确定中标人。</w:t>
      </w:r>
    </w:p>
    <w:p w14:paraId="40B58C56">
      <w:pPr>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1．出现下列情形之一的，采购人或者采购人授权的评标委员会可以按照评审报告推荐的中标或者成交候选人名单排序，确定下一候选人为中标或者成交供应商，也可以重新开展政府采购活动。</w:t>
      </w:r>
    </w:p>
    <w:p w14:paraId="28FABB86">
      <w:pPr>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（1）排名第一的候选供应商，因自身原因放弃中标或因不可抗力不能履行合同的；</w:t>
      </w:r>
    </w:p>
    <w:p w14:paraId="26EC4CB9">
      <w:pPr>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（2）经质疑，采购人审查确认因排名第一的候选供应商在本次采购活动中存在违法违规行为或其他原因使质疑成立的。</w:t>
      </w:r>
    </w:p>
    <w:p w14:paraId="2EA81024">
      <w:pPr>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51A00E9F">
      <w:pPr>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3.采购人或采购代理机构应当自中标、成交供应商确定之日起2个工作日内，发出中标、成交通知书，并在省级以上人民政府财政部门指定的媒体上公告中标、成交结果。</w:t>
      </w:r>
    </w:p>
    <w:p w14:paraId="55AF9108">
      <w:pPr>
        <w:widowControl/>
        <w:spacing w:line="460" w:lineRule="exact"/>
        <w:ind w:firstLine="422" w:firstLineChars="200"/>
        <w:jc w:val="left"/>
        <w:rPr>
          <w:rFonts w:ascii="宋体" w:hAnsi="宋体" w:eastAsia="宋体" w:cs="宋体"/>
          <w:b/>
          <w:bCs/>
          <w:color w:val="auto"/>
          <w:sz w:val="21"/>
          <w:szCs w:val="21"/>
        </w:rPr>
      </w:pPr>
      <w:bookmarkStart w:id="302" w:name="_Toc5811"/>
      <w:bookmarkStart w:id="303" w:name="_Toc14974"/>
      <w:bookmarkStart w:id="304" w:name="_Toc2686"/>
      <w:bookmarkStart w:id="305" w:name="_Toc9407"/>
      <w:bookmarkStart w:id="306" w:name="_Toc21600"/>
      <w:bookmarkStart w:id="307" w:name="_Toc27066"/>
      <w:bookmarkStart w:id="308" w:name="_Toc26656"/>
      <w:bookmarkStart w:id="309" w:name="_Toc3374"/>
      <w:bookmarkStart w:id="310" w:name="_Toc5149"/>
      <w:bookmarkStart w:id="311" w:name="_Toc25532"/>
      <w:r>
        <w:rPr>
          <w:rFonts w:hint="eastAsia" w:ascii="宋体" w:hAnsi="宋体" w:eastAsia="宋体" w:cs="宋体"/>
          <w:b/>
          <w:bCs/>
          <w:color w:val="auto"/>
          <w:sz w:val="21"/>
          <w:szCs w:val="21"/>
        </w:rPr>
        <w:t>八、合同授予</w:t>
      </w:r>
      <w:bookmarkEnd w:id="302"/>
      <w:bookmarkEnd w:id="303"/>
      <w:bookmarkEnd w:id="304"/>
      <w:bookmarkEnd w:id="305"/>
      <w:bookmarkEnd w:id="306"/>
      <w:bookmarkEnd w:id="307"/>
      <w:bookmarkEnd w:id="308"/>
      <w:bookmarkEnd w:id="309"/>
      <w:bookmarkEnd w:id="310"/>
      <w:bookmarkEnd w:id="311"/>
    </w:p>
    <w:p w14:paraId="27ECF42C">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 合同的签订</w:t>
      </w:r>
    </w:p>
    <w:p w14:paraId="4B9A29C9">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1.1除不可抗力等特殊情况外，采购人原则上应当在中标通知书发出之日起5日内，与成交人按照采购文件确定的事项签订政府采购合同，并在签订之日起2个工作日内将政府采购合同在浙江政府采购网上公告。</w:t>
      </w:r>
    </w:p>
    <w:p w14:paraId="2C9C1D3F">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.2成交人按规定的日期、时间、地点，由法定代表人或其授权代表与采购人代表签订合同。如成交人为联合体的，由联合体成员各方法定代表人或其授权代表与采购人代表签订合同。</w:t>
      </w:r>
    </w:p>
    <w:p w14:paraId="16FFCA1C">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1.3如签订合同并生效后，供应商无故拒绝或延期，除按照合同条款处理外，列入不良行为记录一次，并给予通报。</w:t>
      </w:r>
    </w:p>
    <w:p w14:paraId="05375C97">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1.4成交人拒绝与采购人签订合同的，采购人可以按照评审报告推荐的中标或者成交候选人名单排序，确定下一候选人为成交人，也可以重新开展政府采购活动。</w:t>
      </w:r>
    </w:p>
    <w:p w14:paraId="31F60C72">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1.5采购合同由采购人与成交人根据采购文件、投标响应文件等内容通过政府采购电子交易平台在线签订，自动备案。</w:t>
      </w:r>
    </w:p>
    <w:p w14:paraId="3DDFE611">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1.6政府采购货物和服务项目不得收取质量保证金。政府采购工程以及与工程建设有关的货物、服务，采用招标方式采购的，按国家和省有关规定执行。</w:t>
      </w:r>
    </w:p>
    <w:p w14:paraId="493255E3">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2.履约保证金</w:t>
      </w:r>
    </w:p>
    <w:p w14:paraId="32B58B3A">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39D9D7DD">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3CBC97">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3.采购人与中标人应当在《中标通知书》发出之日起30日内签订政府采购合同。同时，采购代理机构对合同内容进行审查，如发现与采购结果和投标承诺内容不一致的，应予以纠正。</w:t>
      </w:r>
    </w:p>
    <w:p w14:paraId="285841DD">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4.合同正本一式六份，采购单位与中标人各执两份，</w:t>
      </w:r>
      <w:r>
        <w:rPr>
          <w:rFonts w:hint="eastAsia" w:ascii="宋体" w:hAnsi="宋体" w:eastAsia="宋体" w:cs="宋体"/>
          <w:color w:val="auto"/>
          <w:sz w:val="21"/>
          <w:szCs w:val="21"/>
          <w:lang w:eastAsia="zh-CN"/>
        </w:rPr>
        <w:t>浙江科佳工程咨询有限公司</w:t>
      </w:r>
      <w:r>
        <w:rPr>
          <w:rFonts w:hint="eastAsia" w:ascii="宋体" w:hAnsi="宋体" w:eastAsia="宋体" w:cs="宋体"/>
          <w:color w:val="auto"/>
          <w:sz w:val="21"/>
          <w:szCs w:val="21"/>
        </w:rPr>
        <w:t>、磐安县财政局采购监管科各执一份。</w:t>
      </w:r>
    </w:p>
    <w:p w14:paraId="7C8768FB">
      <w:pPr>
        <w:snapToGrid w:val="0"/>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5.中标人拖延、拒签合同的，将被取消中标资格。</w:t>
      </w:r>
    </w:p>
    <w:p w14:paraId="2E4D5D2D">
      <w:pPr>
        <w:widowControl/>
        <w:spacing w:line="460" w:lineRule="exact"/>
        <w:ind w:firstLine="422" w:firstLineChars="200"/>
        <w:jc w:val="left"/>
        <w:rPr>
          <w:rFonts w:ascii="宋体" w:hAnsi="宋体" w:eastAsia="宋体" w:cs="宋体"/>
          <w:b/>
          <w:bCs/>
          <w:color w:val="auto"/>
          <w:sz w:val="21"/>
          <w:szCs w:val="21"/>
        </w:rPr>
      </w:pPr>
      <w:bookmarkStart w:id="312" w:name="_Toc11661"/>
      <w:bookmarkStart w:id="313" w:name="_Toc20978"/>
      <w:bookmarkStart w:id="314" w:name="_Toc22748"/>
      <w:bookmarkStart w:id="315" w:name="_Toc23229"/>
      <w:bookmarkStart w:id="316" w:name="_Toc9798"/>
      <w:bookmarkStart w:id="317" w:name="_Toc19699"/>
      <w:bookmarkStart w:id="318" w:name="_Toc25670"/>
      <w:bookmarkStart w:id="319" w:name="_Toc21062"/>
      <w:bookmarkStart w:id="320" w:name="_Toc22294"/>
      <w:bookmarkStart w:id="321" w:name="_Toc32478"/>
      <w:r>
        <w:rPr>
          <w:rFonts w:hint="eastAsia" w:ascii="宋体" w:hAnsi="宋体" w:eastAsia="宋体" w:cs="宋体"/>
          <w:b/>
          <w:bCs/>
          <w:color w:val="auto"/>
          <w:sz w:val="21"/>
          <w:szCs w:val="21"/>
        </w:rPr>
        <w:t>九、质疑与投诉</w:t>
      </w:r>
      <w:bookmarkEnd w:id="312"/>
      <w:bookmarkEnd w:id="313"/>
      <w:bookmarkEnd w:id="314"/>
      <w:bookmarkEnd w:id="315"/>
      <w:bookmarkEnd w:id="316"/>
      <w:bookmarkEnd w:id="317"/>
      <w:bookmarkEnd w:id="318"/>
      <w:bookmarkEnd w:id="319"/>
      <w:bookmarkEnd w:id="320"/>
      <w:bookmarkEnd w:id="321"/>
    </w:p>
    <w:p w14:paraId="67CE5F43">
      <w:pPr>
        <w:spacing w:line="4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31"/>
    </w:p>
    <w:p w14:paraId="74409DCA">
      <w:pPr>
        <w:spacing w:before="120" w:after="120" w:line="440" w:lineRule="exact"/>
        <w:ind w:firstLine="422" w:firstLineChars="200"/>
        <w:jc w:val="center"/>
        <w:outlineLvl w:val="0"/>
        <w:rPr>
          <w:rFonts w:ascii="宋体" w:hAnsi="宋体" w:eastAsia="宋体" w:cs="宋体"/>
          <w:b/>
          <w:color w:val="auto"/>
          <w:sz w:val="21"/>
          <w:szCs w:val="21"/>
        </w:rPr>
      </w:pPr>
      <w:r>
        <w:rPr>
          <w:rFonts w:hint="eastAsia" w:ascii="宋体" w:hAnsi="宋体" w:eastAsia="宋体" w:cs="宋体"/>
          <w:b/>
          <w:color w:val="auto"/>
          <w:sz w:val="21"/>
          <w:szCs w:val="21"/>
        </w:rPr>
        <w:br w:type="page"/>
      </w:r>
      <w:bookmarkStart w:id="322" w:name="_Toc6210"/>
      <w:bookmarkStart w:id="323" w:name="_Toc6164"/>
      <w:bookmarkStart w:id="324" w:name="_Toc17193"/>
      <w:bookmarkStart w:id="325" w:name="_Toc3323"/>
      <w:r>
        <w:rPr>
          <w:rFonts w:hint="eastAsia" w:ascii="宋体" w:hAnsi="宋体" w:eastAsia="宋体" w:cs="宋体"/>
          <w:b/>
          <w:bCs/>
          <w:color w:val="auto"/>
          <w:sz w:val="21"/>
          <w:szCs w:val="21"/>
        </w:rPr>
        <w:t>第四章  评标办法和评分标准</w:t>
      </w:r>
      <w:bookmarkEnd w:id="322"/>
      <w:bookmarkEnd w:id="323"/>
      <w:bookmarkEnd w:id="324"/>
      <w:bookmarkEnd w:id="325"/>
    </w:p>
    <w:p w14:paraId="58BA44E4">
      <w:pPr>
        <w:spacing w:line="450" w:lineRule="exact"/>
        <w:ind w:right="218" w:rightChars="104" w:firstLine="420"/>
        <w:rPr>
          <w:rFonts w:ascii="宋体" w:hAnsi="宋体" w:eastAsia="宋体" w:cs="宋体"/>
          <w:color w:val="auto"/>
          <w:sz w:val="21"/>
          <w:szCs w:val="21"/>
        </w:rPr>
      </w:pPr>
      <w:r>
        <w:rPr>
          <w:rFonts w:hint="eastAsia" w:ascii="宋体" w:hAnsi="宋体" w:eastAsia="宋体" w:cs="宋体"/>
          <w:color w:val="auto"/>
          <w:sz w:val="21"/>
          <w:szCs w:val="21"/>
        </w:rPr>
        <w:t>为公正、公平、科学地选择中标人，根据《中华人民共和国政府采购法》等有关法律法规的规定，并结合本项目的实际，制定本办法。</w:t>
      </w:r>
    </w:p>
    <w:p w14:paraId="19027534">
      <w:pPr>
        <w:spacing w:line="450" w:lineRule="exact"/>
        <w:ind w:right="218" w:rightChars="104" w:firstLine="420"/>
        <w:rPr>
          <w:rFonts w:ascii="宋体" w:hAnsi="宋体" w:eastAsia="宋体" w:cs="宋体"/>
          <w:b/>
          <w:bCs/>
          <w:color w:val="auto"/>
          <w:sz w:val="21"/>
          <w:szCs w:val="21"/>
        </w:rPr>
      </w:pPr>
      <w:r>
        <w:rPr>
          <w:rFonts w:hint="eastAsia" w:ascii="宋体" w:hAnsi="宋体" w:eastAsia="宋体" w:cs="宋体"/>
          <w:b/>
          <w:color w:val="auto"/>
          <w:sz w:val="21"/>
          <w:szCs w:val="21"/>
        </w:rPr>
        <w:t>本办法适用于</w:t>
      </w:r>
      <w:r>
        <w:rPr>
          <w:rFonts w:hint="eastAsia" w:ascii="宋体" w:hAnsi="宋体" w:eastAsia="宋体" w:cs="宋体"/>
          <w:b/>
          <w:color w:val="auto"/>
          <w:sz w:val="21"/>
          <w:szCs w:val="21"/>
          <w:lang w:eastAsia="zh-CN"/>
        </w:rPr>
        <w:t>2024-2025年冷水镇松材线虫病枯死松树清理服务</w:t>
      </w:r>
      <w:r>
        <w:rPr>
          <w:rFonts w:hint="eastAsia" w:ascii="宋体" w:hAnsi="宋体" w:eastAsia="宋体" w:cs="宋体"/>
          <w:b/>
          <w:bCs/>
          <w:color w:val="auto"/>
          <w:sz w:val="21"/>
          <w:szCs w:val="21"/>
        </w:rPr>
        <w:t>公开招标文件</w:t>
      </w:r>
      <w:r>
        <w:rPr>
          <w:rFonts w:hint="eastAsia" w:ascii="宋体" w:hAnsi="宋体" w:eastAsia="宋体" w:cs="宋体"/>
          <w:b/>
          <w:color w:val="auto"/>
          <w:sz w:val="21"/>
          <w:szCs w:val="21"/>
        </w:rPr>
        <w:t>的评</w:t>
      </w:r>
      <w:r>
        <w:rPr>
          <w:rFonts w:hint="eastAsia" w:ascii="宋体" w:hAnsi="宋体" w:eastAsia="宋体" w:cs="宋体"/>
          <w:b/>
          <w:bCs/>
          <w:color w:val="auto"/>
          <w:sz w:val="21"/>
          <w:szCs w:val="21"/>
        </w:rPr>
        <w:t>标。</w:t>
      </w:r>
    </w:p>
    <w:p w14:paraId="47A3BA73">
      <w:pPr>
        <w:spacing w:line="45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一、评标</w:t>
      </w:r>
    </w:p>
    <w:p w14:paraId="2605076D">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27B44014">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技术商务分按照评标委员会成员的独立评分结果汇总后的算术平均分计算，计算公式为：</w:t>
      </w:r>
    </w:p>
    <w:p w14:paraId="070FDBAF">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技术商务分=评标委员会所有成员评分合计数/评标委员会组成人员数</w:t>
      </w:r>
    </w:p>
    <w:p w14:paraId="048A8FAF">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投标人评标综合得分=报价分+技术商务分</w:t>
      </w:r>
    </w:p>
    <w:p w14:paraId="3F625970">
      <w:pPr>
        <w:spacing w:line="45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投标报价超出最高限价的，其投标按无效投标处理。</w:t>
      </w:r>
    </w:p>
    <w:p w14:paraId="00C5159C">
      <w:pPr>
        <w:spacing w:line="450" w:lineRule="exact"/>
        <w:ind w:firstLine="421"/>
        <w:rPr>
          <w:rFonts w:hint="eastAsia" w:ascii="宋体" w:hAnsi="宋体" w:eastAsia="宋体" w:cs="宋体"/>
          <w:b/>
          <w:color w:val="auto"/>
          <w:sz w:val="21"/>
          <w:szCs w:val="21"/>
        </w:rPr>
      </w:pPr>
      <w:r>
        <w:rPr>
          <w:rFonts w:hint="eastAsia" w:ascii="宋体" w:hAnsi="宋体" w:eastAsia="宋体" w:cs="宋体"/>
          <w:b/>
          <w:color w:val="auto"/>
          <w:sz w:val="21"/>
          <w:szCs w:val="21"/>
        </w:rPr>
        <w:t>评标细则如下：（技术商务</w:t>
      </w:r>
      <w:r>
        <w:rPr>
          <w:rFonts w:hint="eastAsia" w:ascii="宋体" w:hAnsi="宋体" w:eastAsia="宋体" w:cs="宋体"/>
          <w:b/>
          <w:color w:val="auto"/>
          <w:sz w:val="21"/>
          <w:szCs w:val="21"/>
          <w:lang w:val="en-US" w:eastAsia="zh-CN"/>
        </w:rPr>
        <w:t>80</w:t>
      </w:r>
      <w:r>
        <w:rPr>
          <w:rFonts w:hint="eastAsia" w:ascii="宋体" w:hAnsi="宋体" w:eastAsia="宋体" w:cs="宋体"/>
          <w:b/>
          <w:color w:val="auto"/>
          <w:sz w:val="21"/>
          <w:szCs w:val="21"/>
        </w:rPr>
        <w:t>分及价格分</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0分，共100分）</w:t>
      </w:r>
    </w:p>
    <w:tbl>
      <w:tblPr>
        <w:tblStyle w:val="19"/>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5777"/>
        <w:gridCol w:w="750"/>
        <w:gridCol w:w="1219"/>
        <w:gridCol w:w="1709"/>
      </w:tblGrid>
      <w:tr w14:paraId="7BDF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2E95567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77" w:type="dxa"/>
            <w:noWrap w:val="0"/>
            <w:vAlign w:val="center"/>
          </w:tcPr>
          <w:p w14:paraId="26008EA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50" w:type="dxa"/>
            <w:noWrap w:val="0"/>
            <w:vAlign w:val="center"/>
          </w:tcPr>
          <w:p w14:paraId="23F88E8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19" w:type="dxa"/>
            <w:noWrap w:val="0"/>
            <w:vAlign w:val="center"/>
          </w:tcPr>
          <w:p w14:paraId="218B67A4">
            <w:pPr>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709" w:type="dxa"/>
            <w:noWrap w:val="0"/>
            <w:vAlign w:val="top"/>
          </w:tcPr>
          <w:p w14:paraId="55AC86E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5AE6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7204D54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77" w:type="dxa"/>
            <w:noWrap w:val="0"/>
            <w:vAlign w:val="center"/>
          </w:tcPr>
          <w:p w14:paraId="3364A59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p>
        </w:tc>
        <w:tc>
          <w:tcPr>
            <w:tcW w:w="750" w:type="dxa"/>
            <w:noWrap w:val="0"/>
            <w:vAlign w:val="center"/>
          </w:tcPr>
          <w:p w14:paraId="652517C3">
            <w:pPr>
              <w:snapToGrid w:val="0"/>
              <w:spacing w:line="360" w:lineRule="auto"/>
              <w:jc w:val="center"/>
              <w:rPr>
                <w:rFonts w:hint="eastAsia" w:ascii="宋体" w:hAnsi="宋体" w:eastAsia="宋体" w:cs="宋体"/>
                <w:color w:val="auto"/>
                <w:sz w:val="21"/>
                <w:szCs w:val="21"/>
                <w:highlight w:val="none"/>
              </w:rPr>
            </w:pPr>
          </w:p>
        </w:tc>
        <w:tc>
          <w:tcPr>
            <w:tcW w:w="1219" w:type="dxa"/>
            <w:noWrap w:val="0"/>
            <w:vAlign w:val="center"/>
          </w:tcPr>
          <w:p w14:paraId="0095D550">
            <w:pPr>
              <w:snapToGrid w:val="0"/>
              <w:spacing w:line="240" w:lineRule="auto"/>
              <w:jc w:val="center"/>
              <w:rPr>
                <w:rFonts w:hint="eastAsia" w:ascii="宋体" w:hAnsi="宋体" w:eastAsia="宋体" w:cs="宋体"/>
                <w:bCs/>
                <w:color w:val="auto"/>
                <w:sz w:val="21"/>
                <w:szCs w:val="21"/>
                <w:highlight w:val="none"/>
              </w:rPr>
            </w:pPr>
          </w:p>
        </w:tc>
        <w:tc>
          <w:tcPr>
            <w:tcW w:w="1709" w:type="dxa"/>
            <w:noWrap w:val="0"/>
            <w:vAlign w:val="top"/>
          </w:tcPr>
          <w:p w14:paraId="3399E5ED">
            <w:pPr>
              <w:snapToGrid w:val="0"/>
              <w:spacing w:line="240" w:lineRule="auto"/>
              <w:jc w:val="center"/>
              <w:rPr>
                <w:rFonts w:hint="eastAsia" w:ascii="宋体" w:hAnsi="宋体" w:eastAsia="宋体" w:cs="宋体"/>
                <w:bCs/>
                <w:color w:val="auto"/>
                <w:sz w:val="21"/>
                <w:szCs w:val="21"/>
                <w:highlight w:val="none"/>
              </w:rPr>
            </w:pPr>
          </w:p>
        </w:tc>
      </w:tr>
      <w:tr w14:paraId="5229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79" w:type="dxa"/>
            <w:noWrap w:val="0"/>
            <w:vAlign w:val="center"/>
          </w:tcPr>
          <w:p w14:paraId="05882072">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777" w:type="dxa"/>
            <w:noWrap w:val="0"/>
            <w:vAlign w:val="center"/>
          </w:tcPr>
          <w:p w14:paraId="12BD0186">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根据投</w:t>
            </w:r>
            <w:r>
              <w:rPr>
                <w:rFonts w:hint="eastAsia" w:ascii="宋体" w:hAnsi="宋体" w:eastAsia="宋体" w:cs="宋体"/>
                <w:color w:val="auto"/>
                <w:sz w:val="21"/>
                <w:szCs w:val="21"/>
                <w:highlight w:val="none"/>
              </w:rPr>
              <w:t>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年1月1日以来（以合同签订时间为准）完成的</w:t>
            </w:r>
            <w:r>
              <w:rPr>
                <w:rFonts w:hint="eastAsia" w:ascii="宋体" w:hAnsi="宋体" w:eastAsia="宋体" w:cs="宋体"/>
                <w:color w:val="auto"/>
                <w:sz w:val="21"/>
                <w:szCs w:val="21"/>
                <w:highlight w:val="none"/>
                <w:lang w:eastAsia="zh-CN"/>
              </w:rPr>
              <w:t>类似</w:t>
            </w:r>
            <w:r>
              <w:rPr>
                <w:rFonts w:hint="eastAsia" w:ascii="宋体" w:hAnsi="宋体" w:eastAsia="宋体" w:cs="宋体"/>
                <w:color w:val="auto"/>
                <w:sz w:val="21"/>
                <w:szCs w:val="21"/>
                <w:highlight w:val="none"/>
              </w:rPr>
              <w:t>项目业绩一个项目得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7D5DFB1">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（须提供合同</w:t>
            </w:r>
            <w:r>
              <w:rPr>
                <w:rFonts w:hint="eastAsia" w:ascii="宋体" w:hAnsi="宋体" w:eastAsia="宋体" w:cs="宋体"/>
                <w:b/>
                <w:bCs/>
                <w:color w:val="auto"/>
                <w:sz w:val="21"/>
                <w:szCs w:val="21"/>
                <w:highlight w:val="none"/>
                <w:lang w:eastAsia="zh-CN"/>
              </w:rPr>
              <w:t>复印</w:t>
            </w:r>
            <w:r>
              <w:rPr>
                <w:rFonts w:hint="eastAsia" w:ascii="宋体" w:hAnsi="宋体" w:eastAsia="宋体" w:cs="宋体"/>
                <w:b/>
                <w:bCs/>
                <w:color w:val="auto"/>
                <w:sz w:val="21"/>
                <w:szCs w:val="21"/>
                <w:highlight w:val="none"/>
              </w:rPr>
              <w:t>件</w:t>
            </w:r>
            <w:r>
              <w:rPr>
                <w:rFonts w:hint="eastAsia" w:ascii="宋体" w:hAnsi="宋体" w:eastAsia="宋体" w:cs="宋体"/>
                <w:b/>
                <w:bCs/>
                <w:color w:val="auto"/>
                <w:sz w:val="21"/>
                <w:szCs w:val="21"/>
                <w:highlight w:val="none"/>
                <w:lang w:eastAsia="zh-CN"/>
              </w:rPr>
              <w:t>及验收</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lang w:eastAsia="zh-CN"/>
              </w:rPr>
              <w:t>复印件，二者缺一或</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eastAsia="zh-CN"/>
              </w:rPr>
              <w:t>复印件均</w:t>
            </w:r>
            <w:r>
              <w:rPr>
                <w:rFonts w:hint="eastAsia" w:ascii="宋体" w:hAnsi="宋体" w:eastAsia="宋体" w:cs="宋体"/>
                <w:b/>
                <w:bCs/>
                <w:color w:val="auto"/>
                <w:sz w:val="21"/>
                <w:szCs w:val="21"/>
                <w:highlight w:val="none"/>
              </w:rPr>
              <w:t>不得分。）</w:t>
            </w:r>
          </w:p>
        </w:tc>
        <w:tc>
          <w:tcPr>
            <w:tcW w:w="750" w:type="dxa"/>
            <w:noWrap w:val="0"/>
            <w:vAlign w:val="center"/>
          </w:tcPr>
          <w:p w14:paraId="267E7C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19" w:type="dxa"/>
            <w:noWrap w:val="0"/>
            <w:vAlign w:val="center"/>
          </w:tcPr>
          <w:p w14:paraId="2BC412DC">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客观分</w:t>
            </w:r>
          </w:p>
        </w:tc>
        <w:tc>
          <w:tcPr>
            <w:tcW w:w="1709" w:type="dxa"/>
            <w:noWrap w:val="0"/>
            <w:vAlign w:val="center"/>
          </w:tcPr>
          <w:p w14:paraId="1ECE0CD5">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类似业绩</w:t>
            </w:r>
          </w:p>
        </w:tc>
      </w:tr>
      <w:tr w14:paraId="0766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79" w:type="dxa"/>
            <w:noWrap w:val="0"/>
            <w:vAlign w:val="center"/>
          </w:tcPr>
          <w:p w14:paraId="1C9E7D0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777" w:type="dxa"/>
            <w:noWrap w:val="0"/>
            <w:vAlign w:val="center"/>
          </w:tcPr>
          <w:p w14:paraId="1134E1C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投标人承诺为所有拟投入本项目的每位工人按本人身份证交纳足额意外伤害险得5分，每少一位扣1分，扣完为止；</w:t>
            </w:r>
          </w:p>
          <w:p w14:paraId="0F7328A8">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（开标时提供购买保险承诺书作为评分标准；中标后，中标人凭为伐木工人购买的保险凭证与采购方签订合同；</w:t>
            </w:r>
            <w:r>
              <w:rPr>
                <w:rFonts w:hint="eastAsia" w:ascii="宋体" w:hAnsi="宋体" w:eastAsia="宋体" w:cs="宋体"/>
                <w:b/>
                <w:bCs/>
                <w:color w:val="auto"/>
                <w:sz w:val="21"/>
                <w:szCs w:val="21"/>
                <w:highlight w:val="none"/>
                <w:lang w:val="en-US" w:eastAsia="zh-CN"/>
              </w:rPr>
              <w:t>如不提供保险凭证的，中标单位资格将被取消</w:t>
            </w:r>
            <w:r>
              <w:rPr>
                <w:rFonts w:hint="eastAsia" w:ascii="宋体" w:hAnsi="宋体" w:eastAsia="宋体" w:cs="宋体"/>
                <w:color w:val="auto"/>
                <w:sz w:val="21"/>
                <w:szCs w:val="21"/>
                <w:highlight w:val="none"/>
                <w:lang w:val="en-US" w:eastAsia="zh-CN"/>
              </w:rPr>
              <w:t>，中标人为第二中标候选人。）</w:t>
            </w:r>
          </w:p>
        </w:tc>
        <w:tc>
          <w:tcPr>
            <w:tcW w:w="750" w:type="dxa"/>
            <w:noWrap w:val="0"/>
            <w:vAlign w:val="center"/>
          </w:tcPr>
          <w:p w14:paraId="2A900DE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219" w:type="dxa"/>
            <w:noWrap w:val="0"/>
            <w:vAlign w:val="center"/>
          </w:tcPr>
          <w:p w14:paraId="05AF4CD8">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客观分</w:t>
            </w:r>
          </w:p>
        </w:tc>
        <w:tc>
          <w:tcPr>
            <w:tcW w:w="1709" w:type="dxa"/>
            <w:noWrap w:val="0"/>
            <w:vAlign w:val="center"/>
          </w:tcPr>
          <w:p w14:paraId="28A57F7F">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保险要求</w:t>
            </w:r>
          </w:p>
        </w:tc>
      </w:tr>
      <w:tr w14:paraId="7465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Merge w:val="restart"/>
            <w:noWrap w:val="0"/>
            <w:vAlign w:val="center"/>
          </w:tcPr>
          <w:p w14:paraId="398279FB">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5777" w:type="dxa"/>
            <w:noWrap w:val="0"/>
            <w:vAlign w:val="center"/>
          </w:tcPr>
          <w:p w14:paraId="5D32D37A">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1.3.1公司有固定采伐工10人及以上得5分，每少1人扣0.5分，扣完为止。</w:t>
            </w:r>
          </w:p>
          <w:p w14:paraId="0F750033">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（须提供雇用采伐工人员名单清册，身份证复印件并加盖公章）</w:t>
            </w:r>
          </w:p>
        </w:tc>
        <w:tc>
          <w:tcPr>
            <w:tcW w:w="750" w:type="dxa"/>
            <w:noWrap w:val="0"/>
            <w:vAlign w:val="center"/>
          </w:tcPr>
          <w:p w14:paraId="52F15319">
            <w:pPr>
              <w:spacing w:beforeLines="50"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19" w:type="dxa"/>
            <w:noWrap w:val="0"/>
            <w:vAlign w:val="center"/>
          </w:tcPr>
          <w:p w14:paraId="1FAAF61F">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客观分</w:t>
            </w:r>
          </w:p>
        </w:tc>
        <w:tc>
          <w:tcPr>
            <w:tcW w:w="1709" w:type="dxa"/>
            <w:vMerge w:val="restart"/>
            <w:noWrap w:val="0"/>
            <w:vAlign w:val="center"/>
          </w:tcPr>
          <w:p w14:paraId="1FDBF032">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投入本项目人员</w:t>
            </w:r>
          </w:p>
        </w:tc>
      </w:tr>
      <w:tr w14:paraId="3353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Merge w:val="continue"/>
            <w:noWrap w:val="0"/>
            <w:vAlign w:val="center"/>
          </w:tcPr>
          <w:p w14:paraId="104D1DCC">
            <w:pPr>
              <w:snapToGrid w:val="0"/>
              <w:spacing w:line="360" w:lineRule="auto"/>
              <w:jc w:val="center"/>
              <w:rPr>
                <w:rFonts w:hint="default" w:ascii="宋体" w:hAnsi="宋体" w:eastAsia="宋体" w:cs="宋体"/>
                <w:color w:val="auto"/>
                <w:kern w:val="2"/>
                <w:sz w:val="21"/>
                <w:szCs w:val="21"/>
                <w:highlight w:val="none"/>
                <w:lang w:val="en-US" w:eastAsia="zh-CN" w:bidi="ar-SA"/>
              </w:rPr>
            </w:pPr>
          </w:p>
        </w:tc>
        <w:tc>
          <w:tcPr>
            <w:tcW w:w="5777" w:type="dxa"/>
            <w:noWrap w:val="0"/>
            <w:vAlign w:val="center"/>
          </w:tcPr>
          <w:p w14:paraId="358FA2F2">
            <w:pPr>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1.3.2年龄结构18周岁—60周岁</w:t>
            </w:r>
            <w:r>
              <w:rPr>
                <w:rFonts w:hint="eastAsia" w:ascii="宋体" w:hAnsi="宋体" w:eastAsia="宋体" w:cs="宋体"/>
                <w:color w:val="auto"/>
                <w:sz w:val="21"/>
                <w:szCs w:val="21"/>
                <w:highlight w:val="none"/>
              </w:rPr>
              <w:t>男劳力</w:t>
            </w:r>
            <w:r>
              <w:rPr>
                <w:rFonts w:hint="eastAsia" w:ascii="宋体" w:hAnsi="宋体" w:eastAsia="宋体" w:cs="宋体"/>
                <w:color w:val="auto"/>
                <w:sz w:val="21"/>
                <w:szCs w:val="21"/>
                <w:highlight w:val="none"/>
                <w:lang w:val="en-US" w:eastAsia="zh-CN"/>
              </w:rPr>
              <w:t>的，身体健康无疾病且从事伐木施工人员优先，（附雇用采伐工人员名单清册、人员身份证清单）进行打分（0-5分）。</w:t>
            </w:r>
          </w:p>
        </w:tc>
        <w:tc>
          <w:tcPr>
            <w:tcW w:w="750" w:type="dxa"/>
            <w:noWrap w:val="0"/>
            <w:vAlign w:val="center"/>
          </w:tcPr>
          <w:p w14:paraId="4107654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19" w:type="dxa"/>
            <w:noWrap w:val="0"/>
            <w:vAlign w:val="center"/>
          </w:tcPr>
          <w:p w14:paraId="77C4DBF4">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vMerge w:val="continue"/>
            <w:noWrap w:val="0"/>
            <w:vAlign w:val="center"/>
          </w:tcPr>
          <w:p w14:paraId="7988EC5A">
            <w:pPr>
              <w:spacing w:after="0"/>
              <w:jc w:val="center"/>
              <w:rPr>
                <w:rFonts w:hint="eastAsia" w:ascii="宋体" w:hAnsi="宋体" w:eastAsia="宋体" w:cs="宋体"/>
                <w:color w:val="auto"/>
                <w:kern w:val="2"/>
                <w:sz w:val="21"/>
                <w:szCs w:val="21"/>
                <w:highlight w:val="none"/>
                <w:lang w:val="en-US" w:eastAsia="zh-CN" w:bidi="ar-SA"/>
              </w:rPr>
            </w:pPr>
          </w:p>
        </w:tc>
      </w:tr>
      <w:tr w14:paraId="7DF0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79" w:type="dxa"/>
            <w:noWrap w:val="0"/>
            <w:vAlign w:val="center"/>
          </w:tcPr>
          <w:p w14:paraId="3F89AA9E">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5777" w:type="dxa"/>
            <w:noWrap w:val="0"/>
            <w:vAlign w:val="center"/>
          </w:tcPr>
          <w:p w14:paraId="44163AC7">
            <w:pPr>
              <w:spacing w:after="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1.4.1根据投标人配备设备情况打分，投标人拟投入伐木油锯一套的得0.5分，每增加1套得0.5分，最高5分。</w:t>
            </w:r>
            <w:r>
              <w:rPr>
                <w:rFonts w:hint="eastAsia" w:ascii="宋体" w:hAnsi="宋体" w:eastAsia="宋体" w:cs="宋体"/>
                <w:b/>
                <w:bCs/>
                <w:color w:val="auto"/>
                <w:sz w:val="21"/>
                <w:szCs w:val="21"/>
                <w:highlight w:val="none"/>
                <w:lang w:val="en-US" w:eastAsia="zh-CN"/>
              </w:rPr>
              <w:t>（自有设备需提供购买发票复印件、租赁的设备需提供租赁合同复印件及设备照片并加盖公章，不提供不得分。）</w:t>
            </w:r>
          </w:p>
          <w:p w14:paraId="55C8E1EF">
            <w:pPr>
              <w:pStyle w:val="5"/>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1.4.2投标人运输车辆情况，每提供一辆车（轻型或小型货车）的得2分，最多得4分。</w:t>
            </w:r>
            <w:r>
              <w:rPr>
                <w:rFonts w:hint="eastAsia" w:ascii="宋体" w:hAnsi="宋体" w:eastAsia="宋体" w:cs="宋体"/>
                <w:b/>
                <w:bCs/>
                <w:color w:val="auto"/>
                <w:kern w:val="2"/>
                <w:sz w:val="21"/>
                <w:szCs w:val="21"/>
                <w:highlight w:val="none"/>
                <w:lang w:val="en-US" w:eastAsia="zh-CN" w:bidi="ar-SA"/>
              </w:rPr>
              <w:t>（车辆为自有的提供车辆照片和行驶证，如非自有车辆的提供工期内租赁合同）</w:t>
            </w:r>
          </w:p>
        </w:tc>
        <w:tc>
          <w:tcPr>
            <w:tcW w:w="750" w:type="dxa"/>
            <w:noWrap w:val="0"/>
            <w:vAlign w:val="center"/>
          </w:tcPr>
          <w:p w14:paraId="1C5F512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219" w:type="dxa"/>
            <w:noWrap w:val="0"/>
            <w:vAlign w:val="center"/>
          </w:tcPr>
          <w:p w14:paraId="2058DCB7">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客观分</w:t>
            </w:r>
          </w:p>
        </w:tc>
        <w:tc>
          <w:tcPr>
            <w:tcW w:w="1709" w:type="dxa"/>
            <w:noWrap w:val="0"/>
            <w:vAlign w:val="center"/>
          </w:tcPr>
          <w:p w14:paraId="37282E5D">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拟投入实施设备情况</w:t>
            </w:r>
          </w:p>
        </w:tc>
      </w:tr>
      <w:tr w14:paraId="763A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9" w:type="dxa"/>
            <w:noWrap w:val="0"/>
            <w:vAlign w:val="center"/>
          </w:tcPr>
          <w:p w14:paraId="4AB5C5DE">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77" w:type="dxa"/>
            <w:noWrap w:val="0"/>
            <w:vAlign w:val="center"/>
          </w:tcPr>
          <w:p w14:paraId="070FA323">
            <w:pPr>
              <w:pStyle w:val="5"/>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技术部分</w:t>
            </w:r>
          </w:p>
        </w:tc>
        <w:tc>
          <w:tcPr>
            <w:tcW w:w="750" w:type="dxa"/>
            <w:noWrap w:val="0"/>
            <w:vAlign w:val="center"/>
          </w:tcPr>
          <w:p w14:paraId="1601397A">
            <w:pPr>
              <w:jc w:val="center"/>
              <w:rPr>
                <w:rFonts w:hint="eastAsia" w:ascii="宋体" w:hAnsi="宋体" w:eastAsia="宋体" w:cs="宋体"/>
                <w:color w:val="auto"/>
                <w:sz w:val="21"/>
                <w:szCs w:val="21"/>
                <w:highlight w:val="none"/>
                <w:lang w:val="en-US" w:eastAsia="zh-CN"/>
              </w:rPr>
            </w:pPr>
          </w:p>
        </w:tc>
        <w:tc>
          <w:tcPr>
            <w:tcW w:w="1219" w:type="dxa"/>
            <w:noWrap w:val="0"/>
            <w:vAlign w:val="center"/>
          </w:tcPr>
          <w:p w14:paraId="78A75014">
            <w:pPr>
              <w:snapToGrid w:val="0"/>
              <w:spacing w:line="360" w:lineRule="auto"/>
              <w:jc w:val="center"/>
              <w:rPr>
                <w:rFonts w:hint="eastAsia" w:ascii="宋体" w:hAnsi="宋体" w:eastAsia="宋体" w:cs="宋体"/>
                <w:color w:val="auto"/>
                <w:kern w:val="0"/>
                <w:sz w:val="21"/>
                <w:szCs w:val="21"/>
                <w:highlight w:val="none"/>
                <w:lang w:val="en-US" w:eastAsia="zh-CN" w:bidi="zh-CN"/>
              </w:rPr>
            </w:pPr>
          </w:p>
        </w:tc>
        <w:tc>
          <w:tcPr>
            <w:tcW w:w="1709" w:type="dxa"/>
            <w:noWrap w:val="0"/>
            <w:vAlign w:val="center"/>
          </w:tcPr>
          <w:p w14:paraId="5EA8FF02">
            <w:pPr>
              <w:spacing w:after="0"/>
              <w:jc w:val="center"/>
              <w:rPr>
                <w:rFonts w:hint="eastAsia" w:ascii="宋体" w:hAnsi="宋体" w:eastAsia="宋体" w:cs="宋体"/>
                <w:color w:val="auto"/>
                <w:sz w:val="21"/>
                <w:szCs w:val="21"/>
                <w:highlight w:val="none"/>
                <w:lang w:val="en-US" w:eastAsia="zh-CN"/>
              </w:rPr>
            </w:pPr>
          </w:p>
        </w:tc>
      </w:tr>
      <w:tr w14:paraId="78C6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79" w:type="dxa"/>
            <w:noWrap w:val="0"/>
            <w:vAlign w:val="center"/>
          </w:tcPr>
          <w:p w14:paraId="00FC4A52">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5777" w:type="dxa"/>
            <w:noWrap w:val="0"/>
            <w:vAlign w:val="center"/>
          </w:tcPr>
          <w:p w14:paraId="19F2A9F4">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对本项目采购范围内环境、枯死松树分布特点等情况的熟悉程度（0-2分）。对本项目区域山林、道路现状的调查充分情况（0-2分），对项目区域是否充分熟悉及能否合理规划情况等（0-1分）。根据调研程度的完整性、科学性进行打分。</w:t>
            </w:r>
          </w:p>
        </w:tc>
        <w:tc>
          <w:tcPr>
            <w:tcW w:w="750" w:type="dxa"/>
            <w:noWrap w:val="0"/>
            <w:vAlign w:val="center"/>
          </w:tcPr>
          <w:p w14:paraId="45083F4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19" w:type="dxa"/>
            <w:noWrap w:val="0"/>
            <w:vAlign w:val="center"/>
          </w:tcPr>
          <w:p w14:paraId="4598DE4B">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noWrap w:val="0"/>
            <w:vAlign w:val="center"/>
          </w:tcPr>
          <w:p w14:paraId="5550B83A">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山场熟悉程度</w:t>
            </w:r>
          </w:p>
        </w:tc>
      </w:tr>
      <w:tr w14:paraId="7973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79" w:type="dxa"/>
            <w:vMerge w:val="restart"/>
            <w:noWrap w:val="0"/>
            <w:vAlign w:val="center"/>
          </w:tcPr>
          <w:p w14:paraId="5699BF5B">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5777" w:type="dxa"/>
            <w:noWrap w:val="0"/>
            <w:vAlign w:val="center"/>
          </w:tcPr>
          <w:p w14:paraId="2D1F281C">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2.2.1根据供应商提供的组织及工作方案，防控工作、运输和清理现存病死松树的方案是否可行，各环节安排的完整性、详细性、针对性及能否满足采购需求等情况，由评委在分值范围内打分（0-5分）。</w:t>
            </w:r>
          </w:p>
        </w:tc>
        <w:tc>
          <w:tcPr>
            <w:tcW w:w="750" w:type="dxa"/>
            <w:noWrap w:val="0"/>
            <w:vAlign w:val="center"/>
          </w:tcPr>
          <w:p w14:paraId="4ABEAD1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19" w:type="dxa"/>
            <w:noWrap w:val="0"/>
            <w:vAlign w:val="center"/>
          </w:tcPr>
          <w:p w14:paraId="29E8E466">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vMerge w:val="restart"/>
            <w:noWrap w:val="0"/>
            <w:vAlign w:val="center"/>
          </w:tcPr>
          <w:p w14:paraId="4B50EBAB">
            <w:pPr>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r>
      <w:tr w14:paraId="6FDC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79" w:type="dxa"/>
            <w:vMerge w:val="continue"/>
            <w:noWrap w:val="0"/>
            <w:vAlign w:val="center"/>
          </w:tcPr>
          <w:p w14:paraId="1579E951">
            <w:pPr>
              <w:snapToGrid w:val="0"/>
              <w:spacing w:line="360" w:lineRule="auto"/>
              <w:jc w:val="center"/>
              <w:rPr>
                <w:rFonts w:hint="eastAsia" w:ascii="宋体" w:hAnsi="宋体" w:eastAsia="宋体" w:cs="宋体"/>
                <w:color w:val="auto"/>
                <w:sz w:val="21"/>
                <w:szCs w:val="21"/>
                <w:highlight w:val="none"/>
                <w:lang w:val="en-US" w:eastAsia="zh-CN"/>
              </w:rPr>
            </w:pPr>
          </w:p>
        </w:tc>
        <w:tc>
          <w:tcPr>
            <w:tcW w:w="5777" w:type="dxa"/>
            <w:noWrap w:val="0"/>
            <w:vAlign w:val="center"/>
          </w:tcPr>
          <w:p w14:paraId="4EF953D0">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2.2.2根据供应商提供的枯死木管理及安全生产方案，各环节安排的完整性、详细性、针对性及能否满足采购需求等情况，由评委在分值范围内打分（0-5分）。</w:t>
            </w:r>
          </w:p>
        </w:tc>
        <w:tc>
          <w:tcPr>
            <w:tcW w:w="750" w:type="dxa"/>
            <w:noWrap w:val="0"/>
            <w:vAlign w:val="center"/>
          </w:tcPr>
          <w:p w14:paraId="0006D59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19" w:type="dxa"/>
            <w:noWrap w:val="0"/>
            <w:vAlign w:val="center"/>
          </w:tcPr>
          <w:p w14:paraId="140DB90C">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vMerge w:val="continue"/>
            <w:noWrap w:val="0"/>
            <w:vAlign w:val="center"/>
          </w:tcPr>
          <w:p w14:paraId="0B540BAB">
            <w:pPr>
              <w:spacing w:after="0"/>
              <w:jc w:val="center"/>
              <w:rPr>
                <w:rFonts w:hint="eastAsia" w:ascii="宋体" w:hAnsi="宋体" w:eastAsia="宋体" w:cs="宋体"/>
                <w:color w:val="auto"/>
                <w:sz w:val="21"/>
                <w:szCs w:val="21"/>
                <w:highlight w:val="none"/>
                <w:lang w:val="en-US" w:eastAsia="zh-CN"/>
              </w:rPr>
            </w:pPr>
          </w:p>
        </w:tc>
      </w:tr>
      <w:tr w14:paraId="4ACE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9" w:type="dxa"/>
            <w:vMerge w:val="continue"/>
            <w:noWrap w:val="0"/>
            <w:vAlign w:val="center"/>
          </w:tcPr>
          <w:p w14:paraId="0C16030B">
            <w:pPr>
              <w:snapToGrid w:val="0"/>
              <w:spacing w:line="360" w:lineRule="auto"/>
              <w:jc w:val="center"/>
              <w:rPr>
                <w:rFonts w:hint="eastAsia" w:ascii="宋体" w:hAnsi="宋体" w:eastAsia="宋体" w:cs="宋体"/>
                <w:color w:val="auto"/>
                <w:sz w:val="21"/>
                <w:szCs w:val="21"/>
                <w:highlight w:val="none"/>
                <w:lang w:val="en-US" w:eastAsia="zh-CN"/>
              </w:rPr>
            </w:pPr>
          </w:p>
        </w:tc>
        <w:tc>
          <w:tcPr>
            <w:tcW w:w="5777" w:type="dxa"/>
            <w:noWrap w:val="0"/>
            <w:vAlign w:val="center"/>
          </w:tcPr>
          <w:p w14:paraId="1C5B6430">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2.2.3根据供应商提出的就地处理合理化建议内容执行性、详细性、针对性及能否满足采购需求等情况，由评委在分值范围内打分。</w:t>
            </w:r>
          </w:p>
        </w:tc>
        <w:tc>
          <w:tcPr>
            <w:tcW w:w="750" w:type="dxa"/>
            <w:noWrap w:val="0"/>
            <w:vAlign w:val="center"/>
          </w:tcPr>
          <w:p w14:paraId="7A400D7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19" w:type="dxa"/>
            <w:noWrap w:val="0"/>
            <w:vAlign w:val="center"/>
          </w:tcPr>
          <w:p w14:paraId="3776F878">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vMerge w:val="continue"/>
            <w:noWrap w:val="0"/>
            <w:vAlign w:val="center"/>
          </w:tcPr>
          <w:p w14:paraId="138A19DB">
            <w:pPr>
              <w:spacing w:after="0"/>
              <w:jc w:val="center"/>
              <w:rPr>
                <w:rFonts w:hint="eastAsia" w:ascii="宋体" w:hAnsi="宋体" w:eastAsia="宋体" w:cs="宋体"/>
                <w:color w:val="auto"/>
                <w:sz w:val="21"/>
                <w:szCs w:val="21"/>
                <w:highlight w:val="none"/>
                <w:lang w:val="en-US" w:eastAsia="zh-CN"/>
              </w:rPr>
            </w:pPr>
          </w:p>
        </w:tc>
      </w:tr>
      <w:tr w14:paraId="7D52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79" w:type="dxa"/>
            <w:vMerge w:val="continue"/>
            <w:noWrap w:val="0"/>
            <w:vAlign w:val="center"/>
          </w:tcPr>
          <w:p w14:paraId="1D48876F">
            <w:pPr>
              <w:snapToGrid w:val="0"/>
              <w:spacing w:line="360" w:lineRule="auto"/>
              <w:jc w:val="center"/>
              <w:rPr>
                <w:rFonts w:hint="eastAsia" w:ascii="宋体" w:hAnsi="宋体" w:eastAsia="宋体" w:cs="宋体"/>
                <w:color w:val="auto"/>
                <w:sz w:val="21"/>
                <w:szCs w:val="21"/>
                <w:highlight w:val="none"/>
                <w:lang w:val="en-US" w:eastAsia="zh-CN"/>
              </w:rPr>
            </w:pPr>
          </w:p>
        </w:tc>
        <w:tc>
          <w:tcPr>
            <w:tcW w:w="5777" w:type="dxa"/>
            <w:noWrap w:val="0"/>
            <w:vAlign w:val="center"/>
          </w:tcPr>
          <w:p w14:paraId="31DC9D57">
            <w:pPr>
              <w:spacing w:after="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2.2.4根据供应商提供的枯死木的处理案，各环节安排的完整性、详细性、安全性及能否满足采购需求等情况，由评委在分值范围内打分（0-5分）。</w:t>
            </w:r>
          </w:p>
        </w:tc>
        <w:tc>
          <w:tcPr>
            <w:tcW w:w="750" w:type="dxa"/>
            <w:noWrap w:val="0"/>
            <w:vAlign w:val="center"/>
          </w:tcPr>
          <w:p w14:paraId="5352765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19" w:type="dxa"/>
            <w:noWrap w:val="0"/>
            <w:vAlign w:val="center"/>
          </w:tcPr>
          <w:p w14:paraId="3B9A8927">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vMerge w:val="continue"/>
            <w:noWrap w:val="0"/>
            <w:vAlign w:val="center"/>
          </w:tcPr>
          <w:p w14:paraId="77DEFDC7">
            <w:pPr>
              <w:spacing w:after="0"/>
              <w:jc w:val="center"/>
              <w:rPr>
                <w:rFonts w:hint="eastAsia" w:ascii="宋体" w:hAnsi="宋体" w:eastAsia="宋体" w:cs="宋体"/>
                <w:color w:val="auto"/>
                <w:sz w:val="21"/>
                <w:szCs w:val="21"/>
                <w:highlight w:val="none"/>
                <w:lang w:val="en-US" w:eastAsia="zh-CN"/>
              </w:rPr>
            </w:pPr>
          </w:p>
        </w:tc>
      </w:tr>
      <w:tr w14:paraId="2098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9" w:type="dxa"/>
            <w:noWrap w:val="0"/>
            <w:vAlign w:val="center"/>
          </w:tcPr>
          <w:p w14:paraId="10A0F7E3">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w:t>
            </w:r>
          </w:p>
        </w:tc>
        <w:tc>
          <w:tcPr>
            <w:tcW w:w="5777" w:type="dxa"/>
            <w:noWrap w:val="0"/>
            <w:vAlign w:val="center"/>
          </w:tcPr>
          <w:p w14:paraId="34CCD7FA">
            <w:pPr>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有明确的质量目标，质量保证措施，并具有详细可行的实施内容；质量监督管理机构是否健全、制度是否完善、服务质量能否符合采购人规定；质量保证措施是否符合项目实际，切实可行等情况进行打分</w:t>
            </w:r>
            <w:r>
              <w:rPr>
                <w:rFonts w:hint="eastAsia" w:ascii="宋体" w:hAnsi="宋体" w:eastAsia="宋体" w:cs="宋体"/>
                <w:color w:val="auto"/>
                <w:kern w:val="2"/>
                <w:sz w:val="21"/>
                <w:szCs w:val="21"/>
                <w:highlight w:val="none"/>
                <w:lang w:val="en-US" w:eastAsia="zh-CN" w:bidi="ar-SA"/>
              </w:rPr>
              <w:t>（0-5分）。</w:t>
            </w:r>
          </w:p>
        </w:tc>
        <w:tc>
          <w:tcPr>
            <w:tcW w:w="750" w:type="dxa"/>
            <w:noWrap w:val="0"/>
            <w:vAlign w:val="center"/>
          </w:tcPr>
          <w:p w14:paraId="69CF3710">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219" w:type="dxa"/>
            <w:noWrap w:val="0"/>
            <w:vAlign w:val="center"/>
          </w:tcPr>
          <w:p w14:paraId="2FC0BCC9">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noWrap w:val="0"/>
            <w:vAlign w:val="center"/>
          </w:tcPr>
          <w:p w14:paraId="206B2C6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质量目标及措施</w:t>
            </w:r>
          </w:p>
        </w:tc>
      </w:tr>
      <w:tr w14:paraId="25A1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noWrap w:val="0"/>
            <w:vAlign w:val="center"/>
          </w:tcPr>
          <w:p w14:paraId="3C1B74C6">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w:t>
            </w:r>
          </w:p>
        </w:tc>
        <w:tc>
          <w:tcPr>
            <w:tcW w:w="5777" w:type="dxa"/>
            <w:noWrap w:val="0"/>
            <w:vAlign w:val="center"/>
          </w:tcPr>
          <w:p w14:paraId="5A70B48E">
            <w:pPr>
              <w:pStyle w:val="40"/>
              <w:ind w:left="0" w:leftChars="0" w:firstLine="0" w:firstLineChars="0"/>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投标人承诺配备采伐队伍中明确人员且熟练掌握APP的使用情况的得2分。提供承诺书不提供的不得分。</w:t>
            </w:r>
          </w:p>
        </w:tc>
        <w:tc>
          <w:tcPr>
            <w:tcW w:w="750" w:type="dxa"/>
            <w:noWrap w:val="0"/>
            <w:vAlign w:val="center"/>
          </w:tcPr>
          <w:p w14:paraId="24574AD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219" w:type="dxa"/>
            <w:noWrap w:val="0"/>
            <w:vAlign w:val="center"/>
          </w:tcPr>
          <w:p w14:paraId="2D989D2E">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客观分</w:t>
            </w:r>
          </w:p>
        </w:tc>
        <w:tc>
          <w:tcPr>
            <w:tcW w:w="1709" w:type="dxa"/>
            <w:noWrap w:val="0"/>
            <w:vAlign w:val="center"/>
          </w:tcPr>
          <w:p w14:paraId="227D9713">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数字森防APP的使用</w:t>
            </w:r>
          </w:p>
        </w:tc>
      </w:tr>
      <w:tr w14:paraId="65AE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79" w:type="dxa"/>
            <w:noWrap w:val="0"/>
            <w:vAlign w:val="center"/>
          </w:tcPr>
          <w:p w14:paraId="40D3C5AB">
            <w:pPr>
              <w:snapToGrid w:val="0"/>
              <w:spacing w:line="360" w:lineRule="auto"/>
              <w:jc w:val="center"/>
              <w:rPr>
                <w:rFonts w:hint="default"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2.5</w:t>
            </w:r>
          </w:p>
        </w:tc>
        <w:tc>
          <w:tcPr>
            <w:tcW w:w="5777" w:type="dxa"/>
            <w:noWrap w:val="0"/>
            <w:vAlign w:val="center"/>
          </w:tcPr>
          <w:p w14:paraId="3F0A4300">
            <w:pPr>
              <w:spacing w:after="0"/>
              <w:jc w:val="both"/>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根据投标文件中突发事件的应急抢险方案（包括应急抢险队伍的组织，台风季节、雨雪天气的预防、抢险措施）进行打分，最高得5分。</w:t>
            </w:r>
          </w:p>
        </w:tc>
        <w:tc>
          <w:tcPr>
            <w:tcW w:w="750" w:type="dxa"/>
            <w:noWrap w:val="0"/>
            <w:vAlign w:val="center"/>
          </w:tcPr>
          <w:p w14:paraId="1C334E35">
            <w:pPr>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5</w:t>
            </w:r>
          </w:p>
        </w:tc>
        <w:tc>
          <w:tcPr>
            <w:tcW w:w="1219" w:type="dxa"/>
            <w:noWrap w:val="0"/>
            <w:vAlign w:val="center"/>
          </w:tcPr>
          <w:p w14:paraId="5EB46309">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noWrap w:val="0"/>
            <w:vAlign w:val="center"/>
          </w:tcPr>
          <w:p w14:paraId="6F877514">
            <w:pPr>
              <w:spacing w:after="0"/>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针对本项目的应急预案</w:t>
            </w:r>
          </w:p>
        </w:tc>
      </w:tr>
      <w:tr w14:paraId="7F9D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9" w:type="dxa"/>
            <w:noWrap w:val="0"/>
            <w:vAlign w:val="center"/>
          </w:tcPr>
          <w:p w14:paraId="740E64EF">
            <w:pPr>
              <w:snapToGrid w:val="0"/>
              <w:spacing w:line="360" w:lineRule="auto"/>
              <w:jc w:val="center"/>
              <w:rPr>
                <w:rFonts w:hint="default"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2.6</w:t>
            </w:r>
          </w:p>
        </w:tc>
        <w:tc>
          <w:tcPr>
            <w:tcW w:w="5777" w:type="dxa"/>
            <w:noWrap w:val="0"/>
            <w:vAlign w:val="center"/>
          </w:tcPr>
          <w:p w14:paraId="3523106A">
            <w:pPr>
              <w:snapToGrid w:val="0"/>
              <w:jc w:val="left"/>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根据投标人提供本项目在实施过程中的人员培训方案进行打分，最高得5分。</w:t>
            </w:r>
          </w:p>
        </w:tc>
        <w:tc>
          <w:tcPr>
            <w:tcW w:w="750" w:type="dxa"/>
            <w:noWrap w:val="0"/>
            <w:vAlign w:val="center"/>
          </w:tcPr>
          <w:p w14:paraId="0E5BBB02">
            <w:pPr>
              <w:snapToGrid w:val="0"/>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5</w:t>
            </w:r>
          </w:p>
        </w:tc>
        <w:tc>
          <w:tcPr>
            <w:tcW w:w="1219" w:type="dxa"/>
            <w:noWrap w:val="0"/>
            <w:vAlign w:val="center"/>
          </w:tcPr>
          <w:p w14:paraId="4931E000">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noWrap w:val="0"/>
            <w:vAlign w:val="center"/>
          </w:tcPr>
          <w:p w14:paraId="48E6D77B">
            <w:pPr>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人员培训方案</w:t>
            </w:r>
          </w:p>
        </w:tc>
      </w:tr>
      <w:tr w14:paraId="0B3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9" w:type="dxa"/>
            <w:noWrap w:val="0"/>
            <w:vAlign w:val="center"/>
          </w:tcPr>
          <w:p w14:paraId="5B262DD8">
            <w:pPr>
              <w:snapToGrid w:val="0"/>
              <w:spacing w:line="360" w:lineRule="auto"/>
              <w:jc w:val="center"/>
              <w:rPr>
                <w:rFonts w:hint="default"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2.7</w:t>
            </w:r>
          </w:p>
        </w:tc>
        <w:tc>
          <w:tcPr>
            <w:tcW w:w="5777" w:type="dxa"/>
            <w:noWrap w:val="0"/>
            <w:vAlign w:val="center"/>
          </w:tcPr>
          <w:p w14:paraId="309C3A5C">
            <w:pPr>
              <w:snapToGrid w:val="0"/>
              <w:jc w:val="left"/>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针对本项目的防火及安全保障措施内容是否完整，是否具有针对性进行打分，最高得4分。</w:t>
            </w:r>
          </w:p>
        </w:tc>
        <w:tc>
          <w:tcPr>
            <w:tcW w:w="750" w:type="dxa"/>
            <w:noWrap w:val="0"/>
            <w:vAlign w:val="center"/>
          </w:tcPr>
          <w:p w14:paraId="370F8DC9">
            <w:pPr>
              <w:snapToGrid w:val="0"/>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4</w:t>
            </w:r>
          </w:p>
        </w:tc>
        <w:tc>
          <w:tcPr>
            <w:tcW w:w="1219" w:type="dxa"/>
            <w:noWrap w:val="0"/>
            <w:vAlign w:val="center"/>
          </w:tcPr>
          <w:p w14:paraId="04181162">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noWrap w:val="0"/>
            <w:vAlign w:val="center"/>
          </w:tcPr>
          <w:p w14:paraId="060EB48D">
            <w:pPr>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防火及安全保障措施</w:t>
            </w:r>
          </w:p>
        </w:tc>
      </w:tr>
      <w:tr w14:paraId="34EE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79" w:type="dxa"/>
            <w:vMerge w:val="restart"/>
            <w:noWrap w:val="0"/>
            <w:vAlign w:val="center"/>
          </w:tcPr>
          <w:p w14:paraId="3002D795">
            <w:pPr>
              <w:snapToGrid w:val="0"/>
              <w:spacing w:line="360" w:lineRule="auto"/>
              <w:jc w:val="center"/>
              <w:rPr>
                <w:rFonts w:hint="default"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2.8</w:t>
            </w:r>
          </w:p>
        </w:tc>
        <w:tc>
          <w:tcPr>
            <w:tcW w:w="5777" w:type="dxa"/>
            <w:noWrap w:val="0"/>
            <w:vAlign w:val="center"/>
          </w:tcPr>
          <w:p w14:paraId="4665FCD7">
            <w:pPr>
              <w:snapToGrid w:val="0"/>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2.8.1根据投标人对后续服务及服务质量承诺情况（如服务响应的便捷性和及时性进）进行评分（0-3分）。</w:t>
            </w:r>
          </w:p>
        </w:tc>
        <w:tc>
          <w:tcPr>
            <w:tcW w:w="750" w:type="dxa"/>
            <w:noWrap w:val="0"/>
            <w:vAlign w:val="center"/>
          </w:tcPr>
          <w:p w14:paraId="02BFCA30">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3</w:t>
            </w:r>
          </w:p>
        </w:tc>
        <w:tc>
          <w:tcPr>
            <w:tcW w:w="1219" w:type="dxa"/>
            <w:noWrap w:val="0"/>
            <w:vAlign w:val="center"/>
          </w:tcPr>
          <w:p w14:paraId="2FCD0A18">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vMerge w:val="restart"/>
            <w:noWrap w:val="0"/>
            <w:vAlign w:val="center"/>
          </w:tcPr>
          <w:p w14:paraId="072ED090">
            <w:pPr>
              <w:snapToGrid w:val="0"/>
              <w:ind w:left="0" w:leftChars="0" w:hanging="10" w:firstLineChars="0"/>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后续服务及服务质量承诺</w:t>
            </w:r>
          </w:p>
        </w:tc>
      </w:tr>
      <w:tr w14:paraId="110E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9" w:type="dxa"/>
            <w:vMerge w:val="continue"/>
            <w:noWrap w:val="0"/>
            <w:vAlign w:val="center"/>
          </w:tcPr>
          <w:p w14:paraId="58575D28">
            <w:pPr>
              <w:snapToGrid w:val="0"/>
              <w:spacing w:line="360" w:lineRule="auto"/>
              <w:jc w:val="center"/>
              <w:rPr>
                <w:rFonts w:hint="default" w:ascii="宋体" w:hAnsi="宋体" w:eastAsia="宋体" w:cs="宋体"/>
                <w:color w:val="auto"/>
                <w:kern w:val="0"/>
                <w:sz w:val="21"/>
                <w:szCs w:val="21"/>
                <w:highlight w:val="none"/>
                <w:lang w:val="en-US" w:eastAsia="zh-CN" w:bidi="zh-CN"/>
              </w:rPr>
            </w:pPr>
          </w:p>
        </w:tc>
        <w:tc>
          <w:tcPr>
            <w:tcW w:w="5777" w:type="dxa"/>
            <w:noWrap w:val="0"/>
            <w:vAlign w:val="center"/>
          </w:tcPr>
          <w:p w14:paraId="74EF28DF">
            <w:pPr>
              <w:snapToGrid w:val="0"/>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2.8.2根据投标人提供针对成交后工作的衔接（0-2分）、人员安排（0-2分）、与采购人各项工作相适应的服务运作流程（0-1分）的具体方案，进行打分。</w:t>
            </w:r>
          </w:p>
        </w:tc>
        <w:tc>
          <w:tcPr>
            <w:tcW w:w="750" w:type="dxa"/>
            <w:noWrap w:val="0"/>
            <w:vAlign w:val="center"/>
          </w:tcPr>
          <w:p w14:paraId="771B1525">
            <w:pPr>
              <w:snapToGrid w:val="0"/>
              <w:spacing w:line="360" w:lineRule="auto"/>
              <w:jc w:val="center"/>
              <w:rPr>
                <w:rFonts w:hint="default"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5</w:t>
            </w:r>
          </w:p>
        </w:tc>
        <w:tc>
          <w:tcPr>
            <w:tcW w:w="1219" w:type="dxa"/>
            <w:noWrap w:val="0"/>
            <w:vAlign w:val="center"/>
          </w:tcPr>
          <w:p w14:paraId="3A1E788B">
            <w:pPr>
              <w:snapToGrid w:val="0"/>
              <w:spacing w:line="360" w:lineRule="auto"/>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主观分</w:t>
            </w:r>
          </w:p>
        </w:tc>
        <w:tc>
          <w:tcPr>
            <w:tcW w:w="1709" w:type="dxa"/>
            <w:vMerge w:val="continue"/>
            <w:noWrap w:val="0"/>
            <w:vAlign w:val="center"/>
          </w:tcPr>
          <w:p w14:paraId="3B14000E">
            <w:pPr>
              <w:snapToGrid w:val="0"/>
              <w:ind w:left="0" w:leftChars="0" w:hanging="10" w:firstLineChars="0"/>
              <w:jc w:val="center"/>
              <w:rPr>
                <w:rFonts w:hint="eastAsia" w:ascii="宋体" w:hAnsi="宋体" w:eastAsia="宋体" w:cs="宋体"/>
                <w:color w:val="auto"/>
                <w:kern w:val="0"/>
                <w:sz w:val="21"/>
                <w:szCs w:val="21"/>
                <w:highlight w:val="none"/>
                <w:lang w:val="en-US" w:eastAsia="zh-CN" w:bidi="zh-CN"/>
              </w:rPr>
            </w:pPr>
          </w:p>
        </w:tc>
      </w:tr>
    </w:tbl>
    <w:p w14:paraId="288B3F59">
      <w:pPr>
        <w:spacing w:line="450" w:lineRule="exact"/>
        <w:jc w:val="left"/>
        <w:rPr>
          <w:rFonts w:ascii="宋体" w:hAnsi="宋体" w:eastAsia="宋体" w:cs="宋体"/>
          <w:b/>
          <w:color w:val="auto"/>
          <w:sz w:val="21"/>
          <w:szCs w:val="21"/>
        </w:rPr>
      </w:pPr>
      <w:r>
        <w:rPr>
          <w:rFonts w:hint="eastAsia" w:ascii="宋体" w:hAnsi="宋体" w:eastAsia="宋体" w:cs="宋体"/>
          <w:b/>
          <w:bCs/>
          <w:color w:val="auto"/>
          <w:sz w:val="21"/>
          <w:szCs w:val="21"/>
        </w:rPr>
        <w:t>注：1.如发现标书中有</w:t>
      </w:r>
      <w:r>
        <w:rPr>
          <w:rFonts w:hint="eastAsia" w:ascii="宋体" w:hAnsi="宋体" w:eastAsia="宋体" w:cs="宋体"/>
          <w:b/>
          <w:color w:val="auto"/>
          <w:sz w:val="21"/>
          <w:szCs w:val="21"/>
        </w:rPr>
        <w:t>虚假响应的，一经采购单位查实，将上报给县政府采购监管部门，建议取消其采购资格。</w:t>
      </w:r>
    </w:p>
    <w:p w14:paraId="0931C4AD">
      <w:pPr>
        <w:spacing w:line="450" w:lineRule="exact"/>
        <w:ind w:firstLine="422" w:firstLineChars="200"/>
        <w:jc w:val="left"/>
        <w:rPr>
          <w:rFonts w:ascii="宋体" w:hAnsi="宋体" w:eastAsia="宋体" w:cs="宋体"/>
          <w:color w:val="auto"/>
          <w:sz w:val="21"/>
          <w:szCs w:val="21"/>
        </w:rPr>
      </w:pPr>
      <w:r>
        <w:rPr>
          <w:rFonts w:hint="eastAsia" w:ascii="宋体" w:hAnsi="宋体" w:eastAsia="宋体" w:cs="宋体"/>
          <w:b/>
          <w:bCs/>
          <w:color w:val="auto"/>
          <w:sz w:val="21"/>
          <w:szCs w:val="21"/>
        </w:rPr>
        <w:t xml:space="preserve">2.以上评分涉及到证书、证件的复印件均需编入资信商务标中，并加盖单位CA章，并提供彩色扫描件（原文件黑白的除外），否则不得分。 </w:t>
      </w:r>
    </w:p>
    <w:p w14:paraId="407D4E9B">
      <w:pPr>
        <w:spacing w:line="45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二、投标报价拆封</w:t>
      </w:r>
    </w:p>
    <w:p w14:paraId="4277E6BC">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有效投标人确定后，将对有效投标人投标报价进行启封，进入价格评分，报价得分最高</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0分。总报价超过最高限价的投标无效。投标文件中投标报价不明确的投标无效。</w:t>
      </w:r>
    </w:p>
    <w:p w14:paraId="33F6F7E0">
      <w:pPr>
        <w:spacing w:line="45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三、报价部分（</w:t>
      </w:r>
      <w:r>
        <w:rPr>
          <w:rFonts w:hint="eastAsia" w:ascii="宋体" w:hAnsi="宋体" w:eastAsia="宋体" w:cs="宋体"/>
          <w:b/>
          <w:color w:val="auto"/>
          <w:sz w:val="21"/>
          <w:szCs w:val="21"/>
          <w:lang w:val="en-US" w:eastAsia="zh-CN"/>
        </w:rPr>
        <w:t>20</w:t>
      </w:r>
      <w:r>
        <w:rPr>
          <w:rFonts w:hint="eastAsia" w:ascii="宋体" w:hAnsi="宋体" w:eastAsia="宋体" w:cs="宋体"/>
          <w:b/>
          <w:color w:val="auto"/>
          <w:sz w:val="21"/>
          <w:szCs w:val="21"/>
        </w:rPr>
        <w:t>分）</w:t>
      </w:r>
    </w:p>
    <w:p w14:paraId="6400F395">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1.评定评审基准价：对有效投标人的最低报价作为评标基准价，其报价为满分。</w:t>
      </w:r>
    </w:p>
    <w:p w14:paraId="467E4F63">
      <w:pPr>
        <w:spacing w:line="450" w:lineRule="exact"/>
        <w:ind w:firstLine="420" w:firstLineChars="200"/>
        <w:rPr>
          <w:rFonts w:hint="default" w:ascii="宋体" w:hAnsi="宋体" w:eastAsia="宋体" w:cs="宋体"/>
          <w:color w:val="auto"/>
          <w:sz w:val="21"/>
          <w:szCs w:val="21"/>
          <w:lang w:val="en-US"/>
        </w:rPr>
      </w:pPr>
      <w:r>
        <w:rPr>
          <w:rFonts w:hint="eastAsia" w:ascii="宋体" w:hAnsi="宋体" w:eastAsia="宋体" w:cs="宋体"/>
          <w:color w:val="auto"/>
          <w:sz w:val="21"/>
          <w:szCs w:val="21"/>
        </w:rPr>
        <w:t>2.报价得分=（评标基准价/投标报价）×</w:t>
      </w:r>
      <w:r>
        <w:rPr>
          <w:rFonts w:hint="eastAsia" w:ascii="宋体" w:hAnsi="宋体" w:eastAsia="宋体" w:cs="宋体"/>
          <w:color w:val="auto"/>
          <w:sz w:val="21"/>
          <w:szCs w:val="21"/>
          <w:lang w:val="en-US" w:eastAsia="zh-CN"/>
        </w:rPr>
        <w:t>20</w:t>
      </w:r>
    </w:p>
    <w:p w14:paraId="14A8AF17">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计算报价得分保留小数2位。</w:t>
      </w:r>
    </w:p>
    <w:p w14:paraId="7A5C7CB6">
      <w:pPr>
        <w:numPr>
          <w:ilvl w:val="0"/>
          <w:numId w:val="5"/>
        </w:num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19679637">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4.报价评审优惠按文件相关规定执行。</w:t>
      </w:r>
    </w:p>
    <w:p w14:paraId="63BA448A">
      <w:pPr>
        <w:spacing w:line="45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四、计算总分（满分为100分）</w:t>
      </w:r>
    </w:p>
    <w:p w14:paraId="149DBA40">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计算方法：总分 = 技术商务得分+报价得分</w:t>
      </w:r>
    </w:p>
    <w:p w14:paraId="34F46457">
      <w:pPr>
        <w:spacing w:line="45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五、授予合同</w:t>
      </w:r>
    </w:p>
    <w:p w14:paraId="75F98797">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（一）中标结果公示、中标通知书</w:t>
      </w:r>
    </w:p>
    <w:p w14:paraId="710DD6BD">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7080853B">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2.《中标通知书》一经发出即发生法律效力，采购人改变中标结果或中标人放弃中标项目的，应当依法承担法律责任。</w:t>
      </w:r>
    </w:p>
    <w:p w14:paraId="70E55CAF">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3.《中标通知书》将作为签订合同的依据。</w:t>
      </w:r>
    </w:p>
    <w:p w14:paraId="27C3442B">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4.发布评标结果公示的媒体为：浙江省政府采购网</w:t>
      </w:r>
    </w:p>
    <w:p w14:paraId="1D8EA3F9">
      <w:pPr>
        <w:spacing w:line="450" w:lineRule="exact"/>
        <w:ind w:left="-141" w:leftChars="-67"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（二）签订合同</w:t>
      </w:r>
    </w:p>
    <w:p w14:paraId="1AD4F6EB">
      <w:pPr>
        <w:spacing w:line="450" w:lineRule="exact"/>
        <w:ind w:firstLine="401" w:firstLineChars="191"/>
        <w:rPr>
          <w:rFonts w:ascii="宋体" w:hAnsi="宋体" w:eastAsia="宋体" w:cs="宋体"/>
          <w:color w:val="auto"/>
          <w:sz w:val="21"/>
          <w:szCs w:val="21"/>
        </w:rPr>
      </w:pPr>
      <w:r>
        <w:rPr>
          <w:rFonts w:hint="eastAsia" w:ascii="宋体" w:hAnsi="宋体" w:eastAsia="宋体" w:cs="宋体"/>
          <w:color w:val="auto"/>
          <w:sz w:val="21"/>
          <w:szCs w:val="21"/>
        </w:rPr>
        <w:t>1.中标人自接到《中标通知书》后应在规定的时间内，按指定的地点与采购人签订合同。</w:t>
      </w:r>
    </w:p>
    <w:p w14:paraId="2C7D1F29">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2.招标文件、中标人的投标文件、评标过程中投标人在询标时作出的承诺及其澄清文件、中标通知书等，均为合同的组成部分。</w:t>
      </w:r>
    </w:p>
    <w:p w14:paraId="75B30AF9">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中标人不遵守招标文件和投标文件的要约及承诺、擅自修改报价，或在接到《中标通知书》后30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7FFEE570">
      <w:pPr>
        <w:spacing w:line="45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4.采购人和采购代理机构对评标结果不负责解释。</w:t>
      </w:r>
    </w:p>
    <w:p w14:paraId="7BAEC416">
      <w:pPr>
        <w:snapToGrid w:val="0"/>
        <w:spacing w:before="50" w:after="50" w:line="276" w:lineRule="auto"/>
        <w:rPr>
          <w:rFonts w:ascii="宋体" w:hAnsi="宋体" w:eastAsia="宋体" w:cs="宋体"/>
          <w:b/>
          <w:color w:val="auto"/>
          <w:sz w:val="21"/>
          <w:szCs w:val="21"/>
        </w:rPr>
      </w:pPr>
    </w:p>
    <w:p w14:paraId="02371B94">
      <w:pPr>
        <w:tabs>
          <w:tab w:val="left" w:pos="1154"/>
        </w:tabs>
        <w:spacing w:line="48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br w:type="page"/>
      </w:r>
      <w:bookmarkStart w:id="326" w:name="_Toc20084"/>
      <w:bookmarkStart w:id="327" w:name="_Toc19020"/>
      <w:r>
        <w:rPr>
          <w:rFonts w:hint="eastAsia" w:ascii="宋体" w:hAnsi="宋体" w:eastAsia="宋体" w:cs="宋体"/>
          <w:b/>
          <w:bCs/>
          <w:color w:val="auto"/>
          <w:sz w:val="21"/>
          <w:szCs w:val="21"/>
        </w:rPr>
        <w:t>第五章  政府采购政策功能相关说明</w:t>
      </w:r>
      <w:bookmarkEnd w:id="326"/>
      <w:bookmarkEnd w:id="327"/>
    </w:p>
    <w:p w14:paraId="17853A57">
      <w:pPr>
        <w:widowControl/>
        <w:spacing w:before="240" w:after="240"/>
        <w:ind w:firstLine="422" w:firstLineChars="200"/>
        <w:jc w:val="left"/>
        <w:rPr>
          <w:rFonts w:ascii="宋体" w:hAnsi="宋体" w:eastAsia="宋体" w:cs="宋体"/>
          <w:b/>
          <w:bCs/>
          <w:color w:val="auto"/>
          <w:sz w:val="21"/>
          <w:szCs w:val="21"/>
        </w:rPr>
      </w:pPr>
      <w:bookmarkStart w:id="328" w:name="_Toc20757"/>
      <w:bookmarkStart w:id="329" w:name="_Toc19921"/>
      <w:bookmarkStart w:id="330" w:name="_Toc17234"/>
      <w:bookmarkStart w:id="331" w:name="_Toc30418"/>
      <w:bookmarkStart w:id="332" w:name="_Toc9215"/>
      <w:bookmarkStart w:id="333" w:name="_Toc23523"/>
      <w:bookmarkStart w:id="334" w:name="_Toc5036"/>
      <w:bookmarkStart w:id="335" w:name="_Toc13627"/>
      <w:bookmarkStart w:id="336" w:name="_Toc25133"/>
      <w:r>
        <w:rPr>
          <w:rFonts w:hint="eastAsia" w:ascii="宋体" w:hAnsi="宋体" w:eastAsia="宋体" w:cs="宋体"/>
          <w:b/>
          <w:bCs/>
          <w:color w:val="auto"/>
          <w:sz w:val="21"/>
          <w:szCs w:val="21"/>
        </w:rPr>
        <w:t>一、政策优惠说明</w:t>
      </w:r>
      <w:bookmarkEnd w:id="328"/>
      <w:bookmarkEnd w:id="329"/>
      <w:bookmarkEnd w:id="330"/>
      <w:bookmarkEnd w:id="331"/>
      <w:bookmarkEnd w:id="332"/>
      <w:bookmarkEnd w:id="333"/>
    </w:p>
    <w:p w14:paraId="4746580B">
      <w:pPr>
        <w:widowControl/>
        <w:spacing w:line="360" w:lineRule="auto"/>
        <w:ind w:firstLine="420" w:firstLineChars="200"/>
        <w:jc w:val="left"/>
        <w:rPr>
          <w:rFonts w:ascii="宋体" w:hAnsi="宋体" w:eastAsia="宋体" w:cs="宋体"/>
          <w:color w:val="auto"/>
          <w:sz w:val="21"/>
          <w:szCs w:val="21"/>
        </w:rPr>
      </w:pPr>
      <w:bookmarkStart w:id="337" w:name="_Toc2987"/>
      <w:bookmarkStart w:id="338" w:name="_Toc27858"/>
      <w:bookmarkStart w:id="339" w:name="_Toc28349"/>
      <w:bookmarkStart w:id="340" w:name="_Toc28014"/>
      <w:bookmarkStart w:id="341" w:name="_Toc6325"/>
      <w:bookmarkStart w:id="342" w:name="_Toc3542"/>
      <w:r>
        <w:rPr>
          <w:rFonts w:hint="eastAsia" w:ascii="宋体" w:hAnsi="宋体" w:eastAsia="宋体" w:cs="宋体"/>
          <w:color w:val="auto"/>
          <w:sz w:val="21"/>
          <w:szCs w:val="21"/>
        </w:rPr>
        <w:t>根据财库（2020）46号、财库（2022）19号、浙财采监（2022）3号和浙财采监（2022）8号等相关规定，未预留份额专门面向中小企业采购的采购项目，以及预留份额项目中的非预留部分标段，在评审时享受规定的中小企业扶持政策。</w:t>
      </w:r>
    </w:p>
    <w:p w14:paraId="3206E960">
      <w:pPr>
        <w:widowControl/>
        <w:spacing w:line="360" w:lineRule="auto"/>
        <w:ind w:firstLine="422" w:firstLineChars="200"/>
        <w:jc w:val="left"/>
        <w:rPr>
          <w:rFonts w:ascii="宋体" w:hAnsi="宋体" w:eastAsia="宋体" w:cs="宋体"/>
          <w:color w:val="auto"/>
          <w:sz w:val="21"/>
          <w:szCs w:val="21"/>
        </w:rPr>
      </w:pPr>
      <w:r>
        <w:rPr>
          <w:rFonts w:hint="eastAsia" w:ascii="宋体" w:hAnsi="宋体" w:eastAsia="宋体" w:cs="宋体"/>
          <w:b/>
          <w:bCs/>
          <w:color w:val="auto"/>
          <w:sz w:val="21"/>
          <w:szCs w:val="21"/>
        </w:rPr>
        <w:t>货物、服务采购项目，</w:t>
      </w:r>
      <w:r>
        <w:rPr>
          <w:rFonts w:hint="eastAsia" w:ascii="宋体" w:hAnsi="宋体" w:eastAsia="宋体" w:cs="宋体"/>
          <w:color w:val="auto"/>
          <w:sz w:val="21"/>
          <w:szCs w:val="21"/>
        </w:rPr>
        <w:t>对小微企业报价给予</w:t>
      </w:r>
      <w:r>
        <w:rPr>
          <w:rFonts w:hint="eastAsia" w:ascii="宋体" w:hAnsi="宋体" w:eastAsia="宋体" w:cs="宋体"/>
          <w:b/>
          <w:bCs/>
          <w:color w:val="auto"/>
          <w:sz w:val="21"/>
          <w:szCs w:val="21"/>
        </w:rPr>
        <w:t xml:space="preserve">10% </w:t>
      </w:r>
      <w:r>
        <w:rPr>
          <w:rFonts w:hint="eastAsia" w:ascii="宋体" w:hAnsi="宋体" w:eastAsia="宋体" w:cs="宋体"/>
          <w:color w:val="auto"/>
          <w:sz w:val="21"/>
          <w:szCs w:val="21"/>
        </w:rPr>
        <w:t>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auto"/>
          <w:sz w:val="21"/>
          <w:szCs w:val="21"/>
        </w:rPr>
        <w:t xml:space="preserve">4% </w:t>
      </w:r>
      <w:r>
        <w:rPr>
          <w:rFonts w:hint="eastAsia" w:ascii="宋体" w:hAnsi="宋体" w:eastAsia="宋体" w:cs="宋体"/>
          <w:color w:val="auto"/>
          <w:sz w:val="21"/>
          <w:szCs w:val="21"/>
        </w:rPr>
        <w:t>的扣除，用扣除后的价格参加评审。</w:t>
      </w:r>
    </w:p>
    <w:p w14:paraId="2542D757">
      <w:pPr>
        <w:widowControl/>
        <w:spacing w:line="360" w:lineRule="auto"/>
        <w:ind w:firstLine="422" w:firstLineChars="200"/>
        <w:jc w:val="left"/>
        <w:rPr>
          <w:rFonts w:ascii="宋体" w:hAnsi="宋体" w:eastAsia="宋体" w:cs="宋体"/>
          <w:color w:val="auto"/>
          <w:sz w:val="21"/>
          <w:szCs w:val="21"/>
        </w:rPr>
      </w:pPr>
      <w:r>
        <w:rPr>
          <w:rFonts w:hint="eastAsia" w:ascii="宋体" w:hAnsi="宋体" w:eastAsia="宋体" w:cs="宋体"/>
          <w:b/>
          <w:bCs/>
          <w:color w:val="auto"/>
          <w:sz w:val="21"/>
          <w:szCs w:val="21"/>
        </w:rPr>
        <w:t>政府采购工程项目，</w:t>
      </w:r>
      <w:r>
        <w:rPr>
          <w:rFonts w:hint="eastAsia" w:ascii="宋体" w:hAnsi="宋体" w:eastAsia="宋体" w:cs="宋体"/>
          <w:color w:val="auto"/>
          <w:sz w:val="21"/>
          <w:szCs w:val="21"/>
        </w:rPr>
        <w:t>对小微企业报价给予</w:t>
      </w:r>
      <w:r>
        <w:rPr>
          <w:rFonts w:hint="eastAsia" w:ascii="宋体" w:hAnsi="宋体" w:eastAsia="宋体" w:cs="宋体"/>
          <w:b/>
          <w:bCs/>
          <w:color w:val="auto"/>
          <w:sz w:val="21"/>
          <w:szCs w:val="21"/>
        </w:rPr>
        <w:t xml:space="preserve">3% </w:t>
      </w:r>
      <w:r>
        <w:rPr>
          <w:rFonts w:hint="eastAsia" w:ascii="宋体" w:hAnsi="宋体" w:eastAsia="宋体" w:cs="宋体"/>
          <w:color w:val="auto"/>
          <w:sz w:val="21"/>
          <w:szCs w:val="21"/>
        </w:rPr>
        <w:t>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auto"/>
          <w:sz w:val="21"/>
          <w:szCs w:val="21"/>
        </w:rPr>
        <w:t xml:space="preserve">1% </w:t>
      </w:r>
      <w:r>
        <w:rPr>
          <w:rFonts w:hint="eastAsia" w:ascii="宋体" w:hAnsi="宋体" w:eastAsia="宋体" w:cs="宋体"/>
          <w:color w:val="auto"/>
          <w:sz w:val="21"/>
          <w:szCs w:val="21"/>
        </w:rPr>
        <w:t>的扣除，用扣除后的价格参加评审。</w:t>
      </w:r>
    </w:p>
    <w:p w14:paraId="39A41971">
      <w:pPr>
        <w:widowControl/>
        <w:spacing w:line="360" w:lineRule="auto"/>
        <w:ind w:firstLine="422" w:firstLineChars="200"/>
        <w:jc w:val="left"/>
        <w:rPr>
          <w:rFonts w:ascii="宋体" w:hAnsi="宋体" w:eastAsia="宋体" w:cs="宋体"/>
          <w:color w:val="auto"/>
          <w:sz w:val="21"/>
          <w:szCs w:val="21"/>
        </w:rPr>
      </w:pPr>
      <w:r>
        <w:rPr>
          <w:rFonts w:hint="eastAsia" w:ascii="宋体" w:hAnsi="宋体" w:eastAsia="宋体" w:cs="宋体"/>
          <w:b/>
          <w:bCs/>
          <w:color w:val="auto"/>
          <w:sz w:val="21"/>
          <w:szCs w:val="21"/>
        </w:rPr>
        <w:t>取扣除后的价格作为评审投标报价，此评审投标报价仅在评标时使用。</w:t>
      </w:r>
      <w:r>
        <w:rPr>
          <w:rFonts w:hint="eastAsia" w:ascii="宋体" w:hAnsi="宋体" w:eastAsia="宋体" w:cs="宋体"/>
          <w:color w:val="auto"/>
          <w:sz w:val="21"/>
          <w:szCs w:val="21"/>
        </w:rPr>
        <w:t>享受相关中小企业扶持政策的投标人，必须在投标文件中提供《中小企业声明函》。</w:t>
      </w:r>
    </w:p>
    <w:p w14:paraId="719BFF14">
      <w:pPr>
        <w:widowControl/>
        <w:spacing w:before="240" w:after="240"/>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二、享受小微企业价格折扣应具备的条件</w:t>
      </w:r>
      <w:bookmarkEnd w:id="337"/>
      <w:bookmarkEnd w:id="338"/>
      <w:bookmarkEnd w:id="339"/>
      <w:bookmarkEnd w:id="340"/>
      <w:bookmarkEnd w:id="341"/>
      <w:bookmarkEnd w:id="342"/>
    </w:p>
    <w:p w14:paraId="5BF12275">
      <w:pPr>
        <w:widowControl/>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《政府采购促进中小企业发展管理办法》第四条　在政府采购活动中，供应商提供的货物、工程或者服务符合下列情形的，享受本办法规定的中小企业扶持政策：</w:t>
      </w:r>
    </w:p>
    <w:p w14:paraId="4C17B302">
      <w:pPr>
        <w:widowControl/>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（一）在货物采购项目中，货物由中小企业制造，即货物由中小企业生产且使用该中小企业商号或者注册商标；</w:t>
      </w:r>
    </w:p>
    <w:p w14:paraId="15DDE511">
      <w:pPr>
        <w:widowControl/>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（二）在工程采购项目中，工程由中小企业承建，即工程施工单位为中小企业；</w:t>
      </w:r>
    </w:p>
    <w:p w14:paraId="342CA0A2">
      <w:pPr>
        <w:widowControl/>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（三）在服务采购项目中，服务由中小企业承接，即提供服务的人员为中小企业依照《中华人民共和国劳动合同法》订立劳动合同的从业人员。</w:t>
      </w:r>
    </w:p>
    <w:p w14:paraId="1CA795FE">
      <w:pPr>
        <w:widowControl/>
        <w:spacing w:line="360" w:lineRule="auto"/>
        <w:ind w:firstLine="422" w:firstLineChars="200"/>
        <w:jc w:val="left"/>
        <w:rPr>
          <w:rFonts w:ascii="宋体" w:hAnsi="宋体" w:eastAsia="宋体" w:cs="宋体"/>
          <w:b/>
          <w:bCs/>
          <w:color w:val="auto"/>
          <w:sz w:val="21"/>
          <w:szCs w:val="21"/>
        </w:rPr>
      </w:pPr>
      <w:r>
        <w:rPr>
          <w:rFonts w:hint="eastAsia" w:ascii="宋体" w:hAnsi="宋体" w:eastAsia="宋体" w:cs="宋体"/>
          <w:b/>
          <w:bCs/>
          <w:color w:val="auto"/>
          <w:sz w:val="21"/>
          <w:szCs w:val="21"/>
        </w:rPr>
        <w:t>在货物采购项目中，供应商提供的货物既有中小企业制造货物，也有大型企业制造货物的，不享受本办法规定的中小企业扶持政策。</w:t>
      </w:r>
    </w:p>
    <w:p w14:paraId="4775C742">
      <w:pPr>
        <w:widowControl/>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以联合体形式参加政府采购活动，联合体各方均为中小企业的，联合体视同中小企业。其中，联合体各方均为小微企业的，联合体视同小微企业。</w:t>
      </w:r>
    </w:p>
    <w:p w14:paraId="3B74F4E3">
      <w:pPr>
        <w:widowControl/>
        <w:spacing w:before="240" w:after="240"/>
        <w:ind w:firstLine="422" w:firstLineChars="200"/>
        <w:jc w:val="left"/>
        <w:rPr>
          <w:rFonts w:ascii="宋体" w:hAnsi="宋体" w:eastAsia="宋体" w:cs="宋体"/>
          <w:b/>
          <w:bCs/>
          <w:color w:val="auto"/>
          <w:sz w:val="21"/>
          <w:szCs w:val="21"/>
        </w:rPr>
      </w:pPr>
      <w:bookmarkStart w:id="343" w:name="_Toc31075"/>
      <w:bookmarkStart w:id="344" w:name="_Toc21917"/>
      <w:bookmarkStart w:id="345" w:name="_Toc27379"/>
      <w:bookmarkStart w:id="346" w:name="_Toc15434"/>
      <w:bookmarkStart w:id="347" w:name="_Toc29759"/>
      <w:bookmarkStart w:id="348" w:name="_Toc14044"/>
      <w:r>
        <w:rPr>
          <w:rFonts w:hint="eastAsia" w:ascii="宋体" w:hAnsi="宋体" w:eastAsia="宋体" w:cs="宋体"/>
          <w:b/>
          <w:bCs/>
          <w:color w:val="auto"/>
          <w:sz w:val="21"/>
          <w:szCs w:val="21"/>
        </w:rPr>
        <w:t>三、采购项目涉及中小企业采购的部分内容</w:t>
      </w:r>
      <w:bookmarkEnd w:id="343"/>
      <w:bookmarkEnd w:id="344"/>
      <w:bookmarkEnd w:id="345"/>
      <w:bookmarkEnd w:id="346"/>
      <w:bookmarkEnd w:id="347"/>
      <w:bookmarkEnd w:id="348"/>
    </w:p>
    <w:p w14:paraId="55A91415">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《政府采购促进中小企业发展管理办法》第十二条  采购项目涉及中小企业采购的，采购文件应当明确以下内容：</w:t>
      </w:r>
    </w:p>
    <w:p w14:paraId="5CA813A5">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（一）预留份额的采购项目或者采购包，明确该项目或相关采购包专门面向中小企业采购，以及相关标的及预算金额；</w:t>
      </w:r>
    </w:p>
    <w:p w14:paraId="58080029">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（二）要求以联合体形式参加或者合同分包的，明确联合协议或者分包意向协议中中小企业合同金额应当达到的比例，并作为供应商资格条件；</w:t>
      </w:r>
    </w:p>
    <w:p w14:paraId="057FF8A9">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 xml:space="preserve">（三）非预留份额的采购项目或者采购包，明确有关价格扣除比例或者价格分加分比例； </w:t>
      </w:r>
    </w:p>
    <w:p w14:paraId="4AE07C03">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（四）规定依据本办法规定享受扶持政策获得政府采购合同的，小微企业不得将合同分包给大中型企业，中型企业不得将合同分包给大型企业；</w:t>
      </w:r>
    </w:p>
    <w:p w14:paraId="2E795C25">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（五）采购人认为具备相关条件的，明确对中小企业在资金支付期限、预付款比例等方面的优惠措施；</w:t>
      </w:r>
    </w:p>
    <w:p w14:paraId="40A4E8BF">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（六）明确采购标的对应的中小企业划分标准所属行业；</w:t>
      </w:r>
    </w:p>
    <w:p w14:paraId="4AA6ACAD">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（七）法律法规和省级以上人民政府财政部门规定的其他事项。</w:t>
      </w:r>
    </w:p>
    <w:p w14:paraId="625A7AC2">
      <w:pPr>
        <w:widowControl/>
        <w:spacing w:line="336" w:lineRule="auto"/>
        <w:ind w:firstLine="422" w:firstLineChars="200"/>
        <w:jc w:val="left"/>
        <w:rPr>
          <w:rFonts w:ascii="宋体" w:hAnsi="宋体" w:eastAsia="宋体" w:cs="宋体"/>
          <w:b/>
          <w:bCs/>
          <w:color w:val="auto"/>
          <w:sz w:val="21"/>
          <w:szCs w:val="21"/>
        </w:rPr>
      </w:pPr>
      <w:bookmarkStart w:id="349" w:name="_Toc13243"/>
      <w:bookmarkStart w:id="350" w:name="_Toc16467"/>
      <w:r>
        <w:rPr>
          <w:rFonts w:hint="eastAsia" w:ascii="宋体" w:hAnsi="宋体" w:eastAsia="宋体" w:cs="宋体"/>
          <w:b/>
          <w:bCs/>
          <w:color w:val="auto"/>
          <w:sz w:val="21"/>
          <w:szCs w:val="21"/>
        </w:rPr>
        <w:t>四、投标供应商享受小微企业价格折扣应提供以下材料</w:t>
      </w:r>
      <w:bookmarkEnd w:id="349"/>
      <w:bookmarkEnd w:id="350"/>
    </w:p>
    <w:p w14:paraId="52F5826D">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《中小企业声明函》（加盖投标供应商公章，格式见附件）</w:t>
      </w:r>
      <w:r>
        <w:rPr>
          <w:rFonts w:hint="eastAsia" w:ascii="宋体" w:hAnsi="宋体" w:eastAsia="宋体" w:cs="宋体"/>
          <w:b/>
          <w:bCs/>
          <w:color w:val="auto"/>
          <w:sz w:val="21"/>
          <w:szCs w:val="21"/>
        </w:rPr>
        <w:t>（放在报价文件中，不提供的不享受价格折扣）</w:t>
      </w:r>
    </w:p>
    <w:p w14:paraId="13DF2586">
      <w:pPr>
        <w:widowControl/>
        <w:spacing w:line="336" w:lineRule="auto"/>
        <w:ind w:firstLine="422" w:firstLineChars="200"/>
        <w:jc w:val="left"/>
        <w:rPr>
          <w:rFonts w:ascii="宋体" w:hAnsi="宋体" w:eastAsia="宋体" w:cs="宋体"/>
          <w:b/>
          <w:bCs/>
          <w:color w:val="auto"/>
          <w:sz w:val="21"/>
          <w:szCs w:val="21"/>
        </w:rPr>
      </w:pPr>
      <w:bookmarkStart w:id="351" w:name="_Toc21045"/>
      <w:bookmarkStart w:id="352" w:name="_Toc21336"/>
      <w:r>
        <w:rPr>
          <w:rFonts w:hint="eastAsia" w:ascii="宋体" w:hAnsi="宋体" w:eastAsia="宋体" w:cs="宋体"/>
          <w:b/>
          <w:bCs/>
          <w:color w:val="auto"/>
          <w:sz w:val="21"/>
          <w:szCs w:val="21"/>
        </w:rPr>
        <w:t>五、享受监狱企业价格折扣应提供以下材料</w:t>
      </w:r>
      <w:bookmarkEnd w:id="351"/>
      <w:bookmarkEnd w:id="352"/>
    </w:p>
    <w:p w14:paraId="3B2960B4">
      <w:pPr>
        <w:widowControl/>
        <w:spacing w:line="336" w:lineRule="auto"/>
        <w:ind w:firstLine="420" w:firstLineChars="200"/>
        <w:jc w:val="left"/>
        <w:rPr>
          <w:rFonts w:ascii="宋体" w:hAnsi="宋体" w:eastAsia="宋体" w:cs="宋体"/>
          <w:b/>
          <w:bCs/>
          <w:color w:val="auto"/>
          <w:sz w:val="21"/>
          <w:szCs w:val="21"/>
        </w:rPr>
      </w:pPr>
      <w:r>
        <w:rPr>
          <w:rFonts w:hint="eastAsia" w:ascii="宋体" w:hAnsi="宋体" w:eastAsia="宋体" w:cs="宋体"/>
          <w:color w:val="auto"/>
          <w:sz w:val="21"/>
          <w:szCs w:val="21"/>
        </w:rPr>
        <w:t>监狱企业参加政府采购活动时，应当提供由省级及以上监狱管理局、戒毒管理局(含新疆生产建设兵团）出具的属于监狱企业的文件（扫描件加盖投标供应商公章）。</w:t>
      </w:r>
      <w:r>
        <w:rPr>
          <w:rFonts w:hint="eastAsia" w:ascii="宋体" w:hAnsi="宋体" w:eastAsia="宋体" w:cs="宋体"/>
          <w:b/>
          <w:bCs/>
          <w:color w:val="auto"/>
          <w:sz w:val="21"/>
          <w:szCs w:val="21"/>
        </w:rPr>
        <w:t>（放在报价文件中，不提供的不享受价格折扣）</w:t>
      </w:r>
    </w:p>
    <w:p w14:paraId="7D6F2780">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在政府采购活动中，监狱企业视同小型、微型企业，享受评审中价格扣除政策。</w:t>
      </w:r>
    </w:p>
    <w:p w14:paraId="0F943B63">
      <w:pPr>
        <w:widowControl/>
        <w:spacing w:line="336" w:lineRule="auto"/>
        <w:ind w:firstLine="422" w:firstLineChars="200"/>
        <w:jc w:val="left"/>
        <w:rPr>
          <w:rFonts w:ascii="宋体" w:hAnsi="宋体" w:eastAsia="宋体" w:cs="宋体"/>
          <w:b/>
          <w:bCs/>
          <w:color w:val="auto"/>
          <w:sz w:val="21"/>
          <w:szCs w:val="21"/>
        </w:rPr>
      </w:pPr>
      <w:bookmarkStart w:id="353" w:name="_Toc17973"/>
      <w:bookmarkStart w:id="354" w:name="_Toc10187"/>
      <w:r>
        <w:rPr>
          <w:rFonts w:hint="eastAsia" w:ascii="宋体" w:hAnsi="宋体" w:eastAsia="宋体" w:cs="宋体"/>
          <w:b/>
          <w:bCs/>
          <w:color w:val="auto"/>
          <w:sz w:val="21"/>
          <w:szCs w:val="21"/>
        </w:rPr>
        <w:t>六、享受残疾人福利性单位价格折扣应提供以下材料</w:t>
      </w:r>
      <w:bookmarkEnd w:id="353"/>
      <w:bookmarkEnd w:id="354"/>
    </w:p>
    <w:p w14:paraId="25734867">
      <w:pPr>
        <w:widowControl/>
        <w:spacing w:line="336" w:lineRule="auto"/>
        <w:ind w:firstLine="420" w:firstLineChars="200"/>
        <w:jc w:val="left"/>
        <w:rPr>
          <w:rFonts w:ascii="宋体" w:hAnsi="宋体" w:eastAsia="宋体" w:cs="宋体"/>
          <w:b/>
          <w:bCs/>
          <w:color w:val="auto"/>
          <w:sz w:val="21"/>
          <w:szCs w:val="21"/>
        </w:rPr>
      </w:pPr>
      <w:r>
        <w:rPr>
          <w:rFonts w:hint="eastAsia" w:ascii="宋体" w:hAnsi="宋体" w:eastAsia="宋体" w:cs="宋体"/>
          <w:color w:val="auto"/>
          <w:sz w:val="21"/>
          <w:szCs w:val="21"/>
        </w:rPr>
        <w:t>残疾人福利性单位声明函（加盖投标供应商公章，格式见附件）</w:t>
      </w:r>
      <w:r>
        <w:rPr>
          <w:rFonts w:hint="eastAsia" w:ascii="宋体" w:hAnsi="宋体" w:eastAsia="宋体" w:cs="宋体"/>
          <w:b/>
          <w:bCs/>
          <w:color w:val="auto"/>
          <w:sz w:val="21"/>
          <w:szCs w:val="21"/>
        </w:rPr>
        <w:t>（放在报价文件中，不提供的不享受价格折扣）</w:t>
      </w:r>
    </w:p>
    <w:p w14:paraId="3BE19D1E">
      <w:pPr>
        <w:widowControl/>
        <w:spacing w:line="336"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在政府采购活动中，残疾人福利性单位视同小型、微型企业，享受评审中价格扣除政策。</w:t>
      </w:r>
    </w:p>
    <w:p w14:paraId="75F9F80F">
      <w:pPr>
        <w:rPr>
          <w:rFonts w:hint="eastAsia" w:ascii="宋体" w:hAnsi="宋体" w:eastAsia="宋体" w:cs="宋体"/>
          <w:b/>
          <w:bCs/>
          <w:color w:val="auto"/>
          <w:kern w:val="44"/>
          <w:sz w:val="21"/>
          <w:szCs w:val="21"/>
        </w:rPr>
      </w:pPr>
      <w:r>
        <w:rPr>
          <w:rFonts w:hint="eastAsia" w:ascii="宋体" w:hAnsi="宋体" w:eastAsia="宋体" w:cs="宋体"/>
          <w:color w:val="auto"/>
          <w:sz w:val="21"/>
          <w:szCs w:val="21"/>
        </w:rPr>
        <w:br w:type="page"/>
      </w:r>
      <w:bookmarkEnd w:id="334"/>
      <w:bookmarkEnd w:id="335"/>
      <w:bookmarkEnd w:id="336"/>
      <w:bookmarkStart w:id="355" w:name="_Toc4609"/>
      <w:bookmarkStart w:id="356" w:name="_Toc32534"/>
      <w:bookmarkStart w:id="357" w:name="_Toc7588"/>
    </w:p>
    <w:p w14:paraId="0024B958">
      <w:pPr>
        <w:numPr>
          <w:ilvl w:val="0"/>
          <w:numId w:val="0"/>
        </w:numPr>
        <w:jc w:val="center"/>
        <w:outlineLvl w:val="0"/>
        <w:rPr>
          <w:rFonts w:hint="eastAsia" w:hAnsi="宋体"/>
          <w:b/>
          <w:color w:val="auto"/>
          <w:sz w:val="21"/>
          <w:szCs w:val="21"/>
          <w:highlight w:val="none"/>
        </w:rPr>
      </w:pPr>
      <w:bookmarkStart w:id="358" w:name="_Toc31110"/>
      <w:r>
        <w:rPr>
          <w:rFonts w:hint="eastAsia" w:hAnsi="宋体"/>
          <w:b/>
          <w:color w:val="auto"/>
          <w:sz w:val="21"/>
          <w:szCs w:val="21"/>
          <w:highlight w:val="none"/>
        </w:rPr>
        <w:t>第</w:t>
      </w:r>
      <w:r>
        <w:rPr>
          <w:rFonts w:hint="eastAsia" w:hAnsi="宋体"/>
          <w:b/>
          <w:color w:val="auto"/>
          <w:sz w:val="21"/>
          <w:szCs w:val="21"/>
          <w:highlight w:val="none"/>
          <w:lang w:eastAsia="zh-CN"/>
        </w:rPr>
        <w:t>六</w:t>
      </w:r>
      <w:r>
        <w:rPr>
          <w:rFonts w:hint="eastAsia" w:hAnsi="宋体"/>
          <w:b/>
          <w:color w:val="auto"/>
          <w:sz w:val="21"/>
          <w:szCs w:val="21"/>
          <w:highlight w:val="none"/>
        </w:rPr>
        <w:t xml:space="preserve">章  </w:t>
      </w:r>
      <w:bookmarkEnd w:id="358"/>
      <w:r>
        <w:rPr>
          <w:rFonts w:hint="eastAsia" w:hAnsi="宋体"/>
          <w:b/>
          <w:color w:val="auto"/>
          <w:sz w:val="21"/>
          <w:szCs w:val="21"/>
          <w:highlight w:val="none"/>
        </w:rPr>
        <w:t>枯死树清理除治合同</w:t>
      </w:r>
    </w:p>
    <w:p w14:paraId="1993C4D3">
      <w:pPr>
        <w:pStyle w:val="43"/>
        <w:numPr>
          <w:ilvl w:val="0"/>
          <w:numId w:val="0"/>
        </w:numPr>
        <w:jc w:val="center"/>
        <w:rPr>
          <w:color w:val="auto"/>
          <w:sz w:val="21"/>
          <w:szCs w:val="21"/>
          <w:highlight w:val="none"/>
        </w:rPr>
      </w:pPr>
      <w:r>
        <w:rPr>
          <w:rFonts w:hint="eastAsia" w:hAnsi="宋体"/>
          <w:color w:val="auto"/>
          <w:sz w:val="21"/>
          <w:szCs w:val="21"/>
          <w:highlight w:val="none"/>
          <w:shd w:val="pct10" w:color="auto" w:fill="FFFFFF"/>
        </w:rPr>
        <w:t>（此稿为合同样本，最终定稿待双方协商后商定）</w:t>
      </w:r>
    </w:p>
    <w:p w14:paraId="1ED2AEDB">
      <w:pPr>
        <w:pStyle w:val="44"/>
        <w:keepNext w:val="0"/>
        <w:keepLines w:val="0"/>
        <w:pageBreakBefore w:val="0"/>
        <w:widowControl w:val="0"/>
        <w:tabs>
          <w:tab w:val="left" w:leader="dot" w:pos="4964"/>
        </w:tabs>
        <w:kinsoku/>
        <w:wordWrap/>
        <w:overflowPunct/>
        <w:topLinePunct w:val="0"/>
        <w:autoSpaceDE/>
        <w:autoSpaceDN/>
        <w:bidi w:val="0"/>
        <w:adjustRightInd/>
        <w:snapToGrid/>
        <w:spacing w:line="480" w:lineRule="exact"/>
        <w:ind w:left="0" w:leftChars="0" w:firstLine="420" w:firstLineChars="200"/>
        <w:jc w:val="both"/>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甲方（以下简称甲方）：</w:t>
      </w:r>
      <w:r>
        <w:rPr>
          <w:rFonts w:hint="eastAsia" w:ascii="宋体" w:hAnsi="宋体" w:eastAsia="宋体" w:cs="宋体"/>
          <w:color w:val="auto"/>
          <w:kern w:val="0"/>
          <w:sz w:val="21"/>
          <w:szCs w:val="21"/>
          <w:highlight w:val="none"/>
          <w:u w:val="single"/>
          <w:lang w:val="en-US" w:eastAsia="zh-CN"/>
        </w:rPr>
        <w:t xml:space="preserve">        </w:t>
      </w:r>
      <w:r>
        <w:rPr>
          <w:rFonts w:hint="eastAsia" w:cs="宋体"/>
          <w:color w:val="auto"/>
          <w:kern w:val="0"/>
          <w:sz w:val="21"/>
          <w:szCs w:val="21"/>
          <w:highlight w:val="none"/>
          <w:u w:val="single"/>
          <w:lang w:val="en-US" w:eastAsia="zh-CN"/>
        </w:rPr>
        <w:t xml:space="preserve">                        </w:t>
      </w:r>
    </w:p>
    <w:p w14:paraId="4EA411A1">
      <w:pPr>
        <w:pStyle w:val="44"/>
        <w:keepNext w:val="0"/>
        <w:keepLines w:val="0"/>
        <w:pageBreakBefore w:val="0"/>
        <w:widowControl w:val="0"/>
        <w:tabs>
          <w:tab w:val="left" w:leader="dot" w:pos="4964"/>
        </w:tabs>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0"/>
          <w:sz w:val="21"/>
          <w:szCs w:val="21"/>
          <w:highlight w:val="none"/>
          <w:u w:val="double" w:color="000000"/>
        </w:rPr>
      </w:pPr>
      <w:r>
        <w:rPr>
          <w:rFonts w:hint="eastAsia" w:ascii="宋体" w:hAnsi="宋体" w:eastAsia="宋体" w:cs="宋体"/>
          <w:color w:val="auto"/>
          <w:kern w:val="0"/>
          <w:sz w:val="21"/>
          <w:szCs w:val="21"/>
          <w:highlight w:val="none"/>
        </w:rPr>
        <w:t>乙方（以下简称乙方）：</w:t>
      </w:r>
      <w:r>
        <w:rPr>
          <w:rFonts w:hint="eastAsia" w:ascii="宋体" w:hAnsi="宋体" w:eastAsia="宋体" w:cs="宋体"/>
          <w:color w:val="auto"/>
          <w:kern w:val="0"/>
          <w:sz w:val="21"/>
          <w:szCs w:val="21"/>
          <w:highlight w:val="none"/>
          <w:u w:val="single" w:color="000000"/>
        </w:rPr>
        <w:t xml:space="preserve"> </w:t>
      </w:r>
      <w:r>
        <w:rPr>
          <w:rFonts w:hint="eastAsia" w:ascii="宋体" w:hAnsi="宋体" w:eastAsia="宋体" w:cs="宋体"/>
          <w:color w:val="auto"/>
          <w:kern w:val="0"/>
          <w:sz w:val="21"/>
          <w:szCs w:val="21"/>
          <w:highlight w:val="none"/>
          <w:u w:val="single" w:color="000000"/>
          <w:lang w:val="en-US" w:eastAsia="zh-CN"/>
        </w:rPr>
        <w:t xml:space="preserve">  </w:t>
      </w:r>
      <w:r>
        <w:rPr>
          <w:rFonts w:hint="eastAsia" w:ascii="宋体" w:hAnsi="宋体" w:eastAsia="宋体" w:cs="宋体"/>
          <w:color w:val="auto"/>
          <w:kern w:val="0"/>
          <w:sz w:val="21"/>
          <w:szCs w:val="21"/>
          <w:highlight w:val="none"/>
          <w:u w:val="single" w:color="000000"/>
        </w:rPr>
        <w:t xml:space="preserve">                             </w:t>
      </w:r>
    </w:p>
    <w:p w14:paraId="3026C26B">
      <w:pPr>
        <w:pStyle w:val="44"/>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为有效开展松材线虫病防治工作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根据《中华人民共和国</w:t>
      </w:r>
      <w:r>
        <w:rPr>
          <w:rFonts w:hint="eastAsia" w:cs="宋体"/>
          <w:color w:val="auto"/>
          <w:kern w:val="0"/>
          <w:sz w:val="21"/>
          <w:szCs w:val="21"/>
          <w:highlight w:val="none"/>
          <w:lang w:eastAsia="zh-CN"/>
        </w:rPr>
        <w:t>民法典</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lang w:val="en-US" w:eastAsia="zh-CN"/>
        </w:rPr>
        <w:t>《松材线虫病疫区和疫木管理办法》（林生发〔2018〕117 号）、《松材线虫病生态灾害督办追责办法》（林生发〔2019〕55 号）、《国家林业和草原局关于科学防控松材线虫病疫情的指导意见》（林生发〔2021〕30号）、《松材线虫病防治技术方案（2022 年版）》（林生发〔2022〕94 号）、《浙江省松材线虫病防治条例》《浙江省林业局关于印发&lt;浙江省松材线虫病疫情防控五年攻坚行动计划（2021—2025 年）&gt;的通知》（浙林绿〔2021〕77 号）、《磐安县 2024-2025 年度松材线虫病防控实施方案》等有关法律法规和文件规定</w:t>
      </w:r>
      <w:r>
        <w:rPr>
          <w:rFonts w:hint="eastAsia" w:ascii="宋体" w:hAnsi="宋体" w:eastAsia="宋体" w:cs="宋体"/>
          <w:color w:val="auto"/>
          <w:kern w:val="0"/>
          <w:sz w:val="21"/>
          <w:szCs w:val="21"/>
          <w:highlight w:val="none"/>
        </w:rPr>
        <w:t>，双方秉持自愿平等、公平守信原则，就松材线虫病枯死树除治工程施工有关事项协商一致，订立本合同，具体内容如下：</w:t>
      </w:r>
    </w:p>
    <w:p w14:paraId="551AEEB1">
      <w:pPr>
        <w:pStyle w:val="44"/>
        <w:keepNext w:val="0"/>
        <w:keepLines w:val="0"/>
        <w:pageBreakBefore w:val="0"/>
        <w:widowControl w:val="0"/>
        <w:tabs>
          <w:tab w:val="left" w:pos="1225"/>
        </w:tabs>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一、</w:t>
      </w:r>
      <w:r>
        <w:rPr>
          <w:rFonts w:hint="eastAsia" w:cs="宋体"/>
          <w:b/>
          <w:color w:val="auto"/>
          <w:kern w:val="0"/>
          <w:sz w:val="21"/>
          <w:szCs w:val="21"/>
          <w:highlight w:val="none"/>
          <w:lang w:eastAsia="zh-CN"/>
        </w:rPr>
        <w:t>招标范围</w:t>
      </w:r>
    </w:p>
    <w:p w14:paraId="65C28EA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本项目范围内容：业主指定范围内容。</w:t>
      </w:r>
    </w:p>
    <w:p w14:paraId="358108ED">
      <w:p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二、清理处置要求</w:t>
      </w:r>
    </w:p>
    <w:p w14:paraId="7BF8543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1、按照《松材线虫病枯死木清理防治技术规程及评分标准》清理防治技术标准；</w:t>
      </w:r>
    </w:p>
    <w:p w14:paraId="2A8BC4A0">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（1）遗留伐桩高度（山体上坡侧测量）不得超过 5 厘米； </w:t>
      </w:r>
    </w:p>
    <w:p w14:paraId="1231D9A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（2）松疫木和 1 厘米以上松疫木枝桠必须全部清理下山，难以清理下山的就地彻底销毁； </w:t>
      </w:r>
    </w:p>
    <w:p w14:paraId="798D303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（3）采伐的每株病枯死木按要求拍照上传省“数字森防”系统，每株上传不少于2张清理照片，包含“清理前立木+伐桩测量照片”； </w:t>
      </w:r>
    </w:p>
    <w:p w14:paraId="0BC67846">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（4）严禁违法违规砍伐活松树；</w:t>
      </w:r>
    </w:p>
    <w:p w14:paraId="122D46D7">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（5）建设立台账。</w:t>
      </w:r>
    </w:p>
    <w:p w14:paraId="0BE12DCF">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2、规范除害处理</w:t>
      </w:r>
    </w:p>
    <w:p w14:paraId="0FF14C6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除治队必须取得病虫害除治采伐许可证，按照省疫木除治“510·清干净”技术标准进行疫木清理。确因地理条件受限，无法按规定的技术标准执行的，应做好登记并报告属地乡镇（街道），按同意后的方式进行处理，不得擅自变更除治方式。下山疫木统一按就近原则拉到疫木加工厂进行集中处置，严防长途运输造成疫情扩散。</w:t>
      </w:r>
    </w:p>
    <w:p w14:paraId="480BC28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理采伐的疫木统一运至疫木定点处理企业集中处置。各除治队伍要按照合同约定，运用“数字森防”系统的运输管理模块，每车疫木需拍摄起运前和到定点加工厂过磅及卸车后空车三张现场照片备查。若发现有历年疫木、非法采伐活松及其他树木进厂的应按合同约定扣减相应的重量。疫木定点处理企业要按照规范要求做好疫木全过程无害化处置（旋切、粉碎等），并在除治安全期内完成疫木无害化处置工作。</w:t>
      </w:r>
    </w:p>
    <w:p w14:paraId="29EE7370">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（2）除治队需按规定时间节点全面完成除治任务，按时完成数据上传。定期汇报除治进度、除治株数、除治吨数。自觉接受属地乡镇和林业主管部门监管。</w:t>
      </w:r>
    </w:p>
    <w:p w14:paraId="0A4D9861">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3、严格质量监管</w:t>
      </w:r>
    </w:p>
    <w:p w14:paraId="4A4DC258">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（1）严格按照省 510 技术规范要求执行清理并拍照上传数字森防，及时整改检查过程中发现整株枯死木未清理、伐桩超高、枝桠遗留、未按要求上传数字森防等问题。</w:t>
      </w:r>
    </w:p>
    <w:p w14:paraId="583A840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（2）除治队需做好下山疫木监管，严防疫木流失。</w:t>
      </w:r>
    </w:p>
    <w:p w14:paraId="28A6183A">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（3）清理过磅数量以乡镇监管人员、疫木加工厂和除治队人员进行三方签字确认，所有下山疫木必须及时运往定点疫木处置厂，当日做好登记台账。</w:t>
      </w:r>
    </w:p>
    <w:p w14:paraId="76C4D7BF">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（4）存在砍伐活松树及其他林木的，去除活树重量后，扣除2000 元/次。</w:t>
      </w:r>
    </w:p>
    <w:p w14:paraId="382EB0CF">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（5）有上传数据造假行为的，扣除 200 元/条数据。</w:t>
      </w:r>
    </w:p>
    <w:p w14:paraId="2EB598F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（6）违规开展除治工作造成信访投诉或引发较大群众矛盾，得不到妥善解决的，扣除2000元/次。</w:t>
      </w:r>
    </w:p>
    <w:p w14:paraId="06E541D6">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（7）因除治进度慢或除治质量差被县级督查的，扣除200元/处，省、市督查通报的扣除2000 元/处。</w:t>
      </w:r>
    </w:p>
    <w:p w14:paraId="5CA119B7">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（8）如遇情节严重的按《磐安县松材线虫病防治“黑名单”管理办法》列入“黑名单”。</w:t>
      </w:r>
    </w:p>
    <w:p w14:paraId="7670C89A">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4、疫木运输</w:t>
      </w:r>
    </w:p>
    <w:p w14:paraId="6B104075">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（1）每车疫木运输前，需做好数字森防上传调运单及疫木进厂前后拍照、过磅重量拍照。</w:t>
      </w:r>
    </w:p>
    <w:p w14:paraId="6B990F7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（2）疫木加工厂保存好每车疫木过磅监控视频、进出厂监控视频以及卸车监控视频。并将备份送县森防站备案。</w:t>
      </w:r>
    </w:p>
    <w:p w14:paraId="759B0FC3">
      <w:p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三、疫木清理验收</w:t>
      </w:r>
    </w:p>
    <w:p w14:paraId="17E469A1">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1、根据《磐安县松材线虫病枯死木清理除治验收操作细</w:t>
      </w:r>
      <w:r>
        <w:rPr>
          <w:rFonts w:hint="default" w:ascii="宋体" w:hAnsi="宋体" w:eastAsia="宋体" w:cs="宋体"/>
          <w:color w:val="auto"/>
          <w:sz w:val="21"/>
          <w:szCs w:val="21"/>
          <w:lang w:val="en-US" w:eastAsia="zh-CN"/>
        </w:rPr>
        <w:t>则及补助资金计算规定</w:t>
      </w:r>
      <w:r>
        <w:rPr>
          <w:rFonts w:hint="eastAsia" w:ascii="宋体" w:hAnsi="宋体" w:eastAsia="宋体" w:cs="宋体"/>
          <w:color w:val="auto"/>
          <w:sz w:val="21"/>
          <w:szCs w:val="21"/>
          <w:lang w:val="en-US" w:eastAsia="zh-CN"/>
        </w:rPr>
        <w:t>》进行验收，验收范围包含（但不仅限于）：</w:t>
      </w:r>
    </w:p>
    <w:p w14:paraId="75C41B45">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（1）清理合同范围有枯死松木分布的全部小班所有死树是否完成全面清理；</w:t>
      </w:r>
    </w:p>
    <w:p w14:paraId="4C9EF17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（2）范围内有死松木分布的所有小班的清理质量（包括普查死树、后续死树、</w:t>
      </w:r>
      <w:r>
        <w:rPr>
          <w:rFonts w:hint="eastAsia" w:ascii="宋体" w:hAnsi="宋体" w:eastAsia="宋体" w:cs="宋体"/>
          <w:color w:val="FF0000"/>
          <w:sz w:val="21"/>
          <w:szCs w:val="21"/>
          <w:lang w:val="en-US" w:eastAsia="zh-CN"/>
        </w:rPr>
        <w:t>农户滥伐遗留等</w:t>
      </w:r>
      <w:r>
        <w:rPr>
          <w:rFonts w:hint="eastAsia" w:ascii="宋体" w:hAnsi="宋体" w:eastAsia="宋体" w:cs="宋体"/>
          <w:color w:val="auto"/>
          <w:sz w:val="21"/>
          <w:szCs w:val="21"/>
          <w:lang w:val="en-US" w:eastAsia="zh-CN"/>
        </w:rPr>
        <w:t>）；</w:t>
      </w:r>
    </w:p>
    <w:p w14:paraId="0EC591E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（3）日常管理、疫木运输等是否按照规定执行；</w:t>
      </w:r>
    </w:p>
    <w:p w14:paraId="233A2B8B">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（4）台账资料是否完整齐全。</w:t>
      </w:r>
    </w:p>
    <w:p w14:paraId="35BBA57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乡级验收以山场小班为单位，按照“清理一片、验收一片、合格一片、再继续一片”的原则开展清理山场小班验收。每一个山场小班除治完毕后，由除治队向除治（清理）实施单位提出验收申请，各除治实施单位组织有关人员对照《磐安县松材线虫病防治疫木清理检查验收评分表》逐个进行初级验收，验收不合格的的小班由除治队整改后再另行验收（验收不合格的小班复检的验收费用 </w:t>
      </w:r>
      <w:r>
        <w:rPr>
          <w:rFonts w:hint="default" w:ascii="宋体" w:hAnsi="宋体" w:eastAsia="宋体" w:cs="宋体"/>
          <w:color w:val="auto"/>
          <w:sz w:val="21"/>
          <w:szCs w:val="21"/>
          <w:lang w:val="en-US" w:eastAsia="zh-CN"/>
        </w:rPr>
        <w:t xml:space="preserve">300 </w:t>
      </w:r>
      <w:r>
        <w:rPr>
          <w:rFonts w:hint="eastAsia" w:ascii="宋体" w:hAnsi="宋体" w:eastAsia="宋体" w:cs="宋体"/>
          <w:color w:val="auto"/>
          <w:sz w:val="21"/>
          <w:szCs w:val="21"/>
          <w:lang w:val="en-US" w:eastAsia="zh-CN"/>
        </w:rPr>
        <w:t>元</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小班由除治中标单位承担），验收合格再进行下一小班除治。各除治实施单位必须在集中处置期内对本辖区范围内所有山场除治小班验收合格后，再以书面形式报告县林业植物重大疫情防控办公室，并报送验收资料，进入县级验收环节。</w:t>
      </w:r>
    </w:p>
    <w:p w14:paraId="6591B052">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3、县级验收：县资规局委托第三方单位随机抽查各实施单位不少于8个小班，等级按最终检查小班数的平均得分划分，每个小班的初始分为100分。该除治主体抽查小班平均得分为 90（含）分以上评定合格等次，抽查小班平均得分 80（含）分-90（不含）分评定基本合格等次，抽查小班平均得分 80（不含）分以下评定不合格等次。验收为不合格等次或基本合格的除治主体，可以有一次申请整改验收的机会。除治单位应在确认等次后立即提出整改申请，此次整改时限为2周，逾期将以第一次验收结果为最终质量等级。（验收不合格的小班复检的验收费用 </w:t>
      </w:r>
      <w:r>
        <w:rPr>
          <w:rFonts w:hint="default" w:ascii="宋体" w:hAnsi="宋体" w:eastAsia="宋体" w:cs="宋体"/>
          <w:color w:val="auto"/>
          <w:sz w:val="21"/>
          <w:szCs w:val="21"/>
          <w:lang w:val="en-US" w:eastAsia="zh-CN"/>
        </w:rPr>
        <w:t xml:space="preserve">300 </w:t>
      </w:r>
      <w:r>
        <w:rPr>
          <w:rFonts w:hint="eastAsia" w:ascii="宋体" w:hAnsi="宋体" w:eastAsia="宋体" w:cs="宋体"/>
          <w:color w:val="auto"/>
          <w:sz w:val="21"/>
          <w:szCs w:val="21"/>
          <w:lang w:val="en-US" w:eastAsia="zh-CN"/>
        </w:rPr>
        <w:t>元</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小班由除治中标单位承担）。县森防站将结合两次验收结果确定最终质量等级，对存在问题，相关清理专业队必须无条件组织整改，否则可由各实施单位组织人员代为整改，整改费用由中标除治队承担。</w:t>
      </w:r>
    </w:p>
    <w:p w14:paraId="4B968431">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4、2025年5月-9月在全区范围内采取发现一株清理一株的方式开展病死松树“即现即清”工作，并由验收单位对该阶段清理效果跟踪验收。</w:t>
      </w:r>
    </w:p>
    <w:p w14:paraId="49F4B15C">
      <w:pPr>
        <w:numPr>
          <w:ilvl w:val="0"/>
          <w:numId w:val="2"/>
        </w:num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结算方式</w:t>
      </w:r>
    </w:p>
    <w:p w14:paraId="36648A3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1、按照《磐安县松材线虫病枯死木清理除治验收操作细则及补助资金计算规定》进行结算：</w:t>
      </w:r>
    </w:p>
    <w:p w14:paraId="409244F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（1）按年度进厂疫木重量（含枝桠材）核算年度疫木清理费用，历年疫木、非法采伐的活松木、工程项目合法审批采伐的活松木、火烧迹地等松木和其他树木不计入财政补助结算重量。 </w:t>
      </w:r>
    </w:p>
    <w:p w14:paraId="7448EA86">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（2）财政清理补助资金计算方式：年度疫木清理补助资金=核定年度疫木进厂数量*（每吨疫木合同除治价格-每吨疫木厂回收价格）--2024-2025 年疫木厂回收价格为 300 元/吨。</w:t>
      </w:r>
    </w:p>
    <w:p w14:paraId="6D10256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（3）年度疫木清理补助资金按规定分为两部分进行拨付，基本除治经费占比 70%，绩效考核经费占比 30%。（以合同价 700元/吨为例，其中 400 元为财政补助资金，400 元*70%=280元为基本除治经费，400元*30%=120 元为绩效考核经费）。</w:t>
      </w:r>
    </w:p>
    <w:p w14:paraId="16149053">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（4）疫木定点加工企业松树残值：本项资金按乙方清理下山疫木重量，由疫木定点加工企业支付，不受枯死松树清理验收质量等级影响，但须优先用于支付农民工工资。</w:t>
      </w:r>
    </w:p>
    <w:p w14:paraId="34264D12">
      <w:pPr>
        <w:numPr>
          <w:ilvl w:val="0"/>
          <w:numId w:val="2"/>
        </w:num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付款方式</w:t>
      </w:r>
    </w:p>
    <w:p w14:paraId="25E76C1A">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1、补助资金实行分期、分批拨付，最后结算制度。具体付款进度如下：</w:t>
      </w:r>
    </w:p>
    <w:p w14:paraId="421F5F7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（1）在合同生效以及具备实施条件后7个工作日内支付合同价的20%作为预付款（该预付款支付前供应商应向采购人提交银行、保险公司等金融机构出具同等额度的预付款保函）；</w:t>
      </w:r>
    </w:p>
    <w:p w14:paraId="341237E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（2）项目实施期间，如有上级部门拨款的，业主可根据除治工作量给予支付相应的款项。</w:t>
      </w:r>
    </w:p>
    <w:p w14:paraId="5E8C669A">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（3）经竣工验收通过后，基本清理经费和绩效考核经费在县级验收合格后</w:t>
      </w:r>
      <w:r>
        <w:rPr>
          <w:rFonts w:hint="eastAsia" w:ascii="宋体" w:hAnsi="宋体" w:eastAsia="宋体" w:cs="宋体"/>
          <w:color w:val="FF0000"/>
          <w:sz w:val="21"/>
          <w:szCs w:val="21"/>
          <w:lang w:val="en-US" w:eastAsia="zh-CN"/>
        </w:rPr>
        <w:t>按上级文件拨付文件支付</w:t>
      </w:r>
      <w:r>
        <w:rPr>
          <w:rFonts w:hint="eastAsia" w:ascii="宋体" w:hAnsi="宋体" w:eastAsia="宋体" w:cs="宋体"/>
          <w:color w:val="auto"/>
          <w:sz w:val="21"/>
          <w:szCs w:val="21"/>
          <w:lang w:val="en-US" w:eastAsia="zh-CN"/>
        </w:rPr>
        <w:t>，并退回履约保证金。</w:t>
      </w:r>
    </w:p>
    <w:p w14:paraId="2DA8B414">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在上述约定的每期付款前，供应商应向采购人开具每期付款同等金额的符合国家及当地税务规定的增值税发票。否则，由于供应商未能及时开具并提供发票而导致付款延误，采购人不承担责任。</w:t>
      </w:r>
    </w:p>
    <w:p w14:paraId="63C6A58C">
      <w:pPr>
        <w:numPr>
          <w:ilvl w:val="0"/>
          <w:numId w:val="2"/>
        </w:num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工期要求</w:t>
      </w:r>
    </w:p>
    <w:p w14:paraId="37947B59">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1、2025 年 1 月底前，完成本辖区病死树除治清理数量面积总任务的 80%以上，疫点拟拨除区域全面完成病死树木清理除治工作，对完成清理的小班地块及时组织力量进行乡级验收，并上报录入省“数字森防”系统。</w:t>
      </w:r>
    </w:p>
    <w:p w14:paraId="1D2A600D">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2、2025 年 3 月中旬前，完成本辖区面上病枯死木防治理，并对完成治理的小班地块及时组织力量进行乡级验收，并上报录入省“数字森防”系统，申请县级验收。</w:t>
      </w:r>
    </w:p>
    <w:p w14:paraId="4EA9603E">
      <w:pPr>
        <w:wordWrap w:val="0"/>
        <w:snapToGrid w:val="0"/>
        <w:spacing w:line="48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3、2025年4月中旬，完成县级验收工作。验收不合格的，于2025年4月底前完成整改；</w:t>
      </w:r>
    </w:p>
    <w:p w14:paraId="1089EBB0">
      <w:pPr>
        <w:pStyle w:val="44"/>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lang w:val="en-US" w:eastAsia="zh-CN"/>
        </w:rPr>
        <w:t>8、2025年6月-2025年9月，开展“即现即清”工作，对零星发生以及特殊情况需要处理的疫木进行清理并除害处理。</w:t>
      </w:r>
    </w:p>
    <w:p w14:paraId="0B7B60B8">
      <w:pPr>
        <w:numPr>
          <w:ilvl w:val="0"/>
          <w:numId w:val="2"/>
        </w:num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其他事项</w:t>
      </w:r>
    </w:p>
    <w:p w14:paraId="12B6C1EB">
      <w:pPr>
        <w:pStyle w:val="44"/>
        <w:keepNext w:val="0"/>
        <w:keepLines w:val="0"/>
        <w:pageBreakBefore w:val="0"/>
        <w:widowControl w:val="0"/>
        <w:numPr>
          <w:ilvl w:val="0"/>
          <w:numId w:val="0"/>
        </w:numPr>
        <w:tabs>
          <w:tab w:val="left" w:pos="1024"/>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1.</w:t>
      </w:r>
      <w:r>
        <w:rPr>
          <w:rFonts w:hint="eastAsia" w:ascii="宋体" w:hAnsi="宋体" w:eastAsia="宋体" w:cs="宋体"/>
          <w:color w:val="auto"/>
          <w:kern w:val="0"/>
          <w:sz w:val="21"/>
          <w:szCs w:val="21"/>
          <w:highlight w:val="none"/>
        </w:rPr>
        <w:t>甲方应维护乙方合法的权利，及时支付合同约定的款项。</w:t>
      </w:r>
    </w:p>
    <w:p w14:paraId="60118D56">
      <w:pPr>
        <w:pStyle w:val="44"/>
        <w:keepNext w:val="0"/>
        <w:keepLines w:val="0"/>
        <w:pageBreakBefore w:val="0"/>
        <w:widowControl w:val="0"/>
        <w:numPr>
          <w:ilvl w:val="0"/>
          <w:numId w:val="0"/>
        </w:numPr>
        <w:tabs>
          <w:tab w:val="left" w:pos="1017"/>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2.</w:t>
      </w:r>
      <w:r>
        <w:rPr>
          <w:rFonts w:hint="eastAsia" w:ascii="宋体" w:hAnsi="宋体" w:eastAsia="宋体" w:cs="宋体"/>
          <w:color w:val="auto"/>
          <w:kern w:val="0"/>
          <w:sz w:val="21"/>
          <w:szCs w:val="21"/>
          <w:highlight w:val="none"/>
        </w:rPr>
        <w:t>甲方应为乙方开展除治工作提供相应条件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做好政策处理等工作，因甲方原因导致工期延误，由甲方承担相应</w:t>
      </w:r>
      <w:r>
        <w:rPr>
          <w:rFonts w:hint="eastAsia" w:ascii="宋体" w:hAnsi="宋体" w:eastAsia="宋体" w:cs="宋体"/>
          <w:color w:val="auto"/>
          <w:kern w:val="0"/>
          <w:sz w:val="21"/>
          <w:szCs w:val="21"/>
          <w:highlight w:val="none"/>
          <w:lang w:eastAsia="zh-CN"/>
        </w:rPr>
        <w:t>责任</w:t>
      </w:r>
      <w:r>
        <w:rPr>
          <w:rFonts w:hint="eastAsia" w:ascii="宋体" w:hAnsi="宋体" w:eastAsia="宋体" w:cs="宋体"/>
          <w:color w:val="auto"/>
          <w:kern w:val="0"/>
          <w:sz w:val="21"/>
          <w:szCs w:val="21"/>
          <w:highlight w:val="none"/>
        </w:rPr>
        <w:t>。</w:t>
      </w:r>
    </w:p>
    <w:p w14:paraId="446C5669">
      <w:pPr>
        <w:pStyle w:val="44"/>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3.</w:t>
      </w:r>
      <w:r>
        <w:rPr>
          <w:rFonts w:hint="eastAsia" w:ascii="宋体" w:hAnsi="宋体" w:eastAsia="宋体" w:cs="宋体"/>
          <w:color w:val="auto"/>
          <w:kern w:val="0"/>
          <w:sz w:val="21"/>
          <w:szCs w:val="21"/>
          <w:highlight w:val="none"/>
        </w:rPr>
        <w:t>乙方在履行合同义务期间，应遵守国家有关法律、法规，维护甲方的合法权益。确保安全生产，</w:t>
      </w:r>
      <w:r>
        <w:rPr>
          <w:rFonts w:hint="eastAsia" w:cs="宋体"/>
          <w:color w:val="auto"/>
          <w:kern w:val="0"/>
          <w:sz w:val="21"/>
          <w:szCs w:val="21"/>
          <w:highlight w:val="none"/>
          <w:lang w:val="en-US" w:eastAsia="zh-CN"/>
        </w:rPr>
        <w:t>如因乙方违规操作造成</w:t>
      </w:r>
      <w:r>
        <w:rPr>
          <w:rFonts w:hint="eastAsia" w:ascii="宋体" w:hAnsi="宋体" w:eastAsia="宋体" w:cs="宋体"/>
          <w:color w:val="auto"/>
          <w:kern w:val="0"/>
          <w:sz w:val="21"/>
          <w:szCs w:val="21"/>
          <w:highlight w:val="none"/>
        </w:rPr>
        <w:t>的一切后果由乙方自行承担。</w:t>
      </w:r>
    </w:p>
    <w:p w14:paraId="034F0521">
      <w:pPr>
        <w:pStyle w:val="44"/>
        <w:keepNext w:val="0"/>
        <w:keepLines w:val="0"/>
        <w:pageBreakBefore w:val="0"/>
        <w:widowControl w:val="0"/>
        <w:numPr>
          <w:ilvl w:val="0"/>
          <w:numId w:val="0"/>
        </w:numPr>
        <w:tabs>
          <w:tab w:val="left" w:pos="1032"/>
        </w:tabs>
        <w:kinsoku/>
        <w:wordWrap/>
        <w:overflowPunct/>
        <w:topLinePunct w:val="0"/>
        <w:autoSpaceDE/>
        <w:autoSpaceDN/>
        <w:bidi w:val="0"/>
        <w:adjustRightInd/>
        <w:snapToGrid/>
        <w:spacing w:line="480" w:lineRule="exact"/>
        <w:ind w:firstLine="420" w:firstLineChars="200"/>
        <w:jc w:val="both"/>
        <w:textAlignment w:val="auto"/>
        <w:rPr>
          <w:rFonts w:hint="default" w:cs="宋体"/>
          <w:color w:val="FF0000"/>
          <w:kern w:val="0"/>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4.</w:t>
      </w:r>
      <w:r>
        <w:rPr>
          <w:rFonts w:hint="eastAsia" w:ascii="宋体" w:hAnsi="宋体" w:eastAsia="宋体" w:cs="宋体"/>
          <w:color w:val="auto"/>
          <w:kern w:val="0"/>
          <w:sz w:val="21"/>
          <w:szCs w:val="21"/>
          <w:highlight w:val="none"/>
        </w:rPr>
        <w:t>乙方应</w:t>
      </w:r>
      <w:r>
        <w:rPr>
          <w:rFonts w:hint="eastAsia" w:ascii="宋体" w:hAnsi="宋体" w:eastAsia="宋体" w:cs="宋体"/>
          <w:color w:val="auto"/>
          <w:kern w:val="0"/>
          <w:sz w:val="21"/>
          <w:szCs w:val="21"/>
          <w:highlight w:val="none"/>
          <w:lang w:eastAsia="zh-CN"/>
        </w:rPr>
        <w:t>及时</w:t>
      </w:r>
      <w:r>
        <w:rPr>
          <w:rFonts w:hint="eastAsia" w:ascii="宋体" w:hAnsi="宋体" w:eastAsia="宋体" w:cs="宋体"/>
          <w:color w:val="auto"/>
          <w:kern w:val="0"/>
          <w:sz w:val="21"/>
          <w:szCs w:val="21"/>
          <w:highlight w:val="none"/>
        </w:rPr>
        <w:t>组建能够满足本工程服务需要的队伍，并为所有施工、</w:t>
      </w:r>
      <w:r>
        <w:rPr>
          <w:rFonts w:hint="eastAsia" w:ascii="宋体" w:hAnsi="宋体" w:eastAsia="宋体" w:cs="宋体"/>
          <w:color w:val="auto"/>
          <w:kern w:val="0"/>
          <w:sz w:val="21"/>
          <w:szCs w:val="21"/>
          <w:highlight w:val="none"/>
          <w:lang w:val="en-US" w:eastAsia="zh-CN"/>
        </w:rPr>
        <w:t>监管</w:t>
      </w:r>
      <w:r>
        <w:rPr>
          <w:rFonts w:hint="eastAsia" w:ascii="宋体" w:hAnsi="宋体" w:eastAsia="宋体" w:cs="宋体"/>
          <w:color w:val="auto"/>
          <w:kern w:val="0"/>
          <w:sz w:val="21"/>
          <w:szCs w:val="21"/>
          <w:highlight w:val="none"/>
        </w:rPr>
        <w:t>等除治工作相关人员</w:t>
      </w:r>
      <w:r>
        <w:rPr>
          <w:rFonts w:hint="eastAsia" w:ascii="宋体" w:hAnsi="宋体" w:eastAsia="宋体" w:cs="宋体"/>
          <w:color w:val="auto"/>
          <w:kern w:val="0"/>
          <w:sz w:val="21"/>
          <w:szCs w:val="21"/>
          <w:highlight w:val="none"/>
          <w:lang w:eastAsia="zh-CN"/>
        </w:rPr>
        <w:t>投保人身意外伤害保险或工伤保险</w:t>
      </w:r>
      <w:r>
        <w:rPr>
          <w:rFonts w:hint="eastAsia" w:cs="宋体"/>
          <w:color w:val="auto"/>
          <w:kern w:val="0"/>
          <w:sz w:val="21"/>
          <w:szCs w:val="21"/>
          <w:highlight w:val="none"/>
          <w:lang w:eastAsia="zh-CN"/>
        </w:rPr>
        <w:t>。</w:t>
      </w:r>
      <w:r>
        <w:rPr>
          <w:rFonts w:hint="eastAsia" w:cs="宋体"/>
          <w:color w:val="FF0000"/>
          <w:kern w:val="0"/>
          <w:sz w:val="21"/>
          <w:szCs w:val="21"/>
          <w:highlight w:val="none"/>
          <w:lang w:val="en-US" w:eastAsia="zh-CN"/>
        </w:rPr>
        <w:t>该项目作业范围广，作业地点分散，有较高危险性，</w:t>
      </w:r>
      <w:r>
        <w:rPr>
          <w:rFonts w:hint="eastAsia" w:cs="宋体"/>
          <w:color w:val="auto"/>
          <w:kern w:val="0"/>
          <w:sz w:val="21"/>
          <w:szCs w:val="21"/>
          <w:highlight w:val="none"/>
          <w:lang w:eastAsia="zh-CN"/>
        </w:rPr>
        <w:t>乙方的工作人员上岗前必须进行生产安全教育和作业培训，</w:t>
      </w:r>
      <w:r>
        <w:rPr>
          <w:rFonts w:hint="eastAsia" w:cs="宋体"/>
          <w:color w:val="FF0000"/>
          <w:kern w:val="0"/>
          <w:sz w:val="21"/>
          <w:szCs w:val="21"/>
          <w:highlight w:val="none"/>
          <w:lang w:val="en-US" w:eastAsia="zh-CN"/>
        </w:rPr>
        <w:t>对伐木作业、疫木下山作业、疫木装缷作业需明确各作业工种的安全作业规则，佩戴安全帽，并做好记录、留存影像资料佐证</w:t>
      </w:r>
      <w:r>
        <w:rPr>
          <w:rFonts w:hint="eastAsia" w:cs="宋体"/>
          <w:color w:val="FF0000"/>
          <w:kern w:val="0"/>
          <w:sz w:val="21"/>
          <w:szCs w:val="21"/>
          <w:highlight w:val="none"/>
          <w:lang w:eastAsia="zh-CN"/>
        </w:rPr>
        <w:t>。</w:t>
      </w:r>
      <w:r>
        <w:rPr>
          <w:rFonts w:hint="eastAsia" w:cs="宋体"/>
          <w:color w:val="FF0000"/>
          <w:kern w:val="0"/>
          <w:sz w:val="21"/>
          <w:szCs w:val="21"/>
          <w:highlight w:val="none"/>
          <w:lang w:val="en-US" w:eastAsia="zh-CN"/>
        </w:rPr>
        <w:t>对在作业点往返途中、作业期间发生的安全问题，一切由乙方自行承担。</w:t>
      </w:r>
    </w:p>
    <w:p w14:paraId="4898CB53">
      <w:pPr>
        <w:pStyle w:val="44"/>
        <w:keepNext w:val="0"/>
        <w:keepLines w:val="0"/>
        <w:pageBreakBefore w:val="0"/>
        <w:widowControl w:val="0"/>
        <w:numPr>
          <w:ilvl w:val="0"/>
          <w:numId w:val="0"/>
        </w:numPr>
        <w:tabs>
          <w:tab w:val="left" w:pos="1032"/>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乙方需按照工程管理的有关规定，交足履约保证金、农民工工资保证金等。乙方不得以任何理由，拖欠支付农民工工资。</w:t>
      </w:r>
    </w:p>
    <w:p w14:paraId="2B597EC2">
      <w:pPr>
        <w:pStyle w:val="44"/>
        <w:keepNext w:val="0"/>
        <w:keepLines w:val="0"/>
        <w:pageBreakBefore w:val="0"/>
        <w:widowControl w:val="0"/>
        <w:numPr>
          <w:ilvl w:val="0"/>
          <w:numId w:val="0"/>
        </w:numPr>
        <w:tabs>
          <w:tab w:val="left" w:pos="1017"/>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en-US"/>
        </w:rPr>
        <w:t>6</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w:t>
      </w:r>
      <w:r>
        <w:rPr>
          <w:rFonts w:hint="eastAsia" w:ascii="宋体" w:hAnsi="宋体" w:eastAsia="宋体" w:cs="宋体"/>
          <w:color w:val="auto"/>
          <w:kern w:val="0"/>
          <w:sz w:val="21"/>
          <w:szCs w:val="21"/>
          <w:highlight w:val="none"/>
        </w:rPr>
        <w:t>乙方应按照除治工作范围和内容，按时完成所有与松材线虫病除治相关工作，并定期向甲方汇报除治工作进展。</w:t>
      </w:r>
    </w:p>
    <w:p w14:paraId="4FE3E684">
      <w:pPr>
        <w:pStyle w:val="44"/>
        <w:keepNext w:val="0"/>
        <w:keepLines w:val="0"/>
        <w:pageBreakBefore w:val="0"/>
        <w:widowControl w:val="0"/>
        <w:numPr>
          <w:ilvl w:val="0"/>
          <w:numId w:val="0"/>
        </w:numPr>
        <w:tabs>
          <w:tab w:val="left" w:pos="1010"/>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en-US"/>
        </w:rPr>
        <w:t>7</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w:t>
      </w:r>
      <w:r>
        <w:rPr>
          <w:rFonts w:hint="eastAsia" w:ascii="宋体" w:hAnsi="宋体" w:eastAsia="宋体" w:cs="宋体"/>
          <w:color w:val="auto"/>
          <w:kern w:val="0"/>
          <w:sz w:val="21"/>
          <w:szCs w:val="21"/>
          <w:highlight w:val="none"/>
        </w:rPr>
        <w:t>乙方在施工作业范围内应做好森林防火工作，</w:t>
      </w:r>
      <w:r>
        <w:rPr>
          <w:rFonts w:hint="eastAsia" w:cs="宋体"/>
          <w:color w:val="auto"/>
          <w:kern w:val="0"/>
          <w:sz w:val="21"/>
          <w:szCs w:val="21"/>
          <w:highlight w:val="none"/>
          <w:lang w:val="en-US" w:eastAsia="zh-CN"/>
        </w:rPr>
        <w:t>采</w:t>
      </w:r>
      <w:r>
        <w:rPr>
          <w:rFonts w:hint="eastAsia" w:cs="宋体"/>
          <w:color w:val="FF0000"/>
          <w:kern w:val="0"/>
          <w:sz w:val="21"/>
          <w:szCs w:val="21"/>
          <w:highlight w:val="none"/>
          <w:lang w:val="en-US" w:eastAsia="zh-CN"/>
        </w:rPr>
        <w:t>取烧毁方式处理的每天在作业前需向镇林业站进行报批</w:t>
      </w:r>
      <w:r>
        <w:rPr>
          <w:rFonts w:hint="eastAsia"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在确保安全的情况下，方可采取烧毁的方式处理疫木主杆及其枝</w:t>
      </w:r>
      <w:r>
        <w:rPr>
          <w:rFonts w:hint="eastAsia" w:ascii="宋体" w:hAnsi="宋体" w:eastAsia="宋体" w:cs="宋体"/>
          <w:color w:val="auto"/>
          <w:kern w:val="0"/>
          <w:sz w:val="21"/>
          <w:szCs w:val="21"/>
          <w:highlight w:val="none"/>
          <w:lang w:eastAsia="zh-CN"/>
        </w:rPr>
        <w:t>桠</w:t>
      </w:r>
      <w:r>
        <w:rPr>
          <w:rFonts w:hint="eastAsia" w:ascii="宋体" w:hAnsi="宋体" w:eastAsia="宋体" w:cs="宋体"/>
          <w:color w:val="auto"/>
          <w:kern w:val="0"/>
          <w:sz w:val="21"/>
          <w:szCs w:val="21"/>
          <w:highlight w:val="none"/>
        </w:rPr>
        <w:t>，并接受甲方对森林防火工作的检查指导。因操作不当导致火情，后果由乙方负责。</w:t>
      </w:r>
    </w:p>
    <w:p w14:paraId="52C1FD5C">
      <w:pPr>
        <w:pStyle w:val="44"/>
        <w:keepNext w:val="0"/>
        <w:keepLines w:val="0"/>
        <w:pageBreakBefore w:val="0"/>
        <w:widowControl w:val="0"/>
        <w:numPr>
          <w:ilvl w:val="0"/>
          <w:numId w:val="0"/>
        </w:numPr>
        <w:tabs>
          <w:tab w:val="left" w:pos="1024"/>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en-US"/>
        </w:rPr>
        <w:t>8</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w:t>
      </w:r>
      <w:r>
        <w:rPr>
          <w:rFonts w:hint="eastAsia" w:ascii="宋体" w:hAnsi="宋体" w:eastAsia="宋体" w:cs="宋体"/>
          <w:color w:val="auto"/>
          <w:kern w:val="0"/>
          <w:sz w:val="21"/>
          <w:szCs w:val="21"/>
          <w:highlight w:val="none"/>
        </w:rPr>
        <w:t>乙方应接受甲方或其委托的第三方机构及林业等部门对除治工作的核查指导。</w:t>
      </w:r>
    </w:p>
    <w:p w14:paraId="64B7EA57">
      <w:pPr>
        <w:pStyle w:val="44"/>
        <w:keepNext w:val="0"/>
        <w:keepLines w:val="0"/>
        <w:pageBreakBefore w:val="0"/>
        <w:widowControl w:val="0"/>
        <w:numPr>
          <w:ilvl w:val="0"/>
          <w:numId w:val="0"/>
        </w:numPr>
        <w:tabs>
          <w:tab w:val="left" w:pos="1039"/>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en-US"/>
        </w:rPr>
        <w:t>9</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en-US" w:eastAsia="en-US" w:bidi="en-US"/>
        </w:rPr>
        <w:t>.</w:t>
      </w:r>
      <w:r>
        <w:rPr>
          <w:rFonts w:hint="eastAsia" w:ascii="宋体" w:hAnsi="宋体" w:eastAsia="宋体" w:cs="宋体"/>
          <w:color w:val="auto"/>
          <w:kern w:val="0"/>
          <w:sz w:val="21"/>
          <w:szCs w:val="21"/>
          <w:highlight w:val="none"/>
        </w:rPr>
        <w:t>乙方应根据甲方要求，落实专人负责施工质量现场管理，并安装应用数字森防</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手机</w:t>
      </w:r>
      <w:r>
        <w:rPr>
          <w:rFonts w:hint="eastAsia" w:ascii="宋体" w:hAnsi="宋体" w:eastAsia="宋体" w:cs="宋体"/>
          <w:color w:val="auto"/>
          <w:kern w:val="0"/>
          <w:sz w:val="21"/>
          <w:szCs w:val="21"/>
          <w:highlight w:val="none"/>
          <w:lang w:val="en-US" w:eastAsia="zh-CN" w:bidi="en-US"/>
        </w:rPr>
        <w:t>APP,</w:t>
      </w:r>
      <w:r>
        <w:rPr>
          <w:rFonts w:hint="eastAsia" w:ascii="宋体" w:hAnsi="宋体" w:eastAsia="宋体" w:cs="宋体"/>
          <w:color w:val="auto"/>
          <w:kern w:val="0"/>
          <w:sz w:val="21"/>
          <w:szCs w:val="21"/>
          <w:highlight w:val="none"/>
        </w:rPr>
        <w:t>对疫木除治和运输过程等环节，实施拍照留痕，</w:t>
      </w:r>
      <w:r>
        <w:rPr>
          <w:rFonts w:hint="eastAsia" w:ascii="宋体" w:hAnsi="宋体" w:eastAsia="宋体" w:cs="宋体"/>
          <w:b/>
          <w:color w:val="auto"/>
          <w:kern w:val="0"/>
          <w:sz w:val="21"/>
          <w:szCs w:val="21"/>
          <w:highlight w:val="none"/>
          <w:lang w:eastAsia="zh-CN"/>
        </w:rPr>
        <w:t>特别对濒死树木，需拍摄</w:t>
      </w:r>
      <w:r>
        <w:rPr>
          <w:rFonts w:hint="eastAsia" w:cs="宋体"/>
          <w:b/>
          <w:color w:val="auto"/>
          <w:kern w:val="0"/>
          <w:sz w:val="21"/>
          <w:szCs w:val="21"/>
          <w:highlight w:val="none"/>
          <w:lang w:val="en-US" w:eastAsia="zh-CN"/>
        </w:rPr>
        <w:t>能清晰辨别</w:t>
      </w:r>
      <w:r>
        <w:rPr>
          <w:rFonts w:hint="eastAsia" w:ascii="宋体" w:hAnsi="宋体" w:eastAsia="宋体" w:cs="宋体"/>
          <w:b/>
          <w:color w:val="auto"/>
          <w:kern w:val="0"/>
          <w:sz w:val="21"/>
          <w:szCs w:val="21"/>
          <w:highlight w:val="none"/>
          <w:lang w:eastAsia="zh-CN"/>
        </w:rPr>
        <w:t>树冠</w:t>
      </w:r>
      <w:r>
        <w:rPr>
          <w:rFonts w:hint="eastAsia" w:cs="宋体"/>
          <w:b/>
          <w:color w:val="auto"/>
          <w:kern w:val="0"/>
          <w:sz w:val="21"/>
          <w:szCs w:val="21"/>
          <w:highlight w:val="none"/>
          <w:lang w:val="en-US" w:eastAsia="zh-CN"/>
        </w:rPr>
        <w:t>状态的影像资料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确保甲方能随时了解除治进程。</w:t>
      </w:r>
    </w:p>
    <w:p w14:paraId="3C84311B">
      <w:pPr>
        <w:pStyle w:val="44"/>
        <w:keepNext w:val="0"/>
        <w:keepLines w:val="0"/>
        <w:pageBreakBefore w:val="0"/>
        <w:widowControl w:val="0"/>
        <w:numPr>
          <w:ilvl w:val="0"/>
          <w:numId w:val="0"/>
        </w:numPr>
        <w:tabs>
          <w:tab w:val="left" w:pos="1039"/>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.疫木定点加工企业松树残值：本项资金按乙方清理下山疫木重量，由疫木定点加工企业支付，不受枯死松树清理验收质量等级影响，但须优先用于支付农民工工资。</w:t>
      </w:r>
    </w:p>
    <w:p w14:paraId="21ADC9C5">
      <w:pPr>
        <w:numPr>
          <w:ilvl w:val="0"/>
          <w:numId w:val="2"/>
        </w:num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违约责任</w:t>
      </w:r>
    </w:p>
    <w:p w14:paraId="7C2BA25C">
      <w:pPr>
        <w:pStyle w:val="44"/>
        <w:keepNext w:val="0"/>
        <w:keepLines w:val="0"/>
        <w:pageBreakBefore w:val="0"/>
        <w:widowControl w:val="0"/>
        <w:numPr>
          <w:ilvl w:val="0"/>
          <w:numId w:val="0"/>
        </w:numPr>
        <w:tabs>
          <w:tab w:val="left" w:pos="1007"/>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在甲方或相关单位抽查过程中发现的每个质量问题以不低于1%的比例扣减该标段总清理费，对故意藏匿主杆、枝桠、伐桩高于5cm的行为，以不低于10%的比例扣减该标段总清理费。由于乙方原因，造成施工质量整体不达标或疫木流失且无法追回的，甲方可根据实际情况扣减工程进度款等款项。</w:t>
      </w:r>
    </w:p>
    <w:p w14:paraId="3A04B6E0">
      <w:pPr>
        <w:pStyle w:val="44"/>
        <w:keepNext w:val="0"/>
        <w:keepLines w:val="0"/>
        <w:pageBreakBefore w:val="0"/>
        <w:widowControl w:val="0"/>
        <w:numPr>
          <w:ilvl w:val="0"/>
          <w:numId w:val="0"/>
        </w:numPr>
        <w:tabs>
          <w:tab w:val="left" w:pos="1007"/>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2</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lang w:eastAsia="zh-CN"/>
        </w:rPr>
        <w:t>乙方在本合同签订后7个工作日内将除治计划分解到月报送给甲方，当月计划完成后提出书面申请，经甲方同意后转入次月计划。如未按要求提交计划、未按计划进行清理或未经同意转入新的村清理的，每次发现扣除清理费5</w:t>
      </w: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eastAsia="zh-CN"/>
        </w:rPr>
        <w:t>元。</w:t>
      </w:r>
    </w:p>
    <w:p w14:paraId="3FA54912">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3</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rPr>
        <w:t>乙方对除治的疫木及其枝</w:t>
      </w:r>
      <w:r>
        <w:rPr>
          <w:rFonts w:hint="eastAsia" w:ascii="宋体" w:hAnsi="宋体" w:eastAsia="宋体" w:cs="宋体"/>
          <w:color w:val="auto"/>
          <w:kern w:val="0"/>
          <w:sz w:val="21"/>
          <w:szCs w:val="21"/>
          <w:highlight w:val="none"/>
          <w:lang w:eastAsia="zh-CN"/>
        </w:rPr>
        <w:t>桠</w:t>
      </w:r>
      <w:r>
        <w:rPr>
          <w:rFonts w:hint="eastAsia" w:ascii="宋体" w:hAnsi="宋体" w:eastAsia="宋体" w:cs="宋体"/>
          <w:color w:val="auto"/>
          <w:kern w:val="0"/>
          <w:sz w:val="21"/>
          <w:szCs w:val="21"/>
          <w:highlight w:val="none"/>
        </w:rPr>
        <w:t>负有管理责任，</w:t>
      </w:r>
      <w:r>
        <w:rPr>
          <w:rFonts w:hint="eastAsia" w:ascii="宋体" w:hAnsi="宋体" w:eastAsia="宋体" w:cs="宋体"/>
          <w:color w:val="auto"/>
          <w:kern w:val="0"/>
          <w:sz w:val="21"/>
          <w:szCs w:val="21"/>
          <w:highlight w:val="none"/>
          <w:lang w:eastAsia="zh-CN"/>
        </w:rPr>
        <w:t>疫木不能过夜，当天送至疫木定点加工企业。</w:t>
      </w:r>
      <w:r>
        <w:rPr>
          <w:rFonts w:hint="eastAsia" w:ascii="宋体" w:hAnsi="宋体" w:eastAsia="宋体" w:cs="宋体"/>
          <w:color w:val="auto"/>
          <w:kern w:val="0"/>
          <w:sz w:val="21"/>
          <w:szCs w:val="21"/>
          <w:highlight w:val="none"/>
        </w:rPr>
        <w:t>因乙方管理问题导致疫木及其枝</w:t>
      </w:r>
      <w:r>
        <w:rPr>
          <w:rFonts w:hint="eastAsia" w:ascii="宋体" w:hAnsi="宋体" w:eastAsia="宋体" w:cs="宋体"/>
          <w:color w:val="auto"/>
          <w:kern w:val="0"/>
          <w:sz w:val="21"/>
          <w:szCs w:val="21"/>
          <w:highlight w:val="none"/>
          <w:lang w:eastAsia="zh-CN"/>
        </w:rPr>
        <w:t>桠</w:t>
      </w:r>
      <w:r>
        <w:rPr>
          <w:rFonts w:hint="eastAsia" w:ascii="宋体" w:hAnsi="宋体" w:eastAsia="宋体" w:cs="宋体"/>
          <w:color w:val="auto"/>
          <w:kern w:val="0"/>
          <w:sz w:val="21"/>
          <w:szCs w:val="21"/>
          <w:highlight w:val="none"/>
        </w:rPr>
        <w:t>流失，或未按要求运至指定疫木定点加工企业的，每发现一起</w:t>
      </w:r>
      <w:r>
        <w:rPr>
          <w:rFonts w:hint="eastAsia" w:ascii="宋体" w:hAnsi="宋体" w:eastAsia="宋体" w:cs="宋体"/>
          <w:color w:val="auto"/>
          <w:kern w:val="0"/>
          <w:sz w:val="21"/>
          <w:szCs w:val="21"/>
          <w:highlight w:val="none"/>
          <w:lang w:eastAsia="zh-CN"/>
        </w:rPr>
        <w:t>，没收疫木</w:t>
      </w:r>
      <w:r>
        <w:rPr>
          <w:rFonts w:hint="eastAsia" w:ascii="宋体" w:hAnsi="宋体" w:eastAsia="宋体" w:cs="宋体"/>
          <w:color w:val="auto"/>
          <w:kern w:val="0"/>
          <w:sz w:val="21"/>
          <w:szCs w:val="21"/>
          <w:highlight w:val="none"/>
        </w:rPr>
        <w:t>，按1.00元/斤扣除清理款，还将按相关法律法规的规定进行处罚，构成犯罪的，依法追究刑事责任。</w:t>
      </w:r>
    </w:p>
    <w:p w14:paraId="098693A5">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b w:val="0"/>
          <w:bCs w:val="0"/>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4</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lang w:eastAsia="zh-CN"/>
        </w:rPr>
        <w:t>乙方按照要求只清理</w:t>
      </w:r>
      <w:r>
        <w:rPr>
          <w:rFonts w:hint="eastAsia" w:ascii="宋体" w:hAnsi="宋体" w:eastAsia="宋体" w:cs="宋体"/>
          <w:color w:val="auto"/>
          <w:kern w:val="0"/>
          <w:sz w:val="21"/>
          <w:szCs w:val="21"/>
          <w:highlight w:val="none"/>
          <w:lang w:val="en-US" w:eastAsia="zh-CN"/>
        </w:rPr>
        <w:t>枝桠上带有死松毛或有大量小于1公分枝桠的</w:t>
      </w:r>
      <w:r>
        <w:rPr>
          <w:rFonts w:hint="eastAsia" w:ascii="宋体" w:hAnsi="宋体" w:eastAsia="宋体" w:cs="宋体"/>
          <w:color w:val="auto"/>
          <w:kern w:val="0"/>
          <w:sz w:val="21"/>
          <w:szCs w:val="21"/>
          <w:highlight w:val="none"/>
          <w:lang w:eastAsia="zh-CN"/>
        </w:rPr>
        <w:t>疫木，禁止清理</w:t>
      </w:r>
      <w:r>
        <w:rPr>
          <w:rFonts w:hint="eastAsia" w:ascii="宋体" w:hAnsi="宋体" w:eastAsia="宋体" w:cs="宋体"/>
          <w:color w:val="auto"/>
          <w:kern w:val="0"/>
          <w:sz w:val="21"/>
          <w:szCs w:val="21"/>
          <w:highlight w:val="none"/>
          <w:lang w:val="en-US" w:eastAsia="zh-CN"/>
        </w:rPr>
        <w:t>只有光杆或少量主枝或腐烂软化或切口呈蜂窝状</w:t>
      </w:r>
      <w:r>
        <w:rPr>
          <w:rFonts w:hint="eastAsia" w:ascii="宋体" w:hAnsi="宋体" w:eastAsia="宋体" w:cs="宋体"/>
          <w:color w:val="auto"/>
          <w:kern w:val="0"/>
          <w:sz w:val="21"/>
          <w:szCs w:val="21"/>
          <w:highlight w:val="none"/>
          <w:lang w:eastAsia="zh-CN"/>
        </w:rPr>
        <w:t>疫木、活树及杂木下山，每发现一段，不分大小长短按照</w:t>
      </w:r>
      <w:r>
        <w:rPr>
          <w:rFonts w:hint="eastAsia" w:ascii="宋体" w:hAnsi="宋体" w:eastAsia="宋体" w:cs="宋体"/>
          <w:b/>
          <w:bCs/>
          <w:color w:val="auto"/>
          <w:kern w:val="0"/>
          <w:sz w:val="21"/>
          <w:szCs w:val="21"/>
          <w:highlight w:val="none"/>
          <w:lang w:eastAsia="zh-CN"/>
        </w:rPr>
        <w:t>每段5</w:t>
      </w:r>
      <w:r>
        <w:rPr>
          <w:rFonts w:hint="eastAsia" w:ascii="宋体" w:hAnsi="宋体" w:eastAsia="宋体" w:cs="宋体"/>
          <w:b/>
          <w:bCs/>
          <w:color w:val="auto"/>
          <w:kern w:val="0"/>
          <w:sz w:val="21"/>
          <w:szCs w:val="21"/>
          <w:highlight w:val="none"/>
        </w:rPr>
        <w:t>00</w:t>
      </w:r>
      <w:r>
        <w:rPr>
          <w:rFonts w:hint="eastAsia" w:ascii="宋体" w:hAnsi="宋体" w:eastAsia="宋体" w:cs="宋体"/>
          <w:b/>
          <w:bCs/>
          <w:color w:val="auto"/>
          <w:kern w:val="0"/>
          <w:sz w:val="21"/>
          <w:szCs w:val="21"/>
          <w:highlight w:val="none"/>
          <w:lang w:eastAsia="zh-CN"/>
        </w:rPr>
        <w:t>公斤</w:t>
      </w:r>
      <w:r>
        <w:rPr>
          <w:rFonts w:hint="eastAsia" w:ascii="宋体" w:hAnsi="宋体" w:eastAsia="宋体" w:cs="宋体"/>
          <w:color w:val="auto"/>
          <w:kern w:val="0"/>
          <w:sz w:val="21"/>
          <w:szCs w:val="21"/>
          <w:highlight w:val="none"/>
          <w:lang w:eastAsia="zh-CN"/>
        </w:rPr>
        <w:t>扣除过磅重量</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若有发现砍伐活树的情况，每发现一棵，扣除清理费</w:t>
      </w:r>
      <w:r>
        <w:rPr>
          <w:rFonts w:hint="eastAsia" w:ascii="宋体" w:hAnsi="宋体" w:eastAsia="宋体" w:cs="宋体"/>
          <w:color w:val="auto"/>
          <w:kern w:val="0"/>
          <w:sz w:val="21"/>
          <w:szCs w:val="21"/>
          <w:highlight w:val="none"/>
        </w:rPr>
        <w:t>1000</w:t>
      </w:r>
      <w:r>
        <w:rPr>
          <w:rFonts w:hint="eastAsia" w:ascii="宋体" w:hAnsi="宋体" w:eastAsia="宋体" w:cs="宋体"/>
          <w:color w:val="auto"/>
          <w:kern w:val="0"/>
          <w:sz w:val="21"/>
          <w:szCs w:val="21"/>
          <w:highlight w:val="none"/>
          <w:lang w:eastAsia="zh-CN"/>
        </w:rPr>
        <w:t>元。</w:t>
      </w:r>
      <w:r>
        <w:rPr>
          <w:rFonts w:hint="eastAsia" w:ascii="宋体" w:hAnsi="宋体" w:eastAsia="宋体" w:cs="宋体"/>
          <w:b w:val="0"/>
          <w:bCs w:val="0"/>
          <w:color w:val="auto"/>
          <w:kern w:val="0"/>
          <w:sz w:val="21"/>
          <w:szCs w:val="21"/>
          <w:highlight w:val="none"/>
          <w:lang w:eastAsia="zh-CN"/>
        </w:rPr>
        <w:t>性质严重的，</w:t>
      </w:r>
      <w:r>
        <w:rPr>
          <w:rFonts w:hint="eastAsia" w:ascii="宋体" w:hAnsi="宋体" w:eastAsia="宋体" w:cs="宋体"/>
          <w:b w:val="0"/>
          <w:bCs w:val="0"/>
          <w:color w:val="auto"/>
          <w:kern w:val="0"/>
          <w:sz w:val="21"/>
          <w:szCs w:val="21"/>
          <w:highlight w:val="none"/>
        </w:rPr>
        <w:t>将按相关法律法规的规定进行处罚，构成犯罪的，依法追究刑事责任。</w:t>
      </w:r>
    </w:p>
    <w:p w14:paraId="4825DDE4">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5</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rPr>
        <w:t>2025年3月底前未能完成集中除治任务的，扣除该标段20%总清理款。</w:t>
      </w:r>
    </w:p>
    <w:p w14:paraId="15319E47">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6</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rPr>
        <w:t>发现以下情形之一的，扣除该标段10%总清理款：集中清理中有小班在镇级、市级验收中未达90分的；多次砍伐活树和其他杂树经查实的；造成疫木流失而不上报的；伪造上传数据的；</w:t>
      </w:r>
      <w:r>
        <w:rPr>
          <w:rFonts w:hint="eastAsia" w:ascii="宋体" w:hAnsi="宋体" w:eastAsia="宋体" w:cs="宋体"/>
          <w:color w:val="auto"/>
          <w:kern w:val="0"/>
          <w:sz w:val="21"/>
          <w:szCs w:val="21"/>
          <w:highlight w:val="none"/>
          <w:lang w:eastAsia="zh-CN"/>
        </w:rPr>
        <w:t>中标后</w:t>
      </w:r>
      <w:r>
        <w:rPr>
          <w:rFonts w:hint="eastAsia" w:ascii="宋体" w:hAnsi="宋体" w:eastAsia="宋体" w:cs="宋体"/>
          <w:color w:val="auto"/>
          <w:kern w:val="0"/>
          <w:sz w:val="21"/>
          <w:szCs w:val="21"/>
          <w:highlight w:val="none"/>
        </w:rPr>
        <w:t>15日内不</w:t>
      </w:r>
      <w:r>
        <w:rPr>
          <w:rFonts w:hint="eastAsia" w:ascii="宋体" w:hAnsi="宋体" w:eastAsia="宋体" w:cs="宋体"/>
          <w:color w:val="auto"/>
          <w:kern w:val="0"/>
          <w:sz w:val="21"/>
          <w:szCs w:val="21"/>
          <w:highlight w:val="none"/>
          <w:lang w:eastAsia="zh-CN"/>
        </w:rPr>
        <w:t>签订合同或不</w:t>
      </w:r>
      <w:r>
        <w:rPr>
          <w:rFonts w:hint="eastAsia" w:ascii="宋体" w:hAnsi="宋体" w:eastAsia="宋体" w:cs="宋体"/>
          <w:color w:val="auto"/>
          <w:kern w:val="0"/>
          <w:sz w:val="21"/>
          <w:szCs w:val="21"/>
          <w:highlight w:val="none"/>
        </w:rPr>
        <w:t>进场除治的；砍伐工人数量不足，经甲方多次要求增派人员仍达不到要求的。</w:t>
      </w:r>
    </w:p>
    <w:p w14:paraId="7E980014">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7</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lang w:eastAsia="zh-CN"/>
        </w:rPr>
        <w:t>发现以下情形的，扣除该标段2</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总清理款：镇级验收首次未能全部小班达到9</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分，复查验收仍未能全部小班达到9</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分的；市级验收首次未能全部小班达到9</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分，复查验收仍未能全部小班达到9</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分的。</w:t>
      </w:r>
    </w:p>
    <w:p w14:paraId="5842AD83">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8</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lang w:eastAsia="zh-CN"/>
        </w:rPr>
        <w:t>省级抽检未达到9</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合格率的，每个抽检小班扣1</w:t>
      </w:r>
      <w:r>
        <w:rPr>
          <w:rFonts w:hint="eastAsia" w:ascii="宋体" w:hAnsi="宋体" w:eastAsia="宋体" w:cs="宋体"/>
          <w:color w:val="auto"/>
          <w:kern w:val="0"/>
          <w:sz w:val="21"/>
          <w:szCs w:val="21"/>
          <w:highlight w:val="none"/>
        </w:rPr>
        <w:t>0000</w:t>
      </w:r>
      <w:r>
        <w:rPr>
          <w:rFonts w:hint="eastAsia" w:ascii="宋体" w:hAnsi="宋体" w:eastAsia="宋体" w:cs="宋体"/>
          <w:color w:val="auto"/>
          <w:kern w:val="0"/>
          <w:sz w:val="21"/>
          <w:szCs w:val="21"/>
          <w:highlight w:val="none"/>
          <w:lang w:eastAsia="zh-CN"/>
        </w:rPr>
        <w:t>元。</w:t>
      </w:r>
    </w:p>
    <w:p w14:paraId="31A0F097">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cs="宋体"/>
          <w:b w:val="0"/>
          <w:bCs w:val="0"/>
          <w:i w:val="0"/>
          <w:iCs w:val="0"/>
          <w:smallCaps w:val="0"/>
          <w:strike w:val="0"/>
          <w:color w:val="auto"/>
          <w:spacing w:val="0"/>
          <w:w w:val="100"/>
          <w:kern w:val="0"/>
          <w:position w:val="0"/>
          <w:sz w:val="21"/>
          <w:szCs w:val="21"/>
          <w:highlight w:val="none"/>
          <w:u w:val="none"/>
          <w:shd w:val="clear" w:color="auto" w:fill="auto"/>
          <w:lang w:val="en-US" w:eastAsia="zh-CN" w:bidi="zh-TW"/>
        </w:rPr>
        <w:t>9</w:t>
      </w:r>
      <w:r>
        <w:rPr>
          <w:rFonts w:hint="eastAsia" w:ascii="宋体" w:hAnsi="宋体" w:eastAsia="宋体" w:cs="宋体"/>
          <w:b w:val="0"/>
          <w:bCs w:val="0"/>
          <w:i w:val="0"/>
          <w:iCs w:val="0"/>
          <w:smallCaps w:val="0"/>
          <w:strike w:val="0"/>
          <w:color w:val="auto"/>
          <w:spacing w:val="0"/>
          <w:w w:val="100"/>
          <w:kern w:val="0"/>
          <w:position w:val="0"/>
          <w:sz w:val="21"/>
          <w:szCs w:val="21"/>
          <w:highlight w:val="none"/>
          <w:u w:val="none"/>
          <w:shd w:val="clear" w:color="auto" w:fill="auto"/>
          <w:lang w:val="zh-TW" w:eastAsia="zh-TW" w:bidi="zh-TW"/>
        </w:rPr>
        <w:t>.</w:t>
      </w:r>
      <w:r>
        <w:rPr>
          <w:rFonts w:hint="eastAsia" w:ascii="宋体" w:hAnsi="宋体" w:eastAsia="宋体" w:cs="宋体"/>
          <w:color w:val="auto"/>
          <w:kern w:val="0"/>
          <w:sz w:val="21"/>
          <w:szCs w:val="21"/>
          <w:highlight w:val="none"/>
          <w:lang w:eastAsia="zh-CN"/>
        </w:rPr>
        <w:t>乙方须派遣一名及以上专职质检人员，负责对每个除治小班进行自查，并分村分片形成自查合格报告，不提供自查报告或自查报告不合格的甲方不予验收，乙方自查合格但甲方或甲方委托第三方抽查不合格的每次扣除清理款</w:t>
      </w:r>
      <w:r>
        <w:rPr>
          <w:rFonts w:hint="eastAsia" w:ascii="宋体" w:hAnsi="宋体" w:eastAsia="宋体" w:cs="宋体"/>
          <w:color w:val="auto"/>
          <w:kern w:val="0"/>
          <w:sz w:val="21"/>
          <w:szCs w:val="21"/>
          <w:highlight w:val="none"/>
          <w:lang w:val="en-US" w:eastAsia="zh-CN"/>
        </w:rPr>
        <w:t>2000元</w:t>
      </w:r>
      <w:r>
        <w:rPr>
          <w:rFonts w:hint="eastAsia" w:ascii="宋体" w:hAnsi="宋体" w:eastAsia="宋体" w:cs="宋体"/>
          <w:color w:val="auto"/>
          <w:kern w:val="0"/>
          <w:sz w:val="21"/>
          <w:szCs w:val="21"/>
          <w:highlight w:val="none"/>
          <w:lang w:eastAsia="zh-CN"/>
        </w:rPr>
        <w:t>。</w:t>
      </w:r>
    </w:p>
    <w:p w14:paraId="0634E5A9">
      <w:pPr>
        <w:pStyle w:val="44"/>
        <w:keepNext w:val="0"/>
        <w:keepLines w:val="0"/>
        <w:pageBreakBefore w:val="0"/>
        <w:widowControl w:val="0"/>
        <w:numPr>
          <w:ilvl w:val="0"/>
          <w:numId w:val="0"/>
        </w:numPr>
        <w:tabs>
          <w:tab w:val="left" w:pos="1021"/>
        </w:tabs>
        <w:kinsoku/>
        <w:wordWrap/>
        <w:overflowPunct/>
        <w:topLinePunct w:val="0"/>
        <w:autoSpaceDE/>
        <w:autoSpaceDN/>
        <w:bidi w:val="0"/>
        <w:adjustRightInd/>
        <w:snapToGrid/>
        <w:spacing w:line="480" w:lineRule="exact"/>
        <w:ind w:firstLine="420" w:firstLineChars="200"/>
        <w:jc w:val="both"/>
        <w:textAlignment w:val="auto"/>
        <w:rPr>
          <w:rFonts w:hint="default"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10.由于乙方原因（除不可抗力外）集中清理实际完成时间超出合同约定工期十天或以上的，甲方有权终止合同，并追偿已支付的合同款项。</w:t>
      </w:r>
    </w:p>
    <w:p w14:paraId="42382D90">
      <w:pPr>
        <w:numPr>
          <w:ilvl w:val="0"/>
          <w:numId w:val="2"/>
        </w:numPr>
        <w:wordWrap w:val="0"/>
        <w:snapToGrid w:val="0"/>
        <w:spacing w:line="48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合同的生效</w:t>
      </w:r>
    </w:p>
    <w:p w14:paraId="68BF23CD">
      <w:pPr>
        <w:pStyle w:val="44"/>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本合同一式六份，在乙方提交履约保证金后，经甲、乙双方法定代表人或者委托代理人签字并加盖公章后即生效。</w:t>
      </w:r>
    </w:p>
    <w:p w14:paraId="5463AC90">
      <w:pPr>
        <w:pStyle w:val="44"/>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双方在执行合同中所发生的一切争议，应通过协商解决。如协商不成，可向甲方所在地法院起诉。</w:t>
      </w:r>
    </w:p>
    <w:p w14:paraId="0456FA33">
      <w:pPr>
        <w:jc w:val="right"/>
        <w:rPr>
          <w:rFonts w:hint="eastAsia"/>
          <w:color w:val="auto"/>
          <w:sz w:val="21"/>
          <w:szCs w:val="21"/>
          <w:highlight w:val="none"/>
        </w:rPr>
        <w:sectPr>
          <w:footerReference r:id="rId7" w:type="default"/>
          <w:pgSz w:w="11905" w:h="16838"/>
          <w:pgMar w:top="1134" w:right="1361" w:bottom="1134" w:left="1361" w:header="567" w:footer="454" w:gutter="0"/>
          <w:pgNumType w:fmt="decimal"/>
          <w:cols w:space="720" w:num="1"/>
          <w:rtlGutter w:val="0"/>
          <w:docGrid w:linePitch="360" w:charSpace="0"/>
        </w:sectPr>
      </w:pPr>
    </w:p>
    <w:p w14:paraId="3D880B42">
      <w:pPr>
        <w:pStyle w:val="44"/>
        <w:keepNext w:val="0"/>
        <w:keepLines w:val="0"/>
        <w:pageBreakBefore w:val="0"/>
        <w:widowControl w:val="0"/>
        <w:kinsoku/>
        <w:wordWrap/>
        <w:overflowPunct/>
        <w:topLinePunct w:val="0"/>
        <w:autoSpaceDE/>
        <w:autoSpaceDN/>
        <w:bidi w:val="0"/>
        <w:adjustRightInd/>
        <w:snapToGrid/>
        <w:spacing w:after="220" w:line="500" w:lineRule="exact"/>
        <w:ind w:firstLine="0"/>
        <w:jc w:val="left"/>
        <w:textAlignment w:val="auto"/>
        <w:rPr>
          <w:rFonts w:hint="eastAsia" w:ascii="宋体" w:hAnsi="宋体" w:eastAsia="宋体" w:cs="宋体"/>
          <w:color w:val="auto"/>
          <w:kern w:val="0"/>
          <w:sz w:val="21"/>
          <w:szCs w:val="21"/>
          <w:highlight w:val="none"/>
        </w:rPr>
      </w:pPr>
    </w:p>
    <w:p w14:paraId="45CD2C8E">
      <w:pPr>
        <w:rPr>
          <w:rFonts w:hint="eastAsia"/>
          <w:color w:val="auto"/>
          <w:sz w:val="21"/>
          <w:szCs w:val="21"/>
          <w:highlight w:val="none"/>
          <w:lang w:eastAsia="zh-CN"/>
        </w:rPr>
        <w:sectPr>
          <w:footerReference r:id="rId8" w:type="default"/>
          <w:type w:val="continuous"/>
          <w:pgSz w:w="11905" w:h="16838"/>
          <w:pgMar w:top="1134" w:right="1361" w:bottom="1134" w:left="1361" w:header="567" w:footer="454" w:gutter="0"/>
          <w:pgNumType w:fmt="decimal"/>
          <w:cols w:space="720" w:num="1"/>
          <w:rtlGutter w:val="0"/>
          <w:docGrid w:linePitch="360" w:charSpace="0"/>
        </w:sectPr>
      </w:pPr>
    </w:p>
    <w:p w14:paraId="2B409E02">
      <w:pPr>
        <w:keepNext w:val="0"/>
        <w:keepLines w:val="0"/>
        <w:pageBreakBefore w:val="0"/>
        <w:widowControl w:val="0"/>
        <w:kinsoku/>
        <w:wordWrap/>
        <w:overflowPunct/>
        <w:topLinePunct w:val="0"/>
        <w:autoSpaceDE/>
        <w:autoSpaceDN/>
        <w:bidi w:val="0"/>
        <w:adjustRightInd/>
        <w:snapToGrid/>
        <w:spacing w:line="6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甲方：（盖章）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乙方：（盖章）</w:t>
      </w:r>
    </w:p>
    <w:p w14:paraId="136FB7DF">
      <w:pPr>
        <w:keepNext w:val="0"/>
        <w:keepLines w:val="0"/>
        <w:pageBreakBefore w:val="0"/>
        <w:widowControl w:val="0"/>
        <w:kinsoku/>
        <w:wordWrap/>
        <w:overflowPunct/>
        <w:topLinePunct w:val="0"/>
        <w:autoSpaceDE/>
        <w:autoSpaceDN/>
        <w:bidi w:val="0"/>
        <w:adjustRightInd/>
        <w:snapToGrid/>
        <w:spacing w:line="6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法定代表人或者委托代理人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法定代表人或者委托代理人</w:t>
      </w:r>
    </w:p>
    <w:p w14:paraId="3CB16E59">
      <w:pPr>
        <w:keepNext w:val="0"/>
        <w:keepLines w:val="0"/>
        <w:pageBreakBefore w:val="0"/>
        <w:widowControl w:val="0"/>
        <w:kinsoku/>
        <w:wordWrap/>
        <w:overflowPunct/>
        <w:topLinePunct w:val="0"/>
        <w:autoSpaceDE/>
        <w:autoSpaceDN/>
        <w:bidi w:val="0"/>
        <w:adjustRightInd/>
        <w:snapToGrid/>
        <w:spacing w:line="6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（签字）</w:t>
      </w:r>
    </w:p>
    <w:p w14:paraId="7609A937">
      <w:pPr>
        <w:keepNext w:val="0"/>
        <w:keepLines w:val="0"/>
        <w:pageBreakBefore w:val="0"/>
        <w:widowControl w:val="0"/>
        <w:kinsoku/>
        <w:wordWrap/>
        <w:overflowPunct/>
        <w:topLinePunct w:val="0"/>
        <w:autoSpaceDE/>
        <w:autoSpaceDN/>
        <w:bidi w:val="0"/>
        <w:adjustRightInd/>
        <w:snapToGrid/>
        <w:spacing w:line="640" w:lineRule="exact"/>
        <w:ind w:left="0" w:leftChars="0" w:firstLine="420" w:firstLineChars="200"/>
        <w:textAlignment w:val="auto"/>
        <w:rPr>
          <w:rFonts w:hint="eastAsia" w:ascii="宋体" w:hAnsi="宋体" w:eastAsia="宋体" w:cs="宋体"/>
          <w:color w:val="auto"/>
          <w:sz w:val="21"/>
          <w:szCs w:val="21"/>
          <w:highlight w:val="none"/>
          <w:lang w:eastAsia="zh-CN"/>
        </w:rPr>
        <w:sectPr>
          <w:type w:val="continuous"/>
          <w:pgSz w:w="11905" w:h="16838"/>
          <w:pgMar w:top="1134" w:right="1361" w:bottom="1134" w:left="1361" w:header="567" w:footer="454" w:gutter="0"/>
          <w:pgNumType w:fmt="decimal"/>
          <w:cols w:space="720" w:num="1"/>
          <w:rtlGutter w:val="0"/>
          <w:docGrid w:linePitch="360" w:charSpace="0"/>
        </w:sectPr>
      </w:pPr>
      <w:r>
        <w:rPr>
          <w:rFonts w:hint="eastAsia" w:ascii="宋体" w:hAnsi="宋体" w:eastAsia="宋体" w:cs="宋体"/>
          <w:color w:val="auto"/>
          <w:sz w:val="21"/>
          <w:szCs w:val="21"/>
          <w:highlight w:val="none"/>
          <w:lang w:eastAsia="zh-CN"/>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5038E9DD">
      <w:pPr>
        <w:pStyle w:val="42"/>
        <w:ind w:left="0" w:leftChars="0" w:firstLine="420" w:firstLineChars="200"/>
        <w:rPr>
          <w:rFonts w:hint="eastAsia" w:ascii="宋体" w:hAnsi="宋体" w:eastAsia="宋体" w:cs="宋体"/>
          <w:color w:val="auto"/>
          <w:sz w:val="21"/>
          <w:szCs w:val="21"/>
          <w:highlight w:val="none"/>
          <w:lang w:eastAsia="zh-CN"/>
        </w:rPr>
      </w:pPr>
    </w:p>
    <w:p w14:paraId="5F2E98F9">
      <w:pPr>
        <w:pStyle w:val="42"/>
        <w:ind w:left="0" w:leftChars="0" w:firstLine="420" w:firstLineChars="200"/>
        <w:rPr>
          <w:rFonts w:hint="eastAsia" w:ascii="宋体" w:hAnsi="宋体" w:eastAsia="宋体" w:cs="宋体"/>
          <w:color w:val="auto"/>
          <w:sz w:val="21"/>
          <w:szCs w:val="21"/>
          <w:highlight w:val="none"/>
          <w:lang w:eastAsia="zh-CN"/>
        </w:rPr>
      </w:pPr>
    </w:p>
    <w:p w14:paraId="3AC96555">
      <w:pPr>
        <w:pStyle w:val="42"/>
        <w:ind w:left="0" w:leftChars="0" w:firstLine="422" w:firstLineChars="200"/>
        <w:rPr>
          <w:rFonts w:hint="eastAsia" w:ascii="宋体" w:hAnsi="宋体" w:eastAsia="宋体" w:cs="宋体"/>
          <w:b/>
          <w:bCs/>
          <w:color w:val="auto"/>
          <w:sz w:val="21"/>
          <w:szCs w:val="21"/>
          <w:highlight w:val="none"/>
          <w:lang w:eastAsia="zh-CN"/>
        </w:rPr>
        <w:sectPr>
          <w:type w:val="continuous"/>
          <w:pgSz w:w="11905" w:h="16838"/>
          <w:pgMar w:top="1134" w:right="1361" w:bottom="1134" w:left="1361" w:header="567" w:footer="454" w:gutter="0"/>
          <w:pgNumType w:fmt="decimal"/>
          <w:cols w:space="720" w:num="1"/>
          <w:rtlGutter w:val="0"/>
          <w:docGrid w:linePitch="360" w:charSpace="0"/>
        </w:sectPr>
      </w:pPr>
      <w:r>
        <w:rPr>
          <w:rFonts w:hint="eastAsia" w:ascii="宋体" w:hAnsi="宋体" w:eastAsia="宋体" w:cs="宋体"/>
          <w:b/>
          <w:bCs/>
          <w:color w:val="auto"/>
          <w:sz w:val="21"/>
          <w:szCs w:val="21"/>
          <w:highlight w:val="none"/>
          <w:lang w:eastAsia="zh-CN"/>
        </w:rPr>
        <w:t>鉴证方：（盖章）</w:t>
      </w:r>
    </w:p>
    <w:p w14:paraId="3E997BEC">
      <w:pPr>
        <w:rPr>
          <w:rFonts w:hint="eastAsia" w:ascii="宋体" w:hAnsi="宋体" w:eastAsia="宋体" w:cs="宋体"/>
          <w:b/>
          <w:bCs/>
          <w:color w:val="auto"/>
          <w:kern w:val="44"/>
          <w:sz w:val="21"/>
          <w:szCs w:val="21"/>
        </w:rPr>
      </w:pPr>
    </w:p>
    <w:p w14:paraId="726589D3">
      <w:pPr>
        <w:spacing w:before="120" w:beforeLines="50" w:after="120" w:afterLines="50" w:line="400" w:lineRule="exact"/>
        <w:ind w:firstLine="211" w:firstLineChars="100"/>
        <w:jc w:val="center"/>
        <w:outlineLvl w:val="0"/>
        <w:rPr>
          <w:rFonts w:ascii="宋体" w:hAnsi="宋体" w:eastAsia="宋体" w:cs="宋体"/>
          <w:color w:val="auto"/>
          <w:sz w:val="21"/>
          <w:szCs w:val="21"/>
        </w:rPr>
      </w:pPr>
      <w:bookmarkStart w:id="359" w:name="_Toc21025"/>
      <w:r>
        <w:rPr>
          <w:rFonts w:hint="eastAsia" w:ascii="宋体" w:hAnsi="宋体" w:eastAsia="宋体" w:cs="宋体"/>
          <w:b/>
          <w:bCs/>
          <w:color w:val="auto"/>
          <w:kern w:val="44"/>
          <w:sz w:val="21"/>
          <w:szCs w:val="21"/>
        </w:rPr>
        <w:t>第七章　投标文件格式</w:t>
      </w:r>
      <w:bookmarkEnd w:id="355"/>
      <w:bookmarkEnd w:id="356"/>
      <w:bookmarkEnd w:id="357"/>
      <w:bookmarkEnd w:id="359"/>
    </w:p>
    <w:p w14:paraId="2EBC4CCE">
      <w:pPr>
        <w:snapToGrid w:val="0"/>
        <w:spacing w:before="120" w:beforeLines="50" w:after="50" w:line="276" w:lineRule="auto"/>
        <w:jc w:val="center"/>
        <w:rPr>
          <w:rFonts w:ascii="宋体" w:hAnsi="宋体" w:eastAsia="宋体" w:cs="宋体"/>
          <w:b/>
          <w:color w:val="auto"/>
          <w:sz w:val="21"/>
          <w:szCs w:val="21"/>
        </w:rPr>
      </w:pPr>
      <w:bookmarkStart w:id="360" w:name="_Toc3737"/>
    </w:p>
    <w:bookmarkEnd w:id="360"/>
    <w:p w14:paraId="66E6ADE7">
      <w:pPr>
        <w:snapToGrid w:val="0"/>
        <w:spacing w:before="120" w:beforeLines="50" w:after="50" w:line="276" w:lineRule="auto"/>
        <w:jc w:val="left"/>
        <w:rPr>
          <w:rFonts w:ascii="宋体" w:hAnsi="宋体" w:eastAsia="宋体" w:cs="宋体"/>
          <w:color w:val="auto"/>
          <w:sz w:val="21"/>
          <w:szCs w:val="21"/>
        </w:rPr>
      </w:pPr>
      <w:bookmarkStart w:id="361" w:name="_Toc17813"/>
      <w:bookmarkStart w:id="362" w:name="_Toc27837"/>
      <w:bookmarkStart w:id="363" w:name="_Toc7840"/>
      <w:r>
        <w:rPr>
          <w:rFonts w:hint="eastAsia" w:ascii="宋体" w:hAnsi="宋体" w:eastAsia="宋体" w:cs="宋体"/>
          <w:color w:val="auto"/>
          <w:sz w:val="21"/>
          <w:szCs w:val="21"/>
        </w:rPr>
        <w:t>附件1：所有投标文件的外包装封面格式</w:t>
      </w:r>
      <w:bookmarkEnd w:id="361"/>
      <w:bookmarkEnd w:id="362"/>
      <w:bookmarkEnd w:id="363"/>
    </w:p>
    <w:p w14:paraId="198556BD">
      <w:pPr>
        <w:snapToGrid w:val="0"/>
        <w:spacing w:before="120" w:beforeLines="50" w:after="50" w:line="276"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2024-2025年冷水镇松材线虫病枯死松树清理服务</w:t>
      </w:r>
    </w:p>
    <w:p w14:paraId="05318C71">
      <w:pPr>
        <w:snapToGrid w:val="0"/>
        <w:spacing w:before="120" w:beforeLines="50" w:after="50" w:line="276"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投标文件</w:t>
      </w:r>
    </w:p>
    <w:p w14:paraId="7FE8C55E">
      <w:pPr>
        <w:snapToGrid w:val="0"/>
        <w:spacing w:before="120" w:beforeLines="50" w:after="50" w:line="276" w:lineRule="auto"/>
        <w:rPr>
          <w:rFonts w:ascii="宋体" w:hAnsi="宋体" w:eastAsia="宋体" w:cs="宋体"/>
          <w:bCs/>
          <w:color w:val="auto"/>
          <w:sz w:val="21"/>
          <w:szCs w:val="21"/>
        </w:rPr>
      </w:pPr>
    </w:p>
    <w:p w14:paraId="3A889144">
      <w:pPr>
        <w:snapToGrid w:val="0"/>
        <w:spacing w:before="120" w:beforeLines="50" w:after="50" w:line="276" w:lineRule="auto"/>
        <w:ind w:left="2117" w:leftChars="508" w:hanging="1050" w:hangingChars="500"/>
        <w:rPr>
          <w:rFonts w:ascii="宋体" w:hAnsi="宋体" w:eastAsia="宋体" w:cs="宋体"/>
          <w:bCs/>
          <w:color w:val="auto"/>
          <w:sz w:val="21"/>
          <w:szCs w:val="21"/>
        </w:rPr>
      </w:pPr>
      <w:r>
        <w:rPr>
          <w:rFonts w:hint="eastAsia" w:ascii="宋体" w:hAnsi="宋体" w:eastAsia="宋体" w:cs="宋体"/>
          <w:bCs/>
          <w:color w:val="auto"/>
          <w:sz w:val="21"/>
          <w:szCs w:val="21"/>
        </w:rPr>
        <w:t>项目名称：</w:t>
      </w:r>
    </w:p>
    <w:p w14:paraId="6B268B9B">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项目编号：</w:t>
      </w:r>
    </w:p>
    <w:p w14:paraId="4491E6BA">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投标文件名称：资格审查文件/技术商务文件/报价文件/电子备份文件......</w:t>
      </w:r>
    </w:p>
    <w:p w14:paraId="14919BB3">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投标人名称：</w:t>
      </w:r>
    </w:p>
    <w:p w14:paraId="4CD744F7">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投标人地址：</w:t>
      </w:r>
    </w:p>
    <w:p w14:paraId="0BD822E7">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在年月日时分之前不得启封</w:t>
      </w:r>
    </w:p>
    <w:p w14:paraId="4CA236A8">
      <w:pPr>
        <w:snapToGrid w:val="0"/>
        <w:spacing w:before="120" w:beforeLines="50" w:after="50" w:line="276" w:lineRule="auto"/>
        <w:ind w:firstLine="3570" w:firstLineChars="1700"/>
        <w:rPr>
          <w:rFonts w:ascii="宋体" w:hAnsi="宋体" w:eastAsia="宋体" w:cs="宋体"/>
          <w:bCs/>
          <w:color w:val="auto"/>
          <w:sz w:val="21"/>
          <w:szCs w:val="21"/>
        </w:rPr>
      </w:pPr>
    </w:p>
    <w:p w14:paraId="7644CE84">
      <w:pPr>
        <w:snapToGrid w:val="0"/>
        <w:spacing w:before="120" w:beforeLines="50" w:after="50" w:line="276" w:lineRule="auto"/>
        <w:ind w:firstLine="645"/>
        <w:jc w:val="center"/>
        <w:rPr>
          <w:rFonts w:ascii="宋体" w:hAnsi="宋体" w:eastAsia="宋体" w:cs="宋体"/>
          <w:bCs/>
          <w:color w:val="auto"/>
          <w:sz w:val="21"/>
          <w:szCs w:val="21"/>
        </w:rPr>
      </w:pPr>
      <w:r>
        <w:rPr>
          <w:rFonts w:hint="eastAsia" w:ascii="宋体" w:hAnsi="宋体" w:eastAsia="宋体" w:cs="宋体"/>
          <w:bCs/>
          <w:color w:val="auto"/>
          <w:sz w:val="21"/>
          <w:szCs w:val="21"/>
        </w:rPr>
        <w:t>年   月    日</w:t>
      </w:r>
    </w:p>
    <w:p w14:paraId="291D3886">
      <w:pPr>
        <w:snapToGrid w:val="0"/>
        <w:spacing w:before="120" w:beforeLines="50" w:after="50" w:line="276" w:lineRule="auto"/>
        <w:rPr>
          <w:rFonts w:ascii="宋体" w:hAnsi="宋体" w:eastAsia="宋体" w:cs="宋体"/>
          <w:b/>
          <w:color w:val="auto"/>
          <w:sz w:val="21"/>
          <w:szCs w:val="21"/>
        </w:rPr>
        <w:sectPr>
          <w:headerReference r:id="rId9" w:type="default"/>
          <w:footerReference r:id="rId10" w:type="default"/>
          <w:pgSz w:w="11906" w:h="16838"/>
          <w:pgMar w:top="1417" w:right="1134" w:bottom="1417" w:left="1134" w:header="851" w:footer="992" w:gutter="0"/>
          <w:pgNumType w:fmt="decimal"/>
          <w:cols w:space="0" w:num="1"/>
          <w:rtlGutter w:val="0"/>
          <w:docGrid w:linePitch="312" w:charSpace="0"/>
        </w:sectPr>
      </w:pPr>
      <w:bookmarkStart w:id="364" w:name="_Toc9790"/>
      <w:bookmarkStart w:id="365" w:name="_Toc2787"/>
      <w:bookmarkStart w:id="366" w:name="_Toc10176"/>
      <w:bookmarkStart w:id="367" w:name="_Toc16464"/>
    </w:p>
    <w:bookmarkEnd w:id="364"/>
    <w:bookmarkEnd w:id="365"/>
    <w:bookmarkEnd w:id="366"/>
    <w:bookmarkEnd w:id="367"/>
    <w:p w14:paraId="29A2726E">
      <w:pPr>
        <w:rPr>
          <w:rFonts w:ascii="宋体" w:hAnsi="宋体" w:eastAsia="宋体" w:cs="宋体"/>
          <w:color w:val="auto"/>
          <w:sz w:val="21"/>
          <w:szCs w:val="21"/>
        </w:rPr>
      </w:pPr>
      <w:r>
        <w:rPr>
          <w:rFonts w:hint="eastAsia" w:ascii="宋体" w:hAnsi="宋体" w:eastAsia="宋体" w:cs="宋体"/>
          <w:color w:val="auto"/>
          <w:sz w:val="21"/>
          <w:szCs w:val="21"/>
        </w:rPr>
        <w:t>附件2：所有投标文件封面格式</w:t>
      </w:r>
    </w:p>
    <w:p w14:paraId="0D9C3E2C">
      <w:pPr>
        <w:snapToGrid w:val="0"/>
        <w:spacing w:before="120" w:beforeLines="50" w:after="50" w:line="276" w:lineRule="auto"/>
        <w:jc w:val="center"/>
        <w:rPr>
          <w:rFonts w:ascii="宋体" w:hAnsi="宋体" w:eastAsia="宋体" w:cs="宋体"/>
          <w:b/>
          <w:color w:val="auto"/>
          <w:sz w:val="21"/>
          <w:szCs w:val="21"/>
        </w:rPr>
      </w:pPr>
      <w:r>
        <w:rPr>
          <w:rFonts w:hint="eastAsia" w:ascii="宋体" w:hAnsi="宋体" w:eastAsia="宋体" w:cs="宋体"/>
          <w:bCs/>
          <w:color w:val="auto"/>
          <w:sz w:val="21"/>
          <w:szCs w:val="21"/>
        </w:rPr>
        <w:t xml:space="preserve">                              </w:t>
      </w:r>
      <w:r>
        <w:rPr>
          <w:rFonts w:hint="eastAsia" w:ascii="宋体" w:hAnsi="宋体" w:eastAsia="宋体" w:cs="宋体"/>
          <w:b/>
          <w:color w:val="auto"/>
          <w:sz w:val="21"/>
          <w:szCs w:val="21"/>
        </w:rPr>
        <w:t xml:space="preserve"> 正本/副本</w:t>
      </w:r>
    </w:p>
    <w:p w14:paraId="41682896">
      <w:pPr>
        <w:snapToGrid w:val="0"/>
        <w:spacing w:before="120" w:beforeLines="50" w:after="50" w:line="276"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2024-2025年冷水镇松材线虫病枯死松树清理服务</w:t>
      </w:r>
    </w:p>
    <w:p w14:paraId="0D5C9237">
      <w:pPr>
        <w:snapToGrid w:val="0"/>
        <w:spacing w:before="120" w:beforeLines="50" w:after="50" w:line="276"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资格审查文件/技术商务文件/报价文件/电子备份文件......</w:t>
      </w:r>
    </w:p>
    <w:p w14:paraId="00AB4D60">
      <w:pPr>
        <w:snapToGrid w:val="0"/>
        <w:spacing w:before="120" w:beforeLines="50" w:after="50" w:line="276" w:lineRule="auto"/>
        <w:ind w:left="2117" w:leftChars="508" w:hanging="1050" w:hangingChars="500"/>
        <w:rPr>
          <w:rFonts w:ascii="宋体" w:hAnsi="宋体" w:eastAsia="宋体" w:cs="宋体"/>
          <w:bCs/>
          <w:color w:val="auto"/>
          <w:sz w:val="21"/>
          <w:szCs w:val="21"/>
        </w:rPr>
      </w:pPr>
      <w:r>
        <w:rPr>
          <w:rFonts w:hint="eastAsia" w:ascii="宋体" w:hAnsi="宋体" w:eastAsia="宋体" w:cs="宋体"/>
          <w:bCs/>
          <w:color w:val="auto"/>
          <w:sz w:val="21"/>
          <w:szCs w:val="21"/>
        </w:rPr>
        <w:t>项目名称：</w:t>
      </w:r>
    </w:p>
    <w:p w14:paraId="2D97AB9D">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项目编号：</w:t>
      </w:r>
    </w:p>
    <w:p w14:paraId="5AD7B9B2">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投标人名称：</w:t>
      </w:r>
    </w:p>
    <w:p w14:paraId="47C3A2AD">
      <w:pPr>
        <w:snapToGrid w:val="0"/>
        <w:spacing w:before="120" w:beforeLines="50" w:after="50" w:line="276" w:lineRule="auto"/>
        <w:ind w:firstLine="932" w:firstLineChars="444"/>
        <w:rPr>
          <w:rFonts w:ascii="宋体" w:hAnsi="宋体" w:eastAsia="宋体" w:cs="宋体"/>
          <w:bCs/>
          <w:color w:val="auto"/>
          <w:sz w:val="21"/>
          <w:szCs w:val="21"/>
        </w:rPr>
      </w:pPr>
      <w:r>
        <w:rPr>
          <w:rFonts w:hint="eastAsia" w:ascii="宋体" w:hAnsi="宋体" w:eastAsia="宋体" w:cs="宋体"/>
          <w:bCs/>
          <w:color w:val="auto"/>
          <w:sz w:val="21"/>
          <w:szCs w:val="21"/>
        </w:rPr>
        <w:t>投标人地址：</w:t>
      </w:r>
    </w:p>
    <w:p w14:paraId="0008AE4A">
      <w:pPr>
        <w:snapToGrid w:val="0"/>
        <w:spacing w:before="120" w:beforeLines="50" w:after="50" w:line="276" w:lineRule="auto"/>
        <w:ind w:firstLine="3570" w:firstLineChars="1700"/>
        <w:rPr>
          <w:rFonts w:ascii="宋体" w:hAnsi="宋体" w:eastAsia="宋体" w:cs="宋体"/>
          <w:color w:val="auto"/>
          <w:sz w:val="21"/>
          <w:szCs w:val="21"/>
        </w:rPr>
      </w:pPr>
    </w:p>
    <w:p w14:paraId="2E176C37">
      <w:pPr>
        <w:snapToGrid w:val="0"/>
        <w:spacing w:before="120" w:beforeLines="50" w:after="50" w:line="276" w:lineRule="auto"/>
        <w:ind w:firstLine="645"/>
        <w:jc w:val="center"/>
        <w:rPr>
          <w:rFonts w:ascii="宋体" w:hAnsi="宋体" w:eastAsia="宋体" w:cs="宋体"/>
          <w:color w:val="auto"/>
          <w:sz w:val="21"/>
          <w:szCs w:val="21"/>
        </w:rPr>
      </w:pPr>
      <w:r>
        <w:rPr>
          <w:rFonts w:hint="eastAsia" w:ascii="宋体" w:hAnsi="宋体" w:eastAsia="宋体" w:cs="宋体"/>
          <w:color w:val="auto"/>
          <w:sz w:val="21"/>
          <w:szCs w:val="21"/>
        </w:rPr>
        <w:t>年   月    日</w:t>
      </w:r>
    </w:p>
    <w:p w14:paraId="130B9E44">
      <w:pPr>
        <w:snapToGrid w:val="0"/>
        <w:spacing w:line="360" w:lineRule="exact"/>
        <w:jc w:val="left"/>
        <w:rPr>
          <w:rFonts w:ascii="宋体" w:hAnsi="宋体" w:eastAsia="宋体" w:cs="宋体"/>
          <w:color w:val="auto"/>
          <w:sz w:val="21"/>
          <w:szCs w:val="21"/>
        </w:rPr>
      </w:pPr>
    </w:p>
    <w:p w14:paraId="40853FEE">
      <w:pPr>
        <w:rPr>
          <w:rFonts w:ascii="宋体" w:hAnsi="宋体" w:eastAsia="宋体" w:cs="宋体"/>
          <w:b/>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附件3</w:t>
      </w:r>
    </w:p>
    <w:p w14:paraId="5293723A">
      <w:pPr>
        <w:snapToGrid w:val="0"/>
        <w:spacing w:before="120" w:beforeLines="50" w:after="50" w:line="400" w:lineRule="exact"/>
        <w:jc w:val="center"/>
        <w:rPr>
          <w:rFonts w:ascii="宋体" w:hAnsi="宋体" w:eastAsia="宋体" w:cs="宋体"/>
          <w:color w:val="auto"/>
          <w:sz w:val="21"/>
          <w:szCs w:val="21"/>
        </w:rPr>
      </w:pPr>
      <w:r>
        <w:rPr>
          <w:rFonts w:hint="eastAsia" w:ascii="宋体" w:hAnsi="宋体" w:eastAsia="宋体" w:cs="宋体"/>
          <w:b/>
          <w:color w:val="auto"/>
          <w:sz w:val="21"/>
          <w:szCs w:val="21"/>
          <w:lang w:eastAsia="zh-CN"/>
        </w:rPr>
        <w:t>资格</w:t>
      </w:r>
      <w:r>
        <w:rPr>
          <w:rFonts w:hint="eastAsia" w:ascii="宋体" w:hAnsi="宋体" w:eastAsia="宋体" w:cs="宋体"/>
          <w:b/>
          <w:color w:val="auto"/>
          <w:sz w:val="21"/>
          <w:szCs w:val="21"/>
        </w:rPr>
        <w:t>声明函</w:t>
      </w:r>
    </w:p>
    <w:p w14:paraId="5457CB47">
      <w:pPr>
        <w:snapToGrid w:val="0"/>
        <w:spacing w:before="120" w:beforeLines="50" w:after="50" w:line="400" w:lineRule="exact"/>
        <w:rPr>
          <w:rFonts w:ascii="宋体" w:hAnsi="宋体" w:eastAsia="宋体" w:cs="宋体"/>
          <w:color w:val="auto"/>
          <w:sz w:val="21"/>
          <w:szCs w:val="21"/>
        </w:rPr>
      </w:pPr>
    </w:p>
    <w:p w14:paraId="04CE2F38">
      <w:pPr>
        <w:snapToGrid w:val="0"/>
        <w:spacing w:line="480" w:lineRule="exact"/>
        <w:rPr>
          <w:rFonts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w:t>
      </w:r>
      <w:r>
        <w:rPr>
          <w:rFonts w:hint="eastAsia" w:ascii="宋体" w:hAnsi="宋体" w:eastAsia="宋体" w:cs="宋体"/>
          <w:color w:val="auto"/>
          <w:sz w:val="21"/>
          <w:szCs w:val="21"/>
        </w:rPr>
        <w:t>：</w:t>
      </w:r>
    </w:p>
    <w:p w14:paraId="2AA299CC">
      <w:pPr>
        <w:snapToGrid w:val="0"/>
        <w:spacing w:line="480" w:lineRule="exact"/>
        <w:ind w:firstLine="645"/>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eastAsia="zh-CN"/>
        </w:rPr>
        <w:t>关于</w:t>
      </w:r>
      <w:r>
        <w:rPr>
          <w:rFonts w:hint="eastAsia" w:ascii="宋体" w:hAnsi="宋体" w:eastAsia="宋体" w:cs="宋体"/>
          <w:color w:val="auto"/>
          <w:sz w:val="21"/>
          <w:szCs w:val="21"/>
          <w:u w:val="single"/>
          <w:lang w:val="en-US" w:eastAsia="zh-CN"/>
        </w:rPr>
        <w:t xml:space="preserve">                     采购项目（采购编号：      ）</w:t>
      </w:r>
      <w:r>
        <w:rPr>
          <w:rFonts w:hint="eastAsia" w:ascii="宋体" w:hAnsi="宋体" w:eastAsia="宋体" w:cs="宋体"/>
          <w:color w:val="auto"/>
          <w:sz w:val="21"/>
          <w:szCs w:val="21"/>
          <w:u w:val="none"/>
          <w:lang w:val="en-US" w:eastAsia="zh-CN"/>
        </w:rPr>
        <w:t>的政府采购活动，我方愿意参加投标，并声明：</w:t>
      </w:r>
    </w:p>
    <w:p w14:paraId="2190751E">
      <w:pPr>
        <w:snapToGrid w:val="0"/>
        <w:spacing w:line="480" w:lineRule="exact"/>
        <w:ind w:firstLine="645"/>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val="en-US" w:eastAsia="zh-CN"/>
        </w:rPr>
        <w:t>参加本次政府采购活动中如有违法、违规、弄虚作假行为，</w:t>
      </w:r>
      <w:r>
        <w:rPr>
          <w:rFonts w:hint="eastAsia" w:ascii="宋体" w:hAnsi="宋体" w:eastAsia="宋体" w:cs="宋体"/>
          <w:color w:val="auto"/>
          <w:sz w:val="21"/>
          <w:szCs w:val="21"/>
          <w:u w:val="none"/>
          <w:lang w:eastAsia="zh-CN"/>
        </w:rPr>
        <w:t>所造成的损失、不良后果及法律责任，一律由本公司承担。</w:t>
      </w:r>
    </w:p>
    <w:p w14:paraId="31CC7FAA">
      <w:pPr>
        <w:snapToGrid w:val="0"/>
        <w:spacing w:line="480" w:lineRule="exact"/>
        <w:ind w:firstLine="645"/>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eastAsia="zh-CN"/>
        </w:rPr>
        <w:t>特此申明！</w:t>
      </w:r>
    </w:p>
    <w:p w14:paraId="67FDB13E">
      <w:pPr>
        <w:tabs>
          <w:tab w:val="left" w:pos="939"/>
        </w:tabs>
        <w:snapToGrid w:val="0"/>
        <w:spacing w:line="480" w:lineRule="exact"/>
        <w:ind w:left="716" w:leftChars="150" w:hanging="401" w:hangingChars="191"/>
        <w:rPr>
          <w:rFonts w:ascii="宋体" w:hAnsi="宋体" w:eastAsia="宋体" w:cs="宋体"/>
          <w:color w:val="auto"/>
          <w:sz w:val="21"/>
          <w:szCs w:val="21"/>
        </w:rPr>
      </w:pPr>
    </w:p>
    <w:p w14:paraId="51B37E31">
      <w:pPr>
        <w:tabs>
          <w:tab w:val="left" w:pos="939"/>
        </w:tabs>
        <w:snapToGrid w:val="0"/>
        <w:spacing w:line="480" w:lineRule="exact"/>
        <w:ind w:left="716" w:leftChars="150" w:hanging="401" w:hangingChars="191"/>
        <w:rPr>
          <w:rFonts w:ascii="宋体" w:hAnsi="宋体" w:eastAsia="宋体" w:cs="宋体"/>
          <w:color w:val="auto"/>
          <w:sz w:val="21"/>
          <w:szCs w:val="21"/>
        </w:rPr>
      </w:pPr>
    </w:p>
    <w:p w14:paraId="0E4A9400">
      <w:pPr>
        <w:tabs>
          <w:tab w:val="left" w:pos="939"/>
        </w:tabs>
        <w:snapToGrid w:val="0"/>
        <w:spacing w:line="480" w:lineRule="exact"/>
        <w:ind w:left="716" w:leftChars="150" w:hanging="401" w:hangingChars="191"/>
        <w:rPr>
          <w:rFonts w:ascii="宋体" w:hAnsi="宋体" w:eastAsia="宋体" w:cs="宋体"/>
          <w:color w:val="auto"/>
          <w:sz w:val="21"/>
          <w:szCs w:val="21"/>
        </w:rPr>
      </w:pPr>
    </w:p>
    <w:p w14:paraId="6984B27F">
      <w:pPr>
        <w:snapToGrid w:val="0"/>
        <w:spacing w:before="120" w:line="360" w:lineRule="auto"/>
        <w:ind w:right="600"/>
        <w:rPr>
          <w:rFonts w:hint="eastAsia" w:ascii="宋体" w:hAnsi="宋体" w:eastAsia="宋体" w:cs="宋体"/>
          <w:color w:val="auto"/>
          <w:sz w:val="21"/>
          <w:szCs w:val="21"/>
          <w:u w:val="single"/>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4B9C7D55">
      <w:pPr>
        <w:snapToGrid w:val="0"/>
        <w:spacing w:before="120" w:line="360" w:lineRule="auto"/>
        <w:ind w:right="600"/>
        <w:rPr>
          <w:rFonts w:ascii="宋体" w:hAnsi="宋体" w:eastAsia="宋体" w:cs="宋体"/>
          <w:color w:val="auto"/>
          <w:sz w:val="21"/>
          <w:szCs w:val="21"/>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6F70746B">
      <w:pPr>
        <w:snapToGrid w:val="0"/>
        <w:spacing w:before="12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1C6AD540">
      <w:pPr>
        <w:tabs>
          <w:tab w:val="left" w:pos="1418"/>
        </w:tabs>
        <w:snapToGrid w:val="0"/>
        <w:spacing w:line="400" w:lineRule="exact"/>
        <w:jc w:val="left"/>
        <w:rPr>
          <w:rFonts w:ascii="宋体" w:hAnsi="宋体" w:eastAsia="宋体" w:cs="宋体"/>
          <w:b/>
          <w:color w:val="auto"/>
          <w:spacing w:val="20"/>
          <w:sz w:val="21"/>
          <w:szCs w:val="21"/>
        </w:rPr>
      </w:pPr>
    </w:p>
    <w:p w14:paraId="1D01CE0E">
      <w:pPr>
        <w:rPr>
          <w:rFonts w:ascii="宋体" w:hAnsi="宋体" w:eastAsia="宋体" w:cs="宋体"/>
          <w:b/>
          <w:color w:val="auto"/>
          <w:sz w:val="21"/>
          <w:szCs w:val="21"/>
        </w:rPr>
      </w:pPr>
    </w:p>
    <w:p w14:paraId="49874B3A">
      <w:pPr>
        <w:tabs>
          <w:tab w:val="left" w:pos="1418"/>
        </w:tabs>
        <w:snapToGrid w:val="0"/>
        <w:spacing w:line="400" w:lineRule="exact"/>
        <w:jc w:val="left"/>
        <w:rPr>
          <w:rFonts w:ascii="宋体" w:hAnsi="宋体" w:eastAsia="宋体" w:cs="宋体"/>
          <w:b/>
          <w:color w:val="auto"/>
          <w:spacing w:val="20"/>
          <w:sz w:val="21"/>
          <w:szCs w:val="21"/>
        </w:rPr>
      </w:pPr>
    </w:p>
    <w:p w14:paraId="7F732987">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00B1429A">
      <w:pPr>
        <w:rPr>
          <w:rFonts w:hint="eastAsia" w:ascii="宋体" w:hAnsi="宋体" w:eastAsia="宋体" w:cs="宋体"/>
          <w:color w:val="auto"/>
          <w:sz w:val="21"/>
          <w:szCs w:val="21"/>
        </w:rPr>
      </w:pPr>
      <w:r>
        <w:rPr>
          <w:rFonts w:hint="eastAsia" w:ascii="宋体" w:hAnsi="宋体" w:eastAsia="宋体" w:cs="宋体"/>
          <w:color w:val="auto"/>
          <w:sz w:val="21"/>
          <w:szCs w:val="21"/>
        </w:rPr>
        <w:t>附件4</w:t>
      </w:r>
    </w:p>
    <w:p w14:paraId="7BAE854A">
      <w:pPr>
        <w:snapToGrid w:val="0"/>
        <w:spacing w:before="120" w:beforeLines="50" w:after="50"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投标单位情况表</w:t>
      </w:r>
    </w:p>
    <w:p w14:paraId="6ED9FF79">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投标单位：                                        填表日期：</w:t>
      </w:r>
    </w:p>
    <w:tbl>
      <w:tblPr>
        <w:tblStyle w:val="19"/>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291E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tcBorders>
              <w:tl2br w:val="nil"/>
              <w:tr2bl w:val="nil"/>
            </w:tcBorders>
            <w:vAlign w:val="center"/>
          </w:tcPr>
          <w:p w14:paraId="15EB1C5B">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单位名称</w:t>
            </w:r>
          </w:p>
        </w:tc>
        <w:tc>
          <w:tcPr>
            <w:tcW w:w="3385" w:type="dxa"/>
            <w:tcBorders>
              <w:tl2br w:val="nil"/>
              <w:tr2bl w:val="nil"/>
            </w:tcBorders>
            <w:vAlign w:val="center"/>
          </w:tcPr>
          <w:p w14:paraId="281E68B2">
            <w:pPr>
              <w:widowControl/>
              <w:spacing w:line="276" w:lineRule="auto"/>
              <w:jc w:val="center"/>
              <w:rPr>
                <w:rFonts w:ascii="宋体" w:hAnsi="宋体" w:eastAsia="宋体" w:cs="宋体"/>
                <w:color w:val="auto"/>
                <w:sz w:val="21"/>
                <w:szCs w:val="21"/>
              </w:rPr>
            </w:pPr>
          </w:p>
        </w:tc>
        <w:tc>
          <w:tcPr>
            <w:tcW w:w="1418" w:type="dxa"/>
            <w:gridSpan w:val="2"/>
            <w:tcBorders>
              <w:tl2br w:val="nil"/>
              <w:tr2bl w:val="nil"/>
            </w:tcBorders>
            <w:vAlign w:val="center"/>
          </w:tcPr>
          <w:p w14:paraId="523653AA">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2627" w:type="dxa"/>
            <w:tcBorders>
              <w:tl2br w:val="nil"/>
              <w:tr2bl w:val="nil"/>
            </w:tcBorders>
            <w:vAlign w:val="center"/>
          </w:tcPr>
          <w:p w14:paraId="41D33E69">
            <w:pPr>
              <w:spacing w:before="120" w:after="120" w:line="276" w:lineRule="auto"/>
              <w:rPr>
                <w:rFonts w:ascii="宋体" w:hAnsi="宋体" w:eastAsia="宋体" w:cs="宋体"/>
                <w:color w:val="auto"/>
                <w:sz w:val="21"/>
                <w:szCs w:val="21"/>
              </w:rPr>
            </w:pPr>
          </w:p>
        </w:tc>
      </w:tr>
      <w:tr w14:paraId="5016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tcBorders>
              <w:tl2br w:val="nil"/>
              <w:tr2bl w:val="nil"/>
            </w:tcBorders>
            <w:vAlign w:val="center"/>
          </w:tcPr>
          <w:p w14:paraId="3461A095">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地址</w:t>
            </w:r>
          </w:p>
        </w:tc>
        <w:tc>
          <w:tcPr>
            <w:tcW w:w="3385" w:type="dxa"/>
            <w:tcBorders>
              <w:tl2br w:val="nil"/>
              <w:tr2bl w:val="nil"/>
            </w:tcBorders>
            <w:vAlign w:val="center"/>
          </w:tcPr>
          <w:p w14:paraId="39BBB36A">
            <w:pPr>
              <w:spacing w:before="120" w:after="120" w:line="276" w:lineRule="auto"/>
              <w:rPr>
                <w:rFonts w:ascii="宋体" w:hAnsi="宋体" w:eastAsia="宋体" w:cs="宋体"/>
                <w:color w:val="auto"/>
                <w:sz w:val="21"/>
                <w:szCs w:val="21"/>
              </w:rPr>
            </w:pPr>
          </w:p>
        </w:tc>
        <w:tc>
          <w:tcPr>
            <w:tcW w:w="1418" w:type="dxa"/>
            <w:gridSpan w:val="2"/>
            <w:tcBorders>
              <w:tl2br w:val="nil"/>
              <w:tr2bl w:val="nil"/>
            </w:tcBorders>
            <w:vAlign w:val="center"/>
          </w:tcPr>
          <w:p w14:paraId="42D47DA5">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传真</w:t>
            </w:r>
          </w:p>
        </w:tc>
        <w:tc>
          <w:tcPr>
            <w:tcW w:w="2627" w:type="dxa"/>
            <w:tcBorders>
              <w:tl2br w:val="nil"/>
              <w:tr2bl w:val="nil"/>
            </w:tcBorders>
            <w:vAlign w:val="center"/>
          </w:tcPr>
          <w:p w14:paraId="321866BB">
            <w:pPr>
              <w:spacing w:before="120" w:after="120" w:line="276" w:lineRule="auto"/>
              <w:rPr>
                <w:rFonts w:ascii="宋体" w:hAnsi="宋体" w:eastAsia="宋体" w:cs="宋体"/>
                <w:color w:val="auto"/>
                <w:sz w:val="21"/>
                <w:szCs w:val="21"/>
              </w:rPr>
            </w:pPr>
          </w:p>
        </w:tc>
      </w:tr>
      <w:tr w14:paraId="4D2C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tcBorders>
              <w:tl2br w:val="nil"/>
              <w:tr2bl w:val="nil"/>
            </w:tcBorders>
            <w:vAlign w:val="center"/>
          </w:tcPr>
          <w:p w14:paraId="75672E68">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主管部门</w:t>
            </w:r>
          </w:p>
        </w:tc>
        <w:tc>
          <w:tcPr>
            <w:tcW w:w="3385" w:type="dxa"/>
            <w:tcBorders>
              <w:tl2br w:val="nil"/>
              <w:tr2bl w:val="nil"/>
            </w:tcBorders>
            <w:vAlign w:val="center"/>
          </w:tcPr>
          <w:p w14:paraId="67C94798">
            <w:pPr>
              <w:spacing w:before="120" w:after="120" w:line="276" w:lineRule="auto"/>
              <w:rPr>
                <w:rFonts w:ascii="宋体" w:hAnsi="宋体" w:eastAsia="宋体" w:cs="宋体"/>
                <w:color w:val="auto"/>
                <w:sz w:val="21"/>
                <w:szCs w:val="21"/>
              </w:rPr>
            </w:pPr>
          </w:p>
        </w:tc>
        <w:tc>
          <w:tcPr>
            <w:tcW w:w="1418" w:type="dxa"/>
            <w:gridSpan w:val="2"/>
            <w:tcBorders>
              <w:tl2br w:val="nil"/>
              <w:tr2bl w:val="nil"/>
            </w:tcBorders>
            <w:vAlign w:val="center"/>
          </w:tcPr>
          <w:p w14:paraId="6B528C60">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企业性质</w:t>
            </w:r>
          </w:p>
        </w:tc>
        <w:tc>
          <w:tcPr>
            <w:tcW w:w="2627" w:type="dxa"/>
            <w:tcBorders>
              <w:tl2br w:val="nil"/>
              <w:tr2bl w:val="nil"/>
            </w:tcBorders>
            <w:vAlign w:val="center"/>
          </w:tcPr>
          <w:p w14:paraId="3340CD50">
            <w:pPr>
              <w:spacing w:before="120" w:after="120" w:line="276" w:lineRule="auto"/>
              <w:rPr>
                <w:rFonts w:ascii="宋体" w:hAnsi="宋体" w:eastAsia="宋体" w:cs="宋体"/>
                <w:color w:val="auto"/>
                <w:sz w:val="21"/>
                <w:szCs w:val="21"/>
              </w:rPr>
            </w:pPr>
          </w:p>
        </w:tc>
      </w:tr>
      <w:tr w14:paraId="57D4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tcBorders>
              <w:tl2br w:val="nil"/>
              <w:tr2bl w:val="nil"/>
            </w:tcBorders>
            <w:vAlign w:val="center"/>
          </w:tcPr>
          <w:p w14:paraId="35890AFB">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企业法人</w:t>
            </w:r>
          </w:p>
        </w:tc>
        <w:tc>
          <w:tcPr>
            <w:tcW w:w="3385" w:type="dxa"/>
            <w:tcBorders>
              <w:tl2br w:val="nil"/>
              <w:tr2bl w:val="nil"/>
            </w:tcBorders>
            <w:vAlign w:val="center"/>
          </w:tcPr>
          <w:p w14:paraId="412BF91A">
            <w:pPr>
              <w:spacing w:before="120" w:after="120" w:line="276" w:lineRule="auto"/>
              <w:rPr>
                <w:rFonts w:ascii="宋体" w:hAnsi="宋体" w:eastAsia="宋体" w:cs="宋体"/>
                <w:color w:val="auto"/>
                <w:sz w:val="21"/>
                <w:szCs w:val="21"/>
              </w:rPr>
            </w:pPr>
          </w:p>
        </w:tc>
        <w:tc>
          <w:tcPr>
            <w:tcW w:w="1418" w:type="dxa"/>
            <w:gridSpan w:val="2"/>
            <w:tcBorders>
              <w:tl2br w:val="nil"/>
              <w:tr2bl w:val="nil"/>
            </w:tcBorders>
            <w:vAlign w:val="center"/>
          </w:tcPr>
          <w:p w14:paraId="5E452FD2">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资质等级</w:t>
            </w:r>
          </w:p>
        </w:tc>
        <w:tc>
          <w:tcPr>
            <w:tcW w:w="2627" w:type="dxa"/>
            <w:tcBorders>
              <w:tl2br w:val="nil"/>
              <w:tr2bl w:val="nil"/>
            </w:tcBorders>
            <w:vAlign w:val="center"/>
          </w:tcPr>
          <w:p w14:paraId="2E429FF5">
            <w:pPr>
              <w:spacing w:before="120" w:after="120" w:line="276" w:lineRule="auto"/>
              <w:rPr>
                <w:rFonts w:ascii="宋体" w:hAnsi="宋体" w:eastAsia="宋体" w:cs="宋体"/>
                <w:color w:val="auto"/>
                <w:sz w:val="21"/>
                <w:szCs w:val="21"/>
              </w:rPr>
            </w:pPr>
          </w:p>
        </w:tc>
      </w:tr>
      <w:tr w14:paraId="6D1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tcBorders>
              <w:tl2br w:val="nil"/>
              <w:tr2bl w:val="nil"/>
            </w:tcBorders>
            <w:vAlign w:val="center"/>
          </w:tcPr>
          <w:p w14:paraId="52ED8F56">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授权代表</w:t>
            </w:r>
          </w:p>
        </w:tc>
        <w:tc>
          <w:tcPr>
            <w:tcW w:w="3385" w:type="dxa"/>
            <w:tcBorders>
              <w:tl2br w:val="nil"/>
              <w:tr2bl w:val="nil"/>
            </w:tcBorders>
            <w:vAlign w:val="center"/>
          </w:tcPr>
          <w:p w14:paraId="03FB95F7">
            <w:pPr>
              <w:spacing w:before="120" w:after="120" w:line="276" w:lineRule="auto"/>
              <w:rPr>
                <w:rFonts w:ascii="宋体" w:hAnsi="宋体" w:eastAsia="宋体" w:cs="宋体"/>
                <w:color w:val="auto"/>
                <w:sz w:val="21"/>
                <w:szCs w:val="21"/>
              </w:rPr>
            </w:pPr>
          </w:p>
        </w:tc>
        <w:tc>
          <w:tcPr>
            <w:tcW w:w="1418" w:type="dxa"/>
            <w:gridSpan w:val="2"/>
            <w:tcBorders>
              <w:tl2br w:val="nil"/>
              <w:tr2bl w:val="nil"/>
            </w:tcBorders>
            <w:vAlign w:val="center"/>
          </w:tcPr>
          <w:p w14:paraId="025ABEAC">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职务</w:t>
            </w:r>
          </w:p>
        </w:tc>
        <w:tc>
          <w:tcPr>
            <w:tcW w:w="2627" w:type="dxa"/>
            <w:tcBorders>
              <w:tl2br w:val="nil"/>
              <w:tr2bl w:val="nil"/>
            </w:tcBorders>
            <w:vAlign w:val="center"/>
          </w:tcPr>
          <w:p w14:paraId="1D04BACE">
            <w:pPr>
              <w:spacing w:before="120" w:after="120" w:line="276" w:lineRule="auto"/>
              <w:rPr>
                <w:rFonts w:ascii="宋体" w:hAnsi="宋体" w:eastAsia="宋体" w:cs="宋体"/>
                <w:color w:val="auto"/>
                <w:sz w:val="21"/>
                <w:szCs w:val="21"/>
              </w:rPr>
            </w:pPr>
          </w:p>
        </w:tc>
      </w:tr>
      <w:tr w14:paraId="7BC1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tcBorders>
              <w:tl2br w:val="nil"/>
              <w:tr2bl w:val="nil"/>
            </w:tcBorders>
            <w:vAlign w:val="center"/>
          </w:tcPr>
          <w:p w14:paraId="4CCA358F">
            <w:pPr>
              <w:spacing w:before="120" w:after="120" w:line="276" w:lineRule="auto"/>
              <w:ind w:firstLine="630" w:firstLineChars="300"/>
              <w:rPr>
                <w:rFonts w:ascii="宋体" w:hAnsi="宋体" w:eastAsia="宋体" w:cs="宋体"/>
                <w:color w:val="auto"/>
                <w:sz w:val="21"/>
                <w:szCs w:val="21"/>
              </w:rPr>
            </w:pPr>
          </w:p>
          <w:p w14:paraId="588B3DBB">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单位</w:t>
            </w:r>
          </w:p>
          <w:p w14:paraId="0C259E07">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概况</w:t>
            </w:r>
          </w:p>
          <w:p w14:paraId="4386BEC8">
            <w:pPr>
              <w:spacing w:before="120" w:after="120" w:line="276" w:lineRule="auto"/>
              <w:ind w:firstLine="630" w:firstLineChars="300"/>
              <w:rPr>
                <w:rFonts w:ascii="宋体" w:hAnsi="宋体" w:eastAsia="宋体" w:cs="宋体"/>
                <w:color w:val="auto"/>
                <w:sz w:val="21"/>
                <w:szCs w:val="21"/>
              </w:rPr>
            </w:pPr>
          </w:p>
          <w:p w14:paraId="3B641B2D">
            <w:pPr>
              <w:spacing w:before="120" w:after="120" w:line="276" w:lineRule="auto"/>
              <w:ind w:firstLine="630" w:firstLineChars="300"/>
              <w:rPr>
                <w:rFonts w:ascii="宋体" w:hAnsi="宋体" w:eastAsia="宋体" w:cs="宋体"/>
                <w:color w:val="auto"/>
                <w:sz w:val="21"/>
                <w:szCs w:val="21"/>
              </w:rPr>
            </w:pPr>
          </w:p>
          <w:p w14:paraId="35EBBE90">
            <w:pPr>
              <w:spacing w:before="120" w:after="120" w:line="276" w:lineRule="auto"/>
              <w:ind w:firstLine="630" w:firstLineChars="300"/>
              <w:rPr>
                <w:rFonts w:ascii="宋体" w:hAnsi="宋体" w:eastAsia="宋体" w:cs="宋体"/>
                <w:color w:val="auto"/>
                <w:sz w:val="21"/>
                <w:szCs w:val="21"/>
              </w:rPr>
            </w:pPr>
          </w:p>
          <w:p w14:paraId="0D7B2F4D">
            <w:pPr>
              <w:spacing w:before="120" w:after="120" w:line="276" w:lineRule="auto"/>
              <w:ind w:firstLine="630" w:firstLineChars="300"/>
              <w:rPr>
                <w:rFonts w:ascii="宋体" w:hAnsi="宋体" w:eastAsia="宋体" w:cs="宋体"/>
                <w:color w:val="auto"/>
                <w:sz w:val="21"/>
                <w:szCs w:val="21"/>
              </w:rPr>
            </w:pPr>
          </w:p>
        </w:tc>
        <w:tc>
          <w:tcPr>
            <w:tcW w:w="1300" w:type="dxa"/>
            <w:vMerge w:val="restart"/>
            <w:tcBorders>
              <w:tl2br w:val="nil"/>
              <w:tr2bl w:val="nil"/>
            </w:tcBorders>
            <w:vAlign w:val="center"/>
          </w:tcPr>
          <w:p w14:paraId="1BBC219E">
            <w:pPr>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职工总数</w:t>
            </w:r>
          </w:p>
        </w:tc>
        <w:tc>
          <w:tcPr>
            <w:tcW w:w="3385" w:type="dxa"/>
            <w:tcBorders>
              <w:tl2br w:val="nil"/>
              <w:tr2bl w:val="nil"/>
            </w:tcBorders>
            <w:vAlign w:val="center"/>
          </w:tcPr>
          <w:p w14:paraId="10B3B95C">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员工：           人</w:t>
            </w:r>
          </w:p>
        </w:tc>
        <w:tc>
          <w:tcPr>
            <w:tcW w:w="4045" w:type="dxa"/>
            <w:gridSpan w:val="3"/>
            <w:tcBorders>
              <w:tl2br w:val="nil"/>
              <w:tr2bl w:val="nil"/>
            </w:tcBorders>
            <w:vAlign w:val="center"/>
          </w:tcPr>
          <w:p w14:paraId="579186CA">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技术工人：          人</w:t>
            </w:r>
          </w:p>
        </w:tc>
      </w:tr>
      <w:tr w14:paraId="1203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tcBorders>
              <w:tl2br w:val="nil"/>
              <w:tr2bl w:val="nil"/>
            </w:tcBorders>
            <w:vAlign w:val="center"/>
          </w:tcPr>
          <w:p w14:paraId="010EEEE5">
            <w:pPr>
              <w:rPr>
                <w:rFonts w:ascii="宋体" w:hAnsi="宋体" w:eastAsia="宋体" w:cs="宋体"/>
                <w:color w:val="auto"/>
                <w:sz w:val="21"/>
                <w:szCs w:val="21"/>
              </w:rPr>
            </w:pPr>
          </w:p>
        </w:tc>
        <w:tc>
          <w:tcPr>
            <w:tcW w:w="1300" w:type="dxa"/>
            <w:vMerge w:val="continue"/>
            <w:tcBorders>
              <w:tl2br w:val="nil"/>
              <w:tr2bl w:val="nil"/>
            </w:tcBorders>
            <w:vAlign w:val="center"/>
          </w:tcPr>
          <w:p w14:paraId="20DBB2FC">
            <w:pPr>
              <w:rPr>
                <w:rFonts w:ascii="宋体" w:hAnsi="宋体" w:eastAsia="宋体" w:cs="宋体"/>
                <w:color w:val="auto"/>
                <w:sz w:val="21"/>
                <w:szCs w:val="21"/>
              </w:rPr>
            </w:pPr>
          </w:p>
        </w:tc>
        <w:tc>
          <w:tcPr>
            <w:tcW w:w="3385" w:type="dxa"/>
            <w:tcBorders>
              <w:tl2br w:val="nil"/>
              <w:tr2bl w:val="nil"/>
            </w:tcBorders>
            <w:vAlign w:val="center"/>
          </w:tcPr>
          <w:p w14:paraId="52B0EC80">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高级技师：       人</w:t>
            </w:r>
          </w:p>
        </w:tc>
        <w:tc>
          <w:tcPr>
            <w:tcW w:w="4045" w:type="dxa"/>
            <w:gridSpan w:val="3"/>
            <w:tcBorders>
              <w:tl2br w:val="nil"/>
              <w:tr2bl w:val="nil"/>
            </w:tcBorders>
            <w:vAlign w:val="center"/>
          </w:tcPr>
          <w:p w14:paraId="4B887C30">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工程师：            人</w:t>
            </w:r>
          </w:p>
        </w:tc>
      </w:tr>
      <w:tr w14:paraId="1C29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tcBorders>
              <w:tl2br w:val="nil"/>
              <w:tr2bl w:val="nil"/>
            </w:tcBorders>
            <w:vAlign w:val="center"/>
          </w:tcPr>
          <w:p w14:paraId="40B9E4E8">
            <w:pPr>
              <w:rPr>
                <w:rFonts w:ascii="宋体" w:hAnsi="宋体" w:eastAsia="宋体" w:cs="宋体"/>
                <w:color w:val="auto"/>
                <w:sz w:val="21"/>
                <w:szCs w:val="21"/>
              </w:rPr>
            </w:pPr>
          </w:p>
        </w:tc>
        <w:tc>
          <w:tcPr>
            <w:tcW w:w="1300" w:type="dxa"/>
            <w:tcBorders>
              <w:tl2br w:val="nil"/>
              <w:tr2bl w:val="nil"/>
            </w:tcBorders>
            <w:vAlign w:val="center"/>
          </w:tcPr>
          <w:p w14:paraId="4064E4F1">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流动资金</w:t>
            </w:r>
          </w:p>
        </w:tc>
        <w:tc>
          <w:tcPr>
            <w:tcW w:w="3385" w:type="dxa"/>
            <w:tcBorders>
              <w:tl2br w:val="nil"/>
              <w:tr2bl w:val="nil"/>
            </w:tcBorders>
            <w:vAlign w:val="center"/>
          </w:tcPr>
          <w:p w14:paraId="5D07604D">
            <w:pPr>
              <w:spacing w:before="120" w:after="120" w:line="276" w:lineRule="auto"/>
              <w:rPr>
                <w:rFonts w:ascii="宋体" w:hAnsi="宋体" w:eastAsia="宋体" w:cs="宋体"/>
                <w:color w:val="auto"/>
                <w:sz w:val="21"/>
                <w:szCs w:val="21"/>
              </w:rPr>
            </w:pPr>
          </w:p>
        </w:tc>
        <w:tc>
          <w:tcPr>
            <w:tcW w:w="1260" w:type="dxa"/>
            <w:tcBorders>
              <w:tl2br w:val="nil"/>
              <w:tr2bl w:val="nil"/>
            </w:tcBorders>
            <w:vAlign w:val="center"/>
          </w:tcPr>
          <w:p w14:paraId="7D5085BC">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营业面积</w:t>
            </w:r>
          </w:p>
        </w:tc>
        <w:tc>
          <w:tcPr>
            <w:tcW w:w="2785" w:type="dxa"/>
            <w:gridSpan w:val="2"/>
            <w:tcBorders>
              <w:tl2br w:val="nil"/>
              <w:tr2bl w:val="nil"/>
            </w:tcBorders>
            <w:vAlign w:val="center"/>
          </w:tcPr>
          <w:p w14:paraId="44C21757">
            <w:pPr>
              <w:spacing w:before="120" w:after="120" w:line="276" w:lineRule="auto"/>
              <w:rPr>
                <w:rFonts w:ascii="宋体" w:hAnsi="宋体" w:eastAsia="宋体" w:cs="宋体"/>
                <w:color w:val="auto"/>
                <w:sz w:val="21"/>
                <w:szCs w:val="21"/>
              </w:rPr>
            </w:pPr>
          </w:p>
        </w:tc>
      </w:tr>
      <w:tr w14:paraId="24D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tcBorders>
              <w:tl2br w:val="nil"/>
              <w:tr2bl w:val="nil"/>
            </w:tcBorders>
            <w:vAlign w:val="center"/>
          </w:tcPr>
          <w:p w14:paraId="19A04C94">
            <w:pPr>
              <w:rPr>
                <w:rFonts w:ascii="宋体" w:hAnsi="宋体" w:eastAsia="宋体" w:cs="宋体"/>
                <w:color w:val="auto"/>
                <w:sz w:val="21"/>
                <w:szCs w:val="21"/>
              </w:rPr>
            </w:pPr>
          </w:p>
        </w:tc>
        <w:tc>
          <w:tcPr>
            <w:tcW w:w="1300" w:type="dxa"/>
            <w:tcBorders>
              <w:tl2br w:val="nil"/>
              <w:tr2bl w:val="nil"/>
            </w:tcBorders>
            <w:vAlign w:val="center"/>
          </w:tcPr>
          <w:p w14:paraId="7A0C6D4D">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固定资金</w:t>
            </w:r>
          </w:p>
        </w:tc>
        <w:tc>
          <w:tcPr>
            <w:tcW w:w="3385" w:type="dxa"/>
            <w:tcBorders>
              <w:tl2br w:val="nil"/>
              <w:tr2bl w:val="nil"/>
            </w:tcBorders>
            <w:vAlign w:val="center"/>
          </w:tcPr>
          <w:p w14:paraId="286FD284">
            <w:pPr>
              <w:widowControl/>
              <w:spacing w:line="276" w:lineRule="auto"/>
              <w:jc w:val="center"/>
              <w:rPr>
                <w:rFonts w:ascii="宋体" w:hAnsi="宋体" w:eastAsia="宋体" w:cs="宋体"/>
                <w:color w:val="auto"/>
                <w:sz w:val="21"/>
                <w:szCs w:val="21"/>
              </w:rPr>
            </w:pPr>
          </w:p>
        </w:tc>
        <w:tc>
          <w:tcPr>
            <w:tcW w:w="1260" w:type="dxa"/>
            <w:tcBorders>
              <w:tl2br w:val="nil"/>
              <w:tr2bl w:val="nil"/>
            </w:tcBorders>
            <w:vAlign w:val="center"/>
          </w:tcPr>
          <w:p w14:paraId="77A61C3F">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维修网点</w:t>
            </w:r>
          </w:p>
        </w:tc>
        <w:tc>
          <w:tcPr>
            <w:tcW w:w="2785" w:type="dxa"/>
            <w:gridSpan w:val="2"/>
            <w:tcBorders>
              <w:tl2br w:val="nil"/>
              <w:tr2bl w:val="nil"/>
            </w:tcBorders>
            <w:vAlign w:val="center"/>
          </w:tcPr>
          <w:p w14:paraId="06C0F1E2">
            <w:pPr>
              <w:widowControl/>
              <w:spacing w:line="276" w:lineRule="auto"/>
              <w:jc w:val="center"/>
              <w:rPr>
                <w:rFonts w:ascii="宋体" w:hAnsi="宋体" w:eastAsia="宋体" w:cs="宋体"/>
                <w:color w:val="auto"/>
                <w:sz w:val="21"/>
                <w:szCs w:val="21"/>
              </w:rPr>
            </w:pPr>
          </w:p>
        </w:tc>
      </w:tr>
      <w:tr w14:paraId="59F4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tcBorders>
              <w:tl2br w:val="nil"/>
              <w:tr2bl w:val="nil"/>
            </w:tcBorders>
            <w:vAlign w:val="center"/>
          </w:tcPr>
          <w:p w14:paraId="68E4DE33">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单位简历</w:t>
            </w:r>
          </w:p>
        </w:tc>
        <w:tc>
          <w:tcPr>
            <w:tcW w:w="8730" w:type="dxa"/>
            <w:gridSpan w:val="5"/>
            <w:tcBorders>
              <w:tl2br w:val="nil"/>
              <w:tr2bl w:val="nil"/>
            </w:tcBorders>
          </w:tcPr>
          <w:p w14:paraId="5A9DD895">
            <w:pPr>
              <w:spacing w:line="276" w:lineRule="auto"/>
              <w:jc w:val="left"/>
              <w:rPr>
                <w:rFonts w:ascii="宋体" w:hAnsi="宋体" w:eastAsia="宋体" w:cs="宋体"/>
                <w:color w:val="auto"/>
                <w:sz w:val="21"/>
                <w:szCs w:val="21"/>
              </w:rPr>
            </w:pPr>
          </w:p>
        </w:tc>
      </w:tr>
      <w:tr w14:paraId="6291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tcBorders>
              <w:tl2br w:val="nil"/>
              <w:tr2bl w:val="nil"/>
            </w:tcBorders>
            <w:vAlign w:val="center"/>
          </w:tcPr>
          <w:p w14:paraId="53941007">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优势及特长</w:t>
            </w:r>
          </w:p>
        </w:tc>
        <w:tc>
          <w:tcPr>
            <w:tcW w:w="8730" w:type="dxa"/>
            <w:gridSpan w:val="5"/>
            <w:tcBorders>
              <w:tl2br w:val="nil"/>
              <w:tr2bl w:val="nil"/>
            </w:tcBorders>
          </w:tcPr>
          <w:p w14:paraId="642052F7">
            <w:pPr>
              <w:spacing w:line="276" w:lineRule="auto"/>
              <w:jc w:val="left"/>
              <w:rPr>
                <w:rFonts w:ascii="宋体" w:hAnsi="宋体" w:eastAsia="宋体" w:cs="宋体"/>
                <w:color w:val="auto"/>
                <w:sz w:val="21"/>
                <w:szCs w:val="21"/>
              </w:rPr>
            </w:pPr>
          </w:p>
        </w:tc>
      </w:tr>
    </w:tbl>
    <w:p w14:paraId="6AFC6FE8">
      <w:pPr>
        <w:snapToGrid w:val="0"/>
        <w:spacing w:before="50" w:after="120" w:afterLines="50" w:line="276" w:lineRule="auto"/>
        <w:jc w:val="left"/>
        <w:rPr>
          <w:rFonts w:ascii="宋体" w:hAnsi="宋体" w:eastAsia="宋体" w:cs="宋体"/>
          <w:b/>
          <w:color w:val="auto"/>
          <w:sz w:val="21"/>
          <w:szCs w:val="21"/>
        </w:rPr>
      </w:pPr>
    </w:p>
    <w:p w14:paraId="4770A01E">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74CC75B5">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5</w:t>
      </w:r>
    </w:p>
    <w:p w14:paraId="3B867CFB">
      <w:pPr>
        <w:rPr>
          <w:rFonts w:hint="eastAsia" w:ascii="宋体" w:hAnsi="宋体" w:eastAsia="宋体" w:cs="宋体"/>
          <w:color w:val="auto"/>
          <w:sz w:val="21"/>
          <w:szCs w:val="21"/>
        </w:rPr>
      </w:pPr>
    </w:p>
    <w:p w14:paraId="4CE8CF13">
      <w:pPr>
        <w:snapToGrid w:val="0"/>
        <w:spacing w:before="120" w:beforeLines="50" w:after="50"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政府采购供应商诚信承诺书</w:t>
      </w:r>
    </w:p>
    <w:p w14:paraId="1D5D488B">
      <w:pPr>
        <w:widowControl/>
        <w:spacing w:before="100" w:beforeAutospacing="1" w:after="190"/>
        <w:jc w:val="left"/>
        <w:rPr>
          <w:rFonts w:ascii="宋体" w:hAnsi="宋体" w:eastAsia="宋体" w:cs="宋体"/>
          <w:b/>
          <w:color w:val="auto"/>
          <w:sz w:val="21"/>
          <w:szCs w:val="21"/>
        </w:rPr>
      </w:pPr>
      <w:r>
        <w:rPr>
          <w:rFonts w:hint="eastAsia" w:ascii="宋体" w:hAnsi="宋体" w:eastAsia="宋体" w:cs="宋体"/>
          <w:b/>
          <w:color w:val="auto"/>
          <w:sz w:val="21"/>
          <w:szCs w:val="21"/>
          <w:lang w:eastAsia="zh-CN"/>
        </w:rPr>
        <w:t>浙江科佳工程咨询有限公司</w:t>
      </w:r>
      <w:r>
        <w:rPr>
          <w:rFonts w:hint="eastAsia" w:ascii="宋体" w:hAnsi="宋体" w:eastAsia="宋体" w:cs="宋体"/>
          <w:b/>
          <w:color w:val="auto"/>
          <w:sz w:val="21"/>
          <w:szCs w:val="21"/>
        </w:rPr>
        <w:t>：</w:t>
      </w:r>
    </w:p>
    <w:p w14:paraId="7A662A19">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我公司自愿参与贵公司组织的</w:t>
      </w:r>
      <w:r>
        <w:rPr>
          <w:rFonts w:hint="eastAsia" w:ascii="宋体" w:hAnsi="宋体" w:eastAsia="宋体" w:cs="宋体"/>
          <w:color w:val="auto"/>
          <w:sz w:val="21"/>
          <w:szCs w:val="21"/>
          <w:u w:val="single"/>
        </w:rPr>
        <w:t xml:space="preserve">            </w:t>
      </w:r>
      <w:r>
        <w:rPr>
          <w:rFonts w:hint="eastAsia" w:ascii="宋体" w:hAnsi="宋体" w:eastAsia="宋体" w:cs="宋体"/>
          <w:bCs/>
          <w:color w:val="auto"/>
          <w:sz w:val="21"/>
          <w:szCs w:val="21"/>
          <w:u w:val="single"/>
        </w:rPr>
        <w:t>项目</w:t>
      </w:r>
      <w:r>
        <w:rPr>
          <w:rFonts w:hint="eastAsia" w:ascii="宋体" w:hAnsi="宋体" w:eastAsia="宋体" w:cs="宋体"/>
          <w:b/>
          <w:color w:val="auto"/>
          <w:sz w:val="21"/>
          <w:szCs w:val="21"/>
          <w:u w:val="single"/>
        </w:rPr>
        <w:t>（招标编号：     ）</w:t>
      </w:r>
      <w:r>
        <w:rPr>
          <w:rFonts w:hint="eastAsia" w:ascii="宋体" w:hAnsi="宋体" w:eastAsia="宋体" w:cs="宋体"/>
          <w:color w:val="auto"/>
          <w:sz w:val="21"/>
          <w:szCs w:val="21"/>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2AEBBA47">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（一）提供虚假材料谋取中标的；</w:t>
      </w:r>
    </w:p>
    <w:p w14:paraId="7087CE1A">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（二）采取不正当手段诋毁、排挤</w:t>
      </w:r>
      <w:r>
        <w:rPr>
          <w:color w:val="auto"/>
          <w:sz w:val="21"/>
          <w:szCs w:val="21"/>
        </w:rPr>
        <w:fldChar w:fldCharType="begin"/>
      </w:r>
      <w:r>
        <w:rPr>
          <w:color w:val="auto"/>
          <w:sz w:val="21"/>
          <w:szCs w:val="21"/>
        </w:rPr>
        <w:instrText xml:space="preserve"> HYPERLINK "http://www.oh100.com/qita/" </w:instrText>
      </w:r>
      <w:r>
        <w:rPr>
          <w:color w:val="auto"/>
          <w:sz w:val="21"/>
          <w:szCs w:val="21"/>
        </w:rPr>
        <w:fldChar w:fldCharType="separate"/>
      </w:r>
      <w:r>
        <w:rPr>
          <w:rFonts w:hint="eastAsia" w:ascii="宋体" w:hAnsi="宋体" w:eastAsia="宋体" w:cs="宋体"/>
          <w:color w:val="auto"/>
          <w:sz w:val="21"/>
          <w:szCs w:val="21"/>
        </w:rPr>
        <w:t>其他</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供应商的；</w:t>
      </w:r>
    </w:p>
    <w:p w14:paraId="1D790FCC">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（三）与招标采购单位、其他投标人恶意串通的；</w:t>
      </w:r>
    </w:p>
    <w:p w14:paraId="146DBDC9">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（四）向招标采购单位行贿或提供其他不正当利益的；</w:t>
      </w:r>
    </w:p>
    <w:p w14:paraId="45B482C3">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（五）在招标过程中与招标采购单位进行协商谈判、不按照招标文件和投标文件订立合同，或者与采购人另立背离合同实质性内容协议的；</w:t>
      </w:r>
    </w:p>
    <w:p w14:paraId="014D2E68">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（六）开标后擅自撤销投标，影响招标继续进行的；</w:t>
      </w:r>
    </w:p>
    <w:p w14:paraId="5FC5648C">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（七）中标后无正当理由，在规定时间内不与采购单位签订合同的；</w:t>
      </w:r>
    </w:p>
    <w:p w14:paraId="66545D43">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（八）将中标项目转让给他人或非法分包他人的；</w:t>
      </w:r>
    </w:p>
    <w:p w14:paraId="40849743">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（九）无正当理由，拒绝履行合同义务的；</w:t>
      </w:r>
    </w:p>
    <w:p w14:paraId="4D8DB4B5">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（十）无正当理由放弃中标（成交）项目的；</w:t>
      </w:r>
    </w:p>
    <w:p w14:paraId="7EF3D0E3">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（十一）擅自或与采购人串通或接受采购人要求，在履约合同中通过减少货物数量，更换品牌、降低配置、技术要求、质量和服务标准等，却仍按原合同进行虚假验收或终止政府采购合同的；</w:t>
      </w:r>
    </w:p>
    <w:p w14:paraId="62FBFA1F">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（十二）与采购人串通，对尚未履约完毕的采购项目出具虚假验收报告的；</w:t>
      </w:r>
    </w:p>
    <w:p w14:paraId="174149BC">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（十三）无不可抗力因素，拒绝提供售后服务、售后服务态度恶劣、故意提高维修配件价格（高于市场平均价）的；</w:t>
      </w:r>
    </w:p>
    <w:p w14:paraId="3302F628">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（十四）开标后对招标文件的相关内容再进行质疑的；</w:t>
      </w:r>
    </w:p>
    <w:p w14:paraId="2B79351A">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（十五）恶意投诉的行为：投诉经查无实据的、捏造事实或者提供虚假投诉材料的；</w:t>
      </w:r>
    </w:p>
    <w:p w14:paraId="681609FA">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（十六）拒绝有关部门监督检查或者提供虚假情况的；</w:t>
      </w:r>
    </w:p>
    <w:p w14:paraId="53DC6B2F">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（十七）财政、监察部门认定的其他不诚信行为。</w:t>
      </w:r>
    </w:p>
    <w:p w14:paraId="608AF02E">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（十八）招标文件规定的其他不诚信行为。</w:t>
      </w:r>
    </w:p>
    <w:p w14:paraId="0CB80E5B">
      <w:pPr>
        <w:snapToGrid w:val="0"/>
        <w:spacing w:before="120"/>
        <w:rPr>
          <w:rFonts w:ascii="宋体" w:hAnsi="宋体" w:eastAsia="宋体" w:cs="宋体"/>
          <w:color w:val="auto"/>
          <w:sz w:val="21"/>
          <w:szCs w:val="21"/>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0A8F70D9">
      <w:pPr>
        <w:snapToGrid w:val="0"/>
        <w:spacing w:before="120"/>
        <w:ind w:right="600"/>
        <w:rPr>
          <w:rFonts w:ascii="宋体" w:hAnsi="宋体" w:eastAsia="宋体" w:cs="宋体"/>
          <w:color w:val="auto"/>
          <w:sz w:val="21"/>
          <w:szCs w:val="21"/>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412E78A8">
      <w:pPr>
        <w:snapToGrid w:val="0"/>
        <w:spacing w:before="120"/>
        <w:rPr>
          <w:rFonts w:ascii="宋体" w:hAnsi="宋体" w:eastAsia="宋体" w:cs="宋体"/>
          <w:b/>
          <w:color w:val="auto"/>
          <w:sz w:val="21"/>
          <w:szCs w:val="21"/>
        </w:rPr>
        <w:sectPr>
          <w:pgSz w:w="11906" w:h="16838"/>
          <w:pgMar w:top="1417" w:right="1134" w:bottom="1417" w:left="1134" w:header="851" w:footer="992" w:gutter="0"/>
          <w:pgNumType w:fmt="decimal"/>
          <w:cols w:space="0" w:num="1"/>
          <w:rtlGutter w:val="0"/>
          <w:docGrid w:linePitch="312" w:charSpace="0"/>
        </w:sect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105D74DB">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6</w:t>
      </w:r>
    </w:p>
    <w:p w14:paraId="54DFB3DE">
      <w:pPr>
        <w:autoSpaceDE w:val="0"/>
        <w:autoSpaceDN w:val="0"/>
        <w:adjustRightInd w:val="0"/>
        <w:spacing w:line="36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无围标串标等负面行为承诺书</w:t>
      </w:r>
    </w:p>
    <w:p w14:paraId="4C6B947A">
      <w:pPr>
        <w:spacing w:line="56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本人作为经授权的投标人（或供应商、竞拍人等，下同）代表，清楚知晓我单位参与本项目投标（交易，下同），现对以下事项作出郑重承诺并签名：</w:t>
      </w:r>
    </w:p>
    <w:p w14:paraId="28438CE0">
      <w:pPr>
        <w:spacing w:line="56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一、我单位和本人遵循公开、公平、公正、诚实守信的原则，所提供的一切材料均真实、有效、合法，依法依规参与本项目投标。</w:t>
      </w:r>
    </w:p>
    <w:p w14:paraId="2369DF68">
      <w:pPr>
        <w:spacing w:line="56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二、我单位和本人在本项目招标投标活动中，拒绝参与围标串标，决不损害其他投标人、招标人（或采购人、拍卖人等，下同）的合法权益。</w:t>
      </w:r>
    </w:p>
    <w:p w14:paraId="7ADAE585">
      <w:pPr>
        <w:spacing w:line="56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三、我单位如被查实在本项目公共资源交易活动中存在围标串标等行为，本人作为违法行为直接责任人员，将承担被执行失信惩戒并被依法追究相关责任的后果。</w:t>
      </w:r>
    </w:p>
    <w:p w14:paraId="6C7AA60F">
      <w:pPr>
        <w:spacing w:line="560" w:lineRule="exact"/>
        <w:ind w:firstLine="480"/>
        <w:rPr>
          <w:rFonts w:ascii="宋体" w:hAnsi="宋体" w:eastAsia="宋体" w:cs="宋体"/>
          <w:color w:val="auto"/>
          <w:sz w:val="21"/>
          <w:szCs w:val="21"/>
        </w:rPr>
      </w:pPr>
    </w:p>
    <w:p w14:paraId="1BCDA1A1">
      <w:pPr>
        <w:spacing w:line="560" w:lineRule="exact"/>
        <w:ind w:firstLine="480"/>
        <w:rPr>
          <w:rFonts w:ascii="宋体" w:hAnsi="宋体" w:eastAsia="宋体" w:cs="宋体"/>
          <w:color w:val="auto"/>
          <w:sz w:val="21"/>
          <w:szCs w:val="21"/>
        </w:rPr>
      </w:pPr>
    </w:p>
    <w:p w14:paraId="1E0FCC17">
      <w:pPr>
        <w:snapToGrid w:val="0"/>
        <w:spacing w:before="120" w:line="360" w:lineRule="auto"/>
        <w:rPr>
          <w:rFonts w:ascii="宋体" w:hAnsi="宋体" w:eastAsia="宋体" w:cs="宋体"/>
          <w:color w:val="auto"/>
          <w:sz w:val="21"/>
          <w:szCs w:val="21"/>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46238C1C">
      <w:pPr>
        <w:snapToGrid w:val="0"/>
        <w:spacing w:before="120" w:line="360" w:lineRule="auto"/>
        <w:ind w:right="600"/>
        <w:rPr>
          <w:rFonts w:ascii="宋体" w:hAnsi="宋体" w:eastAsia="宋体" w:cs="宋体"/>
          <w:color w:val="auto"/>
          <w:sz w:val="21"/>
          <w:szCs w:val="21"/>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462F3689">
      <w:pPr>
        <w:snapToGrid w:val="0"/>
        <w:spacing w:before="12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07192288">
      <w:pPr>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br w:type="page"/>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7</w:t>
      </w:r>
    </w:p>
    <w:p w14:paraId="5D7E4A01">
      <w:pPr>
        <w:snapToGrid w:val="0"/>
        <w:jc w:val="left"/>
        <w:rPr>
          <w:rFonts w:ascii="宋体" w:hAnsi="宋体" w:eastAsia="宋体" w:cs="宋体"/>
          <w:b/>
          <w:color w:val="auto"/>
          <w:sz w:val="21"/>
          <w:szCs w:val="21"/>
        </w:rPr>
      </w:pPr>
    </w:p>
    <w:p w14:paraId="6797311F">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供应商市场行为信誉情况承诺书（申明书）</w:t>
      </w:r>
    </w:p>
    <w:tbl>
      <w:tblPr>
        <w:tblStyle w:val="19"/>
        <w:tblW w:w="9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4764E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l2br w:val="nil"/>
              <w:tr2bl w:val="nil"/>
            </w:tcBorders>
            <w:vAlign w:val="center"/>
          </w:tcPr>
          <w:p w14:paraId="7A4071C8">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投（竞）标</w:t>
            </w:r>
            <w:r>
              <w:rPr>
                <w:rFonts w:hint="eastAsia" w:ascii="宋体" w:hAnsi="宋体" w:eastAsia="宋体" w:cs="宋体"/>
                <w:b/>
                <w:bCs/>
                <w:color w:val="auto"/>
                <w:sz w:val="21"/>
                <w:szCs w:val="21"/>
              </w:rPr>
              <w:t>供应商</w:t>
            </w:r>
            <w:r>
              <w:rPr>
                <w:rFonts w:hint="eastAsia" w:ascii="宋体" w:hAnsi="宋体" w:eastAsia="宋体" w:cs="宋体"/>
                <w:color w:val="auto"/>
                <w:sz w:val="21"/>
                <w:szCs w:val="21"/>
              </w:rPr>
              <w:t xml:space="preserve">名称 </w:t>
            </w:r>
          </w:p>
        </w:tc>
        <w:tc>
          <w:tcPr>
            <w:tcW w:w="2974" w:type="dxa"/>
            <w:gridSpan w:val="2"/>
            <w:tcBorders>
              <w:top w:val="single" w:color="auto" w:sz="4" w:space="0"/>
              <w:left w:val="dotted" w:color="auto" w:sz="4" w:space="0"/>
              <w:bottom w:val="dotted" w:color="auto" w:sz="4" w:space="0"/>
              <w:right w:val="dotted" w:color="auto" w:sz="4" w:space="0"/>
              <w:tl2br w:val="nil"/>
              <w:tr2bl w:val="nil"/>
            </w:tcBorders>
            <w:vAlign w:val="center"/>
          </w:tcPr>
          <w:p w14:paraId="75D16E49">
            <w:pPr>
              <w:spacing w:line="260" w:lineRule="exact"/>
              <w:rPr>
                <w:rFonts w:ascii="宋体" w:hAnsi="宋体" w:eastAsia="宋体" w:cs="宋体"/>
                <w:color w:val="auto"/>
                <w:sz w:val="21"/>
                <w:szCs w:val="21"/>
              </w:rPr>
            </w:pPr>
          </w:p>
        </w:tc>
        <w:tc>
          <w:tcPr>
            <w:tcW w:w="1892" w:type="dxa"/>
            <w:tcBorders>
              <w:top w:val="single" w:color="auto" w:sz="4" w:space="0"/>
              <w:left w:val="dotted" w:color="auto" w:sz="4" w:space="0"/>
              <w:bottom w:val="dotted" w:color="auto" w:sz="4" w:space="0"/>
              <w:right w:val="dotted" w:color="auto" w:sz="4" w:space="0"/>
              <w:tl2br w:val="nil"/>
              <w:tr2bl w:val="nil"/>
            </w:tcBorders>
            <w:vAlign w:val="center"/>
          </w:tcPr>
          <w:p w14:paraId="634E6CC0">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企业资质等级</w:t>
            </w:r>
          </w:p>
          <w:p w14:paraId="08133CD7">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（如 有） </w:t>
            </w:r>
          </w:p>
        </w:tc>
        <w:tc>
          <w:tcPr>
            <w:tcW w:w="2373" w:type="dxa"/>
            <w:tcBorders>
              <w:top w:val="single" w:color="auto" w:sz="4" w:space="0"/>
              <w:left w:val="dotted" w:color="auto" w:sz="4" w:space="0"/>
              <w:bottom w:val="dotted" w:color="auto" w:sz="4" w:space="0"/>
              <w:right w:val="single" w:color="auto" w:sz="4" w:space="0"/>
              <w:tl2br w:val="nil"/>
              <w:tr2bl w:val="nil"/>
            </w:tcBorders>
            <w:vAlign w:val="center"/>
          </w:tcPr>
          <w:p w14:paraId="0C60C986">
            <w:pPr>
              <w:spacing w:line="260" w:lineRule="exact"/>
              <w:rPr>
                <w:rFonts w:ascii="宋体" w:hAnsi="宋体" w:eastAsia="宋体" w:cs="宋体"/>
                <w:color w:val="auto"/>
                <w:sz w:val="21"/>
                <w:szCs w:val="21"/>
              </w:rPr>
            </w:pPr>
          </w:p>
        </w:tc>
      </w:tr>
      <w:tr w14:paraId="69FC5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l2br w:val="nil"/>
              <w:tr2bl w:val="nil"/>
            </w:tcBorders>
            <w:vAlign w:val="center"/>
          </w:tcPr>
          <w:p w14:paraId="40DADA2F">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企 业 地 址 </w:t>
            </w:r>
          </w:p>
        </w:tc>
        <w:tc>
          <w:tcPr>
            <w:tcW w:w="2974" w:type="dxa"/>
            <w:gridSpan w:val="2"/>
            <w:tcBorders>
              <w:top w:val="dotted" w:color="auto" w:sz="4" w:space="0"/>
              <w:left w:val="dotted" w:color="auto" w:sz="4" w:space="0"/>
              <w:bottom w:val="dotted" w:color="auto" w:sz="4" w:space="0"/>
              <w:right w:val="dotted" w:color="auto" w:sz="4" w:space="0"/>
              <w:tl2br w:val="nil"/>
              <w:tr2bl w:val="nil"/>
            </w:tcBorders>
            <w:vAlign w:val="center"/>
          </w:tcPr>
          <w:p w14:paraId="175DCC2A">
            <w:pPr>
              <w:spacing w:line="260" w:lineRule="exact"/>
              <w:rPr>
                <w:rFonts w:ascii="宋体" w:hAnsi="宋体" w:eastAsia="宋体" w:cs="宋体"/>
                <w:color w:val="auto"/>
                <w:sz w:val="21"/>
                <w:szCs w:val="21"/>
              </w:rPr>
            </w:pPr>
          </w:p>
        </w:tc>
        <w:tc>
          <w:tcPr>
            <w:tcW w:w="1892" w:type="dxa"/>
            <w:tcBorders>
              <w:top w:val="dotted" w:color="auto" w:sz="4" w:space="0"/>
              <w:left w:val="dotted" w:color="auto" w:sz="4" w:space="0"/>
              <w:bottom w:val="dotted" w:color="auto" w:sz="4" w:space="0"/>
              <w:right w:val="dotted" w:color="auto" w:sz="4" w:space="0"/>
              <w:tl2br w:val="nil"/>
              <w:tr2bl w:val="nil"/>
            </w:tcBorders>
            <w:vAlign w:val="center"/>
          </w:tcPr>
          <w:p w14:paraId="4395D27B">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联 系 电 话 </w:t>
            </w:r>
          </w:p>
        </w:tc>
        <w:tc>
          <w:tcPr>
            <w:tcW w:w="2373" w:type="dxa"/>
            <w:tcBorders>
              <w:top w:val="dotted" w:color="auto" w:sz="4" w:space="0"/>
              <w:left w:val="dotted" w:color="auto" w:sz="4" w:space="0"/>
              <w:bottom w:val="dotted" w:color="auto" w:sz="4" w:space="0"/>
              <w:right w:val="single" w:color="auto" w:sz="4" w:space="0"/>
              <w:tl2br w:val="nil"/>
              <w:tr2bl w:val="nil"/>
            </w:tcBorders>
            <w:vAlign w:val="center"/>
          </w:tcPr>
          <w:p w14:paraId="6EAFD974">
            <w:pPr>
              <w:spacing w:line="260" w:lineRule="exact"/>
              <w:rPr>
                <w:rFonts w:ascii="宋体" w:hAnsi="宋体" w:eastAsia="宋体" w:cs="宋体"/>
                <w:color w:val="auto"/>
                <w:sz w:val="21"/>
                <w:szCs w:val="21"/>
              </w:rPr>
            </w:pPr>
          </w:p>
        </w:tc>
      </w:tr>
      <w:tr w14:paraId="7106D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l2br w:val="nil"/>
              <w:tr2bl w:val="nil"/>
            </w:tcBorders>
            <w:vAlign w:val="center"/>
          </w:tcPr>
          <w:p w14:paraId="3F09301D">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拟投（竞）标项目名称 </w:t>
            </w:r>
          </w:p>
        </w:tc>
        <w:tc>
          <w:tcPr>
            <w:tcW w:w="2974" w:type="dxa"/>
            <w:gridSpan w:val="2"/>
            <w:tcBorders>
              <w:top w:val="dotted" w:color="auto" w:sz="4" w:space="0"/>
              <w:left w:val="dotted" w:color="auto" w:sz="4" w:space="0"/>
              <w:bottom w:val="dotted" w:color="auto" w:sz="4" w:space="0"/>
              <w:right w:val="dotted" w:color="auto" w:sz="4" w:space="0"/>
              <w:tl2br w:val="nil"/>
              <w:tr2bl w:val="nil"/>
            </w:tcBorders>
            <w:vAlign w:val="center"/>
          </w:tcPr>
          <w:p w14:paraId="7B0CA921">
            <w:pPr>
              <w:spacing w:line="260" w:lineRule="exact"/>
              <w:rPr>
                <w:rFonts w:ascii="宋体" w:hAnsi="宋体" w:eastAsia="宋体" w:cs="宋体"/>
                <w:color w:val="auto"/>
                <w:sz w:val="21"/>
                <w:szCs w:val="21"/>
              </w:rPr>
            </w:pPr>
          </w:p>
        </w:tc>
        <w:tc>
          <w:tcPr>
            <w:tcW w:w="1892" w:type="dxa"/>
            <w:tcBorders>
              <w:top w:val="dotted" w:color="auto" w:sz="4" w:space="0"/>
              <w:left w:val="dotted" w:color="auto" w:sz="4" w:space="0"/>
              <w:bottom w:val="dotted" w:color="auto" w:sz="4" w:space="0"/>
              <w:right w:val="dotted" w:color="auto" w:sz="4" w:space="0"/>
              <w:tl2br w:val="nil"/>
              <w:tr2bl w:val="nil"/>
            </w:tcBorders>
            <w:vAlign w:val="center"/>
          </w:tcPr>
          <w:p w14:paraId="29977A58">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拟投标项目负责人姓名及资质 </w:t>
            </w:r>
          </w:p>
        </w:tc>
        <w:tc>
          <w:tcPr>
            <w:tcW w:w="2373" w:type="dxa"/>
            <w:tcBorders>
              <w:top w:val="dotted" w:color="auto" w:sz="4" w:space="0"/>
              <w:left w:val="dotted" w:color="auto" w:sz="4" w:space="0"/>
              <w:bottom w:val="dotted" w:color="auto" w:sz="4" w:space="0"/>
              <w:right w:val="single" w:color="auto" w:sz="4" w:space="0"/>
              <w:tl2br w:val="nil"/>
              <w:tr2bl w:val="nil"/>
            </w:tcBorders>
          </w:tcPr>
          <w:p w14:paraId="2E82A9F4">
            <w:pPr>
              <w:spacing w:line="260" w:lineRule="exact"/>
              <w:rPr>
                <w:rFonts w:ascii="宋体" w:hAnsi="宋体" w:eastAsia="宋体" w:cs="宋体"/>
                <w:color w:val="auto"/>
                <w:sz w:val="21"/>
                <w:szCs w:val="21"/>
              </w:rPr>
            </w:pPr>
          </w:p>
        </w:tc>
      </w:tr>
      <w:tr w14:paraId="26D68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l2br w:val="nil"/>
              <w:tr2bl w:val="nil"/>
            </w:tcBorders>
            <w:vAlign w:val="center"/>
          </w:tcPr>
          <w:p w14:paraId="0A9EFEEF">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供应商</w:t>
            </w:r>
          </w:p>
          <w:p w14:paraId="4311EB6C">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市场</w:t>
            </w:r>
          </w:p>
          <w:p w14:paraId="1C04AFF3">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行为</w:t>
            </w:r>
          </w:p>
          <w:p w14:paraId="2B5AE3B7">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信用</w:t>
            </w:r>
          </w:p>
          <w:p w14:paraId="5B270E82">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情况</w:t>
            </w:r>
          </w:p>
        </w:tc>
        <w:tc>
          <w:tcPr>
            <w:tcW w:w="3960" w:type="dxa"/>
            <w:gridSpan w:val="3"/>
            <w:tcBorders>
              <w:top w:val="single" w:color="auto" w:sz="4" w:space="0"/>
              <w:left w:val="dotted" w:color="auto" w:sz="4" w:space="0"/>
              <w:bottom w:val="dotted" w:color="auto" w:sz="4" w:space="0"/>
              <w:right w:val="dotted" w:color="auto" w:sz="4" w:space="0"/>
              <w:tl2br w:val="nil"/>
              <w:tr2bl w:val="nil"/>
            </w:tcBorders>
            <w:vAlign w:val="center"/>
          </w:tcPr>
          <w:p w14:paraId="23AE6E08">
            <w:pPr>
              <w:spacing w:before="100" w:beforeAutospacing="1" w:after="100" w:afterAutospacing="1" w:line="260" w:lineRule="exact"/>
              <w:rPr>
                <w:rFonts w:ascii="宋体" w:hAnsi="宋体" w:eastAsia="宋体" w:cs="宋体"/>
                <w:color w:val="auto"/>
                <w:sz w:val="21"/>
                <w:szCs w:val="21"/>
              </w:rPr>
            </w:pPr>
            <w:r>
              <w:rPr>
                <w:rFonts w:hint="eastAsia" w:ascii="宋体" w:hAnsi="宋体" w:eastAsia="宋体" w:cs="宋体"/>
                <w:color w:val="auto"/>
                <w:sz w:val="21"/>
                <w:szCs w:val="21"/>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l2br w:val="nil"/>
              <w:tr2bl w:val="nil"/>
            </w:tcBorders>
            <w:vAlign w:val="center"/>
          </w:tcPr>
          <w:p w14:paraId="5BAC4CBD">
            <w:pPr>
              <w:spacing w:line="260" w:lineRule="exact"/>
              <w:jc w:val="center"/>
              <w:rPr>
                <w:rFonts w:ascii="宋体" w:hAnsi="宋体" w:eastAsia="宋体" w:cs="宋体"/>
                <w:color w:val="auto"/>
                <w:sz w:val="21"/>
                <w:szCs w:val="21"/>
              </w:rPr>
            </w:pPr>
          </w:p>
        </w:tc>
      </w:tr>
      <w:tr w14:paraId="536C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l2br w:val="nil"/>
              <w:tr2bl w:val="nil"/>
            </w:tcBorders>
            <w:vAlign w:val="center"/>
          </w:tcPr>
          <w:p w14:paraId="656F8708">
            <w:pPr>
              <w:rPr>
                <w:rFonts w:ascii="宋体" w:hAnsi="宋体" w:eastAsia="宋体" w:cs="宋体"/>
                <w:color w:val="auto"/>
                <w:sz w:val="21"/>
                <w:szCs w:val="21"/>
              </w:rPr>
            </w:pPr>
          </w:p>
        </w:tc>
        <w:tc>
          <w:tcPr>
            <w:tcW w:w="3960" w:type="dxa"/>
            <w:gridSpan w:val="3"/>
            <w:tcBorders>
              <w:top w:val="single" w:color="auto" w:sz="4" w:space="0"/>
              <w:left w:val="dotted" w:color="auto" w:sz="4" w:space="0"/>
              <w:bottom w:val="dotted" w:color="auto" w:sz="4" w:space="0"/>
              <w:right w:val="dotted" w:color="auto" w:sz="4" w:space="0"/>
              <w:tl2br w:val="nil"/>
              <w:tr2bl w:val="nil"/>
            </w:tcBorders>
            <w:vAlign w:val="center"/>
          </w:tcPr>
          <w:p w14:paraId="775AAC9F">
            <w:pPr>
              <w:spacing w:before="100" w:beforeAutospacing="1" w:after="100" w:afterAutospacing="1" w:line="260" w:lineRule="exact"/>
              <w:rPr>
                <w:rFonts w:ascii="宋体" w:hAnsi="宋体" w:eastAsia="宋体" w:cs="宋体"/>
                <w:color w:val="auto"/>
                <w:sz w:val="21"/>
                <w:szCs w:val="21"/>
              </w:rPr>
            </w:pPr>
            <w:r>
              <w:rPr>
                <w:rFonts w:hint="eastAsia" w:ascii="宋体" w:hAnsi="宋体" w:eastAsia="宋体" w:cs="宋体"/>
                <w:color w:val="auto"/>
                <w:sz w:val="21"/>
                <w:szCs w:val="21"/>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l2br w:val="nil"/>
              <w:tr2bl w:val="nil"/>
            </w:tcBorders>
          </w:tcPr>
          <w:p w14:paraId="33202F05">
            <w:pPr>
              <w:spacing w:line="260" w:lineRule="exact"/>
              <w:rPr>
                <w:rFonts w:ascii="宋体" w:hAnsi="宋体" w:eastAsia="宋体" w:cs="宋体"/>
                <w:color w:val="auto"/>
                <w:sz w:val="21"/>
                <w:szCs w:val="21"/>
              </w:rPr>
            </w:pPr>
          </w:p>
        </w:tc>
      </w:tr>
      <w:tr w14:paraId="2DC19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l2br w:val="nil"/>
              <w:tr2bl w:val="nil"/>
            </w:tcBorders>
            <w:vAlign w:val="center"/>
          </w:tcPr>
          <w:p w14:paraId="489093B1">
            <w:pPr>
              <w:rPr>
                <w:rFonts w:ascii="宋体" w:hAnsi="宋体" w:eastAsia="宋体" w:cs="宋体"/>
                <w:color w:val="auto"/>
                <w:sz w:val="21"/>
                <w:szCs w:val="21"/>
              </w:rPr>
            </w:pPr>
          </w:p>
        </w:tc>
        <w:tc>
          <w:tcPr>
            <w:tcW w:w="3960" w:type="dxa"/>
            <w:gridSpan w:val="3"/>
            <w:tcBorders>
              <w:top w:val="single" w:color="auto" w:sz="4" w:space="0"/>
              <w:left w:val="dotted" w:color="auto" w:sz="4" w:space="0"/>
              <w:bottom w:val="dotted" w:color="auto" w:sz="4" w:space="0"/>
              <w:right w:val="dotted" w:color="auto" w:sz="4" w:space="0"/>
              <w:tl2br w:val="nil"/>
              <w:tr2bl w:val="nil"/>
            </w:tcBorders>
          </w:tcPr>
          <w:p w14:paraId="35873BE8">
            <w:pPr>
              <w:spacing w:before="100" w:beforeAutospacing="1" w:after="100" w:afterAutospacing="1" w:line="260" w:lineRule="exact"/>
              <w:rPr>
                <w:rFonts w:ascii="宋体" w:hAnsi="宋体" w:eastAsia="宋体" w:cs="宋体"/>
                <w:color w:val="auto"/>
                <w:sz w:val="21"/>
                <w:szCs w:val="21"/>
              </w:rPr>
            </w:pPr>
            <w:r>
              <w:rPr>
                <w:rFonts w:hint="eastAsia" w:ascii="宋体" w:hAnsi="宋体" w:eastAsia="宋体" w:cs="宋体"/>
                <w:color w:val="auto"/>
                <w:sz w:val="21"/>
                <w:szCs w:val="21"/>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l2br w:val="nil"/>
              <w:tr2bl w:val="nil"/>
            </w:tcBorders>
          </w:tcPr>
          <w:p w14:paraId="2D2675BB">
            <w:pPr>
              <w:spacing w:line="260" w:lineRule="exact"/>
              <w:rPr>
                <w:rFonts w:ascii="宋体" w:hAnsi="宋体" w:eastAsia="宋体" w:cs="宋体"/>
                <w:color w:val="auto"/>
                <w:sz w:val="21"/>
                <w:szCs w:val="21"/>
              </w:rPr>
            </w:pPr>
          </w:p>
        </w:tc>
      </w:tr>
      <w:tr w14:paraId="6DDE1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l2br w:val="nil"/>
              <w:tr2bl w:val="nil"/>
            </w:tcBorders>
            <w:vAlign w:val="center"/>
          </w:tcPr>
          <w:p w14:paraId="2BB9D19F">
            <w:pPr>
              <w:rPr>
                <w:rFonts w:ascii="宋体" w:hAnsi="宋体" w:eastAsia="宋体" w:cs="宋体"/>
                <w:color w:val="auto"/>
                <w:sz w:val="21"/>
                <w:szCs w:val="21"/>
              </w:rPr>
            </w:pPr>
          </w:p>
        </w:tc>
        <w:tc>
          <w:tcPr>
            <w:tcW w:w="3960" w:type="dxa"/>
            <w:gridSpan w:val="3"/>
            <w:tcBorders>
              <w:top w:val="dotted" w:color="auto" w:sz="4" w:space="0"/>
              <w:left w:val="dotted" w:color="auto" w:sz="4" w:space="0"/>
              <w:bottom w:val="nil"/>
              <w:right w:val="dotted" w:color="auto" w:sz="4" w:space="0"/>
              <w:tl2br w:val="nil"/>
              <w:tr2bl w:val="nil"/>
            </w:tcBorders>
            <w:vAlign w:val="center"/>
          </w:tcPr>
          <w:p w14:paraId="24D4E217">
            <w:pPr>
              <w:spacing w:before="100" w:beforeAutospacing="1" w:after="100" w:afterAutospacing="1" w:line="260" w:lineRule="exact"/>
              <w:rPr>
                <w:rFonts w:ascii="宋体" w:hAnsi="宋体" w:eastAsia="宋体" w:cs="宋体"/>
                <w:color w:val="auto"/>
                <w:sz w:val="21"/>
                <w:szCs w:val="21"/>
              </w:rPr>
            </w:pPr>
            <w:r>
              <w:rPr>
                <w:rFonts w:hint="eastAsia" w:ascii="宋体" w:hAnsi="宋体" w:eastAsia="宋体" w:cs="宋体"/>
                <w:color w:val="auto"/>
                <w:sz w:val="21"/>
                <w:szCs w:val="21"/>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l2br w:val="nil"/>
              <w:tr2bl w:val="nil"/>
            </w:tcBorders>
          </w:tcPr>
          <w:p w14:paraId="1EBA4BF6">
            <w:pPr>
              <w:spacing w:line="260" w:lineRule="exact"/>
              <w:rPr>
                <w:rFonts w:ascii="宋体" w:hAnsi="宋体" w:eastAsia="宋体" w:cs="宋体"/>
                <w:color w:val="auto"/>
                <w:sz w:val="21"/>
                <w:szCs w:val="21"/>
              </w:rPr>
            </w:pPr>
          </w:p>
        </w:tc>
      </w:tr>
      <w:tr w14:paraId="46A6B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l2br w:val="nil"/>
              <w:tr2bl w:val="nil"/>
            </w:tcBorders>
            <w:vAlign w:val="center"/>
          </w:tcPr>
          <w:p w14:paraId="25DED112">
            <w:pPr>
              <w:rPr>
                <w:rFonts w:ascii="宋体" w:hAnsi="宋体" w:eastAsia="宋体" w:cs="宋体"/>
                <w:color w:val="auto"/>
                <w:sz w:val="21"/>
                <w:szCs w:val="21"/>
              </w:rPr>
            </w:pPr>
          </w:p>
        </w:tc>
        <w:tc>
          <w:tcPr>
            <w:tcW w:w="3960" w:type="dxa"/>
            <w:gridSpan w:val="3"/>
            <w:tcBorders>
              <w:top w:val="dotted" w:color="auto" w:sz="4" w:space="0"/>
              <w:left w:val="dotted" w:color="auto" w:sz="4" w:space="0"/>
              <w:bottom w:val="dotted" w:color="auto" w:sz="4" w:space="0"/>
              <w:right w:val="dotted" w:color="auto" w:sz="4" w:space="0"/>
              <w:tl2br w:val="nil"/>
              <w:tr2bl w:val="nil"/>
            </w:tcBorders>
            <w:vAlign w:val="center"/>
          </w:tcPr>
          <w:p w14:paraId="6350C28D">
            <w:pPr>
              <w:spacing w:before="100" w:beforeAutospacing="1" w:after="100" w:afterAutospacing="1" w:line="260" w:lineRule="exact"/>
              <w:rPr>
                <w:rFonts w:ascii="宋体" w:hAnsi="宋体" w:eastAsia="宋体" w:cs="宋体"/>
                <w:color w:val="auto"/>
                <w:sz w:val="21"/>
                <w:szCs w:val="21"/>
              </w:rPr>
            </w:pPr>
            <w:r>
              <w:rPr>
                <w:rFonts w:hint="eastAsia" w:ascii="宋体" w:hAnsi="宋体" w:eastAsia="宋体" w:cs="宋体"/>
                <w:color w:val="auto"/>
                <w:sz w:val="21"/>
                <w:szCs w:val="21"/>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l2br w:val="nil"/>
              <w:tr2bl w:val="nil"/>
            </w:tcBorders>
          </w:tcPr>
          <w:p w14:paraId="0DF9C675">
            <w:pPr>
              <w:spacing w:line="260" w:lineRule="exact"/>
              <w:rPr>
                <w:rFonts w:ascii="宋体" w:hAnsi="宋体" w:eastAsia="宋体" w:cs="宋体"/>
                <w:color w:val="auto"/>
                <w:sz w:val="21"/>
                <w:szCs w:val="21"/>
              </w:rPr>
            </w:pPr>
          </w:p>
        </w:tc>
      </w:tr>
      <w:tr w14:paraId="39C47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l2br w:val="nil"/>
              <w:tr2bl w:val="nil"/>
            </w:tcBorders>
            <w:vAlign w:val="center"/>
          </w:tcPr>
          <w:p w14:paraId="69ECA5BF">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投标供应商</w:t>
            </w:r>
          </w:p>
          <w:p w14:paraId="4C3C87B8">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 声 明 </w:t>
            </w:r>
          </w:p>
        </w:tc>
        <w:tc>
          <w:tcPr>
            <w:tcW w:w="7438" w:type="dxa"/>
            <w:gridSpan w:val="5"/>
            <w:tcBorders>
              <w:top w:val="dotted" w:color="auto" w:sz="4" w:space="0"/>
              <w:left w:val="dotted" w:color="auto" w:sz="4" w:space="0"/>
              <w:bottom w:val="single" w:color="auto" w:sz="4" w:space="0"/>
              <w:right w:val="single" w:color="auto" w:sz="4" w:space="0"/>
              <w:tl2br w:val="nil"/>
              <w:tr2bl w:val="nil"/>
            </w:tcBorders>
          </w:tcPr>
          <w:p w14:paraId="5CAABA82">
            <w:pPr>
              <w:spacing w:line="260" w:lineRule="exact"/>
              <w:ind w:left="420" w:firstLine="411" w:firstLineChars="196"/>
              <w:rPr>
                <w:rFonts w:ascii="宋体" w:hAnsi="宋体" w:eastAsia="宋体" w:cs="宋体"/>
                <w:color w:val="auto"/>
                <w:sz w:val="21"/>
                <w:szCs w:val="21"/>
              </w:rPr>
            </w:pPr>
            <w:r>
              <w:rPr>
                <w:rFonts w:hint="eastAsia" w:ascii="宋体" w:hAnsi="宋体" w:eastAsia="宋体" w:cs="宋体"/>
                <w:color w:val="auto"/>
                <w:sz w:val="21"/>
                <w:szCs w:val="21"/>
              </w:rPr>
              <w:t>以上内容是本企业市场行为信用的真实反映，如有不实，愿取消本项目投标资格。</w:t>
            </w:r>
          </w:p>
          <w:p w14:paraId="0199AA6B">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法定代表人签名：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25A492E0">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(电子签章） </w:t>
            </w:r>
          </w:p>
          <w:p w14:paraId="47909EF3">
            <w:pPr>
              <w:spacing w:before="100" w:beforeAutospacing="1" w:after="100" w:afterAutospacing="1" w:line="2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               日 期：    年  月   日 </w:t>
            </w:r>
          </w:p>
        </w:tc>
      </w:tr>
    </w:tbl>
    <w:p w14:paraId="507A2650">
      <w:pPr>
        <w:rPr>
          <w:rFonts w:ascii="宋体" w:hAnsi="宋体" w:eastAsia="宋体" w:cs="宋体"/>
          <w:color w:val="auto"/>
          <w:sz w:val="21"/>
          <w:szCs w:val="21"/>
        </w:rPr>
      </w:pPr>
      <w:r>
        <w:rPr>
          <w:rFonts w:hint="eastAsia" w:ascii="宋体" w:hAnsi="宋体" w:eastAsia="宋体" w:cs="宋体"/>
          <w:color w:val="auto"/>
          <w:sz w:val="21"/>
          <w:szCs w:val="21"/>
        </w:rPr>
        <w:t>注：1.本表格内容须如实填写；</w:t>
      </w:r>
    </w:p>
    <w:p w14:paraId="122DC3BE">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2.本表格由供应商自己填写，若无表中所列情况，则在相应栏中写“无”，若有，须按具体次数分别说明（包括处罚时间、事由、处罚主体等）；</w:t>
      </w:r>
    </w:p>
    <w:p w14:paraId="2094E1D7">
      <w:pPr>
        <w:snapToGrid w:val="0"/>
        <w:spacing w:before="50" w:after="120" w:afterLines="50" w:line="276" w:lineRule="auto"/>
        <w:jc w:val="left"/>
        <w:rPr>
          <w:rFonts w:ascii="宋体" w:hAnsi="宋体" w:eastAsia="宋体" w:cs="宋体"/>
          <w:b/>
          <w:color w:val="auto"/>
          <w:sz w:val="21"/>
          <w:szCs w:val="21"/>
        </w:rPr>
      </w:pPr>
    </w:p>
    <w:p w14:paraId="67F3CE98">
      <w:pPr>
        <w:snapToGrid w:val="0"/>
        <w:spacing w:before="50" w:after="120" w:afterLines="50" w:line="276" w:lineRule="auto"/>
        <w:jc w:val="left"/>
        <w:rPr>
          <w:rFonts w:ascii="宋体" w:hAnsi="宋体" w:eastAsia="宋体" w:cs="宋体"/>
          <w:b/>
          <w:color w:val="auto"/>
          <w:sz w:val="21"/>
          <w:szCs w:val="21"/>
        </w:rPr>
      </w:pPr>
    </w:p>
    <w:p w14:paraId="68D67243">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8</w:t>
      </w:r>
    </w:p>
    <w:p w14:paraId="566D621A">
      <w:pPr>
        <w:spacing w:line="480" w:lineRule="exact"/>
        <w:jc w:val="left"/>
        <w:outlineLvl w:val="0"/>
        <w:rPr>
          <w:rFonts w:hint="eastAsia" w:ascii="宋体" w:hAnsi="宋体" w:cs="宋体"/>
          <w:b/>
          <w:color w:val="auto"/>
          <w:sz w:val="28"/>
          <w:szCs w:val="28"/>
          <w:highlight w:val="none"/>
        </w:rPr>
      </w:pPr>
    </w:p>
    <w:p w14:paraId="72FABBBC">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承诺函</w:t>
      </w:r>
    </w:p>
    <w:p w14:paraId="3DD4CE66">
      <w:pPr>
        <w:jc w:val="center"/>
        <w:rPr>
          <w:rFonts w:hint="eastAsia" w:ascii="宋体" w:hAnsi="宋体" w:cs="宋体"/>
          <w:b/>
          <w:color w:val="auto"/>
          <w:sz w:val="28"/>
          <w:szCs w:val="28"/>
          <w:highlight w:val="none"/>
        </w:rPr>
      </w:pPr>
    </w:p>
    <w:p w14:paraId="656FECD9">
      <w:pPr>
        <w:jc w:val="center"/>
        <w:rPr>
          <w:rFonts w:hint="eastAsia" w:ascii="宋体" w:hAnsi="宋体" w:cs="宋体"/>
          <w:b/>
          <w:color w:val="auto"/>
          <w:sz w:val="24"/>
          <w:highlight w:val="none"/>
        </w:rPr>
      </w:pPr>
    </w:p>
    <w:p w14:paraId="13365DB9">
      <w:pPr>
        <w:pStyle w:val="31"/>
        <w:spacing w:line="360" w:lineRule="auto"/>
        <w:rPr>
          <w:rFonts w:hint="eastAsia" w:ascii="宋体" w:hAnsi="宋体" w:cs="宋体"/>
          <w:color w:val="auto"/>
          <w:spacing w:val="6"/>
          <w:sz w:val="22"/>
          <w:szCs w:val="22"/>
          <w:highlight w:val="none"/>
        </w:rPr>
      </w:pPr>
      <w:r>
        <w:rPr>
          <w:rFonts w:hint="eastAsia" w:ascii="宋体" w:hAnsi="宋体" w:cs="宋体"/>
          <w:color w:val="auto"/>
          <w:sz w:val="22"/>
          <w:szCs w:val="22"/>
          <w:highlight w:val="none"/>
          <w:u w:val="single"/>
        </w:rPr>
        <w:t xml:space="preserve">（采购单位名称）     </w:t>
      </w:r>
      <w:r>
        <w:rPr>
          <w:rFonts w:hint="eastAsia" w:ascii="宋体" w:hAnsi="宋体" w:cs="宋体"/>
          <w:color w:val="auto"/>
          <w:spacing w:val="6"/>
          <w:sz w:val="22"/>
          <w:szCs w:val="22"/>
          <w:highlight w:val="none"/>
        </w:rPr>
        <w:t>：</w:t>
      </w:r>
    </w:p>
    <w:p w14:paraId="4A92925D">
      <w:pPr>
        <w:pStyle w:val="31"/>
        <w:spacing w:line="360" w:lineRule="auto"/>
        <w:ind w:firstLine="464" w:firstLineChars="200"/>
        <w:rPr>
          <w:rFonts w:hint="eastAsia" w:ascii="宋体" w:hAnsi="宋体" w:cs="宋体"/>
          <w:color w:val="auto"/>
          <w:spacing w:val="6"/>
          <w:sz w:val="22"/>
          <w:szCs w:val="22"/>
          <w:highlight w:val="none"/>
        </w:rPr>
      </w:pPr>
    </w:p>
    <w:p w14:paraId="4DEE4F54">
      <w:pPr>
        <w:pStyle w:val="31"/>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我方参与的</w:t>
      </w:r>
      <w:r>
        <w:rPr>
          <w:rFonts w:hint="eastAsia" w:ascii="宋体" w:hAnsi="宋体" w:cs="宋体"/>
          <w:color w:val="auto"/>
          <w:spacing w:val="6"/>
          <w:sz w:val="22"/>
          <w:szCs w:val="22"/>
          <w:highlight w:val="none"/>
          <w:u w:val="single"/>
        </w:rPr>
        <w:t xml:space="preserve">            （项目名称）</w:t>
      </w:r>
      <w:r>
        <w:rPr>
          <w:rFonts w:hint="eastAsia" w:ascii="宋体" w:hAnsi="宋体" w:cs="宋体"/>
          <w:color w:val="auto"/>
          <w:spacing w:val="6"/>
          <w:sz w:val="22"/>
          <w:szCs w:val="22"/>
          <w:highlight w:val="none"/>
        </w:rPr>
        <w:t>（采购编号：</w:t>
      </w:r>
      <w:r>
        <w:rPr>
          <w:rFonts w:hint="eastAsia" w:ascii="宋体" w:hAnsi="宋体" w:cs="宋体"/>
          <w:color w:val="auto"/>
          <w:spacing w:val="6"/>
          <w:sz w:val="22"/>
          <w:szCs w:val="22"/>
          <w:highlight w:val="none"/>
          <w:u w:val="single"/>
        </w:rPr>
        <w:t>　　　　</w:t>
      </w:r>
      <w:r>
        <w:rPr>
          <w:rFonts w:hint="eastAsia" w:ascii="宋体" w:hAnsi="宋体" w:cs="宋体"/>
          <w:color w:val="auto"/>
          <w:spacing w:val="6"/>
          <w:sz w:val="22"/>
          <w:szCs w:val="22"/>
          <w:highlight w:val="none"/>
        </w:rPr>
        <w:t>）的投标活动，我方郑重承诺，我方与参加本次项目同一合同项下政府采购活动的其他供应商不存在单位负责人为同一人或者直接控股、管理关系。</w:t>
      </w:r>
    </w:p>
    <w:p w14:paraId="2AE5CFB2">
      <w:pPr>
        <w:pStyle w:val="31"/>
        <w:spacing w:line="360" w:lineRule="auto"/>
        <w:ind w:firstLine="464" w:firstLineChars="200"/>
        <w:rPr>
          <w:rFonts w:hint="eastAsia" w:ascii="宋体" w:hAnsi="宋体" w:cs="宋体"/>
          <w:color w:val="auto"/>
          <w:spacing w:val="6"/>
          <w:sz w:val="22"/>
          <w:szCs w:val="22"/>
          <w:highlight w:val="none"/>
        </w:rPr>
      </w:pPr>
    </w:p>
    <w:p w14:paraId="4166E5C9">
      <w:pPr>
        <w:pStyle w:val="31"/>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特此承诺！</w:t>
      </w:r>
    </w:p>
    <w:p w14:paraId="7B538B57">
      <w:pPr>
        <w:pStyle w:val="31"/>
        <w:spacing w:line="360" w:lineRule="auto"/>
        <w:ind w:firstLine="504" w:firstLineChars="200"/>
        <w:rPr>
          <w:rFonts w:hint="eastAsia" w:ascii="仿宋_GB2312" w:eastAsia="仿宋_GB2312"/>
          <w:color w:val="auto"/>
          <w:spacing w:val="6"/>
          <w:sz w:val="24"/>
          <w:highlight w:val="none"/>
        </w:rPr>
      </w:pPr>
    </w:p>
    <w:p w14:paraId="07ECE16D">
      <w:pPr>
        <w:rPr>
          <w:rFonts w:ascii="宋体" w:hAnsi="宋体"/>
          <w:color w:val="auto"/>
          <w:highlight w:val="none"/>
        </w:rPr>
      </w:pPr>
    </w:p>
    <w:p w14:paraId="41A8B480">
      <w:pPr>
        <w:rPr>
          <w:rFonts w:ascii="宋体" w:hAnsi="宋体"/>
          <w:color w:val="auto"/>
          <w:highlight w:val="none"/>
        </w:rPr>
      </w:pPr>
    </w:p>
    <w:p w14:paraId="60FEE706">
      <w:pPr>
        <w:rPr>
          <w:rFonts w:ascii="宋体" w:hAnsi="宋体"/>
          <w:color w:val="auto"/>
          <w:highlight w:val="none"/>
        </w:rPr>
      </w:pPr>
    </w:p>
    <w:p w14:paraId="3FA9A52D">
      <w:pPr>
        <w:rPr>
          <w:rFonts w:hint="eastAsia" w:ascii="宋体" w:hAnsi="宋体"/>
          <w:color w:val="auto"/>
          <w:highlight w:val="none"/>
        </w:rPr>
      </w:pPr>
    </w:p>
    <w:p w14:paraId="6D470148">
      <w:pPr>
        <w:rPr>
          <w:rFonts w:ascii="宋体" w:hAnsi="宋体"/>
          <w:color w:val="auto"/>
          <w:highlight w:val="none"/>
        </w:rPr>
      </w:pPr>
    </w:p>
    <w:p w14:paraId="3F55C7B2">
      <w:pPr>
        <w:rPr>
          <w:rFonts w:ascii="宋体" w:hAnsi="宋体"/>
          <w:color w:val="auto"/>
          <w:highlight w:val="none"/>
        </w:rPr>
      </w:pPr>
    </w:p>
    <w:p w14:paraId="783AEB08">
      <w:pPr>
        <w:widowControl/>
        <w:spacing w:line="400" w:lineRule="exact"/>
        <w:ind w:right="159"/>
        <w:rPr>
          <w:rFonts w:hint="eastAsia" w:ascii="宋体" w:hAnsi="宋体" w:eastAsia="宋体"/>
          <w:color w:val="auto"/>
          <w:sz w:val="24"/>
          <w:lang w:eastAsia="zh-CN"/>
        </w:rPr>
      </w:pPr>
    </w:p>
    <w:p w14:paraId="5002455C">
      <w:pPr>
        <w:pStyle w:val="7"/>
        <w:rPr>
          <w:rFonts w:hint="eastAsia"/>
          <w:color w:val="auto"/>
          <w:lang w:eastAsia="zh-CN"/>
        </w:rPr>
      </w:pPr>
    </w:p>
    <w:p w14:paraId="58396484">
      <w:pPr>
        <w:widowControl/>
        <w:spacing w:line="400" w:lineRule="exact"/>
        <w:ind w:right="159"/>
        <w:rPr>
          <w:rFonts w:hint="eastAsia" w:ascii="宋体" w:hAnsi="宋体" w:eastAsia="宋体" w:cs="Times New Roman"/>
          <w:color w:val="auto"/>
          <w:sz w:val="24"/>
          <w:szCs w:val="24"/>
        </w:rPr>
      </w:pPr>
      <w:r>
        <w:rPr>
          <w:rFonts w:hint="eastAsia" w:ascii="宋体" w:hAnsi="宋体"/>
          <w:color w:val="auto"/>
          <w:sz w:val="24"/>
          <w:lang w:val="en-US" w:eastAsia="zh-CN"/>
        </w:rPr>
        <w:t xml:space="preserve">                                     </w:t>
      </w:r>
      <w:r>
        <w:rPr>
          <w:rFonts w:hint="eastAsia" w:ascii="宋体" w:hAnsi="宋体" w:eastAsia="宋体" w:cs="Times New Roman"/>
          <w:color w:val="auto"/>
          <w:sz w:val="24"/>
          <w:szCs w:val="24"/>
          <w:lang w:eastAsia="zh-CN"/>
        </w:rPr>
        <w:t>投标</w:t>
      </w:r>
      <w:r>
        <w:rPr>
          <w:rFonts w:hint="eastAsia" w:ascii="宋体" w:hAnsi="宋体" w:eastAsia="宋体" w:cs="Times New Roman"/>
          <w:color w:val="auto"/>
          <w:sz w:val="24"/>
          <w:szCs w:val="24"/>
        </w:rPr>
        <w:t>供应商全称（电子签章）：</w:t>
      </w:r>
    </w:p>
    <w:p w14:paraId="4D1EAA2F">
      <w:pPr>
        <w:widowControl/>
        <w:spacing w:line="400" w:lineRule="exact"/>
        <w:ind w:right="159"/>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法定代表人或授权代表（签字或盖章）：</w:t>
      </w:r>
    </w:p>
    <w:p w14:paraId="05BB10D7">
      <w:pPr>
        <w:widowControl/>
        <w:spacing w:line="400" w:lineRule="exact"/>
        <w:ind w:right="159"/>
        <w:rPr>
          <w:rFonts w:hint="eastAsia" w:ascii="宋体" w:hAnsi="宋体"/>
          <w:color w:val="auto"/>
          <w:sz w:val="24"/>
        </w:rPr>
      </w:pP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日      期：    年   月     日</w:t>
      </w:r>
    </w:p>
    <w:p w14:paraId="78E60AE6">
      <w:pPr>
        <w:rPr>
          <w:rFonts w:hint="eastAsia" w:ascii="宋体" w:hAnsi="宋体" w:cs="宋体"/>
          <w:b/>
          <w:color w:val="auto"/>
          <w:sz w:val="28"/>
          <w:szCs w:val="28"/>
          <w:highlight w:val="none"/>
        </w:rPr>
      </w:pPr>
      <w:r>
        <w:rPr>
          <w:rFonts w:hint="eastAsia" w:ascii="宋体" w:hAnsi="宋体"/>
          <w:b/>
          <w:color w:val="auto"/>
        </w:rPr>
        <w:br w:type="page"/>
      </w:r>
    </w:p>
    <w:p w14:paraId="404A3067">
      <w:pPr>
        <w:rPr>
          <w:rFonts w:hint="eastAsia" w:ascii="宋体" w:hAnsi="宋体" w:eastAsia="宋体" w:cs="宋体"/>
          <w:color w:val="auto"/>
          <w:sz w:val="21"/>
          <w:szCs w:val="21"/>
          <w:lang w:val="en-US" w:eastAsia="zh-CN"/>
        </w:rPr>
      </w:pPr>
    </w:p>
    <w:p w14:paraId="5E885463">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9</w:t>
      </w:r>
    </w:p>
    <w:p w14:paraId="513A18EA">
      <w:pPr>
        <w:rPr>
          <w:rFonts w:hint="eastAsia" w:ascii="宋体" w:hAnsi="宋体" w:eastAsia="宋体" w:cs="宋体"/>
          <w:color w:val="auto"/>
          <w:sz w:val="21"/>
          <w:szCs w:val="21"/>
          <w:lang w:val="en-US" w:eastAsia="zh-CN"/>
        </w:rPr>
      </w:pPr>
    </w:p>
    <w:p w14:paraId="605443A8">
      <w:pPr>
        <w:snapToGrid w:val="0"/>
        <w:spacing w:before="50" w:after="120" w:afterLines="50" w:line="276" w:lineRule="auto"/>
        <w:jc w:val="left"/>
        <w:rPr>
          <w:rFonts w:ascii="宋体" w:hAnsi="宋体" w:eastAsia="宋体" w:cs="宋体"/>
          <w:b/>
          <w:color w:val="auto"/>
          <w:sz w:val="21"/>
          <w:szCs w:val="21"/>
        </w:rPr>
      </w:pPr>
    </w:p>
    <w:p w14:paraId="2E33E6F3">
      <w:pPr>
        <w:snapToGrid w:val="0"/>
        <w:spacing w:before="120" w:beforeLines="50" w:after="50" w:line="276" w:lineRule="auto"/>
        <w:jc w:val="center"/>
        <w:rPr>
          <w:rFonts w:ascii="宋体" w:hAnsi="宋体" w:eastAsia="宋体" w:cs="宋体"/>
          <w:color w:val="auto"/>
          <w:sz w:val="21"/>
          <w:szCs w:val="21"/>
        </w:rPr>
      </w:pPr>
    </w:p>
    <w:p w14:paraId="645FF757">
      <w:pPr>
        <w:snapToGrid w:val="0"/>
        <w:spacing w:before="120" w:beforeLines="50" w:after="50"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法定代表人授权委托书</w:t>
      </w:r>
    </w:p>
    <w:p w14:paraId="4D698C68">
      <w:pPr>
        <w:snapToGrid w:val="0"/>
        <w:spacing w:line="360" w:lineRule="auto"/>
        <w:rPr>
          <w:rFonts w:ascii="宋体" w:hAnsi="宋体" w:eastAsia="宋体" w:cs="宋体"/>
          <w:bCs/>
          <w:color w:val="auto"/>
          <w:sz w:val="21"/>
          <w:szCs w:val="21"/>
        </w:rPr>
      </w:pPr>
    </w:p>
    <w:p w14:paraId="027F7ACD">
      <w:pPr>
        <w:snapToGrid w:val="0"/>
        <w:spacing w:line="360" w:lineRule="auto"/>
        <w:rPr>
          <w:rFonts w:ascii="宋体" w:hAnsi="宋体" w:eastAsia="宋体" w:cs="宋体"/>
          <w:b/>
          <w:bCs/>
          <w:color w:val="auto"/>
          <w:sz w:val="21"/>
          <w:szCs w:val="21"/>
        </w:rPr>
      </w:pPr>
      <w:r>
        <w:rPr>
          <w:rFonts w:hint="eastAsia" w:ascii="宋体" w:hAnsi="宋体" w:eastAsia="宋体" w:cs="宋体"/>
          <w:bCs/>
          <w:color w:val="auto"/>
          <w:sz w:val="21"/>
          <w:szCs w:val="21"/>
        </w:rPr>
        <w:t>致：</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（招标采购单位名称）：</w:t>
      </w:r>
    </w:p>
    <w:p w14:paraId="3A56A489">
      <w:pPr>
        <w:snapToGrid w:val="0"/>
        <w:spacing w:line="360" w:lineRule="auto"/>
        <w:ind w:firstLine="630" w:firstLineChars="300"/>
        <w:rPr>
          <w:rFonts w:ascii="宋体" w:hAnsi="宋体" w:eastAsia="宋体" w:cs="宋体"/>
          <w:color w:val="auto"/>
          <w:sz w:val="21"/>
          <w:szCs w:val="21"/>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（投标人名称）的法定代表人，现授权委托本单位在职职工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（姓名）以我方的名义参加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项目的投标活动，并代表我方全权办理针对上述项目的投标、开标、评标、签约等具体事务和签署相关文件。</w:t>
      </w:r>
    </w:p>
    <w:p w14:paraId="5914B69B">
      <w:p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我方对被授权人的签名事项负全部责任。</w:t>
      </w:r>
    </w:p>
    <w:p w14:paraId="5754073A">
      <w:pPr>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u w:val="single"/>
        </w:rPr>
        <w:t>在撤销授权的书面通知以前，本授权书一直有效。</w:t>
      </w:r>
      <w:r>
        <w:rPr>
          <w:rFonts w:hint="eastAsia" w:ascii="宋体" w:hAnsi="宋体" w:eastAsia="宋体" w:cs="宋体"/>
          <w:color w:val="auto"/>
          <w:sz w:val="21"/>
          <w:szCs w:val="21"/>
        </w:rPr>
        <w:t>被授权人在授权书有效期内签署的所有文件不因授权的撤销而失效。</w:t>
      </w:r>
    </w:p>
    <w:p w14:paraId="6BC3E0C7">
      <w:pPr>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被授权人无转委托权，特此委托。</w:t>
      </w:r>
    </w:p>
    <w:p w14:paraId="6BCD3862">
      <w:pPr>
        <w:snapToGrid w:val="0"/>
        <w:spacing w:line="360" w:lineRule="auto"/>
        <w:rPr>
          <w:rFonts w:ascii="宋体" w:hAnsi="宋体" w:eastAsia="宋体" w:cs="宋体"/>
          <w:color w:val="auto"/>
          <w:sz w:val="21"/>
          <w:szCs w:val="21"/>
        </w:rPr>
      </w:pPr>
    </w:p>
    <w:p w14:paraId="7AE0EAC7">
      <w:pPr>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被授权人签名：                          法定代表人签名：</w:t>
      </w:r>
    </w:p>
    <w:p w14:paraId="219BF0DE">
      <w:pPr>
        <w:snapToGrid w:val="0"/>
        <w:spacing w:line="360" w:lineRule="auto"/>
        <w:ind w:firstLine="840" w:firstLineChars="400"/>
        <w:rPr>
          <w:rFonts w:ascii="宋体" w:hAnsi="宋体" w:eastAsia="宋体" w:cs="宋体"/>
          <w:color w:val="auto"/>
          <w:sz w:val="21"/>
          <w:szCs w:val="21"/>
        </w:rPr>
      </w:pPr>
      <w:r>
        <w:rPr>
          <w:rFonts w:hint="eastAsia" w:ascii="宋体" w:hAnsi="宋体" w:eastAsia="宋体" w:cs="宋体"/>
          <w:color w:val="auto"/>
          <w:sz w:val="21"/>
          <w:szCs w:val="21"/>
        </w:rPr>
        <w:t>职务：                          职务：</w:t>
      </w:r>
    </w:p>
    <w:p w14:paraId="531B2B11">
      <w:pPr>
        <w:snapToGrid w:val="0"/>
        <w:spacing w:line="360" w:lineRule="auto"/>
        <w:rPr>
          <w:rFonts w:ascii="宋体" w:hAnsi="宋体" w:eastAsia="宋体" w:cs="宋体"/>
          <w:color w:val="auto"/>
          <w:sz w:val="21"/>
          <w:szCs w:val="21"/>
        </w:rPr>
      </w:pPr>
    </w:p>
    <w:p w14:paraId="56197935">
      <w:p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被授权人身份证扫描件：</w:t>
      </w:r>
    </w:p>
    <w:p w14:paraId="4E2D8C3C">
      <w:pPr>
        <w:snapToGrid w:val="0"/>
        <w:spacing w:line="360" w:lineRule="auto"/>
        <w:rPr>
          <w:rFonts w:ascii="宋体" w:hAnsi="宋体" w:eastAsia="宋体" w:cs="宋体"/>
          <w:color w:val="auto"/>
          <w:sz w:val="21"/>
          <w:szCs w:val="21"/>
        </w:rPr>
      </w:pPr>
    </w:p>
    <w:p w14:paraId="707CA7AC">
      <w:pPr>
        <w:snapToGrid w:val="0"/>
        <w:rPr>
          <w:rFonts w:ascii="宋体" w:hAnsi="宋体" w:eastAsia="宋体" w:cs="宋体"/>
          <w:color w:val="auto"/>
          <w:sz w:val="21"/>
          <w:szCs w:val="21"/>
        </w:rPr>
      </w:pPr>
    </w:p>
    <w:p w14:paraId="2F8982B7">
      <w:pPr>
        <w:snapToGrid w:val="0"/>
        <w:rPr>
          <w:rFonts w:ascii="宋体" w:hAnsi="宋体" w:eastAsia="宋体" w:cs="宋体"/>
          <w:color w:val="auto"/>
          <w:sz w:val="21"/>
          <w:szCs w:val="21"/>
        </w:rPr>
      </w:pPr>
    </w:p>
    <w:p w14:paraId="04D68365">
      <w:pPr>
        <w:rPr>
          <w:rFonts w:ascii="宋体" w:hAnsi="宋体" w:eastAsia="宋体" w:cs="宋体"/>
          <w:color w:val="auto"/>
          <w:sz w:val="21"/>
          <w:szCs w:val="21"/>
        </w:rPr>
      </w:pPr>
    </w:p>
    <w:p w14:paraId="6741630D">
      <w:pPr>
        <w:rPr>
          <w:rFonts w:ascii="宋体" w:hAnsi="宋体" w:eastAsia="宋体" w:cs="宋体"/>
          <w:color w:val="auto"/>
          <w:sz w:val="21"/>
          <w:szCs w:val="21"/>
        </w:rPr>
      </w:pPr>
    </w:p>
    <w:p w14:paraId="18826CAF">
      <w:pPr>
        <w:rPr>
          <w:rFonts w:ascii="宋体" w:hAnsi="宋体" w:eastAsia="宋体" w:cs="宋体"/>
          <w:color w:val="auto"/>
          <w:sz w:val="21"/>
          <w:szCs w:val="21"/>
        </w:rPr>
      </w:pPr>
    </w:p>
    <w:p w14:paraId="1D5540E7">
      <w:pPr>
        <w:snapToGrid w:val="0"/>
        <w:spacing w:line="360" w:lineRule="auto"/>
        <w:rPr>
          <w:rFonts w:ascii="宋体" w:hAnsi="宋体" w:eastAsia="宋体" w:cs="宋体"/>
          <w:color w:val="auto"/>
          <w:sz w:val="21"/>
          <w:szCs w:val="21"/>
        </w:rPr>
      </w:pPr>
    </w:p>
    <w:p w14:paraId="4147CA6F">
      <w:p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      投标人电子签章：</w:t>
      </w:r>
    </w:p>
    <w:p w14:paraId="30536B02">
      <w:pPr>
        <w:rPr>
          <w:rFonts w:ascii="宋体" w:hAnsi="宋体" w:eastAsia="宋体" w:cs="宋体"/>
          <w:color w:val="auto"/>
          <w:sz w:val="21"/>
          <w:szCs w:val="21"/>
        </w:rPr>
      </w:pPr>
    </w:p>
    <w:p w14:paraId="027E10F4">
      <w:pPr>
        <w:snapToGri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641CCB3A">
      <w:pPr>
        <w:snapToGrid w:val="0"/>
        <w:spacing w:line="360" w:lineRule="auto"/>
        <w:rPr>
          <w:rFonts w:ascii="宋体" w:hAnsi="宋体" w:eastAsia="宋体" w:cs="宋体"/>
          <w:bCs/>
          <w:color w:val="auto"/>
          <w:sz w:val="21"/>
          <w:szCs w:val="21"/>
        </w:rPr>
      </w:pPr>
    </w:p>
    <w:p w14:paraId="1CB76CA1">
      <w:pPr>
        <w:snapToGrid w:val="0"/>
        <w:spacing w:before="50" w:after="120" w:afterLines="50" w:line="276" w:lineRule="auto"/>
        <w:jc w:val="left"/>
        <w:rPr>
          <w:rFonts w:ascii="宋体" w:hAnsi="宋体" w:eastAsia="宋体" w:cs="宋体"/>
          <w:b/>
          <w:color w:val="auto"/>
          <w:sz w:val="21"/>
          <w:szCs w:val="21"/>
        </w:rPr>
      </w:pPr>
    </w:p>
    <w:p w14:paraId="79CCA366">
      <w:pPr>
        <w:spacing w:line="400" w:lineRule="exact"/>
        <w:ind w:firstLine="422" w:firstLineChars="200"/>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rPr>
        <w:br w:type="page"/>
      </w:r>
      <w:bookmarkStart w:id="368" w:name="_Toc11297"/>
      <w:r>
        <w:rPr>
          <w:rFonts w:hint="eastAsia" w:ascii="宋体" w:hAnsi="宋体" w:eastAsia="宋体" w:cs="宋体"/>
          <w:color w:val="auto"/>
          <w:sz w:val="21"/>
          <w:szCs w:val="21"/>
        </w:rPr>
        <w:t>附件</w:t>
      </w:r>
      <w:bookmarkEnd w:id="368"/>
      <w:r>
        <w:rPr>
          <w:rFonts w:hint="eastAsia" w:ascii="宋体" w:hAnsi="宋体" w:eastAsia="宋体" w:cs="宋体"/>
          <w:color w:val="auto"/>
          <w:sz w:val="21"/>
          <w:szCs w:val="21"/>
          <w:lang w:val="en-US" w:eastAsia="zh-CN"/>
        </w:rPr>
        <w:t>10</w:t>
      </w:r>
    </w:p>
    <w:p w14:paraId="503B279F">
      <w:pPr>
        <w:spacing w:line="400" w:lineRule="exact"/>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法人身份证相关材料</w:t>
      </w:r>
    </w:p>
    <w:p w14:paraId="42A41E8F">
      <w:pPr>
        <w:spacing w:line="400" w:lineRule="exact"/>
        <w:ind w:firstLine="420" w:firstLineChars="200"/>
        <w:rPr>
          <w:rFonts w:ascii="宋体" w:hAnsi="宋体" w:eastAsia="宋体" w:cs="宋体"/>
          <w:color w:val="auto"/>
          <w:sz w:val="21"/>
          <w:szCs w:val="21"/>
        </w:rPr>
      </w:pPr>
    </w:p>
    <w:p w14:paraId="51490653">
      <w:pPr>
        <w:spacing w:line="40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单位名称：</w:t>
      </w:r>
    </w:p>
    <w:p w14:paraId="48117E3B">
      <w:pPr>
        <w:spacing w:line="40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单位性质：</w:t>
      </w:r>
    </w:p>
    <w:p w14:paraId="4FC218F4">
      <w:pPr>
        <w:spacing w:line="40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地    址：</w:t>
      </w:r>
    </w:p>
    <w:p w14:paraId="65FDF302">
      <w:pPr>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成立时间： 年 月 日</w:t>
      </w:r>
    </w:p>
    <w:p w14:paraId="411C5E19">
      <w:pPr>
        <w:spacing w:line="40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经营期限：</w:t>
      </w:r>
    </w:p>
    <w:p w14:paraId="61CDD953">
      <w:pPr>
        <w:spacing w:line="40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姓    名：    性别：     年龄：      职务：</w:t>
      </w:r>
    </w:p>
    <w:p w14:paraId="16E5ABCC">
      <w:pPr>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u w:val="single"/>
        </w:rPr>
        <w:t xml:space="preserve">           (供应商名称）                         </w:t>
      </w:r>
      <w:r>
        <w:rPr>
          <w:rFonts w:hint="eastAsia" w:ascii="宋体" w:hAnsi="宋体" w:eastAsia="宋体" w:cs="宋体"/>
          <w:color w:val="auto"/>
          <w:sz w:val="21"/>
          <w:szCs w:val="21"/>
        </w:rPr>
        <w:t>的法定代表人／负责人。</w:t>
      </w:r>
    </w:p>
    <w:p w14:paraId="6C27BF2E">
      <w:pPr>
        <w:spacing w:line="400" w:lineRule="exact"/>
        <w:ind w:firstLine="420" w:firstLineChars="200"/>
        <w:rPr>
          <w:rFonts w:ascii="宋体" w:hAnsi="宋体" w:eastAsia="宋体" w:cs="宋体"/>
          <w:color w:val="auto"/>
          <w:sz w:val="21"/>
          <w:szCs w:val="21"/>
        </w:rPr>
      </w:pPr>
    </w:p>
    <w:p w14:paraId="24ED936C">
      <w:pPr>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特此说明。</w:t>
      </w:r>
    </w:p>
    <w:p w14:paraId="5A4D11C6">
      <w:pPr>
        <w:spacing w:line="400" w:lineRule="exact"/>
        <w:rPr>
          <w:rFonts w:ascii="宋体" w:hAnsi="宋体" w:eastAsia="宋体" w:cs="宋体"/>
          <w:color w:val="auto"/>
          <w:sz w:val="21"/>
          <w:szCs w:val="21"/>
        </w:rPr>
      </w:pPr>
    </w:p>
    <w:p w14:paraId="6460AEED">
      <w:pPr>
        <w:spacing w:line="400" w:lineRule="exact"/>
        <w:rPr>
          <w:rFonts w:ascii="宋体" w:hAnsi="宋体" w:eastAsia="宋体" w:cs="宋体"/>
          <w:color w:val="auto"/>
          <w:sz w:val="21"/>
          <w:szCs w:val="21"/>
        </w:rPr>
      </w:pPr>
    </w:p>
    <w:p w14:paraId="1C4096B9">
      <w:pPr>
        <w:spacing w:line="400" w:lineRule="exact"/>
        <w:ind w:firstLine="2940" w:firstLineChars="1400"/>
        <w:rPr>
          <w:rFonts w:ascii="宋体" w:hAnsi="宋体" w:eastAsia="宋体" w:cs="宋体"/>
          <w:color w:val="auto"/>
          <w:sz w:val="21"/>
          <w:szCs w:val="21"/>
          <w:u w:val="single"/>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(盖章）      </w:t>
      </w:r>
    </w:p>
    <w:p w14:paraId="40C0F68D">
      <w:pPr>
        <w:snapToGrid w:val="0"/>
        <w:spacing w:line="400" w:lineRule="exact"/>
        <w:jc w:val="left"/>
        <w:rPr>
          <w:rFonts w:ascii="宋体" w:hAnsi="宋体" w:eastAsia="宋体" w:cs="宋体"/>
          <w:color w:val="auto"/>
          <w:sz w:val="21"/>
          <w:szCs w:val="21"/>
        </w:rPr>
      </w:pPr>
      <w:r>
        <w:rPr>
          <w:rFonts w:hint="eastAsia" w:ascii="宋体" w:hAnsi="宋体" w:eastAsia="宋体" w:cs="宋体"/>
          <w:color w:val="auto"/>
          <w:sz w:val="21"/>
          <w:szCs w:val="21"/>
        </w:rPr>
        <w:t xml:space="preserve">                              日  期：   年   月   日</w:t>
      </w:r>
    </w:p>
    <w:p w14:paraId="2D819CAE">
      <w:pPr>
        <w:snapToGrid w:val="0"/>
        <w:spacing w:line="400" w:lineRule="exact"/>
        <w:rPr>
          <w:rFonts w:ascii="宋体" w:hAnsi="宋体" w:eastAsia="宋体" w:cs="宋体"/>
          <w:color w:val="auto"/>
          <w:sz w:val="21"/>
          <w:szCs w:val="21"/>
        </w:rPr>
      </w:pPr>
    </w:p>
    <w:p w14:paraId="6FEB4CD4">
      <w:pPr>
        <w:rPr>
          <w:rFonts w:ascii="宋体" w:hAnsi="宋体" w:eastAsia="宋体" w:cs="宋体"/>
          <w:color w:val="auto"/>
          <w:sz w:val="21"/>
          <w:szCs w:val="21"/>
        </w:rPr>
      </w:pPr>
    </w:p>
    <w:p w14:paraId="4F7AF2B8">
      <w:pPr>
        <w:snapToGrid w:val="0"/>
        <w:spacing w:before="120" w:beforeLines="50" w:after="50"/>
        <w:jc w:val="left"/>
        <w:rPr>
          <w:rFonts w:ascii="宋体" w:hAnsi="宋体" w:eastAsia="宋体" w:cs="宋体"/>
          <w:color w:val="auto"/>
          <w:sz w:val="21"/>
          <w:szCs w:val="21"/>
        </w:rPr>
      </w:pPr>
      <w:r>
        <w:rPr>
          <w:rFonts w:hint="eastAsia" w:ascii="宋体" w:hAnsi="宋体" w:eastAsia="宋体" w:cs="宋体"/>
          <w:b/>
          <w:color w:val="auto"/>
          <w:sz w:val="21"/>
          <w:szCs w:val="21"/>
          <w:lang w:val="zh-CN"/>
        </w:rPr>
        <w:t>法定代表人身份证扫描件</w:t>
      </w:r>
    </w:p>
    <w:p w14:paraId="4C1EFEA2">
      <w:pPr>
        <w:snapToGrid w:val="0"/>
        <w:spacing w:before="120" w:beforeLines="50" w:after="50"/>
        <w:jc w:val="left"/>
        <w:rPr>
          <w:rFonts w:ascii="宋体" w:hAnsi="宋体" w:eastAsia="宋体" w:cs="宋体"/>
          <w:color w:val="auto"/>
          <w:sz w:val="21"/>
          <w:szCs w:val="21"/>
        </w:rPr>
      </w:pPr>
    </w:p>
    <w:tbl>
      <w:tblPr>
        <w:tblStyle w:val="19"/>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14:paraId="18F52768">
        <w:tblPrEx>
          <w:tblCellMar>
            <w:top w:w="0" w:type="dxa"/>
            <w:left w:w="108" w:type="dxa"/>
            <w:bottom w:w="0" w:type="dxa"/>
            <w:right w:w="108" w:type="dxa"/>
          </w:tblCellMar>
        </w:tblPrEx>
        <w:trPr>
          <w:trHeight w:val="2359" w:hRule="atLeast"/>
        </w:trPr>
        <w:tc>
          <w:tcPr>
            <w:tcW w:w="3917" w:type="dxa"/>
            <w:tcBorders>
              <w:top w:val="nil"/>
              <w:left w:val="nil"/>
              <w:bottom w:val="nil"/>
              <w:right w:val="nil"/>
              <w:tl2br w:val="nil"/>
              <w:tr2bl w:val="nil"/>
            </w:tcBorders>
            <w:vAlign w:val="center"/>
          </w:tcPr>
          <w:p w14:paraId="7F27CC3C">
            <w:pPr>
              <w:snapToGrid w:val="0"/>
              <w:spacing w:before="120" w:beforeLines="50" w:after="50" w:line="200" w:lineRule="exact"/>
              <w:jc w:val="center"/>
              <w:rPr>
                <w:rFonts w:ascii="宋体" w:hAnsi="宋体" w:eastAsia="宋体" w:cs="宋体"/>
                <w:color w:val="auto"/>
                <w:sz w:val="21"/>
                <w:szCs w:val="21"/>
              </w:rPr>
            </w:pPr>
            <w:r>
              <w:rPr>
                <w:rFonts w:hint="eastAsia" w:ascii="宋体" w:hAnsi="宋体" w:eastAsia="宋体" w:cs="宋体"/>
                <w:color w:val="auto"/>
                <w:sz w:val="21"/>
                <w:szCs w:val="21"/>
              </w:rPr>
              <w:t>国徽面粘贴处</w:t>
            </w:r>
          </w:p>
        </w:tc>
      </w:tr>
    </w:tbl>
    <w:p w14:paraId="08CC1AEF">
      <w:pPr>
        <w:rPr>
          <w:rFonts w:ascii="宋体" w:hAnsi="宋体" w:eastAsia="宋体" w:cs="宋体"/>
          <w:vanish/>
          <w:color w:val="auto"/>
          <w:sz w:val="21"/>
          <w:szCs w:val="21"/>
        </w:rPr>
      </w:pPr>
    </w:p>
    <w:tbl>
      <w:tblPr>
        <w:tblStyle w:val="19"/>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14:paraId="014A8467">
        <w:trPr>
          <w:trHeight w:val="2359" w:hRule="atLeast"/>
        </w:trPr>
        <w:tc>
          <w:tcPr>
            <w:tcW w:w="3917" w:type="dxa"/>
            <w:tcBorders>
              <w:top w:val="nil"/>
              <w:left w:val="nil"/>
              <w:bottom w:val="nil"/>
              <w:right w:val="nil"/>
              <w:tl2br w:val="nil"/>
              <w:tr2bl w:val="nil"/>
            </w:tcBorders>
            <w:vAlign w:val="center"/>
          </w:tcPr>
          <w:p w14:paraId="2206BBBB">
            <w:pPr>
              <w:snapToGrid w:val="0"/>
              <w:spacing w:before="120" w:beforeLines="50" w:after="50"/>
              <w:jc w:val="center"/>
              <w:rPr>
                <w:rFonts w:ascii="宋体" w:hAnsi="宋体" w:eastAsia="宋体" w:cs="宋体"/>
                <w:color w:val="auto"/>
                <w:sz w:val="21"/>
                <w:szCs w:val="21"/>
              </w:rPr>
            </w:pPr>
            <w:r>
              <w:rPr>
                <w:rFonts w:hint="eastAsia" w:ascii="宋体" w:hAnsi="宋体" w:eastAsia="宋体" w:cs="宋体"/>
                <w:color w:val="auto"/>
                <w:sz w:val="21"/>
                <w:szCs w:val="21"/>
              </w:rPr>
              <w:t>个人信息面粘贴处</w:t>
            </w:r>
          </w:p>
        </w:tc>
      </w:tr>
    </w:tbl>
    <w:p w14:paraId="7A96EFEF">
      <w:pPr>
        <w:snapToGrid w:val="0"/>
        <w:spacing w:before="50" w:after="120" w:afterLines="50" w:line="276" w:lineRule="auto"/>
        <w:jc w:val="left"/>
        <w:rPr>
          <w:rFonts w:ascii="宋体" w:hAnsi="宋体" w:eastAsia="宋体" w:cs="宋体"/>
          <w:b/>
          <w:color w:val="auto"/>
          <w:sz w:val="21"/>
          <w:szCs w:val="21"/>
        </w:rPr>
      </w:pPr>
      <w:bookmarkStart w:id="369" w:name="_Toc16897"/>
    </w:p>
    <w:p w14:paraId="1322BD9A">
      <w:pPr>
        <w:adjustRightInd w:val="0"/>
        <w:snapToGrid w:val="0"/>
        <w:spacing w:line="360" w:lineRule="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rPr>
        <w:br w:type="page"/>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10</w:t>
      </w:r>
    </w:p>
    <w:p w14:paraId="3FC0829D">
      <w:pPr>
        <w:adjustRightInd w:val="0"/>
        <w:snapToGrid w:val="0"/>
        <w:spacing w:line="360" w:lineRule="auto"/>
        <w:ind w:left="419"/>
        <w:jc w:val="center"/>
        <w:rPr>
          <w:rFonts w:ascii="宋体" w:hAnsi="宋体" w:eastAsia="宋体" w:cs="宋体"/>
          <w:color w:val="auto"/>
          <w:sz w:val="21"/>
          <w:szCs w:val="21"/>
        </w:rPr>
      </w:pPr>
      <w:r>
        <w:rPr>
          <w:rFonts w:hint="eastAsia" w:ascii="宋体" w:hAnsi="宋体" w:eastAsia="宋体" w:cs="宋体"/>
          <w:b/>
          <w:bCs/>
          <w:color w:val="auto"/>
          <w:sz w:val="21"/>
          <w:szCs w:val="21"/>
        </w:rPr>
        <w:t>符合参加政府采购活动应当具备的一般条件的承诺函</w:t>
      </w:r>
    </w:p>
    <w:p w14:paraId="4A039CC5">
      <w:pPr>
        <w:tabs>
          <w:tab w:val="left" w:pos="0"/>
        </w:tabs>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（采购人）、（采购代理机构）：</w:t>
      </w:r>
    </w:p>
    <w:p w14:paraId="4C383E72">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】政府采购活动，郑重承诺：</w:t>
      </w:r>
    </w:p>
    <w:p w14:paraId="7AA6A707">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（一）具备《中华人民共和国政府采购法》第二十二条第一款规定的条件：</w:t>
      </w:r>
    </w:p>
    <w:p w14:paraId="67BA8A50">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3E89B8BB">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 xml:space="preserve">2.具有良好的商业信誉和健全的财务会计制度； </w:t>
      </w:r>
    </w:p>
    <w:p w14:paraId="5F6BC395">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26A8C1E4">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7A978E53">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14:paraId="6E7C0492">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6.具有法律、行政法规规定的其他条件。</w:t>
      </w:r>
    </w:p>
    <w:p w14:paraId="5E66D4FC">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（二）未被信用中国(www.creditchina.gov.cn)、中国政府采购网（www.ccgp.gov.cn）列入失信被执行人、重大税收违法案件当事人名单、政府采购严重违法失信行为记录名单。</w:t>
      </w:r>
    </w:p>
    <w:p w14:paraId="6AF7386F">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（三）不存在以下情况：</w:t>
      </w:r>
    </w:p>
    <w:p w14:paraId="1A6E9940">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1.单位负责人为同一人或者存在直接控股、管理关系的不同供应商参加同一合同项下的政府采购活动的；</w:t>
      </w:r>
    </w:p>
    <w:p w14:paraId="046BC1B8">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2.为采购项目提供整体设计、规范编制或者项目管理、监理、检测等服务后再参加该采购项目的其他采购活动的。</w:t>
      </w:r>
    </w:p>
    <w:p w14:paraId="7A5E21C8">
      <w:pPr>
        <w:tabs>
          <w:tab w:val="left" w:pos="0"/>
        </w:tabs>
        <w:snapToGrid w:val="0"/>
        <w:spacing w:line="360" w:lineRule="auto"/>
        <w:ind w:firstLine="480"/>
        <w:rPr>
          <w:rFonts w:ascii="宋体" w:hAnsi="宋体" w:eastAsia="宋体" w:cs="宋体"/>
          <w:color w:val="auto"/>
          <w:sz w:val="21"/>
          <w:szCs w:val="21"/>
        </w:rPr>
      </w:pPr>
    </w:p>
    <w:p w14:paraId="2BBEDFAC">
      <w:pPr>
        <w:tabs>
          <w:tab w:val="left" w:pos="0"/>
        </w:tabs>
        <w:snapToGrid w:val="0"/>
        <w:spacing w:line="360" w:lineRule="auto"/>
        <w:ind w:firstLine="480"/>
        <w:rPr>
          <w:rFonts w:ascii="宋体" w:hAnsi="宋体" w:eastAsia="宋体" w:cs="宋体"/>
          <w:color w:val="auto"/>
          <w:sz w:val="21"/>
          <w:szCs w:val="21"/>
        </w:rPr>
      </w:pPr>
    </w:p>
    <w:p w14:paraId="2E705157">
      <w:pPr>
        <w:tabs>
          <w:tab w:val="left" w:pos="0"/>
        </w:tabs>
        <w:snapToGrid w:val="0"/>
        <w:spacing w:line="360" w:lineRule="auto"/>
        <w:ind w:firstLine="480"/>
        <w:rPr>
          <w:rFonts w:ascii="宋体" w:hAnsi="宋体" w:eastAsia="宋体" w:cs="宋体"/>
          <w:color w:val="auto"/>
          <w:sz w:val="21"/>
          <w:szCs w:val="21"/>
        </w:rPr>
      </w:pPr>
    </w:p>
    <w:p w14:paraId="4C84C9AA">
      <w:pPr>
        <w:tabs>
          <w:tab w:val="left" w:pos="0"/>
        </w:tabs>
        <w:snapToGrid w:val="0"/>
        <w:spacing w:line="360" w:lineRule="auto"/>
        <w:ind w:firstLine="480"/>
        <w:rPr>
          <w:rFonts w:ascii="宋体" w:hAnsi="宋体" w:eastAsia="宋体" w:cs="宋体"/>
          <w:color w:val="auto"/>
          <w:sz w:val="21"/>
          <w:szCs w:val="21"/>
        </w:rPr>
      </w:pPr>
    </w:p>
    <w:p w14:paraId="4B8EA0BE">
      <w:pPr>
        <w:tabs>
          <w:tab w:val="left" w:pos="0"/>
        </w:tabs>
        <w:snapToGrid w:val="0"/>
        <w:spacing w:line="360" w:lineRule="auto"/>
        <w:ind w:firstLine="4410" w:firstLineChars="2100"/>
        <w:rPr>
          <w:rFonts w:ascii="宋体" w:hAnsi="宋体" w:eastAsia="宋体" w:cs="宋体"/>
          <w:color w:val="auto"/>
          <w:sz w:val="21"/>
          <w:szCs w:val="21"/>
        </w:rPr>
      </w:pPr>
      <w:r>
        <w:rPr>
          <w:rFonts w:hint="eastAsia" w:ascii="宋体" w:hAnsi="宋体" w:eastAsia="宋体" w:cs="宋体"/>
          <w:color w:val="auto"/>
          <w:sz w:val="21"/>
          <w:szCs w:val="21"/>
        </w:rPr>
        <w:t>投标人名称(电子签名）：</w:t>
      </w:r>
    </w:p>
    <w:p w14:paraId="789FCCFE">
      <w:pPr>
        <w:tabs>
          <w:tab w:val="left" w:pos="0"/>
        </w:tabs>
        <w:snapToGri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 xml:space="preserve">                                       日期：  年  月   日</w:t>
      </w:r>
    </w:p>
    <w:p w14:paraId="4B6F75C7">
      <w:pPr>
        <w:snapToGrid w:val="0"/>
        <w:spacing w:line="400" w:lineRule="exact"/>
        <w:jc w:val="left"/>
        <w:rPr>
          <w:rFonts w:ascii="宋体" w:hAnsi="宋体" w:eastAsia="宋体" w:cs="宋体"/>
          <w:color w:val="auto"/>
          <w:sz w:val="21"/>
          <w:szCs w:val="21"/>
        </w:rPr>
      </w:pPr>
      <w:r>
        <w:rPr>
          <w:rFonts w:hint="eastAsia" w:ascii="宋体" w:hAnsi="宋体" w:eastAsia="宋体" w:cs="宋体"/>
          <w:b/>
          <w:color w:val="auto"/>
          <w:sz w:val="21"/>
          <w:szCs w:val="21"/>
        </w:rPr>
        <w:br w:type="page"/>
      </w:r>
      <w:r>
        <w:rPr>
          <w:rFonts w:hint="eastAsia" w:ascii="宋体" w:hAnsi="宋体" w:eastAsia="宋体" w:cs="宋体"/>
          <w:color w:val="auto"/>
          <w:sz w:val="21"/>
          <w:szCs w:val="21"/>
        </w:rPr>
        <w:t>附件1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：（本表允许联合体投标时适用）</w:t>
      </w:r>
    </w:p>
    <w:p w14:paraId="081CB92C">
      <w:pPr>
        <w:snapToGrid w:val="0"/>
        <w:spacing w:line="460" w:lineRule="atLeast"/>
        <w:ind w:firstLine="478" w:firstLineChars="200"/>
        <w:jc w:val="center"/>
        <w:rPr>
          <w:rFonts w:ascii="宋体" w:hAnsi="宋体" w:eastAsia="宋体" w:cs="宋体"/>
          <w:color w:val="auto"/>
          <w:spacing w:val="14"/>
          <w:kern w:val="24"/>
          <w:sz w:val="21"/>
          <w:szCs w:val="21"/>
        </w:rPr>
      </w:pPr>
      <w:r>
        <w:rPr>
          <w:rFonts w:hint="eastAsia" w:ascii="宋体" w:hAnsi="宋体" w:eastAsia="宋体" w:cs="宋体"/>
          <w:b/>
          <w:bCs/>
          <w:color w:val="auto"/>
          <w:spacing w:val="14"/>
          <w:kern w:val="24"/>
          <w:sz w:val="21"/>
          <w:szCs w:val="21"/>
        </w:rPr>
        <w:t>联合投标协议书</w:t>
      </w:r>
    </w:p>
    <w:p w14:paraId="08DFEAFA">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甲方：</w:t>
      </w:r>
    </w:p>
    <w:p w14:paraId="0F054EF6">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乙方：</w:t>
      </w:r>
    </w:p>
    <w:p w14:paraId="5A6F8A92">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（如果有的话，可按甲、乙、丙、丁…序列增加）</w:t>
      </w:r>
    </w:p>
    <w:p w14:paraId="2F008DED">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 xml:space="preserve">各方经协商，就响应 </w:t>
      </w:r>
      <w:r>
        <w:rPr>
          <w:rFonts w:hint="eastAsia" w:ascii="宋体" w:hAnsi="宋体" w:eastAsia="宋体" w:cs="宋体"/>
          <w:color w:val="auto"/>
          <w:spacing w:val="14"/>
          <w:kern w:val="24"/>
          <w:sz w:val="21"/>
          <w:szCs w:val="21"/>
          <w:u w:val="single"/>
        </w:rPr>
        <w:t xml:space="preserve">                </w:t>
      </w:r>
      <w:r>
        <w:rPr>
          <w:rFonts w:hint="eastAsia" w:ascii="宋体" w:hAnsi="宋体" w:eastAsia="宋体" w:cs="宋体"/>
          <w:color w:val="auto"/>
          <w:spacing w:val="14"/>
          <w:kern w:val="24"/>
          <w:sz w:val="21"/>
          <w:szCs w:val="21"/>
        </w:rPr>
        <w:t>组织实施的编号为</w:t>
      </w:r>
      <w:r>
        <w:rPr>
          <w:rFonts w:hint="eastAsia" w:ascii="宋体" w:hAnsi="宋体" w:eastAsia="宋体" w:cs="宋体"/>
          <w:color w:val="auto"/>
          <w:spacing w:val="14"/>
          <w:kern w:val="24"/>
          <w:sz w:val="21"/>
          <w:szCs w:val="21"/>
          <w:u w:val="single"/>
        </w:rPr>
        <w:t xml:space="preserve">           </w:t>
      </w:r>
      <w:r>
        <w:rPr>
          <w:rFonts w:hint="eastAsia" w:ascii="宋体" w:hAnsi="宋体" w:eastAsia="宋体" w:cs="宋体"/>
          <w:color w:val="auto"/>
          <w:spacing w:val="14"/>
          <w:kern w:val="24"/>
          <w:sz w:val="21"/>
          <w:szCs w:val="21"/>
        </w:rPr>
        <w:t>号的招标活动联合进行投标之事宜，达成如下协议：</w:t>
      </w:r>
    </w:p>
    <w:p w14:paraId="76372D70">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 xml:space="preserve">一、各方一致决定，以 </w:t>
      </w:r>
      <w:r>
        <w:rPr>
          <w:rFonts w:hint="eastAsia" w:ascii="宋体" w:hAnsi="宋体" w:eastAsia="宋体" w:cs="宋体"/>
          <w:color w:val="auto"/>
          <w:spacing w:val="14"/>
          <w:kern w:val="24"/>
          <w:sz w:val="21"/>
          <w:szCs w:val="21"/>
          <w:u w:val="single"/>
        </w:rPr>
        <w:t xml:space="preserve">                           </w:t>
      </w:r>
      <w:r>
        <w:rPr>
          <w:rFonts w:hint="eastAsia" w:ascii="宋体" w:hAnsi="宋体" w:eastAsia="宋体" w:cs="宋体"/>
          <w:color w:val="auto"/>
          <w:spacing w:val="14"/>
          <w:kern w:val="24"/>
          <w:sz w:val="21"/>
          <w:szCs w:val="21"/>
        </w:rPr>
        <w:t xml:space="preserve"> 为主办人进行投标，并按照招标文件的规定分别提交资格文件。</w:t>
      </w:r>
    </w:p>
    <w:p w14:paraId="4EDDA21C">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二、在本次投标过程中，主办人的</w:t>
      </w:r>
      <w:r>
        <w:rPr>
          <w:rFonts w:hint="eastAsia" w:ascii="宋体" w:hAnsi="宋体" w:eastAsia="宋体" w:cs="宋体"/>
          <w:color w:val="auto"/>
          <w:spacing w:val="14"/>
          <w:kern w:val="24"/>
          <w:sz w:val="21"/>
          <w:szCs w:val="21"/>
          <w:u w:val="single"/>
        </w:rPr>
        <w:t>法定代表人或授权代理人</w:t>
      </w:r>
      <w:r>
        <w:rPr>
          <w:rFonts w:hint="eastAsia" w:ascii="宋体" w:hAnsi="宋体" w:eastAsia="宋体" w:cs="宋体"/>
          <w:color w:val="auto"/>
          <w:spacing w:val="14"/>
          <w:kern w:val="24"/>
          <w:sz w:val="21"/>
          <w:szCs w:val="21"/>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923D76E">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三、联合投标其余各方保证对主办人为响应本次招标而提供的产品和服务提供全部质量保证及售后服务支持。</w:t>
      </w:r>
    </w:p>
    <w:p w14:paraId="63846E07">
      <w:pPr>
        <w:snapToGrid w:val="0"/>
        <w:spacing w:line="460" w:lineRule="atLeast"/>
        <w:ind w:firstLine="476" w:firstLineChars="200"/>
        <w:rPr>
          <w:rFonts w:ascii="宋体" w:hAnsi="宋体" w:eastAsia="宋体" w:cs="宋体"/>
          <w:color w:val="auto"/>
          <w:spacing w:val="14"/>
          <w:sz w:val="21"/>
          <w:szCs w:val="21"/>
        </w:rPr>
      </w:pPr>
      <w:r>
        <w:rPr>
          <w:rFonts w:hint="eastAsia" w:ascii="宋体" w:hAnsi="宋体" w:eastAsia="宋体" w:cs="宋体"/>
          <w:color w:val="auto"/>
          <w:spacing w:val="14"/>
          <w:kern w:val="24"/>
          <w:sz w:val="21"/>
          <w:szCs w:val="21"/>
        </w:rPr>
        <w:t>四、本次联合投标中，甲方承担的工作和义务为：</w:t>
      </w:r>
    </w:p>
    <w:p w14:paraId="40EAAD72">
      <w:pPr>
        <w:snapToGrid w:val="0"/>
        <w:spacing w:line="460" w:lineRule="atLeast"/>
        <w:ind w:firstLine="476" w:firstLineChars="200"/>
        <w:rPr>
          <w:rFonts w:ascii="宋体" w:hAnsi="宋体" w:eastAsia="宋体" w:cs="宋体"/>
          <w:color w:val="auto"/>
          <w:spacing w:val="14"/>
          <w:sz w:val="21"/>
          <w:szCs w:val="21"/>
        </w:rPr>
      </w:pPr>
      <w:r>
        <w:rPr>
          <w:rFonts w:hint="eastAsia" w:ascii="宋体" w:hAnsi="宋体" w:eastAsia="宋体" w:cs="宋体"/>
          <w:color w:val="auto"/>
          <w:spacing w:val="14"/>
          <w:kern w:val="24"/>
          <w:sz w:val="21"/>
          <w:szCs w:val="21"/>
        </w:rPr>
        <w:t xml:space="preserve">   乙方承担的工作和义务为：</w:t>
      </w:r>
    </w:p>
    <w:p w14:paraId="62D0E0A1">
      <w:pPr>
        <w:snapToGrid w:val="0"/>
        <w:spacing w:line="460" w:lineRule="atLeast"/>
        <w:ind w:firstLine="478" w:firstLineChars="200"/>
        <w:rPr>
          <w:rFonts w:ascii="宋体" w:hAnsi="宋体" w:eastAsia="宋体" w:cs="宋体"/>
          <w:b/>
          <w:bCs/>
          <w:color w:val="auto"/>
          <w:spacing w:val="14"/>
          <w:sz w:val="21"/>
          <w:szCs w:val="21"/>
        </w:rPr>
      </w:pPr>
      <w:r>
        <w:rPr>
          <w:rFonts w:hint="eastAsia" w:ascii="宋体" w:hAnsi="宋体" w:eastAsia="宋体" w:cs="宋体"/>
          <w:b/>
          <w:bCs/>
          <w:color w:val="auto"/>
          <w:spacing w:val="14"/>
          <w:kern w:val="24"/>
          <w:sz w:val="21"/>
          <w:szCs w:val="21"/>
          <w:u w:val="single"/>
        </w:rPr>
        <w:t xml:space="preserve">    </w:t>
      </w:r>
      <w:r>
        <w:rPr>
          <w:rFonts w:hint="eastAsia" w:ascii="宋体" w:hAnsi="宋体" w:eastAsia="宋体" w:cs="宋体"/>
          <w:b/>
          <w:bCs/>
          <w:color w:val="auto"/>
          <w:spacing w:val="14"/>
          <w:kern w:val="24"/>
          <w:sz w:val="21"/>
          <w:szCs w:val="21"/>
        </w:rPr>
        <w:t>方为</w:t>
      </w:r>
      <w:r>
        <w:rPr>
          <w:rFonts w:hint="eastAsia" w:ascii="宋体" w:hAnsi="宋体" w:eastAsia="宋体" w:cs="宋体"/>
          <w:b/>
          <w:bCs/>
          <w:color w:val="auto"/>
          <w:spacing w:val="14"/>
          <w:kern w:val="24"/>
          <w:sz w:val="21"/>
          <w:szCs w:val="21"/>
          <w:u w:val="single"/>
        </w:rPr>
        <w:t xml:space="preserve">     </w:t>
      </w:r>
      <w:r>
        <w:rPr>
          <w:rFonts w:hint="eastAsia" w:ascii="宋体" w:hAnsi="宋体" w:eastAsia="宋体" w:cs="宋体"/>
          <w:b/>
          <w:bCs/>
          <w:color w:val="auto"/>
          <w:spacing w:val="14"/>
          <w:kern w:val="24"/>
          <w:sz w:val="21"/>
          <w:szCs w:val="21"/>
        </w:rPr>
        <w:t>企业（此处填中型、小型、微型），预计本次承当的合同金额为</w:t>
      </w:r>
      <w:r>
        <w:rPr>
          <w:rFonts w:hint="eastAsia" w:ascii="宋体" w:hAnsi="宋体" w:eastAsia="宋体" w:cs="宋体"/>
          <w:b/>
          <w:bCs/>
          <w:color w:val="auto"/>
          <w:spacing w:val="14"/>
          <w:kern w:val="24"/>
          <w:sz w:val="21"/>
          <w:szCs w:val="21"/>
          <w:u w:val="single"/>
        </w:rPr>
        <w:t xml:space="preserve">   </w:t>
      </w:r>
      <w:r>
        <w:rPr>
          <w:rFonts w:hint="eastAsia" w:ascii="宋体" w:hAnsi="宋体" w:eastAsia="宋体" w:cs="宋体"/>
          <w:b/>
          <w:bCs/>
          <w:color w:val="auto"/>
          <w:spacing w:val="14"/>
          <w:kern w:val="24"/>
          <w:sz w:val="21"/>
          <w:szCs w:val="21"/>
        </w:rPr>
        <w:t>%。</w:t>
      </w:r>
    </w:p>
    <w:p w14:paraId="31AF7E06">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五、有关本次联合投标的其他事宜：</w:t>
      </w:r>
    </w:p>
    <w:p w14:paraId="0DCFC1A1">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六、本协议提交招标方后，联合投标各方不得以任何形式对上述实质内容进行修改或撤销。</w:t>
      </w:r>
    </w:p>
    <w:p w14:paraId="3C60F531">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七、本协议一式四份，签约各方各持一份，交政府采购管理部门及招标机构各一份。</w:t>
      </w: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4E0F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l2br w:val="nil"/>
              <w:tr2bl w:val="nil"/>
            </w:tcBorders>
            <w:vAlign w:val="center"/>
          </w:tcPr>
          <w:p w14:paraId="24BF5E19">
            <w:pPr>
              <w:snapToGrid w:val="0"/>
              <w:spacing w:line="460" w:lineRule="atLeast"/>
              <w:ind w:firstLine="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甲方单位：          （公章）</w:t>
            </w:r>
          </w:p>
          <w:p w14:paraId="01F66C69">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法定代表人：（签章）</w:t>
            </w:r>
          </w:p>
          <w:p w14:paraId="268DD314">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日期：    年   月   日</w:t>
            </w:r>
          </w:p>
        </w:tc>
        <w:tc>
          <w:tcPr>
            <w:tcW w:w="4260" w:type="dxa"/>
            <w:tcBorders>
              <w:top w:val="nil"/>
              <w:left w:val="nil"/>
              <w:bottom w:val="nil"/>
              <w:right w:val="nil"/>
              <w:tl2br w:val="nil"/>
              <w:tr2bl w:val="nil"/>
            </w:tcBorders>
            <w:vAlign w:val="center"/>
          </w:tcPr>
          <w:p w14:paraId="63622427">
            <w:pPr>
              <w:snapToGrid w:val="0"/>
              <w:spacing w:line="460" w:lineRule="atLeast"/>
              <w:ind w:firstLine="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乙方单位：           （公章）</w:t>
            </w:r>
          </w:p>
          <w:p w14:paraId="45307F9F">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法定代表人：（签章）</w:t>
            </w:r>
          </w:p>
          <w:p w14:paraId="0769AA97">
            <w:pPr>
              <w:snapToGrid w:val="0"/>
              <w:spacing w:line="460" w:lineRule="atLeast"/>
              <w:ind w:firstLine="476" w:firstLineChars="200"/>
              <w:rPr>
                <w:rFonts w:ascii="宋体" w:hAnsi="宋体" w:eastAsia="宋体" w:cs="宋体"/>
                <w:color w:val="auto"/>
                <w:spacing w:val="14"/>
                <w:kern w:val="24"/>
                <w:sz w:val="21"/>
                <w:szCs w:val="21"/>
              </w:rPr>
            </w:pPr>
            <w:r>
              <w:rPr>
                <w:rFonts w:hint="eastAsia" w:ascii="宋体" w:hAnsi="宋体" w:eastAsia="宋体" w:cs="宋体"/>
                <w:color w:val="auto"/>
                <w:spacing w:val="14"/>
                <w:kern w:val="24"/>
                <w:sz w:val="21"/>
                <w:szCs w:val="21"/>
              </w:rPr>
              <w:t>日期：   年   月   日</w:t>
            </w:r>
          </w:p>
        </w:tc>
      </w:tr>
    </w:tbl>
    <w:p w14:paraId="62A7B4B3">
      <w:pPr>
        <w:snapToGrid w:val="0"/>
        <w:spacing w:before="50" w:after="120" w:afterLines="50" w:line="276" w:lineRule="auto"/>
        <w:jc w:val="left"/>
        <w:rPr>
          <w:rFonts w:ascii="宋体" w:hAnsi="宋体" w:eastAsia="宋体" w:cs="宋体"/>
          <w:b/>
          <w:color w:val="auto"/>
          <w:sz w:val="21"/>
          <w:szCs w:val="21"/>
        </w:rPr>
      </w:pPr>
      <w:bookmarkStart w:id="370" w:name="_Toc6151"/>
      <w:bookmarkStart w:id="371" w:name="_Toc19072"/>
      <w:bookmarkStart w:id="372" w:name="_Toc25790"/>
    </w:p>
    <w:p w14:paraId="00D0F16F">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00C617F4">
      <w:pPr>
        <w:overflowPunct w:val="0"/>
        <w:spacing w:line="46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联合投标授权委托书</w:t>
      </w:r>
    </w:p>
    <w:p w14:paraId="7055EB9C">
      <w:pPr>
        <w:overflowPunct w:val="0"/>
        <w:spacing w:line="460" w:lineRule="exact"/>
        <w:rPr>
          <w:rFonts w:ascii="宋体" w:hAnsi="宋体" w:eastAsia="宋体" w:cs="宋体"/>
          <w:color w:val="auto"/>
          <w:sz w:val="21"/>
          <w:szCs w:val="21"/>
        </w:rPr>
      </w:pPr>
    </w:p>
    <w:p w14:paraId="33DA15CD">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 xml:space="preserve"> 本授权委托书声明：根据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与签订的《联合投标协议书》的内容，主办人的法定代表人现授权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为联合投标代理人，代理人在投标、开标、评标、合同谈判过程中所签署的一切文件和处理与这有关的一切事务， 联合投标各方均予以认可并遵守。</w:t>
      </w:r>
    </w:p>
    <w:p w14:paraId="5FE1F6C4">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 xml:space="preserve"> 特此委托。</w:t>
      </w:r>
    </w:p>
    <w:p w14:paraId="42C54308">
      <w:pPr>
        <w:overflowPunct w:val="0"/>
        <w:spacing w:line="460" w:lineRule="exact"/>
        <w:rPr>
          <w:rFonts w:ascii="宋体" w:hAnsi="宋体" w:eastAsia="宋体" w:cs="宋体"/>
          <w:color w:val="auto"/>
          <w:sz w:val="21"/>
          <w:szCs w:val="21"/>
        </w:rPr>
      </w:pPr>
    </w:p>
    <w:p w14:paraId="1982839C">
      <w:pPr>
        <w:overflowPunct w:val="0"/>
        <w:spacing w:line="4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授权人（签名）：</w:t>
      </w:r>
      <w:r>
        <w:rPr>
          <w:rFonts w:hint="eastAsia" w:ascii="宋体" w:hAnsi="宋体" w:eastAsia="宋体" w:cs="宋体"/>
          <w:color w:val="auto"/>
          <w:sz w:val="21"/>
          <w:szCs w:val="21"/>
          <w:u w:val="single"/>
        </w:rPr>
        <w:t xml:space="preserve">               </w:t>
      </w:r>
    </w:p>
    <w:p w14:paraId="7A9A4571">
      <w:pPr>
        <w:overflowPunct w:val="0"/>
        <w:spacing w:line="460" w:lineRule="exact"/>
        <w:ind w:firstLine="420" w:firstLineChars="200"/>
        <w:rPr>
          <w:rFonts w:ascii="宋体" w:hAnsi="宋体" w:eastAsia="宋体" w:cs="宋体"/>
          <w:color w:val="auto"/>
          <w:sz w:val="21"/>
          <w:szCs w:val="21"/>
        </w:rPr>
      </w:pPr>
    </w:p>
    <w:p w14:paraId="5E9EB555">
      <w:pPr>
        <w:overflowPunct w:val="0"/>
        <w:spacing w:line="460" w:lineRule="exact"/>
        <w:ind w:left="420" w:leftChars="200" w:firstLine="105" w:firstLineChars="50"/>
        <w:rPr>
          <w:rFonts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576FA959">
      <w:pPr>
        <w:overflowPunct w:val="0"/>
        <w:spacing w:line="460" w:lineRule="exact"/>
        <w:rPr>
          <w:rFonts w:ascii="宋体" w:hAnsi="宋体" w:eastAsia="宋体" w:cs="宋体"/>
          <w:color w:val="auto"/>
          <w:sz w:val="21"/>
          <w:szCs w:val="21"/>
        </w:rPr>
      </w:pPr>
    </w:p>
    <w:p w14:paraId="6820371F">
      <w:pPr>
        <w:overflowPunct w:val="0"/>
        <w:spacing w:line="460" w:lineRule="exact"/>
        <w:ind w:firstLine="399" w:firstLineChars="190"/>
        <w:rPr>
          <w:rFonts w:ascii="宋体" w:hAnsi="宋体" w:eastAsia="宋体" w:cs="宋体"/>
          <w:color w:val="auto"/>
          <w:sz w:val="21"/>
          <w:szCs w:val="21"/>
          <w:u w:val="single"/>
        </w:rPr>
      </w:pPr>
      <w:r>
        <w:rPr>
          <w:rFonts w:hint="eastAsia" w:ascii="宋体" w:hAnsi="宋体" w:eastAsia="宋体" w:cs="宋体"/>
          <w:color w:val="auto"/>
          <w:sz w:val="21"/>
          <w:szCs w:val="21"/>
        </w:rPr>
        <w:t>授权代表（签名）；</w:t>
      </w:r>
      <w:r>
        <w:rPr>
          <w:rFonts w:hint="eastAsia" w:ascii="宋体" w:hAnsi="宋体" w:eastAsia="宋体" w:cs="宋体"/>
          <w:color w:val="auto"/>
          <w:sz w:val="21"/>
          <w:szCs w:val="21"/>
          <w:u w:val="single"/>
        </w:rPr>
        <w:t xml:space="preserve">              </w:t>
      </w:r>
    </w:p>
    <w:p w14:paraId="6E532DC8">
      <w:pPr>
        <w:overflowPunct w:val="0"/>
        <w:spacing w:line="460" w:lineRule="exact"/>
        <w:ind w:firstLine="399" w:firstLineChars="190"/>
        <w:rPr>
          <w:rFonts w:ascii="宋体" w:hAnsi="宋体" w:eastAsia="宋体" w:cs="宋体"/>
          <w:color w:val="auto"/>
          <w:sz w:val="21"/>
          <w:szCs w:val="21"/>
        </w:rPr>
      </w:pPr>
    </w:p>
    <w:p w14:paraId="5380B567">
      <w:pPr>
        <w:overflowPunct w:val="0"/>
        <w:spacing w:line="460" w:lineRule="exact"/>
        <w:ind w:firstLine="399" w:firstLineChars="190"/>
        <w:rPr>
          <w:rFonts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2A97D447">
      <w:pPr>
        <w:tabs>
          <w:tab w:val="left" w:pos="606"/>
        </w:tabs>
        <w:spacing w:line="460" w:lineRule="exact"/>
        <w:rPr>
          <w:rFonts w:ascii="宋体" w:hAnsi="宋体" w:eastAsia="宋体" w:cs="宋体"/>
          <w:color w:val="auto"/>
          <w:spacing w:val="20"/>
          <w:sz w:val="21"/>
          <w:szCs w:val="21"/>
        </w:rPr>
      </w:pPr>
    </w:p>
    <w:p w14:paraId="172751BE">
      <w:pPr>
        <w:tabs>
          <w:tab w:val="left" w:pos="606"/>
        </w:tabs>
        <w:spacing w:line="460" w:lineRule="exact"/>
        <w:rPr>
          <w:rFonts w:ascii="宋体" w:hAnsi="宋体" w:eastAsia="宋体" w:cs="宋体"/>
          <w:color w:val="auto"/>
          <w:spacing w:val="20"/>
          <w:sz w:val="21"/>
          <w:szCs w:val="21"/>
        </w:rPr>
      </w:pPr>
    </w:p>
    <w:tbl>
      <w:tblPr>
        <w:tblStyle w:val="19"/>
        <w:tblW w:w="8530" w:type="dxa"/>
        <w:jc w:val="center"/>
        <w:tblLayout w:type="fixed"/>
        <w:tblCellMar>
          <w:top w:w="0" w:type="dxa"/>
          <w:left w:w="108" w:type="dxa"/>
          <w:bottom w:w="0" w:type="dxa"/>
          <w:right w:w="108" w:type="dxa"/>
        </w:tblCellMar>
      </w:tblPr>
      <w:tblGrid>
        <w:gridCol w:w="4265"/>
        <w:gridCol w:w="4265"/>
      </w:tblGrid>
      <w:tr w14:paraId="3367651E">
        <w:tblPrEx>
          <w:tblCellMar>
            <w:top w:w="0" w:type="dxa"/>
            <w:left w:w="108" w:type="dxa"/>
            <w:bottom w:w="0" w:type="dxa"/>
            <w:right w:w="108" w:type="dxa"/>
          </w:tblCellMar>
        </w:tblPrEx>
        <w:trPr>
          <w:trHeight w:val="1635" w:hRule="atLeast"/>
          <w:jc w:val="center"/>
        </w:trPr>
        <w:tc>
          <w:tcPr>
            <w:tcW w:w="4265" w:type="dxa"/>
            <w:tcBorders>
              <w:top w:val="nil"/>
              <w:left w:val="nil"/>
              <w:bottom w:val="nil"/>
              <w:right w:val="nil"/>
              <w:tl2br w:val="nil"/>
              <w:tr2bl w:val="nil"/>
            </w:tcBorders>
          </w:tcPr>
          <w:p w14:paraId="527B4266">
            <w:pPr>
              <w:overflowPunct w:val="0"/>
              <w:spacing w:line="460" w:lineRule="exact"/>
              <w:rPr>
                <w:rFonts w:ascii="宋体" w:hAnsi="宋体" w:eastAsia="宋体" w:cs="宋体"/>
                <w:color w:val="auto"/>
                <w:sz w:val="21"/>
                <w:szCs w:val="21"/>
              </w:rPr>
            </w:pPr>
          </w:p>
          <w:p w14:paraId="07B665DB">
            <w:pPr>
              <w:overflowPunct w:val="0"/>
              <w:spacing w:line="460" w:lineRule="exact"/>
              <w:rPr>
                <w:rFonts w:ascii="宋体" w:hAnsi="宋体" w:eastAsia="宋体" w:cs="宋体"/>
                <w:color w:val="auto"/>
                <w:sz w:val="21"/>
                <w:szCs w:val="21"/>
              </w:rPr>
            </w:pPr>
          </w:p>
          <w:p w14:paraId="725C9633">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联合体甲方单位：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（公章）</w:t>
            </w:r>
          </w:p>
          <w:p w14:paraId="680941EF">
            <w:pPr>
              <w:overflowPunct w:val="0"/>
              <w:spacing w:line="460" w:lineRule="exact"/>
              <w:rPr>
                <w:rFonts w:ascii="宋体" w:hAnsi="宋体" w:eastAsia="宋体" w:cs="宋体"/>
                <w:color w:val="auto"/>
                <w:sz w:val="21"/>
                <w:szCs w:val="21"/>
              </w:rPr>
            </w:pPr>
          </w:p>
          <w:p w14:paraId="5F226DC8">
            <w:pPr>
              <w:overflowPunct w:val="0"/>
              <w:spacing w:line="460" w:lineRule="exact"/>
              <w:rPr>
                <w:rFonts w:ascii="宋体" w:hAnsi="宋体" w:eastAsia="宋体" w:cs="宋体"/>
                <w:color w:val="auto"/>
                <w:sz w:val="21"/>
                <w:szCs w:val="21"/>
              </w:rPr>
            </w:pPr>
          </w:p>
          <w:p w14:paraId="4F8FF6B3">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（签章）</w:t>
            </w:r>
          </w:p>
          <w:p w14:paraId="00E6CF94">
            <w:pPr>
              <w:overflowPunct w:val="0"/>
              <w:spacing w:line="460" w:lineRule="exact"/>
              <w:rPr>
                <w:rFonts w:ascii="宋体" w:hAnsi="宋体" w:eastAsia="宋体" w:cs="宋体"/>
                <w:color w:val="auto"/>
                <w:sz w:val="21"/>
                <w:szCs w:val="21"/>
              </w:rPr>
            </w:pPr>
          </w:p>
          <w:p w14:paraId="5444BD8C">
            <w:pPr>
              <w:overflowPunct w:val="0"/>
              <w:spacing w:line="460" w:lineRule="exact"/>
              <w:rPr>
                <w:rFonts w:ascii="宋体" w:hAnsi="宋体" w:eastAsia="宋体" w:cs="宋体"/>
                <w:color w:val="auto"/>
                <w:sz w:val="21"/>
                <w:szCs w:val="21"/>
              </w:rPr>
            </w:pPr>
          </w:p>
          <w:p w14:paraId="35B0F541">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tc>
        <w:tc>
          <w:tcPr>
            <w:tcW w:w="4265" w:type="dxa"/>
            <w:tcBorders>
              <w:top w:val="nil"/>
              <w:left w:val="nil"/>
              <w:bottom w:val="nil"/>
              <w:right w:val="nil"/>
              <w:tl2br w:val="nil"/>
              <w:tr2bl w:val="nil"/>
            </w:tcBorders>
          </w:tcPr>
          <w:p w14:paraId="3B515ADE">
            <w:pPr>
              <w:overflowPunct w:val="0"/>
              <w:spacing w:line="460" w:lineRule="exact"/>
              <w:rPr>
                <w:rFonts w:ascii="宋体" w:hAnsi="宋体" w:eastAsia="宋体" w:cs="宋体"/>
                <w:color w:val="auto"/>
                <w:sz w:val="21"/>
                <w:szCs w:val="21"/>
              </w:rPr>
            </w:pPr>
          </w:p>
          <w:p w14:paraId="061802E9">
            <w:pPr>
              <w:overflowPunct w:val="0"/>
              <w:spacing w:line="460" w:lineRule="exact"/>
              <w:rPr>
                <w:rFonts w:ascii="宋体" w:hAnsi="宋体" w:eastAsia="宋体" w:cs="宋体"/>
                <w:color w:val="auto"/>
                <w:sz w:val="21"/>
                <w:szCs w:val="21"/>
              </w:rPr>
            </w:pPr>
          </w:p>
          <w:p w14:paraId="6FE76871">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联合体乙方单位：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（公章）</w:t>
            </w:r>
          </w:p>
          <w:p w14:paraId="2C7A39EA">
            <w:pPr>
              <w:overflowPunct w:val="0"/>
              <w:spacing w:line="460" w:lineRule="exact"/>
              <w:rPr>
                <w:rFonts w:ascii="宋体" w:hAnsi="宋体" w:eastAsia="宋体" w:cs="宋体"/>
                <w:color w:val="auto"/>
                <w:sz w:val="21"/>
                <w:szCs w:val="21"/>
              </w:rPr>
            </w:pPr>
          </w:p>
          <w:p w14:paraId="0AC91639">
            <w:pPr>
              <w:overflowPunct w:val="0"/>
              <w:spacing w:line="460" w:lineRule="exact"/>
              <w:rPr>
                <w:rFonts w:ascii="宋体" w:hAnsi="宋体" w:eastAsia="宋体" w:cs="宋体"/>
                <w:color w:val="auto"/>
                <w:sz w:val="21"/>
                <w:szCs w:val="21"/>
              </w:rPr>
            </w:pPr>
          </w:p>
          <w:p w14:paraId="24D56245">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（签章）</w:t>
            </w:r>
          </w:p>
          <w:p w14:paraId="68621CCD">
            <w:pPr>
              <w:overflowPunct w:val="0"/>
              <w:spacing w:line="460" w:lineRule="exact"/>
              <w:rPr>
                <w:rFonts w:ascii="宋体" w:hAnsi="宋体" w:eastAsia="宋体" w:cs="宋体"/>
                <w:color w:val="auto"/>
                <w:sz w:val="21"/>
                <w:szCs w:val="21"/>
              </w:rPr>
            </w:pPr>
          </w:p>
          <w:p w14:paraId="0939EABA">
            <w:pPr>
              <w:overflowPunct w:val="0"/>
              <w:spacing w:line="460" w:lineRule="exact"/>
              <w:rPr>
                <w:rFonts w:ascii="宋体" w:hAnsi="宋体" w:eastAsia="宋体" w:cs="宋体"/>
                <w:color w:val="auto"/>
                <w:sz w:val="21"/>
                <w:szCs w:val="21"/>
              </w:rPr>
            </w:pPr>
          </w:p>
          <w:p w14:paraId="6A3A6438">
            <w:pPr>
              <w:overflowPunct w:val="0"/>
              <w:spacing w:line="460" w:lineRule="exact"/>
              <w:rPr>
                <w:rFonts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tc>
      </w:tr>
    </w:tbl>
    <w:p w14:paraId="61FCFE6B">
      <w:pPr>
        <w:snapToGrid w:val="0"/>
        <w:spacing w:before="50" w:after="120" w:afterLines="50" w:line="276" w:lineRule="auto"/>
        <w:jc w:val="left"/>
        <w:rPr>
          <w:rFonts w:ascii="宋体" w:hAnsi="宋体" w:eastAsia="宋体" w:cs="宋体"/>
          <w:b/>
          <w:color w:val="auto"/>
          <w:sz w:val="21"/>
          <w:szCs w:val="21"/>
        </w:rPr>
      </w:pPr>
    </w:p>
    <w:p w14:paraId="57436B62">
      <w:pPr>
        <w:rPr>
          <w:rFonts w:ascii="宋体" w:hAnsi="宋体" w:eastAsia="宋体" w:cs="宋体"/>
          <w:color w:val="auto"/>
          <w:sz w:val="21"/>
          <w:szCs w:val="21"/>
        </w:rPr>
        <w:sectPr>
          <w:pgSz w:w="11906" w:h="16838"/>
          <w:pgMar w:top="1417" w:right="1134" w:bottom="1417" w:left="1134" w:header="851" w:footer="992" w:gutter="0"/>
          <w:pgNumType w:fmt="decimal"/>
          <w:cols w:space="0" w:num="1"/>
          <w:rtlGutter w:val="0"/>
          <w:docGrid w:linePitch="312" w:charSpace="0"/>
        </w:sectPr>
      </w:pPr>
    </w:p>
    <w:p w14:paraId="5E4B6C45">
      <w:pPr>
        <w:rPr>
          <w:rFonts w:hint="eastAsia" w:ascii="宋体" w:hAnsi="宋体" w:eastAsia="宋体" w:cs="宋体"/>
          <w:color w:val="auto"/>
          <w:sz w:val="21"/>
          <w:szCs w:val="21"/>
          <w:lang w:eastAsia="zh-CN"/>
        </w:rPr>
      </w:pPr>
      <w:bookmarkStart w:id="373" w:name="_Toc12251"/>
      <w:r>
        <w:rPr>
          <w:rFonts w:hint="eastAsia" w:ascii="宋体" w:hAnsi="宋体" w:eastAsia="宋体" w:cs="宋体"/>
          <w:color w:val="auto"/>
          <w:sz w:val="21"/>
          <w:szCs w:val="21"/>
        </w:rPr>
        <w:t>附件1</w:t>
      </w:r>
      <w:r>
        <w:rPr>
          <w:rFonts w:hint="eastAsia" w:ascii="宋体" w:hAnsi="宋体" w:eastAsia="宋体" w:cs="宋体"/>
          <w:color w:val="auto"/>
          <w:sz w:val="21"/>
          <w:szCs w:val="21"/>
          <w:lang w:val="en-US" w:eastAsia="zh-CN"/>
        </w:rPr>
        <w:t>2</w:t>
      </w:r>
    </w:p>
    <w:p w14:paraId="45D1F248">
      <w:pPr>
        <w:snapToGrid w:val="0"/>
        <w:spacing w:before="50" w:after="50"/>
        <w:jc w:val="center"/>
        <w:rPr>
          <w:rFonts w:ascii="宋体" w:hAnsi="宋体" w:eastAsia="宋体" w:cs="宋体"/>
          <w:b/>
          <w:color w:val="auto"/>
          <w:sz w:val="21"/>
          <w:szCs w:val="21"/>
        </w:rPr>
      </w:pPr>
      <w:r>
        <w:rPr>
          <w:rFonts w:hint="eastAsia" w:ascii="宋体" w:hAnsi="宋体" w:eastAsia="宋体" w:cs="宋体"/>
          <w:b/>
          <w:color w:val="auto"/>
          <w:sz w:val="21"/>
          <w:szCs w:val="21"/>
        </w:rPr>
        <w:t>中小企业声明函（服务）</w:t>
      </w:r>
    </w:p>
    <w:p w14:paraId="35650986">
      <w:pPr>
        <w:snapToGrid w:val="0"/>
        <w:spacing w:line="360" w:lineRule="auto"/>
        <w:rPr>
          <w:rFonts w:ascii="宋体" w:hAnsi="宋体" w:eastAsia="宋体" w:cs="宋体"/>
          <w:color w:val="auto"/>
          <w:sz w:val="21"/>
          <w:szCs w:val="21"/>
        </w:rPr>
      </w:pPr>
    </w:p>
    <w:p w14:paraId="56B4842B">
      <w:pPr>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 xml:space="preserve">      （单位名称）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（项目名称）</w:t>
      </w:r>
      <w:r>
        <w:rPr>
          <w:rFonts w:hint="eastAsia" w:ascii="宋体" w:hAnsi="宋体" w:eastAsia="宋体" w:cs="宋体"/>
          <w:color w:val="auto"/>
          <w:sz w:val="21"/>
          <w:szCs w:val="21"/>
        </w:rPr>
        <w:t xml:space="preserve">采购活动，提供的服务全部由符合政策要求的中小企业。相关企业 （含联合体中的中小企业、签订分包意向协议的中小企业） 的具体情况如下： </w:t>
      </w:r>
    </w:p>
    <w:p w14:paraId="417453CD">
      <w:pPr>
        <w:numPr>
          <w:ilvl w:val="0"/>
          <w:numId w:val="6"/>
        </w:numPr>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u w:val="single"/>
        </w:rPr>
        <w:t xml:space="preserve">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（采购文件中明确的所属行业） 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 xml:space="preserve">        （企业名称）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 xml:space="preserve">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（中型企业、小型企业、微型企业）</w:t>
      </w:r>
      <w:r>
        <w:rPr>
          <w:rFonts w:hint="eastAsia" w:ascii="宋体" w:hAnsi="宋体" w:eastAsia="宋体" w:cs="宋体"/>
          <w:color w:val="auto"/>
          <w:sz w:val="21"/>
          <w:szCs w:val="21"/>
        </w:rPr>
        <w:t xml:space="preserve">； </w:t>
      </w:r>
    </w:p>
    <w:p w14:paraId="4AEC492F">
      <w:pPr>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（标的名称）</w:t>
      </w:r>
      <w:r>
        <w:rPr>
          <w:rFonts w:hint="eastAsia" w:ascii="宋体" w:hAnsi="宋体" w:eastAsia="宋体" w:cs="宋体"/>
          <w:color w:val="auto"/>
          <w:sz w:val="21"/>
          <w:szCs w:val="21"/>
        </w:rPr>
        <w:t xml:space="preserve"> ，属于</w:t>
      </w:r>
      <w:r>
        <w:rPr>
          <w:rFonts w:hint="eastAsia" w:ascii="宋体" w:hAnsi="宋体" w:eastAsia="宋体" w:cs="宋体"/>
          <w:color w:val="auto"/>
          <w:sz w:val="21"/>
          <w:szCs w:val="21"/>
          <w:u w:val="single"/>
        </w:rPr>
        <w:t xml:space="preserve">      （采购文件中明确的所属行业） </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 xml:space="preserve">      （企业名称）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（中型企业、小型企业、微型企业）</w:t>
      </w:r>
      <w:r>
        <w:rPr>
          <w:rFonts w:hint="eastAsia" w:ascii="宋体" w:hAnsi="宋体" w:eastAsia="宋体" w:cs="宋体"/>
          <w:color w:val="auto"/>
          <w:sz w:val="21"/>
          <w:szCs w:val="21"/>
        </w:rPr>
        <w:t>；</w:t>
      </w:r>
    </w:p>
    <w:p w14:paraId="1A53F30D">
      <w:pPr>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p>
    <w:p w14:paraId="7EC33DF6">
      <w:pPr>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 xml:space="preserve">以上企业，不属于大企业的分支机构，不存在控股股东为大企业的情形，也不存在与大企业的负责人为同一人的情形。 </w:t>
      </w:r>
    </w:p>
    <w:p w14:paraId="62961FD6">
      <w:pPr>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78604918">
      <w:pPr>
        <w:snapToGrid w:val="0"/>
        <w:spacing w:line="360" w:lineRule="auto"/>
        <w:ind w:left="3640" w:firstLine="420" w:firstLineChars="200"/>
        <w:jc w:val="left"/>
        <w:rPr>
          <w:rFonts w:ascii="宋体" w:hAnsi="宋体" w:eastAsia="宋体" w:cs="宋体"/>
          <w:color w:val="auto"/>
          <w:sz w:val="21"/>
          <w:szCs w:val="21"/>
        </w:rPr>
      </w:pPr>
    </w:p>
    <w:p w14:paraId="2EFAC869">
      <w:pPr>
        <w:snapToGrid w:val="0"/>
        <w:spacing w:line="360" w:lineRule="auto"/>
        <w:ind w:left="3640" w:firstLine="420" w:firstLineChars="200"/>
        <w:jc w:val="left"/>
        <w:rPr>
          <w:rFonts w:ascii="宋体" w:hAnsi="宋体" w:eastAsia="宋体" w:cs="宋体"/>
          <w:color w:val="auto"/>
          <w:sz w:val="21"/>
          <w:szCs w:val="21"/>
        </w:rPr>
      </w:pPr>
    </w:p>
    <w:p w14:paraId="09CA8BAB">
      <w:pPr>
        <w:snapToGrid w:val="0"/>
        <w:spacing w:line="360" w:lineRule="auto"/>
        <w:ind w:left="3640" w:firstLine="420" w:firstLineChars="200"/>
        <w:jc w:val="left"/>
        <w:rPr>
          <w:rFonts w:ascii="宋体" w:hAnsi="宋体" w:eastAsia="宋体" w:cs="宋体"/>
          <w:color w:val="auto"/>
          <w:sz w:val="21"/>
          <w:szCs w:val="21"/>
          <w:u w:val="single"/>
        </w:rPr>
      </w:pPr>
      <w:r>
        <w:rPr>
          <w:rFonts w:hint="eastAsia" w:ascii="宋体" w:hAnsi="宋体" w:eastAsia="宋体" w:cs="宋体"/>
          <w:color w:val="auto"/>
          <w:sz w:val="21"/>
          <w:szCs w:val="21"/>
        </w:rPr>
        <w:t>投标人名称（盖章）：</w:t>
      </w:r>
      <w:r>
        <w:rPr>
          <w:rFonts w:hint="eastAsia" w:ascii="宋体" w:hAnsi="宋体" w:eastAsia="宋体" w:cs="宋体"/>
          <w:color w:val="auto"/>
          <w:sz w:val="21"/>
          <w:szCs w:val="21"/>
          <w:u w:val="single"/>
        </w:rPr>
        <w:t xml:space="preserve">         </w:t>
      </w:r>
    </w:p>
    <w:p w14:paraId="703B7EBF">
      <w:pPr>
        <w:wordWrap w:val="0"/>
        <w:snapToGrid w:val="0"/>
        <w:spacing w:line="360" w:lineRule="auto"/>
        <w:ind w:right="1120"/>
        <w:jc w:val="right"/>
        <w:rPr>
          <w:rFonts w:ascii="宋体" w:hAnsi="宋体" w:eastAsia="宋体" w:cs="宋体"/>
          <w:color w:val="auto"/>
          <w:sz w:val="21"/>
          <w:szCs w:val="21"/>
          <w:u w:val="single"/>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p>
    <w:p w14:paraId="7E838880">
      <w:pPr>
        <w:jc w:val="center"/>
        <w:rPr>
          <w:rFonts w:ascii="宋体" w:hAnsi="宋体" w:eastAsia="宋体" w:cs="宋体"/>
          <w:color w:val="auto"/>
          <w:sz w:val="21"/>
          <w:szCs w:val="21"/>
        </w:rPr>
      </w:pPr>
    </w:p>
    <w:p w14:paraId="44F81D3F">
      <w:pPr>
        <w:jc w:val="center"/>
        <w:rPr>
          <w:rFonts w:ascii="宋体" w:hAnsi="宋体" w:eastAsia="宋体" w:cs="宋体"/>
          <w:color w:val="auto"/>
          <w:sz w:val="21"/>
          <w:szCs w:val="21"/>
        </w:rPr>
      </w:pPr>
    </w:p>
    <w:p w14:paraId="0E2026DC">
      <w:pPr>
        <w:jc w:val="center"/>
        <w:rPr>
          <w:rFonts w:ascii="宋体" w:hAnsi="宋体" w:eastAsia="宋体" w:cs="宋体"/>
          <w:color w:val="auto"/>
          <w:sz w:val="21"/>
          <w:szCs w:val="21"/>
        </w:rPr>
        <w:sectPr>
          <w:pgSz w:w="11906" w:h="16838"/>
          <w:pgMar w:top="1417" w:right="1134" w:bottom="1417" w:left="1134" w:header="851" w:footer="992" w:gutter="0"/>
          <w:pgNumType w:fmt="decimal"/>
          <w:cols w:space="0" w:num="1"/>
          <w:rtlGutter w:val="0"/>
          <w:docGrid w:linePitch="312" w:charSpace="0"/>
        </w:sectPr>
      </w:pPr>
    </w:p>
    <w:p w14:paraId="0882B4AC">
      <w:pPr>
        <w:adjustRightInd w:val="0"/>
        <w:spacing w:line="40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中小企业声明函填表说明</w:t>
      </w:r>
    </w:p>
    <w:p w14:paraId="30213472">
      <w:pPr>
        <w:adjustRightInd w:val="0"/>
        <w:spacing w:line="400" w:lineRule="exact"/>
        <w:rPr>
          <w:rFonts w:ascii="宋体" w:hAnsi="宋体" w:eastAsia="宋体" w:cs="宋体"/>
          <w:b/>
          <w:bCs/>
          <w:color w:val="auto"/>
          <w:sz w:val="21"/>
          <w:szCs w:val="21"/>
        </w:rPr>
      </w:pPr>
    </w:p>
    <w:p w14:paraId="016594F2">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1.中小企业声明函由投标人提供，投标人向制造商或承建（承接）企业咨询相关数据。</w:t>
      </w:r>
    </w:p>
    <w:p w14:paraId="555D5FA1">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2.投标人应当按照前附表明确的项目属性选择相对应的中小企业声明函格式进行声明。声明函应按上述内容及格式填写，不得修改。</w:t>
      </w:r>
    </w:p>
    <w:p w14:paraId="6D4619FB">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b/>
          <w:bCs/>
          <w:color w:val="auto"/>
          <w:sz w:val="21"/>
          <w:szCs w:val="21"/>
        </w:rPr>
        <w:t>单位名称和项目名称</w:t>
      </w:r>
      <w:r>
        <w:rPr>
          <w:rFonts w:hint="eastAsia" w:ascii="宋体" w:hAnsi="宋体" w:eastAsia="宋体" w:cs="宋体"/>
          <w:color w:val="auto"/>
          <w:sz w:val="21"/>
          <w:szCs w:val="21"/>
        </w:rPr>
        <w:t>根据首页政府采购招标文件确认表填写采购单位名称和招标项目名称。</w:t>
      </w:r>
    </w:p>
    <w:p w14:paraId="205B3405">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rPr>
        <w:t>标的名称</w:t>
      </w:r>
      <w:r>
        <w:rPr>
          <w:rFonts w:hint="eastAsia" w:ascii="宋体" w:hAnsi="宋体" w:eastAsia="宋体" w:cs="宋体"/>
          <w:color w:val="auto"/>
          <w:sz w:val="21"/>
          <w:szCs w:val="21"/>
        </w:rPr>
        <w:t>应填写第二章中具体的采购的货物或服务名称，应按采购的具体货物或服务逐项罗列，仅以项目名称代替所有采购标的名称的，评审小组可以不予认可其声明。</w:t>
      </w:r>
    </w:p>
    <w:p w14:paraId="5A361EDA">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
          <w:bCs/>
          <w:color w:val="auto"/>
          <w:sz w:val="21"/>
          <w:szCs w:val="21"/>
        </w:rPr>
        <w:t>采购文件中明确的所属行业</w:t>
      </w:r>
      <w:r>
        <w:rPr>
          <w:rFonts w:hint="eastAsia" w:ascii="宋体" w:hAnsi="宋体" w:eastAsia="宋体" w:cs="宋体"/>
          <w:color w:val="auto"/>
          <w:sz w:val="21"/>
          <w:szCs w:val="21"/>
        </w:rPr>
        <w:t>根据第二章中采购的具体货物或服务逐项列明的所属行业填写。</w:t>
      </w:r>
    </w:p>
    <w:p w14:paraId="03C8491A">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
          <w:bCs/>
          <w:color w:val="auto"/>
          <w:sz w:val="21"/>
          <w:szCs w:val="21"/>
        </w:rPr>
        <w:t>企业名称</w:t>
      </w:r>
      <w:r>
        <w:rPr>
          <w:rFonts w:hint="eastAsia" w:ascii="宋体" w:hAnsi="宋体" w:eastAsia="宋体" w:cs="宋体"/>
          <w:color w:val="auto"/>
          <w:sz w:val="21"/>
          <w:szCs w:val="21"/>
        </w:rPr>
        <w:t>处填写制造商或承建（承接）企业名称。</w:t>
      </w:r>
    </w:p>
    <w:p w14:paraId="222483ED">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b/>
          <w:bCs/>
          <w:color w:val="auto"/>
          <w:sz w:val="21"/>
          <w:szCs w:val="21"/>
        </w:rPr>
        <w:t>从业人员、营业收入、资产总额</w:t>
      </w:r>
      <w:r>
        <w:rPr>
          <w:rFonts w:hint="eastAsia" w:ascii="宋体" w:hAnsi="宋体" w:eastAsia="宋体" w:cs="宋体"/>
          <w:color w:val="auto"/>
          <w:sz w:val="21"/>
          <w:szCs w:val="21"/>
        </w:rPr>
        <w:t>填报制造商或承建（承接）企业上一年度数据，无上一年度数据的新成立企业可不填报。</w:t>
      </w:r>
    </w:p>
    <w:p w14:paraId="2A9F176F">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7.根据实际情况，在中型企业、小型企业、微型企业三中企业类型中三选一。</w:t>
      </w:r>
    </w:p>
    <w:p w14:paraId="73050B88">
      <w:pPr>
        <w:snapToGrid w:val="0"/>
        <w:spacing w:line="360" w:lineRule="auto"/>
        <w:ind w:firstLine="420" w:firstLineChars="200"/>
        <w:rPr>
          <w:rFonts w:ascii="宋体" w:hAnsi="宋体" w:eastAsia="宋体" w:cs="宋体"/>
          <w:b/>
          <w:bCs/>
          <w:color w:val="auto"/>
          <w:sz w:val="21"/>
          <w:szCs w:val="21"/>
        </w:rPr>
      </w:pPr>
      <w:r>
        <w:rPr>
          <w:rFonts w:hint="eastAsia" w:ascii="宋体" w:hAnsi="宋体" w:eastAsia="宋体" w:cs="宋体"/>
          <w:color w:val="auto"/>
          <w:sz w:val="21"/>
          <w:szCs w:val="21"/>
        </w:rPr>
        <w:t>8.以联合体形式参加政府采购活动，联合体各方均为中小企业的，联合体视同中小企业。其中，联合体各方均为小微企业的，联合体视同小微企业。</w:t>
      </w:r>
    </w:p>
    <w:p w14:paraId="25749F2A">
      <w:pPr>
        <w:snapToGrid w:val="0"/>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9.根据财库〔2020〕46号的第十三条、第二十条规定：中标供应商享受本办法规定的中小企业扶持政策的，采购人、采购代理机构应当随中标结果公开中标供应商的《中小企业声明函》。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7F814C9F">
      <w:pPr>
        <w:adjustRightInd w:val="0"/>
        <w:spacing w:line="400" w:lineRule="exact"/>
        <w:rPr>
          <w:rFonts w:ascii="宋体" w:hAnsi="宋体" w:eastAsia="宋体" w:cs="宋体"/>
          <w:bCs/>
          <w:color w:val="auto"/>
          <w:sz w:val="21"/>
          <w:szCs w:val="21"/>
        </w:rPr>
      </w:pPr>
      <w:r>
        <w:rPr>
          <w:rFonts w:hint="eastAsia" w:ascii="宋体" w:hAnsi="宋体" w:eastAsia="宋体" w:cs="宋体"/>
          <w:b/>
          <w:color w:val="auto"/>
          <w:sz w:val="21"/>
          <w:szCs w:val="21"/>
        </w:rPr>
        <w:br w:type="page"/>
      </w:r>
      <w:bookmarkEnd w:id="373"/>
      <w:r>
        <w:rPr>
          <w:rFonts w:hint="eastAsia" w:ascii="宋体" w:hAnsi="宋体" w:eastAsia="宋体" w:cs="宋体"/>
          <w:bCs/>
          <w:color w:val="auto"/>
          <w:sz w:val="21"/>
          <w:szCs w:val="21"/>
        </w:rPr>
        <w:t>附件：《中小企业划型标准规定》工信部联企业〔2011〕300号</w:t>
      </w:r>
    </w:p>
    <w:tbl>
      <w:tblPr>
        <w:tblStyle w:val="19"/>
        <w:tblW w:w="9944" w:type="dxa"/>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7C3562B4">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2A12B146">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22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2515886">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行业分类</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10727B41">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中小微型企业总要求</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585FC0AA">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中型企业标准</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362E49AB">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小型企业标准</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364A497C">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微型企业标准</w:t>
            </w:r>
          </w:p>
        </w:tc>
      </w:tr>
      <w:tr w14:paraId="6ED9322D">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6039CDFF">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1AE3B6A4">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农、林、牧、渔业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7053594C">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5E9CE506">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20000万以下</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0E16656F">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500万及以上</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287FF315">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bCs/>
                <w:color w:val="auto"/>
                <w:sz w:val="21"/>
                <w:szCs w:val="21"/>
              </w:rPr>
              <w:t>50万元及以上</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70FF3308">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bCs/>
                <w:color w:val="auto"/>
                <w:sz w:val="21"/>
                <w:szCs w:val="21"/>
              </w:rPr>
              <w:t>50万元以下</w:t>
            </w:r>
          </w:p>
        </w:tc>
      </w:tr>
      <w:tr w14:paraId="23CA421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6032B04C">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6468C689">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工业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3D4454CE">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3396CACE">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6AED04EE">
            <w:pPr>
              <w:widowControl/>
              <w:spacing w:line="440" w:lineRule="exact"/>
              <w:jc w:val="center"/>
              <w:rPr>
                <w:rFonts w:ascii="宋体" w:hAnsi="宋体" w:eastAsia="宋体" w:cs="宋体"/>
                <w:color w:val="auto"/>
                <w:sz w:val="21"/>
                <w:szCs w:val="21"/>
              </w:rPr>
            </w:pPr>
            <w:r>
              <w:rPr>
                <w:rFonts w:hint="eastAsia" w:ascii="宋体" w:hAnsi="宋体" w:eastAsia="宋体" w:cs="宋体"/>
                <w:bCs/>
                <w:color w:val="auto"/>
                <w:sz w:val="21"/>
                <w:szCs w:val="21"/>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2CFDDA92">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bCs/>
                <w:color w:val="auto"/>
                <w:sz w:val="21"/>
                <w:szCs w:val="21"/>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553E22DD">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5BD08E8B">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从业人员20人以下或营业收入300万元以下</w:t>
            </w:r>
          </w:p>
        </w:tc>
      </w:tr>
      <w:tr w14:paraId="5D12213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7B99B14D">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66EA93F7">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建筑业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0E2BC647">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p w14:paraId="789ED839">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资产总额（万元）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73CC23BD">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47044249">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176F0736">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5B85CBA3">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营业收入300万元以下或资产总额300万元以下的</w:t>
            </w:r>
          </w:p>
        </w:tc>
      </w:tr>
      <w:tr w14:paraId="203361D1">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01B0795B">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23DA9B8B">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批发业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322C5C64">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23E6F400">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41ED9810">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0A5C3320">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1A625035">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64553C4D">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从业人员5人以下或营业收入1000万元以下的</w:t>
            </w:r>
          </w:p>
        </w:tc>
      </w:tr>
      <w:tr w14:paraId="7C07762A">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05DAB6C0">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076EA3FA">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零售业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53E2B09D">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4CCC82CD">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7C1C4683">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7D657BA2">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6B3A23CE">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7B3D74C4">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从业人员10人以下或营业收入100万元以下的</w:t>
            </w:r>
          </w:p>
        </w:tc>
      </w:tr>
      <w:tr w14:paraId="1E54BAC6">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3584C650">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57C870A6">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交通运输业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6E563360">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5AEE897D">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519CEE45">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0606CDF2">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20A885B5">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7255E463">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从业人员20人以下或营业收入200万元以下的</w:t>
            </w:r>
          </w:p>
        </w:tc>
      </w:tr>
      <w:tr w14:paraId="11DA73B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7E42F784">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112DD08D">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仓储业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065E41EC">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3FF76C62">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6F51985F">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3FBA717B">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3AF72C89">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37BEDA9E">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从业人员20人以下或营业收入100万元以下的</w:t>
            </w:r>
          </w:p>
        </w:tc>
      </w:tr>
      <w:tr w14:paraId="2D51A29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622FF357">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1199958D">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邮政业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598C5252">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5A60821F">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13AFF4F3">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011BED7C">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5A2E0E82">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48414D8C">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从业人员20人以下或营业收入100万元以下的</w:t>
            </w:r>
          </w:p>
        </w:tc>
      </w:tr>
      <w:tr w14:paraId="321FA28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603A682C">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5EBD658D">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住宿业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62A97302">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740E6432">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3BCFE535">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28266CA5">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26FC359E">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6F1E9760">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从业人员10人以下或营业收入100万元以下的</w:t>
            </w:r>
          </w:p>
        </w:tc>
      </w:tr>
      <w:tr w14:paraId="1475F84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08D81D19">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46029B53">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餐饮业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06FCEEC0">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729C9EBB">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6976954E">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79FDF0DD">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467F276B">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6705B2C8">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从业人员10人以下或营业收入100万元以下的</w:t>
            </w:r>
          </w:p>
        </w:tc>
      </w:tr>
      <w:tr w14:paraId="2A3DDBA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0E3C4895">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21678383">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信息传输业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3BA5A429">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13E997A9">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07781BD9">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726F2A40">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6BB8A7EA">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5E8686CF">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从业人员10人以下或营业收入100万元以下的</w:t>
            </w:r>
          </w:p>
        </w:tc>
      </w:tr>
      <w:tr w14:paraId="6B0C7A0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7B8AF2A7">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1BB4BE44">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软件和信息技术服务业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10EF7891">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2AAB53F5">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232FB4E2">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0FF7073B">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2790E02D">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55ABCA4C">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从业人员10人以下或营业收入50万元以下的</w:t>
            </w:r>
          </w:p>
        </w:tc>
      </w:tr>
      <w:tr w14:paraId="478BCB9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2F2DCC83">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6361E724">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房地产开发经营</w:t>
            </w:r>
          </w:p>
        </w:tc>
        <w:tc>
          <w:tcPr>
            <w:tcW w:w="1329" w:type="dxa"/>
            <w:tcBorders>
              <w:top w:val="nil"/>
              <w:left w:val="single" w:color="000000" w:sz="4" w:space="0"/>
              <w:bottom w:val="single" w:color="000000" w:sz="4" w:space="0"/>
              <w:right w:val="single" w:color="000000" w:sz="4" w:space="0"/>
              <w:tl2br w:val="nil"/>
              <w:tr2bl w:val="nil"/>
            </w:tcBorders>
            <w:vAlign w:val="center"/>
          </w:tcPr>
          <w:p w14:paraId="51C24A3A">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p w14:paraId="3A8A5994">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资产总额（万元）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1199951B">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52A87880">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25FEE10B">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05DB93B3">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营业收入100万元以下或资产总额2000万元以下的</w:t>
            </w:r>
          </w:p>
        </w:tc>
      </w:tr>
      <w:tr w14:paraId="1823662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45C6C1C2">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102640D1">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物业管理</w:t>
            </w:r>
          </w:p>
        </w:tc>
        <w:tc>
          <w:tcPr>
            <w:tcW w:w="1329" w:type="dxa"/>
            <w:tcBorders>
              <w:top w:val="nil"/>
              <w:left w:val="single" w:color="000000" w:sz="4" w:space="0"/>
              <w:bottom w:val="single" w:color="000000" w:sz="4" w:space="0"/>
              <w:right w:val="single" w:color="000000" w:sz="4" w:space="0"/>
              <w:tl2br w:val="nil"/>
              <w:tr2bl w:val="nil"/>
            </w:tcBorders>
            <w:vAlign w:val="center"/>
          </w:tcPr>
          <w:p w14:paraId="77B5EC9F">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p w14:paraId="1381F025">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5EDC7913">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3943C306">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438A3D3E">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00F004FB">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从业人员100人以下或营业收入500万元以下的</w:t>
            </w:r>
          </w:p>
        </w:tc>
      </w:tr>
      <w:tr w14:paraId="5B63BEC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5A9DC60A">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6AA7DAE7">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租赁和商务服务业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691641D8">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营业收入（万元）</w:t>
            </w:r>
          </w:p>
          <w:p w14:paraId="3037CE85">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资产总额（万元）</w:t>
            </w:r>
          </w:p>
        </w:tc>
        <w:tc>
          <w:tcPr>
            <w:tcW w:w="1755" w:type="dxa"/>
            <w:tcBorders>
              <w:top w:val="nil"/>
              <w:left w:val="single" w:color="000000" w:sz="4" w:space="0"/>
              <w:bottom w:val="single" w:color="000000" w:sz="4" w:space="0"/>
              <w:right w:val="single" w:color="000000" w:sz="4" w:space="0"/>
              <w:tl2br w:val="nil"/>
              <w:tr2bl w:val="nil"/>
            </w:tcBorders>
            <w:vAlign w:val="center"/>
          </w:tcPr>
          <w:p w14:paraId="3085AAFB">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4D2D0033">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7F088964">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6CC947E5">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从业人员10人以下或资产总额100万元以下的</w:t>
            </w:r>
          </w:p>
        </w:tc>
      </w:tr>
      <w:tr w14:paraId="3B3FB88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l2br w:val="nil"/>
              <w:tr2bl w:val="nil"/>
            </w:tcBorders>
            <w:vAlign w:val="center"/>
          </w:tcPr>
          <w:p w14:paraId="2C873F00">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967" w:type="dxa"/>
            <w:tcBorders>
              <w:top w:val="single" w:color="000000" w:sz="4" w:space="0"/>
              <w:left w:val="single" w:color="000000" w:sz="4" w:space="0"/>
              <w:bottom w:val="single" w:color="000000" w:sz="4" w:space="0"/>
              <w:right w:val="single" w:color="000000" w:sz="4" w:space="0"/>
              <w:tl2br w:val="nil"/>
              <w:tr2bl w:val="nil"/>
            </w:tcBorders>
            <w:vAlign w:val="center"/>
          </w:tcPr>
          <w:p w14:paraId="077F450E">
            <w:pPr>
              <w:widowControl/>
              <w:spacing w:line="440" w:lineRule="exact"/>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其他未列明行业</w:t>
            </w:r>
          </w:p>
        </w:tc>
        <w:tc>
          <w:tcPr>
            <w:tcW w:w="1329" w:type="dxa"/>
            <w:tcBorders>
              <w:top w:val="nil"/>
              <w:left w:val="single" w:color="000000" w:sz="4" w:space="0"/>
              <w:bottom w:val="single" w:color="000000" w:sz="4" w:space="0"/>
              <w:right w:val="single" w:color="000000" w:sz="4" w:space="0"/>
              <w:tl2br w:val="nil"/>
              <w:tr2bl w:val="nil"/>
            </w:tcBorders>
            <w:vAlign w:val="center"/>
          </w:tcPr>
          <w:p w14:paraId="2392E028">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从业人员(人）</w:t>
            </w:r>
          </w:p>
        </w:tc>
        <w:tc>
          <w:tcPr>
            <w:tcW w:w="1755" w:type="dxa"/>
            <w:tcBorders>
              <w:top w:val="nil"/>
              <w:left w:val="single" w:color="000000" w:sz="4" w:space="0"/>
              <w:bottom w:val="single" w:color="000000" w:sz="4" w:space="0"/>
              <w:right w:val="single" w:color="000000" w:sz="4" w:space="0"/>
              <w:tl2br w:val="nil"/>
              <w:tr2bl w:val="nil"/>
            </w:tcBorders>
            <w:vAlign w:val="center"/>
          </w:tcPr>
          <w:p w14:paraId="68BCDA11">
            <w:pPr>
              <w:widowControl/>
              <w:spacing w:line="4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从业人员300人以下的</w:t>
            </w:r>
          </w:p>
        </w:tc>
        <w:tc>
          <w:tcPr>
            <w:tcW w:w="1755" w:type="dxa"/>
            <w:tcBorders>
              <w:top w:val="single" w:color="000000" w:sz="4" w:space="0"/>
              <w:left w:val="single" w:color="000000" w:sz="4" w:space="0"/>
              <w:bottom w:val="single" w:color="000000" w:sz="4" w:space="0"/>
              <w:right w:val="single" w:color="000000" w:sz="4" w:space="0"/>
              <w:tl2br w:val="nil"/>
              <w:tr2bl w:val="nil"/>
            </w:tcBorders>
            <w:vAlign w:val="center"/>
          </w:tcPr>
          <w:p w14:paraId="21E4CEB7">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从业人员100人及以上的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14:paraId="3165FC2F">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从业人员10人及以上的</w:t>
            </w:r>
          </w:p>
        </w:tc>
        <w:tc>
          <w:tcPr>
            <w:tcW w:w="1590" w:type="dxa"/>
            <w:tcBorders>
              <w:top w:val="single" w:color="000000" w:sz="4" w:space="0"/>
              <w:left w:val="single" w:color="000000" w:sz="4" w:space="0"/>
              <w:bottom w:val="single" w:color="000000" w:sz="4" w:space="0"/>
              <w:right w:val="single" w:color="000000" w:sz="4" w:space="0"/>
              <w:tl2br w:val="nil"/>
              <w:tr2bl w:val="nil"/>
            </w:tcBorders>
            <w:vAlign w:val="center"/>
          </w:tcPr>
          <w:p w14:paraId="43FA96F6">
            <w:pPr>
              <w:widowControl/>
              <w:spacing w:line="440" w:lineRule="exact"/>
              <w:jc w:val="center"/>
              <w:textAlignment w:val="center"/>
              <w:rPr>
                <w:rFonts w:ascii="宋体" w:hAnsi="宋体" w:eastAsia="宋体" w:cs="宋体"/>
                <w:bCs/>
                <w:color w:val="auto"/>
                <w:sz w:val="21"/>
                <w:szCs w:val="21"/>
              </w:rPr>
            </w:pPr>
            <w:r>
              <w:rPr>
                <w:rFonts w:hint="eastAsia" w:ascii="宋体" w:hAnsi="宋体" w:eastAsia="宋体" w:cs="宋体"/>
                <w:bCs/>
                <w:color w:val="auto"/>
                <w:sz w:val="21"/>
                <w:szCs w:val="21"/>
              </w:rPr>
              <w:t>从业人员10人以下的</w:t>
            </w:r>
          </w:p>
        </w:tc>
      </w:tr>
    </w:tbl>
    <w:p w14:paraId="71103BC0">
      <w:pPr>
        <w:rPr>
          <w:rFonts w:ascii="宋体" w:hAnsi="宋体" w:eastAsia="宋体" w:cs="宋体"/>
          <w:b/>
          <w:color w:val="auto"/>
          <w:sz w:val="21"/>
          <w:szCs w:val="21"/>
        </w:rPr>
      </w:pPr>
    </w:p>
    <w:p w14:paraId="4DD2777D">
      <w:pPr>
        <w:snapToGrid w:val="0"/>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br w:type="page"/>
      </w:r>
      <w:bookmarkStart w:id="374" w:name="_Toc7510"/>
      <w:r>
        <w:rPr>
          <w:rFonts w:hint="eastAsia" w:ascii="宋体" w:hAnsi="宋体" w:eastAsia="宋体" w:cs="宋体"/>
          <w:color w:val="auto"/>
          <w:sz w:val="21"/>
          <w:szCs w:val="21"/>
        </w:rPr>
        <w:t>附件1</w:t>
      </w:r>
      <w:bookmarkEnd w:id="374"/>
      <w:r>
        <w:rPr>
          <w:rFonts w:hint="eastAsia" w:ascii="宋体" w:hAnsi="宋体" w:eastAsia="宋体" w:cs="宋体"/>
          <w:color w:val="auto"/>
          <w:sz w:val="21"/>
          <w:szCs w:val="21"/>
          <w:lang w:val="en-US" w:eastAsia="zh-CN"/>
        </w:rPr>
        <w:t>3</w:t>
      </w:r>
    </w:p>
    <w:p w14:paraId="0028EDE7">
      <w:pPr>
        <w:jc w:val="center"/>
        <w:rPr>
          <w:rFonts w:ascii="宋体" w:hAnsi="宋体" w:eastAsia="宋体" w:cs="宋体"/>
          <w:b/>
          <w:bCs/>
          <w:color w:val="auto"/>
          <w:sz w:val="21"/>
          <w:szCs w:val="21"/>
          <w:lang w:val="zh-CN"/>
        </w:rPr>
      </w:pPr>
      <w:bookmarkStart w:id="375" w:name="_Toc2674"/>
      <w:bookmarkStart w:id="376" w:name="_Toc9710"/>
      <w:bookmarkStart w:id="377" w:name="_Toc1258"/>
      <w:bookmarkStart w:id="378" w:name="_Toc16470"/>
      <w:r>
        <w:rPr>
          <w:rFonts w:hint="eastAsia" w:ascii="宋体" w:hAnsi="宋体" w:eastAsia="宋体" w:cs="宋体"/>
          <w:b/>
          <w:bCs/>
          <w:color w:val="auto"/>
          <w:sz w:val="21"/>
          <w:szCs w:val="21"/>
          <w:lang w:val="zh-CN"/>
        </w:rPr>
        <w:t>残疾人福利性单位声明函</w:t>
      </w:r>
      <w:bookmarkEnd w:id="375"/>
      <w:bookmarkEnd w:id="376"/>
      <w:bookmarkEnd w:id="377"/>
      <w:bookmarkEnd w:id="378"/>
    </w:p>
    <w:p w14:paraId="30266D84">
      <w:pPr>
        <w:spacing w:line="600" w:lineRule="exact"/>
        <w:ind w:firstLine="444" w:firstLineChars="200"/>
        <w:rPr>
          <w:rFonts w:ascii="宋体" w:hAnsi="宋体" w:eastAsia="宋体" w:cs="宋体"/>
          <w:color w:val="auto"/>
          <w:spacing w:val="6"/>
          <w:sz w:val="21"/>
          <w:szCs w:val="21"/>
        </w:rPr>
      </w:pPr>
      <w:r>
        <w:rPr>
          <w:rFonts w:hint="eastAsia" w:ascii="宋体" w:hAnsi="宋体" w:eastAsia="宋体" w:cs="宋体"/>
          <w:color w:val="auto"/>
          <w:spacing w:val="6"/>
          <w:sz w:val="21"/>
          <w:szCs w:val="21"/>
        </w:rPr>
        <w:t>本单位郑重声明，根据《财政部 民政部 中国残疾人联合会关于促进残疾人就业政府采购政策的通知》（财库</w:t>
      </w:r>
      <w:r>
        <w:rPr>
          <w:rFonts w:hint="eastAsia" w:ascii="宋体" w:hAnsi="宋体" w:eastAsia="宋体" w:cs="宋体"/>
          <w:color w:val="auto"/>
          <w:sz w:val="21"/>
          <w:szCs w:val="21"/>
        </w:rPr>
        <w:t>〔2017〕141</w:t>
      </w:r>
      <w:r>
        <w:rPr>
          <w:rFonts w:hint="eastAsia" w:ascii="宋体" w:hAnsi="宋体" w:eastAsia="宋体" w:cs="宋体"/>
          <w:color w:val="auto"/>
          <w:spacing w:val="6"/>
          <w:sz w:val="21"/>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875D86F">
      <w:pPr>
        <w:spacing w:line="600" w:lineRule="exact"/>
        <w:ind w:firstLine="444" w:firstLineChars="200"/>
        <w:rPr>
          <w:rFonts w:ascii="宋体" w:hAnsi="宋体" w:eastAsia="宋体" w:cs="宋体"/>
          <w:color w:val="auto"/>
          <w:spacing w:val="6"/>
          <w:sz w:val="21"/>
          <w:szCs w:val="21"/>
        </w:rPr>
      </w:pPr>
      <w:r>
        <w:rPr>
          <w:rFonts w:hint="eastAsia" w:ascii="宋体" w:hAnsi="宋体" w:eastAsia="宋体" w:cs="宋体"/>
          <w:color w:val="auto"/>
          <w:spacing w:val="6"/>
          <w:sz w:val="21"/>
          <w:szCs w:val="21"/>
        </w:rPr>
        <w:t>本单位对上述声明的真实性负责。如有虚假，将依法承担相应责任。</w:t>
      </w:r>
    </w:p>
    <w:p w14:paraId="1E1382A6">
      <w:pPr>
        <w:spacing w:line="600" w:lineRule="exact"/>
        <w:ind w:firstLine="444" w:firstLineChars="200"/>
        <w:jc w:val="right"/>
        <w:rPr>
          <w:rFonts w:ascii="宋体" w:hAnsi="宋体" w:eastAsia="宋体" w:cs="宋体"/>
          <w:color w:val="auto"/>
          <w:spacing w:val="6"/>
          <w:sz w:val="21"/>
          <w:szCs w:val="21"/>
        </w:rPr>
      </w:pPr>
      <w:r>
        <w:rPr>
          <w:rFonts w:hint="eastAsia" w:ascii="宋体" w:hAnsi="宋体" w:eastAsia="宋体" w:cs="宋体"/>
          <w:color w:val="auto"/>
          <w:spacing w:val="6"/>
          <w:sz w:val="21"/>
          <w:szCs w:val="21"/>
        </w:rPr>
        <w:t>单位名称（盖章）：</w:t>
      </w:r>
    </w:p>
    <w:p w14:paraId="776E4971">
      <w:pPr>
        <w:spacing w:line="600" w:lineRule="exact"/>
        <w:ind w:firstLine="444" w:firstLineChars="200"/>
        <w:jc w:val="right"/>
        <w:rPr>
          <w:rFonts w:ascii="宋体" w:hAnsi="宋体" w:eastAsia="宋体" w:cs="宋体"/>
          <w:color w:val="auto"/>
          <w:spacing w:val="6"/>
          <w:sz w:val="21"/>
          <w:szCs w:val="21"/>
        </w:rPr>
      </w:pPr>
      <w:r>
        <w:rPr>
          <w:rFonts w:hint="eastAsia" w:ascii="宋体" w:hAnsi="宋体" w:eastAsia="宋体" w:cs="宋体"/>
          <w:color w:val="auto"/>
          <w:spacing w:val="6"/>
          <w:sz w:val="21"/>
          <w:szCs w:val="21"/>
        </w:rPr>
        <w:t>日  期：</w:t>
      </w:r>
    </w:p>
    <w:p w14:paraId="22053AE6">
      <w:pPr>
        <w:spacing w:line="400" w:lineRule="exact"/>
        <w:rPr>
          <w:rFonts w:ascii="宋体" w:hAnsi="宋体" w:eastAsia="宋体" w:cs="宋体"/>
          <w:b/>
          <w:bCs/>
          <w:color w:val="auto"/>
          <w:sz w:val="21"/>
          <w:szCs w:val="21"/>
        </w:rPr>
      </w:pPr>
      <w:bookmarkStart w:id="379" w:name="_Toc27597"/>
      <w:bookmarkStart w:id="380" w:name="_Toc15107"/>
      <w:bookmarkStart w:id="381" w:name="_Toc12139"/>
      <w:bookmarkStart w:id="382" w:name="_Toc22028"/>
      <w:r>
        <w:rPr>
          <w:rFonts w:hint="eastAsia" w:ascii="宋体" w:hAnsi="宋体" w:eastAsia="宋体" w:cs="宋体"/>
          <w:b/>
          <w:bCs/>
          <w:color w:val="auto"/>
          <w:sz w:val="21"/>
          <w:szCs w:val="21"/>
        </w:rPr>
        <w:t>说明：1.声明函应按上述内容及格式填写，不得修改。</w:t>
      </w:r>
      <w:bookmarkEnd w:id="379"/>
      <w:bookmarkEnd w:id="380"/>
      <w:bookmarkEnd w:id="381"/>
      <w:bookmarkEnd w:id="382"/>
    </w:p>
    <w:p w14:paraId="3907D2B1">
      <w:pPr>
        <w:spacing w:line="400" w:lineRule="exact"/>
        <w:rPr>
          <w:rFonts w:ascii="宋体" w:hAnsi="宋体" w:eastAsia="宋体" w:cs="宋体"/>
          <w:b/>
          <w:bCs/>
          <w:color w:val="auto"/>
          <w:sz w:val="21"/>
          <w:szCs w:val="21"/>
        </w:rPr>
      </w:pPr>
      <w:r>
        <w:rPr>
          <w:rFonts w:hint="eastAsia" w:ascii="宋体" w:hAnsi="宋体" w:eastAsia="宋体" w:cs="宋体"/>
          <w:b/>
          <w:bCs/>
          <w:color w:val="auto"/>
          <w:sz w:val="21"/>
          <w:szCs w:val="21"/>
        </w:rPr>
        <w:t xml:space="preserve">      2.</w:t>
      </w:r>
      <w:r>
        <w:rPr>
          <w:rFonts w:hint="eastAsia" w:ascii="宋体" w:hAnsi="宋体" w:eastAsia="宋体" w:cs="宋体"/>
          <w:bCs/>
          <w:color w:val="auto"/>
          <w:sz w:val="21"/>
          <w:szCs w:val="21"/>
        </w:rPr>
        <w:t>残疾人福利性单位参与政府采购活动的，提供《残疾人福利性单位声明函》相关材料的，视为小微企业，报价分计算时对投标报价给予相应的扣除。</w:t>
      </w:r>
      <w:r>
        <w:rPr>
          <w:rFonts w:hint="eastAsia" w:ascii="宋体" w:hAnsi="宋体" w:eastAsia="宋体" w:cs="宋体"/>
          <w:b/>
          <w:color w:val="auto"/>
          <w:sz w:val="21"/>
          <w:szCs w:val="21"/>
          <w:u w:val="single"/>
        </w:rPr>
        <w:t>如中标，《残疾人福利性单位声明函》将随中标结果公告一同公告</w:t>
      </w:r>
      <w:r>
        <w:rPr>
          <w:rFonts w:hint="eastAsia" w:ascii="宋体" w:hAnsi="宋体" w:eastAsia="宋体" w:cs="宋体"/>
          <w:b/>
          <w:color w:val="auto"/>
          <w:sz w:val="21"/>
          <w:szCs w:val="21"/>
        </w:rPr>
        <w:t>。</w:t>
      </w:r>
    </w:p>
    <w:p w14:paraId="6A9209A7">
      <w:pPr>
        <w:spacing w:line="400" w:lineRule="exact"/>
        <w:rPr>
          <w:rFonts w:ascii="宋体" w:hAnsi="宋体" w:eastAsia="宋体" w:cs="宋体"/>
          <w:b/>
          <w:bCs/>
          <w:color w:val="auto"/>
          <w:sz w:val="21"/>
          <w:szCs w:val="21"/>
        </w:rPr>
      </w:pPr>
      <w:r>
        <w:rPr>
          <w:rFonts w:hint="eastAsia" w:ascii="宋体" w:hAnsi="宋体" w:eastAsia="宋体" w:cs="宋体"/>
          <w:b/>
          <w:color w:val="auto"/>
          <w:sz w:val="21"/>
          <w:szCs w:val="21"/>
        </w:rPr>
        <w:t xml:space="preserve">      3.享</w:t>
      </w:r>
      <w:r>
        <w:rPr>
          <w:rFonts w:hint="eastAsia" w:ascii="宋体" w:hAnsi="宋体" w:eastAsia="宋体" w:cs="宋体"/>
          <w:b/>
          <w:bCs/>
          <w:color w:val="auto"/>
          <w:sz w:val="21"/>
          <w:szCs w:val="21"/>
        </w:rPr>
        <w:t>受政府采购支持政策的残疾人福利性单位应当同时满足以下条件：</w:t>
      </w:r>
    </w:p>
    <w:p w14:paraId="5A77DB80">
      <w:pPr>
        <w:spacing w:line="40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（一）安置的残疾人占本单位在职职工人数的比例不低于25%（含25%），并且安置的残疾人人数不少于10人（含10人）；</w:t>
      </w:r>
    </w:p>
    <w:p w14:paraId="3486D3B2">
      <w:pPr>
        <w:spacing w:line="40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（二）依法与安置的每位残疾人签订了一年以上（含一年）的劳动合同或服务协议；</w:t>
      </w:r>
    </w:p>
    <w:p w14:paraId="6713A95E">
      <w:pPr>
        <w:spacing w:line="40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（三）为安置的每位残疾人按月足额缴纳了基本养老保险、基本医疗保险、失业保险、工伤保险和生育保险等社会保险费；</w:t>
      </w:r>
    </w:p>
    <w:p w14:paraId="57D2E3E7">
      <w:pPr>
        <w:spacing w:line="40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（四）通过银行等金融机构向安置的每位残疾人，按月支付了不低于单位所在区县适用的经省级人民政府批准的月最低工资标准的工资；</w:t>
      </w:r>
    </w:p>
    <w:p w14:paraId="48F4741A">
      <w:pPr>
        <w:spacing w:line="40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（五）提供本单位制造的货物、承担的工程或者服务（以下简称产品），或者提供其他残疾人福利性单位制造的货物（不包括使用非残疾人福利性单位注册商标的货物）。</w:t>
      </w:r>
    </w:p>
    <w:p w14:paraId="29DC546E">
      <w:pPr>
        <w:widowControl/>
        <w:adjustRightInd w:val="0"/>
        <w:spacing w:line="400" w:lineRule="exact"/>
        <w:rPr>
          <w:rFonts w:ascii="宋体" w:hAnsi="宋体" w:eastAsia="宋体" w:cs="宋体"/>
          <w:b/>
          <w:color w:val="auto"/>
          <w:sz w:val="21"/>
          <w:szCs w:val="21"/>
        </w:rPr>
      </w:pPr>
      <w:r>
        <w:rPr>
          <w:rFonts w:hint="eastAsia" w:ascii="宋体" w:hAnsi="宋体" w:eastAsia="宋体" w:cs="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394040">
      <w:pPr>
        <w:snapToGrid w:val="0"/>
        <w:spacing w:line="400" w:lineRule="exact"/>
        <w:jc w:val="left"/>
        <w:rPr>
          <w:rFonts w:ascii="宋体" w:hAnsi="宋体" w:eastAsia="宋体" w:cs="宋体"/>
          <w:color w:val="auto"/>
          <w:sz w:val="21"/>
          <w:szCs w:val="21"/>
        </w:rPr>
      </w:pPr>
    </w:p>
    <w:p w14:paraId="1EDD2815">
      <w:pPr>
        <w:snapToGrid w:val="0"/>
        <w:spacing w:line="40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14</w:t>
      </w:r>
    </w:p>
    <w:p w14:paraId="51AFA866">
      <w:pPr>
        <w:snapToGrid w:val="0"/>
        <w:spacing w:line="600" w:lineRule="exact"/>
        <w:jc w:val="left"/>
        <w:rPr>
          <w:rFonts w:ascii="宋体" w:hAnsi="宋体" w:eastAsia="宋体" w:cs="宋体"/>
          <w:color w:val="auto"/>
          <w:sz w:val="21"/>
          <w:szCs w:val="21"/>
        </w:rPr>
      </w:pPr>
      <w:r>
        <w:rPr>
          <w:rFonts w:hint="eastAsia" w:ascii="宋体" w:hAnsi="宋体" w:eastAsia="宋体" w:cs="宋体"/>
          <w:color w:val="auto"/>
          <w:sz w:val="21"/>
          <w:szCs w:val="21"/>
        </w:rPr>
        <w:t>省级以上监狱管理局、戒毒管理局（含新疆生产建设兵团）出具的属于监狱企业的有效文件。</w:t>
      </w:r>
    </w:p>
    <w:bookmarkEnd w:id="369"/>
    <w:bookmarkEnd w:id="370"/>
    <w:bookmarkEnd w:id="371"/>
    <w:bookmarkEnd w:id="372"/>
    <w:p w14:paraId="209DC5A4">
      <w:pPr>
        <w:snapToGrid w:val="0"/>
        <w:spacing w:before="50" w:after="120" w:afterLines="50" w:line="276" w:lineRule="auto"/>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br w:type="page"/>
      </w:r>
      <w:bookmarkStart w:id="383" w:name="_Toc10093"/>
      <w:r>
        <w:rPr>
          <w:rFonts w:hint="eastAsia" w:ascii="宋体" w:hAnsi="宋体" w:eastAsia="宋体" w:cs="宋体"/>
          <w:color w:val="auto"/>
          <w:sz w:val="21"/>
          <w:szCs w:val="21"/>
        </w:rPr>
        <w:t>附件1</w:t>
      </w:r>
      <w:bookmarkEnd w:id="383"/>
      <w:r>
        <w:rPr>
          <w:rFonts w:hint="eastAsia" w:ascii="宋体" w:hAnsi="宋体" w:eastAsia="宋体" w:cs="宋体"/>
          <w:color w:val="auto"/>
          <w:sz w:val="21"/>
          <w:szCs w:val="21"/>
          <w:lang w:val="en-US" w:eastAsia="zh-CN"/>
        </w:rPr>
        <w:t>5</w:t>
      </w:r>
    </w:p>
    <w:p w14:paraId="1E3E8736">
      <w:pPr>
        <w:snapToGrid w:val="0"/>
        <w:spacing w:before="120" w:beforeLines="50" w:after="50" w:line="276" w:lineRule="auto"/>
        <w:rPr>
          <w:rFonts w:ascii="宋体" w:hAnsi="宋体" w:eastAsia="宋体" w:cs="宋体"/>
          <w:b/>
          <w:color w:val="auto"/>
          <w:sz w:val="21"/>
          <w:szCs w:val="21"/>
        </w:rPr>
      </w:pPr>
    </w:p>
    <w:p w14:paraId="5B0A80C3">
      <w:pPr>
        <w:snapToGrid w:val="0"/>
        <w:spacing w:before="50" w:after="120" w:afterLines="50"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评分响应表</w:t>
      </w:r>
    </w:p>
    <w:p w14:paraId="60B8BE6F">
      <w:pPr>
        <w:snapToGrid w:val="0"/>
        <w:spacing w:before="50" w:after="50" w:line="276" w:lineRule="auto"/>
        <w:rPr>
          <w:rFonts w:ascii="宋体" w:hAnsi="宋体" w:eastAsia="宋体" w:cs="宋体"/>
          <w:b/>
          <w:color w:val="auto"/>
          <w:sz w:val="21"/>
          <w:szCs w:val="21"/>
        </w:rPr>
      </w:pPr>
    </w:p>
    <w:p w14:paraId="0B3B09FB">
      <w:pPr>
        <w:snapToGrid w:val="0"/>
        <w:spacing w:before="50" w:after="50" w:line="276" w:lineRule="auto"/>
        <w:rPr>
          <w:rFonts w:ascii="宋体" w:hAnsi="宋体" w:eastAsia="宋体" w:cs="宋体"/>
          <w:b/>
          <w:color w:val="auto"/>
          <w:sz w:val="21"/>
          <w:szCs w:val="21"/>
          <w:u w:val="single"/>
        </w:rPr>
      </w:pPr>
      <w:r>
        <w:rPr>
          <w:rFonts w:hint="eastAsia" w:ascii="宋体" w:hAnsi="宋体" w:eastAsia="宋体" w:cs="宋体"/>
          <w:b/>
          <w:color w:val="auto"/>
          <w:sz w:val="21"/>
          <w:szCs w:val="21"/>
        </w:rPr>
        <w:t>投标单位名称：</w:t>
      </w:r>
    </w:p>
    <w:tbl>
      <w:tblPr>
        <w:tblStyle w:val="19"/>
        <w:tblW w:w="95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42CF8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513A5F73">
            <w:pPr>
              <w:spacing w:line="276" w:lineRule="auto"/>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90" w:type="dxa"/>
            <w:tcBorders>
              <w:top w:val="single" w:color="auto" w:sz="4" w:space="0"/>
              <w:left w:val="single" w:color="auto" w:sz="4" w:space="0"/>
              <w:bottom w:val="single" w:color="auto" w:sz="4" w:space="0"/>
              <w:right w:val="single" w:color="auto" w:sz="4" w:space="0"/>
              <w:tl2br w:val="nil"/>
              <w:tr2bl w:val="nil"/>
            </w:tcBorders>
            <w:vAlign w:val="center"/>
          </w:tcPr>
          <w:p w14:paraId="6069877A">
            <w:pPr>
              <w:spacing w:line="276" w:lineRule="auto"/>
              <w:rPr>
                <w:rFonts w:ascii="宋体" w:hAnsi="宋体" w:eastAsia="宋体" w:cs="宋体"/>
                <w:b/>
                <w:bCs/>
                <w:color w:val="auto"/>
                <w:sz w:val="21"/>
                <w:szCs w:val="21"/>
              </w:rPr>
            </w:pPr>
            <w:r>
              <w:rPr>
                <w:rFonts w:hint="eastAsia" w:ascii="宋体" w:hAnsi="宋体" w:eastAsia="宋体" w:cs="宋体"/>
                <w:b/>
                <w:bCs/>
                <w:color w:val="auto"/>
                <w:sz w:val="21"/>
                <w:szCs w:val="21"/>
              </w:rPr>
              <w:t>评审项目</w:t>
            </w:r>
          </w:p>
        </w:tc>
        <w:tc>
          <w:tcPr>
            <w:tcW w:w="3294" w:type="dxa"/>
            <w:tcBorders>
              <w:top w:val="single" w:color="auto" w:sz="4" w:space="0"/>
              <w:left w:val="single" w:color="auto" w:sz="4" w:space="0"/>
              <w:bottom w:val="single" w:color="auto" w:sz="4" w:space="0"/>
              <w:right w:val="single" w:color="auto" w:sz="4" w:space="0"/>
              <w:tl2br w:val="nil"/>
              <w:tr2bl w:val="nil"/>
            </w:tcBorders>
            <w:vAlign w:val="center"/>
          </w:tcPr>
          <w:p w14:paraId="0C1CCE2E">
            <w:pPr>
              <w:spacing w:line="276" w:lineRule="auto"/>
              <w:ind w:firstLine="442"/>
              <w:rPr>
                <w:rFonts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1218" w:type="dxa"/>
            <w:tcBorders>
              <w:top w:val="single" w:color="auto" w:sz="4" w:space="0"/>
              <w:left w:val="single" w:color="auto" w:sz="4" w:space="0"/>
              <w:bottom w:val="single" w:color="auto" w:sz="4" w:space="0"/>
              <w:right w:val="single" w:color="auto" w:sz="4" w:space="0"/>
              <w:tl2br w:val="nil"/>
              <w:tr2bl w:val="nil"/>
            </w:tcBorders>
            <w:vAlign w:val="center"/>
          </w:tcPr>
          <w:p w14:paraId="1040C0D9">
            <w:pPr>
              <w:spacing w:line="276" w:lineRule="auto"/>
              <w:rPr>
                <w:rFonts w:ascii="宋体" w:hAnsi="宋体" w:eastAsia="宋体" w:cs="宋体"/>
                <w:b/>
                <w:bCs/>
                <w:color w:val="auto"/>
                <w:sz w:val="21"/>
                <w:szCs w:val="21"/>
              </w:rPr>
            </w:pPr>
            <w:r>
              <w:rPr>
                <w:rFonts w:hint="eastAsia" w:ascii="宋体" w:hAnsi="宋体" w:eastAsia="宋体" w:cs="宋体"/>
                <w:b/>
                <w:bCs/>
                <w:color w:val="auto"/>
                <w:sz w:val="21"/>
                <w:szCs w:val="21"/>
              </w:rPr>
              <w:t>自评得分</w:t>
            </w:r>
          </w:p>
        </w:tc>
        <w:tc>
          <w:tcPr>
            <w:tcW w:w="2846" w:type="dxa"/>
            <w:tcBorders>
              <w:top w:val="single" w:color="auto" w:sz="4" w:space="0"/>
              <w:left w:val="single" w:color="auto" w:sz="4" w:space="0"/>
              <w:bottom w:val="single" w:color="auto" w:sz="4" w:space="0"/>
              <w:right w:val="single" w:color="auto" w:sz="4" w:space="0"/>
              <w:tl2br w:val="nil"/>
              <w:tr2bl w:val="nil"/>
            </w:tcBorders>
            <w:vAlign w:val="center"/>
          </w:tcPr>
          <w:p w14:paraId="18535EA1">
            <w:pPr>
              <w:spacing w:line="276" w:lineRule="auto"/>
              <w:rPr>
                <w:rFonts w:ascii="宋体" w:hAnsi="宋体" w:eastAsia="宋体" w:cs="宋体"/>
                <w:b/>
                <w:bCs/>
                <w:color w:val="auto"/>
                <w:sz w:val="21"/>
                <w:szCs w:val="21"/>
              </w:rPr>
            </w:pPr>
            <w:r>
              <w:rPr>
                <w:rFonts w:hint="eastAsia" w:ascii="宋体" w:hAnsi="宋体" w:eastAsia="宋体" w:cs="宋体"/>
                <w:b/>
                <w:bCs/>
                <w:color w:val="auto"/>
                <w:sz w:val="21"/>
                <w:szCs w:val="21"/>
              </w:rPr>
              <w:t>页码</w:t>
            </w:r>
          </w:p>
        </w:tc>
      </w:tr>
      <w:tr w14:paraId="526B0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1EFA6BAD">
            <w:pPr>
              <w:widowControl/>
              <w:spacing w:line="276" w:lineRule="auto"/>
              <w:rPr>
                <w:rFonts w:ascii="宋体" w:hAnsi="宋体" w:eastAsia="宋体" w:cs="宋体"/>
                <w:color w:val="auto"/>
                <w:sz w:val="21"/>
                <w:szCs w:val="21"/>
              </w:rPr>
            </w:pPr>
            <w:r>
              <w:rPr>
                <w:rFonts w:hint="eastAsia" w:ascii="宋体" w:hAnsi="宋体" w:eastAsia="宋体" w:cs="宋体"/>
                <w:color w:val="auto"/>
                <w:sz w:val="21"/>
                <w:szCs w:val="21"/>
              </w:rPr>
              <w:t>1</w:t>
            </w:r>
          </w:p>
        </w:tc>
        <w:tc>
          <w:tcPr>
            <w:tcW w:w="1390" w:type="dxa"/>
            <w:tcBorders>
              <w:top w:val="single" w:color="auto" w:sz="4" w:space="0"/>
              <w:left w:val="single" w:color="auto" w:sz="4" w:space="0"/>
              <w:bottom w:val="single" w:color="auto" w:sz="4" w:space="0"/>
              <w:right w:val="single" w:color="auto" w:sz="4" w:space="0"/>
              <w:tl2br w:val="nil"/>
              <w:tr2bl w:val="nil"/>
            </w:tcBorders>
            <w:vAlign w:val="center"/>
          </w:tcPr>
          <w:p w14:paraId="3E32FEDF">
            <w:pPr>
              <w:spacing w:line="276" w:lineRule="auto"/>
              <w:rPr>
                <w:rFonts w:ascii="宋体" w:hAnsi="宋体" w:eastAsia="宋体" w:cs="宋体"/>
                <w:color w:val="auto"/>
                <w:sz w:val="21"/>
                <w:szCs w:val="21"/>
              </w:rPr>
            </w:pPr>
          </w:p>
        </w:tc>
        <w:tc>
          <w:tcPr>
            <w:tcW w:w="3294" w:type="dxa"/>
            <w:tcBorders>
              <w:top w:val="single" w:color="auto" w:sz="4" w:space="0"/>
              <w:left w:val="single" w:color="auto" w:sz="4" w:space="0"/>
              <w:right w:val="single" w:color="auto" w:sz="4" w:space="0"/>
              <w:tl2br w:val="nil"/>
              <w:tr2bl w:val="nil"/>
            </w:tcBorders>
            <w:vAlign w:val="center"/>
          </w:tcPr>
          <w:p w14:paraId="4A1F940D">
            <w:pPr>
              <w:spacing w:line="276" w:lineRule="auto"/>
              <w:rPr>
                <w:rFonts w:ascii="宋体" w:hAnsi="宋体" w:eastAsia="宋体" w:cs="宋体"/>
                <w:color w:val="auto"/>
                <w:sz w:val="21"/>
                <w:szCs w:val="21"/>
              </w:rPr>
            </w:pPr>
          </w:p>
        </w:tc>
        <w:tc>
          <w:tcPr>
            <w:tcW w:w="1218" w:type="dxa"/>
            <w:tcBorders>
              <w:top w:val="single" w:color="auto" w:sz="4" w:space="0"/>
              <w:left w:val="single" w:color="auto" w:sz="4" w:space="0"/>
              <w:right w:val="single" w:color="auto" w:sz="4" w:space="0"/>
              <w:tl2br w:val="nil"/>
              <w:tr2bl w:val="nil"/>
            </w:tcBorders>
            <w:vAlign w:val="center"/>
          </w:tcPr>
          <w:p w14:paraId="59769C00">
            <w:pPr>
              <w:spacing w:line="276" w:lineRule="auto"/>
              <w:jc w:val="center"/>
              <w:rPr>
                <w:rFonts w:ascii="宋体" w:hAnsi="宋体" w:eastAsia="宋体" w:cs="宋体"/>
                <w:bCs/>
                <w:color w:val="auto"/>
                <w:sz w:val="21"/>
                <w:szCs w:val="21"/>
              </w:rPr>
            </w:pPr>
          </w:p>
        </w:tc>
        <w:tc>
          <w:tcPr>
            <w:tcW w:w="2846" w:type="dxa"/>
            <w:tcBorders>
              <w:top w:val="single" w:color="auto" w:sz="4" w:space="0"/>
              <w:left w:val="single" w:color="auto" w:sz="4" w:space="0"/>
              <w:right w:val="single" w:color="auto" w:sz="4" w:space="0"/>
              <w:tl2br w:val="nil"/>
              <w:tr2bl w:val="nil"/>
            </w:tcBorders>
            <w:vAlign w:val="center"/>
          </w:tcPr>
          <w:p w14:paraId="046E95A1">
            <w:pPr>
              <w:spacing w:line="276"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详见第几页</w:t>
            </w:r>
          </w:p>
        </w:tc>
      </w:tr>
      <w:tr w14:paraId="4C5D4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2FD7A8C4">
            <w:pPr>
              <w:widowControl/>
              <w:spacing w:line="276" w:lineRule="auto"/>
              <w:rPr>
                <w:rFonts w:ascii="宋体" w:hAnsi="宋体" w:eastAsia="宋体" w:cs="宋体"/>
                <w:color w:val="auto"/>
                <w:sz w:val="21"/>
                <w:szCs w:val="21"/>
              </w:rPr>
            </w:pPr>
            <w:r>
              <w:rPr>
                <w:rFonts w:hint="eastAsia" w:ascii="宋体" w:hAnsi="宋体" w:eastAsia="宋体" w:cs="宋体"/>
                <w:color w:val="auto"/>
                <w:sz w:val="21"/>
                <w:szCs w:val="21"/>
              </w:rPr>
              <w:t>2</w:t>
            </w:r>
          </w:p>
        </w:tc>
        <w:tc>
          <w:tcPr>
            <w:tcW w:w="1390" w:type="dxa"/>
            <w:tcBorders>
              <w:top w:val="single" w:color="auto" w:sz="4" w:space="0"/>
              <w:left w:val="single" w:color="auto" w:sz="4" w:space="0"/>
              <w:bottom w:val="single" w:color="auto" w:sz="4" w:space="0"/>
              <w:right w:val="single" w:color="auto" w:sz="4" w:space="0"/>
              <w:tl2br w:val="nil"/>
              <w:tr2bl w:val="nil"/>
            </w:tcBorders>
            <w:vAlign w:val="center"/>
          </w:tcPr>
          <w:p w14:paraId="23DB9263">
            <w:pPr>
              <w:spacing w:line="276" w:lineRule="auto"/>
              <w:rPr>
                <w:rFonts w:ascii="宋体" w:hAnsi="宋体" w:eastAsia="宋体" w:cs="宋体"/>
                <w:color w:val="auto"/>
                <w:sz w:val="21"/>
                <w:szCs w:val="21"/>
              </w:rPr>
            </w:pPr>
          </w:p>
        </w:tc>
        <w:tc>
          <w:tcPr>
            <w:tcW w:w="3294" w:type="dxa"/>
            <w:tcBorders>
              <w:top w:val="single" w:color="auto" w:sz="4" w:space="0"/>
              <w:left w:val="single" w:color="auto" w:sz="4" w:space="0"/>
              <w:right w:val="single" w:color="auto" w:sz="4" w:space="0"/>
              <w:tl2br w:val="nil"/>
              <w:tr2bl w:val="nil"/>
            </w:tcBorders>
            <w:vAlign w:val="center"/>
          </w:tcPr>
          <w:p w14:paraId="246E8001">
            <w:pPr>
              <w:widowControl/>
              <w:spacing w:line="276" w:lineRule="auto"/>
              <w:rPr>
                <w:rFonts w:ascii="宋体" w:hAnsi="宋体" w:eastAsia="宋体" w:cs="宋体"/>
                <w:color w:val="auto"/>
                <w:sz w:val="21"/>
                <w:szCs w:val="21"/>
              </w:rPr>
            </w:pPr>
          </w:p>
        </w:tc>
        <w:tc>
          <w:tcPr>
            <w:tcW w:w="1218" w:type="dxa"/>
            <w:tcBorders>
              <w:top w:val="single" w:color="auto" w:sz="4" w:space="0"/>
              <w:left w:val="single" w:color="auto" w:sz="4" w:space="0"/>
              <w:right w:val="single" w:color="auto" w:sz="4" w:space="0"/>
              <w:tl2br w:val="nil"/>
              <w:tr2bl w:val="nil"/>
            </w:tcBorders>
            <w:vAlign w:val="center"/>
          </w:tcPr>
          <w:p w14:paraId="0F666752">
            <w:pPr>
              <w:spacing w:line="276" w:lineRule="auto"/>
              <w:jc w:val="center"/>
              <w:rPr>
                <w:rFonts w:ascii="宋体" w:hAnsi="宋体" w:eastAsia="宋体" w:cs="宋体"/>
                <w:bCs/>
                <w:color w:val="auto"/>
                <w:sz w:val="21"/>
                <w:szCs w:val="21"/>
              </w:rPr>
            </w:pPr>
          </w:p>
        </w:tc>
        <w:tc>
          <w:tcPr>
            <w:tcW w:w="2846" w:type="dxa"/>
            <w:tcBorders>
              <w:top w:val="single" w:color="auto" w:sz="4" w:space="0"/>
              <w:left w:val="single" w:color="auto" w:sz="4" w:space="0"/>
              <w:right w:val="single" w:color="auto" w:sz="4" w:space="0"/>
              <w:tl2br w:val="nil"/>
              <w:tr2bl w:val="nil"/>
            </w:tcBorders>
            <w:vAlign w:val="center"/>
          </w:tcPr>
          <w:p w14:paraId="43CA85A4">
            <w:pPr>
              <w:spacing w:line="276" w:lineRule="auto"/>
              <w:jc w:val="center"/>
              <w:rPr>
                <w:rFonts w:ascii="宋体" w:hAnsi="宋体" w:eastAsia="宋体" w:cs="宋体"/>
                <w:bCs/>
                <w:color w:val="auto"/>
                <w:sz w:val="21"/>
                <w:szCs w:val="21"/>
              </w:rPr>
            </w:pPr>
            <w:r>
              <w:rPr>
                <w:rFonts w:hint="eastAsia" w:ascii="宋体" w:hAnsi="宋体" w:eastAsia="宋体" w:cs="宋体"/>
                <w:bCs/>
                <w:color w:val="auto"/>
                <w:sz w:val="21"/>
                <w:szCs w:val="21"/>
              </w:rPr>
              <w:t>……</w:t>
            </w:r>
          </w:p>
        </w:tc>
      </w:tr>
      <w:tr w14:paraId="22116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l2br w:val="nil"/>
              <w:tr2bl w:val="nil"/>
            </w:tcBorders>
            <w:vAlign w:val="center"/>
          </w:tcPr>
          <w:p w14:paraId="34B04197">
            <w:pPr>
              <w:widowControl/>
              <w:spacing w:line="276" w:lineRule="auto"/>
              <w:rPr>
                <w:rFonts w:ascii="宋体" w:hAnsi="宋体" w:eastAsia="宋体" w:cs="宋体"/>
                <w:color w:val="auto"/>
                <w:sz w:val="21"/>
                <w:szCs w:val="21"/>
              </w:rPr>
            </w:pPr>
          </w:p>
        </w:tc>
        <w:tc>
          <w:tcPr>
            <w:tcW w:w="1390" w:type="dxa"/>
            <w:tcBorders>
              <w:left w:val="single" w:color="auto" w:sz="4" w:space="0"/>
              <w:bottom w:val="single" w:color="auto" w:sz="4" w:space="0"/>
              <w:right w:val="single" w:color="auto" w:sz="4" w:space="0"/>
              <w:tl2br w:val="nil"/>
              <w:tr2bl w:val="nil"/>
            </w:tcBorders>
            <w:vAlign w:val="center"/>
          </w:tcPr>
          <w:p w14:paraId="0E3434F0">
            <w:pPr>
              <w:widowControl/>
              <w:spacing w:line="276" w:lineRule="auto"/>
              <w:rPr>
                <w:rFonts w:ascii="宋体" w:hAnsi="宋体" w:eastAsia="宋体" w:cs="宋体"/>
                <w:color w:val="auto"/>
                <w:sz w:val="21"/>
                <w:szCs w:val="21"/>
              </w:rPr>
            </w:pPr>
          </w:p>
        </w:tc>
        <w:tc>
          <w:tcPr>
            <w:tcW w:w="3294" w:type="dxa"/>
            <w:tcBorders>
              <w:top w:val="single" w:color="auto" w:sz="4" w:space="0"/>
              <w:left w:val="single" w:color="auto" w:sz="4" w:space="0"/>
              <w:bottom w:val="single" w:color="auto" w:sz="4" w:space="0"/>
              <w:right w:val="single" w:color="auto" w:sz="4" w:space="0"/>
              <w:tl2br w:val="nil"/>
              <w:tr2bl w:val="nil"/>
            </w:tcBorders>
            <w:vAlign w:val="center"/>
          </w:tcPr>
          <w:p w14:paraId="05C0F49F">
            <w:pPr>
              <w:spacing w:line="276" w:lineRule="auto"/>
              <w:ind w:left="55" w:leftChars="26"/>
              <w:rPr>
                <w:rFonts w:ascii="宋体" w:hAnsi="宋体" w:eastAsia="宋体" w:cs="宋体"/>
                <w:color w:val="auto"/>
                <w:sz w:val="21"/>
                <w:szCs w:val="21"/>
              </w:rPr>
            </w:pPr>
          </w:p>
        </w:tc>
        <w:tc>
          <w:tcPr>
            <w:tcW w:w="1218" w:type="dxa"/>
            <w:tcBorders>
              <w:top w:val="single" w:color="auto" w:sz="4" w:space="0"/>
              <w:left w:val="single" w:color="auto" w:sz="4" w:space="0"/>
              <w:bottom w:val="single" w:color="auto" w:sz="4" w:space="0"/>
              <w:right w:val="single" w:color="auto" w:sz="4" w:space="0"/>
              <w:tl2br w:val="nil"/>
              <w:tr2bl w:val="nil"/>
            </w:tcBorders>
            <w:vAlign w:val="center"/>
          </w:tcPr>
          <w:p w14:paraId="7DA0C41E">
            <w:pPr>
              <w:spacing w:line="276" w:lineRule="auto"/>
              <w:jc w:val="center"/>
              <w:rPr>
                <w:rFonts w:ascii="宋体" w:hAnsi="宋体" w:eastAsia="宋体" w:cs="宋体"/>
                <w:bCs/>
                <w:color w:val="auto"/>
                <w:sz w:val="21"/>
                <w:szCs w:val="21"/>
              </w:rPr>
            </w:pPr>
          </w:p>
        </w:tc>
        <w:tc>
          <w:tcPr>
            <w:tcW w:w="2846" w:type="dxa"/>
            <w:tcBorders>
              <w:top w:val="single" w:color="auto" w:sz="4" w:space="0"/>
              <w:left w:val="single" w:color="auto" w:sz="4" w:space="0"/>
              <w:bottom w:val="single" w:color="auto" w:sz="4" w:space="0"/>
              <w:right w:val="single" w:color="auto" w:sz="4" w:space="0"/>
              <w:tl2br w:val="nil"/>
              <w:tr2bl w:val="nil"/>
            </w:tcBorders>
            <w:vAlign w:val="center"/>
          </w:tcPr>
          <w:p w14:paraId="3CD861FA">
            <w:pPr>
              <w:spacing w:line="276" w:lineRule="auto"/>
              <w:jc w:val="center"/>
              <w:rPr>
                <w:rFonts w:ascii="宋体" w:hAnsi="宋体" w:eastAsia="宋体" w:cs="宋体"/>
                <w:bCs/>
                <w:color w:val="auto"/>
                <w:sz w:val="21"/>
                <w:szCs w:val="21"/>
              </w:rPr>
            </w:pPr>
          </w:p>
        </w:tc>
      </w:tr>
      <w:tr w14:paraId="12B64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l2br w:val="nil"/>
              <w:tr2bl w:val="nil"/>
            </w:tcBorders>
            <w:vAlign w:val="center"/>
          </w:tcPr>
          <w:p w14:paraId="57453358">
            <w:pPr>
              <w:widowControl/>
              <w:spacing w:line="276" w:lineRule="auto"/>
              <w:rPr>
                <w:rFonts w:ascii="宋体" w:hAnsi="宋体" w:eastAsia="宋体" w:cs="宋体"/>
                <w:color w:val="auto"/>
                <w:sz w:val="21"/>
                <w:szCs w:val="21"/>
              </w:rPr>
            </w:pPr>
          </w:p>
        </w:tc>
        <w:tc>
          <w:tcPr>
            <w:tcW w:w="1390" w:type="dxa"/>
            <w:tcBorders>
              <w:left w:val="single" w:color="auto" w:sz="4" w:space="0"/>
              <w:bottom w:val="single" w:color="auto" w:sz="4" w:space="0"/>
              <w:right w:val="single" w:color="auto" w:sz="4" w:space="0"/>
              <w:tl2br w:val="nil"/>
              <w:tr2bl w:val="nil"/>
            </w:tcBorders>
            <w:vAlign w:val="center"/>
          </w:tcPr>
          <w:p w14:paraId="37FB40A2">
            <w:pPr>
              <w:widowControl/>
              <w:spacing w:line="276" w:lineRule="auto"/>
              <w:rPr>
                <w:rFonts w:ascii="宋体" w:hAnsi="宋体" w:eastAsia="宋体" w:cs="宋体"/>
                <w:color w:val="auto"/>
                <w:sz w:val="21"/>
                <w:szCs w:val="21"/>
              </w:rPr>
            </w:pPr>
          </w:p>
        </w:tc>
        <w:tc>
          <w:tcPr>
            <w:tcW w:w="3294" w:type="dxa"/>
            <w:tcBorders>
              <w:top w:val="single" w:color="auto" w:sz="4" w:space="0"/>
              <w:left w:val="single" w:color="auto" w:sz="4" w:space="0"/>
              <w:bottom w:val="single" w:color="auto" w:sz="4" w:space="0"/>
              <w:right w:val="single" w:color="auto" w:sz="4" w:space="0"/>
              <w:tl2br w:val="nil"/>
              <w:tr2bl w:val="nil"/>
            </w:tcBorders>
            <w:vAlign w:val="center"/>
          </w:tcPr>
          <w:p w14:paraId="0F11E8F2">
            <w:pPr>
              <w:spacing w:line="276" w:lineRule="auto"/>
              <w:ind w:left="55" w:leftChars="26"/>
              <w:rPr>
                <w:rFonts w:ascii="宋体" w:hAnsi="宋体" w:eastAsia="宋体" w:cs="宋体"/>
                <w:color w:val="auto"/>
                <w:sz w:val="21"/>
                <w:szCs w:val="21"/>
              </w:rPr>
            </w:pPr>
          </w:p>
        </w:tc>
        <w:tc>
          <w:tcPr>
            <w:tcW w:w="1218" w:type="dxa"/>
            <w:tcBorders>
              <w:top w:val="single" w:color="auto" w:sz="4" w:space="0"/>
              <w:left w:val="single" w:color="auto" w:sz="4" w:space="0"/>
              <w:bottom w:val="single" w:color="auto" w:sz="4" w:space="0"/>
              <w:right w:val="single" w:color="auto" w:sz="4" w:space="0"/>
              <w:tl2br w:val="nil"/>
              <w:tr2bl w:val="nil"/>
            </w:tcBorders>
            <w:vAlign w:val="center"/>
          </w:tcPr>
          <w:p w14:paraId="265B498D">
            <w:pPr>
              <w:spacing w:line="276" w:lineRule="auto"/>
              <w:jc w:val="center"/>
              <w:rPr>
                <w:rFonts w:ascii="宋体" w:hAnsi="宋体" w:eastAsia="宋体" w:cs="宋体"/>
                <w:bCs/>
                <w:color w:val="auto"/>
                <w:sz w:val="21"/>
                <w:szCs w:val="21"/>
              </w:rPr>
            </w:pPr>
          </w:p>
        </w:tc>
        <w:tc>
          <w:tcPr>
            <w:tcW w:w="2846" w:type="dxa"/>
            <w:tcBorders>
              <w:top w:val="single" w:color="auto" w:sz="4" w:space="0"/>
              <w:left w:val="single" w:color="auto" w:sz="4" w:space="0"/>
              <w:bottom w:val="single" w:color="auto" w:sz="4" w:space="0"/>
              <w:right w:val="single" w:color="auto" w:sz="4" w:space="0"/>
              <w:tl2br w:val="nil"/>
              <w:tr2bl w:val="nil"/>
            </w:tcBorders>
            <w:vAlign w:val="center"/>
          </w:tcPr>
          <w:p w14:paraId="0EBFFA4D">
            <w:pPr>
              <w:spacing w:line="276" w:lineRule="auto"/>
              <w:jc w:val="center"/>
              <w:rPr>
                <w:rFonts w:ascii="宋体" w:hAnsi="宋体" w:eastAsia="宋体" w:cs="宋体"/>
                <w:bCs/>
                <w:color w:val="auto"/>
                <w:sz w:val="21"/>
                <w:szCs w:val="21"/>
              </w:rPr>
            </w:pPr>
          </w:p>
        </w:tc>
      </w:tr>
      <w:tr w14:paraId="309FD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l2br w:val="nil"/>
              <w:tr2bl w:val="nil"/>
            </w:tcBorders>
            <w:vAlign w:val="center"/>
          </w:tcPr>
          <w:p w14:paraId="4625E3D1">
            <w:pPr>
              <w:widowControl/>
              <w:spacing w:line="276" w:lineRule="auto"/>
              <w:rPr>
                <w:rFonts w:ascii="宋体" w:hAnsi="宋体" w:eastAsia="宋体" w:cs="宋体"/>
                <w:color w:val="auto"/>
                <w:sz w:val="21"/>
                <w:szCs w:val="21"/>
              </w:rPr>
            </w:pPr>
            <w:r>
              <w:rPr>
                <w:rFonts w:hint="eastAsia" w:ascii="宋体" w:hAnsi="宋体" w:eastAsia="宋体" w:cs="宋体"/>
                <w:color w:val="auto"/>
                <w:sz w:val="21"/>
                <w:szCs w:val="21"/>
              </w:rPr>
              <w:t>……</w:t>
            </w:r>
          </w:p>
        </w:tc>
        <w:tc>
          <w:tcPr>
            <w:tcW w:w="1390" w:type="dxa"/>
            <w:tcBorders>
              <w:left w:val="single" w:color="auto" w:sz="4" w:space="0"/>
              <w:bottom w:val="single" w:color="auto" w:sz="4" w:space="0"/>
              <w:right w:val="single" w:color="auto" w:sz="4" w:space="0"/>
              <w:tl2br w:val="nil"/>
              <w:tr2bl w:val="nil"/>
            </w:tcBorders>
            <w:vAlign w:val="center"/>
          </w:tcPr>
          <w:p w14:paraId="70104395">
            <w:pPr>
              <w:widowControl/>
              <w:spacing w:line="276" w:lineRule="auto"/>
              <w:rPr>
                <w:rFonts w:ascii="宋体" w:hAnsi="宋体" w:eastAsia="宋体" w:cs="宋体"/>
                <w:color w:val="auto"/>
                <w:sz w:val="21"/>
                <w:szCs w:val="21"/>
              </w:rPr>
            </w:pPr>
          </w:p>
        </w:tc>
        <w:tc>
          <w:tcPr>
            <w:tcW w:w="3294" w:type="dxa"/>
            <w:tcBorders>
              <w:top w:val="single" w:color="auto" w:sz="4" w:space="0"/>
              <w:left w:val="single" w:color="auto" w:sz="4" w:space="0"/>
              <w:bottom w:val="single" w:color="auto" w:sz="4" w:space="0"/>
              <w:right w:val="single" w:color="auto" w:sz="4" w:space="0"/>
              <w:tl2br w:val="nil"/>
              <w:tr2bl w:val="nil"/>
            </w:tcBorders>
            <w:vAlign w:val="center"/>
          </w:tcPr>
          <w:p w14:paraId="149D9096">
            <w:pPr>
              <w:spacing w:line="276" w:lineRule="auto"/>
              <w:ind w:left="55" w:leftChars="26"/>
              <w:rPr>
                <w:rFonts w:ascii="宋体" w:hAnsi="宋体" w:eastAsia="宋体" w:cs="宋体"/>
                <w:color w:val="auto"/>
                <w:sz w:val="21"/>
                <w:szCs w:val="21"/>
              </w:rPr>
            </w:pPr>
          </w:p>
        </w:tc>
        <w:tc>
          <w:tcPr>
            <w:tcW w:w="1218" w:type="dxa"/>
            <w:tcBorders>
              <w:top w:val="single" w:color="auto" w:sz="4" w:space="0"/>
              <w:left w:val="single" w:color="auto" w:sz="4" w:space="0"/>
              <w:bottom w:val="single" w:color="auto" w:sz="4" w:space="0"/>
              <w:right w:val="single" w:color="auto" w:sz="4" w:space="0"/>
              <w:tl2br w:val="nil"/>
              <w:tr2bl w:val="nil"/>
            </w:tcBorders>
            <w:vAlign w:val="center"/>
          </w:tcPr>
          <w:p w14:paraId="240F5575">
            <w:pPr>
              <w:spacing w:line="276" w:lineRule="auto"/>
              <w:jc w:val="center"/>
              <w:rPr>
                <w:rFonts w:ascii="宋体" w:hAnsi="宋体" w:eastAsia="宋体" w:cs="宋体"/>
                <w:bCs/>
                <w:color w:val="auto"/>
                <w:sz w:val="21"/>
                <w:szCs w:val="21"/>
              </w:rPr>
            </w:pPr>
          </w:p>
        </w:tc>
        <w:tc>
          <w:tcPr>
            <w:tcW w:w="2846" w:type="dxa"/>
            <w:tcBorders>
              <w:top w:val="single" w:color="auto" w:sz="4" w:space="0"/>
              <w:left w:val="single" w:color="auto" w:sz="4" w:space="0"/>
              <w:bottom w:val="single" w:color="auto" w:sz="4" w:space="0"/>
              <w:right w:val="single" w:color="auto" w:sz="4" w:space="0"/>
              <w:tl2br w:val="nil"/>
              <w:tr2bl w:val="nil"/>
            </w:tcBorders>
            <w:vAlign w:val="center"/>
          </w:tcPr>
          <w:p w14:paraId="6FCFFAF0">
            <w:pPr>
              <w:spacing w:line="276" w:lineRule="auto"/>
              <w:jc w:val="center"/>
              <w:rPr>
                <w:rFonts w:ascii="宋体" w:hAnsi="宋体" w:eastAsia="宋体" w:cs="宋体"/>
                <w:bCs/>
                <w:color w:val="auto"/>
                <w:sz w:val="21"/>
                <w:szCs w:val="21"/>
              </w:rPr>
            </w:pPr>
          </w:p>
        </w:tc>
      </w:tr>
    </w:tbl>
    <w:p w14:paraId="57B771A6">
      <w:pPr>
        <w:snapToGrid w:val="0"/>
        <w:spacing w:before="50" w:after="50" w:line="400" w:lineRule="exact"/>
        <w:rPr>
          <w:rFonts w:ascii="宋体" w:hAnsi="宋体" w:eastAsia="宋体" w:cs="宋体"/>
          <w:color w:val="auto"/>
          <w:sz w:val="21"/>
          <w:szCs w:val="21"/>
        </w:rPr>
      </w:pPr>
      <w:r>
        <w:rPr>
          <w:rFonts w:hint="eastAsia" w:ascii="宋体" w:hAnsi="宋体" w:eastAsia="宋体" w:cs="宋体"/>
          <w:color w:val="auto"/>
          <w:sz w:val="21"/>
          <w:szCs w:val="21"/>
        </w:rPr>
        <w:t>注：1.投标单位根据所投标项的评分表内容，按此格式提供评分响应表，每本技术商务文件一份，置于技术商务文件第1页。</w:t>
      </w:r>
    </w:p>
    <w:p w14:paraId="5BA57CCD">
      <w:pPr>
        <w:snapToGrid w:val="0"/>
        <w:spacing w:line="312"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2.投标人在标注页码时，应如实准确地标注“详见哪一页”，因投标人页码标注错误，导致专家误评、漏评的风险由投标人承担。</w:t>
      </w:r>
    </w:p>
    <w:p w14:paraId="50D11573">
      <w:pPr>
        <w:rPr>
          <w:rFonts w:ascii="宋体" w:hAnsi="宋体" w:eastAsia="宋体" w:cs="宋体"/>
          <w:color w:val="auto"/>
          <w:sz w:val="21"/>
          <w:szCs w:val="21"/>
        </w:rPr>
      </w:pPr>
      <w:r>
        <w:rPr>
          <w:rFonts w:hint="eastAsia" w:ascii="宋体" w:hAnsi="宋体" w:eastAsia="宋体" w:cs="宋体"/>
          <w:b/>
          <w:color w:val="auto"/>
          <w:sz w:val="21"/>
          <w:szCs w:val="21"/>
        </w:rPr>
        <w:br w:type="page"/>
      </w:r>
    </w:p>
    <w:p w14:paraId="4AB163DD">
      <w:pPr>
        <w:snapToGrid w:val="0"/>
        <w:spacing w:before="120" w:beforeLines="50" w:after="50" w:line="400" w:lineRule="exact"/>
        <w:jc w:val="left"/>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附件1</w:t>
      </w:r>
      <w:r>
        <w:rPr>
          <w:rFonts w:hint="eastAsia" w:ascii="宋体" w:hAnsi="宋体" w:eastAsia="宋体" w:cs="宋体"/>
          <w:color w:val="auto"/>
          <w:sz w:val="21"/>
          <w:szCs w:val="21"/>
          <w:lang w:val="en-US" w:eastAsia="zh-CN"/>
        </w:rPr>
        <w:t>6</w:t>
      </w:r>
    </w:p>
    <w:p w14:paraId="5EDC8578">
      <w:pPr>
        <w:snapToGrid w:val="0"/>
        <w:spacing w:before="120" w:beforeLines="50" w:after="50" w:line="400" w:lineRule="exact"/>
        <w:jc w:val="center"/>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投标</w:t>
      </w:r>
      <w:r>
        <w:rPr>
          <w:rFonts w:hint="eastAsia" w:ascii="宋体" w:hAnsi="宋体" w:eastAsia="宋体" w:cs="宋体"/>
          <w:b/>
          <w:color w:val="auto"/>
          <w:sz w:val="21"/>
          <w:szCs w:val="21"/>
        </w:rPr>
        <w:t>声明</w:t>
      </w:r>
      <w:r>
        <w:rPr>
          <w:rFonts w:hint="eastAsia" w:ascii="宋体" w:hAnsi="宋体" w:eastAsia="宋体" w:cs="宋体"/>
          <w:b/>
          <w:color w:val="auto"/>
          <w:sz w:val="21"/>
          <w:szCs w:val="21"/>
          <w:lang w:eastAsia="zh-CN"/>
        </w:rPr>
        <w:t>书</w:t>
      </w:r>
    </w:p>
    <w:p w14:paraId="126C553E">
      <w:pPr>
        <w:snapToGrid w:val="0"/>
        <w:spacing w:before="120" w:beforeLines="50" w:after="50" w:line="400" w:lineRule="exact"/>
        <w:rPr>
          <w:rFonts w:ascii="宋体" w:hAnsi="宋体" w:eastAsia="宋体" w:cs="宋体"/>
          <w:color w:val="auto"/>
          <w:sz w:val="21"/>
          <w:szCs w:val="21"/>
        </w:rPr>
      </w:pPr>
    </w:p>
    <w:p w14:paraId="3C5ED0C4">
      <w:pPr>
        <w:snapToGrid w:val="0"/>
        <w:spacing w:line="480" w:lineRule="exact"/>
        <w:rPr>
          <w:rFonts w:ascii="宋体" w:hAnsi="宋体" w:eastAsia="宋体" w:cs="宋体"/>
          <w:color w:val="auto"/>
          <w:sz w:val="21"/>
          <w:szCs w:val="21"/>
        </w:rPr>
      </w:pPr>
      <w:r>
        <w:rPr>
          <w:rFonts w:hint="eastAsia" w:ascii="宋体" w:hAnsi="宋体" w:eastAsia="宋体" w:cs="宋体"/>
          <w:color w:val="auto"/>
          <w:sz w:val="21"/>
          <w:szCs w:val="21"/>
        </w:rPr>
        <w:t>致（采购人）：</w:t>
      </w:r>
    </w:p>
    <w:p w14:paraId="1C61CFDD">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（投标人名称）系中华人民共和国合法企业，经营地址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7990E9B">
      <w:pPr>
        <w:snapToGrid w:val="0"/>
        <w:spacing w:line="480" w:lineRule="exact"/>
        <w:ind w:firstLine="645"/>
        <w:rPr>
          <w:rFonts w:ascii="宋体" w:hAnsi="宋体" w:eastAsia="宋体" w:cs="宋体"/>
          <w:color w:val="auto"/>
          <w:sz w:val="21"/>
          <w:szCs w:val="21"/>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（投标人名称）的法定代表人，我方愿意参加贵方组织的</w:t>
      </w:r>
      <w:r>
        <w:rPr>
          <w:rFonts w:hint="eastAsia" w:ascii="宋体" w:hAnsi="宋体" w:eastAsia="宋体" w:cs="宋体"/>
          <w:color w:val="auto"/>
          <w:sz w:val="21"/>
          <w:szCs w:val="21"/>
          <w:u w:val="single"/>
        </w:rPr>
        <w:t xml:space="preserve">                    采购项目</w:t>
      </w:r>
      <w:r>
        <w:rPr>
          <w:rFonts w:hint="eastAsia" w:ascii="宋体" w:hAnsi="宋体" w:eastAsia="宋体" w:cs="宋体"/>
          <w:color w:val="auto"/>
          <w:sz w:val="21"/>
          <w:szCs w:val="21"/>
        </w:rPr>
        <w:t>的投标，为便于贵方公正、择优地确定中标人及其投标产品和服务，我方就本次投标有关事项郑重声明如下：</w:t>
      </w:r>
    </w:p>
    <w:p w14:paraId="5D78B7B8">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1.我方向贵方提交的所有投标文件、资料都是准确的和真实的。</w:t>
      </w:r>
    </w:p>
    <w:p w14:paraId="0CBE280D">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2.我方不是采购人的附属机构；在获知本项目采购信息后，与采购人聘请的为此项目提供咨询服务的公司及其附属机构没有任何联系。</w:t>
      </w:r>
    </w:p>
    <w:p w14:paraId="31EBEE02">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3.我方此次向贵方提供的服务名称为：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93C8E4F">
      <w:pPr>
        <w:snapToGrid w:val="0"/>
        <w:spacing w:line="4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4.我方及由本人担任法定代表人的其他机构最近三年内被通报或者被处罚的违法行为有：（若有，请如实填写；若无，请做出“参加政府采购活动前三年内，在经营活动中没有重大违法记录”的承诺）</w:t>
      </w:r>
    </w:p>
    <w:p w14:paraId="49F8C987">
      <w:pPr>
        <w:snapToGrid w:val="0"/>
        <w:spacing w:line="4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　　　　　　　　　　　　　　　　　　　　　　　　　　　</w:t>
      </w:r>
    </w:p>
    <w:p w14:paraId="5B89B774">
      <w:pPr>
        <w:snapToGrid w:val="0"/>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5.以上事项如有虚假或隐瞒，我方愿意承担一切后果，并不再寻求任何旨在减轻或免除法律责任的辩解。</w:t>
      </w:r>
    </w:p>
    <w:p w14:paraId="56F65E93">
      <w:pPr>
        <w:tabs>
          <w:tab w:val="left" w:pos="939"/>
        </w:tabs>
        <w:snapToGrid w:val="0"/>
        <w:spacing w:line="480" w:lineRule="exact"/>
        <w:ind w:left="716" w:leftChars="150" w:hanging="401" w:hangingChars="191"/>
        <w:rPr>
          <w:rFonts w:ascii="宋体" w:hAnsi="宋体" w:eastAsia="宋体" w:cs="宋体"/>
          <w:color w:val="auto"/>
          <w:sz w:val="21"/>
          <w:szCs w:val="21"/>
        </w:rPr>
      </w:pPr>
    </w:p>
    <w:p w14:paraId="48E564B0">
      <w:pPr>
        <w:tabs>
          <w:tab w:val="left" w:pos="939"/>
        </w:tabs>
        <w:snapToGrid w:val="0"/>
        <w:spacing w:line="480" w:lineRule="exact"/>
        <w:ind w:left="716" w:leftChars="150" w:hanging="401" w:hangingChars="191"/>
        <w:rPr>
          <w:rFonts w:ascii="宋体" w:hAnsi="宋体" w:eastAsia="宋体" w:cs="宋体"/>
          <w:color w:val="auto"/>
          <w:sz w:val="21"/>
          <w:szCs w:val="21"/>
        </w:rPr>
      </w:pPr>
    </w:p>
    <w:p w14:paraId="04CB06EF">
      <w:pPr>
        <w:tabs>
          <w:tab w:val="left" w:pos="939"/>
        </w:tabs>
        <w:snapToGrid w:val="0"/>
        <w:spacing w:line="480" w:lineRule="exact"/>
        <w:ind w:left="716" w:leftChars="150" w:hanging="401" w:hangingChars="191"/>
        <w:rPr>
          <w:rFonts w:ascii="宋体" w:hAnsi="宋体" w:eastAsia="宋体" w:cs="宋体"/>
          <w:color w:val="auto"/>
          <w:sz w:val="21"/>
          <w:szCs w:val="21"/>
        </w:rPr>
      </w:pPr>
    </w:p>
    <w:p w14:paraId="66730A59">
      <w:pPr>
        <w:snapToGrid w:val="0"/>
        <w:spacing w:before="120" w:line="360" w:lineRule="auto"/>
        <w:ind w:right="600"/>
        <w:rPr>
          <w:rFonts w:hint="eastAsia" w:ascii="宋体" w:hAnsi="宋体" w:eastAsia="宋体" w:cs="宋体"/>
          <w:color w:val="auto"/>
          <w:sz w:val="21"/>
          <w:szCs w:val="21"/>
          <w:u w:val="single"/>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60272360">
      <w:pPr>
        <w:snapToGrid w:val="0"/>
        <w:spacing w:before="120" w:line="360" w:lineRule="auto"/>
        <w:ind w:right="600"/>
        <w:rPr>
          <w:rFonts w:ascii="宋体" w:hAnsi="宋体" w:eastAsia="宋体" w:cs="宋体"/>
          <w:color w:val="auto"/>
          <w:sz w:val="21"/>
          <w:szCs w:val="21"/>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5736B4FB">
      <w:pPr>
        <w:snapToGrid w:val="0"/>
        <w:spacing w:before="12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10A87D7C">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20952DA5">
      <w:pPr>
        <w:snapToGrid w:val="0"/>
        <w:spacing w:before="50" w:after="120" w:afterLines="50"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附件1</w:t>
      </w:r>
      <w:r>
        <w:rPr>
          <w:rFonts w:hint="eastAsia" w:ascii="宋体" w:hAnsi="宋体" w:eastAsia="宋体" w:cs="宋体"/>
          <w:color w:val="auto"/>
          <w:sz w:val="21"/>
          <w:szCs w:val="21"/>
          <w:lang w:val="en-US" w:eastAsia="zh-CN"/>
        </w:rPr>
        <w:t>6</w:t>
      </w:r>
    </w:p>
    <w:p w14:paraId="7B0279E6">
      <w:pPr>
        <w:snapToGrid w:val="0"/>
        <w:spacing w:before="50" w:after="120" w:afterLines="50"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同类项目业绩汇总表</w:t>
      </w:r>
    </w:p>
    <w:tbl>
      <w:tblPr>
        <w:tblStyle w:val="19"/>
        <w:tblpPr w:leftFromText="180" w:rightFromText="180" w:vertAnchor="text" w:horzAnchor="page" w:tblpX="1420" w:tblpY="623"/>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7390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tcBorders>
              <w:tl2br w:val="nil"/>
              <w:tr2bl w:val="nil"/>
            </w:tcBorders>
            <w:vAlign w:val="center"/>
          </w:tcPr>
          <w:p w14:paraId="3088211B">
            <w:pPr>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项目名称</w:t>
            </w:r>
          </w:p>
        </w:tc>
        <w:tc>
          <w:tcPr>
            <w:tcW w:w="1453" w:type="dxa"/>
            <w:tcBorders>
              <w:tl2br w:val="nil"/>
              <w:tr2bl w:val="nil"/>
            </w:tcBorders>
            <w:vAlign w:val="center"/>
          </w:tcPr>
          <w:p w14:paraId="734F2822">
            <w:pPr>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项目规模</w:t>
            </w:r>
          </w:p>
        </w:tc>
        <w:tc>
          <w:tcPr>
            <w:tcW w:w="1207" w:type="dxa"/>
            <w:tcBorders>
              <w:tl2br w:val="nil"/>
              <w:tr2bl w:val="nil"/>
            </w:tcBorders>
            <w:vAlign w:val="center"/>
          </w:tcPr>
          <w:p w14:paraId="3CBF23EF">
            <w:pPr>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合同金额</w:t>
            </w:r>
          </w:p>
        </w:tc>
        <w:tc>
          <w:tcPr>
            <w:tcW w:w="1660" w:type="dxa"/>
            <w:tcBorders>
              <w:tl2br w:val="nil"/>
              <w:tr2bl w:val="nil"/>
            </w:tcBorders>
            <w:vAlign w:val="center"/>
          </w:tcPr>
          <w:p w14:paraId="6A1B74AB">
            <w:pPr>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项目建设单位</w:t>
            </w:r>
          </w:p>
        </w:tc>
        <w:tc>
          <w:tcPr>
            <w:tcW w:w="2208" w:type="dxa"/>
            <w:tcBorders>
              <w:tl2br w:val="nil"/>
              <w:tr2bl w:val="nil"/>
            </w:tcBorders>
            <w:vAlign w:val="center"/>
          </w:tcPr>
          <w:p w14:paraId="28869684">
            <w:pPr>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项目单位联系人及联系电话</w:t>
            </w:r>
          </w:p>
        </w:tc>
        <w:tc>
          <w:tcPr>
            <w:tcW w:w="1452" w:type="dxa"/>
            <w:tcBorders>
              <w:tl2br w:val="nil"/>
              <w:tr2bl w:val="nil"/>
            </w:tcBorders>
            <w:vAlign w:val="center"/>
          </w:tcPr>
          <w:p w14:paraId="7FD1B682">
            <w:pPr>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签订日期</w:t>
            </w:r>
          </w:p>
        </w:tc>
      </w:tr>
      <w:tr w14:paraId="2D2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359EF612">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5025FD4E">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4D517C5B">
            <w:pPr>
              <w:spacing w:line="276" w:lineRule="auto"/>
              <w:rPr>
                <w:rFonts w:ascii="宋体" w:hAnsi="宋体" w:eastAsia="宋体" w:cs="宋体"/>
                <w:color w:val="auto"/>
                <w:sz w:val="21"/>
                <w:szCs w:val="21"/>
              </w:rPr>
            </w:pPr>
          </w:p>
        </w:tc>
        <w:tc>
          <w:tcPr>
            <w:tcW w:w="1660" w:type="dxa"/>
            <w:tcBorders>
              <w:tl2br w:val="nil"/>
              <w:tr2bl w:val="nil"/>
            </w:tcBorders>
          </w:tcPr>
          <w:p w14:paraId="706098EB">
            <w:pPr>
              <w:spacing w:line="276" w:lineRule="auto"/>
              <w:rPr>
                <w:rFonts w:ascii="宋体" w:hAnsi="宋体" w:eastAsia="宋体" w:cs="宋体"/>
                <w:color w:val="auto"/>
                <w:sz w:val="21"/>
                <w:szCs w:val="21"/>
              </w:rPr>
            </w:pPr>
          </w:p>
        </w:tc>
        <w:tc>
          <w:tcPr>
            <w:tcW w:w="2208" w:type="dxa"/>
            <w:tcBorders>
              <w:tl2br w:val="nil"/>
              <w:tr2bl w:val="nil"/>
            </w:tcBorders>
          </w:tcPr>
          <w:p w14:paraId="05386223">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77D2AF95">
            <w:pPr>
              <w:spacing w:line="276" w:lineRule="auto"/>
              <w:rPr>
                <w:rFonts w:ascii="宋体" w:hAnsi="宋体" w:eastAsia="宋体" w:cs="宋体"/>
                <w:color w:val="auto"/>
                <w:sz w:val="21"/>
                <w:szCs w:val="21"/>
              </w:rPr>
            </w:pPr>
          </w:p>
        </w:tc>
      </w:tr>
      <w:tr w14:paraId="0030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tcBorders>
              <w:tl2br w:val="nil"/>
              <w:tr2bl w:val="nil"/>
            </w:tcBorders>
            <w:vAlign w:val="center"/>
          </w:tcPr>
          <w:p w14:paraId="17DE83ED">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3FDC0F71">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4705D7DA">
            <w:pPr>
              <w:spacing w:line="276" w:lineRule="auto"/>
              <w:rPr>
                <w:rFonts w:ascii="宋体" w:hAnsi="宋体" w:eastAsia="宋体" w:cs="宋体"/>
                <w:color w:val="auto"/>
                <w:sz w:val="21"/>
                <w:szCs w:val="21"/>
              </w:rPr>
            </w:pPr>
          </w:p>
        </w:tc>
        <w:tc>
          <w:tcPr>
            <w:tcW w:w="1660" w:type="dxa"/>
            <w:tcBorders>
              <w:tl2br w:val="nil"/>
              <w:tr2bl w:val="nil"/>
            </w:tcBorders>
          </w:tcPr>
          <w:p w14:paraId="6483A6D1">
            <w:pPr>
              <w:spacing w:line="276" w:lineRule="auto"/>
              <w:rPr>
                <w:rFonts w:ascii="宋体" w:hAnsi="宋体" w:eastAsia="宋体" w:cs="宋体"/>
                <w:color w:val="auto"/>
                <w:sz w:val="21"/>
                <w:szCs w:val="21"/>
              </w:rPr>
            </w:pPr>
          </w:p>
        </w:tc>
        <w:tc>
          <w:tcPr>
            <w:tcW w:w="2208" w:type="dxa"/>
            <w:tcBorders>
              <w:tl2br w:val="nil"/>
              <w:tr2bl w:val="nil"/>
            </w:tcBorders>
          </w:tcPr>
          <w:p w14:paraId="74F1A6A8">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7D7AE7E8">
            <w:pPr>
              <w:spacing w:line="276" w:lineRule="auto"/>
              <w:rPr>
                <w:rFonts w:ascii="宋体" w:hAnsi="宋体" w:eastAsia="宋体" w:cs="宋体"/>
                <w:color w:val="auto"/>
                <w:sz w:val="21"/>
                <w:szCs w:val="21"/>
              </w:rPr>
            </w:pPr>
          </w:p>
        </w:tc>
      </w:tr>
      <w:tr w14:paraId="5F8F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2F0878FA">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5241C5CA">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223A5341">
            <w:pPr>
              <w:spacing w:line="276" w:lineRule="auto"/>
              <w:rPr>
                <w:rFonts w:ascii="宋体" w:hAnsi="宋体" w:eastAsia="宋体" w:cs="宋体"/>
                <w:color w:val="auto"/>
                <w:sz w:val="21"/>
                <w:szCs w:val="21"/>
              </w:rPr>
            </w:pPr>
          </w:p>
        </w:tc>
        <w:tc>
          <w:tcPr>
            <w:tcW w:w="1660" w:type="dxa"/>
            <w:tcBorders>
              <w:tl2br w:val="nil"/>
              <w:tr2bl w:val="nil"/>
            </w:tcBorders>
          </w:tcPr>
          <w:p w14:paraId="5F1139F9">
            <w:pPr>
              <w:spacing w:line="276" w:lineRule="auto"/>
              <w:rPr>
                <w:rFonts w:ascii="宋体" w:hAnsi="宋体" w:eastAsia="宋体" w:cs="宋体"/>
                <w:color w:val="auto"/>
                <w:sz w:val="21"/>
                <w:szCs w:val="21"/>
              </w:rPr>
            </w:pPr>
          </w:p>
        </w:tc>
        <w:tc>
          <w:tcPr>
            <w:tcW w:w="2208" w:type="dxa"/>
            <w:tcBorders>
              <w:tl2br w:val="nil"/>
              <w:tr2bl w:val="nil"/>
            </w:tcBorders>
          </w:tcPr>
          <w:p w14:paraId="6E034B59">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049AF29F">
            <w:pPr>
              <w:spacing w:line="276" w:lineRule="auto"/>
              <w:rPr>
                <w:rFonts w:ascii="宋体" w:hAnsi="宋体" w:eastAsia="宋体" w:cs="宋体"/>
                <w:color w:val="auto"/>
                <w:sz w:val="21"/>
                <w:szCs w:val="21"/>
              </w:rPr>
            </w:pPr>
          </w:p>
        </w:tc>
      </w:tr>
      <w:tr w14:paraId="100F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625988B9">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5BB6C748">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0FB50176">
            <w:pPr>
              <w:spacing w:line="276" w:lineRule="auto"/>
              <w:rPr>
                <w:rFonts w:ascii="宋体" w:hAnsi="宋体" w:eastAsia="宋体" w:cs="宋体"/>
                <w:color w:val="auto"/>
                <w:sz w:val="21"/>
                <w:szCs w:val="21"/>
              </w:rPr>
            </w:pPr>
          </w:p>
        </w:tc>
        <w:tc>
          <w:tcPr>
            <w:tcW w:w="1660" w:type="dxa"/>
            <w:tcBorders>
              <w:tl2br w:val="nil"/>
              <w:tr2bl w:val="nil"/>
            </w:tcBorders>
          </w:tcPr>
          <w:p w14:paraId="3292D7DF">
            <w:pPr>
              <w:spacing w:line="276" w:lineRule="auto"/>
              <w:rPr>
                <w:rFonts w:ascii="宋体" w:hAnsi="宋体" w:eastAsia="宋体" w:cs="宋体"/>
                <w:color w:val="auto"/>
                <w:sz w:val="21"/>
                <w:szCs w:val="21"/>
              </w:rPr>
            </w:pPr>
          </w:p>
        </w:tc>
        <w:tc>
          <w:tcPr>
            <w:tcW w:w="2208" w:type="dxa"/>
            <w:tcBorders>
              <w:tl2br w:val="nil"/>
              <w:tr2bl w:val="nil"/>
            </w:tcBorders>
          </w:tcPr>
          <w:p w14:paraId="7EBB6C29">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6B28405E">
            <w:pPr>
              <w:spacing w:line="276" w:lineRule="auto"/>
              <w:rPr>
                <w:rFonts w:ascii="宋体" w:hAnsi="宋体" w:eastAsia="宋体" w:cs="宋体"/>
                <w:color w:val="auto"/>
                <w:sz w:val="21"/>
                <w:szCs w:val="21"/>
              </w:rPr>
            </w:pPr>
          </w:p>
        </w:tc>
      </w:tr>
      <w:tr w14:paraId="38D3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5FE01CDB">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491BD8D6">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370D1AA2">
            <w:pPr>
              <w:spacing w:line="276" w:lineRule="auto"/>
              <w:rPr>
                <w:rFonts w:ascii="宋体" w:hAnsi="宋体" w:eastAsia="宋体" w:cs="宋体"/>
                <w:color w:val="auto"/>
                <w:sz w:val="21"/>
                <w:szCs w:val="21"/>
              </w:rPr>
            </w:pPr>
          </w:p>
        </w:tc>
        <w:tc>
          <w:tcPr>
            <w:tcW w:w="1660" w:type="dxa"/>
            <w:tcBorders>
              <w:tl2br w:val="nil"/>
              <w:tr2bl w:val="nil"/>
            </w:tcBorders>
          </w:tcPr>
          <w:p w14:paraId="38F14EC5">
            <w:pPr>
              <w:spacing w:line="276" w:lineRule="auto"/>
              <w:rPr>
                <w:rFonts w:ascii="宋体" w:hAnsi="宋体" w:eastAsia="宋体" w:cs="宋体"/>
                <w:color w:val="auto"/>
                <w:sz w:val="21"/>
                <w:szCs w:val="21"/>
              </w:rPr>
            </w:pPr>
          </w:p>
        </w:tc>
        <w:tc>
          <w:tcPr>
            <w:tcW w:w="2208" w:type="dxa"/>
            <w:tcBorders>
              <w:tl2br w:val="nil"/>
              <w:tr2bl w:val="nil"/>
            </w:tcBorders>
          </w:tcPr>
          <w:p w14:paraId="780F4A0A">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2CA44250">
            <w:pPr>
              <w:spacing w:line="276" w:lineRule="auto"/>
              <w:rPr>
                <w:rFonts w:ascii="宋体" w:hAnsi="宋体" w:eastAsia="宋体" w:cs="宋体"/>
                <w:color w:val="auto"/>
                <w:sz w:val="21"/>
                <w:szCs w:val="21"/>
              </w:rPr>
            </w:pPr>
          </w:p>
        </w:tc>
      </w:tr>
      <w:tr w14:paraId="4156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13C02509">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481A0CAB">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4B55E60A">
            <w:pPr>
              <w:spacing w:line="276" w:lineRule="auto"/>
              <w:rPr>
                <w:rFonts w:ascii="宋体" w:hAnsi="宋体" w:eastAsia="宋体" w:cs="宋体"/>
                <w:color w:val="auto"/>
                <w:sz w:val="21"/>
                <w:szCs w:val="21"/>
              </w:rPr>
            </w:pPr>
          </w:p>
        </w:tc>
        <w:tc>
          <w:tcPr>
            <w:tcW w:w="1660" w:type="dxa"/>
            <w:tcBorders>
              <w:tl2br w:val="nil"/>
              <w:tr2bl w:val="nil"/>
            </w:tcBorders>
          </w:tcPr>
          <w:p w14:paraId="1260BB33">
            <w:pPr>
              <w:spacing w:line="276" w:lineRule="auto"/>
              <w:rPr>
                <w:rFonts w:ascii="宋体" w:hAnsi="宋体" w:eastAsia="宋体" w:cs="宋体"/>
                <w:color w:val="auto"/>
                <w:sz w:val="21"/>
                <w:szCs w:val="21"/>
              </w:rPr>
            </w:pPr>
          </w:p>
        </w:tc>
        <w:tc>
          <w:tcPr>
            <w:tcW w:w="2208" w:type="dxa"/>
            <w:tcBorders>
              <w:tl2br w:val="nil"/>
              <w:tr2bl w:val="nil"/>
            </w:tcBorders>
          </w:tcPr>
          <w:p w14:paraId="58827A24">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62B56C96">
            <w:pPr>
              <w:spacing w:line="276" w:lineRule="auto"/>
              <w:rPr>
                <w:rFonts w:ascii="宋体" w:hAnsi="宋体" w:eastAsia="宋体" w:cs="宋体"/>
                <w:color w:val="auto"/>
                <w:sz w:val="21"/>
                <w:szCs w:val="21"/>
              </w:rPr>
            </w:pPr>
          </w:p>
        </w:tc>
      </w:tr>
      <w:tr w14:paraId="7A0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0417C053">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07795B5D">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1A4009D5">
            <w:pPr>
              <w:spacing w:line="276" w:lineRule="auto"/>
              <w:rPr>
                <w:rFonts w:ascii="宋体" w:hAnsi="宋体" w:eastAsia="宋体" w:cs="宋体"/>
                <w:color w:val="auto"/>
                <w:sz w:val="21"/>
                <w:szCs w:val="21"/>
              </w:rPr>
            </w:pPr>
          </w:p>
        </w:tc>
        <w:tc>
          <w:tcPr>
            <w:tcW w:w="1660" w:type="dxa"/>
            <w:tcBorders>
              <w:tl2br w:val="nil"/>
              <w:tr2bl w:val="nil"/>
            </w:tcBorders>
          </w:tcPr>
          <w:p w14:paraId="49F12BB8">
            <w:pPr>
              <w:spacing w:line="276" w:lineRule="auto"/>
              <w:rPr>
                <w:rFonts w:ascii="宋体" w:hAnsi="宋体" w:eastAsia="宋体" w:cs="宋体"/>
                <w:color w:val="auto"/>
                <w:sz w:val="21"/>
                <w:szCs w:val="21"/>
              </w:rPr>
            </w:pPr>
          </w:p>
        </w:tc>
        <w:tc>
          <w:tcPr>
            <w:tcW w:w="2208" w:type="dxa"/>
            <w:tcBorders>
              <w:tl2br w:val="nil"/>
              <w:tr2bl w:val="nil"/>
            </w:tcBorders>
          </w:tcPr>
          <w:p w14:paraId="5974DE67">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6A01B2CC">
            <w:pPr>
              <w:spacing w:line="276" w:lineRule="auto"/>
              <w:rPr>
                <w:rFonts w:ascii="宋体" w:hAnsi="宋体" w:eastAsia="宋体" w:cs="宋体"/>
                <w:color w:val="auto"/>
                <w:sz w:val="21"/>
                <w:szCs w:val="21"/>
              </w:rPr>
            </w:pPr>
          </w:p>
        </w:tc>
      </w:tr>
      <w:tr w14:paraId="5158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2BB2A9D0">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0B927BBD">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4FED5BC1">
            <w:pPr>
              <w:spacing w:line="276" w:lineRule="auto"/>
              <w:rPr>
                <w:rFonts w:ascii="宋体" w:hAnsi="宋体" w:eastAsia="宋体" w:cs="宋体"/>
                <w:color w:val="auto"/>
                <w:sz w:val="21"/>
                <w:szCs w:val="21"/>
              </w:rPr>
            </w:pPr>
          </w:p>
        </w:tc>
        <w:tc>
          <w:tcPr>
            <w:tcW w:w="1660" w:type="dxa"/>
            <w:tcBorders>
              <w:tl2br w:val="nil"/>
              <w:tr2bl w:val="nil"/>
            </w:tcBorders>
          </w:tcPr>
          <w:p w14:paraId="6891A8C0">
            <w:pPr>
              <w:spacing w:line="276" w:lineRule="auto"/>
              <w:rPr>
                <w:rFonts w:ascii="宋体" w:hAnsi="宋体" w:eastAsia="宋体" w:cs="宋体"/>
                <w:color w:val="auto"/>
                <w:sz w:val="21"/>
                <w:szCs w:val="21"/>
              </w:rPr>
            </w:pPr>
          </w:p>
        </w:tc>
        <w:tc>
          <w:tcPr>
            <w:tcW w:w="2208" w:type="dxa"/>
            <w:tcBorders>
              <w:tl2br w:val="nil"/>
              <w:tr2bl w:val="nil"/>
            </w:tcBorders>
          </w:tcPr>
          <w:p w14:paraId="2BB8BF76">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27666858">
            <w:pPr>
              <w:spacing w:line="276" w:lineRule="auto"/>
              <w:rPr>
                <w:rFonts w:ascii="宋体" w:hAnsi="宋体" w:eastAsia="宋体" w:cs="宋体"/>
                <w:color w:val="auto"/>
                <w:sz w:val="21"/>
                <w:szCs w:val="21"/>
              </w:rPr>
            </w:pPr>
          </w:p>
        </w:tc>
      </w:tr>
      <w:tr w14:paraId="239C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5479F327">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7344CA05">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3B84808D">
            <w:pPr>
              <w:spacing w:line="276" w:lineRule="auto"/>
              <w:rPr>
                <w:rFonts w:ascii="宋体" w:hAnsi="宋体" w:eastAsia="宋体" w:cs="宋体"/>
                <w:color w:val="auto"/>
                <w:sz w:val="21"/>
                <w:szCs w:val="21"/>
              </w:rPr>
            </w:pPr>
          </w:p>
        </w:tc>
        <w:tc>
          <w:tcPr>
            <w:tcW w:w="1660" w:type="dxa"/>
            <w:tcBorders>
              <w:tl2br w:val="nil"/>
              <w:tr2bl w:val="nil"/>
            </w:tcBorders>
          </w:tcPr>
          <w:p w14:paraId="06DB8CC3">
            <w:pPr>
              <w:spacing w:line="276" w:lineRule="auto"/>
              <w:rPr>
                <w:rFonts w:ascii="宋体" w:hAnsi="宋体" w:eastAsia="宋体" w:cs="宋体"/>
                <w:color w:val="auto"/>
                <w:sz w:val="21"/>
                <w:szCs w:val="21"/>
              </w:rPr>
            </w:pPr>
          </w:p>
        </w:tc>
        <w:tc>
          <w:tcPr>
            <w:tcW w:w="2208" w:type="dxa"/>
            <w:tcBorders>
              <w:tl2br w:val="nil"/>
              <w:tr2bl w:val="nil"/>
            </w:tcBorders>
          </w:tcPr>
          <w:p w14:paraId="1E988E36">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46CB1469">
            <w:pPr>
              <w:spacing w:line="276" w:lineRule="auto"/>
              <w:rPr>
                <w:rFonts w:ascii="宋体" w:hAnsi="宋体" w:eastAsia="宋体" w:cs="宋体"/>
                <w:color w:val="auto"/>
                <w:sz w:val="21"/>
                <w:szCs w:val="21"/>
              </w:rPr>
            </w:pPr>
          </w:p>
        </w:tc>
      </w:tr>
      <w:tr w14:paraId="5FEF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tcBorders>
              <w:tl2br w:val="nil"/>
              <w:tr2bl w:val="nil"/>
            </w:tcBorders>
            <w:vAlign w:val="center"/>
          </w:tcPr>
          <w:p w14:paraId="7CF4228A">
            <w:pPr>
              <w:spacing w:line="276" w:lineRule="auto"/>
              <w:rPr>
                <w:rFonts w:ascii="宋体" w:hAnsi="宋体" w:eastAsia="宋体" w:cs="宋体"/>
                <w:color w:val="auto"/>
                <w:sz w:val="21"/>
                <w:szCs w:val="21"/>
              </w:rPr>
            </w:pPr>
          </w:p>
        </w:tc>
        <w:tc>
          <w:tcPr>
            <w:tcW w:w="1453" w:type="dxa"/>
            <w:tcBorders>
              <w:tl2br w:val="nil"/>
              <w:tr2bl w:val="nil"/>
            </w:tcBorders>
            <w:vAlign w:val="center"/>
          </w:tcPr>
          <w:p w14:paraId="63F437EB">
            <w:pPr>
              <w:spacing w:line="276" w:lineRule="auto"/>
              <w:rPr>
                <w:rFonts w:ascii="宋体" w:hAnsi="宋体" w:eastAsia="宋体" w:cs="宋体"/>
                <w:color w:val="auto"/>
                <w:sz w:val="21"/>
                <w:szCs w:val="21"/>
              </w:rPr>
            </w:pPr>
          </w:p>
        </w:tc>
        <w:tc>
          <w:tcPr>
            <w:tcW w:w="1207" w:type="dxa"/>
            <w:tcBorders>
              <w:tl2br w:val="nil"/>
              <w:tr2bl w:val="nil"/>
            </w:tcBorders>
            <w:vAlign w:val="center"/>
          </w:tcPr>
          <w:p w14:paraId="598AC255">
            <w:pPr>
              <w:spacing w:line="276" w:lineRule="auto"/>
              <w:rPr>
                <w:rFonts w:ascii="宋体" w:hAnsi="宋体" w:eastAsia="宋体" w:cs="宋体"/>
                <w:color w:val="auto"/>
                <w:sz w:val="21"/>
                <w:szCs w:val="21"/>
              </w:rPr>
            </w:pPr>
          </w:p>
        </w:tc>
        <w:tc>
          <w:tcPr>
            <w:tcW w:w="1660" w:type="dxa"/>
            <w:tcBorders>
              <w:tl2br w:val="nil"/>
              <w:tr2bl w:val="nil"/>
            </w:tcBorders>
          </w:tcPr>
          <w:p w14:paraId="51FD3A7C">
            <w:pPr>
              <w:spacing w:line="276" w:lineRule="auto"/>
              <w:rPr>
                <w:rFonts w:ascii="宋体" w:hAnsi="宋体" w:eastAsia="宋体" w:cs="宋体"/>
                <w:color w:val="auto"/>
                <w:sz w:val="21"/>
                <w:szCs w:val="21"/>
              </w:rPr>
            </w:pPr>
          </w:p>
        </w:tc>
        <w:tc>
          <w:tcPr>
            <w:tcW w:w="2208" w:type="dxa"/>
            <w:tcBorders>
              <w:tl2br w:val="nil"/>
              <w:tr2bl w:val="nil"/>
            </w:tcBorders>
          </w:tcPr>
          <w:p w14:paraId="68392E0D">
            <w:pPr>
              <w:spacing w:line="276" w:lineRule="auto"/>
              <w:rPr>
                <w:rFonts w:ascii="宋体" w:hAnsi="宋体" w:eastAsia="宋体" w:cs="宋体"/>
                <w:color w:val="auto"/>
                <w:sz w:val="21"/>
                <w:szCs w:val="21"/>
              </w:rPr>
            </w:pPr>
          </w:p>
        </w:tc>
        <w:tc>
          <w:tcPr>
            <w:tcW w:w="1452" w:type="dxa"/>
            <w:tcBorders>
              <w:tl2br w:val="nil"/>
              <w:tr2bl w:val="nil"/>
            </w:tcBorders>
            <w:vAlign w:val="center"/>
          </w:tcPr>
          <w:p w14:paraId="7F25D094">
            <w:pPr>
              <w:spacing w:line="276" w:lineRule="auto"/>
              <w:rPr>
                <w:rFonts w:ascii="宋体" w:hAnsi="宋体" w:eastAsia="宋体" w:cs="宋体"/>
                <w:color w:val="auto"/>
                <w:sz w:val="21"/>
                <w:szCs w:val="21"/>
              </w:rPr>
            </w:pPr>
          </w:p>
        </w:tc>
      </w:tr>
    </w:tbl>
    <w:p w14:paraId="1706632A">
      <w:pPr>
        <w:spacing w:before="120" w:after="120" w:line="276" w:lineRule="auto"/>
        <w:rPr>
          <w:rFonts w:ascii="宋体" w:hAnsi="宋体" w:eastAsia="宋体" w:cs="宋体"/>
          <w:color w:val="auto"/>
          <w:sz w:val="21"/>
          <w:szCs w:val="21"/>
        </w:rPr>
      </w:pPr>
    </w:p>
    <w:p w14:paraId="0566A186">
      <w:pPr>
        <w:spacing w:before="120" w:after="120" w:line="276" w:lineRule="auto"/>
        <w:ind w:left="430" w:leftChars="205" w:firstLine="3780" w:firstLineChars="1800"/>
        <w:rPr>
          <w:rFonts w:ascii="宋体" w:hAnsi="宋体" w:eastAsia="宋体" w:cs="宋体"/>
          <w:color w:val="auto"/>
          <w:sz w:val="21"/>
          <w:szCs w:val="21"/>
        </w:rPr>
      </w:pPr>
      <w:r>
        <w:rPr>
          <w:rFonts w:hint="eastAsia" w:ascii="宋体" w:hAnsi="宋体" w:eastAsia="宋体" w:cs="宋体"/>
          <w:color w:val="auto"/>
          <w:sz w:val="21"/>
          <w:szCs w:val="21"/>
        </w:rPr>
        <w:t xml:space="preserve">  </w:t>
      </w:r>
    </w:p>
    <w:p w14:paraId="627623B5">
      <w:pPr>
        <w:spacing w:before="120" w:after="120" w:line="276" w:lineRule="auto"/>
        <w:rPr>
          <w:rFonts w:ascii="宋体" w:hAnsi="宋体" w:eastAsia="宋体" w:cs="宋体"/>
          <w:color w:val="auto"/>
          <w:sz w:val="21"/>
          <w:szCs w:val="21"/>
        </w:rPr>
      </w:pPr>
      <w:r>
        <w:rPr>
          <w:rFonts w:hint="eastAsia" w:ascii="宋体" w:hAnsi="宋体" w:eastAsia="宋体" w:cs="宋体"/>
          <w:color w:val="auto"/>
          <w:sz w:val="21"/>
          <w:szCs w:val="21"/>
        </w:rPr>
        <w:t>注：提供合同扫描件、网上中标公示页截图及网址连接并加盖公章。</w:t>
      </w:r>
    </w:p>
    <w:p w14:paraId="7997290A">
      <w:pPr>
        <w:spacing w:before="120" w:after="120" w:line="276" w:lineRule="auto"/>
        <w:ind w:left="430" w:leftChars="205" w:firstLine="3780" w:firstLineChars="1800"/>
        <w:rPr>
          <w:rFonts w:ascii="宋体" w:hAnsi="宋体" w:eastAsia="宋体" w:cs="宋体"/>
          <w:color w:val="auto"/>
          <w:sz w:val="21"/>
          <w:szCs w:val="21"/>
        </w:rPr>
      </w:pPr>
    </w:p>
    <w:p w14:paraId="2F4E7B33">
      <w:pPr>
        <w:snapToGrid w:val="0"/>
        <w:spacing w:before="120" w:line="360" w:lineRule="auto"/>
        <w:rPr>
          <w:rFonts w:ascii="宋体" w:hAnsi="宋体" w:eastAsia="宋体" w:cs="宋体"/>
          <w:color w:val="auto"/>
          <w:sz w:val="21"/>
          <w:szCs w:val="21"/>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4672C5DA">
      <w:pPr>
        <w:snapToGrid w:val="0"/>
        <w:spacing w:before="120" w:line="360" w:lineRule="auto"/>
        <w:ind w:right="600"/>
        <w:rPr>
          <w:rFonts w:ascii="宋体" w:hAnsi="宋体" w:eastAsia="宋体" w:cs="宋体"/>
          <w:color w:val="auto"/>
          <w:sz w:val="21"/>
          <w:szCs w:val="21"/>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72215BE0">
      <w:pPr>
        <w:snapToGrid w:val="0"/>
        <w:spacing w:before="12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1EB6369B">
      <w:pPr>
        <w:rPr>
          <w:rFonts w:ascii="宋体" w:hAnsi="宋体" w:eastAsia="宋体" w:cs="宋体"/>
          <w:color w:val="auto"/>
          <w:sz w:val="21"/>
          <w:szCs w:val="21"/>
        </w:rPr>
      </w:pPr>
    </w:p>
    <w:p w14:paraId="47BC959D">
      <w:pPr>
        <w:rPr>
          <w:rFonts w:ascii="宋体" w:hAnsi="宋体" w:eastAsia="宋体" w:cs="宋体"/>
          <w:color w:val="auto"/>
          <w:sz w:val="21"/>
          <w:szCs w:val="21"/>
        </w:rPr>
      </w:pPr>
    </w:p>
    <w:p w14:paraId="36C78E3E">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6025269C">
      <w:pPr>
        <w:snapToGrid w:val="0"/>
        <w:spacing w:before="50" w:after="120" w:afterLines="50"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附件1</w:t>
      </w:r>
      <w:r>
        <w:rPr>
          <w:rFonts w:hint="eastAsia" w:ascii="宋体" w:hAnsi="宋体" w:eastAsia="宋体" w:cs="宋体"/>
          <w:color w:val="auto"/>
          <w:sz w:val="21"/>
          <w:szCs w:val="21"/>
          <w:lang w:val="en-US" w:eastAsia="zh-CN"/>
        </w:rPr>
        <w:t>7</w:t>
      </w:r>
    </w:p>
    <w:p w14:paraId="60F45FAD">
      <w:pPr>
        <w:jc w:val="center"/>
        <w:rPr>
          <w:rFonts w:hint="eastAsia"/>
          <w:color w:val="auto"/>
        </w:rPr>
      </w:pPr>
      <w:r>
        <w:rPr>
          <w:rFonts w:hint="eastAsia" w:ascii="宋体" w:hAnsi="宋体" w:eastAsia="宋体" w:cs="宋体"/>
          <w:b/>
          <w:color w:val="auto"/>
          <w:sz w:val="21"/>
          <w:szCs w:val="21"/>
        </w:rPr>
        <w:t>拟派项目负责人基本情况表</w:t>
      </w:r>
    </w:p>
    <w:tbl>
      <w:tblPr>
        <w:tblStyle w:val="19"/>
        <w:tblpPr w:leftFromText="180" w:rightFromText="180" w:vertAnchor="text" w:horzAnchor="page" w:tblpX="1477" w:tblpY="392"/>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15"/>
        <w:gridCol w:w="1065"/>
        <w:gridCol w:w="615"/>
        <w:gridCol w:w="330"/>
        <w:gridCol w:w="945"/>
        <w:gridCol w:w="945"/>
        <w:gridCol w:w="90"/>
        <w:gridCol w:w="2676"/>
      </w:tblGrid>
      <w:tr w14:paraId="3740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459" w:type="dxa"/>
            <w:vAlign w:val="center"/>
          </w:tcPr>
          <w:p w14:paraId="473D3ADA">
            <w:pPr>
              <w:jc w:val="center"/>
              <w:rPr>
                <w:rFonts w:ascii="仿宋_GB2312" w:hAnsi="宋体" w:eastAsia="仿宋_GB2312"/>
                <w:color w:val="auto"/>
                <w:szCs w:val="21"/>
              </w:rPr>
            </w:pPr>
            <w:r>
              <w:rPr>
                <w:rFonts w:hint="eastAsia" w:ascii="仿宋_GB2312" w:hAnsi="宋体" w:eastAsia="仿宋_GB2312"/>
                <w:color w:val="auto"/>
                <w:szCs w:val="21"/>
              </w:rPr>
              <w:t>姓  名</w:t>
            </w:r>
          </w:p>
        </w:tc>
        <w:tc>
          <w:tcPr>
            <w:tcW w:w="1080" w:type="dxa"/>
            <w:gridSpan w:val="2"/>
            <w:vAlign w:val="center"/>
          </w:tcPr>
          <w:p w14:paraId="4FC57676">
            <w:pPr>
              <w:jc w:val="center"/>
              <w:rPr>
                <w:rFonts w:ascii="仿宋_GB2312" w:hAnsi="宋体" w:eastAsia="仿宋_GB2312"/>
                <w:color w:val="auto"/>
                <w:szCs w:val="21"/>
              </w:rPr>
            </w:pPr>
          </w:p>
        </w:tc>
        <w:tc>
          <w:tcPr>
            <w:tcW w:w="945" w:type="dxa"/>
            <w:gridSpan w:val="2"/>
            <w:vAlign w:val="center"/>
          </w:tcPr>
          <w:p w14:paraId="2EF7EEB7">
            <w:pPr>
              <w:rPr>
                <w:rFonts w:ascii="仿宋_GB2312" w:hAnsi="宋体" w:eastAsia="仿宋_GB2312"/>
                <w:color w:val="auto"/>
                <w:szCs w:val="21"/>
              </w:rPr>
            </w:pPr>
            <w:r>
              <w:rPr>
                <w:rFonts w:hint="eastAsia" w:ascii="仿宋_GB2312" w:hAnsi="宋体" w:eastAsia="仿宋_GB2312"/>
                <w:color w:val="auto"/>
                <w:szCs w:val="21"/>
              </w:rPr>
              <w:t>性 别</w:t>
            </w:r>
          </w:p>
        </w:tc>
        <w:tc>
          <w:tcPr>
            <w:tcW w:w="945" w:type="dxa"/>
            <w:vAlign w:val="center"/>
          </w:tcPr>
          <w:p w14:paraId="5A802454">
            <w:pPr>
              <w:rPr>
                <w:rFonts w:ascii="仿宋_GB2312" w:hAnsi="宋体" w:eastAsia="仿宋_GB2312"/>
                <w:color w:val="auto"/>
                <w:szCs w:val="21"/>
              </w:rPr>
            </w:pPr>
          </w:p>
        </w:tc>
        <w:tc>
          <w:tcPr>
            <w:tcW w:w="945" w:type="dxa"/>
            <w:vAlign w:val="center"/>
          </w:tcPr>
          <w:p w14:paraId="18507AF6">
            <w:pPr>
              <w:jc w:val="center"/>
              <w:rPr>
                <w:rFonts w:ascii="仿宋_GB2312" w:hAnsi="宋体" w:eastAsia="仿宋_GB2312"/>
                <w:color w:val="auto"/>
                <w:szCs w:val="21"/>
              </w:rPr>
            </w:pPr>
            <w:r>
              <w:rPr>
                <w:rFonts w:hint="eastAsia" w:ascii="仿宋_GB2312" w:hAnsi="宋体" w:eastAsia="仿宋_GB2312"/>
                <w:color w:val="auto"/>
                <w:szCs w:val="21"/>
              </w:rPr>
              <w:t>出生</w:t>
            </w:r>
          </w:p>
          <w:p w14:paraId="6E8AFE05">
            <w:pPr>
              <w:jc w:val="center"/>
              <w:rPr>
                <w:rFonts w:ascii="仿宋_GB2312" w:hAnsi="宋体" w:eastAsia="仿宋_GB2312"/>
                <w:color w:val="auto"/>
                <w:szCs w:val="21"/>
              </w:rPr>
            </w:pPr>
            <w:r>
              <w:rPr>
                <w:rFonts w:hint="eastAsia" w:ascii="仿宋_GB2312" w:hAnsi="宋体" w:eastAsia="仿宋_GB2312"/>
                <w:color w:val="auto"/>
                <w:szCs w:val="21"/>
              </w:rPr>
              <w:t>日期</w:t>
            </w:r>
          </w:p>
        </w:tc>
        <w:tc>
          <w:tcPr>
            <w:tcW w:w="2766" w:type="dxa"/>
            <w:gridSpan w:val="2"/>
            <w:vAlign w:val="center"/>
          </w:tcPr>
          <w:p w14:paraId="4229361B">
            <w:pPr>
              <w:rPr>
                <w:rFonts w:ascii="仿宋_GB2312" w:hAnsi="宋体" w:eastAsia="仿宋_GB2312"/>
                <w:color w:val="auto"/>
                <w:szCs w:val="21"/>
              </w:rPr>
            </w:pPr>
            <w:r>
              <w:rPr>
                <w:rFonts w:hint="eastAsia" w:ascii="仿宋_GB2312" w:hAnsi="宋体" w:eastAsia="仿宋_GB2312"/>
                <w:color w:val="auto"/>
                <w:szCs w:val="21"/>
              </w:rPr>
              <w:t xml:space="preserve">      年    月   日</w:t>
            </w:r>
          </w:p>
        </w:tc>
      </w:tr>
      <w:tr w14:paraId="5578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2459" w:type="dxa"/>
            <w:vAlign w:val="center"/>
          </w:tcPr>
          <w:p w14:paraId="2CDD5A8F">
            <w:pPr>
              <w:rPr>
                <w:rFonts w:ascii="仿宋_GB2312" w:hAnsi="宋体" w:eastAsia="仿宋_GB2312"/>
                <w:color w:val="auto"/>
                <w:szCs w:val="21"/>
              </w:rPr>
            </w:pPr>
            <w:r>
              <w:rPr>
                <w:rFonts w:hint="eastAsia" w:ascii="仿宋_GB2312" w:hAnsi="宋体" w:eastAsia="仿宋_GB2312"/>
                <w:color w:val="auto"/>
                <w:szCs w:val="21"/>
              </w:rPr>
              <w:t>毕业院校及专业</w:t>
            </w:r>
          </w:p>
        </w:tc>
        <w:tc>
          <w:tcPr>
            <w:tcW w:w="2970" w:type="dxa"/>
            <w:gridSpan w:val="5"/>
            <w:vAlign w:val="center"/>
          </w:tcPr>
          <w:p w14:paraId="6B62DFC1">
            <w:pPr>
              <w:rPr>
                <w:rFonts w:ascii="仿宋_GB2312" w:hAnsi="宋体" w:eastAsia="仿宋_GB2312"/>
                <w:color w:val="auto"/>
                <w:szCs w:val="21"/>
              </w:rPr>
            </w:pPr>
          </w:p>
        </w:tc>
        <w:tc>
          <w:tcPr>
            <w:tcW w:w="945" w:type="dxa"/>
            <w:vAlign w:val="center"/>
          </w:tcPr>
          <w:p w14:paraId="4FAF3384">
            <w:pPr>
              <w:ind w:left="-18"/>
              <w:jc w:val="center"/>
              <w:rPr>
                <w:rFonts w:ascii="仿宋_GB2312" w:hAnsi="宋体" w:eastAsia="仿宋_GB2312"/>
                <w:color w:val="auto"/>
                <w:szCs w:val="21"/>
              </w:rPr>
            </w:pPr>
            <w:r>
              <w:rPr>
                <w:rFonts w:hint="eastAsia" w:ascii="仿宋_GB2312" w:hAnsi="宋体" w:eastAsia="仿宋_GB2312"/>
                <w:color w:val="auto"/>
                <w:szCs w:val="21"/>
              </w:rPr>
              <w:t>毕业</w:t>
            </w:r>
          </w:p>
          <w:p w14:paraId="473493CD">
            <w:pPr>
              <w:ind w:left="-18"/>
              <w:jc w:val="center"/>
              <w:rPr>
                <w:rFonts w:ascii="仿宋_GB2312" w:hAnsi="宋体" w:eastAsia="仿宋_GB2312"/>
                <w:color w:val="auto"/>
                <w:szCs w:val="21"/>
              </w:rPr>
            </w:pPr>
            <w:r>
              <w:rPr>
                <w:rFonts w:hint="eastAsia" w:ascii="仿宋_GB2312" w:hAnsi="宋体" w:eastAsia="仿宋_GB2312"/>
                <w:color w:val="auto"/>
                <w:szCs w:val="21"/>
              </w:rPr>
              <w:t>时间</w:t>
            </w:r>
          </w:p>
        </w:tc>
        <w:tc>
          <w:tcPr>
            <w:tcW w:w="2766" w:type="dxa"/>
            <w:gridSpan w:val="2"/>
            <w:vAlign w:val="center"/>
          </w:tcPr>
          <w:p w14:paraId="7CC80B8A">
            <w:pPr>
              <w:ind w:left="45"/>
              <w:rPr>
                <w:rFonts w:ascii="仿宋_GB2312" w:hAnsi="宋体" w:eastAsia="仿宋_GB2312"/>
                <w:color w:val="auto"/>
                <w:szCs w:val="21"/>
              </w:rPr>
            </w:pPr>
            <w:r>
              <w:rPr>
                <w:rFonts w:hint="eastAsia" w:ascii="仿宋_GB2312" w:hAnsi="宋体" w:eastAsia="仿宋_GB2312"/>
                <w:color w:val="auto"/>
                <w:szCs w:val="21"/>
              </w:rPr>
              <w:t xml:space="preserve">      年    月   日</w:t>
            </w:r>
          </w:p>
        </w:tc>
      </w:tr>
      <w:tr w14:paraId="6D25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59" w:type="dxa"/>
            <w:vAlign w:val="center"/>
          </w:tcPr>
          <w:p w14:paraId="4B1CB3A3">
            <w:pPr>
              <w:jc w:val="center"/>
              <w:rPr>
                <w:rFonts w:ascii="仿宋_GB2312" w:hAnsi="宋体" w:eastAsia="仿宋_GB2312"/>
                <w:color w:val="auto"/>
                <w:szCs w:val="21"/>
              </w:rPr>
            </w:pPr>
            <w:r>
              <w:rPr>
                <w:rFonts w:hint="eastAsia" w:ascii="仿宋_GB2312" w:hAnsi="宋体" w:eastAsia="仿宋_GB2312"/>
                <w:color w:val="auto"/>
                <w:szCs w:val="21"/>
              </w:rPr>
              <w:t>从事本专业时间</w:t>
            </w:r>
          </w:p>
        </w:tc>
        <w:tc>
          <w:tcPr>
            <w:tcW w:w="1695" w:type="dxa"/>
            <w:gridSpan w:val="3"/>
            <w:vAlign w:val="center"/>
          </w:tcPr>
          <w:p w14:paraId="7C427ABF">
            <w:pPr>
              <w:rPr>
                <w:rFonts w:ascii="仿宋_GB2312" w:hAnsi="宋体" w:eastAsia="仿宋_GB2312"/>
                <w:color w:val="auto"/>
                <w:szCs w:val="21"/>
              </w:rPr>
            </w:pPr>
          </w:p>
        </w:tc>
        <w:tc>
          <w:tcPr>
            <w:tcW w:w="2220" w:type="dxa"/>
            <w:gridSpan w:val="3"/>
            <w:vAlign w:val="center"/>
          </w:tcPr>
          <w:p w14:paraId="788557D3">
            <w:pPr>
              <w:jc w:val="center"/>
              <w:rPr>
                <w:rFonts w:ascii="仿宋_GB2312" w:hAnsi="宋体" w:eastAsia="仿宋_GB2312"/>
                <w:color w:val="auto"/>
                <w:szCs w:val="21"/>
              </w:rPr>
            </w:pPr>
            <w:r>
              <w:rPr>
                <w:rFonts w:hint="eastAsia" w:ascii="仿宋_GB2312" w:hAnsi="宋体" w:eastAsia="仿宋_GB2312"/>
                <w:color w:val="auto"/>
                <w:szCs w:val="21"/>
              </w:rPr>
              <w:t>为投标人服务时间</w:t>
            </w:r>
          </w:p>
        </w:tc>
        <w:tc>
          <w:tcPr>
            <w:tcW w:w="2766" w:type="dxa"/>
            <w:gridSpan w:val="2"/>
            <w:vAlign w:val="center"/>
          </w:tcPr>
          <w:p w14:paraId="62D343DA">
            <w:pPr>
              <w:rPr>
                <w:rFonts w:ascii="仿宋_GB2312" w:hAnsi="宋体" w:eastAsia="仿宋_GB2312"/>
                <w:color w:val="auto"/>
                <w:szCs w:val="21"/>
              </w:rPr>
            </w:pPr>
          </w:p>
        </w:tc>
      </w:tr>
      <w:tr w14:paraId="6935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59" w:type="dxa"/>
            <w:vAlign w:val="center"/>
          </w:tcPr>
          <w:p w14:paraId="016E0E06">
            <w:pPr>
              <w:jc w:val="center"/>
              <w:rPr>
                <w:rFonts w:ascii="仿宋_GB2312" w:hAnsi="宋体" w:eastAsia="仿宋_GB2312"/>
                <w:color w:val="auto"/>
                <w:szCs w:val="21"/>
              </w:rPr>
            </w:pPr>
            <w:r>
              <w:rPr>
                <w:rFonts w:hint="eastAsia" w:ascii="仿宋_GB2312" w:hAnsi="宋体" w:eastAsia="仿宋_GB2312"/>
                <w:color w:val="auto"/>
                <w:szCs w:val="21"/>
              </w:rPr>
              <w:t>职务/职称</w:t>
            </w:r>
          </w:p>
        </w:tc>
        <w:tc>
          <w:tcPr>
            <w:tcW w:w="1695" w:type="dxa"/>
            <w:gridSpan w:val="3"/>
            <w:vAlign w:val="center"/>
          </w:tcPr>
          <w:p w14:paraId="46461F84">
            <w:pPr>
              <w:rPr>
                <w:rFonts w:ascii="仿宋_GB2312" w:hAnsi="宋体" w:eastAsia="仿宋_GB2312"/>
                <w:color w:val="auto"/>
                <w:szCs w:val="21"/>
              </w:rPr>
            </w:pPr>
          </w:p>
        </w:tc>
        <w:tc>
          <w:tcPr>
            <w:tcW w:w="2220" w:type="dxa"/>
            <w:gridSpan w:val="3"/>
            <w:vAlign w:val="center"/>
          </w:tcPr>
          <w:p w14:paraId="7AC9A45E">
            <w:pPr>
              <w:jc w:val="center"/>
              <w:rPr>
                <w:rFonts w:ascii="仿宋_GB2312" w:hAnsi="宋体" w:eastAsia="仿宋_GB2312"/>
                <w:color w:val="auto"/>
                <w:szCs w:val="21"/>
              </w:rPr>
            </w:pPr>
            <w:r>
              <w:rPr>
                <w:rFonts w:hint="eastAsia" w:ascii="仿宋_GB2312" w:hAnsi="宋体" w:eastAsia="仿宋_GB2312"/>
                <w:color w:val="auto"/>
                <w:szCs w:val="21"/>
              </w:rPr>
              <w:t>联 系 方 式</w:t>
            </w:r>
          </w:p>
        </w:tc>
        <w:tc>
          <w:tcPr>
            <w:tcW w:w="2766" w:type="dxa"/>
            <w:gridSpan w:val="2"/>
            <w:vAlign w:val="center"/>
          </w:tcPr>
          <w:p w14:paraId="6A1626ED">
            <w:pPr>
              <w:rPr>
                <w:rFonts w:ascii="仿宋_GB2312" w:hAnsi="宋体" w:eastAsia="仿宋_GB2312"/>
                <w:color w:val="auto"/>
                <w:szCs w:val="21"/>
              </w:rPr>
            </w:pPr>
          </w:p>
        </w:tc>
      </w:tr>
      <w:tr w14:paraId="1E9E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140" w:type="dxa"/>
            <w:gridSpan w:val="9"/>
            <w:vAlign w:val="center"/>
          </w:tcPr>
          <w:p w14:paraId="527DFA9E">
            <w:pPr>
              <w:jc w:val="center"/>
              <w:rPr>
                <w:rFonts w:ascii="仿宋_GB2312" w:hAnsi="宋体" w:eastAsia="仿宋_GB2312"/>
                <w:color w:val="auto"/>
                <w:szCs w:val="21"/>
              </w:rPr>
            </w:pPr>
            <w:r>
              <w:rPr>
                <w:rFonts w:hint="eastAsia" w:ascii="仿宋_GB2312" w:hAnsi="宋体" w:eastAsia="仿宋_GB2312"/>
                <w:color w:val="auto"/>
                <w:szCs w:val="21"/>
              </w:rPr>
              <w:t>主  要  业  绩</w:t>
            </w:r>
          </w:p>
        </w:tc>
      </w:tr>
      <w:tr w14:paraId="4027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74" w:type="dxa"/>
            <w:gridSpan w:val="2"/>
            <w:vAlign w:val="center"/>
          </w:tcPr>
          <w:p w14:paraId="7C16B46C">
            <w:pPr>
              <w:jc w:val="center"/>
              <w:rPr>
                <w:rFonts w:ascii="仿宋_GB2312" w:hAnsi="宋体" w:eastAsia="仿宋_GB2312"/>
                <w:color w:val="auto"/>
                <w:szCs w:val="21"/>
              </w:rPr>
            </w:pPr>
            <w:r>
              <w:rPr>
                <w:rFonts w:hint="eastAsia" w:ascii="仿宋_GB2312" w:hAnsi="宋体" w:eastAsia="仿宋_GB2312"/>
                <w:color w:val="auto"/>
                <w:szCs w:val="21"/>
              </w:rPr>
              <w:t>时   间</w:t>
            </w:r>
          </w:p>
        </w:tc>
        <w:tc>
          <w:tcPr>
            <w:tcW w:w="3990" w:type="dxa"/>
            <w:gridSpan w:val="6"/>
            <w:vAlign w:val="center"/>
          </w:tcPr>
          <w:p w14:paraId="17084797">
            <w:pPr>
              <w:jc w:val="center"/>
              <w:rPr>
                <w:rFonts w:ascii="仿宋_GB2312" w:hAnsi="宋体" w:eastAsia="仿宋_GB2312"/>
                <w:color w:val="auto"/>
                <w:szCs w:val="21"/>
              </w:rPr>
            </w:pPr>
            <w:r>
              <w:rPr>
                <w:rFonts w:hint="eastAsia" w:ascii="仿宋_GB2312" w:hAnsi="宋体" w:eastAsia="仿宋_GB2312"/>
                <w:color w:val="auto"/>
                <w:szCs w:val="21"/>
              </w:rPr>
              <w:t>参加过的绩效评价项目</w:t>
            </w:r>
          </w:p>
          <w:p w14:paraId="1C11947E">
            <w:pPr>
              <w:jc w:val="center"/>
              <w:rPr>
                <w:rFonts w:ascii="仿宋_GB2312" w:hAnsi="宋体" w:eastAsia="仿宋_GB2312"/>
                <w:color w:val="auto"/>
                <w:szCs w:val="21"/>
              </w:rPr>
            </w:pPr>
            <w:r>
              <w:rPr>
                <w:rFonts w:hint="eastAsia" w:ascii="仿宋_GB2312" w:hAnsi="宋体" w:eastAsia="仿宋_GB2312"/>
                <w:color w:val="auto"/>
                <w:szCs w:val="21"/>
              </w:rPr>
              <w:t>名称及涉及财政金额规模</w:t>
            </w:r>
          </w:p>
        </w:tc>
        <w:tc>
          <w:tcPr>
            <w:tcW w:w="2676" w:type="dxa"/>
            <w:vAlign w:val="center"/>
          </w:tcPr>
          <w:p w14:paraId="4357920A">
            <w:pPr>
              <w:jc w:val="center"/>
              <w:rPr>
                <w:rFonts w:ascii="仿宋_GB2312" w:hAnsi="宋体" w:eastAsia="仿宋_GB2312"/>
                <w:color w:val="auto"/>
                <w:szCs w:val="21"/>
              </w:rPr>
            </w:pPr>
            <w:r>
              <w:rPr>
                <w:rFonts w:hint="eastAsia" w:ascii="仿宋_GB2312" w:hAnsi="宋体" w:eastAsia="仿宋_GB2312"/>
                <w:color w:val="auto"/>
                <w:szCs w:val="21"/>
              </w:rPr>
              <w:t>该项目中任职</w:t>
            </w:r>
          </w:p>
        </w:tc>
      </w:tr>
      <w:tr w14:paraId="5765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74" w:type="dxa"/>
            <w:gridSpan w:val="2"/>
            <w:vAlign w:val="center"/>
          </w:tcPr>
          <w:p w14:paraId="5CE456A2">
            <w:pPr>
              <w:rPr>
                <w:rFonts w:ascii="仿宋_GB2312" w:hAnsi="宋体" w:eastAsia="仿宋_GB2312"/>
                <w:color w:val="auto"/>
                <w:szCs w:val="21"/>
              </w:rPr>
            </w:pPr>
          </w:p>
        </w:tc>
        <w:tc>
          <w:tcPr>
            <w:tcW w:w="3990" w:type="dxa"/>
            <w:gridSpan w:val="6"/>
            <w:vAlign w:val="center"/>
          </w:tcPr>
          <w:p w14:paraId="35753C61">
            <w:pPr>
              <w:rPr>
                <w:rFonts w:ascii="仿宋_GB2312" w:hAnsi="宋体" w:eastAsia="仿宋_GB2312"/>
                <w:color w:val="auto"/>
                <w:szCs w:val="21"/>
              </w:rPr>
            </w:pPr>
          </w:p>
        </w:tc>
        <w:tc>
          <w:tcPr>
            <w:tcW w:w="2676" w:type="dxa"/>
            <w:vAlign w:val="center"/>
          </w:tcPr>
          <w:p w14:paraId="52975547">
            <w:pPr>
              <w:rPr>
                <w:rFonts w:ascii="仿宋_GB2312" w:hAnsi="宋体" w:eastAsia="仿宋_GB2312"/>
                <w:color w:val="auto"/>
                <w:szCs w:val="21"/>
              </w:rPr>
            </w:pPr>
          </w:p>
        </w:tc>
      </w:tr>
      <w:tr w14:paraId="0665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74" w:type="dxa"/>
            <w:gridSpan w:val="2"/>
            <w:vAlign w:val="center"/>
          </w:tcPr>
          <w:p w14:paraId="713120A0">
            <w:pPr>
              <w:rPr>
                <w:rFonts w:ascii="仿宋_GB2312" w:hAnsi="宋体" w:eastAsia="仿宋_GB2312"/>
                <w:color w:val="auto"/>
                <w:szCs w:val="21"/>
              </w:rPr>
            </w:pPr>
          </w:p>
        </w:tc>
        <w:tc>
          <w:tcPr>
            <w:tcW w:w="3990" w:type="dxa"/>
            <w:gridSpan w:val="6"/>
            <w:vAlign w:val="center"/>
          </w:tcPr>
          <w:p w14:paraId="69B25498">
            <w:pPr>
              <w:rPr>
                <w:rFonts w:ascii="仿宋_GB2312" w:hAnsi="宋体" w:eastAsia="仿宋_GB2312"/>
                <w:color w:val="auto"/>
                <w:szCs w:val="21"/>
              </w:rPr>
            </w:pPr>
          </w:p>
        </w:tc>
        <w:tc>
          <w:tcPr>
            <w:tcW w:w="2676" w:type="dxa"/>
            <w:vAlign w:val="center"/>
          </w:tcPr>
          <w:p w14:paraId="5B269EB4">
            <w:pPr>
              <w:rPr>
                <w:rFonts w:ascii="仿宋_GB2312" w:hAnsi="宋体" w:eastAsia="仿宋_GB2312"/>
                <w:color w:val="auto"/>
                <w:szCs w:val="21"/>
              </w:rPr>
            </w:pPr>
          </w:p>
        </w:tc>
      </w:tr>
      <w:tr w14:paraId="0660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74" w:type="dxa"/>
            <w:gridSpan w:val="2"/>
            <w:vAlign w:val="center"/>
          </w:tcPr>
          <w:p w14:paraId="5981DABE">
            <w:pPr>
              <w:rPr>
                <w:rFonts w:ascii="仿宋_GB2312" w:hAnsi="宋体" w:eastAsia="仿宋_GB2312"/>
                <w:color w:val="auto"/>
                <w:szCs w:val="21"/>
              </w:rPr>
            </w:pPr>
          </w:p>
        </w:tc>
        <w:tc>
          <w:tcPr>
            <w:tcW w:w="3990" w:type="dxa"/>
            <w:gridSpan w:val="6"/>
            <w:vAlign w:val="center"/>
          </w:tcPr>
          <w:p w14:paraId="27D2F9B8">
            <w:pPr>
              <w:rPr>
                <w:rFonts w:ascii="仿宋_GB2312" w:hAnsi="宋体" w:eastAsia="仿宋_GB2312"/>
                <w:color w:val="auto"/>
                <w:szCs w:val="21"/>
              </w:rPr>
            </w:pPr>
          </w:p>
        </w:tc>
        <w:tc>
          <w:tcPr>
            <w:tcW w:w="2676" w:type="dxa"/>
            <w:vAlign w:val="center"/>
          </w:tcPr>
          <w:p w14:paraId="2FF8235F">
            <w:pPr>
              <w:rPr>
                <w:rFonts w:ascii="仿宋_GB2312" w:hAnsi="宋体" w:eastAsia="仿宋_GB2312"/>
                <w:color w:val="auto"/>
                <w:szCs w:val="21"/>
              </w:rPr>
            </w:pPr>
          </w:p>
        </w:tc>
      </w:tr>
      <w:tr w14:paraId="239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74" w:type="dxa"/>
            <w:gridSpan w:val="2"/>
            <w:vAlign w:val="center"/>
          </w:tcPr>
          <w:p w14:paraId="0D2FC48E">
            <w:pPr>
              <w:rPr>
                <w:rFonts w:ascii="仿宋_GB2312" w:hAnsi="宋体" w:eastAsia="仿宋_GB2312"/>
                <w:color w:val="auto"/>
                <w:szCs w:val="21"/>
              </w:rPr>
            </w:pPr>
          </w:p>
        </w:tc>
        <w:tc>
          <w:tcPr>
            <w:tcW w:w="3990" w:type="dxa"/>
            <w:gridSpan w:val="6"/>
            <w:vAlign w:val="center"/>
          </w:tcPr>
          <w:p w14:paraId="67C1D541">
            <w:pPr>
              <w:rPr>
                <w:rFonts w:ascii="仿宋_GB2312" w:hAnsi="宋体" w:eastAsia="仿宋_GB2312"/>
                <w:color w:val="auto"/>
                <w:szCs w:val="21"/>
              </w:rPr>
            </w:pPr>
          </w:p>
        </w:tc>
        <w:tc>
          <w:tcPr>
            <w:tcW w:w="2676" w:type="dxa"/>
            <w:vAlign w:val="center"/>
          </w:tcPr>
          <w:p w14:paraId="2582292A">
            <w:pPr>
              <w:rPr>
                <w:rFonts w:ascii="仿宋_GB2312" w:hAnsi="宋体" w:eastAsia="仿宋_GB2312"/>
                <w:color w:val="auto"/>
                <w:szCs w:val="21"/>
              </w:rPr>
            </w:pPr>
          </w:p>
        </w:tc>
      </w:tr>
      <w:tr w14:paraId="667B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74" w:type="dxa"/>
            <w:gridSpan w:val="2"/>
            <w:vAlign w:val="center"/>
          </w:tcPr>
          <w:p w14:paraId="51E51CE0">
            <w:pPr>
              <w:rPr>
                <w:rFonts w:ascii="仿宋_GB2312" w:hAnsi="宋体" w:eastAsia="仿宋_GB2312"/>
                <w:color w:val="auto"/>
                <w:szCs w:val="21"/>
              </w:rPr>
            </w:pPr>
          </w:p>
        </w:tc>
        <w:tc>
          <w:tcPr>
            <w:tcW w:w="3990" w:type="dxa"/>
            <w:gridSpan w:val="6"/>
            <w:vAlign w:val="center"/>
          </w:tcPr>
          <w:p w14:paraId="4506DCBD">
            <w:pPr>
              <w:rPr>
                <w:rFonts w:ascii="仿宋_GB2312" w:hAnsi="宋体" w:eastAsia="仿宋_GB2312"/>
                <w:color w:val="auto"/>
                <w:szCs w:val="21"/>
              </w:rPr>
            </w:pPr>
          </w:p>
        </w:tc>
        <w:tc>
          <w:tcPr>
            <w:tcW w:w="2676" w:type="dxa"/>
            <w:vAlign w:val="center"/>
          </w:tcPr>
          <w:p w14:paraId="4D25BEEB">
            <w:pPr>
              <w:rPr>
                <w:rFonts w:ascii="仿宋_GB2312" w:hAnsi="宋体" w:eastAsia="仿宋_GB2312"/>
                <w:color w:val="auto"/>
                <w:szCs w:val="21"/>
              </w:rPr>
            </w:pPr>
          </w:p>
        </w:tc>
      </w:tr>
      <w:tr w14:paraId="0256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74" w:type="dxa"/>
            <w:gridSpan w:val="2"/>
            <w:vAlign w:val="center"/>
          </w:tcPr>
          <w:p w14:paraId="759EE11E">
            <w:pPr>
              <w:rPr>
                <w:rFonts w:ascii="仿宋_GB2312" w:hAnsi="宋体" w:eastAsia="仿宋_GB2312"/>
                <w:color w:val="auto"/>
                <w:szCs w:val="21"/>
              </w:rPr>
            </w:pPr>
          </w:p>
        </w:tc>
        <w:tc>
          <w:tcPr>
            <w:tcW w:w="3990" w:type="dxa"/>
            <w:gridSpan w:val="6"/>
            <w:vAlign w:val="center"/>
          </w:tcPr>
          <w:p w14:paraId="3110033A">
            <w:pPr>
              <w:rPr>
                <w:rFonts w:ascii="仿宋_GB2312" w:hAnsi="宋体" w:eastAsia="仿宋_GB2312"/>
                <w:color w:val="auto"/>
                <w:szCs w:val="21"/>
              </w:rPr>
            </w:pPr>
          </w:p>
        </w:tc>
        <w:tc>
          <w:tcPr>
            <w:tcW w:w="2676" w:type="dxa"/>
            <w:vAlign w:val="center"/>
          </w:tcPr>
          <w:p w14:paraId="42B87CB3">
            <w:pPr>
              <w:rPr>
                <w:rFonts w:ascii="仿宋_GB2312" w:hAnsi="宋体" w:eastAsia="仿宋_GB2312"/>
                <w:color w:val="auto"/>
                <w:szCs w:val="21"/>
              </w:rPr>
            </w:pPr>
          </w:p>
        </w:tc>
      </w:tr>
      <w:tr w14:paraId="7364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74" w:type="dxa"/>
            <w:gridSpan w:val="2"/>
            <w:vAlign w:val="center"/>
          </w:tcPr>
          <w:p w14:paraId="14DC4F88">
            <w:pPr>
              <w:rPr>
                <w:rFonts w:ascii="仿宋_GB2312" w:hAnsi="宋体" w:eastAsia="仿宋_GB2312"/>
                <w:color w:val="auto"/>
                <w:szCs w:val="21"/>
              </w:rPr>
            </w:pPr>
          </w:p>
        </w:tc>
        <w:tc>
          <w:tcPr>
            <w:tcW w:w="3990" w:type="dxa"/>
            <w:gridSpan w:val="6"/>
            <w:vAlign w:val="center"/>
          </w:tcPr>
          <w:p w14:paraId="6EA16139">
            <w:pPr>
              <w:rPr>
                <w:rFonts w:ascii="仿宋_GB2312" w:hAnsi="宋体" w:eastAsia="仿宋_GB2312"/>
                <w:color w:val="auto"/>
                <w:szCs w:val="21"/>
              </w:rPr>
            </w:pPr>
          </w:p>
        </w:tc>
        <w:tc>
          <w:tcPr>
            <w:tcW w:w="2676" w:type="dxa"/>
            <w:vAlign w:val="center"/>
          </w:tcPr>
          <w:p w14:paraId="1522B0F6">
            <w:pPr>
              <w:rPr>
                <w:rFonts w:ascii="仿宋_GB2312" w:hAnsi="宋体" w:eastAsia="仿宋_GB2312"/>
                <w:color w:val="auto"/>
                <w:szCs w:val="21"/>
              </w:rPr>
            </w:pPr>
          </w:p>
        </w:tc>
      </w:tr>
    </w:tbl>
    <w:p w14:paraId="70014577">
      <w:pPr>
        <w:tabs>
          <w:tab w:val="left" w:pos="780"/>
        </w:tabs>
        <w:spacing w:line="400" w:lineRule="exact"/>
        <w:ind w:left="180"/>
        <w:rPr>
          <w:rFonts w:ascii="宋体" w:hAnsi="宋体" w:eastAsia="宋体" w:cs="宋体"/>
          <w:color w:val="auto"/>
          <w:sz w:val="21"/>
          <w:szCs w:val="21"/>
        </w:rPr>
      </w:pPr>
      <w:r>
        <w:rPr>
          <w:rFonts w:hint="eastAsia" w:ascii="宋体" w:hAnsi="宋体" w:eastAsia="宋体" w:cs="宋体"/>
          <w:color w:val="auto"/>
          <w:sz w:val="21"/>
          <w:szCs w:val="21"/>
        </w:rPr>
        <w:t>注：1.此表所列人员如需更换，须经采购人同意。</w:t>
      </w:r>
    </w:p>
    <w:p w14:paraId="66B4AE7F">
      <w:pPr>
        <w:tabs>
          <w:tab w:val="left" w:pos="780"/>
        </w:tabs>
        <w:spacing w:line="400" w:lineRule="exact"/>
        <w:ind w:left="180"/>
        <w:rPr>
          <w:rFonts w:ascii="宋体" w:hAnsi="宋体" w:eastAsia="宋体" w:cs="宋体"/>
          <w:color w:val="auto"/>
          <w:sz w:val="21"/>
          <w:szCs w:val="21"/>
        </w:rPr>
      </w:pPr>
      <w:r>
        <w:rPr>
          <w:rFonts w:hint="eastAsia" w:ascii="宋体" w:hAnsi="宋体" w:eastAsia="宋体" w:cs="宋体"/>
          <w:color w:val="auto"/>
          <w:sz w:val="21"/>
          <w:szCs w:val="21"/>
        </w:rPr>
        <w:t xml:space="preserve">    2.需按技术商务文件评分表中的要求提供相关材料。</w:t>
      </w:r>
    </w:p>
    <w:p w14:paraId="50FF616B">
      <w:pPr>
        <w:snapToGrid w:val="0"/>
        <w:spacing w:before="120" w:line="360" w:lineRule="auto"/>
        <w:rPr>
          <w:rFonts w:ascii="宋体" w:hAnsi="宋体" w:eastAsia="宋体" w:cs="宋体"/>
          <w:color w:val="auto"/>
          <w:sz w:val="21"/>
          <w:szCs w:val="21"/>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3C0344F6">
      <w:pPr>
        <w:snapToGrid w:val="0"/>
        <w:spacing w:before="120" w:line="360" w:lineRule="auto"/>
        <w:ind w:right="60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2A479089">
      <w:pPr>
        <w:snapToGrid w:val="0"/>
        <w:spacing w:before="120" w:line="360" w:lineRule="auto"/>
        <w:ind w:right="600"/>
        <w:rPr>
          <w:rFonts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597C6930">
      <w:pPr>
        <w:snapToGrid w:val="0"/>
        <w:spacing w:before="50" w:after="120" w:afterLines="50" w:line="276" w:lineRule="auto"/>
        <w:jc w:val="left"/>
        <w:rPr>
          <w:rFonts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附件19</w:t>
      </w:r>
    </w:p>
    <w:p w14:paraId="7660FDE5">
      <w:pPr>
        <w:widowControl/>
        <w:rPr>
          <w:rFonts w:ascii="宋体" w:hAnsi="宋体" w:eastAsia="宋体" w:cs="宋体"/>
          <w:b/>
          <w:color w:val="auto"/>
          <w:sz w:val="21"/>
          <w:szCs w:val="21"/>
        </w:rPr>
      </w:pPr>
      <w:r>
        <w:rPr>
          <w:rFonts w:hint="eastAsia" w:ascii="宋体" w:hAnsi="宋体" w:eastAsia="宋体" w:cs="宋体"/>
          <w:b/>
          <w:color w:val="auto"/>
          <w:sz w:val="21"/>
          <w:szCs w:val="21"/>
        </w:rPr>
        <w:t xml:space="preserve">                 </w:t>
      </w:r>
    </w:p>
    <w:p w14:paraId="24CD8ACF">
      <w:pPr>
        <w:spacing w:before="120" w:after="120" w:line="360" w:lineRule="auto"/>
        <w:ind w:right="-48" w:rightChars="-23"/>
        <w:jc w:val="center"/>
        <w:rPr>
          <w:rFonts w:ascii="宋体" w:hAnsi="宋体" w:eastAsia="宋体" w:cs="宋体"/>
          <w:b/>
          <w:color w:val="auto"/>
          <w:sz w:val="21"/>
          <w:szCs w:val="21"/>
        </w:rPr>
      </w:pPr>
      <w:r>
        <w:rPr>
          <w:rFonts w:hint="eastAsia" w:ascii="宋体" w:hAnsi="宋体" w:eastAsia="宋体" w:cs="宋体"/>
          <w:b/>
          <w:color w:val="auto"/>
          <w:sz w:val="21"/>
          <w:szCs w:val="21"/>
        </w:rPr>
        <w:t>项目组成员情况表</w:t>
      </w:r>
    </w:p>
    <w:p w14:paraId="47C2D791">
      <w:pPr>
        <w:spacing w:line="0" w:lineRule="atLeast"/>
        <w:rPr>
          <w:rFonts w:ascii="宋体" w:hAnsi="宋体" w:eastAsia="宋体" w:cs="宋体"/>
          <w:color w:val="auto"/>
          <w:sz w:val="21"/>
          <w:szCs w:val="21"/>
        </w:rPr>
      </w:pPr>
      <w:r>
        <w:rPr>
          <w:rFonts w:hint="eastAsia" w:ascii="宋体" w:hAnsi="宋体" w:eastAsia="宋体" w:cs="宋体"/>
          <w:color w:val="auto"/>
          <w:sz w:val="21"/>
          <w:szCs w:val="21"/>
        </w:rPr>
        <w:t>项目名称：                                            招标编号：</w:t>
      </w:r>
    </w:p>
    <w:p w14:paraId="7E8FEAE4">
      <w:pPr>
        <w:spacing w:line="0" w:lineRule="atLeast"/>
        <w:rPr>
          <w:rFonts w:ascii="宋体" w:hAnsi="宋体" w:eastAsia="宋体" w:cs="宋体"/>
          <w:color w:val="auto"/>
          <w:sz w:val="21"/>
          <w:szCs w:val="21"/>
        </w:rPr>
      </w:pPr>
    </w:p>
    <w:tbl>
      <w:tblPr>
        <w:tblStyle w:val="19"/>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5AF5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l2br w:val="nil"/>
              <w:tr2bl w:val="nil"/>
            </w:tcBorders>
            <w:vAlign w:val="center"/>
          </w:tcPr>
          <w:p w14:paraId="5EDD0F71">
            <w:pPr>
              <w:spacing w:line="0" w:lineRule="atLeas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126" w:type="dxa"/>
            <w:tcBorders>
              <w:tl2br w:val="nil"/>
              <w:tr2bl w:val="nil"/>
            </w:tcBorders>
            <w:vAlign w:val="center"/>
          </w:tcPr>
          <w:p w14:paraId="71B79F2B">
            <w:pPr>
              <w:spacing w:line="0" w:lineRule="atLeast"/>
              <w:jc w:val="center"/>
              <w:rPr>
                <w:rFonts w:ascii="宋体" w:hAnsi="宋体" w:eastAsia="宋体" w:cs="宋体"/>
                <w:color w:val="auto"/>
                <w:sz w:val="21"/>
                <w:szCs w:val="21"/>
              </w:rPr>
            </w:pPr>
            <w:r>
              <w:rPr>
                <w:rFonts w:hint="eastAsia" w:ascii="宋体" w:hAnsi="宋体" w:eastAsia="宋体" w:cs="宋体"/>
                <w:color w:val="auto"/>
                <w:sz w:val="21"/>
                <w:szCs w:val="21"/>
              </w:rPr>
              <w:t>姓名</w:t>
            </w:r>
          </w:p>
        </w:tc>
        <w:tc>
          <w:tcPr>
            <w:tcW w:w="992" w:type="dxa"/>
            <w:tcBorders>
              <w:tl2br w:val="nil"/>
              <w:tr2bl w:val="nil"/>
            </w:tcBorders>
            <w:vAlign w:val="center"/>
          </w:tcPr>
          <w:p w14:paraId="4C6168DB">
            <w:pPr>
              <w:spacing w:line="0" w:lineRule="atLeast"/>
              <w:jc w:val="center"/>
              <w:rPr>
                <w:rFonts w:ascii="宋体" w:hAnsi="宋体" w:eastAsia="宋体" w:cs="宋体"/>
                <w:color w:val="auto"/>
                <w:sz w:val="21"/>
                <w:szCs w:val="21"/>
              </w:rPr>
            </w:pPr>
            <w:r>
              <w:rPr>
                <w:rFonts w:hint="eastAsia" w:ascii="宋体" w:hAnsi="宋体" w:eastAsia="宋体" w:cs="宋体"/>
                <w:color w:val="auto"/>
                <w:sz w:val="21"/>
                <w:szCs w:val="21"/>
              </w:rPr>
              <w:t>年龄</w:t>
            </w:r>
          </w:p>
        </w:tc>
        <w:tc>
          <w:tcPr>
            <w:tcW w:w="993" w:type="dxa"/>
            <w:tcBorders>
              <w:tl2br w:val="nil"/>
              <w:tr2bl w:val="nil"/>
            </w:tcBorders>
            <w:vAlign w:val="center"/>
          </w:tcPr>
          <w:p w14:paraId="562AB747">
            <w:pPr>
              <w:spacing w:line="0" w:lineRule="atLeast"/>
              <w:jc w:val="center"/>
              <w:rPr>
                <w:rFonts w:ascii="宋体" w:hAnsi="宋体" w:eastAsia="宋体" w:cs="宋体"/>
                <w:color w:val="auto"/>
                <w:sz w:val="21"/>
                <w:szCs w:val="21"/>
              </w:rPr>
            </w:pPr>
            <w:r>
              <w:rPr>
                <w:rFonts w:hint="eastAsia" w:ascii="宋体" w:hAnsi="宋体" w:eastAsia="宋体" w:cs="宋体"/>
                <w:color w:val="auto"/>
                <w:sz w:val="21"/>
                <w:szCs w:val="21"/>
              </w:rPr>
              <w:t>职务</w:t>
            </w:r>
          </w:p>
        </w:tc>
        <w:tc>
          <w:tcPr>
            <w:tcW w:w="1661" w:type="dxa"/>
            <w:tcBorders>
              <w:tl2br w:val="nil"/>
              <w:tr2bl w:val="nil"/>
            </w:tcBorders>
            <w:vAlign w:val="center"/>
          </w:tcPr>
          <w:p w14:paraId="65FDEAE4">
            <w:pPr>
              <w:spacing w:line="0" w:lineRule="atLeast"/>
              <w:jc w:val="center"/>
              <w:rPr>
                <w:rFonts w:ascii="宋体" w:hAnsi="宋体" w:eastAsia="宋体" w:cs="宋体"/>
                <w:color w:val="auto"/>
                <w:sz w:val="21"/>
                <w:szCs w:val="21"/>
              </w:rPr>
            </w:pPr>
            <w:r>
              <w:rPr>
                <w:rFonts w:hint="eastAsia" w:ascii="宋体" w:hAnsi="宋体" w:eastAsia="宋体" w:cs="宋体"/>
                <w:color w:val="auto"/>
                <w:sz w:val="21"/>
                <w:szCs w:val="21"/>
              </w:rPr>
              <w:t>资格证书</w:t>
            </w:r>
          </w:p>
        </w:tc>
        <w:tc>
          <w:tcPr>
            <w:tcW w:w="1950" w:type="dxa"/>
            <w:tcBorders>
              <w:tl2br w:val="nil"/>
              <w:tr2bl w:val="nil"/>
            </w:tcBorders>
            <w:vAlign w:val="center"/>
          </w:tcPr>
          <w:p w14:paraId="2C3DE962">
            <w:pPr>
              <w:spacing w:line="0" w:lineRule="atLeast"/>
              <w:jc w:val="center"/>
              <w:rPr>
                <w:rFonts w:ascii="宋体" w:hAnsi="宋体" w:eastAsia="宋体" w:cs="宋体"/>
                <w:color w:val="auto"/>
                <w:sz w:val="21"/>
                <w:szCs w:val="21"/>
              </w:rPr>
            </w:pPr>
            <w:r>
              <w:rPr>
                <w:rFonts w:hint="eastAsia" w:ascii="宋体" w:hAnsi="宋体" w:eastAsia="宋体" w:cs="宋体"/>
                <w:color w:val="auto"/>
                <w:sz w:val="21"/>
                <w:szCs w:val="21"/>
              </w:rPr>
              <w:t>经验及承担过的相关服务的项目</w:t>
            </w:r>
          </w:p>
        </w:tc>
        <w:tc>
          <w:tcPr>
            <w:tcW w:w="2055" w:type="dxa"/>
            <w:tcBorders>
              <w:tl2br w:val="nil"/>
              <w:tr2bl w:val="nil"/>
            </w:tcBorders>
            <w:vAlign w:val="center"/>
          </w:tcPr>
          <w:p w14:paraId="2BFC3341">
            <w:pPr>
              <w:spacing w:line="0" w:lineRule="atLeast"/>
              <w:jc w:val="center"/>
              <w:rPr>
                <w:rFonts w:ascii="宋体" w:hAnsi="宋体" w:eastAsia="宋体" w:cs="宋体"/>
                <w:color w:val="auto"/>
                <w:sz w:val="21"/>
                <w:szCs w:val="21"/>
              </w:rPr>
            </w:pPr>
            <w:r>
              <w:rPr>
                <w:rFonts w:hint="eastAsia" w:ascii="宋体" w:hAnsi="宋体" w:eastAsia="宋体" w:cs="宋体"/>
                <w:color w:val="auto"/>
                <w:sz w:val="21"/>
                <w:szCs w:val="21"/>
              </w:rPr>
              <w:t>拟担工作岗位</w:t>
            </w:r>
          </w:p>
        </w:tc>
      </w:tr>
      <w:tr w14:paraId="0AF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l2br w:val="nil"/>
              <w:tr2bl w:val="nil"/>
            </w:tcBorders>
            <w:vAlign w:val="center"/>
          </w:tcPr>
          <w:p w14:paraId="018D6221">
            <w:pPr>
              <w:rPr>
                <w:rFonts w:ascii="宋体" w:hAnsi="宋体" w:eastAsia="宋体" w:cs="宋体"/>
                <w:color w:val="auto"/>
                <w:sz w:val="21"/>
                <w:szCs w:val="21"/>
              </w:rPr>
            </w:pPr>
          </w:p>
          <w:p w14:paraId="0479EB8A">
            <w:pPr>
              <w:rPr>
                <w:rFonts w:ascii="宋体" w:hAnsi="宋体" w:eastAsia="宋体" w:cs="宋体"/>
                <w:color w:val="auto"/>
                <w:sz w:val="21"/>
                <w:szCs w:val="21"/>
              </w:rPr>
            </w:pPr>
          </w:p>
        </w:tc>
        <w:tc>
          <w:tcPr>
            <w:tcW w:w="1126" w:type="dxa"/>
            <w:tcBorders>
              <w:tl2br w:val="nil"/>
              <w:tr2bl w:val="nil"/>
            </w:tcBorders>
            <w:vAlign w:val="center"/>
          </w:tcPr>
          <w:p w14:paraId="6C4C637D">
            <w:pPr>
              <w:rPr>
                <w:rFonts w:ascii="宋体" w:hAnsi="宋体" w:eastAsia="宋体" w:cs="宋体"/>
                <w:color w:val="auto"/>
                <w:sz w:val="21"/>
                <w:szCs w:val="21"/>
              </w:rPr>
            </w:pPr>
          </w:p>
        </w:tc>
        <w:tc>
          <w:tcPr>
            <w:tcW w:w="992" w:type="dxa"/>
            <w:tcBorders>
              <w:tl2br w:val="nil"/>
              <w:tr2bl w:val="nil"/>
            </w:tcBorders>
            <w:vAlign w:val="center"/>
          </w:tcPr>
          <w:p w14:paraId="5AE01C55">
            <w:pPr>
              <w:rPr>
                <w:rFonts w:ascii="宋体" w:hAnsi="宋体" w:eastAsia="宋体" w:cs="宋体"/>
                <w:color w:val="auto"/>
                <w:sz w:val="21"/>
                <w:szCs w:val="21"/>
              </w:rPr>
            </w:pPr>
          </w:p>
        </w:tc>
        <w:tc>
          <w:tcPr>
            <w:tcW w:w="993" w:type="dxa"/>
            <w:tcBorders>
              <w:tl2br w:val="nil"/>
              <w:tr2bl w:val="nil"/>
            </w:tcBorders>
            <w:vAlign w:val="center"/>
          </w:tcPr>
          <w:p w14:paraId="52DACB62">
            <w:pPr>
              <w:rPr>
                <w:rFonts w:ascii="宋体" w:hAnsi="宋体" w:eastAsia="宋体" w:cs="宋体"/>
                <w:color w:val="auto"/>
                <w:sz w:val="21"/>
                <w:szCs w:val="21"/>
              </w:rPr>
            </w:pPr>
          </w:p>
        </w:tc>
        <w:tc>
          <w:tcPr>
            <w:tcW w:w="1661" w:type="dxa"/>
            <w:tcBorders>
              <w:tl2br w:val="nil"/>
              <w:tr2bl w:val="nil"/>
            </w:tcBorders>
            <w:vAlign w:val="center"/>
          </w:tcPr>
          <w:p w14:paraId="23004858">
            <w:pPr>
              <w:rPr>
                <w:rFonts w:ascii="宋体" w:hAnsi="宋体" w:eastAsia="宋体" w:cs="宋体"/>
                <w:color w:val="auto"/>
                <w:sz w:val="21"/>
                <w:szCs w:val="21"/>
              </w:rPr>
            </w:pPr>
          </w:p>
        </w:tc>
        <w:tc>
          <w:tcPr>
            <w:tcW w:w="1950" w:type="dxa"/>
            <w:tcBorders>
              <w:tl2br w:val="nil"/>
              <w:tr2bl w:val="nil"/>
            </w:tcBorders>
            <w:vAlign w:val="center"/>
          </w:tcPr>
          <w:p w14:paraId="427EBB9A">
            <w:pPr>
              <w:rPr>
                <w:rFonts w:ascii="宋体" w:hAnsi="宋体" w:eastAsia="宋体" w:cs="宋体"/>
                <w:color w:val="auto"/>
                <w:sz w:val="21"/>
                <w:szCs w:val="21"/>
              </w:rPr>
            </w:pPr>
          </w:p>
        </w:tc>
        <w:tc>
          <w:tcPr>
            <w:tcW w:w="2055" w:type="dxa"/>
            <w:tcBorders>
              <w:tl2br w:val="nil"/>
              <w:tr2bl w:val="nil"/>
            </w:tcBorders>
            <w:vAlign w:val="center"/>
          </w:tcPr>
          <w:p w14:paraId="1FABE019">
            <w:pPr>
              <w:rPr>
                <w:rFonts w:ascii="宋体" w:hAnsi="宋体" w:eastAsia="宋体" w:cs="宋体"/>
                <w:color w:val="auto"/>
                <w:sz w:val="21"/>
                <w:szCs w:val="21"/>
              </w:rPr>
            </w:pPr>
          </w:p>
        </w:tc>
      </w:tr>
      <w:tr w14:paraId="5379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l2br w:val="nil"/>
              <w:tr2bl w:val="nil"/>
            </w:tcBorders>
            <w:vAlign w:val="center"/>
          </w:tcPr>
          <w:p w14:paraId="6A450171">
            <w:pPr>
              <w:rPr>
                <w:rFonts w:ascii="宋体" w:hAnsi="宋体" w:eastAsia="宋体" w:cs="宋体"/>
                <w:color w:val="auto"/>
                <w:sz w:val="21"/>
                <w:szCs w:val="21"/>
              </w:rPr>
            </w:pPr>
          </w:p>
          <w:p w14:paraId="2C1439AA">
            <w:pPr>
              <w:rPr>
                <w:rFonts w:ascii="宋体" w:hAnsi="宋体" w:eastAsia="宋体" w:cs="宋体"/>
                <w:color w:val="auto"/>
                <w:sz w:val="21"/>
                <w:szCs w:val="21"/>
              </w:rPr>
            </w:pPr>
          </w:p>
        </w:tc>
        <w:tc>
          <w:tcPr>
            <w:tcW w:w="1126" w:type="dxa"/>
            <w:tcBorders>
              <w:tl2br w:val="nil"/>
              <w:tr2bl w:val="nil"/>
            </w:tcBorders>
            <w:vAlign w:val="center"/>
          </w:tcPr>
          <w:p w14:paraId="5A62DD36">
            <w:pPr>
              <w:rPr>
                <w:rFonts w:ascii="宋体" w:hAnsi="宋体" w:eastAsia="宋体" w:cs="宋体"/>
                <w:color w:val="auto"/>
                <w:sz w:val="21"/>
                <w:szCs w:val="21"/>
              </w:rPr>
            </w:pPr>
          </w:p>
        </w:tc>
        <w:tc>
          <w:tcPr>
            <w:tcW w:w="992" w:type="dxa"/>
            <w:tcBorders>
              <w:tl2br w:val="nil"/>
              <w:tr2bl w:val="nil"/>
            </w:tcBorders>
            <w:vAlign w:val="center"/>
          </w:tcPr>
          <w:p w14:paraId="17D8114D">
            <w:pPr>
              <w:rPr>
                <w:rFonts w:ascii="宋体" w:hAnsi="宋体" w:eastAsia="宋体" w:cs="宋体"/>
                <w:color w:val="auto"/>
                <w:sz w:val="21"/>
                <w:szCs w:val="21"/>
              </w:rPr>
            </w:pPr>
          </w:p>
        </w:tc>
        <w:tc>
          <w:tcPr>
            <w:tcW w:w="993" w:type="dxa"/>
            <w:tcBorders>
              <w:tl2br w:val="nil"/>
              <w:tr2bl w:val="nil"/>
            </w:tcBorders>
            <w:vAlign w:val="center"/>
          </w:tcPr>
          <w:p w14:paraId="582E8A76">
            <w:pPr>
              <w:rPr>
                <w:rFonts w:ascii="宋体" w:hAnsi="宋体" w:eastAsia="宋体" w:cs="宋体"/>
                <w:color w:val="auto"/>
                <w:sz w:val="21"/>
                <w:szCs w:val="21"/>
              </w:rPr>
            </w:pPr>
          </w:p>
        </w:tc>
        <w:tc>
          <w:tcPr>
            <w:tcW w:w="1661" w:type="dxa"/>
            <w:tcBorders>
              <w:tl2br w:val="nil"/>
              <w:tr2bl w:val="nil"/>
            </w:tcBorders>
            <w:vAlign w:val="center"/>
          </w:tcPr>
          <w:p w14:paraId="49A385EF">
            <w:pPr>
              <w:rPr>
                <w:rFonts w:ascii="宋体" w:hAnsi="宋体" w:eastAsia="宋体" w:cs="宋体"/>
                <w:color w:val="auto"/>
                <w:sz w:val="21"/>
                <w:szCs w:val="21"/>
              </w:rPr>
            </w:pPr>
          </w:p>
        </w:tc>
        <w:tc>
          <w:tcPr>
            <w:tcW w:w="1950" w:type="dxa"/>
            <w:tcBorders>
              <w:tl2br w:val="nil"/>
              <w:tr2bl w:val="nil"/>
            </w:tcBorders>
            <w:vAlign w:val="center"/>
          </w:tcPr>
          <w:p w14:paraId="1029CDE6">
            <w:pPr>
              <w:rPr>
                <w:rFonts w:ascii="宋体" w:hAnsi="宋体" w:eastAsia="宋体" w:cs="宋体"/>
                <w:color w:val="auto"/>
                <w:sz w:val="21"/>
                <w:szCs w:val="21"/>
              </w:rPr>
            </w:pPr>
          </w:p>
        </w:tc>
        <w:tc>
          <w:tcPr>
            <w:tcW w:w="2055" w:type="dxa"/>
            <w:tcBorders>
              <w:tl2br w:val="nil"/>
              <w:tr2bl w:val="nil"/>
            </w:tcBorders>
            <w:vAlign w:val="center"/>
          </w:tcPr>
          <w:p w14:paraId="5F622048">
            <w:pPr>
              <w:rPr>
                <w:rFonts w:ascii="宋体" w:hAnsi="宋体" w:eastAsia="宋体" w:cs="宋体"/>
                <w:color w:val="auto"/>
                <w:sz w:val="21"/>
                <w:szCs w:val="21"/>
              </w:rPr>
            </w:pPr>
          </w:p>
        </w:tc>
      </w:tr>
      <w:tr w14:paraId="03E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l2br w:val="nil"/>
              <w:tr2bl w:val="nil"/>
            </w:tcBorders>
            <w:vAlign w:val="center"/>
          </w:tcPr>
          <w:p w14:paraId="4CD7E08F">
            <w:pPr>
              <w:rPr>
                <w:rFonts w:ascii="宋体" w:hAnsi="宋体" w:eastAsia="宋体" w:cs="宋体"/>
                <w:color w:val="auto"/>
                <w:sz w:val="21"/>
                <w:szCs w:val="21"/>
              </w:rPr>
            </w:pPr>
          </w:p>
          <w:p w14:paraId="405CCBA8">
            <w:pPr>
              <w:rPr>
                <w:rFonts w:ascii="宋体" w:hAnsi="宋体" w:eastAsia="宋体" w:cs="宋体"/>
                <w:color w:val="auto"/>
                <w:sz w:val="21"/>
                <w:szCs w:val="21"/>
              </w:rPr>
            </w:pPr>
          </w:p>
        </w:tc>
        <w:tc>
          <w:tcPr>
            <w:tcW w:w="1126" w:type="dxa"/>
            <w:tcBorders>
              <w:tl2br w:val="nil"/>
              <w:tr2bl w:val="nil"/>
            </w:tcBorders>
            <w:vAlign w:val="center"/>
          </w:tcPr>
          <w:p w14:paraId="687D3C5C">
            <w:pPr>
              <w:rPr>
                <w:rFonts w:ascii="宋体" w:hAnsi="宋体" w:eastAsia="宋体" w:cs="宋体"/>
                <w:color w:val="auto"/>
                <w:sz w:val="21"/>
                <w:szCs w:val="21"/>
              </w:rPr>
            </w:pPr>
          </w:p>
        </w:tc>
        <w:tc>
          <w:tcPr>
            <w:tcW w:w="992" w:type="dxa"/>
            <w:tcBorders>
              <w:tl2br w:val="nil"/>
              <w:tr2bl w:val="nil"/>
            </w:tcBorders>
            <w:vAlign w:val="center"/>
          </w:tcPr>
          <w:p w14:paraId="5AB90647">
            <w:pPr>
              <w:rPr>
                <w:rFonts w:ascii="宋体" w:hAnsi="宋体" w:eastAsia="宋体" w:cs="宋体"/>
                <w:color w:val="auto"/>
                <w:sz w:val="21"/>
                <w:szCs w:val="21"/>
              </w:rPr>
            </w:pPr>
          </w:p>
        </w:tc>
        <w:tc>
          <w:tcPr>
            <w:tcW w:w="993" w:type="dxa"/>
            <w:tcBorders>
              <w:tl2br w:val="nil"/>
              <w:tr2bl w:val="nil"/>
            </w:tcBorders>
            <w:vAlign w:val="center"/>
          </w:tcPr>
          <w:p w14:paraId="2709C37D">
            <w:pPr>
              <w:rPr>
                <w:rFonts w:ascii="宋体" w:hAnsi="宋体" w:eastAsia="宋体" w:cs="宋体"/>
                <w:color w:val="auto"/>
                <w:sz w:val="21"/>
                <w:szCs w:val="21"/>
              </w:rPr>
            </w:pPr>
          </w:p>
        </w:tc>
        <w:tc>
          <w:tcPr>
            <w:tcW w:w="1661" w:type="dxa"/>
            <w:tcBorders>
              <w:tl2br w:val="nil"/>
              <w:tr2bl w:val="nil"/>
            </w:tcBorders>
            <w:vAlign w:val="center"/>
          </w:tcPr>
          <w:p w14:paraId="08EED028">
            <w:pPr>
              <w:rPr>
                <w:rFonts w:ascii="宋体" w:hAnsi="宋体" w:eastAsia="宋体" w:cs="宋体"/>
                <w:color w:val="auto"/>
                <w:sz w:val="21"/>
                <w:szCs w:val="21"/>
              </w:rPr>
            </w:pPr>
          </w:p>
        </w:tc>
        <w:tc>
          <w:tcPr>
            <w:tcW w:w="1950" w:type="dxa"/>
            <w:tcBorders>
              <w:tl2br w:val="nil"/>
              <w:tr2bl w:val="nil"/>
            </w:tcBorders>
            <w:vAlign w:val="center"/>
          </w:tcPr>
          <w:p w14:paraId="787F44E5">
            <w:pPr>
              <w:rPr>
                <w:rFonts w:ascii="宋体" w:hAnsi="宋体" w:eastAsia="宋体" w:cs="宋体"/>
                <w:color w:val="auto"/>
                <w:sz w:val="21"/>
                <w:szCs w:val="21"/>
              </w:rPr>
            </w:pPr>
          </w:p>
        </w:tc>
        <w:tc>
          <w:tcPr>
            <w:tcW w:w="2055" w:type="dxa"/>
            <w:tcBorders>
              <w:tl2br w:val="nil"/>
              <w:tr2bl w:val="nil"/>
            </w:tcBorders>
            <w:vAlign w:val="center"/>
          </w:tcPr>
          <w:p w14:paraId="60E7243D">
            <w:pPr>
              <w:rPr>
                <w:rFonts w:ascii="宋体" w:hAnsi="宋体" w:eastAsia="宋体" w:cs="宋体"/>
                <w:color w:val="auto"/>
                <w:sz w:val="21"/>
                <w:szCs w:val="21"/>
              </w:rPr>
            </w:pPr>
          </w:p>
        </w:tc>
      </w:tr>
      <w:tr w14:paraId="4EC9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l2br w:val="nil"/>
              <w:tr2bl w:val="nil"/>
            </w:tcBorders>
            <w:vAlign w:val="center"/>
          </w:tcPr>
          <w:p w14:paraId="0B74757A">
            <w:pPr>
              <w:rPr>
                <w:rFonts w:ascii="宋体" w:hAnsi="宋体" w:eastAsia="宋体" w:cs="宋体"/>
                <w:color w:val="auto"/>
                <w:sz w:val="21"/>
                <w:szCs w:val="21"/>
              </w:rPr>
            </w:pPr>
          </w:p>
          <w:p w14:paraId="1A085C15">
            <w:pPr>
              <w:rPr>
                <w:rFonts w:ascii="宋体" w:hAnsi="宋体" w:eastAsia="宋体" w:cs="宋体"/>
                <w:color w:val="auto"/>
                <w:sz w:val="21"/>
                <w:szCs w:val="21"/>
              </w:rPr>
            </w:pPr>
          </w:p>
        </w:tc>
        <w:tc>
          <w:tcPr>
            <w:tcW w:w="1126" w:type="dxa"/>
            <w:tcBorders>
              <w:tl2br w:val="nil"/>
              <w:tr2bl w:val="nil"/>
            </w:tcBorders>
            <w:vAlign w:val="center"/>
          </w:tcPr>
          <w:p w14:paraId="7628693B">
            <w:pPr>
              <w:rPr>
                <w:rFonts w:ascii="宋体" w:hAnsi="宋体" w:eastAsia="宋体" w:cs="宋体"/>
                <w:color w:val="auto"/>
                <w:sz w:val="21"/>
                <w:szCs w:val="21"/>
              </w:rPr>
            </w:pPr>
          </w:p>
        </w:tc>
        <w:tc>
          <w:tcPr>
            <w:tcW w:w="992" w:type="dxa"/>
            <w:tcBorders>
              <w:tl2br w:val="nil"/>
              <w:tr2bl w:val="nil"/>
            </w:tcBorders>
            <w:vAlign w:val="center"/>
          </w:tcPr>
          <w:p w14:paraId="2FDB1C0D">
            <w:pPr>
              <w:rPr>
                <w:rFonts w:ascii="宋体" w:hAnsi="宋体" w:eastAsia="宋体" w:cs="宋体"/>
                <w:color w:val="auto"/>
                <w:sz w:val="21"/>
                <w:szCs w:val="21"/>
              </w:rPr>
            </w:pPr>
          </w:p>
        </w:tc>
        <w:tc>
          <w:tcPr>
            <w:tcW w:w="993" w:type="dxa"/>
            <w:tcBorders>
              <w:tl2br w:val="nil"/>
              <w:tr2bl w:val="nil"/>
            </w:tcBorders>
            <w:vAlign w:val="center"/>
          </w:tcPr>
          <w:p w14:paraId="2B81CAA5">
            <w:pPr>
              <w:rPr>
                <w:rFonts w:ascii="宋体" w:hAnsi="宋体" w:eastAsia="宋体" w:cs="宋体"/>
                <w:color w:val="auto"/>
                <w:sz w:val="21"/>
                <w:szCs w:val="21"/>
              </w:rPr>
            </w:pPr>
          </w:p>
        </w:tc>
        <w:tc>
          <w:tcPr>
            <w:tcW w:w="1661" w:type="dxa"/>
            <w:tcBorders>
              <w:tl2br w:val="nil"/>
              <w:tr2bl w:val="nil"/>
            </w:tcBorders>
            <w:vAlign w:val="center"/>
          </w:tcPr>
          <w:p w14:paraId="4BD8C180">
            <w:pPr>
              <w:rPr>
                <w:rFonts w:ascii="宋体" w:hAnsi="宋体" w:eastAsia="宋体" w:cs="宋体"/>
                <w:color w:val="auto"/>
                <w:sz w:val="21"/>
                <w:szCs w:val="21"/>
              </w:rPr>
            </w:pPr>
          </w:p>
        </w:tc>
        <w:tc>
          <w:tcPr>
            <w:tcW w:w="1950" w:type="dxa"/>
            <w:tcBorders>
              <w:tl2br w:val="nil"/>
              <w:tr2bl w:val="nil"/>
            </w:tcBorders>
            <w:vAlign w:val="center"/>
          </w:tcPr>
          <w:p w14:paraId="21460544">
            <w:pPr>
              <w:rPr>
                <w:rFonts w:ascii="宋体" w:hAnsi="宋体" w:eastAsia="宋体" w:cs="宋体"/>
                <w:color w:val="auto"/>
                <w:sz w:val="21"/>
                <w:szCs w:val="21"/>
              </w:rPr>
            </w:pPr>
          </w:p>
        </w:tc>
        <w:tc>
          <w:tcPr>
            <w:tcW w:w="2055" w:type="dxa"/>
            <w:tcBorders>
              <w:tl2br w:val="nil"/>
              <w:tr2bl w:val="nil"/>
            </w:tcBorders>
            <w:vAlign w:val="center"/>
          </w:tcPr>
          <w:p w14:paraId="2E27ED1E">
            <w:pPr>
              <w:rPr>
                <w:rFonts w:ascii="宋体" w:hAnsi="宋体" w:eastAsia="宋体" w:cs="宋体"/>
                <w:color w:val="auto"/>
                <w:sz w:val="21"/>
                <w:szCs w:val="21"/>
              </w:rPr>
            </w:pPr>
          </w:p>
        </w:tc>
      </w:tr>
      <w:tr w14:paraId="69C1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l2br w:val="nil"/>
              <w:tr2bl w:val="nil"/>
            </w:tcBorders>
            <w:vAlign w:val="center"/>
          </w:tcPr>
          <w:p w14:paraId="4CE30107">
            <w:pPr>
              <w:rPr>
                <w:rFonts w:ascii="宋体" w:hAnsi="宋体" w:eastAsia="宋体" w:cs="宋体"/>
                <w:color w:val="auto"/>
                <w:sz w:val="21"/>
                <w:szCs w:val="21"/>
              </w:rPr>
            </w:pPr>
          </w:p>
          <w:p w14:paraId="5EC5746E">
            <w:pPr>
              <w:rPr>
                <w:rFonts w:ascii="宋体" w:hAnsi="宋体" w:eastAsia="宋体" w:cs="宋体"/>
                <w:color w:val="auto"/>
                <w:sz w:val="21"/>
                <w:szCs w:val="21"/>
              </w:rPr>
            </w:pPr>
          </w:p>
        </w:tc>
        <w:tc>
          <w:tcPr>
            <w:tcW w:w="1126" w:type="dxa"/>
            <w:tcBorders>
              <w:tl2br w:val="nil"/>
              <w:tr2bl w:val="nil"/>
            </w:tcBorders>
            <w:vAlign w:val="center"/>
          </w:tcPr>
          <w:p w14:paraId="5E59E06C">
            <w:pPr>
              <w:rPr>
                <w:rFonts w:ascii="宋体" w:hAnsi="宋体" w:eastAsia="宋体" w:cs="宋体"/>
                <w:color w:val="auto"/>
                <w:sz w:val="21"/>
                <w:szCs w:val="21"/>
              </w:rPr>
            </w:pPr>
          </w:p>
        </w:tc>
        <w:tc>
          <w:tcPr>
            <w:tcW w:w="992" w:type="dxa"/>
            <w:tcBorders>
              <w:tl2br w:val="nil"/>
              <w:tr2bl w:val="nil"/>
            </w:tcBorders>
            <w:vAlign w:val="center"/>
          </w:tcPr>
          <w:p w14:paraId="0672CF14">
            <w:pPr>
              <w:rPr>
                <w:rFonts w:ascii="宋体" w:hAnsi="宋体" w:eastAsia="宋体" w:cs="宋体"/>
                <w:color w:val="auto"/>
                <w:sz w:val="21"/>
                <w:szCs w:val="21"/>
              </w:rPr>
            </w:pPr>
          </w:p>
        </w:tc>
        <w:tc>
          <w:tcPr>
            <w:tcW w:w="993" w:type="dxa"/>
            <w:tcBorders>
              <w:tl2br w:val="nil"/>
              <w:tr2bl w:val="nil"/>
            </w:tcBorders>
            <w:vAlign w:val="center"/>
          </w:tcPr>
          <w:p w14:paraId="52777370">
            <w:pPr>
              <w:rPr>
                <w:rFonts w:ascii="宋体" w:hAnsi="宋体" w:eastAsia="宋体" w:cs="宋体"/>
                <w:color w:val="auto"/>
                <w:sz w:val="21"/>
                <w:szCs w:val="21"/>
              </w:rPr>
            </w:pPr>
          </w:p>
        </w:tc>
        <w:tc>
          <w:tcPr>
            <w:tcW w:w="1661" w:type="dxa"/>
            <w:tcBorders>
              <w:tl2br w:val="nil"/>
              <w:tr2bl w:val="nil"/>
            </w:tcBorders>
            <w:vAlign w:val="center"/>
          </w:tcPr>
          <w:p w14:paraId="6E50DA1F">
            <w:pPr>
              <w:rPr>
                <w:rFonts w:ascii="宋体" w:hAnsi="宋体" w:eastAsia="宋体" w:cs="宋体"/>
                <w:color w:val="auto"/>
                <w:sz w:val="21"/>
                <w:szCs w:val="21"/>
              </w:rPr>
            </w:pPr>
          </w:p>
        </w:tc>
        <w:tc>
          <w:tcPr>
            <w:tcW w:w="1950" w:type="dxa"/>
            <w:tcBorders>
              <w:tl2br w:val="nil"/>
              <w:tr2bl w:val="nil"/>
            </w:tcBorders>
            <w:vAlign w:val="center"/>
          </w:tcPr>
          <w:p w14:paraId="21154E92">
            <w:pPr>
              <w:rPr>
                <w:rFonts w:ascii="宋体" w:hAnsi="宋体" w:eastAsia="宋体" w:cs="宋体"/>
                <w:color w:val="auto"/>
                <w:sz w:val="21"/>
                <w:szCs w:val="21"/>
              </w:rPr>
            </w:pPr>
          </w:p>
        </w:tc>
        <w:tc>
          <w:tcPr>
            <w:tcW w:w="2055" w:type="dxa"/>
            <w:tcBorders>
              <w:tl2br w:val="nil"/>
              <w:tr2bl w:val="nil"/>
            </w:tcBorders>
            <w:vAlign w:val="center"/>
          </w:tcPr>
          <w:p w14:paraId="6E26E27F">
            <w:pPr>
              <w:rPr>
                <w:rFonts w:ascii="宋体" w:hAnsi="宋体" w:eastAsia="宋体" w:cs="宋体"/>
                <w:color w:val="auto"/>
                <w:sz w:val="21"/>
                <w:szCs w:val="21"/>
              </w:rPr>
            </w:pPr>
          </w:p>
        </w:tc>
      </w:tr>
      <w:tr w14:paraId="2CC6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l2br w:val="nil"/>
              <w:tr2bl w:val="nil"/>
            </w:tcBorders>
            <w:vAlign w:val="center"/>
          </w:tcPr>
          <w:p w14:paraId="066A9F93">
            <w:pPr>
              <w:rPr>
                <w:rFonts w:ascii="宋体" w:hAnsi="宋体" w:eastAsia="宋体" w:cs="宋体"/>
                <w:color w:val="auto"/>
                <w:sz w:val="21"/>
                <w:szCs w:val="21"/>
              </w:rPr>
            </w:pPr>
          </w:p>
          <w:p w14:paraId="725934CE">
            <w:pPr>
              <w:rPr>
                <w:rFonts w:ascii="宋体" w:hAnsi="宋体" w:eastAsia="宋体" w:cs="宋体"/>
                <w:color w:val="auto"/>
                <w:sz w:val="21"/>
                <w:szCs w:val="21"/>
              </w:rPr>
            </w:pPr>
          </w:p>
        </w:tc>
        <w:tc>
          <w:tcPr>
            <w:tcW w:w="1126" w:type="dxa"/>
            <w:tcBorders>
              <w:tl2br w:val="nil"/>
              <w:tr2bl w:val="nil"/>
            </w:tcBorders>
            <w:vAlign w:val="center"/>
          </w:tcPr>
          <w:p w14:paraId="61B07985">
            <w:pPr>
              <w:rPr>
                <w:rFonts w:ascii="宋体" w:hAnsi="宋体" w:eastAsia="宋体" w:cs="宋体"/>
                <w:color w:val="auto"/>
                <w:sz w:val="21"/>
                <w:szCs w:val="21"/>
              </w:rPr>
            </w:pPr>
          </w:p>
        </w:tc>
        <w:tc>
          <w:tcPr>
            <w:tcW w:w="992" w:type="dxa"/>
            <w:tcBorders>
              <w:tl2br w:val="nil"/>
              <w:tr2bl w:val="nil"/>
            </w:tcBorders>
            <w:vAlign w:val="center"/>
          </w:tcPr>
          <w:p w14:paraId="0C41ADD5">
            <w:pPr>
              <w:rPr>
                <w:rFonts w:ascii="宋体" w:hAnsi="宋体" w:eastAsia="宋体" w:cs="宋体"/>
                <w:color w:val="auto"/>
                <w:sz w:val="21"/>
                <w:szCs w:val="21"/>
              </w:rPr>
            </w:pPr>
          </w:p>
        </w:tc>
        <w:tc>
          <w:tcPr>
            <w:tcW w:w="993" w:type="dxa"/>
            <w:tcBorders>
              <w:tl2br w:val="nil"/>
              <w:tr2bl w:val="nil"/>
            </w:tcBorders>
            <w:vAlign w:val="center"/>
          </w:tcPr>
          <w:p w14:paraId="19169695">
            <w:pPr>
              <w:rPr>
                <w:rFonts w:ascii="宋体" w:hAnsi="宋体" w:eastAsia="宋体" w:cs="宋体"/>
                <w:color w:val="auto"/>
                <w:sz w:val="21"/>
                <w:szCs w:val="21"/>
              </w:rPr>
            </w:pPr>
          </w:p>
        </w:tc>
        <w:tc>
          <w:tcPr>
            <w:tcW w:w="1661" w:type="dxa"/>
            <w:tcBorders>
              <w:tl2br w:val="nil"/>
              <w:tr2bl w:val="nil"/>
            </w:tcBorders>
            <w:vAlign w:val="center"/>
          </w:tcPr>
          <w:p w14:paraId="768ACDFE">
            <w:pPr>
              <w:rPr>
                <w:rFonts w:ascii="宋体" w:hAnsi="宋体" w:eastAsia="宋体" w:cs="宋体"/>
                <w:color w:val="auto"/>
                <w:sz w:val="21"/>
                <w:szCs w:val="21"/>
              </w:rPr>
            </w:pPr>
          </w:p>
        </w:tc>
        <w:tc>
          <w:tcPr>
            <w:tcW w:w="1950" w:type="dxa"/>
            <w:tcBorders>
              <w:tl2br w:val="nil"/>
              <w:tr2bl w:val="nil"/>
            </w:tcBorders>
            <w:vAlign w:val="center"/>
          </w:tcPr>
          <w:p w14:paraId="161141A4">
            <w:pPr>
              <w:rPr>
                <w:rFonts w:ascii="宋体" w:hAnsi="宋体" w:eastAsia="宋体" w:cs="宋体"/>
                <w:color w:val="auto"/>
                <w:sz w:val="21"/>
                <w:szCs w:val="21"/>
              </w:rPr>
            </w:pPr>
          </w:p>
        </w:tc>
        <w:tc>
          <w:tcPr>
            <w:tcW w:w="2055" w:type="dxa"/>
            <w:tcBorders>
              <w:tl2br w:val="nil"/>
              <w:tr2bl w:val="nil"/>
            </w:tcBorders>
            <w:vAlign w:val="center"/>
          </w:tcPr>
          <w:p w14:paraId="16E5E643">
            <w:pPr>
              <w:rPr>
                <w:rFonts w:ascii="宋体" w:hAnsi="宋体" w:eastAsia="宋体" w:cs="宋体"/>
                <w:color w:val="auto"/>
                <w:sz w:val="21"/>
                <w:szCs w:val="21"/>
              </w:rPr>
            </w:pPr>
          </w:p>
        </w:tc>
      </w:tr>
    </w:tbl>
    <w:p w14:paraId="2F0A02BE">
      <w:pPr>
        <w:rPr>
          <w:rFonts w:ascii="宋体" w:hAnsi="宋体" w:eastAsia="宋体" w:cs="宋体"/>
          <w:color w:val="auto"/>
          <w:sz w:val="21"/>
          <w:szCs w:val="21"/>
        </w:rPr>
      </w:pPr>
    </w:p>
    <w:p w14:paraId="40A3E64E">
      <w:pPr>
        <w:spacing w:line="360" w:lineRule="auto"/>
        <w:rPr>
          <w:rFonts w:ascii="宋体" w:hAnsi="宋体" w:eastAsia="宋体" w:cs="宋体"/>
          <w:b/>
          <w:color w:val="auto"/>
          <w:sz w:val="21"/>
          <w:szCs w:val="21"/>
        </w:rPr>
      </w:pPr>
      <w:r>
        <w:rPr>
          <w:rFonts w:hint="eastAsia" w:ascii="宋体" w:hAnsi="宋体" w:eastAsia="宋体" w:cs="宋体"/>
          <w:b/>
          <w:color w:val="auto"/>
          <w:sz w:val="21"/>
          <w:szCs w:val="21"/>
        </w:rPr>
        <w:t>注：1.此表可以根据人数进行增减调整。</w:t>
      </w:r>
    </w:p>
    <w:p w14:paraId="79A17C86">
      <w:pPr>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2.需按技术商务文件评分表中的要求提供相关材料。</w:t>
      </w:r>
    </w:p>
    <w:p w14:paraId="2075789F">
      <w:pPr>
        <w:snapToGrid w:val="0"/>
        <w:rPr>
          <w:rFonts w:ascii="宋体" w:hAnsi="宋体" w:eastAsia="宋体" w:cs="宋体"/>
          <w:color w:val="auto"/>
          <w:sz w:val="21"/>
          <w:szCs w:val="21"/>
        </w:rPr>
      </w:pPr>
    </w:p>
    <w:p w14:paraId="1A0FDEDF">
      <w:pPr>
        <w:snapToGrid w:val="0"/>
        <w:spacing w:before="120" w:line="360" w:lineRule="auto"/>
        <w:rPr>
          <w:rFonts w:ascii="宋体" w:hAnsi="宋体" w:eastAsia="宋体" w:cs="宋体"/>
          <w:color w:val="auto"/>
          <w:sz w:val="21"/>
          <w:szCs w:val="21"/>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048DEB2E">
      <w:pPr>
        <w:snapToGrid w:val="0"/>
        <w:spacing w:before="120" w:line="360" w:lineRule="auto"/>
        <w:ind w:right="600"/>
        <w:rPr>
          <w:rFonts w:ascii="宋体" w:hAnsi="宋体" w:eastAsia="宋体" w:cs="宋体"/>
          <w:color w:val="auto"/>
          <w:sz w:val="21"/>
          <w:szCs w:val="21"/>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762B410E">
      <w:pPr>
        <w:snapToGrid w:val="0"/>
        <w:spacing w:before="12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30C06513">
      <w:pPr>
        <w:snapToGrid w:val="0"/>
        <w:spacing w:before="50" w:after="120" w:afterLines="50" w:line="276" w:lineRule="auto"/>
        <w:jc w:val="left"/>
        <w:rPr>
          <w:rFonts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附件20</w:t>
      </w:r>
    </w:p>
    <w:p w14:paraId="10058BD4">
      <w:pPr>
        <w:spacing w:line="36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投标函</w:t>
      </w:r>
    </w:p>
    <w:p w14:paraId="0A02F775">
      <w:pPr>
        <w:tabs>
          <w:tab w:val="left" w:pos="0"/>
        </w:tabs>
        <w:spacing w:line="480" w:lineRule="exact"/>
        <w:rPr>
          <w:rFonts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（采购人名称）</w:t>
      </w:r>
      <w:r>
        <w:rPr>
          <w:rFonts w:hint="eastAsia" w:ascii="宋体" w:hAnsi="宋体" w:eastAsia="宋体" w:cs="宋体"/>
          <w:color w:val="auto"/>
          <w:sz w:val="21"/>
          <w:szCs w:val="21"/>
        </w:rPr>
        <w:t>：</w:t>
      </w:r>
    </w:p>
    <w:p w14:paraId="03884652">
      <w:pPr>
        <w:tabs>
          <w:tab w:val="left" w:pos="0"/>
        </w:tabs>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根据贵方</w:t>
      </w:r>
      <w:r>
        <w:rPr>
          <w:rFonts w:hint="eastAsia" w:ascii="宋体" w:hAnsi="宋体" w:eastAsia="宋体" w:cs="宋体"/>
          <w:color w:val="auto"/>
          <w:sz w:val="21"/>
          <w:szCs w:val="21"/>
          <w:u w:val="single"/>
        </w:rPr>
        <w:t xml:space="preserve">（项目名称）（项目编号）（标项） </w:t>
      </w:r>
      <w:r>
        <w:rPr>
          <w:rFonts w:hint="eastAsia" w:ascii="宋体" w:hAnsi="宋体" w:eastAsia="宋体" w:cs="宋体"/>
          <w:color w:val="auto"/>
          <w:sz w:val="21"/>
          <w:szCs w:val="21"/>
        </w:rPr>
        <w:t>的招标文件要求，正式授权下述签字人（</w:t>
      </w:r>
      <w:r>
        <w:rPr>
          <w:rFonts w:hint="eastAsia" w:ascii="宋体" w:hAnsi="宋体" w:eastAsia="宋体" w:cs="宋体"/>
          <w:color w:val="auto"/>
          <w:sz w:val="21"/>
          <w:szCs w:val="21"/>
          <w:u w:val="single"/>
        </w:rPr>
        <w:t>姓名和职务）</w:t>
      </w:r>
      <w:r>
        <w:rPr>
          <w:rFonts w:hint="eastAsia" w:ascii="宋体" w:hAnsi="宋体" w:eastAsia="宋体" w:cs="宋体"/>
          <w:color w:val="auto"/>
          <w:sz w:val="21"/>
          <w:szCs w:val="21"/>
        </w:rPr>
        <w:t>全权代表投标人（</w:t>
      </w:r>
      <w:r>
        <w:rPr>
          <w:rFonts w:hint="eastAsia" w:ascii="宋体" w:hAnsi="宋体" w:eastAsia="宋体" w:cs="宋体"/>
          <w:color w:val="auto"/>
          <w:sz w:val="21"/>
          <w:szCs w:val="21"/>
          <w:u w:val="single"/>
        </w:rPr>
        <w:t>投标人全称</w:t>
      </w:r>
      <w:r>
        <w:rPr>
          <w:rFonts w:hint="eastAsia" w:ascii="宋体" w:hAnsi="宋体" w:eastAsia="宋体" w:cs="宋体"/>
          <w:color w:val="auto"/>
          <w:sz w:val="21"/>
          <w:szCs w:val="21"/>
        </w:rPr>
        <w:t>）参加贵方组织的有关招标活动，并提交下述文件：</w:t>
      </w:r>
    </w:p>
    <w:p w14:paraId="69308AFC">
      <w:pPr>
        <w:tabs>
          <w:tab w:val="left" w:pos="0"/>
        </w:tabs>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政府采购云系统提交电子加密投标文件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442A77A5">
      <w:pPr>
        <w:spacing w:line="4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提交备份电子投标文件（打包压缩加密）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6E6A3758">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据此函我方就本次投标有关事项郑重承诺如下：</w:t>
      </w:r>
    </w:p>
    <w:p w14:paraId="0E74D85D">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1.我方向贵方提交的所有投标文件、资料都是准确的和真实的。</w:t>
      </w:r>
    </w:p>
    <w:p w14:paraId="3558F3C5">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2.我方承诺已经具备《中华人民共和国政府采购法》《中华人民共和国政府采购法实施条例》中规定的参加政府采购活动的投标人应当具备的条件，并真实提供相关材料。</w:t>
      </w:r>
    </w:p>
    <w:p w14:paraId="53C10D80">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3.如果我方中标，将派出</w:t>
      </w:r>
      <w:r>
        <w:rPr>
          <w:rFonts w:hint="eastAsia" w:ascii="宋体" w:hAnsi="宋体" w:eastAsia="宋体" w:cs="宋体"/>
          <w:color w:val="auto"/>
          <w:sz w:val="21"/>
          <w:szCs w:val="21"/>
          <w:u w:val="single"/>
        </w:rPr>
        <w:t>（姓名及身份证号码），</w:t>
      </w:r>
      <w:r>
        <w:rPr>
          <w:rFonts w:hint="eastAsia" w:ascii="宋体" w:hAnsi="宋体" w:eastAsia="宋体" w:cs="宋体"/>
          <w:color w:val="auto"/>
          <w:sz w:val="21"/>
          <w:szCs w:val="21"/>
        </w:rPr>
        <w:t>作为本项目与采购单位联系的项目实施负责人，联系手机号码：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。在项目实施过程中，并承诺项目实施负责人不更换，若确需要更换的，书面征得采购人同意后才准予更换。</w:t>
      </w:r>
    </w:p>
    <w:p w14:paraId="11534663">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4.我方的投标有效期自在开标日起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天内有效。如果在开标后规定的投标有效期内撤回投标，贵方可按相关规定处理我方。</w:t>
      </w:r>
    </w:p>
    <w:p w14:paraId="45169EE4">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5.我方在投标之前已经与贵方进行了充分的沟通，完全理解并接受招标文件的各项规定和要求，对招标文件的合理性、合法性不再有异议。</w:t>
      </w:r>
    </w:p>
    <w:p w14:paraId="2BC13676">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我方愿意向贵方提供真实完整的任何与该项投标有关的数据、情况和技术资料。若贵方需要，我方愿意提供我方作出的一切承诺的相关材料。</w:t>
      </w:r>
    </w:p>
    <w:p w14:paraId="269E9B25">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3616B1C9">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7.我方不是采购人的附属机构，并未为本项目提供整体设计、规范编制或者项目管理、监理、监测等服务。</w:t>
      </w:r>
    </w:p>
    <w:p w14:paraId="59DCA9E1">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9D02A10">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（一）提供虚假材料谋取中标、中标的；</w:t>
      </w:r>
    </w:p>
    <w:p w14:paraId="79CC4F43">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（二）采取不正当手段诋毁、排挤其他投标人的；</w:t>
      </w:r>
    </w:p>
    <w:p w14:paraId="4D52C5C5">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（三）与采购人、其他投标人或者采购代理机构恶意串通的；</w:t>
      </w:r>
    </w:p>
    <w:p w14:paraId="7E5EAA03">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（四）向采购人、采购代理机构行贿或者提供其他不正当利益的；</w:t>
      </w:r>
    </w:p>
    <w:p w14:paraId="040BECE0">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（五）在招标采购过程中与采购人进行协商谈判的；</w:t>
      </w:r>
    </w:p>
    <w:p w14:paraId="71D3DAC8">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（六）拒绝有关部门监督检查或提供虚假情况的。</w:t>
      </w:r>
    </w:p>
    <w:p w14:paraId="09DF7F70">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9.如中标，本投标文件至本项目合同履行完毕止均保持有效，我方将按招标文件及政府采购法律、法规的规定履行合同责任和义务。</w:t>
      </w:r>
    </w:p>
    <w:p w14:paraId="32914D14">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10.以上事项如有虚假或隐瞒，我方愿意承担一切不利后果，并不再寻求任何旨在减轻或免除法律责任。</w:t>
      </w:r>
    </w:p>
    <w:p w14:paraId="65C8F23D">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与本次投标有关的一切正式往来信函请寄：</w:t>
      </w:r>
    </w:p>
    <w:p w14:paraId="4A6C5121">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 xml:space="preserve">地址：                  邮编：           </w:t>
      </w:r>
    </w:p>
    <w:p w14:paraId="0574D924">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 xml:space="preserve">电话：                  传真：           </w:t>
      </w:r>
    </w:p>
    <w:p w14:paraId="16A2BA35">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投标人盖章</w:t>
      </w:r>
      <w:r>
        <w:rPr>
          <w:rFonts w:hint="eastAsia" w:ascii="宋体" w:hAnsi="宋体" w:eastAsia="宋体" w:cs="宋体"/>
          <w:color w:val="auto"/>
          <w:sz w:val="21"/>
          <w:szCs w:val="21"/>
          <w:lang w:val="zh-CN"/>
        </w:rPr>
        <w:t>(电子签名）</w:t>
      </w:r>
      <w:r>
        <w:rPr>
          <w:rFonts w:hint="eastAsia" w:ascii="宋体" w:hAnsi="宋体" w:eastAsia="宋体" w:cs="宋体"/>
          <w:color w:val="auto"/>
          <w:sz w:val="21"/>
          <w:szCs w:val="21"/>
        </w:rPr>
        <w:t xml:space="preserve">：                </w:t>
      </w:r>
    </w:p>
    <w:p w14:paraId="5600B509">
      <w:pPr>
        <w:spacing w:line="480" w:lineRule="exact"/>
        <w:ind w:firstLine="480"/>
        <w:rPr>
          <w:rFonts w:ascii="宋体" w:hAnsi="宋体" w:eastAsia="宋体" w:cs="宋体"/>
          <w:color w:val="auto"/>
          <w:sz w:val="21"/>
          <w:szCs w:val="21"/>
        </w:rPr>
      </w:pPr>
      <w:r>
        <w:rPr>
          <w:rFonts w:hint="eastAsia" w:ascii="宋体" w:hAnsi="宋体" w:eastAsia="宋体" w:cs="宋体"/>
          <w:color w:val="auto"/>
          <w:sz w:val="21"/>
          <w:szCs w:val="21"/>
        </w:rPr>
        <w:t xml:space="preserve">日      期：                </w:t>
      </w:r>
    </w:p>
    <w:p w14:paraId="48323D7F">
      <w:pPr>
        <w:snapToGrid w:val="0"/>
        <w:spacing w:before="50" w:after="120" w:afterLines="50"/>
        <w:jc w:val="left"/>
        <w:rPr>
          <w:rFonts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附件21</w:t>
      </w:r>
    </w:p>
    <w:p w14:paraId="2C8748CC">
      <w:pPr>
        <w:jc w:val="center"/>
        <w:rPr>
          <w:rFonts w:ascii="宋体" w:hAnsi="宋体" w:eastAsia="宋体" w:cs="宋体"/>
          <w:color w:val="auto"/>
          <w:sz w:val="21"/>
          <w:szCs w:val="21"/>
        </w:rPr>
      </w:pPr>
      <w:bookmarkStart w:id="384" w:name="_Toc4667"/>
      <w:bookmarkStart w:id="385" w:name="_Toc12234"/>
      <w:bookmarkStart w:id="386" w:name="_Toc28486"/>
      <w:bookmarkStart w:id="387" w:name="_Toc3018"/>
      <w:r>
        <w:rPr>
          <w:rFonts w:hint="eastAsia" w:ascii="宋体" w:hAnsi="宋体" w:eastAsia="宋体" w:cs="宋体"/>
          <w:b/>
          <w:bCs/>
          <w:color w:val="auto"/>
          <w:sz w:val="21"/>
          <w:szCs w:val="21"/>
          <w:lang w:val="zh-CN"/>
        </w:rPr>
        <w:t>开标一览表</w:t>
      </w:r>
      <w:bookmarkEnd w:id="384"/>
      <w:bookmarkEnd w:id="385"/>
      <w:bookmarkEnd w:id="386"/>
      <w:bookmarkEnd w:id="387"/>
    </w:p>
    <w:p w14:paraId="654AD29D">
      <w:pPr>
        <w:tabs>
          <w:tab w:val="left" w:pos="1418"/>
        </w:tabs>
        <w:snapToGrid w:val="0"/>
        <w:spacing w:line="400" w:lineRule="exact"/>
        <w:ind w:left="5939" w:leftChars="228" w:hanging="5460" w:hangingChars="2600"/>
        <w:rPr>
          <w:rFonts w:ascii="宋体" w:hAnsi="宋体" w:eastAsia="宋体" w:cs="宋体"/>
          <w:color w:val="auto"/>
          <w:sz w:val="21"/>
          <w:szCs w:val="21"/>
        </w:rPr>
      </w:pPr>
      <w:r>
        <w:rPr>
          <w:rFonts w:hint="eastAsia" w:ascii="宋体" w:hAnsi="宋体" w:eastAsia="宋体" w:cs="宋体"/>
          <w:color w:val="auto"/>
          <w:sz w:val="21"/>
          <w:szCs w:val="21"/>
        </w:rPr>
        <w:t>　　　　                                                  单位：人民币元</w:t>
      </w:r>
    </w:p>
    <w:tbl>
      <w:tblPr>
        <w:tblStyle w:val="1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907"/>
        <w:gridCol w:w="1907"/>
        <w:gridCol w:w="1907"/>
      </w:tblGrid>
      <w:tr w14:paraId="5617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3656" w:type="dxa"/>
            <w:tcBorders>
              <w:tl2br w:val="nil"/>
              <w:tr2bl w:val="nil"/>
            </w:tcBorders>
            <w:vAlign w:val="center"/>
          </w:tcPr>
          <w:p w14:paraId="5B1B1FC1">
            <w:pPr>
              <w:jc w:val="center"/>
              <w:rPr>
                <w:rFonts w:ascii="宋体" w:hAnsi="宋体" w:eastAsia="宋体" w:cs="宋体"/>
                <w:color w:val="auto"/>
                <w:sz w:val="21"/>
                <w:szCs w:val="21"/>
              </w:rPr>
            </w:pPr>
            <w:r>
              <w:rPr>
                <w:rFonts w:hint="eastAsia" w:ascii="宋体" w:hAnsi="宋体" w:eastAsia="宋体" w:cs="宋体"/>
                <w:color w:val="auto"/>
                <w:sz w:val="21"/>
                <w:szCs w:val="21"/>
              </w:rPr>
              <w:t>项目名称</w:t>
            </w:r>
          </w:p>
        </w:tc>
        <w:tc>
          <w:tcPr>
            <w:tcW w:w="1907" w:type="dxa"/>
            <w:tcBorders>
              <w:tl2br w:val="nil"/>
              <w:tr2bl w:val="nil"/>
            </w:tcBorders>
            <w:vAlign w:val="center"/>
          </w:tcPr>
          <w:p w14:paraId="1351204A">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数量（吨）</w:t>
            </w:r>
          </w:p>
        </w:tc>
        <w:tc>
          <w:tcPr>
            <w:tcW w:w="1907" w:type="dxa"/>
            <w:tcBorders>
              <w:tl2br w:val="nil"/>
              <w:tr2bl w:val="nil"/>
            </w:tcBorders>
            <w:vAlign w:val="center"/>
          </w:tcPr>
          <w:p w14:paraId="7B6F54F4">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全费用综合单价（元</w:t>
            </w:r>
            <w:r>
              <w:rPr>
                <w:rFonts w:hint="eastAsia" w:ascii="宋体" w:hAnsi="宋体" w:eastAsia="宋体" w:cs="宋体"/>
                <w:color w:val="auto"/>
                <w:sz w:val="21"/>
                <w:szCs w:val="21"/>
                <w:lang w:val="en-US" w:eastAsia="zh-CN"/>
              </w:rPr>
              <w:t>/吨）</w:t>
            </w:r>
          </w:p>
        </w:tc>
        <w:tc>
          <w:tcPr>
            <w:tcW w:w="1907" w:type="dxa"/>
            <w:tcBorders>
              <w:tl2br w:val="nil"/>
              <w:tr2bl w:val="nil"/>
            </w:tcBorders>
            <w:vAlign w:val="center"/>
          </w:tcPr>
          <w:p w14:paraId="6347E048">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合计（元）</w:t>
            </w:r>
          </w:p>
        </w:tc>
      </w:tr>
      <w:tr w14:paraId="2B69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3656" w:type="dxa"/>
            <w:tcBorders>
              <w:tl2br w:val="nil"/>
              <w:tr2bl w:val="nil"/>
            </w:tcBorders>
            <w:vAlign w:val="center"/>
          </w:tcPr>
          <w:p w14:paraId="1E9BDFEB">
            <w:pPr>
              <w:jc w:val="center"/>
              <w:rPr>
                <w:rFonts w:ascii="宋体" w:hAnsi="宋体" w:eastAsia="宋体" w:cs="宋体"/>
                <w:color w:val="auto"/>
                <w:sz w:val="21"/>
                <w:szCs w:val="21"/>
              </w:rPr>
            </w:pPr>
            <w:r>
              <w:rPr>
                <w:rFonts w:hint="eastAsia" w:ascii="宋体" w:hAnsi="宋体" w:eastAsia="宋体" w:cs="宋体"/>
                <w:color w:val="auto"/>
                <w:sz w:val="21"/>
                <w:szCs w:val="21"/>
              </w:rPr>
              <w:t>投标报价</w:t>
            </w:r>
          </w:p>
        </w:tc>
        <w:tc>
          <w:tcPr>
            <w:tcW w:w="1907" w:type="dxa"/>
            <w:tcBorders>
              <w:tl2br w:val="nil"/>
              <w:tr2bl w:val="nil"/>
            </w:tcBorders>
            <w:vAlign w:val="center"/>
          </w:tcPr>
          <w:p w14:paraId="64DD538F">
            <w:pPr>
              <w:pStyle w:val="2"/>
              <w:jc w:val="center"/>
              <w:rPr>
                <w:rFonts w:hint="default" w:eastAsia="黑体"/>
                <w:color w:val="auto"/>
                <w:lang w:val="en-US" w:eastAsia="zh-CN"/>
              </w:rPr>
            </w:pPr>
            <w:r>
              <w:rPr>
                <w:rFonts w:hint="eastAsia" w:ascii="宋体" w:hAnsi="宋体" w:eastAsia="宋体" w:cs="宋体"/>
                <w:b w:val="0"/>
                <w:bCs w:val="0"/>
                <w:color w:val="auto"/>
                <w:kern w:val="2"/>
                <w:sz w:val="21"/>
                <w:szCs w:val="21"/>
                <w:lang w:val="en-US" w:eastAsia="zh-CN" w:bidi="ar-SA"/>
              </w:rPr>
              <w:t>9800</w:t>
            </w:r>
          </w:p>
        </w:tc>
        <w:tc>
          <w:tcPr>
            <w:tcW w:w="1907" w:type="dxa"/>
            <w:tcBorders>
              <w:tl2br w:val="nil"/>
              <w:tr2bl w:val="nil"/>
            </w:tcBorders>
            <w:vAlign w:val="center"/>
          </w:tcPr>
          <w:p w14:paraId="3C0F6C0C">
            <w:pPr>
              <w:pStyle w:val="2"/>
              <w:rPr>
                <w:rFonts w:hint="eastAsia"/>
                <w:color w:val="auto"/>
                <w:sz w:val="24"/>
                <w:szCs w:val="24"/>
                <w:lang w:eastAsia="zh-CN"/>
              </w:rPr>
            </w:pPr>
          </w:p>
        </w:tc>
        <w:tc>
          <w:tcPr>
            <w:tcW w:w="1907" w:type="dxa"/>
            <w:tcBorders>
              <w:tl2br w:val="nil"/>
              <w:tr2bl w:val="nil"/>
            </w:tcBorders>
            <w:vAlign w:val="center"/>
          </w:tcPr>
          <w:p w14:paraId="02F0F3F5">
            <w:pPr>
              <w:pStyle w:val="2"/>
              <w:rPr>
                <w:rFonts w:hint="eastAsia"/>
                <w:color w:val="auto"/>
                <w:sz w:val="24"/>
                <w:szCs w:val="24"/>
                <w:lang w:eastAsia="zh-CN"/>
              </w:rPr>
            </w:pPr>
          </w:p>
        </w:tc>
      </w:tr>
    </w:tbl>
    <w:p w14:paraId="7C0C649F">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注1.报价应包括自疫木采伐至运入疫木定点处理企业整个清理过程所发生的一切费用，包括枯死松树采伐、造材、伐桩处理、枝桠处理、人工搬运、运输、安全（保险）、税收及源头监管费、招标代理费、人员工资、机械材料、利润、税金、测量、勘察、保险（施工人员一律参加工伤保险）等完成合同所需的一切本身和不可或缺的所有工作开支、政策性文件规定及合同包含的所有风险、责任等各项全部费用。如有漏项，视为已包含在其它项目中。</w:t>
      </w:r>
    </w:p>
    <w:p w14:paraId="41427FBB">
      <w:pPr>
        <w:rPr>
          <w:rFonts w:ascii="宋体" w:hAnsi="宋体" w:eastAsia="宋体" w:cs="宋体"/>
          <w:color w:val="auto"/>
          <w:sz w:val="21"/>
          <w:szCs w:val="21"/>
        </w:rPr>
      </w:pPr>
      <w:r>
        <w:rPr>
          <w:rFonts w:hint="eastAsia" w:ascii="宋体" w:hAnsi="宋体" w:eastAsia="宋体" w:cs="宋体"/>
          <w:color w:val="auto"/>
          <w:sz w:val="21"/>
          <w:szCs w:val="21"/>
        </w:rPr>
        <w:t xml:space="preserve">    2.报价一经涂改，应在涂改处加盖单位公章或由法定代表人或授权委托人签字或盖章，否则其报价文件不进入评审。</w:t>
      </w:r>
    </w:p>
    <w:p w14:paraId="6B35DD2A">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3.投标方的投标报价为整个采购项目的总报价，如有漏项，视同已包含在其总项目中，合同总价不作调整。</w:t>
      </w:r>
    </w:p>
    <w:p w14:paraId="0A5B4978">
      <w:pPr>
        <w:spacing w:line="400" w:lineRule="exact"/>
        <w:ind w:firstLine="420" w:firstLineChars="200"/>
        <w:rPr>
          <w:rFonts w:hint="default" w:ascii="宋体" w:hAnsi="宋体" w:eastAsia="宋体" w:cs="宋体"/>
          <w:color w:val="auto"/>
          <w:sz w:val="21"/>
          <w:szCs w:val="21"/>
          <w:lang w:val="en-US" w:eastAsia="zh-CN"/>
        </w:rPr>
      </w:pPr>
    </w:p>
    <w:p w14:paraId="3F48C83D">
      <w:pPr>
        <w:snapToGrid w:val="0"/>
        <w:spacing w:before="120" w:line="360" w:lineRule="auto"/>
        <w:rPr>
          <w:rFonts w:ascii="宋体" w:hAnsi="宋体" w:eastAsia="宋体" w:cs="宋体"/>
          <w:color w:val="auto"/>
          <w:sz w:val="21"/>
          <w:szCs w:val="21"/>
        </w:rPr>
      </w:pPr>
      <w:r>
        <w:rPr>
          <w:rFonts w:hint="eastAsia" w:ascii="宋体" w:hAnsi="宋体" w:eastAsia="宋体" w:cs="宋体"/>
          <w:color w:val="auto"/>
          <w:sz w:val="21"/>
          <w:szCs w:val="21"/>
        </w:rPr>
        <w:t>投标人全称（电子签章）：</w:t>
      </w:r>
      <w:r>
        <w:rPr>
          <w:rFonts w:hint="eastAsia" w:ascii="宋体" w:hAnsi="宋体" w:eastAsia="宋体" w:cs="宋体"/>
          <w:color w:val="auto"/>
          <w:sz w:val="21"/>
          <w:szCs w:val="21"/>
          <w:u w:val="single"/>
        </w:rPr>
        <w:t xml:space="preserve">                         </w:t>
      </w:r>
    </w:p>
    <w:p w14:paraId="1D25A97B">
      <w:pPr>
        <w:snapToGrid w:val="0"/>
        <w:spacing w:before="120" w:line="360" w:lineRule="auto"/>
        <w:ind w:right="600"/>
        <w:rPr>
          <w:rFonts w:ascii="宋体" w:hAnsi="宋体" w:eastAsia="宋体" w:cs="宋体"/>
          <w:color w:val="auto"/>
          <w:sz w:val="21"/>
          <w:szCs w:val="21"/>
        </w:rPr>
      </w:pPr>
      <w:r>
        <w:rPr>
          <w:rFonts w:hint="eastAsia" w:ascii="宋体" w:hAnsi="宋体" w:eastAsia="宋体" w:cs="宋体"/>
          <w:color w:val="auto"/>
          <w:sz w:val="21"/>
          <w:szCs w:val="21"/>
        </w:rPr>
        <w:t>法定代表人或授权代表（签名或签章）：</w:t>
      </w:r>
      <w:r>
        <w:rPr>
          <w:rFonts w:hint="eastAsia" w:ascii="宋体" w:hAnsi="宋体" w:eastAsia="宋体" w:cs="宋体"/>
          <w:color w:val="auto"/>
          <w:sz w:val="21"/>
          <w:szCs w:val="21"/>
          <w:u w:val="single"/>
        </w:rPr>
        <w:t xml:space="preserve">             </w:t>
      </w:r>
    </w:p>
    <w:p w14:paraId="1DB3483C">
      <w:pPr>
        <w:snapToGrid w:val="0"/>
        <w:spacing w:before="120"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年    月    日</w:t>
      </w:r>
    </w:p>
    <w:p w14:paraId="0EAD8368">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附件2</w:t>
      </w:r>
      <w:r>
        <w:rPr>
          <w:rFonts w:hint="eastAsia" w:ascii="宋体" w:hAnsi="宋体" w:eastAsia="宋体" w:cs="宋体"/>
          <w:color w:val="auto"/>
          <w:sz w:val="21"/>
          <w:szCs w:val="21"/>
          <w:lang w:val="en-US" w:eastAsia="zh-CN"/>
        </w:rPr>
        <w:t>2</w:t>
      </w:r>
    </w:p>
    <w:p w14:paraId="4E8D37D1">
      <w:pPr>
        <w:spacing w:before="120" w:beforeLines="50" w:after="120" w:afterLines="50" w:line="588" w:lineRule="exact"/>
        <w:jc w:val="center"/>
        <w:rPr>
          <w:rFonts w:ascii="宋体" w:hAnsi="宋体" w:eastAsia="宋体" w:cs="宋体"/>
          <w:b/>
          <w:color w:val="auto"/>
          <w:spacing w:val="6"/>
          <w:sz w:val="21"/>
          <w:szCs w:val="21"/>
        </w:rPr>
      </w:pPr>
      <w:r>
        <w:rPr>
          <w:rFonts w:hint="eastAsia" w:ascii="宋体" w:hAnsi="宋体" w:eastAsia="宋体" w:cs="宋体"/>
          <w:b/>
          <w:color w:val="auto"/>
          <w:spacing w:val="6"/>
          <w:sz w:val="21"/>
          <w:szCs w:val="21"/>
        </w:rPr>
        <w:t>分包意向协议</w:t>
      </w:r>
    </w:p>
    <w:p w14:paraId="64061254">
      <w:pPr>
        <w:spacing w:line="400" w:lineRule="exact"/>
        <w:ind w:firstLine="404"/>
        <w:rPr>
          <w:rFonts w:ascii="宋体" w:hAnsi="宋体" w:eastAsia="宋体" w:cs="宋体"/>
          <w:color w:val="auto"/>
          <w:sz w:val="21"/>
          <w:szCs w:val="21"/>
        </w:rPr>
      </w:pPr>
    </w:p>
    <w:p w14:paraId="34A73F1B">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投标人名称    </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若成为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项目名称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招标编号：   </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的中标供应商，将依法采取分包方式履行合同。</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投标人名称    </w:t>
      </w:r>
      <w:r>
        <w:rPr>
          <w:rFonts w:hint="eastAsia" w:ascii="宋体" w:hAnsi="宋体" w:eastAsia="宋体" w:cs="宋体"/>
          <w:color w:val="auto"/>
          <w:sz w:val="21"/>
          <w:szCs w:val="21"/>
        </w:rPr>
        <w:t>）与（</w:t>
      </w:r>
      <w:r>
        <w:rPr>
          <w:rFonts w:hint="eastAsia" w:ascii="宋体" w:hAnsi="宋体" w:eastAsia="宋体" w:cs="宋体"/>
          <w:color w:val="auto"/>
          <w:sz w:val="21"/>
          <w:szCs w:val="21"/>
          <w:u w:val="single"/>
        </w:rPr>
        <w:t xml:space="preserve">所有分包供应商名称    </w:t>
      </w:r>
      <w:r>
        <w:rPr>
          <w:rFonts w:hint="eastAsia" w:ascii="宋体" w:hAnsi="宋体" w:eastAsia="宋体" w:cs="宋体"/>
          <w:color w:val="auto"/>
          <w:sz w:val="21"/>
          <w:szCs w:val="21"/>
        </w:rPr>
        <w:t>）达成分包意向协议</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投标人名称    </w:t>
      </w:r>
      <w:r>
        <w:rPr>
          <w:rFonts w:hint="eastAsia" w:ascii="宋体" w:hAnsi="宋体" w:eastAsia="宋体" w:cs="宋体"/>
          <w:color w:val="auto"/>
          <w:sz w:val="21"/>
          <w:szCs w:val="21"/>
        </w:rPr>
        <w:t>）负责签署投标文件，（</w:t>
      </w:r>
      <w:r>
        <w:rPr>
          <w:rFonts w:hint="eastAsia" w:ascii="宋体" w:hAnsi="宋体" w:eastAsia="宋体" w:cs="宋体"/>
          <w:color w:val="auto"/>
          <w:sz w:val="21"/>
          <w:szCs w:val="21"/>
          <w:u w:val="single"/>
        </w:rPr>
        <w:t xml:space="preserve">投标人名称     </w:t>
      </w:r>
      <w:r>
        <w:rPr>
          <w:rFonts w:hint="eastAsia" w:ascii="宋体" w:hAnsi="宋体" w:eastAsia="宋体" w:cs="宋体"/>
          <w:color w:val="auto"/>
          <w:sz w:val="21"/>
          <w:szCs w:val="21"/>
        </w:rPr>
        <w:t>）的所有承诺均认为代表了（</w:t>
      </w:r>
      <w:r>
        <w:rPr>
          <w:rFonts w:hint="eastAsia" w:ascii="宋体" w:hAnsi="宋体" w:eastAsia="宋体" w:cs="宋体"/>
          <w:color w:val="auto"/>
          <w:sz w:val="21"/>
          <w:szCs w:val="21"/>
          <w:u w:val="single"/>
        </w:rPr>
        <w:t xml:space="preserve">所有分包供应商名称       </w:t>
      </w:r>
      <w:r>
        <w:rPr>
          <w:rFonts w:hint="eastAsia" w:ascii="宋体" w:hAnsi="宋体" w:eastAsia="宋体" w:cs="宋体"/>
          <w:color w:val="auto"/>
          <w:sz w:val="21"/>
          <w:szCs w:val="21"/>
        </w:rPr>
        <w:t>）意愿。</w:t>
      </w:r>
    </w:p>
    <w:p w14:paraId="0FA557AA">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一、分包内容在采购文件分包要求的范围内，并符合相关法律规定等</w:t>
      </w:r>
    </w:p>
    <w:p w14:paraId="668A2E07">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二、分包标的及数量</w:t>
      </w:r>
    </w:p>
    <w:p w14:paraId="44687E4C">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投标人名称     </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将</w:t>
      </w:r>
      <w:r>
        <w:rPr>
          <w:rFonts w:hint="eastAsia" w:ascii="宋体" w:hAnsi="宋体" w:eastAsia="宋体" w:cs="宋体"/>
          <w:color w:val="auto"/>
          <w:sz w:val="21"/>
          <w:szCs w:val="21"/>
          <w:u w:val="single"/>
        </w:rPr>
        <w:t xml:space="preserve">   工作内容   </w:t>
      </w:r>
      <w:r>
        <w:rPr>
          <w:rFonts w:hint="eastAsia" w:ascii="宋体" w:hAnsi="宋体" w:eastAsia="宋体" w:cs="宋体"/>
          <w:color w:val="auto"/>
          <w:sz w:val="21"/>
          <w:szCs w:val="21"/>
        </w:rPr>
        <w:t>分包给（</w:t>
      </w:r>
      <w:r>
        <w:rPr>
          <w:rFonts w:hint="eastAsia" w:ascii="宋体" w:hAnsi="宋体" w:eastAsia="宋体" w:cs="宋体"/>
          <w:color w:val="auto"/>
          <w:sz w:val="21"/>
          <w:szCs w:val="21"/>
          <w:u w:val="single"/>
        </w:rPr>
        <w:t xml:space="preserve">分包供应商名称      </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分包供应商名称       </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具备承</w:t>
      </w:r>
      <w:r>
        <w:rPr>
          <w:rFonts w:hint="eastAsia" w:ascii="宋体" w:hAnsi="宋体" w:eastAsia="宋体" w:cs="宋体"/>
          <w:color w:val="auto"/>
          <w:sz w:val="21"/>
          <w:szCs w:val="21"/>
        </w:rPr>
        <w:t>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zh-CN"/>
        </w:rPr>
        <w:t xml:space="preserve">工作内容  </w:t>
      </w:r>
      <w:r>
        <w:rPr>
          <w:rFonts w:hint="eastAsia" w:ascii="宋体" w:hAnsi="宋体" w:eastAsia="宋体" w:cs="宋体"/>
          <w:color w:val="auto"/>
          <w:sz w:val="21"/>
          <w:szCs w:val="21"/>
          <w:lang w:val="zh-CN"/>
        </w:rPr>
        <w:t>相应资质条件且不得再次分包；</w:t>
      </w:r>
    </w:p>
    <w:p w14:paraId="7E084EC7">
      <w:pPr>
        <w:snapToGrid w:val="0"/>
        <w:spacing w:line="360" w:lineRule="exact"/>
        <w:ind w:firstLine="630" w:firstLineChars="300"/>
        <w:rPr>
          <w:rFonts w:ascii="宋体" w:hAnsi="宋体" w:eastAsia="宋体" w:cs="宋体"/>
          <w:color w:val="auto"/>
          <w:sz w:val="21"/>
          <w:szCs w:val="21"/>
        </w:rPr>
      </w:pPr>
      <w:r>
        <w:rPr>
          <w:rFonts w:hint="eastAsia" w:ascii="宋体" w:hAnsi="宋体" w:eastAsia="宋体" w:cs="宋体"/>
          <w:color w:val="auto"/>
          <w:sz w:val="21"/>
          <w:szCs w:val="21"/>
        </w:rPr>
        <w:t>……</w:t>
      </w:r>
    </w:p>
    <w:p w14:paraId="50CAC223">
      <w:pPr>
        <w:snapToGrid w:val="0"/>
        <w:spacing w:line="360" w:lineRule="exact"/>
        <w:ind w:left="840"/>
        <w:rPr>
          <w:rFonts w:ascii="宋体" w:hAnsi="宋体" w:eastAsia="宋体" w:cs="宋体"/>
          <w:color w:val="auto"/>
          <w:sz w:val="21"/>
          <w:szCs w:val="21"/>
        </w:rPr>
      </w:pPr>
      <w:r>
        <w:rPr>
          <w:rFonts w:hint="eastAsia" w:ascii="宋体" w:hAnsi="宋体" w:eastAsia="宋体" w:cs="宋体"/>
          <w:color w:val="auto"/>
          <w:sz w:val="21"/>
          <w:szCs w:val="21"/>
          <w:lang w:val="zh-CN"/>
        </w:rPr>
        <w:t>三、分包工作履行期限、地点、方式</w:t>
      </w:r>
      <w:r>
        <w:rPr>
          <w:rFonts w:hint="eastAsia" w:ascii="宋体" w:hAnsi="宋体" w:eastAsia="宋体" w:cs="宋体"/>
          <w:color w:val="auto"/>
          <w:sz w:val="21"/>
          <w:szCs w:val="21"/>
        </w:rPr>
        <w:t xml:space="preserve"> </w:t>
      </w:r>
    </w:p>
    <w:p w14:paraId="0F2A910A">
      <w:pPr>
        <w:snapToGrid w:val="0"/>
        <w:spacing w:line="360" w:lineRule="exact"/>
        <w:rPr>
          <w:rFonts w:ascii="宋体" w:hAnsi="宋体" w:eastAsia="宋体" w:cs="宋体"/>
          <w:color w:val="auto"/>
          <w:sz w:val="21"/>
          <w:szCs w:val="21"/>
          <w:u w:val="single"/>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p>
    <w:p w14:paraId="224E687E">
      <w:pPr>
        <w:snapToGrid w:val="0"/>
        <w:spacing w:line="360" w:lineRule="exact"/>
        <w:ind w:left="840"/>
        <w:rPr>
          <w:rFonts w:ascii="宋体" w:hAnsi="宋体" w:eastAsia="宋体" w:cs="宋体"/>
          <w:color w:val="auto"/>
          <w:sz w:val="21"/>
          <w:szCs w:val="21"/>
          <w:lang w:val="zh-CN"/>
        </w:rPr>
      </w:pPr>
      <w:r>
        <w:rPr>
          <w:rFonts w:hint="eastAsia" w:ascii="宋体" w:hAnsi="宋体" w:eastAsia="宋体" w:cs="宋体"/>
          <w:color w:val="auto"/>
          <w:sz w:val="21"/>
          <w:szCs w:val="21"/>
          <w:lang w:val="zh-CN"/>
        </w:rPr>
        <w:t xml:space="preserve">四、质量 </w:t>
      </w:r>
    </w:p>
    <w:p w14:paraId="3924BAFD">
      <w:pPr>
        <w:snapToGrid w:val="0"/>
        <w:spacing w:line="360" w:lineRule="exact"/>
        <w:ind w:left="630" w:leftChars="300"/>
        <w:rPr>
          <w:rFonts w:ascii="宋体" w:hAnsi="宋体" w:eastAsia="宋体" w:cs="宋体"/>
          <w:color w:val="auto"/>
          <w:sz w:val="21"/>
          <w:szCs w:val="21"/>
          <w:u w:val="single"/>
          <w:lang w:val="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p>
    <w:p w14:paraId="2575BFAD">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五、价款或者报酬</w:t>
      </w:r>
    </w:p>
    <w:p w14:paraId="1BF1D4DC">
      <w:pPr>
        <w:snapToGrid w:val="0"/>
        <w:spacing w:line="360" w:lineRule="exact"/>
        <w:ind w:firstLine="630" w:firstLineChars="3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rPr>
        <w:t xml:space="preserve">                                                                                     </w:t>
      </w:r>
    </w:p>
    <w:p w14:paraId="7A746EC7">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六、违约责任</w:t>
      </w:r>
    </w:p>
    <w:p w14:paraId="31B6C5C4">
      <w:pPr>
        <w:snapToGrid w:val="0"/>
        <w:spacing w:line="360" w:lineRule="exact"/>
        <w:ind w:firstLine="630" w:firstLineChars="3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rPr>
        <w:t xml:space="preserve">                                                                                     </w:t>
      </w:r>
    </w:p>
    <w:p w14:paraId="51465D47">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 xml:space="preserve">七、争议解决的办法 </w:t>
      </w:r>
    </w:p>
    <w:p w14:paraId="2DA0210A">
      <w:pPr>
        <w:snapToGrid w:val="0"/>
        <w:spacing w:line="360" w:lineRule="exact"/>
        <w:rPr>
          <w:rFonts w:ascii="宋体" w:hAnsi="宋体" w:eastAsia="宋体" w:cs="宋体"/>
          <w:color w:val="auto"/>
          <w:sz w:val="21"/>
          <w:szCs w:val="21"/>
          <w:u w:val="single"/>
          <w:lang w:val="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p>
    <w:p w14:paraId="1BDCA362">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八、其他</w:t>
      </w:r>
    </w:p>
    <w:p w14:paraId="616501C6">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（分包供应商名称</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）的合同份额占到合同总金额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31D6BAF">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w:t>
      </w:r>
    </w:p>
    <w:p w14:paraId="2154A5AA">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rPr>
        <w:t>投标人名称</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盖公章</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p>
    <w:p w14:paraId="2FA89D69">
      <w:pPr>
        <w:snapToGrid w:val="0"/>
        <w:spacing w:line="360" w:lineRule="exact"/>
        <w:ind w:firstLine="630" w:firstLineChars="300"/>
        <w:rPr>
          <w:rFonts w:ascii="宋体" w:hAnsi="宋体" w:eastAsia="宋体" w:cs="宋体"/>
          <w:color w:val="auto"/>
          <w:sz w:val="21"/>
          <w:szCs w:val="21"/>
          <w:lang w:val="zh-CN"/>
        </w:rPr>
      </w:pPr>
    </w:p>
    <w:p w14:paraId="3A3D1DC8">
      <w:pPr>
        <w:snapToGrid w:val="0"/>
        <w:spacing w:line="360" w:lineRule="exact"/>
        <w:ind w:firstLine="630" w:firstLineChars="300"/>
        <w:rPr>
          <w:rFonts w:ascii="宋体" w:hAnsi="宋体" w:eastAsia="宋体" w:cs="宋体"/>
          <w:color w:val="auto"/>
          <w:sz w:val="21"/>
          <w:szCs w:val="21"/>
          <w:lang w:val="zh-CN"/>
        </w:rPr>
      </w:pPr>
      <w:r>
        <w:rPr>
          <w:rFonts w:hint="eastAsia" w:ascii="宋体" w:hAnsi="宋体" w:eastAsia="宋体" w:cs="宋体"/>
          <w:color w:val="auto"/>
          <w:sz w:val="21"/>
          <w:szCs w:val="21"/>
          <w:lang w:val="zh-CN"/>
        </w:rPr>
        <w:t>分包供应商名称（</w:t>
      </w:r>
      <w:r>
        <w:rPr>
          <w:rFonts w:hint="eastAsia" w:ascii="宋体" w:hAnsi="宋体" w:eastAsia="宋体" w:cs="宋体"/>
          <w:color w:val="auto"/>
          <w:sz w:val="21"/>
          <w:szCs w:val="21"/>
        </w:rPr>
        <w:t>盖公章</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r>
        <w:rPr>
          <w:rFonts w:hint="eastAsia" w:ascii="宋体" w:hAnsi="宋体" w:eastAsia="宋体" w:cs="宋体"/>
          <w:color w:val="auto"/>
          <w:sz w:val="21"/>
          <w:szCs w:val="21"/>
          <w:u w:val="single"/>
          <w:lang w:val="zh-CN"/>
        </w:rPr>
        <w:tab/>
      </w:r>
    </w:p>
    <w:p w14:paraId="48AEDE3E">
      <w:pPr>
        <w:snapToGrid w:val="0"/>
        <w:spacing w:line="360" w:lineRule="exact"/>
        <w:ind w:firstLine="630" w:firstLineChars="300"/>
        <w:rPr>
          <w:rFonts w:ascii="宋体" w:hAnsi="宋体" w:eastAsia="宋体" w:cs="宋体"/>
          <w:color w:val="auto"/>
          <w:sz w:val="21"/>
          <w:szCs w:val="21"/>
        </w:rPr>
      </w:pPr>
      <w:r>
        <w:rPr>
          <w:rFonts w:hint="eastAsia" w:ascii="宋体" w:hAnsi="宋体" w:eastAsia="宋体" w:cs="宋体"/>
          <w:color w:val="auto"/>
          <w:sz w:val="21"/>
          <w:szCs w:val="21"/>
          <w:lang w:val="zh-CN"/>
        </w:rPr>
        <w:t>……</w:t>
      </w:r>
    </w:p>
    <w:p w14:paraId="73F216CB">
      <w:pPr>
        <w:snapToGrid w:val="0"/>
        <w:spacing w:line="400" w:lineRule="exact"/>
        <w:ind w:firstLine="630" w:firstLineChars="300"/>
        <w:rPr>
          <w:rFonts w:ascii="宋体" w:hAnsi="宋体" w:eastAsia="宋体" w:cs="宋体"/>
          <w:b/>
          <w:color w:val="auto"/>
          <w:sz w:val="21"/>
          <w:szCs w:val="21"/>
        </w:rPr>
      </w:pPr>
      <w:r>
        <w:rPr>
          <w:rFonts w:hint="eastAsia" w:ascii="宋体" w:hAnsi="宋体" w:eastAsia="宋体" w:cs="宋体"/>
          <w:color w:val="auto"/>
          <w:sz w:val="21"/>
          <w:szCs w:val="21"/>
          <w:lang w:val="zh-CN"/>
        </w:rPr>
        <w:t xml:space="preserve">                                 日期：</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zh-CN"/>
        </w:rPr>
        <w:t>年  月   日</w:t>
      </w:r>
    </w:p>
    <w:p w14:paraId="0730716A">
      <w:pPr>
        <w:rPr>
          <w:rFonts w:ascii="宋体" w:hAnsi="宋体" w:eastAsia="宋体" w:cs="宋体"/>
          <w:color w:val="auto"/>
          <w:sz w:val="21"/>
          <w:szCs w:val="21"/>
        </w:rPr>
      </w:pPr>
    </w:p>
    <w:sectPr>
      <w:pgSz w:w="11906" w:h="16838"/>
      <w:pgMar w:top="1417" w:right="1134" w:bottom="1417" w:left="113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B0604020202020204"/>
    <w:charset w:val="86"/>
    <w:family w:val="script"/>
    <w:pitch w:val="default"/>
    <w:sig w:usb0="00000000" w:usb1="00000000" w:usb2="00080016" w:usb3="00000000" w:csb0="0004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5FBB">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865B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1865B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B5E2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324E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6324E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28BA">
    <w:pPr>
      <w:ind w:right="720" w:firstLine="210" w:firstLineChars="10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365B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9365B1">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3880" cy="201295"/>
              <wp:effectExtent l="0" t="0" r="0" b="0"/>
              <wp:wrapNone/>
              <wp:docPr id="1" name="文本框 1033"/>
              <wp:cNvGraphicFramePr/>
              <a:graphic xmlns:a="http://schemas.openxmlformats.org/drawingml/2006/main">
                <a:graphicData uri="http://schemas.microsoft.com/office/word/2010/wordprocessingShape">
                  <wps:wsp>
                    <wps:cNvSpPr/>
                    <wps:spPr>
                      <a:xfrm>
                        <a:off x="0" y="0"/>
                        <a:ext cx="563727" cy="201435"/>
                      </a:xfrm>
                      <a:prstGeom prst="rect">
                        <a:avLst/>
                      </a:prstGeom>
                      <a:noFill/>
                      <a:ln w="9525" cap="flat" cmpd="sng">
                        <a:noFill/>
                        <a:prstDash val="solid"/>
                        <a:miter/>
                      </a:ln>
                    </wps:spPr>
                    <wps:txbx>
                      <w:txbxContent>
                        <w:p w14:paraId="0EEB5CE9"/>
                      </w:txbxContent>
                    </wps:txbx>
                    <wps:bodyPr vert="horz" wrap="none" lIns="0" tIns="0" rIns="0" bIns="0" anchor="t" anchorCtr="0" upright="1">
                      <a:spAutoFit/>
                    </wps:bodyPr>
                  </wps:wsp>
                </a:graphicData>
              </a:graphic>
            </wp:anchor>
          </w:drawing>
        </mc:Choice>
        <mc:Fallback>
          <w:pict>
            <v:rect id="文本框 1033" o:spid="_x0000_s1026" o:spt="1" style="position:absolute;left:0pt;margin-top:0pt;height:15.85pt;width:44.4pt;mso-position-horizontal:center;mso-position-horizontal-relative:margin;mso-wrap-style:none;z-index:251659264;mso-width-relative:page;mso-height-relative:page;" filled="f" stroked="f" coordsize="21600,21600" o:gfxdata="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da6WdEAAAADAQAADwAAAAAAAAABACAAAAAiAAAAZHJzL2Rvd25y&#10;ZXYueG1sUEsBAhQAFAAAAAgAh07iQEDAOeMFAgAA9wMAAA4AAAAAAAAAAQAgAAAAIAEAAGRycy9l&#10;Mm9Eb2MueG1sUEsFBgAAAAAGAAYAWQEAAJcFAAAAAA==&#10;">
              <v:fill on="f" focussize="0,0"/>
              <v:stroke on="f" joinstyle="miter"/>
              <v:imagedata o:title=""/>
              <o:lock v:ext="edit" aspectratio="f"/>
              <v:textbox inset="0mm,0mm,0mm,0mm" style="mso-fit-shape-to-text:t;">
                <w:txbxContent>
                  <w:p w14:paraId="0EEB5CE9"/>
                </w:txbxContent>
              </v:textbox>
            </v:rect>
          </w:pict>
        </mc:Fallback>
      </mc:AlternateContent>
    </w:r>
  </w:p>
  <w:p w14:paraId="43052D37">
    <w:pPr>
      <w:ind w:right="720" w:firstLine="210" w:firstLineChars="10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6BE2">
    <w:pPr>
      <w:spacing w:line="1" w:lineRule="exact"/>
      <w:jc w:val="left"/>
      <w:rPr>
        <w:rFonts w:ascii="Times New Roman" w:hAnsi="Times New Roman" w:eastAsia="Times New Roman" w:cs="Times New Roman"/>
        <w:color w:val="000000"/>
        <w:kern w:val="0"/>
        <w:sz w:val="24"/>
        <w:lang w:eastAsia="en-US" w:bidi="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2A47">
    <w:pPr>
      <w:spacing w:line="1" w:lineRule="exact"/>
      <w:jc w:val="left"/>
      <w:rPr>
        <w:rFonts w:ascii="Times New Roman" w:hAnsi="Times New Roman" w:eastAsia="Times New Roman" w:cs="Times New Roman"/>
        <w:color w:val="000000"/>
        <w:kern w:val="0"/>
        <w:sz w:val="24"/>
        <w:lang w:eastAsia="en-US" w:bidi="en-US"/>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62BE3">
                          <w:pPr>
                            <w:pStyle w:val="13"/>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7E62BE3">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BEB6">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8A402">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88A402">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818B">
    <w:pPr>
      <w:jc w:val="center"/>
      <w:rPr>
        <w:rFonts w:ascii="宋体" w:hAnsi="宋体" w:cs="宋体"/>
        <w:bCs/>
        <w:color w:val="000000"/>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BF06B">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05A1A"/>
    <w:multiLevelType w:val="singleLevel"/>
    <w:tmpl w:val="C5405A1A"/>
    <w:lvl w:ilvl="0" w:tentative="0">
      <w:start w:val="4"/>
      <w:numFmt w:val="chineseCounting"/>
      <w:suff w:val="nothing"/>
      <w:lvlText w:val="%1、"/>
      <w:lvlJc w:val="left"/>
      <w:rPr>
        <w:rFonts w:hint="eastAsia"/>
      </w:rPr>
    </w:lvl>
  </w:abstractNum>
  <w:abstractNum w:abstractNumId="1">
    <w:nsid w:val="C6FA4DB4"/>
    <w:multiLevelType w:val="singleLevel"/>
    <w:tmpl w:val="C6FA4DB4"/>
    <w:lvl w:ilvl="0" w:tentative="0">
      <w:start w:val="5"/>
      <w:numFmt w:val="decimal"/>
      <w:suff w:val="nothing"/>
      <w:lvlText w:val="（%1）"/>
      <w:lvlJc w:val="left"/>
      <w:pPr>
        <w:ind w:left="0" w:firstLine="0"/>
      </w:pPr>
    </w:lvl>
  </w:abstractNum>
  <w:abstractNum w:abstractNumId="2">
    <w:nsid w:val="FEF8E0B2"/>
    <w:multiLevelType w:val="singleLevel"/>
    <w:tmpl w:val="FEF8E0B2"/>
    <w:lvl w:ilvl="0" w:tentative="0">
      <w:start w:val="3"/>
      <w:numFmt w:val="decimal"/>
      <w:lvlText w:val="%1."/>
      <w:lvlJc w:val="left"/>
      <w:pPr>
        <w:tabs>
          <w:tab w:val="left" w:pos="312"/>
        </w:tabs>
        <w:ind w:left="0" w:firstLine="0"/>
      </w:pPr>
    </w:lvl>
  </w:abstractNum>
  <w:abstractNum w:abstractNumId="3">
    <w:nsid w:val="187C399F"/>
    <w:multiLevelType w:val="singleLevel"/>
    <w:tmpl w:val="187C399F"/>
    <w:lvl w:ilvl="0" w:tentative="0">
      <w:start w:val="1"/>
      <w:numFmt w:val="decimal"/>
      <w:suff w:val="space"/>
      <w:lvlText w:val="%1."/>
      <w:lvlJc w:val="left"/>
      <w:pPr>
        <w:ind w:left="0" w:firstLine="0"/>
      </w:pPr>
    </w:lvl>
  </w:abstractNum>
  <w:abstractNum w:abstractNumId="4">
    <w:nsid w:val="38973DC2"/>
    <w:multiLevelType w:val="multilevel"/>
    <w:tmpl w:val="38973D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996883"/>
    <w:multiLevelType w:val="singleLevel"/>
    <w:tmpl w:val="70996883"/>
    <w:lvl w:ilvl="0" w:tentative="0">
      <w:start w:val="2"/>
      <w:numFmt w:val="chineseCounting"/>
      <w:suff w:val="space"/>
      <w:lvlText w:val="第%1章"/>
      <w:lvlJc w:val="left"/>
      <w:rPr>
        <w:rFonts w:hint="eastAsia"/>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ZTBjOWYyMmVmNWE2NDFjYWIzZmExNDk1MDc1ZWIifQ=="/>
  </w:docVars>
  <w:rsids>
    <w:rsidRoot w:val="00000000"/>
    <w:rsid w:val="018C1A4B"/>
    <w:rsid w:val="01F53082"/>
    <w:rsid w:val="023A60A7"/>
    <w:rsid w:val="036F6B27"/>
    <w:rsid w:val="045D136C"/>
    <w:rsid w:val="05AB0F0F"/>
    <w:rsid w:val="08611E3D"/>
    <w:rsid w:val="08922F6D"/>
    <w:rsid w:val="09B259BF"/>
    <w:rsid w:val="09C674D1"/>
    <w:rsid w:val="09F671BA"/>
    <w:rsid w:val="0AA37799"/>
    <w:rsid w:val="0B187AA4"/>
    <w:rsid w:val="0B72012D"/>
    <w:rsid w:val="0BB12CDF"/>
    <w:rsid w:val="0BD3207D"/>
    <w:rsid w:val="0C053F3F"/>
    <w:rsid w:val="0C394176"/>
    <w:rsid w:val="0C41127C"/>
    <w:rsid w:val="0C697545"/>
    <w:rsid w:val="0C6D6342"/>
    <w:rsid w:val="0C760F26"/>
    <w:rsid w:val="0E0B1B42"/>
    <w:rsid w:val="0E6671B6"/>
    <w:rsid w:val="0E6C48F0"/>
    <w:rsid w:val="0ED308B1"/>
    <w:rsid w:val="0EEC4E6E"/>
    <w:rsid w:val="0FF705D0"/>
    <w:rsid w:val="116933CD"/>
    <w:rsid w:val="120B350F"/>
    <w:rsid w:val="13ED2659"/>
    <w:rsid w:val="13F141A6"/>
    <w:rsid w:val="152451A9"/>
    <w:rsid w:val="15663E69"/>
    <w:rsid w:val="15760D2A"/>
    <w:rsid w:val="15950B44"/>
    <w:rsid w:val="162C63AB"/>
    <w:rsid w:val="17AC3769"/>
    <w:rsid w:val="186E7E7C"/>
    <w:rsid w:val="18C465B1"/>
    <w:rsid w:val="18F42140"/>
    <w:rsid w:val="1909368C"/>
    <w:rsid w:val="19583738"/>
    <w:rsid w:val="1AD67034"/>
    <w:rsid w:val="1B615C20"/>
    <w:rsid w:val="1B6D6AB2"/>
    <w:rsid w:val="1BA3160C"/>
    <w:rsid w:val="1CB92314"/>
    <w:rsid w:val="1CC41839"/>
    <w:rsid w:val="1EEB724C"/>
    <w:rsid w:val="1EF15053"/>
    <w:rsid w:val="1F1E762F"/>
    <w:rsid w:val="1FA45952"/>
    <w:rsid w:val="205309E5"/>
    <w:rsid w:val="20F048B0"/>
    <w:rsid w:val="212B03BA"/>
    <w:rsid w:val="217E28FF"/>
    <w:rsid w:val="236553F8"/>
    <w:rsid w:val="23680DE3"/>
    <w:rsid w:val="23EE4333"/>
    <w:rsid w:val="24946FA5"/>
    <w:rsid w:val="257F6C45"/>
    <w:rsid w:val="26543C2E"/>
    <w:rsid w:val="26D23179"/>
    <w:rsid w:val="27E25FF9"/>
    <w:rsid w:val="2B00174C"/>
    <w:rsid w:val="2BC929C8"/>
    <w:rsid w:val="2ED81174"/>
    <w:rsid w:val="2F385298"/>
    <w:rsid w:val="2FB73116"/>
    <w:rsid w:val="31CC3212"/>
    <w:rsid w:val="32E95A06"/>
    <w:rsid w:val="342F7A89"/>
    <w:rsid w:val="352F66E3"/>
    <w:rsid w:val="359635E0"/>
    <w:rsid w:val="35B62879"/>
    <w:rsid w:val="3600792F"/>
    <w:rsid w:val="367B5150"/>
    <w:rsid w:val="36D14E27"/>
    <w:rsid w:val="37491867"/>
    <w:rsid w:val="378A1A7C"/>
    <w:rsid w:val="37E67BC6"/>
    <w:rsid w:val="3B181276"/>
    <w:rsid w:val="3D86695C"/>
    <w:rsid w:val="3E1C72D0"/>
    <w:rsid w:val="3E5A185F"/>
    <w:rsid w:val="40D21331"/>
    <w:rsid w:val="40F1238A"/>
    <w:rsid w:val="42A87384"/>
    <w:rsid w:val="42D40FA6"/>
    <w:rsid w:val="438C2802"/>
    <w:rsid w:val="449662DE"/>
    <w:rsid w:val="45B93F83"/>
    <w:rsid w:val="467F03FC"/>
    <w:rsid w:val="482615EB"/>
    <w:rsid w:val="482D4209"/>
    <w:rsid w:val="494476DB"/>
    <w:rsid w:val="4A0A37EA"/>
    <w:rsid w:val="4AE729B3"/>
    <w:rsid w:val="4B871B00"/>
    <w:rsid w:val="4CAC7A71"/>
    <w:rsid w:val="4EAA5BE7"/>
    <w:rsid w:val="50CA43AD"/>
    <w:rsid w:val="534745D3"/>
    <w:rsid w:val="53E35448"/>
    <w:rsid w:val="543D0C16"/>
    <w:rsid w:val="559317CE"/>
    <w:rsid w:val="55FC750D"/>
    <w:rsid w:val="56AA302E"/>
    <w:rsid w:val="56E9366F"/>
    <w:rsid w:val="58EE47B6"/>
    <w:rsid w:val="5A7D47FA"/>
    <w:rsid w:val="5AE06F41"/>
    <w:rsid w:val="5B2A3542"/>
    <w:rsid w:val="5B423D09"/>
    <w:rsid w:val="5B8F77D0"/>
    <w:rsid w:val="5BBA2302"/>
    <w:rsid w:val="5C6A0F6A"/>
    <w:rsid w:val="5CAC0BE4"/>
    <w:rsid w:val="5CAC7619"/>
    <w:rsid w:val="5D271AC7"/>
    <w:rsid w:val="5E1E4AD4"/>
    <w:rsid w:val="5E7C672B"/>
    <w:rsid w:val="60440A76"/>
    <w:rsid w:val="60BF6646"/>
    <w:rsid w:val="63345284"/>
    <w:rsid w:val="639257BA"/>
    <w:rsid w:val="640B266D"/>
    <w:rsid w:val="645E744B"/>
    <w:rsid w:val="64C07F21"/>
    <w:rsid w:val="64D23995"/>
    <w:rsid w:val="64F23D68"/>
    <w:rsid w:val="653528A1"/>
    <w:rsid w:val="6686712D"/>
    <w:rsid w:val="66FB60BE"/>
    <w:rsid w:val="684A6664"/>
    <w:rsid w:val="68E27BD2"/>
    <w:rsid w:val="69AB3A19"/>
    <w:rsid w:val="6AEA1149"/>
    <w:rsid w:val="6C494E84"/>
    <w:rsid w:val="6D073BCB"/>
    <w:rsid w:val="6DD71F00"/>
    <w:rsid w:val="6DFB2B6F"/>
    <w:rsid w:val="6F0D3F47"/>
    <w:rsid w:val="6F972D3D"/>
    <w:rsid w:val="6FAE2AD9"/>
    <w:rsid w:val="7318110C"/>
    <w:rsid w:val="74100EE9"/>
    <w:rsid w:val="747D1B6F"/>
    <w:rsid w:val="77505F95"/>
    <w:rsid w:val="77BF7D59"/>
    <w:rsid w:val="798474FC"/>
    <w:rsid w:val="7AF656B3"/>
    <w:rsid w:val="7BE07F76"/>
    <w:rsid w:val="7BF426BC"/>
    <w:rsid w:val="7C084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方正兰亭黑_GBK" w:hAnsi="Times New Roman" w:eastAsia="方正兰亭黑_GBK" w:cs="Times New Roman"/>
      <w:kern w:val="2"/>
      <w:sz w:val="21"/>
      <w:szCs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hAnsi="方正兰亭黑_GBK" w:eastAsia="黑体"/>
      <w:b/>
      <w:bCs/>
      <w:sz w:val="32"/>
      <w:szCs w:val="32"/>
    </w:rPr>
  </w:style>
  <w:style w:type="paragraph" w:styleId="4">
    <w:name w:val="heading 3"/>
    <w:basedOn w:val="1"/>
    <w:next w:val="5"/>
    <w:autoRedefine/>
    <w:qFormat/>
    <w:uiPriority w:val="0"/>
    <w:pPr>
      <w:keepNext/>
      <w:keepLines/>
      <w:spacing w:before="260" w:after="260" w:line="415" w:lineRule="auto"/>
      <w:outlineLvl w:val="2"/>
    </w:pPr>
    <w:rPr>
      <w:b/>
      <w:bCs/>
      <w:sz w:val="32"/>
      <w:szCs w:val="32"/>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Times New Roman" w:hAnsi="Times New Roman"/>
      <w:szCs w:val="20"/>
    </w:rPr>
  </w:style>
  <w:style w:type="paragraph" w:styleId="6">
    <w:name w:val="Document Map"/>
    <w:basedOn w:val="1"/>
    <w:qFormat/>
    <w:uiPriority w:val="99"/>
    <w:rPr>
      <w:rFonts w:ascii="宋体"/>
      <w:sz w:val="18"/>
      <w:szCs w:val="18"/>
    </w:rPr>
  </w:style>
  <w:style w:type="paragraph" w:styleId="7">
    <w:name w:val="Body Text"/>
    <w:basedOn w:val="1"/>
    <w:next w:val="1"/>
    <w:autoRedefine/>
    <w:qFormat/>
    <w:uiPriority w:val="0"/>
    <w:pPr>
      <w:spacing w:after="120"/>
    </w:pPr>
    <w:rPr>
      <w:kern w:val="0"/>
      <w:sz w:val="20"/>
      <w:szCs w:val="24"/>
    </w:rPr>
  </w:style>
  <w:style w:type="paragraph" w:styleId="8">
    <w:name w:val="Body Text Indent"/>
    <w:basedOn w:val="1"/>
    <w:next w:val="9"/>
    <w:autoRedefine/>
    <w:semiHidden/>
    <w:unhideWhenUsed/>
    <w:qFormat/>
    <w:uiPriority w:val="99"/>
    <w:pPr>
      <w:spacing w:after="120"/>
      <w:ind w:left="420" w:leftChars="200"/>
    </w:pPr>
  </w:style>
  <w:style w:type="paragraph" w:styleId="9">
    <w:name w:val="Body Text First Indent 2"/>
    <w:basedOn w:val="8"/>
    <w:next w:val="10"/>
    <w:autoRedefine/>
    <w:qFormat/>
    <w:uiPriority w:val="99"/>
    <w:pPr>
      <w:ind w:firstLine="210" w:firstLineChars="200"/>
    </w:pPr>
    <w:rPr>
      <w:rFonts w:ascii="宋体" w:hAnsi="宋体" w:eastAsia="宋体" w:cs="Times New Roman"/>
      <w:szCs w:val="24"/>
    </w:rPr>
  </w:style>
  <w:style w:type="paragraph" w:customStyle="1" w:styleId="10">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hAnsi="宋体"/>
      <w:b/>
      <w:bCs/>
      <w:kern w:val="0"/>
      <w:sz w:val="20"/>
      <w:szCs w:val="20"/>
    </w:rPr>
  </w:style>
  <w:style w:type="paragraph" w:styleId="11">
    <w:name w:val="Block Text"/>
    <w:basedOn w:val="1"/>
    <w:autoRedefine/>
    <w:qFormat/>
    <w:uiPriority w:val="0"/>
    <w:pPr>
      <w:ind w:left="113" w:right="113"/>
      <w:jc w:val="center"/>
    </w:pPr>
    <w:rPr>
      <w:sz w:val="18"/>
    </w:rPr>
  </w:style>
  <w:style w:type="paragraph" w:styleId="12">
    <w:name w:val="Plain Text"/>
    <w:basedOn w:val="1"/>
    <w:next w:val="1"/>
    <w:qFormat/>
    <w:uiPriority w:val="0"/>
    <w:pPr>
      <w:spacing w:before="156" w:beforeLines="50" w:after="156" w:afterLines="50" w:line="400" w:lineRule="exact"/>
    </w:pPr>
    <w:rPr>
      <w:rFonts w:ascii="宋体" w:hAnsi="Courier New"/>
      <w:sz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6"/>
    <w:basedOn w:val="1"/>
    <w:next w:val="1"/>
    <w:semiHidden/>
    <w:qFormat/>
    <w:uiPriority w:val="0"/>
    <w:pPr>
      <w:ind w:left="1050"/>
      <w:jc w:val="left"/>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Body Text First Indent"/>
    <w:basedOn w:val="7"/>
    <w:next w:val="16"/>
    <w:qFormat/>
    <w:uiPriority w:val="0"/>
    <w:pPr>
      <w:spacing w:line="360" w:lineRule="auto"/>
      <w:ind w:firstLine="200" w:firstLineChars="200"/>
      <w:jc w:val="left"/>
    </w:pPr>
    <w:rPr>
      <w:rFonts w:ascii="宋体" w:hAnsi="宋体" w:eastAsia="宋体" w:cs="Times New Roman"/>
      <w:bCs/>
      <w:sz w:val="24"/>
    </w:rPr>
  </w:style>
  <w:style w:type="table" w:styleId="20">
    <w:name w:val="Table Grid"/>
    <w:basedOn w:val="1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autoRedefine/>
    <w:qFormat/>
    <w:uiPriority w:val="0"/>
    <w:rPr>
      <w:color w:val="0000FF"/>
      <w:u w:val="single"/>
    </w:rPr>
  </w:style>
  <w:style w:type="paragraph" w:customStyle="1" w:styleId="23">
    <w:name w:val="正文1"/>
    <w:basedOn w:val="6"/>
    <w:next w:val="1"/>
    <w:qFormat/>
    <w:uiPriority w:val="99"/>
    <w:pPr>
      <w:shd w:val="clear" w:color="auto" w:fill="000080"/>
    </w:pPr>
    <w:rPr>
      <w:rFonts w:ascii="Tahoma" w:hAnsi="Tahoma" w:cs="Tahoma"/>
      <w:kern w:val="0"/>
      <w:szCs w:val="24"/>
    </w:rPr>
  </w:style>
  <w:style w:type="character" w:customStyle="1" w:styleId="24">
    <w:name w:val="页眉 字符"/>
    <w:basedOn w:val="21"/>
    <w:link w:val="14"/>
    <w:autoRedefine/>
    <w:qFormat/>
    <w:uiPriority w:val="0"/>
    <w:rPr>
      <w:rFonts w:ascii="方正兰亭黑_GBK" w:eastAsia="方正兰亭黑_GBK"/>
      <w:kern w:val="2"/>
      <w:sz w:val="18"/>
      <w:szCs w:val="18"/>
    </w:rPr>
  </w:style>
  <w:style w:type="paragraph" w:customStyle="1" w:styleId="25">
    <w:name w:val="List Paragraph"/>
    <w:basedOn w:val="1"/>
    <w:autoRedefine/>
    <w:qFormat/>
    <w:uiPriority w:val="99"/>
    <w:pPr>
      <w:ind w:firstLine="420" w:firstLineChars="200"/>
    </w:pPr>
  </w:style>
  <w:style w:type="paragraph" w:customStyle="1" w:styleId="26">
    <w:name w:val="Default"/>
    <w:autoRedefine/>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7">
    <w:name w:val="Table Text"/>
    <w:basedOn w:val="1"/>
    <w:semiHidden/>
    <w:qFormat/>
    <w:uiPriority w:val="0"/>
    <w:rPr>
      <w:rFonts w:ascii="仿宋" w:hAnsi="仿宋" w:eastAsia="仿宋" w:cs="仿宋"/>
      <w:sz w:val="20"/>
      <w:szCs w:val="20"/>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Other|1"/>
    <w:basedOn w:val="1"/>
    <w:autoRedefine/>
    <w:qFormat/>
    <w:uiPriority w:val="0"/>
    <w:pPr>
      <w:widowControl w:val="0"/>
      <w:shd w:val="clear" w:color="auto" w:fill="auto"/>
      <w:spacing w:line="267" w:lineRule="exact"/>
    </w:pPr>
    <w:rPr>
      <w:rFonts w:ascii="宋体" w:hAnsi="宋体" w:eastAsia="宋体" w:cs="宋体"/>
      <w:sz w:val="17"/>
      <w:szCs w:val="17"/>
      <w:u w:val="none"/>
      <w:shd w:val="clear" w:color="auto" w:fill="auto"/>
      <w:lang w:val="zh-TW" w:eastAsia="zh-TW" w:bidi="zh-TW"/>
    </w:rPr>
  </w:style>
  <w:style w:type="paragraph" w:customStyle="1" w:styleId="30">
    <w:name w:val="表格文字"/>
    <w:basedOn w:val="12"/>
    <w:next w:val="7"/>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31">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首行缩进2字符）"/>
    <w:basedOn w:val="1"/>
    <w:qFormat/>
    <w:uiPriority w:val="0"/>
    <w:pPr>
      <w:spacing w:line="360" w:lineRule="auto"/>
      <w:ind w:firstLine="420" w:firstLineChars="200"/>
    </w:pPr>
    <w:rPr>
      <w:szCs w:val="21"/>
    </w:rPr>
  </w:style>
  <w:style w:type="character" w:customStyle="1" w:styleId="33">
    <w:name w:val="NormalCharacter"/>
    <w:link w:val="34"/>
    <w:qFormat/>
    <w:uiPriority w:val="0"/>
    <w:rPr>
      <w:kern w:val="2"/>
      <w:sz w:val="24"/>
      <w:szCs w:val="24"/>
      <w:lang w:val="en-US" w:eastAsia="zh-CN" w:bidi="ar-SA"/>
    </w:rPr>
  </w:style>
  <w:style w:type="paragraph" w:customStyle="1" w:styleId="34">
    <w:name w:val="UserStyle_6"/>
    <w:basedOn w:val="1"/>
    <w:link w:val="33"/>
    <w:qFormat/>
    <w:uiPriority w:val="0"/>
    <w:pPr>
      <w:tabs>
        <w:tab w:val="left" w:pos="432"/>
      </w:tabs>
      <w:spacing w:before="50" w:after="50"/>
      <w:ind w:left="432" w:hanging="432"/>
      <w:jc w:val="both"/>
      <w:textAlignment w:val="baseline"/>
    </w:pPr>
    <w:rPr>
      <w:kern w:val="2"/>
      <w:sz w:val="24"/>
      <w:szCs w:val="24"/>
      <w:lang w:val="en-US" w:eastAsia="zh-CN" w:bidi="ar-SA"/>
    </w:rPr>
  </w:style>
  <w:style w:type="paragraph" w:customStyle="1" w:styleId="35">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36">
    <w:name w:val="纯文本_0"/>
    <w:basedOn w:val="37"/>
    <w:unhideWhenUsed/>
    <w:qFormat/>
    <w:uiPriority w:val="0"/>
    <w:rPr>
      <w:rFonts w:ascii="宋体" w:hAnsi="Courier New"/>
      <w:kern w:val="0"/>
      <w:sz w:val="20"/>
      <w:szCs w:val="20"/>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纯文本1"/>
    <w:basedOn w:val="35"/>
    <w:qFormat/>
    <w:uiPriority w:val="0"/>
    <w:rPr>
      <w:rFonts w:ascii="Arial Unicode MS" w:hAnsi="等线" w:eastAsia="Arial Unicode MS" w:cs="方正姚体"/>
    </w:rPr>
  </w:style>
  <w:style w:type="paragraph" w:customStyle="1" w:styleId="39">
    <w:name w:val="Heading3"/>
    <w:basedOn w:val="1"/>
    <w:next w:val="1"/>
    <w:qFormat/>
    <w:uiPriority w:val="0"/>
    <w:pPr>
      <w:spacing w:before="120" w:after="120" w:line="300" w:lineRule="auto"/>
    </w:pPr>
    <w:rPr>
      <w:sz w:val="24"/>
      <w:szCs w:val="20"/>
    </w:rPr>
  </w:style>
  <w:style w:type="paragraph" w:customStyle="1" w:styleId="4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Normal]"/>
    <w:basedOn w:val="1"/>
    <w:qFormat/>
    <w:uiPriority w:val="0"/>
    <w:pPr>
      <w:widowControl/>
      <w:jc w:val="left"/>
    </w:pPr>
    <w:rPr>
      <w:rFonts w:ascii="宋体" w:hAnsi="宋体" w:cs="宋体"/>
      <w:kern w:val="0"/>
      <w:sz w:val="24"/>
      <w:szCs w:val="24"/>
    </w:rPr>
  </w:style>
  <w:style w:type="paragraph" w:customStyle="1" w:styleId="43">
    <w:name w:val="首行缩进"/>
    <w:basedOn w:val="1"/>
    <w:qFormat/>
    <w:uiPriority w:val="0"/>
    <w:pPr>
      <w:spacing w:line="360" w:lineRule="auto"/>
      <w:ind w:firstLine="720"/>
    </w:pPr>
    <w:rPr>
      <w:szCs w:val="21"/>
    </w:rPr>
  </w:style>
  <w:style w:type="paragraph" w:customStyle="1" w:styleId="44">
    <w:name w:val="Body text|1"/>
    <w:qFormat/>
    <w:uiPriority w:val="0"/>
    <w:pPr>
      <w:widowControl w:val="0"/>
      <w:spacing w:line="398" w:lineRule="auto"/>
      <w:ind w:firstLine="400"/>
    </w:pPr>
    <w:rPr>
      <w:rFonts w:ascii="宋体" w:hAnsi="宋体"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71</Pages>
  <Words>23933</Words>
  <Characters>25151</Characters>
  <Lines>624</Lines>
  <Paragraphs>175</Paragraphs>
  <TotalTime>10</TotalTime>
  <ScaleCrop>false</ScaleCrop>
  <LinksUpToDate>false</LinksUpToDate>
  <CharactersWithSpaces>25384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2021-05-08T15:28:00Z</dcterms:created>
  <dc:creator>User274</dc:creator>
  <cp:lastModifiedBy>野丫头</cp:lastModifiedBy>
  <cp:lastPrinted>2024-06-25T01:12:00Z</cp:lastPrinted>
  <dcterms:modified xsi:type="dcterms:W3CDTF">2024-12-13T02:39:46Z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A258995DCC5E49A9BB930BEECAB5626B_13</vt:lpwstr>
  </property>
</Properties>
</file>