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CF17E">
      <w:pPr>
        <w:shd w:val="clear" w:color="auto" w:fill="FFFFFF"/>
        <w:spacing w:line="360" w:lineRule="auto"/>
        <w:textAlignment w:val="bottom"/>
        <w:rPr>
          <w:rFonts w:hint="eastAsia" w:ascii="宋体"/>
          <w:b/>
          <w:kern w:val="0"/>
          <w:sz w:val="24"/>
        </w:rPr>
      </w:pPr>
    </w:p>
    <w:p w14:paraId="400A1C5F">
      <w:pPr>
        <w:pStyle w:val="9"/>
      </w:pPr>
    </w:p>
    <w:p w14:paraId="39BFED9D">
      <w:pPr>
        <w:spacing w:line="360" w:lineRule="auto"/>
        <w:rPr>
          <w:rFonts w:ascii="宋体" w:cs="宋体"/>
          <w:sz w:val="24"/>
        </w:rPr>
      </w:pPr>
      <w:r>
        <w:rPr>
          <w:rFonts w:hint="eastAsia" w:ascii="宋体" w:hAnsi="宋体" w:cs="宋体"/>
          <w:sz w:val="72"/>
          <w:szCs w:val="72"/>
        </w:rPr>
        <w:drawing>
          <wp:anchor distT="0" distB="0" distL="114300" distR="114300" simplePos="0" relativeHeight="251660288" behindDoc="0" locked="0" layoutInCell="1" allowOverlap="1">
            <wp:simplePos x="0" y="0"/>
            <wp:positionH relativeFrom="column">
              <wp:posOffset>1497330</wp:posOffset>
            </wp:positionH>
            <wp:positionV relativeFrom="paragraph">
              <wp:posOffset>462280</wp:posOffset>
            </wp:positionV>
            <wp:extent cx="2265680" cy="2037715"/>
            <wp:effectExtent l="0" t="0" r="1270" b="635"/>
            <wp:wrapNone/>
            <wp:docPr id="2" name="图片 1" descr="496c4e8fe4ac96c9510510bec83c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6c4e8fe4ac96c9510510bec83cc2d"/>
                    <pic:cNvPicPr>
                      <a:picLocks noChangeAspect="1"/>
                    </pic:cNvPicPr>
                  </pic:nvPicPr>
                  <pic:blipFill>
                    <a:blip r:embed="rId15"/>
                    <a:stretch>
                      <a:fillRect/>
                    </a:stretch>
                  </pic:blipFill>
                  <pic:spPr>
                    <a:xfrm>
                      <a:off x="0" y="0"/>
                      <a:ext cx="2265680" cy="2037715"/>
                    </a:xfrm>
                    <a:prstGeom prst="rect">
                      <a:avLst/>
                    </a:prstGeom>
                    <a:noFill/>
                    <a:ln>
                      <a:noFill/>
                    </a:ln>
                  </pic:spPr>
                </pic:pic>
              </a:graphicData>
            </a:graphic>
          </wp:anchor>
        </w:drawing>
      </w:r>
    </w:p>
    <w:p w14:paraId="4035F8D3">
      <w:pPr>
        <w:spacing w:line="360" w:lineRule="auto"/>
        <w:rPr>
          <w:rFonts w:hint="eastAsia" w:ascii="宋体" w:cs="宋体"/>
          <w:sz w:val="24"/>
        </w:rPr>
      </w:pPr>
    </w:p>
    <w:p w14:paraId="48861ACD">
      <w:pPr>
        <w:jc w:val="center"/>
        <w:rPr>
          <w:rFonts w:ascii="宋体" w:cs="宋体"/>
          <w:sz w:val="72"/>
          <w:szCs w:val="72"/>
        </w:rPr>
      </w:pPr>
      <w:r>
        <w:rPr>
          <w:rFonts w:hint="eastAsia" w:ascii="宋体" w:hAnsi="宋体" w:cs="宋体"/>
          <w:sz w:val="72"/>
          <w:szCs w:val="72"/>
        </w:rPr>
        <w:t xml:space="preserve">        </w:t>
      </w:r>
    </w:p>
    <w:p w14:paraId="6AA6BA18">
      <w:pPr>
        <w:shd w:val="clear" w:color="auto" w:fill="FFFFFF"/>
        <w:spacing w:line="360" w:lineRule="auto"/>
        <w:textAlignment w:val="bottom"/>
        <w:rPr>
          <w:rFonts w:ascii="宋体"/>
          <w:b/>
          <w:kern w:val="0"/>
          <w:sz w:val="24"/>
        </w:rPr>
      </w:pPr>
    </w:p>
    <w:p w14:paraId="13FEF10B">
      <w:pPr>
        <w:shd w:val="clear" w:color="auto" w:fill="FFFFFF"/>
        <w:spacing w:line="360" w:lineRule="auto"/>
        <w:textAlignment w:val="bottom"/>
        <w:rPr>
          <w:rFonts w:ascii="宋体"/>
          <w:b/>
          <w:kern w:val="0"/>
          <w:sz w:val="24"/>
        </w:rPr>
      </w:pPr>
    </w:p>
    <w:p w14:paraId="3636ABC8">
      <w:pPr>
        <w:shd w:val="clear" w:color="auto" w:fill="FFFFFF"/>
        <w:spacing w:line="360" w:lineRule="auto"/>
        <w:textAlignment w:val="bottom"/>
        <w:rPr>
          <w:rFonts w:ascii="宋体"/>
          <w:b/>
          <w:kern w:val="0"/>
          <w:sz w:val="24"/>
        </w:rPr>
      </w:pPr>
    </w:p>
    <w:p w14:paraId="5AB9250A">
      <w:pPr>
        <w:shd w:val="clear" w:color="auto" w:fill="FFFFFF"/>
        <w:spacing w:line="360" w:lineRule="auto"/>
        <w:textAlignment w:val="bottom"/>
        <w:rPr>
          <w:rFonts w:ascii="宋体"/>
          <w:b/>
          <w:kern w:val="0"/>
          <w:sz w:val="24"/>
        </w:rPr>
      </w:pPr>
    </w:p>
    <w:p w14:paraId="373452BC">
      <w:pPr>
        <w:shd w:val="clear" w:color="auto" w:fill="FFFFFF"/>
        <w:spacing w:line="360" w:lineRule="auto"/>
        <w:jc w:val="center"/>
        <w:textAlignment w:val="bottom"/>
        <w:rPr>
          <w:rFonts w:hint="eastAsia" w:ascii="宋体" w:hAnsi="宋体" w:eastAsia="宋体" w:cs="宋体"/>
          <w:b/>
          <w:kern w:val="0"/>
          <w:sz w:val="52"/>
          <w:szCs w:val="52"/>
        </w:rPr>
      </w:pPr>
      <w:r>
        <w:rPr>
          <w:rFonts w:hint="eastAsia" w:ascii="宋体" w:hAnsi="宋体" w:eastAsia="宋体" w:cs="宋体"/>
          <w:b/>
          <w:kern w:val="0"/>
          <w:sz w:val="52"/>
          <w:szCs w:val="52"/>
        </w:rPr>
        <w:t xml:space="preserve">竞争性磋商文件  </w:t>
      </w:r>
    </w:p>
    <w:p w14:paraId="7205D930">
      <w:pPr>
        <w:shd w:val="clear" w:color="auto" w:fill="FFFFFF"/>
        <w:spacing w:line="360" w:lineRule="auto"/>
        <w:textAlignment w:val="bottom"/>
        <w:rPr>
          <w:rFonts w:hint="eastAsia" w:ascii="宋体" w:hAnsi="宋体" w:eastAsia="宋体" w:cs="宋体"/>
          <w:b/>
          <w:kern w:val="0"/>
          <w:sz w:val="24"/>
        </w:rPr>
      </w:pPr>
    </w:p>
    <w:p w14:paraId="6D15ED97">
      <w:pPr>
        <w:shd w:val="clear" w:color="auto" w:fill="FFFFFF"/>
        <w:spacing w:line="360" w:lineRule="auto"/>
        <w:jc w:val="center"/>
        <w:textAlignment w:val="bottom"/>
        <w:rPr>
          <w:rFonts w:hint="eastAsia" w:ascii="宋体" w:hAnsi="宋体" w:eastAsia="宋体" w:cs="宋体"/>
          <w:b/>
          <w:kern w:val="0"/>
          <w:sz w:val="24"/>
        </w:rPr>
      </w:pPr>
    </w:p>
    <w:p w14:paraId="71BB4180">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项目编号</w:t>
      </w:r>
      <w:r>
        <w:rPr>
          <w:rFonts w:hint="eastAsia" w:ascii="宋体" w:hAnsi="宋体" w:eastAsia="宋体" w:cs="宋体"/>
          <w:bCs/>
          <w:color w:val="auto"/>
          <w:sz w:val="28"/>
          <w:szCs w:val="28"/>
          <w:lang w:eastAsia="zh-CN"/>
        </w:rPr>
        <w:t>：ZJXCX-2024-101号</w:t>
      </w:r>
    </w:p>
    <w:p w14:paraId="32ECF276">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项目名称</w:t>
      </w:r>
      <w:r>
        <w:rPr>
          <w:rFonts w:hint="eastAsia" w:ascii="宋体" w:hAnsi="宋体" w:eastAsia="宋体" w:cs="宋体"/>
          <w:bCs/>
          <w:color w:val="auto"/>
          <w:sz w:val="28"/>
          <w:szCs w:val="28"/>
          <w:lang w:eastAsia="zh-CN"/>
        </w:rPr>
        <w:t>：椒江区梓杨河（山门村段）治理工程</w:t>
      </w:r>
    </w:p>
    <w:p w14:paraId="6562B7E4">
      <w:pPr>
        <w:spacing w:line="360" w:lineRule="auto"/>
        <w:rPr>
          <w:rFonts w:hint="eastAsia" w:ascii="宋体" w:hAnsi="宋体" w:eastAsia="宋体" w:cs="宋体"/>
          <w:sz w:val="28"/>
          <w:szCs w:val="28"/>
        </w:rPr>
      </w:pPr>
    </w:p>
    <w:p w14:paraId="1C84E617">
      <w:pPr>
        <w:pStyle w:val="2"/>
        <w:numPr>
          <w:ilvl w:val="0"/>
          <w:numId w:val="0"/>
        </w:numPr>
        <w:ind w:left="1600" w:right="210"/>
        <w:rPr>
          <w:rFonts w:hint="eastAsia" w:ascii="宋体" w:hAnsi="宋体" w:eastAsia="宋体" w:cs="宋体"/>
        </w:rPr>
      </w:pPr>
    </w:p>
    <w:p w14:paraId="1330D5FC">
      <w:pPr>
        <w:tabs>
          <w:tab w:val="left" w:pos="7770"/>
          <w:tab w:val="left" w:pos="7980"/>
        </w:tabs>
        <w:spacing w:line="360" w:lineRule="auto"/>
        <w:rPr>
          <w:rFonts w:hint="eastAsia" w:ascii="宋体" w:hAnsi="宋体" w:eastAsia="宋体" w:cs="宋体"/>
          <w:sz w:val="28"/>
          <w:szCs w:val="28"/>
        </w:rPr>
      </w:pPr>
    </w:p>
    <w:p w14:paraId="6675FE2F">
      <w:pPr>
        <w:spacing w:line="360" w:lineRule="auto"/>
        <w:ind w:firstLine="1680" w:firstLineChars="600"/>
        <w:jc w:val="left"/>
        <w:rPr>
          <w:rFonts w:hint="eastAsia" w:ascii="宋体" w:hAnsi="宋体" w:eastAsia="宋体" w:cs="宋体"/>
          <w:bCs/>
          <w:sz w:val="28"/>
          <w:szCs w:val="28"/>
          <w:lang w:eastAsia="zh-CN"/>
        </w:rPr>
      </w:pPr>
      <w:r>
        <w:rPr>
          <w:rFonts w:hint="eastAsia" w:ascii="宋体" w:hAnsi="宋体" w:eastAsia="宋体" w:cs="宋体"/>
          <w:bCs/>
          <w:sz w:val="28"/>
          <w:szCs w:val="28"/>
        </w:rPr>
        <w:t>采购单位：</w:t>
      </w:r>
      <w:r>
        <w:rPr>
          <w:rFonts w:hint="eastAsia" w:ascii="宋体" w:hAnsi="宋体" w:eastAsia="宋体" w:cs="宋体"/>
          <w:bCs/>
          <w:sz w:val="28"/>
          <w:szCs w:val="28"/>
          <w:lang w:eastAsia="zh-CN"/>
        </w:rPr>
        <w:t>台州市椒江区人民政府章安街道办事处</w:t>
      </w:r>
    </w:p>
    <w:p w14:paraId="4CD01D6F">
      <w:pPr>
        <w:spacing w:line="360" w:lineRule="auto"/>
        <w:ind w:firstLine="1680" w:firstLineChars="600"/>
        <w:jc w:val="left"/>
        <w:rPr>
          <w:rFonts w:hint="eastAsia" w:ascii="宋体" w:hAnsi="宋体" w:eastAsia="宋体" w:cs="宋体"/>
          <w:bCs/>
          <w:sz w:val="28"/>
          <w:szCs w:val="28"/>
        </w:rPr>
      </w:pPr>
      <w:r>
        <w:rPr>
          <w:rFonts w:hint="eastAsia" w:ascii="宋体" w:hAnsi="宋体" w:eastAsia="宋体" w:cs="宋体"/>
          <w:bCs/>
          <w:sz w:val="28"/>
          <w:szCs w:val="28"/>
        </w:rPr>
        <w:t>代理机构：浙江新诚信工程咨询有限公司</w:t>
      </w:r>
    </w:p>
    <w:p w14:paraId="63E47794">
      <w:pPr>
        <w:rPr>
          <w:rFonts w:hint="eastAsia" w:ascii="宋体" w:hAnsi="宋体" w:eastAsia="宋体" w:cs="宋体"/>
          <w:sz w:val="28"/>
          <w:szCs w:val="28"/>
        </w:rPr>
      </w:pPr>
    </w:p>
    <w:p w14:paraId="0C047A26">
      <w:pPr>
        <w:pStyle w:val="10"/>
        <w:ind w:firstLine="280"/>
        <w:rPr>
          <w:rFonts w:hint="eastAsia" w:ascii="宋体" w:hAnsi="宋体" w:eastAsia="宋体" w:cs="宋体"/>
          <w:sz w:val="28"/>
          <w:szCs w:val="28"/>
        </w:rPr>
      </w:pPr>
    </w:p>
    <w:p w14:paraId="3C45B997">
      <w:pPr>
        <w:rPr>
          <w:rFonts w:hint="eastAsia" w:ascii="宋体" w:hAnsi="宋体" w:eastAsia="宋体" w:cs="宋体"/>
        </w:rPr>
      </w:pPr>
    </w:p>
    <w:p w14:paraId="18F25083">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2024年1</w:t>
      </w:r>
      <w:r>
        <w:rPr>
          <w:rFonts w:hint="eastAsia" w:ascii="宋体" w:hAnsi="宋体" w:cs="宋体"/>
          <w:sz w:val="28"/>
          <w:szCs w:val="28"/>
          <w:lang w:val="en-US" w:eastAsia="zh-CN"/>
        </w:rPr>
        <w:t>2</w:t>
      </w:r>
      <w:r>
        <w:rPr>
          <w:rFonts w:hint="eastAsia" w:ascii="宋体" w:hAnsi="宋体" w:eastAsia="宋体" w:cs="宋体"/>
          <w:sz w:val="28"/>
          <w:szCs w:val="28"/>
          <w:lang w:eastAsia="zh-CN"/>
        </w:rPr>
        <w:t>月</w:t>
      </w:r>
    </w:p>
    <w:p w14:paraId="02F917E4">
      <w:pPr>
        <w:shd w:val="clear" w:color="auto" w:fill="FFFFFF"/>
        <w:tabs>
          <w:tab w:val="left" w:pos="3631"/>
          <w:tab w:val="center" w:pos="4150"/>
        </w:tabs>
        <w:spacing w:line="360" w:lineRule="auto"/>
        <w:jc w:val="left"/>
        <w:textAlignment w:val="bottom"/>
        <w:rPr>
          <w:rFonts w:hint="eastAsia" w:ascii="宋体" w:hAnsi="宋体" w:eastAsia="宋体" w:cs="宋体"/>
          <w:b/>
          <w:kern w:val="0"/>
          <w:sz w:val="52"/>
          <w:szCs w:val="52"/>
        </w:rPr>
        <w:sectPr>
          <w:headerReference r:id="rId3" w:type="default"/>
          <w:footerReference r:id="rId4" w:type="default"/>
          <w:type w:val="continuous"/>
          <w:pgSz w:w="11906" w:h="16838"/>
          <w:pgMar w:top="1440" w:right="1803" w:bottom="1440" w:left="1803" w:header="851" w:footer="992" w:gutter="0"/>
          <w:pgNumType w:fmt="numberInDash"/>
          <w:cols w:space="720" w:num="1"/>
          <w:docGrid w:type="lines" w:linePitch="319" w:charSpace="0"/>
        </w:sectPr>
      </w:pPr>
    </w:p>
    <w:p w14:paraId="0E2B0E80">
      <w:pPr>
        <w:widowControl/>
        <w:jc w:val="left"/>
        <w:rPr>
          <w:rFonts w:hint="eastAsia" w:ascii="宋体" w:hAnsi="宋体" w:cs="宋体"/>
          <w:color w:val="auto"/>
          <w:sz w:val="32"/>
          <w:szCs w:val="32"/>
          <w:highlight w:val="none"/>
        </w:rPr>
        <w:sectPr>
          <w:headerReference r:id="rId6" w:type="first"/>
          <w:headerReference r:id="rId5" w:type="default"/>
          <w:footerReference r:id="rId7" w:type="default"/>
          <w:type w:val="continuous"/>
          <w:pgSz w:w="11906" w:h="16838"/>
          <w:pgMar w:top="1276" w:right="1418" w:bottom="1440" w:left="1418" w:header="851" w:footer="851" w:gutter="0"/>
          <w:cols w:space="720" w:num="1"/>
          <w:docGrid w:linePitch="312" w:charSpace="0"/>
        </w:sectPr>
      </w:pP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32"/>
          <w:szCs w:val="32"/>
          <w:highlight w:val="none"/>
        </w:rPr>
      </w:sdtEndPr>
      <w:sdtContent>
        <w:p w14:paraId="2D9F48E1">
          <w:pPr>
            <w:widowControl/>
            <w:jc w:val="left"/>
            <w:rPr>
              <w:rFonts w:ascii="宋体" w:hAnsi="宋体" w:cs="宋体"/>
              <w:color w:val="auto"/>
              <w:sz w:val="44"/>
              <w:szCs w:val="44"/>
              <w:highlight w:val="none"/>
            </w:rPr>
          </w:pPr>
        </w:p>
        <w:p w14:paraId="517F477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7B92D38">
          <w:pPr>
            <w:pStyle w:val="19"/>
            <w:tabs>
              <w:tab w:val="right" w:leader="dot" w:pos="9070"/>
            </w:tabs>
            <w:rPr>
              <w:color w:val="auto"/>
              <w:sz w:val="28"/>
              <w:szCs w:val="36"/>
              <w:highlight w:val="none"/>
            </w:rPr>
          </w:pPr>
          <w:r>
            <w:rPr>
              <w:rFonts w:hint="eastAsia" w:cs="宋体" w:asciiTheme="minorEastAsia" w:hAnsiTheme="minorEastAsia" w:eastAsiaTheme="minorEastAsia"/>
              <w:color w:val="auto"/>
              <w:kern w:val="0"/>
              <w:sz w:val="36"/>
              <w:szCs w:val="36"/>
              <w:highlight w:val="none"/>
            </w:rPr>
            <w:fldChar w:fldCharType="begin"/>
          </w:r>
          <w:r>
            <w:rPr>
              <w:rFonts w:hint="eastAsia" w:cs="宋体" w:asciiTheme="minorEastAsia" w:hAnsiTheme="minorEastAsia" w:eastAsiaTheme="minorEastAsia"/>
              <w:color w:val="auto"/>
              <w:sz w:val="36"/>
              <w:szCs w:val="36"/>
              <w:highlight w:val="none"/>
            </w:rPr>
            <w:instrText xml:space="preserve">TOC \o "1-1" \h \u </w:instrText>
          </w:r>
          <w:r>
            <w:rPr>
              <w:rFonts w:hint="eastAsia" w:cs="宋体" w:asciiTheme="minorEastAsia" w:hAnsiTheme="minorEastAsia" w:eastAsiaTheme="minorEastAsia"/>
              <w:color w:val="auto"/>
              <w:kern w:val="0"/>
              <w:sz w:val="36"/>
              <w:szCs w:val="36"/>
              <w:highlight w:val="none"/>
            </w:rPr>
            <w:fldChar w:fldCharType="separate"/>
          </w:r>
          <w:r>
            <w:rPr>
              <w:rFonts w:hint="eastAsia" w:cs="宋体" w:asciiTheme="minorEastAsia" w:hAnsiTheme="minorEastAsia" w:eastAsiaTheme="minorEastAsia"/>
              <w:color w:val="auto"/>
              <w:kern w:val="0"/>
              <w:sz w:val="28"/>
              <w:szCs w:val="36"/>
              <w:highlight w:val="none"/>
            </w:rPr>
            <w:fldChar w:fldCharType="begin"/>
          </w:r>
          <w:r>
            <w:rPr>
              <w:rFonts w:hint="eastAsia" w:cs="宋体" w:asciiTheme="minorEastAsia" w:hAnsiTheme="minorEastAsia" w:eastAsiaTheme="minorEastAsia"/>
              <w:color w:val="auto"/>
              <w:kern w:val="0"/>
              <w:sz w:val="28"/>
              <w:szCs w:val="36"/>
              <w:highlight w:val="none"/>
            </w:rPr>
            <w:instrText xml:space="preserve"> HYPERLINK \l _Toc12949 </w:instrText>
          </w:r>
          <w:r>
            <w:rPr>
              <w:rFonts w:hint="eastAsia" w:cs="宋体" w:asciiTheme="minorEastAsia" w:hAnsiTheme="minorEastAsia" w:eastAsiaTheme="minorEastAsia"/>
              <w:color w:val="auto"/>
              <w:kern w:val="0"/>
              <w:sz w:val="28"/>
              <w:szCs w:val="36"/>
              <w:highlight w:val="none"/>
            </w:rPr>
            <w:fldChar w:fldCharType="separate"/>
          </w:r>
          <w:r>
            <w:rPr>
              <w:rFonts w:hint="eastAsia" w:asciiTheme="majorEastAsia" w:hAnsiTheme="majorEastAsia" w:eastAsiaTheme="majorEastAsia"/>
              <w:color w:val="auto"/>
              <w:sz w:val="28"/>
              <w:szCs w:val="48"/>
              <w:highlight w:val="none"/>
            </w:rPr>
            <w:t xml:space="preserve">第一章 </w:t>
          </w:r>
          <w:r>
            <w:rPr>
              <w:rFonts w:hint="eastAsia" w:asciiTheme="majorEastAsia" w:hAnsiTheme="majorEastAsia" w:eastAsiaTheme="majorEastAsia"/>
              <w:color w:val="auto"/>
              <w:kern w:val="0"/>
              <w:sz w:val="28"/>
              <w:szCs w:val="48"/>
              <w:highlight w:val="none"/>
            </w:rPr>
            <w:t>磋商</w:t>
          </w:r>
          <w:r>
            <w:rPr>
              <w:rFonts w:hint="eastAsia" w:asciiTheme="majorEastAsia" w:hAnsiTheme="majorEastAsia" w:eastAsiaTheme="majorEastAsia"/>
              <w:color w:val="auto"/>
              <w:kern w:val="0"/>
              <w:sz w:val="28"/>
              <w:szCs w:val="48"/>
              <w:highlight w:val="none"/>
              <w:lang w:val="en-US" w:eastAsia="zh-CN"/>
            </w:rPr>
            <w:t>公告</w:t>
          </w:r>
          <w:r>
            <w:rPr>
              <w:color w:val="auto"/>
              <w:sz w:val="28"/>
              <w:szCs w:val="36"/>
              <w:highlight w:val="none"/>
            </w:rPr>
            <w:tab/>
          </w:r>
          <w:r>
            <w:rPr>
              <w:rFonts w:hint="eastAsia"/>
              <w:color w:val="auto"/>
              <w:sz w:val="28"/>
              <w:szCs w:val="36"/>
              <w:highlight w:val="none"/>
              <w:lang w:val="en-US" w:eastAsia="zh-CN"/>
            </w:rPr>
            <w:t>1</w:t>
          </w:r>
          <w:r>
            <w:rPr>
              <w:rFonts w:hint="eastAsia" w:cs="宋体" w:asciiTheme="minorEastAsia" w:hAnsiTheme="minorEastAsia" w:eastAsiaTheme="minorEastAsia"/>
              <w:color w:val="auto"/>
              <w:kern w:val="0"/>
              <w:sz w:val="28"/>
              <w:szCs w:val="36"/>
              <w:highlight w:val="none"/>
            </w:rPr>
            <w:fldChar w:fldCharType="end"/>
          </w:r>
        </w:p>
        <w:p w14:paraId="51AAE16B">
          <w:pPr>
            <w:pStyle w:val="19"/>
            <w:tabs>
              <w:tab w:val="right" w:leader="dot" w:pos="9070"/>
            </w:tabs>
            <w:rPr>
              <w:color w:val="auto"/>
              <w:sz w:val="28"/>
              <w:szCs w:val="36"/>
              <w:highlight w:val="none"/>
            </w:rPr>
          </w:pPr>
          <w:r>
            <w:rPr>
              <w:rFonts w:hint="eastAsia" w:cs="宋体" w:asciiTheme="minorEastAsia" w:hAnsiTheme="minorEastAsia" w:eastAsiaTheme="minorEastAsia"/>
              <w:color w:val="auto"/>
              <w:sz w:val="28"/>
              <w:szCs w:val="36"/>
              <w:highlight w:val="none"/>
            </w:rPr>
            <w:fldChar w:fldCharType="begin"/>
          </w:r>
          <w:r>
            <w:rPr>
              <w:rFonts w:hint="eastAsia" w:cs="宋体" w:asciiTheme="minorEastAsia" w:hAnsiTheme="minorEastAsia" w:eastAsiaTheme="minorEastAsia"/>
              <w:color w:val="auto"/>
              <w:sz w:val="28"/>
              <w:szCs w:val="36"/>
              <w:highlight w:val="none"/>
            </w:rPr>
            <w:instrText xml:space="preserve"> HYPERLINK \l _Toc9337 </w:instrText>
          </w:r>
          <w:r>
            <w:rPr>
              <w:rFonts w:hint="eastAsia" w:cs="宋体" w:asciiTheme="minorEastAsia" w:hAnsiTheme="minorEastAsia" w:eastAsiaTheme="minorEastAsia"/>
              <w:color w:val="auto"/>
              <w:sz w:val="28"/>
              <w:szCs w:val="36"/>
              <w:highlight w:val="none"/>
            </w:rPr>
            <w:fldChar w:fldCharType="separate"/>
          </w:r>
          <w:r>
            <w:rPr>
              <w:rFonts w:hint="eastAsia" w:asciiTheme="minorEastAsia" w:hAnsiTheme="minorEastAsia" w:eastAsiaTheme="minorEastAsia"/>
              <w:color w:val="auto"/>
              <w:sz w:val="28"/>
              <w:szCs w:val="48"/>
              <w:highlight w:val="none"/>
            </w:rPr>
            <w:t>第二章 供应商须知</w:t>
          </w:r>
          <w:r>
            <w:rPr>
              <w:color w:val="auto"/>
              <w:sz w:val="28"/>
              <w:szCs w:val="36"/>
              <w:highlight w:val="none"/>
            </w:rPr>
            <w:tab/>
          </w:r>
          <w:r>
            <w:rPr>
              <w:rFonts w:hint="eastAsia"/>
              <w:color w:val="auto"/>
              <w:sz w:val="28"/>
              <w:szCs w:val="36"/>
              <w:highlight w:val="none"/>
              <w:lang w:val="en-US" w:eastAsia="zh-CN"/>
            </w:rPr>
            <w:t>6</w:t>
          </w:r>
          <w:r>
            <w:rPr>
              <w:rFonts w:hint="eastAsia" w:cs="宋体" w:asciiTheme="minorEastAsia" w:hAnsiTheme="minorEastAsia" w:eastAsiaTheme="minorEastAsia"/>
              <w:color w:val="auto"/>
              <w:sz w:val="28"/>
              <w:szCs w:val="36"/>
              <w:highlight w:val="none"/>
            </w:rPr>
            <w:fldChar w:fldCharType="end"/>
          </w:r>
        </w:p>
        <w:p w14:paraId="34256D71">
          <w:pPr>
            <w:pStyle w:val="19"/>
            <w:tabs>
              <w:tab w:val="right" w:leader="dot" w:pos="9070"/>
            </w:tabs>
            <w:rPr>
              <w:color w:val="auto"/>
              <w:sz w:val="28"/>
              <w:szCs w:val="36"/>
              <w:highlight w:val="none"/>
            </w:rPr>
          </w:pPr>
          <w:r>
            <w:rPr>
              <w:rFonts w:hint="eastAsia" w:cs="宋体" w:asciiTheme="minorEastAsia" w:hAnsiTheme="minorEastAsia" w:eastAsiaTheme="minorEastAsia"/>
              <w:color w:val="auto"/>
              <w:sz w:val="28"/>
              <w:szCs w:val="36"/>
              <w:highlight w:val="none"/>
            </w:rPr>
            <w:fldChar w:fldCharType="begin"/>
          </w:r>
          <w:r>
            <w:rPr>
              <w:rFonts w:hint="eastAsia" w:cs="宋体" w:asciiTheme="minorEastAsia" w:hAnsiTheme="minorEastAsia" w:eastAsiaTheme="minorEastAsia"/>
              <w:color w:val="auto"/>
              <w:sz w:val="28"/>
              <w:szCs w:val="36"/>
              <w:highlight w:val="none"/>
            </w:rPr>
            <w:instrText xml:space="preserve"> HYPERLINK \l _Toc2964 </w:instrText>
          </w:r>
          <w:r>
            <w:rPr>
              <w:rFonts w:hint="eastAsia" w:cs="宋体" w:asciiTheme="minorEastAsia" w:hAnsiTheme="minorEastAsia" w:eastAsiaTheme="minorEastAsia"/>
              <w:color w:val="auto"/>
              <w:sz w:val="28"/>
              <w:szCs w:val="36"/>
              <w:highlight w:val="none"/>
            </w:rPr>
            <w:fldChar w:fldCharType="separate"/>
          </w:r>
          <w:r>
            <w:rPr>
              <w:rFonts w:hint="eastAsia" w:asciiTheme="minorEastAsia" w:hAnsiTheme="minorEastAsia" w:eastAsiaTheme="minorEastAsia"/>
              <w:color w:val="auto"/>
              <w:sz w:val="28"/>
              <w:szCs w:val="48"/>
              <w:highlight w:val="none"/>
            </w:rPr>
            <w:t>第三章 项目需求</w:t>
          </w:r>
          <w:r>
            <w:rPr>
              <w:color w:val="auto"/>
              <w:sz w:val="28"/>
              <w:szCs w:val="36"/>
              <w:highlight w:val="none"/>
            </w:rPr>
            <w:tab/>
          </w:r>
          <w:r>
            <w:rPr>
              <w:rFonts w:hint="eastAsia"/>
              <w:color w:val="auto"/>
              <w:sz w:val="28"/>
              <w:szCs w:val="36"/>
              <w:highlight w:val="none"/>
              <w:lang w:val="en-US" w:eastAsia="zh-CN"/>
            </w:rPr>
            <w:t>2</w:t>
          </w:r>
          <w:r>
            <w:rPr>
              <w:color w:val="auto"/>
              <w:sz w:val="28"/>
              <w:szCs w:val="36"/>
              <w:highlight w:val="none"/>
            </w:rPr>
            <w:fldChar w:fldCharType="begin"/>
          </w:r>
          <w:r>
            <w:rPr>
              <w:color w:val="auto"/>
              <w:sz w:val="28"/>
              <w:szCs w:val="36"/>
              <w:highlight w:val="none"/>
            </w:rPr>
            <w:instrText xml:space="preserve"> PAGEREF _Toc2964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cs="宋体" w:asciiTheme="minorEastAsia" w:hAnsiTheme="minorEastAsia" w:eastAsiaTheme="minorEastAsia"/>
              <w:color w:val="auto"/>
              <w:sz w:val="28"/>
              <w:szCs w:val="36"/>
              <w:highlight w:val="none"/>
            </w:rPr>
            <w:fldChar w:fldCharType="end"/>
          </w:r>
        </w:p>
        <w:p w14:paraId="79AC6AA8">
          <w:pPr>
            <w:pStyle w:val="19"/>
            <w:tabs>
              <w:tab w:val="right" w:leader="dot" w:pos="9070"/>
            </w:tabs>
            <w:rPr>
              <w:color w:val="auto"/>
              <w:sz w:val="28"/>
              <w:szCs w:val="36"/>
              <w:highlight w:val="none"/>
            </w:rPr>
          </w:pPr>
          <w:r>
            <w:rPr>
              <w:rFonts w:hint="eastAsia" w:cs="宋体" w:asciiTheme="minorEastAsia" w:hAnsiTheme="minorEastAsia" w:eastAsiaTheme="minorEastAsia"/>
              <w:color w:val="auto"/>
              <w:sz w:val="28"/>
              <w:szCs w:val="36"/>
              <w:highlight w:val="none"/>
            </w:rPr>
            <w:fldChar w:fldCharType="begin"/>
          </w:r>
          <w:r>
            <w:rPr>
              <w:rFonts w:hint="eastAsia" w:cs="宋体" w:asciiTheme="minorEastAsia" w:hAnsiTheme="minorEastAsia" w:eastAsiaTheme="minorEastAsia"/>
              <w:color w:val="auto"/>
              <w:sz w:val="28"/>
              <w:szCs w:val="36"/>
              <w:highlight w:val="none"/>
            </w:rPr>
            <w:instrText xml:space="preserve"> HYPERLINK \l _Toc20379 </w:instrText>
          </w:r>
          <w:r>
            <w:rPr>
              <w:rFonts w:hint="eastAsia" w:cs="宋体" w:asciiTheme="minorEastAsia" w:hAnsiTheme="minorEastAsia" w:eastAsiaTheme="minorEastAsia"/>
              <w:color w:val="auto"/>
              <w:sz w:val="28"/>
              <w:szCs w:val="36"/>
              <w:highlight w:val="none"/>
            </w:rPr>
            <w:fldChar w:fldCharType="separate"/>
          </w:r>
          <w:r>
            <w:rPr>
              <w:rFonts w:hint="eastAsia" w:asciiTheme="minorEastAsia" w:hAnsiTheme="minorEastAsia" w:eastAsiaTheme="minorEastAsia"/>
              <w:color w:val="auto"/>
              <w:sz w:val="28"/>
              <w:szCs w:val="48"/>
              <w:highlight w:val="none"/>
            </w:rPr>
            <w:t>第四章 磋商</w:t>
          </w:r>
          <w:r>
            <w:rPr>
              <w:color w:val="auto"/>
              <w:sz w:val="28"/>
              <w:szCs w:val="36"/>
              <w:highlight w:val="none"/>
            </w:rPr>
            <w:tab/>
          </w:r>
          <w:r>
            <w:rPr>
              <w:rFonts w:hint="eastAsia"/>
              <w:color w:val="auto"/>
              <w:sz w:val="28"/>
              <w:szCs w:val="36"/>
              <w:highlight w:val="none"/>
              <w:lang w:val="en-US" w:eastAsia="zh-CN"/>
            </w:rPr>
            <w:t>2</w:t>
          </w:r>
          <w:r>
            <w:rPr>
              <w:color w:val="auto"/>
              <w:sz w:val="28"/>
              <w:szCs w:val="36"/>
              <w:highlight w:val="none"/>
            </w:rPr>
            <w:fldChar w:fldCharType="begin"/>
          </w:r>
          <w:r>
            <w:rPr>
              <w:color w:val="auto"/>
              <w:sz w:val="28"/>
              <w:szCs w:val="36"/>
              <w:highlight w:val="none"/>
            </w:rPr>
            <w:instrText xml:space="preserve"> PAGEREF _Toc20379 \h </w:instrText>
          </w:r>
          <w:r>
            <w:rPr>
              <w:color w:val="auto"/>
              <w:sz w:val="28"/>
              <w:szCs w:val="36"/>
              <w:highlight w:val="none"/>
            </w:rPr>
            <w:fldChar w:fldCharType="separate"/>
          </w:r>
          <w:r>
            <w:rPr>
              <w:color w:val="auto"/>
              <w:sz w:val="28"/>
              <w:szCs w:val="36"/>
              <w:highlight w:val="none"/>
            </w:rPr>
            <w:t>4</w:t>
          </w:r>
          <w:r>
            <w:rPr>
              <w:color w:val="auto"/>
              <w:sz w:val="28"/>
              <w:szCs w:val="36"/>
              <w:highlight w:val="none"/>
            </w:rPr>
            <w:fldChar w:fldCharType="end"/>
          </w:r>
          <w:r>
            <w:rPr>
              <w:rFonts w:hint="eastAsia" w:cs="宋体" w:asciiTheme="minorEastAsia" w:hAnsiTheme="minorEastAsia" w:eastAsiaTheme="minorEastAsia"/>
              <w:color w:val="auto"/>
              <w:sz w:val="28"/>
              <w:szCs w:val="36"/>
              <w:highlight w:val="none"/>
            </w:rPr>
            <w:fldChar w:fldCharType="end"/>
          </w:r>
        </w:p>
        <w:p w14:paraId="6ED87C55">
          <w:pPr>
            <w:pStyle w:val="19"/>
            <w:tabs>
              <w:tab w:val="right" w:leader="dot" w:pos="9070"/>
            </w:tabs>
            <w:rPr>
              <w:color w:val="auto"/>
              <w:sz w:val="28"/>
              <w:szCs w:val="36"/>
              <w:highlight w:val="none"/>
            </w:rPr>
          </w:pPr>
          <w:r>
            <w:rPr>
              <w:rFonts w:hint="eastAsia" w:cs="宋体" w:asciiTheme="minorEastAsia" w:hAnsiTheme="minorEastAsia" w:eastAsiaTheme="minorEastAsia"/>
              <w:color w:val="auto"/>
              <w:sz w:val="28"/>
              <w:szCs w:val="36"/>
              <w:highlight w:val="none"/>
            </w:rPr>
            <w:fldChar w:fldCharType="begin"/>
          </w:r>
          <w:r>
            <w:rPr>
              <w:rFonts w:hint="eastAsia" w:cs="宋体" w:asciiTheme="minorEastAsia" w:hAnsiTheme="minorEastAsia" w:eastAsiaTheme="minorEastAsia"/>
              <w:color w:val="auto"/>
              <w:sz w:val="28"/>
              <w:szCs w:val="36"/>
              <w:highlight w:val="none"/>
            </w:rPr>
            <w:instrText xml:space="preserve"> HYPERLINK \l _Toc18545 </w:instrText>
          </w:r>
          <w:r>
            <w:rPr>
              <w:rFonts w:hint="eastAsia" w:cs="宋体" w:asciiTheme="minorEastAsia" w:hAnsiTheme="minorEastAsia" w:eastAsiaTheme="minorEastAsia"/>
              <w:color w:val="auto"/>
              <w:sz w:val="28"/>
              <w:szCs w:val="36"/>
              <w:highlight w:val="none"/>
            </w:rPr>
            <w:fldChar w:fldCharType="separate"/>
          </w:r>
          <w:r>
            <w:rPr>
              <w:rFonts w:hint="eastAsia" w:asciiTheme="minorEastAsia" w:hAnsiTheme="minorEastAsia" w:eastAsiaTheme="minorEastAsia"/>
              <w:color w:val="auto"/>
              <w:sz w:val="28"/>
              <w:szCs w:val="48"/>
              <w:highlight w:val="none"/>
            </w:rPr>
            <w:t>第五章 拟签订的合同文本</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_Toc18545 \h </w:instrText>
          </w:r>
          <w:r>
            <w:rPr>
              <w:color w:val="auto"/>
              <w:sz w:val="28"/>
              <w:szCs w:val="36"/>
              <w:highlight w:val="none"/>
            </w:rPr>
            <w:fldChar w:fldCharType="separate"/>
          </w:r>
          <w:r>
            <w:rPr>
              <w:rFonts w:hint="eastAsia"/>
              <w:color w:val="auto"/>
              <w:sz w:val="28"/>
              <w:szCs w:val="36"/>
              <w:highlight w:val="none"/>
              <w:lang w:val="en-US" w:eastAsia="zh-CN"/>
            </w:rPr>
            <w:t>3</w:t>
          </w:r>
          <w:r>
            <w:rPr>
              <w:color w:val="auto"/>
              <w:sz w:val="28"/>
              <w:szCs w:val="36"/>
              <w:highlight w:val="none"/>
            </w:rPr>
            <w:t>2</w:t>
          </w:r>
          <w:r>
            <w:rPr>
              <w:color w:val="auto"/>
              <w:sz w:val="28"/>
              <w:szCs w:val="36"/>
              <w:highlight w:val="none"/>
            </w:rPr>
            <w:fldChar w:fldCharType="end"/>
          </w:r>
          <w:r>
            <w:rPr>
              <w:rFonts w:hint="eastAsia" w:cs="宋体" w:asciiTheme="minorEastAsia" w:hAnsiTheme="minorEastAsia" w:eastAsiaTheme="minorEastAsia"/>
              <w:color w:val="auto"/>
              <w:sz w:val="28"/>
              <w:szCs w:val="36"/>
              <w:highlight w:val="none"/>
            </w:rPr>
            <w:fldChar w:fldCharType="end"/>
          </w:r>
        </w:p>
        <w:p w14:paraId="19CAEEB3">
          <w:pPr>
            <w:pStyle w:val="19"/>
            <w:tabs>
              <w:tab w:val="right" w:leader="dot" w:pos="9070"/>
            </w:tabs>
            <w:rPr>
              <w:color w:val="auto"/>
              <w:sz w:val="28"/>
              <w:szCs w:val="36"/>
              <w:highlight w:val="none"/>
            </w:rPr>
          </w:pPr>
          <w:r>
            <w:rPr>
              <w:rFonts w:hint="eastAsia" w:cs="宋体" w:asciiTheme="minorEastAsia" w:hAnsiTheme="minorEastAsia" w:eastAsiaTheme="minorEastAsia"/>
              <w:color w:val="auto"/>
              <w:sz w:val="28"/>
              <w:szCs w:val="36"/>
              <w:highlight w:val="none"/>
            </w:rPr>
            <w:fldChar w:fldCharType="begin"/>
          </w:r>
          <w:r>
            <w:rPr>
              <w:rFonts w:hint="eastAsia" w:cs="宋体" w:asciiTheme="minorEastAsia" w:hAnsiTheme="minorEastAsia" w:eastAsiaTheme="minorEastAsia"/>
              <w:color w:val="auto"/>
              <w:sz w:val="28"/>
              <w:szCs w:val="36"/>
              <w:highlight w:val="none"/>
            </w:rPr>
            <w:instrText xml:space="preserve"> HYPERLINK \l _Toc15456 </w:instrText>
          </w:r>
          <w:r>
            <w:rPr>
              <w:rFonts w:hint="eastAsia" w:cs="宋体" w:asciiTheme="minorEastAsia" w:hAnsiTheme="minorEastAsia" w:eastAsiaTheme="minorEastAsia"/>
              <w:color w:val="auto"/>
              <w:sz w:val="28"/>
              <w:szCs w:val="36"/>
              <w:highlight w:val="none"/>
            </w:rPr>
            <w:fldChar w:fldCharType="separate"/>
          </w:r>
          <w:r>
            <w:rPr>
              <w:rFonts w:hint="eastAsia" w:asciiTheme="minorEastAsia" w:hAnsiTheme="minorEastAsia" w:eastAsiaTheme="minorEastAsia"/>
              <w:color w:val="auto"/>
              <w:sz w:val="28"/>
              <w:szCs w:val="48"/>
              <w:highlight w:val="none"/>
            </w:rPr>
            <w:t>第六章 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_Toc15456 \h </w:instrText>
          </w:r>
          <w:r>
            <w:rPr>
              <w:color w:val="auto"/>
              <w:sz w:val="28"/>
              <w:szCs w:val="36"/>
              <w:highlight w:val="none"/>
            </w:rPr>
            <w:fldChar w:fldCharType="separate"/>
          </w:r>
          <w:r>
            <w:rPr>
              <w:rFonts w:hint="eastAsia"/>
              <w:color w:val="auto"/>
              <w:sz w:val="28"/>
              <w:szCs w:val="36"/>
              <w:highlight w:val="none"/>
              <w:lang w:val="en-US" w:eastAsia="zh-CN"/>
            </w:rPr>
            <w:t>5</w:t>
          </w:r>
          <w:r>
            <w:rPr>
              <w:color w:val="auto"/>
              <w:sz w:val="28"/>
              <w:szCs w:val="36"/>
              <w:highlight w:val="none"/>
            </w:rPr>
            <w:t>4</w:t>
          </w:r>
          <w:r>
            <w:rPr>
              <w:color w:val="auto"/>
              <w:sz w:val="28"/>
              <w:szCs w:val="36"/>
              <w:highlight w:val="none"/>
            </w:rPr>
            <w:fldChar w:fldCharType="end"/>
          </w:r>
          <w:r>
            <w:rPr>
              <w:rFonts w:hint="eastAsia" w:cs="宋体" w:asciiTheme="minorEastAsia" w:hAnsiTheme="minorEastAsia" w:eastAsiaTheme="minorEastAsia"/>
              <w:color w:val="auto"/>
              <w:sz w:val="28"/>
              <w:szCs w:val="36"/>
              <w:highlight w:val="none"/>
            </w:rPr>
            <w:fldChar w:fldCharType="end"/>
          </w:r>
        </w:p>
        <w:p w14:paraId="7FF182D3">
          <w:pPr>
            <w:pStyle w:val="19"/>
            <w:tabs>
              <w:tab w:val="right" w:leader="dot" w:pos="9070"/>
            </w:tabs>
            <w:rPr>
              <w:color w:val="auto"/>
              <w:sz w:val="28"/>
              <w:szCs w:val="36"/>
              <w:highlight w:val="none"/>
            </w:rPr>
          </w:pPr>
        </w:p>
        <w:p w14:paraId="3B58DF78">
          <w:pPr>
            <w:spacing w:line="360" w:lineRule="auto"/>
            <w:rPr>
              <w:color w:val="auto"/>
              <w:sz w:val="32"/>
              <w:szCs w:val="32"/>
              <w:highlight w:val="none"/>
            </w:rPr>
          </w:pPr>
          <w:r>
            <w:rPr>
              <w:rFonts w:hint="eastAsia" w:cs="宋体" w:asciiTheme="minorEastAsia" w:hAnsiTheme="minorEastAsia" w:eastAsiaTheme="minorEastAsia"/>
              <w:color w:val="auto"/>
              <w:sz w:val="28"/>
              <w:szCs w:val="36"/>
              <w:highlight w:val="none"/>
            </w:rPr>
            <w:fldChar w:fldCharType="end"/>
          </w:r>
        </w:p>
      </w:sdtContent>
    </w:sdt>
    <w:p w14:paraId="4CFA5C6F">
      <w:pPr>
        <w:spacing w:line="360" w:lineRule="auto"/>
        <w:rPr>
          <w:color w:val="auto"/>
          <w:highlight w:val="none"/>
        </w:rPr>
      </w:pPr>
    </w:p>
    <w:p w14:paraId="7584D4A4">
      <w:pPr>
        <w:spacing w:line="360" w:lineRule="auto"/>
        <w:rPr>
          <w:color w:val="auto"/>
          <w:highlight w:val="none"/>
        </w:rPr>
      </w:pPr>
    </w:p>
    <w:p w14:paraId="5107D5A5">
      <w:pPr>
        <w:spacing w:line="360" w:lineRule="auto"/>
        <w:rPr>
          <w:color w:val="auto"/>
          <w:highlight w:val="none"/>
        </w:rPr>
      </w:pPr>
    </w:p>
    <w:p w14:paraId="17871FD4">
      <w:pPr>
        <w:tabs>
          <w:tab w:val="left" w:pos="5870"/>
        </w:tabs>
        <w:spacing w:line="360" w:lineRule="auto"/>
        <w:rPr>
          <w:rFonts w:hint="eastAsia" w:eastAsia="宋体"/>
          <w:color w:val="auto"/>
          <w:highlight w:val="none"/>
          <w:lang w:eastAsia="zh-CN"/>
        </w:rPr>
      </w:pPr>
      <w:r>
        <w:rPr>
          <w:rFonts w:hint="eastAsia"/>
          <w:color w:val="auto"/>
          <w:highlight w:val="none"/>
          <w:lang w:eastAsia="zh-CN"/>
        </w:rPr>
        <w:tab/>
      </w:r>
    </w:p>
    <w:p w14:paraId="3CC5F9F3">
      <w:pPr>
        <w:spacing w:line="360" w:lineRule="auto"/>
        <w:rPr>
          <w:color w:val="auto"/>
          <w:highlight w:val="none"/>
        </w:rPr>
      </w:pPr>
    </w:p>
    <w:p w14:paraId="571AE9FC">
      <w:pPr>
        <w:spacing w:line="360" w:lineRule="auto"/>
        <w:rPr>
          <w:color w:val="auto"/>
          <w:highlight w:val="none"/>
        </w:rPr>
      </w:pPr>
    </w:p>
    <w:p w14:paraId="518DA56E">
      <w:pPr>
        <w:spacing w:line="360" w:lineRule="auto"/>
        <w:rPr>
          <w:color w:val="auto"/>
          <w:highlight w:val="none"/>
        </w:rPr>
      </w:pPr>
    </w:p>
    <w:p w14:paraId="25996250">
      <w:pPr>
        <w:spacing w:line="360" w:lineRule="auto"/>
        <w:rPr>
          <w:color w:val="auto"/>
          <w:highlight w:val="none"/>
        </w:rPr>
      </w:pPr>
    </w:p>
    <w:p w14:paraId="46B20661">
      <w:pPr>
        <w:spacing w:line="360" w:lineRule="auto"/>
        <w:rPr>
          <w:color w:val="auto"/>
          <w:highlight w:val="none"/>
        </w:rPr>
      </w:pPr>
    </w:p>
    <w:p w14:paraId="150B6495">
      <w:pPr>
        <w:spacing w:line="360" w:lineRule="auto"/>
        <w:rPr>
          <w:color w:val="auto"/>
          <w:highlight w:val="none"/>
        </w:rPr>
      </w:pPr>
    </w:p>
    <w:p w14:paraId="7FB775AF">
      <w:pPr>
        <w:spacing w:line="360" w:lineRule="auto"/>
        <w:rPr>
          <w:color w:val="auto"/>
          <w:highlight w:val="none"/>
        </w:rPr>
      </w:pPr>
    </w:p>
    <w:p w14:paraId="58F8B5AB">
      <w:pPr>
        <w:spacing w:line="360" w:lineRule="auto"/>
        <w:rPr>
          <w:color w:val="auto"/>
          <w:highlight w:val="none"/>
        </w:rPr>
      </w:pPr>
    </w:p>
    <w:p w14:paraId="20D9D062">
      <w:pPr>
        <w:pStyle w:val="22"/>
        <w:rPr>
          <w:color w:val="auto"/>
          <w:highlight w:val="none"/>
        </w:rPr>
      </w:pPr>
    </w:p>
    <w:p w14:paraId="140E5749">
      <w:pPr>
        <w:spacing w:line="360" w:lineRule="auto"/>
        <w:rPr>
          <w:color w:val="auto"/>
          <w:highlight w:val="none"/>
        </w:rPr>
      </w:pPr>
    </w:p>
    <w:p w14:paraId="5798E251">
      <w:pPr>
        <w:numPr>
          <w:ilvl w:val="0"/>
          <w:numId w:val="2"/>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sectPr>
          <w:headerReference r:id="rId8" w:type="default"/>
          <w:footerReference r:id="rId9" w:type="default"/>
          <w:pgSz w:w="11906" w:h="16838"/>
          <w:pgMar w:top="1276" w:right="1418" w:bottom="1440" w:left="1418" w:header="851" w:footer="851" w:gutter="0"/>
          <w:pgNumType w:start="1"/>
          <w:cols w:space="720" w:num="1"/>
          <w:docGrid w:linePitch="312" w:charSpace="0"/>
        </w:sectPr>
      </w:pPr>
      <w:bookmarkStart w:id="0" w:name="_Toc12949"/>
    </w:p>
    <w:p w14:paraId="57C82B6C">
      <w:pPr>
        <w:numPr>
          <w:ilvl w:val="0"/>
          <w:numId w:val="2"/>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t>磋商</w:t>
      </w:r>
      <w:r>
        <w:rPr>
          <w:rFonts w:hint="eastAsia" w:asciiTheme="majorEastAsia" w:hAnsiTheme="majorEastAsia" w:eastAsiaTheme="majorEastAsia"/>
          <w:b/>
          <w:color w:val="auto"/>
          <w:kern w:val="0"/>
          <w:sz w:val="36"/>
          <w:szCs w:val="36"/>
          <w:highlight w:val="none"/>
          <w:lang w:val="en-US" w:eastAsia="zh-CN"/>
        </w:rPr>
        <w:t>公告</w:t>
      </w:r>
      <w:bookmarkEnd w:id="0"/>
    </w:p>
    <w:p w14:paraId="202294C5">
      <w:pPr>
        <w:spacing w:line="460" w:lineRule="exact"/>
        <w:ind w:firstLine="482" w:firstLineChars="200"/>
        <w:rPr>
          <w:rFonts w:ascii="宋体" w:hAnsi="宋体" w:cs="宋体"/>
          <w:color w:val="auto"/>
          <w:sz w:val="24"/>
          <w:highlight w:val="none"/>
        </w:rPr>
      </w:pPr>
      <w:bookmarkStart w:id="1" w:name="_Toc28359079"/>
      <w:bookmarkStart w:id="2" w:name="_Toc28359002"/>
      <w:bookmarkStart w:id="3" w:name="_Toc35393790"/>
      <w:bookmarkStart w:id="4" w:name="_Toc35393621"/>
      <w:bookmarkStart w:id="5" w:name="_Hlk24379207"/>
      <w:r>
        <w:rPr>
          <w:rFonts w:hint="eastAsia" w:ascii="宋体" w:hAnsi="宋体" w:cs="宋体"/>
          <w:b/>
          <w:bCs/>
          <w:color w:val="auto"/>
          <w:sz w:val="24"/>
          <w:highlight w:val="none"/>
          <w:lang w:eastAsia="zh-CN"/>
        </w:rPr>
        <w:t>浙江新诚信工程咨询有限公司</w:t>
      </w:r>
      <w:r>
        <w:rPr>
          <w:rFonts w:hint="eastAsia" w:ascii="宋体" w:hAnsi="宋体" w:cs="宋体"/>
          <w:color w:val="auto"/>
          <w:sz w:val="24"/>
          <w:highlight w:val="none"/>
        </w:rPr>
        <w:t>受</w:t>
      </w:r>
      <w:r>
        <w:rPr>
          <w:rFonts w:hint="eastAsia" w:ascii="宋体" w:hAnsi="宋体" w:cs="宋体"/>
          <w:b/>
          <w:bCs/>
          <w:color w:val="auto"/>
          <w:sz w:val="24"/>
          <w:highlight w:val="none"/>
          <w:lang w:eastAsia="zh-CN"/>
        </w:rPr>
        <w:t>台州市椒江区人民政府章安街道办事处</w:t>
      </w:r>
      <w:r>
        <w:rPr>
          <w:rFonts w:hint="eastAsia" w:ascii="宋体" w:hAnsi="宋体" w:cs="宋体"/>
          <w:color w:val="auto"/>
          <w:sz w:val="24"/>
          <w:highlight w:val="none"/>
        </w:rPr>
        <w:t>委托，就</w:t>
      </w:r>
      <w:r>
        <w:rPr>
          <w:rFonts w:hint="eastAsia" w:ascii="宋体" w:hAnsi="宋体" w:cs="宋体"/>
          <w:b/>
          <w:bCs/>
          <w:color w:val="auto"/>
          <w:sz w:val="24"/>
          <w:highlight w:val="none"/>
          <w:lang w:eastAsia="zh-CN"/>
        </w:rPr>
        <w:t>椒江区梓杨河（山门村段）治理工程</w:t>
      </w:r>
      <w:r>
        <w:rPr>
          <w:rFonts w:hint="eastAsia" w:ascii="宋体" w:hAnsi="宋体" w:cs="宋体"/>
          <w:color w:val="auto"/>
          <w:sz w:val="24"/>
          <w:highlight w:val="none"/>
        </w:rPr>
        <w:t>进行竞争性磋商，欢迎符合资格条件的国内供应商前来磋商。</w:t>
      </w:r>
    </w:p>
    <w:p w14:paraId="5F569A5C">
      <w:pPr>
        <w:pStyle w:val="22"/>
        <w:spacing w:after="0" w:line="460" w:lineRule="exact"/>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bookmarkEnd w:id="1"/>
      <w:bookmarkEnd w:id="2"/>
      <w:bookmarkEnd w:id="3"/>
      <w:bookmarkEnd w:id="4"/>
    </w:p>
    <w:p w14:paraId="48AC44D9">
      <w:pPr>
        <w:spacing w:line="46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ZJXCX-2024-101号</w:t>
      </w:r>
    </w:p>
    <w:bookmarkEnd w:id="5"/>
    <w:p w14:paraId="37F3E977">
      <w:pPr>
        <w:spacing w:line="46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宋体" w:eastAsiaTheme="minorEastAsia"/>
          <w:color w:val="auto"/>
          <w:kern w:val="0"/>
          <w:sz w:val="24"/>
          <w:highlight w:val="none"/>
          <w:lang w:eastAsia="zh-CN"/>
        </w:rPr>
        <w:t>椒江区梓杨河（山门村段）治理工程</w:t>
      </w:r>
    </w:p>
    <w:tbl>
      <w:tblPr>
        <w:tblStyle w:val="23"/>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01"/>
        <w:gridCol w:w="1195"/>
        <w:gridCol w:w="818"/>
        <w:gridCol w:w="1520"/>
        <w:gridCol w:w="1897"/>
        <w:gridCol w:w="1976"/>
      </w:tblGrid>
      <w:tr w14:paraId="4E19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6" w:type="dxa"/>
            <w:vAlign w:val="center"/>
          </w:tcPr>
          <w:p w14:paraId="0905D387">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bookmarkStart w:id="6" w:name="_Toc35393622"/>
            <w:bookmarkStart w:id="7" w:name="_Toc28359080"/>
            <w:bookmarkStart w:id="8" w:name="_Toc28359003"/>
            <w:bookmarkStart w:id="9" w:name="_Toc35393791"/>
            <w:r>
              <w:rPr>
                <w:rFonts w:hint="eastAsia" w:asciiTheme="minorEastAsia" w:hAnsiTheme="minorEastAsia" w:eastAsiaTheme="minorEastAsia" w:cstheme="minorEastAsia"/>
                <w:b/>
                <w:color w:val="auto"/>
                <w:sz w:val="24"/>
                <w:highlight w:val="none"/>
              </w:rPr>
              <w:t>标项号</w:t>
            </w:r>
          </w:p>
        </w:tc>
        <w:tc>
          <w:tcPr>
            <w:tcW w:w="2101" w:type="dxa"/>
            <w:vAlign w:val="center"/>
          </w:tcPr>
          <w:p w14:paraId="7EFE104E">
            <w:pPr>
              <w:tabs>
                <w:tab w:val="left" w:pos="8280"/>
              </w:tabs>
              <w:autoSpaceDE w:val="0"/>
              <w:autoSpaceDN w:val="0"/>
              <w:adjustRightInd w:val="0"/>
              <w:ind w:firstLine="120" w:firstLineChars="5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标项名称</w:t>
            </w:r>
          </w:p>
        </w:tc>
        <w:tc>
          <w:tcPr>
            <w:tcW w:w="1195" w:type="dxa"/>
            <w:vAlign w:val="center"/>
          </w:tcPr>
          <w:p w14:paraId="089BFBB2">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数量</w:t>
            </w:r>
          </w:p>
        </w:tc>
        <w:tc>
          <w:tcPr>
            <w:tcW w:w="818" w:type="dxa"/>
            <w:vAlign w:val="center"/>
          </w:tcPr>
          <w:p w14:paraId="18215019">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单位</w:t>
            </w:r>
          </w:p>
        </w:tc>
        <w:tc>
          <w:tcPr>
            <w:tcW w:w="1520" w:type="dxa"/>
            <w:vAlign w:val="center"/>
          </w:tcPr>
          <w:p w14:paraId="50D4FF1F">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14:paraId="53DAC6C9">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897" w:type="dxa"/>
            <w:vAlign w:val="center"/>
          </w:tcPr>
          <w:p w14:paraId="6AC29FB7">
            <w:pPr>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最高投标限价</w:t>
            </w:r>
          </w:p>
          <w:p w14:paraId="0EE24372">
            <w:pPr>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（万元）</w:t>
            </w:r>
          </w:p>
        </w:tc>
        <w:tc>
          <w:tcPr>
            <w:tcW w:w="1976" w:type="dxa"/>
            <w:vAlign w:val="center"/>
          </w:tcPr>
          <w:p w14:paraId="439A7166">
            <w:pP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简要规格描述</w:t>
            </w:r>
          </w:p>
        </w:tc>
      </w:tr>
      <w:tr w14:paraId="74B2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66" w:type="dxa"/>
            <w:vAlign w:val="center"/>
          </w:tcPr>
          <w:p w14:paraId="451ED6BF">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2101" w:type="dxa"/>
            <w:vAlign w:val="center"/>
          </w:tcPr>
          <w:p w14:paraId="2C720C7D">
            <w:pPr>
              <w:tabs>
                <w:tab w:val="left" w:pos="8280"/>
              </w:tabs>
              <w:autoSpaceDE w:val="0"/>
              <w:autoSpaceDN w:val="0"/>
              <w:adjustRightInd w:val="0"/>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椒江区梓杨河（山门村段）治理工程</w:t>
            </w:r>
          </w:p>
        </w:tc>
        <w:tc>
          <w:tcPr>
            <w:tcW w:w="1195" w:type="dxa"/>
            <w:vAlign w:val="center"/>
          </w:tcPr>
          <w:p w14:paraId="6B4E3116">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818" w:type="dxa"/>
            <w:vAlign w:val="center"/>
          </w:tcPr>
          <w:p w14:paraId="7C342603">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宋体" w:hAnsi="宋体" w:cs="宋体"/>
                <w:color w:val="auto"/>
                <w:kern w:val="0"/>
                <w:sz w:val="24"/>
                <w:highlight w:val="none"/>
              </w:rPr>
              <w:t>项</w:t>
            </w:r>
          </w:p>
        </w:tc>
        <w:tc>
          <w:tcPr>
            <w:tcW w:w="1520" w:type="dxa"/>
            <w:vAlign w:val="center"/>
          </w:tcPr>
          <w:p w14:paraId="554AB66E">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宋体" w:eastAsiaTheme="minorEastAsia"/>
                <w:color w:val="auto"/>
                <w:kern w:val="0"/>
                <w:sz w:val="24"/>
                <w:highlight w:val="none"/>
                <w:lang w:eastAsia="zh-CN"/>
              </w:rPr>
              <w:t>132.9553</w:t>
            </w:r>
          </w:p>
        </w:tc>
        <w:tc>
          <w:tcPr>
            <w:tcW w:w="1897" w:type="dxa"/>
            <w:vAlign w:val="center"/>
          </w:tcPr>
          <w:p w14:paraId="49449CEC">
            <w:pPr>
              <w:jc w:val="center"/>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122.3189</w:t>
            </w:r>
          </w:p>
        </w:tc>
        <w:tc>
          <w:tcPr>
            <w:tcW w:w="1976" w:type="dxa"/>
            <w:vAlign w:val="center"/>
          </w:tcPr>
          <w:p w14:paraId="294BD0D1">
            <w:pP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详见磋商需求</w:t>
            </w:r>
          </w:p>
        </w:tc>
      </w:tr>
    </w:tbl>
    <w:p w14:paraId="02F7B48A">
      <w:pPr>
        <w:pStyle w:val="22"/>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二、供应商的资格要求</w:t>
      </w:r>
      <w:bookmarkEnd w:id="6"/>
      <w:bookmarkEnd w:id="7"/>
      <w:bookmarkEnd w:id="8"/>
      <w:bookmarkEnd w:id="9"/>
    </w:p>
    <w:p w14:paraId="29CFD498">
      <w:pPr>
        <w:spacing w:line="360" w:lineRule="auto"/>
        <w:ind w:firstLine="480" w:firstLineChars="200"/>
        <w:rPr>
          <w:rFonts w:ascii="宋体" w:hAnsi="宋体" w:cs="宋体"/>
          <w:color w:val="auto"/>
          <w:sz w:val="24"/>
          <w:highlight w:val="none"/>
        </w:rPr>
      </w:pPr>
      <w:bookmarkStart w:id="10" w:name="_Toc28359004"/>
      <w:bookmarkStart w:id="11" w:name="_Toc35393792"/>
      <w:bookmarkStart w:id="12" w:name="_Toc28359081"/>
      <w:bookmarkStart w:id="13" w:name="_Toc35393623"/>
      <w:r>
        <w:rPr>
          <w:rFonts w:hint="eastAsia" w:ascii="宋体" w:hAnsi="宋体" w:cs="宋体"/>
          <w:color w:val="auto"/>
          <w:sz w:val="24"/>
          <w:highlight w:val="none"/>
        </w:rPr>
        <w:t>（一）满足《中华人民共和国政府采购法》第二十二条规定；</w:t>
      </w:r>
    </w:p>
    <w:p w14:paraId="0F0B38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（二）本项目的特定资格要求：</w:t>
      </w:r>
    </w:p>
    <w:p w14:paraId="08BFD5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（1）</w:t>
      </w:r>
      <w:bookmarkEnd w:id="10"/>
      <w:bookmarkEnd w:id="11"/>
      <w:bookmarkEnd w:id="12"/>
      <w:bookmarkEnd w:id="13"/>
      <w:r>
        <w:rPr>
          <w:rFonts w:hint="eastAsia" w:ascii="宋体" w:hAnsi="宋体" w:cs="宋体"/>
          <w:color w:val="auto"/>
          <w:kern w:val="0"/>
          <w:sz w:val="24"/>
          <w:highlight w:val="none"/>
        </w:rPr>
        <w:t>供应商应具有</w:t>
      </w:r>
      <w:r>
        <w:rPr>
          <w:rFonts w:hint="eastAsia" w:ascii="宋体" w:hAnsi="宋体" w:cs="宋体"/>
          <w:color w:val="auto"/>
          <w:kern w:val="0"/>
          <w:sz w:val="24"/>
          <w:highlight w:val="none"/>
          <w:lang w:eastAsia="zh-CN"/>
        </w:rPr>
        <w:t>水利水电工程施工总承包二级及以上资质（包含仍在有效期范围内的水利水电工程施工总承包三级资质）</w:t>
      </w:r>
      <w:r>
        <w:rPr>
          <w:rFonts w:hint="eastAsia" w:ascii="宋体" w:hAnsi="宋体" w:cs="宋体"/>
          <w:color w:val="auto"/>
          <w:kern w:val="0"/>
          <w:sz w:val="24"/>
          <w:highlight w:val="none"/>
        </w:rPr>
        <w:t>，具有有效的营业执</w:t>
      </w:r>
      <w:r>
        <w:rPr>
          <w:rFonts w:hint="eastAsia" w:ascii="宋体" w:hAnsi="宋体" w:eastAsia="宋体" w:cs="宋体"/>
          <w:color w:val="auto"/>
          <w:kern w:val="0"/>
          <w:sz w:val="24"/>
          <w:highlight w:val="none"/>
        </w:rPr>
        <w:t>照和安全生产许可证，省外企业应当提供省外建设工程施工企业进浙备案；</w:t>
      </w:r>
    </w:p>
    <w:p w14:paraId="3FA5E69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（2）拟派的项目负责人应具有水利水电专业二级及以上建造师注册证书</w:t>
      </w:r>
      <w:r>
        <w:rPr>
          <w:rFonts w:hint="eastAsia" w:ascii="宋体" w:hAnsi="宋体" w:eastAsia="宋体" w:cs="宋体"/>
          <w:color w:val="auto"/>
          <w:kern w:val="0"/>
          <w:sz w:val="24"/>
          <w:highlight w:val="none"/>
          <w:lang w:eastAsia="zh-CN"/>
        </w:rPr>
        <w:t>（项目负责人无在建工程）</w:t>
      </w:r>
      <w:r>
        <w:rPr>
          <w:rFonts w:hint="eastAsia" w:ascii="宋体" w:hAnsi="宋体" w:eastAsia="宋体" w:cs="宋体"/>
          <w:color w:val="auto"/>
          <w:kern w:val="0"/>
          <w:sz w:val="24"/>
          <w:highlight w:val="none"/>
        </w:rPr>
        <w:t>。</w:t>
      </w:r>
    </w:p>
    <w:p w14:paraId="2164E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联合体响应；</w:t>
      </w:r>
    </w:p>
    <w:p w14:paraId="34B893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b/>
          <w:color w:val="auto"/>
          <w:sz w:val="24"/>
          <w:highlight w:val="none"/>
        </w:rPr>
        <w:t>本项目（是）专门面向中小企业</w:t>
      </w:r>
      <w:r>
        <w:rPr>
          <w:rFonts w:hint="eastAsia" w:ascii="宋体" w:hAnsi="宋体" w:cs="宋体"/>
          <w:color w:val="auto"/>
          <w:sz w:val="24"/>
          <w:highlight w:val="none"/>
        </w:rPr>
        <w:t>；</w:t>
      </w:r>
      <w:bookmarkStart w:id="105" w:name="_GoBack"/>
      <w:bookmarkEnd w:id="105"/>
    </w:p>
    <w:p w14:paraId="47F3F6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10E7832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14:paraId="37A3EC7B">
      <w:pPr>
        <w:pStyle w:val="22"/>
        <w:spacing w:after="0" w:line="460" w:lineRule="exact"/>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三、获取磋商文件</w:t>
      </w:r>
    </w:p>
    <w:p w14:paraId="55810ABB">
      <w:pPr>
        <w:pStyle w:val="22"/>
        <w:spacing w:after="0" w:line="460" w:lineRule="exact"/>
        <w:ind w:left="0" w:leftChars="0" w:firstLine="480" w:firstLineChars="200"/>
        <w:rPr>
          <w:rFonts w:hint="eastAsia" w:ascii="宋体" w:hAnsi="宋体" w:eastAsia="宋体" w:cs="宋体"/>
          <w:color w:val="auto"/>
          <w:sz w:val="24"/>
          <w:szCs w:val="24"/>
          <w:highlight w:val="none"/>
        </w:rPr>
      </w:pPr>
      <w:bookmarkStart w:id="14" w:name="_Toc35393793"/>
      <w:bookmarkStart w:id="15" w:name="_Toc28359005"/>
      <w:bookmarkStart w:id="16" w:name="_Toc35393624"/>
      <w:bookmarkStart w:id="17" w:name="_Toc28359082"/>
      <w:r>
        <w:rPr>
          <w:rFonts w:hint="eastAsia" w:ascii="宋体" w:hAnsi="宋体" w:eastAsia="宋体" w:cs="宋体"/>
          <w:color w:val="auto"/>
          <w:sz w:val="24"/>
          <w:szCs w:val="24"/>
          <w:highlight w:val="none"/>
        </w:rPr>
        <w:t>1.获取时间：公告发布时间至投标截止时间。</w:t>
      </w:r>
    </w:p>
    <w:p w14:paraId="2764F178">
      <w:pPr>
        <w:pStyle w:val="22"/>
        <w:spacing w:after="0"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2.获取地址：浙江政府采购云平台（http://www.zcygov.cn）（简称“政釆云平台”）。</w:t>
      </w:r>
    </w:p>
    <w:p w14:paraId="6C5657EF">
      <w:pPr>
        <w:pStyle w:val="22"/>
        <w:spacing w:after="0"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3.获取采购文件方式：在线获取。投标人在政釆云平台进行网上报名后可免费下载。</w:t>
      </w:r>
    </w:p>
    <w:p w14:paraId="4B2DF134">
      <w:pPr>
        <w:pStyle w:val="22"/>
        <w:spacing w:after="0"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4.标书售价(元)：</w:t>
      </w:r>
      <w:r>
        <w:rPr>
          <w:rFonts w:hint="eastAsia" w:ascii="宋体" w:hAnsi="宋体" w:cs="宋体"/>
          <w:color w:val="auto"/>
          <w:sz w:val="24"/>
          <w:szCs w:val="24"/>
          <w:highlight w:val="none"/>
          <w:lang w:val="en-US" w:eastAsia="zh-CN"/>
        </w:rPr>
        <w:t>0元</w:t>
      </w:r>
      <w:r>
        <w:rPr>
          <w:rFonts w:hint="eastAsia" w:ascii="宋体" w:hAnsi="宋体" w:eastAsia="宋体" w:cs="宋体"/>
          <w:color w:val="auto"/>
          <w:sz w:val="24"/>
          <w:szCs w:val="24"/>
          <w:highlight w:val="none"/>
        </w:rPr>
        <w:t>。</w:t>
      </w:r>
    </w:p>
    <w:p w14:paraId="385698CA">
      <w:pPr>
        <w:pStyle w:val="22"/>
        <w:spacing w:after="0"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5.获取采购文件时应提供以下材料：无，按政釆云系统要求进行获取。</w:t>
      </w:r>
    </w:p>
    <w:p w14:paraId="65EECEBE">
      <w:pPr>
        <w:pStyle w:val="22"/>
        <w:spacing w:after="0"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0B31577C">
      <w:pPr>
        <w:pStyle w:val="14"/>
        <w:snapToGrid w:val="0"/>
        <w:spacing w:before="156" w:beforeLines="50" w:after="156" w:afterLines="50"/>
        <w:ind w:firstLine="241" w:firstLineChars="100"/>
        <w:rPr>
          <w:rFonts w:ascii="Times New Roman" w:hAnsi="Times New Roman"/>
          <w:b/>
          <w:color w:val="auto"/>
          <w:sz w:val="24"/>
          <w:highlight w:val="none"/>
        </w:rPr>
      </w:pPr>
      <w:r>
        <w:rPr>
          <w:rFonts w:hint="eastAsia" w:ascii="宋体" w:hAnsi="宋体" w:cs="宋体"/>
          <w:b/>
          <w:bCs/>
          <w:color w:val="auto"/>
          <w:kern w:val="0"/>
          <w:sz w:val="24"/>
          <w:highlight w:val="none"/>
        </w:rPr>
        <w:t>四、</w:t>
      </w:r>
      <w:bookmarkEnd w:id="14"/>
      <w:bookmarkEnd w:id="15"/>
      <w:bookmarkEnd w:id="16"/>
      <w:bookmarkEnd w:id="17"/>
      <w:bookmarkStart w:id="18" w:name="_Toc28359007"/>
      <w:bookmarkStart w:id="19" w:name="_Toc35393794"/>
      <w:bookmarkStart w:id="20" w:name="_Toc28359084"/>
      <w:bookmarkStart w:id="21" w:name="_Toc35393625"/>
      <w:r>
        <w:rPr>
          <w:rFonts w:ascii="Times New Roman" w:hAnsi="Times New Roman"/>
          <w:b/>
          <w:color w:val="auto"/>
          <w:sz w:val="24"/>
          <w:highlight w:val="none"/>
        </w:rPr>
        <w:t>提交投标文件截止时间、开标时间和地点</w:t>
      </w:r>
    </w:p>
    <w:p w14:paraId="3E5C1833">
      <w:pPr>
        <w:spacing w:line="360" w:lineRule="auto"/>
        <w:ind w:firstLine="484" w:firstLineChars="202"/>
        <w:rPr>
          <w:color w:val="auto"/>
          <w:sz w:val="24"/>
          <w:highlight w:val="none"/>
        </w:rPr>
      </w:pPr>
      <w:r>
        <w:rPr>
          <w:color w:val="auto"/>
          <w:sz w:val="24"/>
          <w:highlight w:val="none"/>
        </w:rPr>
        <w:t>提交投标文件截止时间：</w:t>
      </w:r>
      <w:r>
        <w:rPr>
          <w:rFonts w:hint="eastAsia" w:ascii="宋体" w:hAnsi="宋体" w:eastAsia="宋体" w:cs="Calibri Light"/>
          <w:color w:val="auto"/>
          <w:kern w:val="0"/>
          <w:sz w:val="24"/>
          <w:highlight w:val="none"/>
          <w:lang w:val="en-US" w:eastAsia="zh-CN"/>
        </w:rPr>
        <w:t>2024年12月</w:t>
      </w:r>
      <w:r>
        <w:rPr>
          <w:rFonts w:hint="eastAsia" w:ascii="宋体" w:hAnsi="宋体" w:cs="Calibri Light"/>
          <w:color w:val="auto"/>
          <w:kern w:val="0"/>
          <w:sz w:val="24"/>
          <w:highlight w:val="none"/>
          <w:lang w:val="en-US" w:eastAsia="zh-CN"/>
        </w:rPr>
        <w:t>30</w:t>
      </w:r>
      <w:r>
        <w:rPr>
          <w:rFonts w:hint="eastAsia" w:ascii="宋体" w:hAnsi="宋体" w:eastAsia="宋体" w:cs="Calibri Light"/>
          <w:color w:val="auto"/>
          <w:kern w:val="0"/>
          <w:sz w:val="24"/>
          <w:highlight w:val="none"/>
          <w:lang w:val="en-US" w:eastAsia="zh-CN"/>
        </w:rPr>
        <w:t>日9：00</w:t>
      </w:r>
      <w:r>
        <w:rPr>
          <w:rFonts w:hint="eastAsia"/>
          <w:color w:val="auto"/>
          <w:sz w:val="24"/>
          <w:highlight w:val="none"/>
        </w:rPr>
        <w:t>（北京时间）</w:t>
      </w:r>
    </w:p>
    <w:p w14:paraId="7DA3A015">
      <w:pPr>
        <w:spacing w:line="360" w:lineRule="auto"/>
        <w:ind w:firstLine="484" w:firstLineChars="202"/>
        <w:rPr>
          <w:color w:val="auto"/>
          <w:sz w:val="24"/>
          <w:highlight w:val="none"/>
        </w:rPr>
      </w:pPr>
      <w:r>
        <w:rPr>
          <w:color w:val="auto"/>
          <w:sz w:val="24"/>
          <w:highlight w:val="none"/>
        </w:rPr>
        <w:t>投标地点（网址）：通过政釆云平台实行在线投标响应。</w:t>
      </w:r>
    </w:p>
    <w:p w14:paraId="3292F3A8">
      <w:pPr>
        <w:spacing w:line="360" w:lineRule="auto"/>
        <w:ind w:firstLine="484" w:firstLineChars="202"/>
        <w:rPr>
          <w:color w:val="auto"/>
          <w:sz w:val="24"/>
          <w:highlight w:val="none"/>
        </w:rPr>
      </w:pPr>
      <w:r>
        <w:rPr>
          <w:color w:val="auto"/>
          <w:sz w:val="24"/>
          <w:highlight w:val="none"/>
        </w:rPr>
        <w:t>开标时间：以浙江政府采购网发布的本项目招标公告为准；</w:t>
      </w:r>
    </w:p>
    <w:p w14:paraId="1DE1E9B9">
      <w:pPr>
        <w:spacing w:line="360" w:lineRule="auto"/>
        <w:ind w:firstLine="484" w:firstLineChars="202"/>
        <w:rPr>
          <w:color w:val="auto"/>
          <w:sz w:val="24"/>
          <w:highlight w:val="none"/>
        </w:rPr>
      </w:pPr>
      <w:r>
        <w:rPr>
          <w:color w:val="auto"/>
          <w:sz w:val="24"/>
          <w:highlight w:val="none"/>
        </w:rPr>
        <w:t>开标地点（网址）：通过政釆云平台实行在线开标。</w:t>
      </w:r>
    </w:p>
    <w:bookmarkEnd w:id="18"/>
    <w:bookmarkEnd w:id="19"/>
    <w:bookmarkEnd w:id="20"/>
    <w:bookmarkEnd w:id="21"/>
    <w:p w14:paraId="2BE390EA">
      <w:pPr>
        <w:pStyle w:val="22"/>
        <w:spacing w:after="0" w:line="460" w:lineRule="exact"/>
        <w:ind w:left="0" w:leftChars="0" w:firstLine="241" w:firstLineChars="1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五、公告</w:t>
      </w:r>
      <w:r>
        <w:rPr>
          <w:rFonts w:hint="eastAsia" w:ascii="宋体" w:hAnsi="宋体" w:cs="宋体"/>
          <w:b/>
          <w:bCs/>
          <w:color w:val="auto"/>
          <w:kern w:val="0"/>
          <w:sz w:val="24"/>
          <w:highlight w:val="none"/>
          <w:lang w:eastAsia="zh-CN"/>
        </w:rPr>
        <w:t>期限</w:t>
      </w:r>
    </w:p>
    <w:p w14:paraId="644F053D">
      <w:pPr>
        <w:pStyle w:val="22"/>
        <w:spacing w:after="0" w:line="460" w:lineRule="exact"/>
        <w:ind w:left="0" w:leftChars="0" w:firstLine="480" w:firstLineChars="200"/>
        <w:rPr>
          <w:rFonts w:hint="eastAsia" w:asciiTheme="minorEastAsia" w:hAnsiTheme="minorEastAsia" w:eastAsiaTheme="minorEastAsia" w:cstheme="minorEastAsia"/>
          <w:color w:val="auto"/>
          <w:kern w:val="0"/>
          <w:sz w:val="24"/>
          <w:highlight w:val="none"/>
        </w:rPr>
      </w:pPr>
      <w:bookmarkStart w:id="22" w:name="_Toc35393795"/>
      <w:bookmarkStart w:id="23" w:name="_Toc35393626"/>
      <w:r>
        <w:rPr>
          <w:rFonts w:hint="eastAsia" w:asciiTheme="minorEastAsia" w:hAnsiTheme="minorEastAsia" w:eastAsiaTheme="minorEastAsia" w:cstheme="minorEastAsia"/>
          <w:color w:val="auto"/>
          <w:kern w:val="0"/>
          <w:sz w:val="24"/>
          <w:highlight w:val="none"/>
        </w:rPr>
        <w:t>本公告期限自发布之日起三个工作日</w:t>
      </w:r>
      <w:bookmarkEnd w:id="22"/>
      <w:bookmarkEnd w:id="23"/>
      <w:bookmarkStart w:id="24" w:name="_Toc35393796"/>
      <w:bookmarkStart w:id="25" w:name="_Toc28359085"/>
      <w:bookmarkStart w:id="26" w:name="_Toc35393627"/>
      <w:bookmarkStart w:id="27" w:name="_Toc28359008"/>
      <w:bookmarkStart w:id="28" w:name="_Toc28359010"/>
      <w:bookmarkStart w:id="29" w:name="_Toc28359087"/>
    </w:p>
    <w:p w14:paraId="1E50EB6E">
      <w:pPr>
        <w:pStyle w:val="22"/>
        <w:spacing w:after="0" w:line="460" w:lineRule="exact"/>
        <w:ind w:left="0" w:leftChars="0" w:firstLine="241" w:firstLineChars="100"/>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六</w:t>
      </w:r>
      <w:r>
        <w:rPr>
          <w:rFonts w:hint="eastAsia" w:ascii="宋体" w:hAnsi="宋体" w:cs="宋体"/>
          <w:b/>
          <w:bCs/>
          <w:color w:val="auto"/>
          <w:kern w:val="0"/>
          <w:sz w:val="24"/>
          <w:highlight w:val="none"/>
        </w:rPr>
        <w:t>、其他补充事宜</w:t>
      </w:r>
    </w:p>
    <w:p w14:paraId="673C7DD4">
      <w:pPr>
        <w:spacing w:line="360" w:lineRule="auto"/>
        <w:ind w:firstLine="484" w:firstLineChars="202"/>
        <w:rPr>
          <w:rFonts w:hint="eastAsia" w:ascii="宋体" w:hAnsi="宋体"/>
          <w:color w:val="auto"/>
          <w:sz w:val="24"/>
          <w:highlight w:val="none"/>
        </w:rPr>
      </w:pPr>
      <w:r>
        <w:rPr>
          <w:rFonts w:ascii="宋体" w:hAnsi="宋体"/>
          <w:color w:val="auto"/>
          <w:sz w:val="24"/>
          <w:highlight w:val="none"/>
        </w:rPr>
        <w:t>1、供应商认为采购文件使自己的权益受到损害的，可以自获取采购文件之日或者采购公告期限届满之日</w:t>
      </w:r>
      <w:r>
        <w:rPr>
          <w:rFonts w:hint="eastAsia" w:ascii="宋体" w:hAnsi="宋体"/>
          <w:color w:val="auto"/>
          <w:sz w:val="24"/>
          <w:highlight w:val="none"/>
        </w:rPr>
        <w:t>（公告期限届满后获取采购文件的，以公告期限届满之日为准）</w:t>
      </w:r>
      <w:r>
        <w:rPr>
          <w:rFonts w:ascii="宋体" w:hAnsi="宋体"/>
          <w:color w:val="auto"/>
          <w:sz w:val="24"/>
          <w:highlight w:val="none"/>
        </w:rPr>
        <w:t>起7个工作日内，</w:t>
      </w:r>
      <w:r>
        <w:rPr>
          <w:rFonts w:hint="eastAsia" w:ascii="宋体" w:hAnsi="宋体"/>
          <w:color w:val="auto"/>
          <w:sz w:val="24"/>
          <w:highlight w:val="none"/>
        </w:rPr>
        <w:t>一次性</w:t>
      </w:r>
      <w:r>
        <w:rPr>
          <w:rFonts w:ascii="宋体" w:hAnsi="宋体"/>
          <w:color w:val="auto"/>
          <w:sz w:val="24"/>
          <w:highlight w:val="none"/>
        </w:rPr>
        <w:t>以书面形式</w:t>
      </w:r>
      <w:r>
        <w:rPr>
          <w:rFonts w:hint="eastAsia" w:ascii="宋体" w:hAnsi="宋体"/>
          <w:color w:val="auto"/>
          <w:sz w:val="24"/>
          <w:highlight w:val="none"/>
        </w:rPr>
        <w:t>针对同一环节</w:t>
      </w:r>
      <w:r>
        <w:rPr>
          <w:rFonts w:ascii="宋体" w:hAnsi="宋体"/>
          <w:color w:val="auto"/>
          <w:sz w:val="24"/>
          <w:highlight w:val="none"/>
        </w:rPr>
        <w:t>向采购人和采购代理机构提出质疑</w:t>
      </w:r>
      <w:r>
        <w:rPr>
          <w:rFonts w:hint="eastAsia" w:ascii="宋体" w:hAnsi="宋体"/>
          <w:color w:val="auto"/>
          <w:sz w:val="24"/>
          <w:highlight w:val="none"/>
        </w:rPr>
        <w:t>，采购过程、采购结果的质疑也应一次性提出</w:t>
      </w:r>
      <w:r>
        <w:rPr>
          <w:rFonts w:ascii="宋体" w:hAnsi="宋体"/>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olor w:val="auto"/>
          <w:sz w:val="24"/>
          <w:highlight w:val="none"/>
        </w:rPr>
        <w:t>供应商在法定质疑期内一次性提出针对同一采购程序环节的质疑，多次提出的，不予接收。</w:t>
      </w:r>
    </w:p>
    <w:p w14:paraId="1E907B14">
      <w:pPr>
        <w:spacing w:line="360" w:lineRule="auto"/>
        <w:ind w:firstLine="484" w:firstLineChars="202"/>
        <w:rPr>
          <w:color w:val="auto"/>
          <w:sz w:val="24"/>
          <w:highlight w:val="none"/>
        </w:rPr>
      </w:pPr>
      <w:r>
        <w:rPr>
          <w:color w:val="auto"/>
          <w:sz w:val="24"/>
          <w:highlight w:val="none"/>
        </w:rPr>
        <w:t>2、其他事项：</w:t>
      </w:r>
    </w:p>
    <w:p w14:paraId="093DD1F7">
      <w:pPr>
        <w:spacing w:line="360" w:lineRule="auto"/>
        <w:ind w:firstLine="484" w:firstLineChars="202"/>
        <w:rPr>
          <w:color w:val="auto"/>
          <w:sz w:val="24"/>
          <w:highlight w:val="none"/>
        </w:rPr>
      </w:pPr>
      <w:r>
        <w:rPr>
          <w:color w:val="auto"/>
          <w:sz w:val="24"/>
          <w:highlight w:val="none"/>
        </w:rPr>
        <w:t>（1）请各投标供应商及时办理浙江政府采购网“政府采购供应商注册”入库手续。</w:t>
      </w:r>
    </w:p>
    <w:p w14:paraId="2BB8F03D">
      <w:pPr>
        <w:spacing w:line="360" w:lineRule="auto"/>
        <w:ind w:firstLine="484" w:firstLineChars="202"/>
        <w:rPr>
          <w:color w:val="auto"/>
          <w:sz w:val="24"/>
          <w:highlight w:val="none"/>
        </w:rPr>
      </w:pPr>
      <w:r>
        <w:rPr>
          <w:color w:val="auto"/>
          <w:sz w:val="24"/>
          <w:highlight w:val="none"/>
        </w:rPr>
        <w:t>（2）本项目实行电子采购，采用电子投标文件。若供应商参与投标，自行承担投标一切费用。</w:t>
      </w:r>
    </w:p>
    <w:p w14:paraId="1D6BB2B6">
      <w:pPr>
        <w:spacing w:line="360" w:lineRule="auto"/>
        <w:ind w:firstLine="484" w:firstLineChars="202"/>
        <w:rPr>
          <w:color w:val="auto"/>
          <w:sz w:val="24"/>
          <w:highlight w:val="none"/>
        </w:rPr>
      </w:pPr>
      <w:r>
        <w:rPr>
          <w:color w:val="auto"/>
          <w:sz w:val="24"/>
          <w:highlight w:val="none"/>
        </w:rPr>
        <w:t>（3）标前准备：各供应商在开标前确保成为浙江政府采购网正式注册供应商，并完成CA数字证书办理（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完成CA数字证书办理时间较长，建议各潜在供应商抓紧时间办理。</w:t>
      </w:r>
    </w:p>
    <w:p w14:paraId="47076F1B">
      <w:pPr>
        <w:spacing w:line="360" w:lineRule="auto"/>
        <w:ind w:firstLine="484" w:firstLineChars="202"/>
        <w:rPr>
          <w:color w:val="auto"/>
          <w:sz w:val="24"/>
          <w:highlight w:val="none"/>
        </w:rPr>
      </w:pPr>
      <w:r>
        <w:rPr>
          <w:color w:val="auto"/>
          <w:sz w:val="24"/>
          <w:highlight w:val="none"/>
        </w:rPr>
        <w:t>（4）电子投标文件编制、递交、解密等：</w:t>
      </w:r>
    </w:p>
    <w:p w14:paraId="470C2531">
      <w:pPr>
        <w:spacing w:line="360" w:lineRule="auto"/>
        <w:ind w:firstLine="484" w:firstLineChars="202"/>
        <w:rPr>
          <w:color w:val="auto"/>
          <w:sz w:val="24"/>
          <w:highlight w:val="none"/>
        </w:rPr>
      </w:pPr>
      <w:r>
        <w:rPr>
          <w:color w:val="auto"/>
          <w:sz w:val="24"/>
          <w:highlight w:val="none"/>
        </w:rPr>
        <w:t>1）应按照本项目招标文件和政采云平台的要求，通过“政采云电子交易客户端”编制、加密投标文件，并按要求上传递交投标文件。供应商未按规定加密和递交的投标文件，“政府采购云平台”将予以拒收。供应商在使用系统进行投标的过程中遇到涉及平台使用的任何问题，可致电政采云平台技术支持热线咨询，联系方式：95763。</w:t>
      </w:r>
    </w:p>
    <w:p w14:paraId="08A0410B">
      <w:pPr>
        <w:spacing w:line="360" w:lineRule="auto"/>
        <w:ind w:firstLine="484" w:firstLineChars="202"/>
        <w:rPr>
          <w:color w:val="auto"/>
          <w:sz w:val="24"/>
          <w:highlight w:val="none"/>
        </w:rPr>
      </w:pPr>
      <w:r>
        <w:rPr>
          <w:color w:val="auto"/>
          <w:sz w:val="24"/>
          <w:highlight w:val="none"/>
        </w:rPr>
        <w:t>2）投标人通过政采云平台电子投标工具制作投标文件，电子投标工具请供应商自行前往浙江政府采购网下载并安装，具体为“浙江政府采购网-下载专区-电子交易客户端”进行下载，电子投标文件制作具体流程详见政采云平台供应商项目采购的电子招投标操作指南。</w:t>
      </w:r>
    </w:p>
    <w:p w14:paraId="6AB1AFBF">
      <w:pPr>
        <w:spacing w:line="360" w:lineRule="auto"/>
        <w:ind w:firstLine="484" w:firstLineChars="202"/>
        <w:rPr>
          <w:color w:val="auto"/>
          <w:sz w:val="24"/>
          <w:highlight w:val="none"/>
        </w:rPr>
      </w:pPr>
      <w:r>
        <w:rPr>
          <w:color w:val="auto"/>
          <w:sz w:val="24"/>
          <w:highlight w:val="none"/>
        </w:rPr>
        <w:t>3）建议供应商提前上传电子投标文件，以便在上传时遇到技术问题，有充足的时间请教平台的技术人员（投标供应商应当在投标截止时间前，将生成的“电子加密投标文件”上传递交至“政釆云平台”。投标截止时间以后上传递交的投标文件将被拒收）。</w:t>
      </w:r>
    </w:p>
    <w:p w14:paraId="0B64546D">
      <w:pPr>
        <w:spacing w:line="360" w:lineRule="auto"/>
        <w:ind w:firstLine="484" w:firstLineChars="202"/>
        <w:rPr>
          <w:rFonts w:ascii="宋体" w:hAnsi="宋体"/>
          <w:color w:val="auto"/>
          <w:sz w:val="24"/>
          <w:highlight w:val="none"/>
        </w:rPr>
      </w:pPr>
      <w:r>
        <w:rPr>
          <w:rFonts w:ascii="宋体" w:hAnsi="宋体"/>
          <w:color w:val="auto"/>
          <w:sz w:val="24"/>
          <w:highlight w:val="none"/>
        </w:rPr>
        <w:t>4）本次招标将于规定时间在浙江省台州市椒江区江城南路88号区行政服务中心</w:t>
      </w:r>
      <w:r>
        <w:rPr>
          <w:rFonts w:hint="eastAsia" w:ascii="宋体" w:hAnsi="宋体"/>
          <w:color w:val="auto"/>
          <w:sz w:val="24"/>
          <w:highlight w:val="none"/>
        </w:rPr>
        <w:t>大厅二</w:t>
      </w:r>
      <w:r>
        <w:rPr>
          <w:rFonts w:ascii="宋体" w:hAnsi="宋体"/>
          <w:color w:val="auto"/>
          <w:sz w:val="24"/>
          <w:highlight w:val="none"/>
        </w:rPr>
        <w:t>楼</w:t>
      </w:r>
      <w:r>
        <w:rPr>
          <w:rFonts w:hint="eastAsia" w:ascii="宋体" w:hAnsi="宋体"/>
          <w:color w:val="auto"/>
          <w:sz w:val="24"/>
          <w:highlight w:val="none"/>
        </w:rPr>
        <w:t>开标（通过政釆云平台实行在线开标）</w:t>
      </w:r>
      <w:r>
        <w:rPr>
          <w:rFonts w:ascii="宋体" w:hAnsi="宋体"/>
          <w:color w:val="auto"/>
          <w:sz w:val="24"/>
          <w:highlight w:val="none"/>
        </w:rPr>
        <w:t>，请在开标当日规定解密时间内将投标文件完成解密（用CA驱动锁插入电脑及账号登入政釆云平台按时解密）。供应商在投标截止时间前还可以将备份电子投标文件（存储在U盘中）送达（或邮寄）至采购代理机构处（U盘不退）,地址及电话见下方联系方式，供应商自行对邮寄的备份电子投标文件完整性和快递过程中的一切问题负责，以快递送达时间为准，建议供应商提前快递，采用EMS或顺丰快递等方式，不接受到付的快递。投标文件未按时完成解密，供应商提供了备份电子投标文件的，以备份电子投标文件作为依据，未提供备份电子投标文件的，视为放弃投标处理。按时完成解密的，其备份电子投标文件自动失效。</w:t>
      </w:r>
    </w:p>
    <w:p w14:paraId="15B81269">
      <w:pPr>
        <w:pStyle w:val="22"/>
        <w:spacing w:after="0" w:line="460" w:lineRule="exact"/>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八、联系</w:t>
      </w:r>
      <w:bookmarkEnd w:id="24"/>
      <w:bookmarkEnd w:id="25"/>
      <w:bookmarkEnd w:id="26"/>
      <w:bookmarkEnd w:id="27"/>
      <w:r>
        <w:rPr>
          <w:rFonts w:hint="eastAsia" w:ascii="宋体" w:hAnsi="宋体" w:cs="宋体"/>
          <w:b/>
          <w:bCs/>
          <w:color w:val="auto"/>
          <w:kern w:val="0"/>
          <w:sz w:val="24"/>
          <w:highlight w:val="none"/>
        </w:rPr>
        <w:t>方式</w:t>
      </w:r>
    </w:p>
    <w:p w14:paraId="1CB997A9">
      <w:pPr>
        <w:snapToGrid w:val="0"/>
        <w:spacing w:line="46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（一）采购人（受理磋商文件相关质疑及答复） </w:t>
      </w:r>
    </w:p>
    <w:p w14:paraId="0A011E46">
      <w:pPr>
        <w:spacing w:line="360" w:lineRule="auto"/>
        <w:ind w:firstLine="540" w:firstLineChars="225"/>
        <w:rPr>
          <w:rFonts w:ascii="宋体" w:hAnsi="宋体"/>
          <w:color w:val="auto"/>
          <w:sz w:val="24"/>
          <w:highlight w:val="none"/>
        </w:rPr>
      </w:pPr>
      <w:r>
        <w:rPr>
          <w:rFonts w:ascii="宋体" w:hAnsi="宋体"/>
          <w:color w:val="auto"/>
          <w:sz w:val="24"/>
          <w:highlight w:val="none"/>
        </w:rPr>
        <w:t>1、采购人信息</w:t>
      </w:r>
    </w:p>
    <w:p w14:paraId="1389034B">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名称：台州市椒江区人民政府章安街道办事处</w:t>
      </w:r>
    </w:p>
    <w:p w14:paraId="1C104CE9">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地址：台州市椒江区人民政府章安街道新堂街1号</w:t>
      </w:r>
    </w:p>
    <w:p w14:paraId="71468AF1">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项目联系人（询问等事宜）：周先生</w:t>
      </w:r>
    </w:p>
    <w:p w14:paraId="3D775D6E">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项目联系方式（询问等事宜）：0576-88788057</w:t>
      </w:r>
    </w:p>
    <w:p w14:paraId="22EF3F80">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 xml:space="preserve">质疑联系人：叶女士 </w:t>
      </w:r>
    </w:p>
    <w:p w14:paraId="1F2C34CA">
      <w:pPr>
        <w:spacing w:line="360" w:lineRule="auto"/>
        <w:ind w:firstLine="540" w:firstLineChars="225"/>
        <w:rPr>
          <w:rFonts w:hint="eastAsia" w:ascii="宋体" w:hAnsi="宋体"/>
          <w:color w:val="auto"/>
          <w:sz w:val="24"/>
          <w:highlight w:val="none"/>
          <w:lang w:eastAsia="zh-CN"/>
        </w:rPr>
      </w:pPr>
      <w:r>
        <w:rPr>
          <w:rFonts w:hint="eastAsia" w:ascii="宋体" w:hAnsi="宋体"/>
          <w:color w:val="auto"/>
          <w:sz w:val="24"/>
          <w:highlight w:val="none"/>
          <w:lang w:eastAsia="zh-CN"/>
        </w:rPr>
        <w:t>质疑联系方式：0576-88788053</w:t>
      </w:r>
    </w:p>
    <w:p w14:paraId="095C488F">
      <w:pPr>
        <w:spacing w:line="360" w:lineRule="auto"/>
        <w:ind w:firstLine="540" w:firstLineChars="225"/>
        <w:rPr>
          <w:rFonts w:ascii="宋体" w:hAnsi="宋体"/>
          <w:color w:val="auto"/>
          <w:sz w:val="24"/>
          <w:highlight w:val="none"/>
        </w:rPr>
      </w:pPr>
      <w:r>
        <w:rPr>
          <w:rFonts w:ascii="宋体" w:hAnsi="宋体"/>
          <w:color w:val="auto"/>
          <w:sz w:val="24"/>
          <w:highlight w:val="none"/>
        </w:rPr>
        <w:t>2.采购代理机构信息</w:t>
      </w:r>
    </w:p>
    <w:p w14:paraId="55BB365D">
      <w:pPr>
        <w:spacing w:line="360" w:lineRule="auto"/>
        <w:ind w:firstLine="540" w:firstLineChars="225"/>
        <w:rPr>
          <w:rFonts w:hint="eastAsia" w:ascii="宋体" w:hAnsi="宋体" w:eastAsia="宋体"/>
          <w:color w:val="auto"/>
          <w:sz w:val="24"/>
          <w:highlight w:val="none"/>
          <w:lang w:eastAsia="zh-CN"/>
        </w:rPr>
      </w:pPr>
      <w:r>
        <w:rPr>
          <w:rFonts w:ascii="宋体" w:hAnsi="宋体"/>
          <w:color w:val="auto"/>
          <w:sz w:val="24"/>
          <w:highlight w:val="none"/>
        </w:rPr>
        <w:t>名称：</w:t>
      </w:r>
      <w:r>
        <w:rPr>
          <w:rFonts w:hint="eastAsia" w:ascii="宋体" w:hAnsi="宋体"/>
          <w:color w:val="auto"/>
          <w:sz w:val="24"/>
          <w:highlight w:val="none"/>
          <w:lang w:eastAsia="zh-CN"/>
        </w:rPr>
        <w:t>浙江新诚信工程咨询有限公司</w:t>
      </w:r>
    </w:p>
    <w:p w14:paraId="372236FE">
      <w:pPr>
        <w:spacing w:line="360" w:lineRule="auto"/>
        <w:ind w:firstLine="540" w:firstLineChars="225"/>
        <w:rPr>
          <w:rFonts w:hint="eastAsia" w:ascii="宋体" w:hAnsi="宋体" w:eastAsia="宋体"/>
          <w:color w:val="auto"/>
          <w:sz w:val="24"/>
          <w:highlight w:val="none"/>
          <w:lang w:eastAsia="zh-CN"/>
        </w:rPr>
      </w:pPr>
      <w:r>
        <w:rPr>
          <w:rFonts w:ascii="宋体" w:hAnsi="宋体"/>
          <w:color w:val="auto"/>
          <w:sz w:val="24"/>
          <w:highlight w:val="none"/>
        </w:rPr>
        <w:t>地址：</w:t>
      </w:r>
      <w:r>
        <w:rPr>
          <w:rFonts w:hint="eastAsia" w:ascii="宋体" w:hAnsi="宋体"/>
          <w:color w:val="auto"/>
          <w:sz w:val="24"/>
          <w:highlight w:val="none"/>
          <w:lang w:eastAsia="zh-CN"/>
        </w:rPr>
        <w:t>椒江区海门街道东升街80号</w:t>
      </w:r>
    </w:p>
    <w:p w14:paraId="479CB654">
      <w:pPr>
        <w:spacing w:line="360" w:lineRule="auto"/>
        <w:ind w:firstLine="540" w:firstLineChars="225"/>
        <w:rPr>
          <w:rFonts w:hint="eastAsia" w:ascii="宋体" w:hAnsi="宋体" w:eastAsia="宋体"/>
          <w:color w:val="auto"/>
          <w:sz w:val="24"/>
          <w:highlight w:val="none"/>
          <w:lang w:eastAsia="zh-CN"/>
        </w:rPr>
      </w:pPr>
      <w:r>
        <w:rPr>
          <w:rFonts w:ascii="宋体" w:hAnsi="宋体"/>
          <w:color w:val="auto"/>
          <w:sz w:val="24"/>
          <w:highlight w:val="none"/>
        </w:rPr>
        <w:t>项目联系人（询问</w:t>
      </w:r>
      <w:r>
        <w:rPr>
          <w:rFonts w:hint="eastAsia" w:ascii="宋体" w:hAnsi="宋体"/>
          <w:color w:val="auto"/>
          <w:sz w:val="24"/>
          <w:highlight w:val="none"/>
        </w:rPr>
        <w:t>等事宜</w:t>
      </w:r>
      <w:r>
        <w:rPr>
          <w:rFonts w:ascii="宋体" w:hAnsi="宋体"/>
          <w:color w:val="auto"/>
          <w:sz w:val="24"/>
          <w:highlight w:val="none"/>
        </w:rPr>
        <w:t>）：</w:t>
      </w:r>
      <w:r>
        <w:rPr>
          <w:rFonts w:hint="eastAsia" w:ascii="宋体" w:hAnsi="宋体"/>
          <w:color w:val="auto"/>
          <w:sz w:val="24"/>
          <w:highlight w:val="none"/>
          <w:lang w:eastAsia="zh-CN"/>
        </w:rPr>
        <w:t>符女士</w:t>
      </w:r>
    </w:p>
    <w:p w14:paraId="0A5826F3">
      <w:pPr>
        <w:spacing w:line="360" w:lineRule="auto"/>
        <w:ind w:firstLine="540" w:firstLineChars="225"/>
        <w:rPr>
          <w:rFonts w:hint="default" w:ascii="宋体" w:hAnsi="宋体" w:eastAsia="宋体"/>
          <w:color w:val="auto"/>
          <w:sz w:val="24"/>
          <w:highlight w:val="none"/>
          <w:lang w:val="en-US" w:eastAsia="zh-CN"/>
        </w:rPr>
      </w:pPr>
      <w:r>
        <w:rPr>
          <w:rFonts w:ascii="宋体" w:hAnsi="宋体"/>
          <w:color w:val="auto"/>
          <w:sz w:val="24"/>
          <w:highlight w:val="none"/>
        </w:rPr>
        <w:t>项目联系方式（询问</w:t>
      </w:r>
      <w:r>
        <w:rPr>
          <w:rFonts w:hint="eastAsia" w:ascii="宋体" w:hAnsi="宋体"/>
          <w:color w:val="auto"/>
          <w:sz w:val="24"/>
          <w:highlight w:val="none"/>
        </w:rPr>
        <w:t>等事宜</w:t>
      </w:r>
      <w:r>
        <w:rPr>
          <w:rFonts w:ascii="宋体" w:hAnsi="宋体"/>
          <w:color w:val="auto"/>
          <w:sz w:val="24"/>
          <w:highlight w:val="none"/>
        </w:rPr>
        <w:t>）：</w:t>
      </w:r>
      <w:r>
        <w:rPr>
          <w:rFonts w:hint="eastAsia" w:ascii="宋体" w:hAnsi="宋体"/>
          <w:color w:val="auto"/>
          <w:sz w:val="24"/>
          <w:highlight w:val="none"/>
          <w:lang w:val="en-US" w:eastAsia="zh-CN"/>
        </w:rPr>
        <w:t>15757646687</w:t>
      </w:r>
    </w:p>
    <w:p w14:paraId="7A153182">
      <w:pPr>
        <w:spacing w:line="360" w:lineRule="auto"/>
        <w:ind w:firstLine="540" w:firstLineChars="225"/>
        <w:rPr>
          <w:rFonts w:hint="eastAsia" w:ascii="宋体" w:hAnsi="宋体" w:eastAsia="宋体"/>
          <w:color w:val="auto"/>
          <w:sz w:val="24"/>
          <w:highlight w:val="none"/>
          <w:lang w:eastAsia="zh-CN"/>
        </w:rPr>
      </w:pPr>
      <w:r>
        <w:rPr>
          <w:rFonts w:ascii="宋体" w:hAnsi="宋体"/>
          <w:color w:val="auto"/>
          <w:sz w:val="24"/>
          <w:highlight w:val="none"/>
        </w:rPr>
        <w:t>质疑联系人：</w:t>
      </w:r>
      <w:r>
        <w:rPr>
          <w:rFonts w:hint="eastAsia" w:ascii="宋体" w:hAnsi="宋体"/>
          <w:color w:val="auto"/>
          <w:sz w:val="24"/>
          <w:highlight w:val="none"/>
          <w:lang w:eastAsia="zh-CN"/>
        </w:rPr>
        <w:t>陈先生</w:t>
      </w:r>
    </w:p>
    <w:p w14:paraId="71DF5865">
      <w:pPr>
        <w:spacing w:line="360" w:lineRule="auto"/>
        <w:ind w:firstLine="540" w:firstLineChars="225"/>
        <w:rPr>
          <w:rFonts w:ascii="宋体" w:hAnsi="宋体"/>
          <w:color w:val="auto"/>
          <w:sz w:val="24"/>
          <w:highlight w:val="none"/>
        </w:rPr>
      </w:pPr>
      <w:r>
        <w:rPr>
          <w:rFonts w:ascii="宋体" w:hAnsi="宋体"/>
          <w:color w:val="auto"/>
          <w:sz w:val="24"/>
          <w:highlight w:val="none"/>
        </w:rPr>
        <w:t>质疑联系方式：</w:t>
      </w:r>
      <w:r>
        <w:rPr>
          <w:rFonts w:hint="eastAsia" w:ascii="宋体" w:hAnsi="宋体"/>
          <w:color w:val="auto"/>
          <w:sz w:val="24"/>
          <w:highlight w:val="none"/>
          <w:lang w:val="en-US" w:eastAsia="zh-CN"/>
        </w:rPr>
        <w:t>13178018660</w:t>
      </w:r>
    </w:p>
    <w:p w14:paraId="272F914D">
      <w:pPr>
        <w:spacing w:line="360" w:lineRule="auto"/>
        <w:ind w:firstLine="540" w:firstLineChars="225"/>
        <w:rPr>
          <w:rFonts w:ascii="宋体" w:hAnsi="宋体"/>
          <w:color w:val="auto"/>
          <w:sz w:val="24"/>
          <w:highlight w:val="none"/>
        </w:rPr>
      </w:pPr>
      <w:r>
        <w:rPr>
          <w:rFonts w:ascii="宋体" w:hAnsi="宋体"/>
          <w:color w:val="auto"/>
          <w:sz w:val="24"/>
          <w:highlight w:val="none"/>
        </w:rPr>
        <w:t>3、同级政府采购监督管理部门</w:t>
      </w:r>
    </w:p>
    <w:p w14:paraId="2424D210">
      <w:pPr>
        <w:spacing w:line="360" w:lineRule="auto"/>
        <w:ind w:firstLine="540" w:firstLineChars="225"/>
        <w:rPr>
          <w:rFonts w:ascii="宋体" w:hAnsi="宋体"/>
          <w:color w:val="auto"/>
          <w:sz w:val="24"/>
          <w:highlight w:val="none"/>
        </w:rPr>
      </w:pPr>
      <w:r>
        <w:rPr>
          <w:rFonts w:ascii="宋体" w:hAnsi="宋体"/>
          <w:color w:val="auto"/>
          <w:sz w:val="24"/>
          <w:highlight w:val="none"/>
        </w:rPr>
        <w:t>名称：</w:t>
      </w:r>
      <w:r>
        <w:rPr>
          <w:rFonts w:hint="eastAsia" w:ascii="宋体" w:hAnsi="宋体" w:cs="仿宋"/>
          <w:color w:val="auto"/>
          <w:sz w:val="24"/>
          <w:highlight w:val="none"/>
        </w:rPr>
        <w:t>台州市椒江区财政局政府采购监管科</w:t>
      </w:r>
    </w:p>
    <w:p w14:paraId="14A43910">
      <w:pPr>
        <w:spacing w:line="360" w:lineRule="auto"/>
        <w:ind w:firstLine="540" w:firstLineChars="225"/>
        <w:rPr>
          <w:rFonts w:hint="eastAsia" w:ascii="宋体" w:hAnsi="宋体"/>
          <w:color w:val="auto"/>
          <w:sz w:val="24"/>
          <w:highlight w:val="none"/>
        </w:rPr>
      </w:pPr>
      <w:r>
        <w:rPr>
          <w:rFonts w:ascii="宋体" w:hAnsi="宋体"/>
          <w:color w:val="auto"/>
          <w:sz w:val="24"/>
          <w:highlight w:val="none"/>
        </w:rPr>
        <w:t>地址：</w:t>
      </w:r>
      <w:r>
        <w:rPr>
          <w:rFonts w:hint="eastAsia" w:ascii="宋体" w:hAnsi="宋体"/>
          <w:color w:val="auto"/>
          <w:sz w:val="24"/>
          <w:highlight w:val="none"/>
        </w:rPr>
        <w:t>台州市椒江区建设路6号</w:t>
      </w:r>
    </w:p>
    <w:p w14:paraId="6B6080C9">
      <w:pPr>
        <w:spacing w:line="360" w:lineRule="auto"/>
        <w:ind w:firstLine="540" w:firstLineChars="225"/>
        <w:rPr>
          <w:rFonts w:ascii="宋体" w:hAnsi="宋体"/>
          <w:color w:val="auto"/>
          <w:sz w:val="24"/>
          <w:highlight w:val="none"/>
        </w:rPr>
      </w:pPr>
      <w:r>
        <w:rPr>
          <w:rFonts w:ascii="宋体" w:hAnsi="宋体"/>
          <w:color w:val="auto"/>
          <w:sz w:val="24"/>
          <w:highlight w:val="none"/>
        </w:rPr>
        <w:t>传真：</w:t>
      </w:r>
      <w:r>
        <w:rPr>
          <w:rFonts w:ascii="宋体" w:hAnsi="宋体" w:cs="仿宋"/>
          <w:color w:val="auto"/>
          <w:sz w:val="24"/>
          <w:highlight w:val="none"/>
        </w:rPr>
        <w:t>0576-</w:t>
      </w:r>
      <w:r>
        <w:rPr>
          <w:rFonts w:hint="eastAsia" w:ascii="宋体" w:hAnsi="宋体" w:cs="仿宋"/>
          <w:color w:val="auto"/>
          <w:sz w:val="24"/>
          <w:highlight w:val="none"/>
        </w:rPr>
        <w:t>88225817</w:t>
      </w:r>
    </w:p>
    <w:p w14:paraId="2E2B568E">
      <w:pPr>
        <w:spacing w:line="360" w:lineRule="auto"/>
        <w:ind w:firstLine="540" w:firstLineChars="225"/>
        <w:rPr>
          <w:rFonts w:ascii="宋体" w:hAnsi="宋体"/>
          <w:color w:val="auto"/>
          <w:sz w:val="24"/>
          <w:highlight w:val="none"/>
        </w:rPr>
      </w:pPr>
      <w:r>
        <w:rPr>
          <w:rFonts w:ascii="宋体" w:hAnsi="宋体"/>
          <w:color w:val="auto"/>
          <w:sz w:val="24"/>
          <w:highlight w:val="none"/>
        </w:rPr>
        <w:t>联系人：</w:t>
      </w:r>
      <w:r>
        <w:rPr>
          <w:rFonts w:hint="eastAsia" w:ascii="宋体" w:hAnsi="宋体" w:cs="仿宋"/>
          <w:color w:val="auto"/>
          <w:sz w:val="24"/>
          <w:highlight w:val="none"/>
        </w:rPr>
        <w:t>王琪</w:t>
      </w:r>
    </w:p>
    <w:p w14:paraId="5DFB1E56">
      <w:pPr>
        <w:spacing w:line="360" w:lineRule="auto"/>
        <w:ind w:firstLine="540" w:firstLineChars="225"/>
        <w:rPr>
          <w:rFonts w:ascii="宋体" w:hAnsi="宋体"/>
          <w:color w:val="auto"/>
          <w:sz w:val="24"/>
          <w:highlight w:val="none"/>
        </w:rPr>
      </w:pPr>
      <w:r>
        <w:rPr>
          <w:rFonts w:ascii="宋体" w:hAnsi="宋体"/>
          <w:color w:val="auto"/>
          <w:sz w:val="24"/>
          <w:highlight w:val="none"/>
        </w:rPr>
        <w:t>监督投诉电话：</w:t>
      </w:r>
      <w:r>
        <w:rPr>
          <w:rFonts w:ascii="宋体" w:hAnsi="宋体" w:cs="仿宋"/>
          <w:color w:val="auto"/>
          <w:sz w:val="24"/>
          <w:highlight w:val="none"/>
        </w:rPr>
        <w:t>0576-89069286</w:t>
      </w:r>
    </w:p>
    <w:p w14:paraId="4505EF8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 xml:space="preserve">        </w:t>
      </w:r>
    </w:p>
    <w:p w14:paraId="604100A7">
      <w:pPr>
        <w:pStyle w:val="22"/>
        <w:rPr>
          <w:color w:val="auto"/>
          <w:highlight w:val="none"/>
        </w:rPr>
      </w:pPr>
    </w:p>
    <w:p w14:paraId="7D61F8A2">
      <w:pPr>
        <w:pStyle w:val="22"/>
        <w:rPr>
          <w:color w:val="auto"/>
          <w:highlight w:val="none"/>
        </w:rPr>
      </w:pPr>
    </w:p>
    <w:p w14:paraId="6055AFF8">
      <w:pPr>
        <w:pStyle w:val="22"/>
        <w:rPr>
          <w:color w:val="auto"/>
          <w:highlight w:val="none"/>
        </w:rPr>
      </w:pPr>
    </w:p>
    <w:p w14:paraId="594B3839">
      <w:pPr>
        <w:pStyle w:val="22"/>
        <w:rPr>
          <w:color w:val="auto"/>
          <w:highlight w:val="none"/>
        </w:rPr>
      </w:pPr>
    </w:p>
    <w:p w14:paraId="76A43C8C">
      <w:pPr>
        <w:pStyle w:val="22"/>
        <w:rPr>
          <w:color w:val="auto"/>
          <w:highlight w:val="none"/>
        </w:rPr>
      </w:pPr>
    </w:p>
    <w:p w14:paraId="7F4B400B">
      <w:pPr>
        <w:pStyle w:val="22"/>
        <w:rPr>
          <w:color w:val="auto"/>
          <w:highlight w:val="none"/>
        </w:rPr>
      </w:pPr>
    </w:p>
    <w:p w14:paraId="6C5EA96C">
      <w:pPr>
        <w:pStyle w:val="22"/>
        <w:rPr>
          <w:color w:val="auto"/>
          <w:highlight w:val="none"/>
        </w:rPr>
      </w:pPr>
    </w:p>
    <w:p w14:paraId="55CCCD20">
      <w:pPr>
        <w:pStyle w:val="22"/>
        <w:rPr>
          <w:color w:val="auto"/>
          <w:highlight w:val="none"/>
        </w:rPr>
      </w:pPr>
    </w:p>
    <w:p w14:paraId="69EF3BA9">
      <w:pPr>
        <w:pStyle w:val="22"/>
        <w:rPr>
          <w:color w:val="auto"/>
          <w:highlight w:val="none"/>
        </w:rPr>
        <w:sectPr>
          <w:footerReference r:id="rId10" w:type="default"/>
          <w:pgSz w:w="11906" w:h="16838"/>
          <w:pgMar w:top="1440" w:right="1800" w:bottom="1440" w:left="1800" w:header="851" w:footer="992" w:gutter="0"/>
          <w:pgNumType w:fmt="decimal" w:start="1"/>
          <w:cols w:space="720" w:num="1"/>
          <w:docGrid w:type="lines" w:linePitch="312" w:charSpace="0"/>
        </w:sectPr>
      </w:pPr>
    </w:p>
    <w:p w14:paraId="28F7B509">
      <w:pPr>
        <w:rPr>
          <w:color w:val="auto"/>
          <w:highlight w:val="none"/>
        </w:rPr>
      </w:pPr>
    </w:p>
    <w:bookmarkEnd w:id="28"/>
    <w:bookmarkEnd w:id="29"/>
    <w:p w14:paraId="5C532E75">
      <w:pPr>
        <w:numPr>
          <w:ilvl w:val="0"/>
          <w:numId w:val="3"/>
        </w:numPr>
        <w:spacing w:line="360" w:lineRule="auto"/>
        <w:jc w:val="center"/>
        <w:outlineLvl w:val="0"/>
        <w:rPr>
          <w:rFonts w:asciiTheme="minorEastAsia" w:hAnsiTheme="minorEastAsia" w:eastAsiaTheme="minorEastAsia"/>
          <w:b/>
          <w:color w:val="auto"/>
          <w:sz w:val="36"/>
          <w:szCs w:val="36"/>
          <w:highlight w:val="none"/>
        </w:rPr>
      </w:pPr>
      <w:bookmarkStart w:id="30" w:name="_Toc9337"/>
      <w:r>
        <w:rPr>
          <w:rFonts w:hint="eastAsia" w:asciiTheme="minorEastAsia" w:hAnsiTheme="minorEastAsia" w:eastAsiaTheme="minorEastAsia"/>
          <w:b/>
          <w:color w:val="auto"/>
          <w:sz w:val="36"/>
          <w:szCs w:val="36"/>
          <w:highlight w:val="none"/>
        </w:rPr>
        <w:t>供应商须知</w:t>
      </w:r>
      <w:bookmarkEnd w:id="30"/>
    </w:p>
    <w:p w14:paraId="101FE3B9">
      <w:pPr>
        <w:numPr>
          <w:ilvl w:val="0"/>
          <w:numId w:val="4"/>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p w14:paraId="20863B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23"/>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380"/>
        <w:gridCol w:w="5950"/>
      </w:tblGrid>
      <w:tr w14:paraId="677E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CFE2F9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0" w:type="dxa"/>
            <w:tcBorders>
              <w:top w:val="single" w:color="auto" w:sz="4" w:space="0"/>
              <w:left w:val="single" w:color="auto" w:sz="4" w:space="0"/>
              <w:bottom w:val="single" w:color="auto" w:sz="4" w:space="0"/>
              <w:right w:val="single" w:color="auto" w:sz="4" w:space="0"/>
            </w:tcBorders>
            <w:vAlign w:val="center"/>
          </w:tcPr>
          <w:p w14:paraId="6BEC43B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5950" w:type="dxa"/>
            <w:tcBorders>
              <w:top w:val="single" w:color="auto" w:sz="4" w:space="0"/>
              <w:left w:val="single" w:color="auto" w:sz="4" w:space="0"/>
              <w:bottom w:val="single" w:color="auto" w:sz="4" w:space="0"/>
              <w:right w:val="single" w:color="auto" w:sz="4" w:space="0"/>
            </w:tcBorders>
            <w:vAlign w:val="center"/>
          </w:tcPr>
          <w:p w14:paraId="3843458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0E62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77C40F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380" w:type="dxa"/>
            <w:tcBorders>
              <w:top w:val="single" w:color="auto" w:sz="4" w:space="0"/>
              <w:left w:val="single" w:color="auto" w:sz="4" w:space="0"/>
              <w:bottom w:val="single" w:color="auto" w:sz="4" w:space="0"/>
              <w:right w:val="single" w:color="auto" w:sz="4" w:space="0"/>
            </w:tcBorders>
            <w:vAlign w:val="center"/>
          </w:tcPr>
          <w:p w14:paraId="533C320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5950" w:type="dxa"/>
            <w:tcBorders>
              <w:top w:val="single" w:color="auto" w:sz="4" w:space="0"/>
              <w:left w:val="single" w:color="auto" w:sz="4" w:space="0"/>
              <w:bottom w:val="single" w:color="auto" w:sz="4" w:space="0"/>
              <w:right w:val="single" w:color="auto" w:sz="4" w:space="0"/>
            </w:tcBorders>
            <w:vAlign w:val="center"/>
          </w:tcPr>
          <w:p w14:paraId="31267F9D">
            <w:pPr>
              <w:spacing w:line="400" w:lineRule="exact"/>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14:paraId="335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2E3A2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380" w:type="dxa"/>
            <w:tcBorders>
              <w:top w:val="single" w:color="auto" w:sz="4" w:space="0"/>
              <w:left w:val="single" w:color="auto" w:sz="4" w:space="0"/>
              <w:bottom w:val="single" w:color="auto" w:sz="4" w:space="0"/>
              <w:right w:val="single" w:color="auto" w:sz="4" w:space="0"/>
            </w:tcBorders>
            <w:vAlign w:val="center"/>
          </w:tcPr>
          <w:p w14:paraId="4B9379A2">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5950" w:type="dxa"/>
            <w:tcBorders>
              <w:top w:val="single" w:color="auto" w:sz="4" w:space="0"/>
              <w:left w:val="single" w:color="auto" w:sz="4" w:space="0"/>
              <w:bottom w:val="single" w:color="auto" w:sz="4" w:space="0"/>
              <w:right w:val="single" w:color="auto" w:sz="4" w:space="0"/>
            </w:tcBorders>
            <w:vAlign w:val="center"/>
          </w:tcPr>
          <w:p w14:paraId="7F78B5E3">
            <w:pPr>
              <w:spacing w:line="400" w:lineRule="exact"/>
              <w:rPr>
                <w:rFonts w:ascii="宋体" w:hAnsi="宋体" w:cs="宋体"/>
                <w:color w:val="auto"/>
                <w:sz w:val="24"/>
                <w:highlight w:val="none"/>
              </w:rPr>
            </w:pPr>
            <w:r>
              <w:rPr>
                <w:rFonts w:hint="eastAsia" w:ascii="宋体" w:hAnsi="宋体" w:cs="宋体"/>
                <w:color w:val="auto"/>
                <w:sz w:val="24"/>
                <w:highlight w:val="none"/>
              </w:rPr>
              <w:t>本次采购招标不组织现场勘察。</w:t>
            </w:r>
          </w:p>
        </w:tc>
      </w:tr>
      <w:tr w14:paraId="606E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85979F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380" w:type="dxa"/>
            <w:tcBorders>
              <w:top w:val="single" w:color="auto" w:sz="4" w:space="0"/>
              <w:left w:val="single" w:color="auto" w:sz="4" w:space="0"/>
              <w:bottom w:val="single" w:color="auto" w:sz="4" w:space="0"/>
              <w:right w:val="single" w:color="auto" w:sz="4" w:space="0"/>
            </w:tcBorders>
            <w:vAlign w:val="center"/>
          </w:tcPr>
          <w:p w14:paraId="32C40D8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磋商响应文件（即投标文件）的编制</w:t>
            </w:r>
          </w:p>
        </w:tc>
        <w:tc>
          <w:tcPr>
            <w:tcW w:w="5950" w:type="dxa"/>
            <w:tcBorders>
              <w:top w:val="single" w:color="auto" w:sz="4" w:space="0"/>
              <w:left w:val="single" w:color="auto" w:sz="4" w:space="0"/>
              <w:bottom w:val="single" w:color="auto" w:sz="4" w:space="0"/>
              <w:right w:val="single" w:color="auto" w:sz="4" w:space="0"/>
            </w:tcBorders>
            <w:vAlign w:val="center"/>
          </w:tcPr>
          <w:p w14:paraId="65EB068D">
            <w:pPr>
              <w:spacing w:line="400" w:lineRule="exact"/>
              <w:rPr>
                <w:rFonts w:ascii="宋体" w:hAnsi="宋体" w:cs="宋体"/>
                <w:color w:val="auto"/>
                <w:sz w:val="24"/>
                <w:highlight w:val="none"/>
              </w:rPr>
            </w:pPr>
            <w:r>
              <w:rPr>
                <w:rFonts w:hint="eastAsia" w:ascii="宋体" w:hAnsi="宋体" w:cs="宋体"/>
                <w:color w:val="auto"/>
                <w:sz w:val="24"/>
                <w:highlight w:val="none"/>
              </w:rPr>
              <w:t>供应商应先安装“政采云电子交易客户端”，并按照本招标文件和“政府采购云平台”的要求，通过“政采云电子交易客户端”编制并加密投标文件。</w:t>
            </w:r>
          </w:p>
        </w:tc>
      </w:tr>
      <w:tr w14:paraId="0D2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B7FFE6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380" w:type="dxa"/>
            <w:tcBorders>
              <w:top w:val="single" w:color="auto" w:sz="4" w:space="0"/>
              <w:left w:val="single" w:color="auto" w:sz="4" w:space="0"/>
              <w:bottom w:val="single" w:color="auto" w:sz="4" w:space="0"/>
              <w:right w:val="single" w:color="auto" w:sz="4" w:space="0"/>
            </w:tcBorders>
            <w:vAlign w:val="center"/>
          </w:tcPr>
          <w:p w14:paraId="33907C1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投标文件的签章</w:t>
            </w:r>
          </w:p>
        </w:tc>
        <w:tc>
          <w:tcPr>
            <w:tcW w:w="5950" w:type="dxa"/>
            <w:tcBorders>
              <w:top w:val="single" w:color="auto" w:sz="4" w:space="0"/>
              <w:left w:val="single" w:color="auto" w:sz="4" w:space="0"/>
              <w:bottom w:val="single" w:color="auto" w:sz="4" w:space="0"/>
              <w:right w:val="single" w:color="auto" w:sz="4" w:space="0"/>
            </w:tcBorders>
            <w:vAlign w:val="center"/>
          </w:tcPr>
          <w:p w14:paraId="6825D430">
            <w:pPr>
              <w:spacing w:line="400" w:lineRule="exact"/>
              <w:rPr>
                <w:rFonts w:ascii="宋体" w:hAnsi="宋体" w:cs="宋体"/>
                <w:color w:val="auto"/>
                <w:sz w:val="24"/>
                <w:highlight w:val="none"/>
              </w:rPr>
            </w:pPr>
            <w:r>
              <w:rPr>
                <w:rFonts w:hint="eastAsia" w:ascii="宋体" w:hAnsi="宋体" w:cs="宋体"/>
                <w:color w:val="auto"/>
                <w:sz w:val="24"/>
                <w:highlight w:val="none"/>
              </w:rPr>
              <w:t>投标文件中要求加盖公章处，可使用有效安全的电子签章替代。</w:t>
            </w:r>
          </w:p>
        </w:tc>
      </w:tr>
      <w:tr w14:paraId="284F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1058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380" w:type="dxa"/>
            <w:tcBorders>
              <w:top w:val="single" w:color="auto" w:sz="4" w:space="0"/>
              <w:left w:val="single" w:color="auto" w:sz="4" w:space="0"/>
              <w:bottom w:val="single" w:color="auto" w:sz="4" w:space="0"/>
              <w:right w:val="single" w:color="auto" w:sz="4" w:space="0"/>
            </w:tcBorders>
            <w:vAlign w:val="center"/>
          </w:tcPr>
          <w:p w14:paraId="7458A6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投标文件的形式</w:t>
            </w:r>
          </w:p>
        </w:tc>
        <w:tc>
          <w:tcPr>
            <w:tcW w:w="5950" w:type="dxa"/>
            <w:tcBorders>
              <w:top w:val="single" w:color="auto" w:sz="4" w:space="0"/>
              <w:left w:val="single" w:color="auto" w:sz="4" w:space="0"/>
              <w:bottom w:val="single" w:color="auto" w:sz="4" w:space="0"/>
              <w:right w:val="single" w:color="auto" w:sz="4" w:space="0"/>
            </w:tcBorders>
            <w:vAlign w:val="center"/>
          </w:tcPr>
          <w:p w14:paraId="28854906">
            <w:pPr>
              <w:spacing w:line="360" w:lineRule="auto"/>
              <w:rPr>
                <w:rFonts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14:paraId="30985A2D">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14:paraId="2C3B4EC1">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14:paraId="2D7BF5E9">
            <w:pPr>
              <w:spacing w:line="360" w:lineRule="auto"/>
              <w:rPr>
                <w:rFonts w:ascii="宋体" w:hAnsi="宋体" w:cs="宋体"/>
                <w:color w:val="auto"/>
                <w:sz w:val="24"/>
                <w:highlight w:val="none"/>
              </w:rPr>
            </w:pPr>
          </w:p>
        </w:tc>
      </w:tr>
      <w:tr w14:paraId="3ADC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14670F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380" w:type="dxa"/>
            <w:tcBorders>
              <w:top w:val="single" w:color="auto" w:sz="4" w:space="0"/>
              <w:left w:val="single" w:color="auto" w:sz="4" w:space="0"/>
              <w:bottom w:val="single" w:color="auto" w:sz="4" w:space="0"/>
              <w:right w:val="single" w:color="auto" w:sz="4" w:space="0"/>
            </w:tcBorders>
            <w:vAlign w:val="center"/>
          </w:tcPr>
          <w:p w14:paraId="7B6C5DD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投标文件份数</w:t>
            </w:r>
          </w:p>
        </w:tc>
        <w:tc>
          <w:tcPr>
            <w:tcW w:w="5950" w:type="dxa"/>
            <w:tcBorders>
              <w:top w:val="single" w:color="auto" w:sz="4" w:space="0"/>
              <w:left w:val="single" w:color="auto" w:sz="4" w:space="0"/>
              <w:bottom w:val="single" w:color="auto" w:sz="4" w:space="0"/>
              <w:right w:val="single" w:color="auto" w:sz="4" w:space="0"/>
            </w:tcBorders>
            <w:vAlign w:val="center"/>
          </w:tcPr>
          <w:p w14:paraId="096D5BEC">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14:paraId="06E4D864">
            <w:pPr>
              <w:spacing w:line="400" w:lineRule="exact"/>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（2）“备份投标文件”：于投标截止时间前递交至采购代理机构指定邮箱(</w:t>
            </w:r>
            <w:r>
              <w:rPr>
                <w:rFonts w:hint="eastAsia" w:ascii="宋体" w:hAnsi="宋体" w:cs="宋体"/>
                <w:b/>
                <w:bCs/>
                <w:color w:val="auto"/>
                <w:kern w:val="2"/>
                <w:sz w:val="24"/>
                <w:szCs w:val="24"/>
                <w:highlight w:val="none"/>
                <w:lang w:val="en-US" w:eastAsia="zh-CN" w:bidi="ar-SA"/>
              </w:rPr>
              <w:t>zjtzxcx@163.com</w:t>
            </w:r>
            <w:r>
              <w:rPr>
                <w:rFonts w:hint="eastAsia" w:ascii="宋体" w:hAnsi="宋体" w:eastAsia="宋体" w:cs="宋体"/>
                <w:color w:val="auto"/>
                <w:kern w:val="2"/>
                <w:sz w:val="24"/>
                <w:szCs w:val="24"/>
                <w:highlight w:val="none"/>
                <w:lang w:val="en-US" w:eastAsia="zh-CN" w:bidi="ar-SA"/>
              </w:rPr>
              <w:t>)。备份响应文件由供应商自行确定是否提交，因备份响应文件未加密而造成失密等情况，采购代理机构概不负责。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eastAsia="宋体" w:cs="宋体"/>
                <w:color w:val="auto"/>
                <w:kern w:val="2"/>
                <w:sz w:val="24"/>
                <w:szCs w:val="24"/>
                <w:highlight w:val="none"/>
                <w:lang w:val="en-US" w:eastAsia="zh-CN" w:bidi="ar-SA"/>
              </w:rPr>
              <w:t>未在系统上提交响应文件而仅提交备份响应文件的，其响应无效。</w:t>
            </w:r>
          </w:p>
        </w:tc>
      </w:tr>
      <w:tr w14:paraId="0519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173671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380" w:type="dxa"/>
            <w:tcBorders>
              <w:top w:val="single" w:color="auto" w:sz="4" w:space="0"/>
              <w:left w:val="single" w:color="auto" w:sz="4" w:space="0"/>
              <w:bottom w:val="single" w:color="auto" w:sz="4" w:space="0"/>
              <w:right w:val="single" w:color="auto" w:sz="4" w:space="0"/>
            </w:tcBorders>
            <w:vAlign w:val="center"/>
          </w:tcPr>
          <w:p w14:paraId="7638131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投标文件的上传和递交</w:t>
            </w:r>
          </w:p>
        </w:tc>
        <w:tc>
          <w:tcPr>
            <w:tcW w:w="5950" w:type="dxa"/>
            <w:tcBorders>
              <w:top w:val="single" w:color="auto" w:sz="4" w:space="0"/>
              <w:left w:val="single" w:color="auto" w:sz="4" w:space="0"/>
              <w:bottom w:val="single" w:color="auto" w:sz="4" w:space="0"/>
              <w:right w:val="single" w:color="auto" w:sz="4" w:space="0"/>
            </w:tcBorders>
            <w:vAlign w:val="center"/>
          </w:tcPr>
          <w:p w14:paraId="189E2D6B">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37F9E7A4">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77E78BEF">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202F065A">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13489424">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zjtzxcx@163.com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99F2D0E">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32D6B441">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22C9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D3022C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380" w:type="dxa"/>
            <w:tcBorders>
              <w:top w:val="single" w:color="auto" w:sz="4" w:space="0"/>
              <w:left w:val="single" w:color="auto" w:sz="4" w:space="0"/>
              <w:bottom w:val="single" w:color="auto" w:sz="4" w:space="0"/>
              <w:right w:val="single" w:color="auto" w:sz="4" w:space="0"/>
            </w:tcBorders>
            <w:vAlign w:val="center"/>
          </w:tcPr>
          <w:p w14:paraId="0B25A0C5">
            <w:pPr>
              <w:spacing w:line="36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1D6151D1">
            <w:pPr>
              <w:spacing w:line="400" w:lineRule="exact"/>
              <w:jc w:val="center"/>
              <w:rPr>
                <w:rFonts w:ascii="宋体" w:hAnsi="宋体" w:cs="宋体"/>
                <w:color w:val="auto"/>
                <w:sz w:val="24"/>
                <w:highlight w:val="none"/>
              </w:rPr>
            </w:pPr>
          </w:p>
        </w:tc>
        <w:tc>
          <w:tcPr>
            <w:tcW w:w="5950" w:type="dxa"/>
            <w:tcBorders>
              <w:top w:val="single" w:color="auto" w:sz="4" w:space="0"/>
              <w:left w:val="single" w:color="auto" w:sz="4" w:space="0"/>
              <w:bottom w:val="single" w:color="auto" w:sz="4" w:space="0"/>
              <w:right w:val="single" w:color="auto" w:sz="4" w:space="0"/>
            </w:tcBorders>
            <w:vAlign w:val="center"/>
          </w:tcPr>
          <w:p w14:paraId="593EB717">
            <w:pPr>
              <w:spacing w:line="36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7481ABE8">
            <w:pPr>
              <w:spacing w:line="360" w:lineRule="auto"/>
              <w:rPr>
                <w:rFonts w:ascii="宋体" w:hAnsi="宋体" w:cs="宋体"/>
                <w:color w:val="auto"/>
                <w:sz w:val="24"/>
                <w:highlight w:val="none"/>
              </w:rPr>
            </w:pPr>
            <w:r>
              <w:rPr>
                <w:rFonts w:hint="eastAsia" w:ascii="宋体" w:cs="宋体"/>
                <w:b/>
                <w:color w:val="auto"/>
                <w:sz w:val="24"/>
                <w:highlight w:val="none"/>
              </w:rPr>
              <w:t>▲</w:t>
            </w: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E459565">
            <w:pPr>
              <w:spacing w:line="400" w:lineRule="exac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14:paraId="547F04F2">
            <w:pPr>
              <w:spacing w:line="400" w:lineRule="exact"/>
              <w:rPr>
                <w:rFonts w:ascii="宋体" w:hAnsi="宋体" w:cs="宋体"/>
                <w:color w:val="auto"/>
                <w:sz w:val="24"/>
                <w:highlight w:val="none"/>
              </w:rPr>
            </w:pPr>
            <w:r>
              <w:rPr>
                <w:rFonts w:hint="eastAsia" w:ascii="宋体" w:hAnsi="宋体" w:cs="宋体"/>
                <w:b/>
                <w:bCs/>
                <w:color w:val="auto"/>
                <w:sz w:val="24"/>
                <w:highlight w:val="none"/>
              </w:rPr>
              <w:t>注：供应商在使用系统进行投标的过程中遇到涉及平台使用的任何问题，可致电政采云平台技术支持热线咨询，联系方式：</w:t>
            </w:r>
            <w:r>
              <w:rPr>
                <w:rFonts w:hint="eastAsia" w:ascii="宋体" w:hAnsi="宋体" w:eastAsia="宋体" w:cs="Calibri Light"/>
                <w:b/>
                <w:bCs/>
                <w:color w:val="auto"/>
                <w:sz w:val="24"/>
                <w:highlight w:val="none"/>
                <w:lang w:val="en-US" w:eastAsia="zh-CN"/>
              </w:rPr>
              <w:t>95763</w:t>
            </w:r>
            <w:r>
              <w:rPr>
                <w:rFonts w:hint="eastAsia" w:ascii="宋体" w:hAnsi="宋体" w:cs="宋体"/>
                <w:b/>
                <w:bCs/>
                <w:color w:val="auto"/>
                <w:sz w:val="24"/>
                <w:highlight w:val="none"/>
              </w:rPr>
              <w:t>。</w:t>
            </w:r>
          </w:p>
        </w:tc>
      </w:tr>
      <w:tr w14:paraId="32EB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5C776F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380" w:type="dxa"/>
            <w:tcBorders>
              <w:top w:val="single" w:color="auto" w:sz="4" w:space="0"/>
              <w:left w:val="single" w:color="auto" w:sz="4" w:space="0"/>
              <w:bottom w:val="single" w:color="auto" w:sz="4" w:space="0"/>
              <w:right w:val="single" w:color="auto" w:sz="4" w:space="0"/>
            </w:tcBorders>
            <w:vAlign w:val="center"/>
          </w:tcPr>
          <w:p w14:paraId="0B4A3F6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磋商响应文件有效期</w:t>
            </w:r>
          </w:p>
        </w:tc>
        <w:tc>
          <w:tcPr>
            <w:tcW w:w="5950" w:type="dxa"/>
            <w:tcBorders>
              <w:top w:val="single" w:color="auto" w:sz="4" w:space="0"/>
              <w:left w:val="single" w:color="auto" w:sz="4" w:space="0"/>
              <w:bottom w:val="single" w:color="auto" w:sz="4" w:space="0"/>
              <w:right w:val="single" w:color="auto" w:sz="4" w:space="0"/>
            </w:tcBorders>
            <w:vAlign w:val="center"/>
          </w:tcPr>
          <w:p w14:paraId="0677AF19">
            <w:pPr>
              <w:spacing w:line="40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磋商响应有效期为90天，磋商响应</w:t>
            </w:r>
            <w:r>
              <w:rPr>
                <w:rFonts w:hint="eastAsia" w:ascii="宋体" w:hAnsi="宋体" w:cs="宋体"/>
                <w:color w:val="auto"/>
                <w:kern w:val="0"/>
                <w:sz w:val="24"/>
                <w:highlight w:val="none"/>
              </w:rPr>
              <w:t>有效期从提交</w:t>
            </w:r>
            <w:r>
              <w:rPr>
                <w:rFonts w:hint="eastAsia" w:ascii="宋体" w:hAnsi="宋体" w:cs="宋体"/>
                <w:color w:val="auto"/>
                <w:sz w:val="24"/>
                <w:highlight w:val="none"/>
              </w:rPr>
              <w:t>磋商响应</w:t>
            </w:r>
            <w:r>
              <w:rPr>
                <w:rFonts w:hint="eastAsia" w:ascii="宋体" w:hAnsi="宋体" w:cs="宋体"/>
                <w:color w:val="auto"/>
                <w:kern w:val="0"/>
                <w:sz w:val="24"/>
                <w:highlight w:val="none"/>
              </w:rPr>
              <w:t>文件的截止之日起算。</w:t>
            </w:r>
          </w:p>
        </w:tc>
      </w:tr>
      <w:tr w14:paraId="3801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B21B8B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380" w:type="dxa"/>
            <w:tcBorders>
              <w:top w:val="single" w:color="auto" w:sz="4" w:space="0"/>
              <w:left w:val="single" w:color="auto" w:sz="4" w:space="0"/>
              <w:bottom w:val="single" w:color="auto" w:sz="4" w:space="0"/>
              <w:right w:val="single" w:color="auto" w:sz="4" w:space="0"/>
            </w:tcBorders>
            <w:vAlign w:val="center"/>
          </w:tcPr>
          <w:p w14:paraId="6AD3EF5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磋商响应文件递交截止时间及地点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5093010D">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color w:val="auto"/>
                <w:kern w:val="0"/>
                <w:sz w:val="24"/>
                <w:highlight w:val="none"/>
                <w:lang w:val="en-US" w:eastAsia="zh-CN"/>
              </w:rPr>
            </w:pPr>
            <w:r>
              <w:rPr>
                <w:rFonts w:hint="eastAsia" w:ascii="宋体" w:hAnsi="宋体" w:eastAsia="宋体" w:cs="Calibri Light"/>
                <w:color w:val="auto"/>
                <w:kern w:val="0"/>
                <w:sz w:val="24"/>
                <w:highlight w:val="none"/>
                <w:lang w:val="en-US" w:eastAsia="zh-CN"/>
              </w:rPr>
              <w:t>202</w:t>
            </w:r>
            <w:r>
              <w:rPr>
                <w:rFonts w:hint="eastAsia" w:ascii="宋体" w:hAnsi="宋体" w:cs="Calibri Light"/>
                <w:color w:val="auto"/>
                <w:kern w:val="0"/>
                <w:sz w:val="24"/>
                <w:highlight w:val="none"/>
                <w:lang w:val="en-US" w:eastAsia="zh-CN"/>
              </w:rPr>
              <w:t>4</w:t>
            </w:r>
            <w:r>
              <w:rPr>
                <w:rFonts w:hint="eastAsia" w:ascii="宋体" w:hAnsi="宋体" w:eastAsia="宋体" w:cs="Calibri Light"/>
                <w:color w:val="auto"/>
                <w:kern w:val="0"/>
                <w:sz w:val="24"/>
                <w:highlight w:val="none"/>
                <w:lang w:val="en-US" w:eastAsia="zh-CN"/>
              </w:rPr>
              <w:t>年</w:t>
            </w:r>
            <w:r>
              <w:rPr>
                <w:rFonts w:hint="eastAsia" w:ascii="宋体" w:hAnsi="宋体" w:cs="Calibri Light"/>
                <w:color w:val="auto"/>
                <w:kern w:val="0"/>
                <w:sz w:val="24"/>
                <w:highlight w:val="none"/>
                <w:lang w:val="en-US" w:eastAsia="zh-CN"/>
              </w:rPr>
              <w:t>12</w:t>
            </w:r>
            <w:r>
              <w:rPr>
                <w:rFonts w:hint="eastAsia" w:ascii="宋体" w:hAnsi="宋体" w:eastAsia="宋体" w:cs="Calibri Light"/>
                <w:color w:val="auto"/>
                <w:kern w:val="0"/>
                <w:sz w:val="24"/>
                <w:highlight w:val="none"/>
                <w:lang w:val="en-US" w:eastAsia="zh-CN"/>
              </w:rPr>
              <w:t>月</w:t>
            </w:r>
            <w:r>
              <w:rPr>
                <w:rFonts w:hint="eastAsia" w:ascii="宋体" w:hAnsi="宋体" w:cs="Calibri Light"/>
                <w:color w:val="auto"/>
                <w:kern w:val="0"/>
                <w:sz w:val="24"/>
                <w:highlight w:val="none"/>
                <w:lang w:val="en-US" w:eastAsia="zh-CN"/>
              </w:rPr>
              <w:t>30</w:t>
            </w:r>
            <w:r>
              <w:rPr>
                <w:rFonts w:hint="eastAsia" w:ascii="宋体" w:hAnsi="宋体" w:eastAsia="宋体" w:cs="Calibri Light"/>
                <w:color w:val="auto"/>
                <w:kern w:val="0"/>
                <w:sz w:val="24"/>
                <w:highlight w:val="none"/>
                <w:lang w:val="en-US" w:eastAsia="zh-CN"/>
              </w:rPr>
              <w:t>日</w:t>
            </w:r>
            <w:r>
              <w:rPr>
                <w:rFonts w:hint="eastAsia" w:ascii="宋体" w:hAnsi="宋体" w:cs="Calibri Light"/>
                <w:color w:val="auto"/>
                <w:kern w:val="0"/>
                <w:sz w:val="24"/>
                <w:highlight w:val="none"/>
                <w:lang w:val="en-US" w:eastAsia="zh-CN"/>
              </w:rPr>
              <w:t>9</w:t>
            </w:r>
            <w:r>
              <w:rPr>
                <w:rFonts w:hint="eastAsia" w:ascii="宋体" w:hAnsi="宋体" w:eastAsia="宋体" w:cs="Calibri Light"/>
                <w:color w:val="auto"/>
                <w:kern w:val="0"/>
                <w:sz w:val="24"/>
                <w:highlight w:val="none"/>
                <w:lang w:val="en-US" w:eastAsia="zh-CN"/>
              </w:rPr>
              <w:t>时</w:t>
            </w:r>
            <w:r>
              <w:rPr>
                <w:rFonts w:hint="eastAsia" w:ascii="宋体" w:hAnsi="宋体" w:cs="Calibri Light"/>
                <w:color w:val="auto"/>
                <w:kern w:val="0"/>
                <w:sz w:val="24"/>
                <w:highlight w:val="none"/>
                <w:lang w:val="en-US" w:eastAsia="zh-CN"/>
              </w:rPr>
              <w:t>00</w:t>
            </w:r>
            <w:r>
              <w:rPr>
                <w:rFonts w:hint="eastAsia" w:ascii="宋体" w:hAnsi="宋体" w:eastAsia="宋体" w:cs="Calibri Light"/>
                <w:color w:val="auto"/>
                <w:kern w:val="0"/>
                <w:sz w:val="24"/>
                <w:highlight w:val="none"/>
                <w:lang w:val="en-US" w:eastAsia="zh-CN"/>
              </w:rPr>
              <w:t>分</w:t>
            </w:r>
            <w:r>
              <w:rPr>
                <w:rFonts w:hint="eastAsia" w:ascii="宋体" w:hAnsi="宋体" w:eastAsia="宋体" w:cs="Calibri Light"/>
                <w:color w:val="auto"/>
                <w:kern w:val="0"/>
                <w:sz w:val="24"/>
                <w:highlight w:val="none"/>
                <w:lang w:val="en-US" w:eastAsia="zh-CN"/>
              </w:rPr>
              <w:t>（北京时间）</w:t>
            </w:r>
          </w:p>
          <w:p w14:paraId="16C71833">
            <w:pPr>
              <w:spacing w:line="400" w:lineRule="exact"/>
              <w:rPr>
                <w:rFonts w:ascii="宋体" w:hAnsi="宋体" w:cs="宋体"/>
                <w:color w:val="auto"/>
                <w:sz w:val="24"/>
                <w:highlight w:val="none"/>
              </w:rPr>
            </w:pPr>
            <w:r>
              <w:rPr>
                <w:rFonts w:hint="eastAsia" w:ascii="宋体" w:hAnsi="宋体" w:eastAsia="宋体" w:cs="Calibri Light"/>
                <w:color w:val="auto"/>
                <w:kern w:val="0"/>
                <w:sz w:val="24"/>
                <w:highlight w:val="none"/>
              </w:rPr>
              <w:t>磋商响应文件递交</w:t>
            </w:r>
            <w:r>
              <w:rPr>
                <w:rFonts w:hint="eastAsia" w:ascii="宋体" w:hAnsi="宋体" w:eastAsia="宋体" w:cs="Calibri Light"/>
                <w:color w:val="auto"/>
                <w:kern w:val="0"/>
                <w:sz w:val="24"/>
                <w:highlight w:val="none"/>
                <w:lang w:eastAsia="zh-CN"/>
              </w:rPr>
              <w:t>地点：</w:t>
            </w:r>
            <w:r>
              <w:rPr>
                <w:rFonts w:hint="eastAsia" w:ascii="宋体" w:hAnsi="宋体" w:eastAsia="宋体" w:cs="Calibri Light"/>
                <w:color w:val="auto"/>
                <w:kern w:val="0"/>
                <w:sz w:val="24"/>
                <w:highlight w:val="none"/>
              </w:rPr>
              <w:t>“政府采购云平台”</w:t>
            </w:r>
          </w:p>
        </w:tc>
      </w:tr>
      <w:tr w14:paraId="218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5021DC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380" w:type="dxa"/>
            <w:tcBorders>
              <w:top w:val="single" w:color="auto" w:sz="4" w:space="0"/>
              <w:left w:val="single" w:color="auto" w:sz="4" w:space="0"/>
              <w:bottom w:val="single" w:color="auto" w:sz="4" w:space="0"/>
              <w:right w:val="single" w:color="auto" w:sz="4" w:space="0"/>
            </w:tcBorders>
            <w:vAlign w:val="center"/>
          </w:tcPr>
          <w:p w14:paraId="78D61CA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110677CE">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color w:val="auto"/>
                <w:kern w:val="0"/>
                <w:sz w:val="24"/>
                <w:highlight w:val="none"/>
                <w:lang w:val="en-US" w:eastAsia="zh-CN"/>
              </w:rPr>
            </w:pPr>
            <w:r>
              <w:rPr>
                <w:rFonts w:hint="eastAsia" w:ascii="宋体" w:hAnsi="宋体" w:eastAsia="宋体" w:cs="Calibri Light"/>
                <w:color w:val="auto"/>
                <w:kern w:val="0"/>
                <w:sz w:val="24"/>
                <w:highlight w:val="none"/>
                <w:lang w:val="en-US" w:eastAsia="zh-CN"/>
              </w:rPr>
              <w:t>202</w:t>
            </w:r>
            <w:r>
              <w:rPr>
                <w:rFonts w:hint="eastAsia" w:ascii="宋体" w:hAnsi="宋体" w:cs="Calibri Light"/>
                <w:color w:val="auto"/>
                <w:kern w:val="0"/>
                <w:sz w:val="24"/>
                <w:highlight w:val="none"/>
                <w:lang w:val="en-US" w:eastAsia="zh-CN"/>
              </w:rPr>
              <w:t>4</w:t>
            </w:r>
            <w:r>
              <w:rPr>
                <w:rFonts w:hint="eastAsia" w:ascii="宋体" w:hAnsi="宋体" w:eastAsia="宋体" w:cs="Calibri Light"/>
                <w:color w:val="auto"/>
                <w:kern w:val="0"/>
                <w:sz w:val="24"/>
                <w:highlight w:val="none"/>
                <w:lang w:val="en-US" w:eastAsia="zh-CN"/>
              </w:rPr>
              <w:t>年</w:t>
            </w:r>
            <w:r>
              <w:rPr>
                <w:rFonts w:hint="eastAsia" w:ascii="宋体" w:hAnsi="宋体" w:cs="Calibri Light"/>
                <w:color w:val="auto"/>
                <w:kern w:val="0"/>
                <w:sz w:val="24"/>
                <w:highlight w:val="none"/>
                <w:lang w:val="en-US" w:eastAsia="zh-CN"/>
              </w:rPr>
              <w:t>12</w:t>
            </w:r>
            <w:r>
              <w:rPr>
                <w:rFonts w:hint="eastAsia" w:ascii="宋体" w:hAnsi="宋体" w:eastAsia="宋体" w:cs="Calibri Light"/>
                <w:color w:val="auto"/>
                <w:kern w:val="0"/>
                <w:sz w:val="24"/>
                <w:highlight w:val="none"/>
                <w:lang w:val="en-US" w:eastAsia="zh-CN"/>
              </w:rPr>
              <w:t>月</w:t>
            </w:r>
            <w:r>
              <w:rPr>
                <w:rFonts w:hint="eastAsia" w:ascii="宋体" w:hAnsi="宋体" w:cs="Calibri Light"/>
                <w:color w:val="auto"/>
                <w:kern w:val="0"/>
                <w:sz w:val="24"/>
                <w:highlight w:val="none"/>
                <w:lang w:val="en-US" w:eastAsia="zh-CN"/>
              </w:rPr>
              <w:t>30</w:t>
            </w:r>
            <w:r>
              <w:rPr>
                <w:rFonts w:hint="eastAsia" w:ascii="宋体" w:hAnsi="宋体" w:eastAsia="宋体" w:cs="Calibri Light"/>
                <w:color w:val="auto"/>
                <w:kern w:val="0"/>
                <w:sz w:val="24"/>
                <w:highlight w:val="none"/>
                <w:lang w:val="en-US" w:eastAsia="zh-CN"/>
              </w:rPr>
              <w:t>日</w:t>
            </w:r>
            <w:r>
              <w:rPr>
                <w:rFonts w:hint="eastAsia" w:ascii="宋体" w:hAnsi="宋体" w:cs="Calibri Light"/>
                <w:color w:val="auto"/>
                <w:kern w:val="0"/>
                <w:sz w:val="24"/>
                <w:highlight w:val="none"/>
                <w:lang w:val="en-US" w:eastAsia="zh-CN"/>
              </w:rPr>
              <w:t xml:space="preserve">9 </w:t>
            </w:r>
            <w:r>
              <w:rPr>
                <w:rFonts w:hint="eastAsia" w:ascii="宋体" w:hAnsi="宋体" w:eastAsia="宋体" w:cs="Calibri Light"/>
                <w:color w:val="auto"/>
                <w:kern w:val="0"/>
                <w:sz w:val="24"/>
                <w:highlight w:val="none"/>
                <w:lang w:val="en-US" w:eastAsia="zh-CN"/>
              </w:rPr>
              <w:t>时</w:t>
            </w:r>
            <w:r>
              <w:rPr>
                <w:rFonts w:hint="eastAsia" w:ascii="宋体" w:hAnsi="宋体" w:cs="Calibri Light"/>
                <w:color w:val="auto"/>
                <w:kern w:val="0"/>
                <w:sz w:val="24"/>
                <w:highlight w:val="none"/>
                <w:lang w:val="en-US" w:eastAsia="zh-CN"/>
              </w:rPr>
              <w:t>00</w:t>
            </w:r>
            <w:r>
              <w:rPr>
                <w:rFonts w:hint="eastAsia" w:ascii="宋体" w:hAnsi="宋体" w:eastAsia="宋体" w:cs="Calibri Light"/>
                <w:color w:val="auto"/>
                <w:kern w:val="0"/>
                <w:sz w:val="24"/>
                <w:highlight w:val="none"/>
                <w:lang w:val="en-US" w:eastAsia="zh-CN"/>
              </w:rPr>
              <w:t>分</w:t>
            </w:r>
            <w:r>
              <w:rPr>
                <w:rFonts w:hint="eastAsia" w:ascii="宋体" w:hAnsi="宋体" w:eastAsia="宋体" w:cs="Calibri Light"/>
                <w:color w:val="auto"/>
                <w:kern w:val="0"/>
                <w:sz w:val="24"/>
                <w:highlight w:val="none"/>
                <w:lang w:val="en-US" w:eastAsia="zh-CN"/>
              </w:rPr>
              <w:t>（北京时间）</w:t>
            </w:r>
          </w:p>
          <w:p w14:paraId="40E726BD">
            <w:pPr>
              <w:spacing w:line="400" w:lineRule="exact"/>
              <w:rPr>
                <w:rFonts w:ascii="宋体" w:hAnsi="宋体" w:cs="宋体"/>
                <w:color w:val="auto"/>
                <w:sz w:val="24"/>
                <w:highlight w:val="none"/>
              </w:rPr>
            </w:pPr>
            <w:r>
              <w:rPr>
                <w:rFonts w:hint="eastAsia" w:ascii="宋体" w:hAnsi="宋体" w:eastAsia="宋体" w:cs="Calibri Light"/>
                <w:color w:val="auto"/>
                <w:kern w:val="0"/>
                <w:sz w:val="24"/>
                <w:highlight w:val="none"/>
              </w:rPr>
              <w:t>磋商响应文件递交</w:t>
            </w:r>
            <w:r>
              <w:rPr>
                <w:rFonts w:hint="eastAsia" w:ascii="宋体" w:hAnsi="宋体" w:eastAsia="宋体" w:cs="Calibri Light"/>
                <w:color w:val="auto"/>
                <w:kern w:val="0"/>
                <w:sz w:val="24"/>
                <w:highlight w:val="none"/>
                <w:lang w:eastAsia="zh-CN"/>
              </w:rPr>
              <w:t>地点：</w:t>
            </w:r>
            <w:r>
              <w:rPr>
                <w:rFonts w:hint="eastAsia" w:ascii="宋体" w:hAnsi="宋体" w:eastAsia="宋体" w:cs="Calibri Light"/>
                <w:color w:val="auto"/>
                <w:kern w:val="0"/>
                <w:sz w:val="24"/>
                <w:highlight w:val="none"/>
              </w:rPr>
              <w:t>“政府采购云平台”</w:t>
            </w:r>
          </w:p>
        </w:tc>
      </w:tr>
      <w:tr w14:paraId="2202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739F58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380" w:type="dxa"/>
            <w:tcBorders>
              <w:top w:val="single" w:color="auto" w:sz="4" w:space="0"/>
              <w:left w:val="single" w:color="auto" w:sz="4" w:space="0"/>
              <w:bottom w:val="single" w:color="auto" w:sz="4" w:space="0"/>
              <w:right w:val="single" w:color="auto" w:sz="4" w:space="0"/>
            </w:tcBorders>
            <w:vAlign w:val="center"/>
          </w:tcPr>
          <w:p w14:paraId="5D9B6A1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5950" w:type="dxa"/>
            <w:tcBorders>
              <w:top w:val="single" w:color="auto" w:sz="4" w:space="0"/>
              <w:left w:val="single" w:color="auto" w:sz="4" w:space="0"/>
              <w:bottom w:val="single" w:color="auto" w:sz="4" w:space="0"/>
              <w:right w:val="single" w:color="auto" w:sz="4" w:space="0"/>
            </w:tcBorders>
            <w:vAlign w:val="center"/>
          </w:tcPr>
          <w:p w14:paraId="2BB76C7D">
            <w:pP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6E35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CEDAD6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380" w:type="dxa"/>
            <w:tcBorders>
              <w:top w:val="single" w:color="auto" w:sz="4" w:space="0"/>
              <w:left w:val="single" w:color="auto" w:sz="4" w:space="0"/>
              <w:bottom w:val="single" w:color="auto" w:sz="4" w:space="0"/>
              <w:right w:val="single" w:color="auto" w:sz="4" w:space="0"/>
            </w:tcBorders>
            <w:vAlign w:val="center"/>
          </w:tcPr>
          <w:p w14:paraId="15B6E1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5950" w:type="dxa"/>
            <w:tcBorders>
              <w:top w:val="single" w:color="auto" w:sz="4" w:space="0"/>
              <w:left w:val="single" w:color="auto" w:sz="4" w:space="0"/>
              <w:bottom w:val="single" w:color="auto" w:sz="4" w:space="0"/>
              <w:right w:val="single" w:color="auto" w:sz="4" w:space="0"/>
            </w:tcBorders>
            <w:vAlign w:val="center"/>
          </w:tcPr>
          <w:p w14:paraId="775C755B">
            <w:pPr>
              <w:pStyle w:val="15"/>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中标价的1%，供应商应当以</w:t>
            </w:r>
            <w:r>
              <w:rPr>
                <w:rFonts w:hint="eastAsia" w:ascii="宋体" w:hAnsi="宋体" w:eastAsia="宋体" w:cs="宋体"/>
                <w:color w:val="auto"/>
                <w:sz w:val="24"/>
                <w:szCs w:val="24"/>
                <w:highlight w:val="none"/>
                <w:lang w:eastAsia="zh-CN"/>
              </w:rPr>
              <w:t>转账、</w:t>
            </w:r>
            <w:r>
              <w:rPr>
                <w:rFonts w:hint="eastAsia" w:ascii="宋体" w:hAnsi="宋体" w:eastAsia="宋体" w:cs="宋体"/>
                <w:color w:val="auto"/>
                <w:sz w:val="24"/>
                <w:szCs w:val="24"/>
                <w:highlight w:val="none"/>
              </w:rPr>
              <w:t>支票、汇票、本票或者金融机构、担保机构出具的保函等非现金形式提交</w:t>
            </w:r>
            <w:r>
              <w:rPr>
                <w:rFonts w:hint="eastAsia" w:ascii="宋体" w:hAnsi="宋体" w:eastAsia="宋体" w:cs="宋体"/>
                <w:color w:val="auto"/>
                <w:sz w:val="24"/>
                <w:szCs w:val="24"/>
                <w:highlight w:val="none"/>
                <w:lang w:eastAsia="zh-CN"/>
              </w:rPr>
              <w:t>。</w:t>
            </w:r>
          </w:p>
        </w:tc>
      </w:tr>
      <w:tr w14:paraId="4B1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170E84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2380" w:type="dxa"/>
            <w:tcBorders>
              <w:top w:val="single" w:color="auto" w:sz="4" w:space="0"/>
              <w:left w:val="single" w:color="auto" w:sz="4" w:space="0"/>
              <w:bottom w:val="single" w:color="auto" w:sz="4" w:space="0"/>
              <w:right w:val="single" w:color="auto" w:sz="4" w:space="0"/>
            </w:tcBorders>
            <w:vAlign w:val="center"/>
          </w:tcPr>
          <w:p w14:paraId="5518C6CE">
            <w:pPr>
              <w:autoSpaceDE w:val="0"/>
              <w:autoSpaceDN w:val="0"/>
              <w:adjustRightInd w:val="0"/>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5950" w:type="dxa"/>
            <w:tcBorders>
              <w:top w:val="single" w:color="auto" w:sz="4" w:space="0"/>
              <w:left w:val="single" w:color="auto" w:sz="4" w:space="0"/>
              <w:bottom w:val="single" w:color="auto" w:sz="4" w:space="0"/>
              <w:right w:val="single" w:color="auto" w:sz="4" w:space="0"/>
            </w:tcBorders>
            <w:vAlign w:val="center"/>
          </w:tcPr>
          <w:p w14:paraId="6495428C">
            <w:pPr>
              <w:autoSpaceDE w:val="0"/>
              <w:autoSpaceDN w:val="0"/>
              <w:adjustRightInd w:val="0"/>
              <w:spacing w:line="400" w:lineRule="exact"/>
              <w:ind w:hanging="3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▲”的条款是实质性条款，磋商</w:t>
            </w:r>
            <w:r>
              <w:rPr>
                <w:rFonts w:hint="eastAsia" w:ascii="宋体" w:hAnsi="宋体" w:cs="宋体"/>
                <w:color w:val="auto"/>
                <w:sz w:val="24"/>
                <w:highlight w:val="none"/>
              </w:rPr>
              <w:t>响应</w:t>
            </w:r>
            <w:r>
              <w:rPr>
                <w:rFonts w:hint="eastAsia" w:ascii="宋体" w:hAnsi="宋体" w:cs="宋体"/>
                <w:bCs/>
                <w:color w:val="auto"/>
                <w:sz w:val="24"/>
                <w:highlight w:val="none"/>
              </w:rPr>
              <w:t>文件须作出实质性响应，否则终止磋商。</w:t>
            </w:r>
          </w:p>
        </w:tc>
      </w:tr>
      <w:tr w14:paraId="233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722F5C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2380" w:type="dxa"/>
            <w:tcBorders>
              <w:top w:val="single" w:color="auto" w:sz="4" w:space="0"/>
              <w:left w:val="single" w:color="auto" w:sz="4" w:space="0"/>
              <w:bottom w:val="single" w:color="auto" w:sz="4" w:space="0"/>
              <w:right w:val="single" w:color="auto" w:sz="4" w:space="0"/>
            </w:tcBorders>
            <w:vAlign w:val="center"/>
          </w:tcPr>
          <w:p w14:paraId="7F73DDD3">
            <w:pPr>
              <w:autoSpaceDE w:val="0"/>
              <w:autoSpaceDN w:val="0"/>
              <w:adjustRightIn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5950" w:type="dxa"/>
            <w:tcBorders>
              <w:top w:val="single" w:color="auto" w:sz="4" w:space="0"/>
              <w:left w:val="single" w:color="auto" w:sz="4" w:space="0"/>
              <w:bottom w:val="single" w:color="auto" w:sz="4" w:space="0"/>
              <w:right w:val="single" w:color="auto" w:sz="4" w:space="0"/>
            </w:tcBorders>
            <w:vAlign w:val="center"/>
          </w:tcPr>
          <w:p w14:paraId="4B3C9A8D">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本磋商文件解释权属于采购人和采购代理机构。</w:t>
            </w:r>
          </w:p>
        </w:tc>
      </w:tr>
      <w:tr w14:paraId="32D4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9FE14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380" w:type="dxa"/>
            <w:tcBorders>
              <w:top w:val="single" w:color="auto" w:sz="4" w:space="0"/>
              <w:left w:val="single" w:color="auto" w:sz="4" w:space="0"/>
              <w:bottom w:val="single" w:color="auto" w:sz="4" w:space="0"/>
              <w:right w:val="single" w:color="auto" w:sz="4" w:space="0"/>
            </w:tcBorders>
            <w:vAlign w:val="center"/>
          </w:tcPr>
          <w:p w14:paraId="7C71E44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其它事项</w:t>
            </w:r>
          </w:p>
        </w:tc>
        <w:tc>
          <w:tcPr>
            <w:tcW w:w="5950" w:type="dxa"/>
            <w:tcBorders>
              <w:top w:val="single" w:color="auto" w:sz="4" w:space="0"/>
              <w:left w:val="single" w:color="auto" w:sz="4" w:space="0"/>
              <w:bottom w:val="single" w:color="auto" w:sz="4" w:space="0"/>
              <w:right w:val="single" w:color="auto" w:sz="4" w:space="0"/>
            </w:tcBorders>
            <w:vAlign w:val="center"/>
          </w:tcPr>
          <w:p w14:paraId="0C648A7E">
            <w:pPr>
              <w:spacing w:line="360" w:lineRule="auto"/>
              <w:jc w:val="left"/>
              <w:rPr>
                <w:rFonts w:ascii="宋体" w:cs="宋体"/>
                <w:bCs/>
                <w:color w:val="auto"/>
                <w:sz w:val="24"/>
                <w:highlight w:val="none"/>
              </w:rPr>
            </w:pPr>
            <w:r>
              <w:rPr>
                <w:rFonts w:hint="eastAsia" w:ascii="宋体" w:cs="宋体"/>
                <w:bCs/>
                <w:color w:val="auto"/>
                <w:sz w:val="24"/>
                <w:highlight w:val="none"/>
              </w:rPr>
              <w:t>中标供应商如有融资需求，可使用政采贷服务。</w:t>
            </w:r>
          </w:p>
        </w:tc>
      </w:tr>
      <w:tr w14:paraId="656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57FB83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2380" w:type="dxa"/>
            <w:tcBorders>
              <w:top w:val="single" w:color="auto" w:sz="4" w:space="0"/>
              <w:left w:val="single" w:color="auto" w:sz="4" w:space="0"/>
              <w:bottom w:val="single" w:color="auto" w:sz="4" w:space="0"/>
              <w:right w:val="single" w:color="auto" w:sz="4" w:space="0"/>
            </w:tcBorders>
            <w:vAlign w:val="center"/>
          </w:tcPr>
          <w:p w14:paraId="77D958C6">
            <w:pPr>
              <w:autoSpaceDE w:val="0"/>
              <w:autoSpaceDN w:val="0"/>
              <w:adjustRightInd w:val="0"/>
              <w:spacing w:line="360" w:lineRule="auto"/>
              <w:jc w:val="center"/>
              <w:rPr>
                <w:rFonts w:ascii="宋体" w:hAnsi="宋体" w:cs="宋体"/>
                <w:color w:val="auto"/>
                <w:sz w:val="24"/>
                <w:highlight w:val="none"/>
              </w:rPr>
            </w:pPr>
            <w:r>
              <w:rPr>
                <w:rFonts w:hint="eastAsia" w:ascii="宋体" w:cs="宋体"/>
                <w:color w:val="auto"/>
                <w:sz w:val="24"/>
                <w:highlight w:val="none"/>
              </w:rPr>
              <w:t>本项目所属行业</w:t>
            </w:r>
          </w:p>
        </w:tc>
        <w:tc>
          <w:tcPr>
            <w:tcW w:w="5950" w:type="dxa"/>
            <w:tcBorders>
              <w:top w:val="single" w:color="auto" w:sz="4" w:space="0"/>
              <w:left w:val="single" w:color="auto" w:sz="4" w:space="0"/>
              <w:bottom w:val="single" w:color="auto" w:sz="4" w:space="0"/>
              <w:right w:val="single" w:color="auto" w:sz="4" w:space="0"/>
            </w:tcBorders>
            <w:vAlign w:val="center"/>
          </w:tcPr>
          <w:p w14:paraId="4269F39C">
            <w:pPr>
              <w:spacing w:line="360" w:lineRule="auto"/>
              <w:jc w:val="left"/>
              <w:rPr>
                <w:rFonts w:ascii="宋体" w:hAnsi="宋体" w:cs="宋体"/>
                <w:b/>
                <w:color w:val="auto"/>
                <w:sz w:val="24"/>
                <w:highlight w:val="none"/>
              </w:rPr>
            </w:pPr>
            <w:r>
              <w:rPr>
                <w:rFonts w:hint="eastAsia" w:ascii="宋体" w:cs="宋体"/>
                <w:b/>
                <w:bCs/>
                <w:color w:val="auto"/>
                <w:sz w:val="24"/>
                <w:highlight w:val="none"/>
                <w:lang w:eastAsia="zh-CN"/>
              </w:rPr>
              <w:t>本项目中小企业划型标准规定（</w:t>
            </w:r>
            <w:r>
              <w:rPr>
                <w:rFonts w:hint="eastAsia" w:ascii="宋体" w:cs="宋体"/>
                <w:b/>
                <w:bCs/>
                <w:color w:val="auto"/>
                <w:sz w:val="24"/>
                <w:highlight w:val="none"/>
              </w:rPr>
              <w:t>工信部联企业[2011]300号）</w:t>
            </w:r>
            <w:r>
              <w:rPr>
                <w:rFonts w:hint="eastAsia" w:ascii="宋体" w:eastAsia="宋体" w:cs="宋体"/>
                <w:b/>
                <w:bCs/>
                <w:color w:val="auto"/>
                <w:sz w:val="24"/>
                <w:highlight w:val="none"/>
                <w:lang w:eastAsia="zh-CN"/>
              </w:rPr>
              <w:t>：建筑业</w:t>
            </w:r>
          </w:p>
        </w:tc>
      </w:tr>
    </w:tbl>
    <w:p w14:paraId="661A2C12">
      <w:pPr>
        <w:numPr>
          <w:ilvl w:val="0"/>
          <w:numId w:val="0"/>
        </w:numPr>
        <w:spacing w:line="360" w:lineRule="auto"/>
        <w:rPr>
          <w:rFonts w:asciiTheme="minorEastAsia" w:hAnsiTheme="minorEastAsia" w:eastAsiaTheme="minorEastAsia"/>
          <w:b/>
          <w:color w:val="auto"/>
          <w:sz w:val="24"/>
          <w:highlight w:val="none"/>
        </w:rPr>
      </w:pPr>
    </w:p>
    <w:p w14:paraId="273671B5">
      <w:pPr>
        <w:numPr>
          <w:ilvl w:val="0"/>
          <w:numId w:val="0"/>
        </w:numPr>
        <w:spacing w:line="360" w:lineRule="auto"/>
        <w:rPr>
          <w:rFonts w:asciiTheme="minorEastAsia" w:hAnsiTheme="minorEastAsia" w:eastAsiaTheme="minorEastAsia"/>
          <w:b/>
          <w:color w:val="auto"/>
          <w:sz w:val="24"/>
          <w:highlight w:val="none"/>
        </w:rPr>
      </w:pPr>
    </w:p>
    <w:p w14:paraId="00602F63">
      <w:pPr>
        <w:numPr>
          <w:ilvl w:val="0"/>
          <w:numId w:val="0"/>
        </w:numPr>
        <w:spacing w:line="360" w:lineRule="auto"/>
        <w:rPr>
          <w:rFonts w:asciiTheme="minorEastAsia" w:hAnsiTheme="minorEastAsia" w:eastAsiaTheme="minorEastAsia"/>
          <w:b/>
          <w:color w:val="auto"/>
          <w:sz w:val="24"/>
          <w:highlight w:val="none"/>
        </w:rPr>
      </w:pPr>
    </w:p>
    <w:p w14:paraId="2E8AE756">
      <w:pPr>
        <w:numPr>
          <w:ilvl w:val="0"/>
          <w:numId w:val="0"/>
        </w:numPr>
        <w:spacing w:line="360" w:lineRule="auto"/>
        <w:rPr>
          <w:rFonts w:asciiTheme="minorEastAsia" w:hAnsiTheme="minorEastAsia" w:eastAsiaTheme="minorEastAsia"/>
          <w:b/>
          <w:color w:val="auto"/>
          <w:sz w:val="24"/>
          <w:highlight w:val="none"/>
        </w:rPr>
      </w:pPr>
    </w:p>
    <w:p w14:paraId="72A1BA74">
      <w:pPr>
        <w:pStyle w:val="14"/>
        <w:snapToGrid w:val="0"/>
        <w:spacing w:line="360" w:lineRule="auto"/>
        <w:ind w:firstLine="482" w:firstLineChars="200"/>
        <w:rPr>
          <w:rFonts w:hint="eastAsia" w:asciiTheme="minorEastAsia" w:hAnsiTheme="minorEastAsia" w:eastAsiaTheme="minorEastAsia"/>
          <w:b/>
          <w:color w:val="auto"/>
          <w:sz w:val="24"/>
          <w:highlight w:val="none"/>
        </w:rPr>
      </w:pPr>
    </w:p>
    <w:p w14:paraId="489B915E">
      <w:pPr>
        <w:pStyle w:val="15"/>
        <w:rPr>
          <w:rFonts w:hint="eastAsia" w:asciiTheme="minorEastAsia" w:hAnsiTheme="minorEastAsia" w:eastAsiaTheme="minorEastAsia"/>
          <w:b/>
          <w:color w:val="auto"/>
          <w:sz w:val="24"/>
          <w:highlight w:val="none"/>
        </w:rPr>
      </w:pPr>
    </w:p>
    <w:p w14:paraId="42BF40C0">
      <w:pPr>
        <w:rPr>
          <w:rFonts w:hint="eastAsia" w:asciiTheme="minorEastAsia" w:hAnsiTheme="minorEastAsia" w:eastAsiaTheme="minorEastAsia"/>
          <w:b/>
          <w:color w:val="auto"/>
          <w:sz w:val="24"/>
          <w:highlight w:val="none"/>
        </w:rPr>
      </w:pPr>
    </w:p>
    <w:p w14:paraId="5890BC63">
      <w:pPr>
        <w:rPr>
          <w:rFonts w:hint="eastAsia" w:asciiTheme="minorEastAsia" w:hAnsiTheme="minorEastAsia" w:eastAsiaTheme="minorEastAsia"/>
          <w:b/>
          <w:color w:val="auto"/>
          <w:sz w:val="24"/>
          <w:highlight w:val="none"/>
        </w:rPr>
      </w:pPr>
    </w:p>
    <w:p w14:paraId="0F48B388">
      <w:pPr>
        <w:rPr>
          <w:rFonts w:hint="eastAsia" w:asciiTheme="minorEastAsia" w:hAnsiTheme="minorEastAsia" w:eastAsiaTheme="minorEastAsia"/>
          <w:b/>
          <w:color w:val="auto"/>
          <w:sz w:val="24"/>
          <w:highlight w:val="none"/>
        </w:rPr>
      </w:pPr>
    </w:p>
    <w:p w14:paraId="0892BAA6">
      <w:pPr>
        <w:pStyle w:val="14"/>
        <w:snapToGrid w:val="0"/>
        <w:spacing w:before="120" w:after="120" w:line="360" w:lineRule="auto"/>
        <w:jc w:val="left"/>
        <w:rPr>
          <w:rFonts w:hint="eastAsia" w:ascii="宋体" w:hAnsi="宋体" w:eastAsia="宋体" w:cs="宋体"/>
          <w:b/>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6F348C1A">
      <w:pPr>
        <w:pStyle w:val="14"/>
        <w:snapToGrid w:val="0"/>
        <w:spacing w:before="120" w:after="120"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 、总  则</w:t>
      </w:r>
    </w:p>
    <w:p w14:paraId="44EEE4FF">
      <w:pPr>
        <w:pStyle w:val="14"/>
        <w:snapToGrid w:val="0"/>
        <w:spacing w:before="120" w:after="120" w:line="360" w:lineRule="auto"/>
        <w:ind w:firstLine="361" w:firstLineChars="1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 适用范围</w:t>
      </w:r>
    </w:p>
    <w:p w14:paraId="1AAE5B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bCs/>
          <w:color w:val="auto"/>
          <w:sz w:val="24"/>
          <w:highlight w:val="none"/>
        </w:rPr>
        <w:t>磋商文件</w:t>
      </w:r>
      <w:r>
        <w:rPr>
          <w:rFonts w:hint="eastAsia" w:ascii="宋体" w:hAnsi="宋体" w:cs="宋体"/>
          <w:color w:val="auto"/>
          <w:sz w:val="24"/>
          <w:highlight w:val="none"/>
        </w:rPr>
        <w:t>适用于</w:t>
      </w:r>
      <w:r>
        <w:rPr>
          <w:rFonts w:hint="eastAsia" w:ascii="宋体" w:hAnsi="宋体" w:cs="宋体"/>
          <w:bCs/>
          <w:color w:val="auto"/>
          <w:sz w:val="24"/>
          <w:highlight w:val="none"/>
        </w:rPr>
        <w:t>本次</w:t>
      </w:r>
      <w:r>
        <w:rPr>
          <w:rFonts w:hint="eastAsia" w:ascii="宋体" w:hAnsi="宋体" w:cs="宋体"/>
          <w:color w:val="auto"/>
          <w:sz w:val="24"/>
          <w:highlight w:val="none"/>
        </w:rPr>
        <w:t>项目的磋商、</w:t>
      </w:r>
      <w:r>
        <w:rPr>
          <w:rFonts w:hint="eastAsia" w:ascii="宋体" w:hAnsi="宋体" w:cs="宋体"/>
          <w:bCs/>
          <w:color w:val="auto"/>
          <w:sz w:val="24"/>
          <w:highlight w:val="none"/>
        </w:rPr>
        <w:t>评审、确定成交供应商</w:t>
      </w:r>
      <w:r>
        <w:rPr>
          <w:rFonts w:hint="eastAsia" w:ascii="宋体" w:hAnsi="宋体" w:cs="宋体"/>
          <w:color w:val="auto"/>
          <w:sz w:val="24"/>
          <w:highlight w:val="none"/>
        </w:rPr>
        <w:t>、验收、合同履约、付款等行为（法律、法规另有规定的，从其规定）。</w:t>
      </w:r>
    </w:p>
    <w:p w14:paraId="47CF5428">
      <w:pPr>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（二）定义</w:t>
      </w:r>
    </w:p>
    <w:p w14:paraId="3F2643B2">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1、采购组织机构：指采购人委托组织磋商的集中采购机构或采购代理机构。</w:t>
      </w:r>
    </w:p>
    <w:p w14:paraId="467D2E29">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2、采购人：是指委托集中采购机构或采购代理机构采购本次项目的国家机关、事业单位和团体组织。</w:t>
      </w:r>
    </w:p>
    <w:p w14:paraId="2AC1918D">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3、磋商供应商：是指向采购组织机构提交磋商响应文件的单位或个人。</w:t>
      </w:r>
    </w:p>
    <w:p w14:paraId="18E633A1">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4、货物：是指各种形态和种类的物品，包括原材料、燃料、设备、产品等。</w:t>
      </w:r>
    </w:p>
    <w:p w14:paraId="0EE8DF53">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5、工程：是指建设工程，包括建筑物和构筑物的新建、改建、扩建、 装修、拆除、修缮等。</w:t>
      </w:r>
    </w:p>
    <w:p w14:paraId="35F2EA61">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6、服务：是指除货物和工程以外的政府采购对象，包括各类专业服务、信息网络开发服务、金融保险服务、运输服务，以及维修与维护服务等。</w:t>
      </w:r>
    </w:p>
    <w:p w14:paraId="660BF65A">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7、“书面形式”包括信函、传真等。</w:t>
      </w:r>
    </w:p>
    <w:p w14:paraId="428A1A8A">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8、“▲”系指实质性要求条款。</w:t>
      </w:r>
    </w:p>
    <w:p w14:paraId="576631AE">
      <w:pPr>
        <w:snapToGrid w:val="0"/>
        <w:spacing w:beforeLines="50" w:line="360" w:lineRule="auto"/>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（三）磋商费用</w:t>
      </w:r>
    </w:p>
    <w:p w14:paraId="28A192E3">
      <w:pPr>
        <w:pStyle w:val="14"/>
        <w:snapToGrid w:val="0"/>
        <w:spacing w:line="360" w:lineRule="auto"/>
        <w:ind w:left="2" w:leftChars="1" w:firstLine="480" w:firstLineChars="200"/>
        <w:rPr>
          <w:rFonts w:ascii="宋体"/>
          <w:color w:val="auto"/>
          <w:sz w:val="24"/>
          <w:highlight w:val="none"/>
        </w:rPr>
      </w:pPr>
      <w:r>
        <w:rPr>
          <w:rFonts w:hint="eastAsia" w:ascii="宋体" w:hAnsi="宋体" w:eastAsia="宋体" w:cs="宋体"/>
          <w:color w:val="auto"/>
          <w:sz w:val="24"/>
          <w:highlight w:val="none"/>
        </w:rPr>
        <w:t>不论磋商结果如何，供应商均应自行承担所有与磋商有关的全部费用（磋商文件有相关规定除外）。</w:t>
      </w:r>
    </w:p>
    <w:p w14:paraId="77252538">
      <w:pPr>
        <w:pStyle w:val="14"/>
        <w:snapToGrid w:val="0"/>
        <w:spacing w:line="360" w:lineRule="auto"/>
        <w:ind w:left="2" w:leftChars="1"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（四）特别说明</w:t>
      </w:r>
    </w:p>
    <w:p w14:paraId="0FD96E4F">
      <w:pPr>
        <w:pStyle w:val="14"/>
        <w:snapToGrid w:val="0"/>
        <w:spacing w:line="360" w:lineRule="auto"/>
        <w:ind w:left="2" w:leftChars="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1、供应商磋商所使用的资格、信誉、荣誉、业绩与企业认证必须为本法人所拥有。供应商磋商所使用的采购项目实施人员必须为本法人员工。</w:t>
      </w:r>
      <w:r>
        <w:rPr>
          <w:rFonts w:hint="eastAsia" w:ascii="宋体" w:hAnsi="宋体" w:eastAsia="宋体"/>
          <w:color w:val="auto"/>
          <w:sz w:val="24"/>
          <w:highlight w:val="none"/>
        </w:rPr>
        <w:t>▲其中涉及资格条件的如非本法人所拥有，则投标无效。</w:t>
      </w:r>
    </w:p>
    <w:p w14:paraId="19CE4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2、供应商所标产品除</w:t>
      </w:r>
      <w:r>
        <w:rPr>
          <w:rFonts w:hint="eastAsia" w:ascii="宋体" w:hAnsi="宋体" w:cs="宋体"/>
          <w:bCs/>
          <w:color w:val="auto"/>
          <w:sz w:val="24"/>
          <w:highlight w:val="none"/>
        </w:rPr>
        <w:t>磋商文件</w:t>
      </w:r>
      <w:r>
        <w:rPr>
          <w:rFonts w:hint="eastAsia" w:ascii="宋体" w:hAnsi="宋体" w:cs="宋体"/>
          <w:color w:val="auto"/>
          <w:sz w:val="24"/>
          <w:highlight w:val="none"/>
        </w:rPr>
        <w:t>中明确规定要求“提供官网截图或相应检测报告的证明材料”以外，所有技术参数描述均以磋商响应文件为准。</w:t>
      </w:r>
      <w:r>
        <w:rPr>
          <w:rFonts w:hint="eastAsia" w:ascii="宋体" w:hAnsi="宋体" w:cs="宋体"/>
          <w:b/>
          <w:color w:val="auto"/>
          <w:sz w:val="24"/>
          <w:highlight w:val="none"/>
        </w:rPr>
        <w:t>磋商供应商对所标产品技术参数的真实性承担法律责任。</w:t>
      </w:r>
      <w:r>
        <w:rPr>
          <w:rFonts w:hint="eastAsia" w:ascii="宋体" w:hAnsi="宋体" w:cs="宋体"/>
          <w:color w:val="auto"/>
          <w:sz w:val="24"/>
          <w:highlight w:val="none"/>
        </w:rPr>
        <w:t>项目</w:t>
      </w:r>
      <w:r>
        <w:rPr>
          <w:rFonts w:hint="eastAsia" w:ascii="宋体" w:hAnsi="宋体" w:cs="宋体"/>
          <w:bCs/>
          <w:color w:val="auto"/>
          <w:sz w:val="24"/>
          <w:highlight w:val="none"/>
        </w:rPr>
        <w:t>磋商</w:t>
      </w:r>
      <w:r>
        <w:rPr>
          <w:rFonts w:hint="eastAsia" w:ascii="宋体" w:hAnsi="宋体" w:cs="宋体"/>
          <w:color w:val="auto"/>
          <w:sz w:val="24"/>
          <w:highlight w:val="none"/>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auto"/>
          <w:sz w:val="24"/>
          <w:highlight w:val="none"/>
        </w:rPr>
        <w:tab/>
      </w:r>
    </w:p>
    <w:p w14:paraId="247BAC56">
      <w:pPr>
        <w:pStyle w:val="31"/>
        <w:snapToGrid w:val="0"/>
        <w:spacing w:line="360" w:lineRule="auto"/>
        <w:ind w:firstLineChars="0"/>
        <w:rPr>
          <w:rFonts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3、供应商在</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D2FD9A">
      <w:pPr>
        <w:pStyle w:val="31"/>
        <w:snapToGrid w:val="0"/>
        <w:spacing w:line="360" w:lineRule="auto"/>
        <w:ind w:firstLineChars="0"/>
        <w:rPr>
          <w:rFonts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04FDA115">
      <w:pPr>
        <w:pStyle w:val="31"/>
        <w:snapToGrid w:val="0"/>
        <w:spacing w:line="360" w:lineRule="auto"/>
        <w:ind w:firstLineChars="0"/>
        <w:rPr>
          <w:rFonts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5、为采购项目提供整体设计、规范编制或者项目管理、监理、检测等服务的供应商，不得再参加该采购项目的其他采购活动。</w:t>
      </w:r>
    </w:p>
    <w:p w14:paraId="70E2724D">
      <w:pPr>
        <w:pStyle w:val="31"/>
        <w:snapToGrid w:val="0"/>
        <w:spacing w:line="360" w:lineRule="auto"/>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6、磋商响应文件格式中的表格式样可以根据项目差别做适当调整,但应当保持表格样式基本形态不变。</w:t>
      </w:r>
    </w:p>
    <w:p w14:paraId="01D3C791">
      <w:pPr>
        <w:pStyle w:val="3"/>
        <w:keepNext w:val="0"/>
        <w:keepLines w:val="0"/>
        <w:tabs>
          <w:tab w:val="left" w:pos="851"/>
        </w:tabs>
        <w:autoSpaceDE w:val="0"/>
        <w:autoSpaceDN w:val="0"/>
        <w:adjustRightInd w:val="0"/>
        <w:snapToGrid w:val="0"/>
        <w:spacing w:before="0" w:after="0"/>
        <w:ind w:firstLine="480"/>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highlight w:val="none"/>
        </w:rPr>
        <w:t>▲</w:t>
      </w:r>
      <w:r>
        <w:rPr>
          <w:rFonts w:hint="eastAsia" w:ascii="宋体" w:hAnsi="宋体" w:eastAsia="宋体" w:cs="宋体"/>
          <w:b w:val="0"/>
          <w:bCs w:val="0"/>
          <w:color w:val="auto"/>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ascii="宋体" w:hAnsi="宋体" w:eastAsia="宋体" w:cs="宋体"/>
          <w:b w:val="0"/>
          <w:bCs w:val="0"/>
          <w:color w:val="auto"/>
          <w:sz w:val="24"/>
          <w:szCs w:val="24"/>
          <w:highlight w:val="none"/>
          <w:lang w:eastAsia="zh-CN"/>
        </w:rPr>
        <w:t>。</w:t>
      </w:r>
    </w:p>
    <w:p w14:paraId="6AFAC94F">
      <w:pPr>
        <w:pStyle w:val="3"/>
        <w:keepNext w:val="0"/>
        <w:keepLines w:val="0"/>
        <w:tabs>
          <w:tab w:val="left" w:pos="851"/>
        </w:tabs>
        <w:autoSpaceDE w:val="0"/>
        <w:autoSpaceDN w:val="0"/>
        <w:adjustRightInd w:val="0"/>
        <w:snapToGrid w:val="0"/>
        <w:spacing w:before="0" w:after="0"/>
        <w:ind w:firstLine="480"/>
        <w:rPr>
          <w:rFonts w:ascii="宋体" w:hAnsi="宋体" w:eastAsia="宋体" w:cs="宋体"/>
          <w:b w:val="0"/>
          <w:bCs w:val="0"/>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b w:val="0"/>
          <w:bCs w:val="0"/>
          <w:color w:val="auto"/>
          <w:sz w:val="24"/>
          <w:szCs w:val="24"/>
          <w:highlight w:val="none"/>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10643FFD">
      <w:pPr>
        <w:pStyle w:val="3"/>
        <w:keepNext w:val="0"/>
        <w:keepLines w:val="0"/>
        <w:tabs>
          <w:tab w:val="left" w:pos="851"/>
        </w:tabs>
        <w:autoSpaceDE w:val="0"/>
        <w:autoSpaceDN w:val="0"/>
        <w:adjustRightInd w:val="0"/>
        <w:snapToGrid w:val="0"/>
        <w:spacing w:before="0" w:after="0"/>
        <w:ind w:firstLine="480"/>
        <w:rPr>
          <w:rFonts w:hint="eastAsia" w:ascii="宋体" w:hAnsi="宋体" w:eastAsia="宋体"/>
          <w:b w:val="0"/>
          <w:bCs w:val="0"/>
          <w:color w:val="auto"/>
          <w:sz w:val="24"/>
          <w:szCs w:val="24"/>
          <w:highlight w:val="none"/>
        </w:rPr>
      </w:pPr>
      <w:r>
        <w:rPr>
          <w:rFonts w:hint="eastAsia" w:ascii="宋体" w:hAnsi="宋体" w:cs="宋体"/>
          <w:color w:val="auto"/>
          <w:sz w:val="24"/>
          <w:highlight w:val="none"/>
        </w:rPr>
        <w:t>▲</w:t>
      </w:r>
      <w:r>
        <w:rPr>
          <w:rFonts w:hint="eastAsia" w:ascii="宋体" w:hAnsi="宋体" w:eastAsia="宋体"/>
          <w:b w:val="0"/>
          <w:bCs w:val="0"/>
          <w:color w:val="auto"/>
          <w:sz w:val="24"/>
          <w:szCs w:val="24"/>
          <w:highlight w:val="none"/>
          <w:lang w:val="en-US" w:eastAsia="zh-CN"/>
        </w:rPr>
        <w:t>9</w:t>
      </w:r>
      <w:r>
        <w:rPr>
          <w:rFonts w:hint="eastAsia" w:ascii="宋体" w:hAnsi="宋体" w:eastAsia="宋体"/>
          <w:b w:val="0"/>
          <w:bCs w:val="0"/>
          <w:color w:val="auto"/>
          <w:sz w:val="24"/>
          <w:szCs w:val="24"/>
          <w:highlight w:val="none"/>
        </w:rPr>
        <w:t>、本项目不允许</w:t>
      </w:r>
      <w:r>
        <w:rPr>
          <w:rFonts w:hint="eastAsia" w:ascii="宋体" w:hAnsi="宋体" w:eastAsia="宋体"/>
          <w:b w:val="0"/>
          <w:bCs w:val="0"/>
          <w:color w:val="auto"/>
          <w:sz w:val="24"/>
          <w:szCs w:val="24"/>
          <w:highlight w:val="none"/>
          <w:lang w:eastAsia="zh-CN"/>
        </w:rPr>
        <w:t>转包、</w:t>
      </w:r>
      <w:r>
        <w:rPr>
          <w:rFonts w:hint="eastAsia" w:ascii="宋体" w:hAnsi="宋体" w:eastAsia="宋体"/>
          <w:b w:val="0"/>
          <w:bCs w:val="0"/>
          <w:color w:val="auto"/>
          <w:sz w:val="24"/>
          <w:szCs w:val="24"/>
          <w:highlight w:val="none"/>
        </w:rPr>
        <w:t>分包。</w:t>
      </w:r>
    </w:p>
    <w:p w14:paraId="60CCC0F8">
      <w:pPr>
        <w:spacing w:line="360" w:lineRule="auto"/>
        <w:ind w:firstLine="480" w:firstLineChars="200"/>
        <w:rPr>
          <w:rFonts w:hint="eastAsia"/>
          <w:color w:val="auto"/>
          <w:highlight w:val="none"/>
        </w:rPr>
      </w:pPr>
      <w:r>
        <w:rPr>
          <w:rFonts w:hint="eastAsia" w:ascii="宋体" w:hAnsi="宋体" w:eastAsia="宋体" w:cs="宋体"/>
          <w:b w:val="0"/>
          <w:bCs w:val="0"/>
          <w:color w:val="auto"/>
          <w:sz w:val="24"/>
          <w:szCs w:val="24"/>
          <w:highlight w:val="none"/>
          <w:lang w:val="en-US" w:eastAsia="zh-CN"/>
        </w:rPr>
        <w:t>10、本招标文件中关于电子招标、响应内容、流程如与政采云系统中最新的内容、操作不一致的，以政采云系统中的要求为准。</w:t>
      </w:r>
    </w:p>
    <w:p w14:paraId="61499902">
      <w:pPr>
        <w:tabs>
          <w:tab w:val="left" w:pos="851"/>
        </w:tabs>
        <w:snapToGrid w:val="0"/>
        <w:spacing w:line="360" w:lineRule="auto"/>
        <w:ind w:firstLine="422" w:firstLineChars="200"/>
        <w:outlineLvl w:val="2"/>
        <w:rPr>
          <w:rFonts w:hint="eastAsia" w:ascii="宋体" w:hAnsi="宋体" w:eastAsia="宋体" w:cs="宋体"/>
          <w:b/>
          <w:bCs w:val="0"/>
          <w:color w:val="auto"/>
          <w:sz w:val="24"/>
          <w:szCs w:val="24"/>
          <w:highlight w:val="none"/>
        </w:rPr>
      </w:pPr>
      <w:r>
        <w:rPr>
          <w:rFonts w:hint="eastAsia" w:ascii="宋体" w:hAnsi="宋体" w:cs="宋体"/>
          <w:b/>
          <w:bCs w:val="0"/>
          <w:color w:val="auto"/>
          <w:szCs w:val="21"/>
          <w:highlight w:val="none"/>
        </w:rPr>
        <w:t>▲</w:t>
      </w: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kern w:val="2"/>
          <w:sz w:val="24"/>
          <w:szCs w:val="24"/>
          <w:highlight w:val="none"/>
          <w:lang w:val="en-US" w:eastAsia="zh-CN"/>
        </w:rPr>
        <w:t>（1）</w:t>
      </w:r>
      <w:r>
        <w:rPr>
          <w:rFonts w:hint="default" w:ascii="宋体" w:hAnsi="宋体" w:eastAsia="宋体" w:cs="宋体"/>
          <w:b/>
          <w:bCs w:val="0"/>
          <w:color w:val="auto"/>
          <w:sz w:val="24"/>
          <w:szCs w:val="24"/>
          <w:highlight w:val="none"/>
        </w:rPr>
        <w:t>对项目负责人</w:t>
      </w:r>
      <w:r>
        <w:rPr>
          <w:rFonts w:hint="eastAsia" w:ascii="宋体" w:hAnsi="宋体" w:eastAsia="宋体" w:cs="宋体"/>
          <w:b/>
          <w:bCs w:val="0"/>
          <w:color w:val="auto"/>
          <w:sz w:val="24"/>
          <w:szCs w:val="24"/>
          <w:highlight w:val="none"/>
        </w:rPr>
        <w:t>“</w:t>
      </w:r>
      <w:r>
        <w:rPr>
          <w:rFonts w:hint="default" w:ascii="宋体" w:hAnsi="宋体" w:eastAsia="宋体" w:cs="宋体"/>
          <w:b/>
          <w:bCs w:val="0"/>
          <w:color w:val="auto"/>
          <w:sz w:val="24"/>
          <w:szCs w:val="24"/>
          <w:highlight w:val="none"/>
        </w:rPr>
        <w:t>有在建合同工程</w:t>
      </w:r>
      <w:r>
        <w:rPr>
          <w:rFonts w:hint="eastAsia" w:ascii="宋体" w:hAnsi="宋体" w:eastAsia="宋体" w:cs="宋体"/>
          <w:b/>
          <w:bCs w:val="0"/>
          <w:color w:val="auto"/>
          <w:sz w:val="24"/>
          <w:szCs w:val="24"/>
          <w:highlight w:val="none"/>
        </w:rPr>
        <w:t>”</w:t>
      </w:r>
      <w:r>
        <w:rPr>
          <w:rFonts w:hint="default" w:ascii="宋体" w:hAnsi="宋体" w:eastAsia="宋体" w:cs="宋体"/>
          <w:b/>
          <w:bCs w:val="0"/>
          <w:color w:val="auto"/>
          <w:sz w:val="24"/>
          <w:szCs w:val="24"/>
          <w:highlight w:val="none"/>
        </w:rPr>
        <w:t>的认定标准：</w:t>
      </w:r>
      <w:r>
        <w:rPr>
          <w:rFonts w:hint="eastAsia" w:ascii="宋体" w:hAnsi="宋体" w:eastAsia="宋体" w:cs="宋体"/>
          <w:b/>
          <w:bCs w:val="0"/>
          <w:color w:val="auto"/>
          <w:sz w:val="24"/>
          <w:szCs w:val="24"/>
          <w:highlight w:val="none"/>
        </w:rPr>
        <w:t xml:space="preserve"> </w:t>
      </w:r>
    </w:p>
    <w:p w14:paraId="2C474BD8">
      <w:pPr>
        <w:tabs>
          <w:tab w:val="left" w:pos="851"/>
        </w:tabs>
        <w:snapToGrid w:val="0"/>
        <w:spacing w:line="360" w:lineRule="auto"/>
        <w:ind w:firstLine="480" w:firstLineChars="200"/>
        <w:outlineLvl w:val="2"/>
        <w:rPr>
          <w:rFonts w:hint="eastAsia" w:ascii="宋体" w:hAnsi="宋体" w:eastAsia="宋体" w:cs="宋体"/>
          <w:color w:val="auto"/>
          <w:kern w:val="2"/>
          <w:sz w:val="24"/>
          <w:szCs w:val="24"/>
          <w:highlight w:val="none"/>
        </w:rPr>
      </w:pPr>
      <w:r>
        <w:rPr>
          <w:rFonts w:hint="default" w:ascii="宋体" w:hAnsi="宋体" w:eastAsia="宋体" w:cs="宋体"/>
          <w:color w:val="auto"/>
          <w:sz w:val="24"/>
          <w:szCs w:val="24"/>
          <w:highlight w:val="none"/>
        </w:rPr>
        <w:t>拟派项目负责人在投标截止时间尚有在其他在建合同工程中担任项目负责人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包括工程总承包项目中的施工负责人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的情形为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有在建合同工程</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w:t>
      </w:r>
    </w:p>
    <w:p w14:paraId="4FC5BDF3">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在建合同工程项目，包括在中华人民共和国境内所有建设工程，不受地域、行业和投资性质的限制。</w:t>
      </w:r>
      <w:r>
        <w:rPr>
          <w:rFonts w:hint="eastAsia" w:ascii="宋体" w:hAnsi="宋体" w:eastAsia="宋体" w:cs="宋体"/>
          <w:color w:val="auto"/>
          <w:sz w:val="24"/>
          <w:szCs w:val="24"/>
          <w:highlight w:val="none"/>
        </w:rPr>
        <w:t xml:space="preserve"> </w:t>
      </w:r>
    </w:p>
    <w:p w14:paraId="35A01652">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在建合同工程的时间界定：中标通知书发岀之日</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不通过招标方式的，开始时间为合同签订之日</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，结束时间为该合同工程通过验收或合同解除之日。</w:t>
      </w:r>
      <w:r>
        <w:rPr>
          <w:rFonts w:hint="eastAsia" w:ascii="宋体" w:hAnsi="宋体" w:eastAsia="宋体" w:cs="宋体"/>
          <w:color w:val="auto"/>
          <w:sz w:val="24"/>
          <w:szCs w:val="24"/>
          <w:highlight w:val="none"/>
        </w:rPr>
        <w:t xml:space="preserve"> </w:t>
      </w:r>
    </w:p>
    <w:p w14:paraId="6296A158">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以下情形视为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有在建合同工程</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 xml:space="preserve"> </w:t>
      </w:r>
    </w:p>
    <w:p w14:paraId="72C8709B">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 1 \* GB3 \* MERGEFORMAT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kern w:val="2"/>
          <w:sz w:val="24"/>
          <w:szCs w:val="24"/>
          <w:highlight w:val="none"/>
        </w:rPr>
        <w:fldChar w:fldCharType="end"/>
      </w:r>
      <w:r>
        <w:rPr>
          <w:rFonts w:hint="default" w:ascii="宋体" w:hAnsi="宋体" w:eastAsia="宋体" w:cs="宋体"/>
          <w:color w:val="auto"/>
          <w:sz w:val="24"/>
          <w:szCs w:val="24"/>
          <w:highlight w:val="none"/>
        </w:rPr>
        <w:t>合同协议书尚未签订的，中标通知书中载明的项目负责人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包括工程总承包项目中的施工负责人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为准；</w:t>
      </w:r>
      <w:r>
        <w:rPr>
          <w:rFonts w:hint="eastAsia" w:ascii="宋体" w:hAnsi="宋体" w:eastAsia="宋体" w:cs="宋体"/>
          <w:color w:val="auto"/>
          <w:sz w:val="24"/>
          <w:szCs w:val="24"/>
          <w:highlight w:val="none"/>
        </w:rPr>
        <w:t xml:space="preserve"> </w:t>
      </w:r>
    </w:p>
    <w:p w14:paraId="7A6FCE46">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 2 \* GB3 \* MERGEFORMAT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kern w:val="2"/>
          <w:sz w:val="24"/>
          <w:szCs w:val="24"/>
          <w:highlight w:val="none"/>
        </w:rPr>
        <w:fldChar w:fldCharType="end"/>
      </w:r>
      <w:r>
        <w:rPr>
          <w:rFonts w:hint="default" w:ascii="宋体" w:hAnsi="宋体" w:eastAsia="宋体" w:cs="宋体"/>
          <w:color w:val="auto"/>
          <w:sz w:val="24"/>
          <w:szCs w:val="24"/>
          <w:highlight w:val="none"/>
        </w:rPr>
        <w:t>合同协议书已经签订，合同协议书中明确的项目负责人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包括工程总承包项目中的施工负责人</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为准；</w:t>
      </w:r>
      <w:r>
        <w:rPr>
          <w:rFonts w:hint="eastAsia" w:ascii="宋体" w:hAnsi="宋体" w:eastAsia="宋体" w:cs="宋体"/>
          <w:color w:val="auto"/>
          <w:sz w:val="24"/>
          <w:szCs w:val="24"/>
          <w:highlight w:val="none"/>
        </w:rPr>
        <w:t xml:space="preserve"> </w:t>
      </w:r>
    </w:p>
    <w:p w14:paraId="0003F14D">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 3 \* GB3 \* MERGEFORMAT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kern w:val="2"/>
          <w:sz w:val="24"/>
          <w:szCs w:val="24"/>
          <w:highlight w:val="none"/>
        </w:rPr>
        <w:fldChar w:fldCharType="end"/>
      </w:r>
      <w:r>
        <w:rPr>
          <w:rFonts w:hint="default" w:ascii="宋体" w:hAnsi="宋体" w:eastAsia="宋体" w:cs="宋体"/>
          <w:color w:val="auto"/>
          <w:sz w:val="24"/>
          <w:szCs w:val="24"/>
          <w:highlight w:val="none"/>
        </w:rPr>
        <w:t>项目负责人发生更换的，投标人在</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rPr>
        <w:t>文件中附有下列第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项证明材料的，以现任项目负责人视为有</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在建合同工程</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；未附证明材料的，则仍然以更换前的项目负责人视为有</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在建合同工程</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 xml:space="preserve"> </w:t>
      </w:r>
    </w:p>
    <w:p w14:paraId="5DD0C9FB">
      <w:pPr>
        <w:tabs>
          <w:tab w:val="left" w:pos="851"/>
        </w:tabs>
        <w:snapToGrid w:val="0"/>
        <w:spacing w:line="360" w:lineRule="auto"/>
        <w:ind w:firstLine="480" w:firstLineChars="200"/>
        <w:outlineLvl w:val="2"/>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w:t>
      </w:r>
      <w:r>
        <w:rPr>
          <w:rFonts w:hint="default" w:ascii="宋体" w:hAnsi="宋体" w:eastAsia="宋体" w:cs="宋体"/>
          <w:color w:val="auto"/>
          <w:sz w:val="24"/>
          <w:szCs w:val="24"/>
          <w:highlight w:val="none"/>
        </w:rPr>
        <w:t>在建项目的项目负责人办理更换后，需提供的资料：</w:t>
      </w:r>
      <w:r>
        <w:rPr>
          <w:rFonts w:hint="eastAsia" w:ascii="宋体" w:hAnsi="宋体" w:eastAsia="宋体" w:cs="宋体"/>
          <w:color w:val="auto"/>
          <w:sz w:val="24"/>
          <w:szCs w:val="24"/>
          <w:highlight w:val="none"/>
        </w:rPr>
        <w:t xml:space="preserve"> </w:t>
      </w:r>
    </w:p>
    <w:p w14:paraId="0B98FA14">
      <w:pPr>
        <w:tabs>
          <w:tab w:val="left" w:pos="851"/>
        </w:tabs>
        <w:snapToGrid w:val="0"/>
        <w:spacing w:line="360" w:lineRule="auto"/>
        <w:ind w:firstLine="480" w:firstLineChars="200"/>
        <w:outlineLvl w:val="2"/>
        <w:rPr>
          <w:rFonts w:hint="eastAsia"/>
          <w:color w:val="auto"/>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 1 \* GB3 \* MERGEFORMAT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kern w:val="2"/>
          <w:sz w:val="24"/>
          <w:szCs w:val="24"/>
          <w:highlight w:val="none"/>
        </w:rPr>
        <w:fldChar w:fldCharType="end"/>
      </w:r>
      <w:r>
        <w:rPr>
          <w:rFonts w:hint="default" w:ascii="宋体" w:hAnsi="宋体" w:eastAsia="宋体" w:cs="宋体"/>
          <w:color w:val="auto"/>
          <w:sz w:val="24"/>
          <w:szCs w:val="24"/>
          <w:highlight w:val="none"/>
        </w:rPr>
        <w:t>项目业主同意更换的证明；</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t>原项目负责人有备案主管部门的，应提供备案主管部门同意更换的证明或网上变更信息复制件。</w:t>
      </w:r>
      <w:r>
        <w:rPr>
          <w:rFonts w:hint="eastAsia" w:ascii="宋体" w:hAnsi="宋体" w:eastAsia="宋体" w:cs="宋体"/>
          <w:color w:val="auto"/>
          <w:sz w:val="24"/>
          <w:szCs w:val="24"/>
          <w:highlight w:val="none"/>
        </w:rPr>
        <w:t xml:space="preserve"> </w:t>
      </w:r>
    </w:p>
    <w:p w14:paraId="4E6BD09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cs="宋体"/>
          <w:b/>
          <w:color w:val="auto"/>
          <w:kern w:val="0"/>
          <w:sz w:val="24"/>
          <w:highlight w:val="none"/>
        </w:rPr>
      </w:pPr>
      <w:r>
        <w:rPr>
          <w:rFonts w:hint="eastAsia" w:ascii="宋体" w:hAnsi="宋体" w:cs="宋体"/>
          <w:b/>
          <w:color w:val="auto"/>
          <w:kern w:val="0"/>
          <w:sz w:val="24"/>
          <w:highlight w:val="none"/>
        </w:rPr>
        <w:t>二、磋商响应文件</w:t>
      </w:r>
    </w:p>
    <w:p w14:paraId="63F3E04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cs="宋体"/>
          <w:b/>
          <w:color w:val="auto"/>
          <w:kern w:val="0"/>
          <w:sz w:val="24"/>
          <w:highlight w:val="none"/>
        </w:rPr>
      </w:pPr>
      <w:r>
        <w:rPr>
          <w:rFonts w:hint="eastAsia" w:ascii="宋体" w:hAnsi="宋体" w:cs="宋体"/>
          <w:b/>
          <w:color w:val="auto"/>
          <w:kern w:val="0"/>
          <w:sz w:val="24"/>
          <w:highlight w:val="none"/>
        </w:rPr>
        <w:t>（一）磋商响应文件的组成</w:t>
      </w:r>
    </w:p>
    <w:p w14:paraId="185BEFE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供应商应仔细阅读磋商采购文件的所有内容，按磋商采购文件的要求，详细编制磋商响应文件</w:t>
      </w:r>
      <w:r>
        <w:rPr>
          <w:rFonts w:hint="eastAsia" w:ascii="宋体" w:hAnsi="宋体" w:cs="宋体"/>
          <w:color w:val="auto"/>
          <w:sz w:val="24"/>
          <w:highlight w:val="none"/>
        </w:rPr>
        <w:t>。</w:t>
      </w:r>
      <w:r>
        <w:rPr>
          <w:rFonts w:hint="eastAsia" w:ascii="宋体" w:hAnsi="宋体" w:cs="宋体"/>
          <w:b/>
          <w:bCs/>
          <w:color w:val="auto"/>
          <w:sz w:val="24"/>
          <w:highlight w:val="none"/>
        </w:rPr>
        <w:t>具体包含的内容及组成以政采云电子交易客户端为准。</w:t>
      </w:r>
    </w:p>
    <w:p w14:paraId="548F9286">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▲1、资格证明内容的组成：</w:t>
      </w:r>
    </w:p>
    <w:p w14:paraId="4BB0B490">
      <w:pPr>
        <w:numPr>
          <w:ilvl w:val="0"/>
          <w:numId w:val="5"/>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磋商声明书</w:t>
      </w:r>
      <w:r>
        <w:rPr>
          <w:rFonts w:hint="eastAsia" w:ascii="宋体" w:hAnsi="宋体"/>
          <w:color w:val="auto"/>
          <w:sz w:val="24"/>
          <w:highlight w:val="none"/>
        </w:rPr>
        <w:t>（详见附件）</w:t>
      </w:r>
      <w:r>
        <w:rPr>
          <w:rFonts w:hint="eastAsia" w:ascii="宋体" w:hAnsi="宋体" w:cs="宋体"/>
          <w:color w:val="auto"/>
          <w:sz w:val="24"/>
          <w:highlight w:val="none"/>
        </w:rPr>
        <w:t>；</w:t>
      </w:r>
    </w:p>
    <w:p w14:paraId="7BEB8B95">
      <w:pPr>
        <w:numPr>
          <w:ilvl w:val="0"/>
          <w:numId w:val="5"/>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安全生产许可证；</w:t>
      </w:r>
    </w:p>
    <w:p w14:paraId="5C6045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）授权委托书（法定代表人亲自办理投标事宜的，则无需提交)；</w:t>
      </w:r>
    </w:p>
    <w:p w14:paraId="550315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）法人或者其他组织的营业执照等证明文件； </w:t>
      </w:r>
    </w:p>
    <w:p w14:paraId="18DABE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olor w:val="auto"/>
          <w:sz w:val="24"/>
          <w:highlight w:val="none"/>
          <w:lang w:val="zh-CN"/>
        </w:rPr>
        <w:t>符合参与政府采购活动的资格条件、具备良好的商业信誉和健全的财务会计制度并且没有税收缴纳、社会保障等方面的失信记录的承诺函</w:t>
      </w:r>
      <w:r>
        <w:rPr>
          <w:rFonts w:hint="eastAsia" w:ascii="宋体" w:hAnsi="宋体"/>
          <w:color w:val="auto"/>
          <w:sz w:val="24"/>
          <w:highlight w:val="none"/>
        </w:rPr>
        <w:t>（详见附件）</w:t>
      </w:r>
      <w:r>
        <w:rPr>
          <w:rFonts w:hint="eastAsia" w:ascii="宋体" w:hAnsi="宋体" w:cs="宋体"/>
          <w:color w:val="auto"/>
          <w:sz w:val="24"/>
          <w:highlight w:val="none"/>
        </w:rPr>
        <w:t>；</w:t>
      </w:r>
    </w:p>
    <w:p w14:paraId="581FC0DA">
      <w:pPr>
        <w:snapToGrid w:val="0"/>
        <w:spacing w:line="360" w:lineRule="auto"/>
        <w:ind w:right="-197" w:rightChars="-94"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）具有履行合同所必需的场地、设备和专业技术能力的承诺函（详见附件）；</w:t>
      </w:r>
    </w:p>
    <w:p w14:paraId="1FB87B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）磋商供应商没有失信记录承诺函（详见附件）；</w:t>
      </w:r>
    </w:p>
    <w:p w14:paraId="374405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）项目负责人无在建工程承诺函（详见附件）</w:t>
      </w:r>
    </w:p>
    <w:p w14:paraId="063BBB2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）落实政府采购政策需满足资格要求声明函等[提供中小企业声明函（详见格式附件）或残疾人福利性单位声明函（详见格式附件）或监狱企业证明文件]</w:t>
      </w:r>
      <w:r>
        <w:rPr>
          <w:rFonts w:hint="eastAsia" w:ascii="宋体" w:hAnsi="宋体" w:cs="宋体"/>
          <w:color w:val="auto"/>
          <w:kern w:val="0"/>
          <w:sz w:val="24"/>
          <w:highlight w:val="none"/>
          <w:lang w:eastAsia="zh-CN"/>
        </w:rPr>
        <w:t>；</w:t>
      </w:r>
    </w:p>
    <w:p w14:paraId="09AEB4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）提供水利水电工程施工总承包二级及以上资质（包含仍在有效期范围内的水利水电工程施工总承包三级资质</w:t>
      </w:r>
      <w:r>
        <w:rPr>
          <w:rFonts w:hint="eastAsia" w:ascii="宋体" w:hAnsi="宋体" w:cs="宋体"/>
          <w:color w:val="auto"/>
          <w:sz w:val="24"/>
          <w:highlight w:val="none"/>
          <w:lang w:eastAsia="zh-CN"/>
        </w:rPr>
        <w:t>证书复印件</w:t>
      </w:r>
      <w:r>
        <w:rPr>
          <w:rFonts w:hint="eastAsia" w:ascii="宋体" w:hAnsi="宋体" w:cs="宋体"/>
          <w:color w:val="auto"/>
          <w:sz w:val="24"/>
          <w:highlight w:val="none"/>
        </w:rPr>
        <w:t>或证明资料扫描件（投标供应商特定条件中有要求的必须提供</w:t>
      </w:r>
      <w:r>
        <w:rPr>
          <w:rFonts w:hint="eastAsia" w:ascii="宋体" w:hAnsi="宋体" w:eastAsia="宋体" w:cs="Times New Roman"/>
          <w:color w:val="auto"/>
          <w:sz w:val="24"/>
          <w:highlight w:val="none"/>
          <w:lang w:eastAsia="zh-CN"/>
        </w:rPr>
        <w:t>，</w:t>
      </w:r>
      <w:r>
        <w:rPr>
          <w:rFonts w:hint="eastAsia" w:ascii="宋体" w:hAnsi="宋体" w:eastAsia="宋体" w:cs="Times New Roman"/>
          <w:b/>
          <w:bCs/>
          <w:color w:val="auto"/>
          <w:sz w:val="24"/>
          <w:highlight w:val="none"/>
          <w:lang w:eastAsia="zh-CN"/>
        </w:rPr>
        <w:t>其中参与投标资质的“</w:t>
      </w:r>
      <w:r>
        <w:rPr>
          <w:rFonts w:hint="eastAsia" w:ascii="宋体" w:hAnsi="宋体" w:eastAsia="宋体" w:cs="Times New Roman"/>
          <w:b/>
          <w:bCs/>
          <w:color w:val="auto"/>
          <w:sz w:val="24"/>
          <w:highlight w:val="none"/>
          <w:lang w:val="en-US" w:eastAsia="zh-CN"/>
        </w:rPr>
        <w:t>资质动态核查结果证明”的</w:t>
      </w:r>
      <w:r>
        <w:rPr>
          <w:rFonts w:hint="eastAsia" w:ascii="宋体" w:hAnsi="宋体" w:eastAsia="宋体" w:cs="Times New Roman"/>
          <w:b/>
          <w:bCs/>
          <w:color w:val="auto"/>
          <w:sz w:val="24"/>
          <w:highlight w:val="none"/>
          <w:lang w:eastAsia="zh-CN"/>
        </w:rPr>
        <w:t>核查发布日期须为</w:t>
      </w:r>
      <w:r>
        <w:rPr>
          <w:rFonts w:hint="eastAsia" w:ascii="宋体" w:hAnsi="宋体" w:cs="Times New Roman"/>
          <w:b/>
          <w:bCs/>
          <w:color w:val="auto"/>
          <w:sz w:val="24"/>
          <w:highlight w:val="none"/>
          <w:lang w:val="en-US" w:eastAsia="zh-CN"/>
        </w:rPr>
        <w:t>投标截止日前一周</w:t>
      </w:r>
      <w:r>
        <w:rPr>
          <w:rFonts w:hint="eastAsia" w:ascii="宋体" w:hAnsi="宋体" w:eastAsia="宋体" w:cs="Times New Roman"/>
          <w:b/>
          <w:bCs/>
          <w:color w:val="auto"/>
          <w:sz w:val="24"/>
          <w:highlight w:val="none"/>
          <w:lang w:eastAsia="zh-CN"/>
        </w:rPr>
        <w:t>，否则投标无效)</w:t>
      </w:r>
      <w:r>
        <w:rPr>
          <w:rFonts w:hint="eastAsia" w:ascii="宋体" w:hAnsi="宋体"/>
          <w:color w:val="auto"/>
          <w:sz w:val="24"/>
          <w:highlight w:val="none"/>
        </w:rPr>
        <w:t>，</w:t>
      </w:r>
      <w:r>
        <w:rPr>
          <w:rFonts w:hint="eastAsia" w:ascii="宋体" w:hAnsi="宋体" w:cs="宋体"/>
          <w:color w:val="auto"/>
          <w:sz w:val="24"/>
          <w:highlight w:val="none"/>
        </w:rPr>
        <w:t>以及需要说明的其他资料；</w:t>
      </w:r>
    </w:p>
    <w:p w14:paraId="7DE6CB7B">
      <w:pPr>
        <w:pStyle w:val="53"/>
        <w:ind w:left="0" w:leftChars="0" w:firstLine="593" w:firstLineChars="246"/>
        <w:rPr>
          <w:rFonts w:hint="eastAsia" w:ascii="宋体" w:hAnsi="宋体" w:cs="宋体"/>
          <w:color w:val="auto"/>
          <w:highlight w:val="none"/>
        </w:rPr>
      </w:pPr>
      <w:r>
        <w:rPr>
          <w:rFonts w:hint="eastAsia" w:ascii="宋体" w:hAnsi="宋体" w:cs="宋体"/>
          <w:color w:val="auto"/>
          <w:highlight w:val="none"/>
        </w:rPr>
        <w:t>2、商务与技术内容的组成：</w:t>
      </w:r>
    </w:p>
    <w:p w14:paraId="0ABFED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（1）评分索引表（格式见附件）；</w:t>
      </w:r>
    </w:p>
    <w:p w14:paraId="5FC8F49B">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投标函（格式见附件）；</w:t>
      </w:r>
    </w:p>
    <w:p w14:paraId="40A378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）供应商基本情况表（详见附件）；</w:t>
      </w:r>
    </w:p>
    <w:p w14:paraId="4C1ED4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）证书、证明材料一览表（详见附件）；</w:t>
      </w:r>
    </w:p>
    <w:p w14:paraId="0F77EC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）项目组成员一览表（详见附件）；</w:t>
      </w:r>
    </w:p>
    <w:p w14:paraId="4BB301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）类似项目实施情况一览表（详见附件）；</w:t>
      </w:r>
    </w:p>
    <w:p w14:paraId="6DF2C22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）其余内容根据评标办法自拟（详见附件）</w:t>
      </w:r>
      <w:r>
        <w:rPr>
          <w:rFonts w:hint="eastAsia" w:ascii="宋体" w:hAnsi="宋体" w:cs="宋体"/>
          <w:color w:val="auto"/>
          <w:kern w:val="0"/>
          <w:sz w:val="24"/>
          <w:highlight w:val="none"/>
        </w:rPr>
        <w:t>；</w:t>
      </w:r>
    </w:p>
    <w:p w14:paraId="0436E33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）投标人认为需要提供的其他资料</w:t>
      </w:r>
      <w:r>
        <w:rPr>
          <w:rFonts w:hint="eastAsia" w:ascii="宋体" w:hAnsi="宋体" w:cs="宋体"/>
          <w:color w:val="auto"/>
          <w:kern w:val="0"/>
          <w:sz w:val="24"/>
          <w:highlight w:val="none"/>
        </w:rPr>
        <w:t>。</w:t>
      </w:r>
    </w:p>
    <w:p w14:paraId="3993EE9B">
      <w:pPr>
        <w:pStyle w:val="7"/>
        <w:widowControl/>
        <w:adjustRightInd w:val="0"/>
        <w:snapToGrid w:val="0"/>
        <w:spacing w:line="360" w:lineRule="auto"/>
        <w:ind w:left="218" w:leftChars="104" w:firstLine="482" w:firstLineChars="200"/>
        <w:rPr>
          <w:rFonts w:ascii="宋体" w:hAnsi="宋体" w:cs="宋体"/>
          <w:color w:val="auto"/>
          <w:sz w:val="24"/>
          <w:szCs w:val="24"/>
          <w:highlight w:val="none"/>
        </w:rPr>
      </w:pPr>
      <w:r>
        <w:rPr>
          <w:rFonts w:hint="eastAsia" w:ascii="宋体" w:hAnsi="宋体" w:cs="宋体"/>
          <w:b/>
          <w:color w:val="auto"/>
          <w:kern w:val="0"/>
          <w:sz w:val="24"/>
          <w:highlight w:val="none"/>
        </w:rPr>
        <w:t>招标需求中要求提供的相关证明材料及根据评标办法提供的证明材料均需在磋商响应文件中提供扫描件。</w:t>
      </w:r>
    </w:p>
    <w:p w14:paraId="6E907023">
      <w:pPr>
        <w:autoSpaceDE w:val="0"/>
        <w:autoSpaceDN w:val="0"/>
        <w:adjustRightInd w:val="0"/>
        <w:spacing w:line="360" w:lineRule="auto"/>
        <w:ind w:left="426" w:firstLine="65" w:firstLineChars="27"/>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3、报价内容的组成</w:t>
      </w:r>
    </w:p>
    <w:p w14:paraId="148C26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（1）首次报价一览表（详见附件）；</w:t>
      </w:r>
    </w:p>
    <w:p w14:paraId="2753FEE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b/>
          <w:color w:val="auto"/>
          <w:sz w:val="24"/>
          <w:highlight w:val="none"/>
        </w:rPr>
        <w:t>▲</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296D508E">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②</w:t>
      </w:r>
      <w:r>
        <w:rPr>
          <w:rFonts w:hint="eastAsia" w:ascii="宋体" w:hAnsi="宋体"/>
          <w:color w:val="auto"/>
          <w:kern w:val="0"/>
          <w:sz w:val="24"/>
          <w:highlight w:val="none"/>
          <w:lang w:val="zh-CN"/>
        </w:rPr>
        <w:t>报价应当是完全履行招标内容及要求的价格体现，报价中须包含工程直接费、施工设备、机械进退场费、运输、劳务、管理、材料、安装、安全文明、维护、技术措施费、施工组织措施费、风险费、保险、利润、规费、税金、政策性文件、采购代理费等其他费用，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93CF1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否则修改无效</w:t>
      </w:r>
      <w:r>
        <w:rPr>
          <w:rFonts w:hint="eastAsia" w:ascii="宋体" w:hAnsi="宋体" w:cs="宋体"/>
          <w:color w:val="auto"/>
          <w:kern w:val="0"/>
          <w:sz w:val="24"/>
          <w:highlight w:val="none"/>
        </w:rPr>
        <w:t>。由于字迹模糊或表达不清引起的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271541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3DC77F51">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63700328">
      <w:pPr>
        <w:numPr>
          <w:ilvl w:val="0"/>
          <w:numId w:val="6"/>
        </w:numPr>
        <w:snapToGrid w:val="0"/>
        <w:spacing w:line="360" w:lineRule="auto"/>
        <w:rPr>
          <w:rFonts w:ascii="宋体" w:hAnsi="宋体" w:cs="宋体"/>
          <w:color w:val="auto"/>
          <w:sz w:val="24"/>
          <w:highlight w:val="none"/>
          <w:lang w:val="zh-CN"/>
        </w:rPr>
      </w:pPr>
      <w:r>
        <w:rPr>
          <w:rFonts w:hint="eastAsia" w:ascii="宋体" w:hAnsi="宋体" w:cs="宋体"/>
          <w:b/>
          <w:bCs/>
          <w:color w:val="auto"/>
          <w:kern w:val="0"/>
          <w:sz w:val="24"/>
          <w:highlight w:val="none"/>
        </w:rPr>
        <w:t>磋商响应文件的制作及递交要求</w:t>
      </w:r>
    </w:p>
    <w:p w14:paraId="4C970703">
      <w:pPr>
        <w:autoSpaceDE w:val="0"/>
        <w:autoSpaceDN w:val="0"/>
        <w:adjustRightIn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38DFD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79051F01">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187B7E2C">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（3）本文件《第六部分  应提交的有关格式范例》中有提供格式的，投标供应商须参照格式进行编制（格式中要求提供相关证明材料的还需后附相关证明材料），并按格式要求在指定位置根据要求进行签章，否则视为未提供</w:t>
      </w:r>
      <w:r>
        <w:rPr>
          <w:rFonts w:hint="eastAsia" w:ascii="宋体" w:hAnsi="宋体" w:cs="宋体"/>
          <w:bCs/>
          <w:color w:val="auto"/>
          <w:sz w:val="24"/>
          <w:highlight w:val="none"/>
          <w:lang w:eastAsia="zh-CN"/>
        </w:rPr>
        <w:t>，</w:t>
      </w:r>
      <w:r>
        <w:rPr>
          <w:rFonts w:hint="eastAsia" w:ascii="宋体" w:cs="宋体"/>
          <w:b/>
          <w:bCs w:val="0"/>
          <w:color w:val="auto"/>
          <w:sz w:val="24"/>
          <w:highlight w:val="none"/>
        </w:rPr>
        <w:t>▲</w:t>
      </w:r>
      <w:r>
        <w:rPr>
          <w:rFonts w:ascii="宋体"/>
          <w:b/>
          <w:bCs w:val="0"/>
          <w:color w:val="auto"/>
          <w:sz w:val="24"/>
          <w:highlight w:val="none"/>
        </w:rPr>
        <w:t>如该文件未提供将影响投标有效性的，则视为投标无效</w:t>
      </w:r>
      <w:r>
        <w:rPr>
          <w:rFonts w:hint="eastAsia" w:ascii="宋体" w:hAnsi="宋体" w:cs="宋体"/>
          <w:bCs/>
          <w:color w:val="auto"/>
          <w:sz w:val="24"/>
          <w:highlight w:val="none"/>
        </w:rPr>
        <w:t>；本文件《第六部分  应提交的有关格式范例》未提供格式的，请各投标单位自行拟定格式</w:t>
      </w:r>
      <w:r>
        <w:rPr>
          <w:rFonts w:hint="eastAsia" w:ascii="宋体" w:hAnsi="宋体" w:cs="宋体"/>
          <w:color w:val="auto"/>
          <w:sz w:val="24"/>
          <w:highlight w:val="none"/>
        </w:rPr>
        <w:t>。</w:t>
      </w:r>
    </w:p>
    <w:p w14:paraId="00D86C53">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6E52AB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color w:val="auto"/>
          <w:sz w:val="24"/>
          <w:highlight w:val="none"/>
          <w:lang w:eastAsia="zh-CN"/>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hAnsi="宋体" w:cs="宋体"/>
          <w:color w:val="auto"/>
          <w:sz w:val="24"/>
          <w:highlight w:val="none"/>
          <w:lang w:eastAsia="zh-CN"/>
        </w:rPr>
        <w:t>，</w:t>
      </w:r>
      <w:r>
        <w:rPr>
          <w:rFonts w:ascii="宋体"/>
          <w:b/>
          <w:bCs w:val="0"/>
          <w:color w:val="auto"/>
          <w:sz w:val="24"/>
          <w:highlight w:val="none"/>
        </w:rPr>
        <w:t>如该文件未提供将影响投标有效性的，则视为投标无效</w:t>
      </w:r>
      <w:r>
        <w:rPr>
          <w:rFonts w:hint="eastAsia" w:ascii="宋体" w:hAnsi="宋体" w:cs="宋体"/>
          <w:color w:val="auto"/>
          <w:sz w:val="24"/>
          <w:highlight w:val="none"/>
        </w:rPr>
        <w:t>。</w:t>
      </w:r>
    </w:p>
    <w:p w14:paraId="2E235C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7E3EFF13">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2B2BDC31">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651A8365">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493A1897">
      <w:pPr>
        <w:spacing w:line="360" w:lineRule="auto"/>
        <w:ind w:firstLine="460" w:firstLineChars="192"/>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r>
        <w:rPr>
          <w:rFonts w:hint="eastAsia" w:ascii="宋体" w:hAnsi="宋体" w:cs="宋体"/>
          <w:bCs/>
          <w:color w:val="auto"/>
          <w:sz w:val="24"/>
          <w:highlight w:val="none"/>
          <w:lang w:val="en-US" w:eastAsia="zh-CN"/>
        </w:rPr>
        <w:t xml:space="preserve"> ；</w:t>
      </w:r>
    </w:p>
    <w:p w14:paraId="18E0957C">
      <w:pPr>
        <w:spacing w:line="360" w:lineRule="auto"/>
        <w:ind w:firstLine="210" w:firstLineChars="100"/>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r>
        <w:rPr>
          <w:rFonts w:hint="eastAsia" w:ascii="宋体" w:eastAsia="宋体" w:cs="Arial"/>
          <w:b/>
          <w:color w:val="auto"/>
          <w:kern w:val="0"/>
          <w:sz w:val="24"/>
          <w:szCs w:val="24"/>
          <w:highlight w:val="none"/>
          <w:lang w:val="zh-CN"/>
        </w:rPr>
        <w:t>，</w:t>
      </w:r>
      <w:r>
        <w:rPr>
          <w:rFonts w:ascii="宋体"/>
          <w:b/>
          <w:bCs w:val="0"/>
          <w:color w:val="auto"/>
          <w:sz w:val="24"/>
          <w:highlight w:val="none"/>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2596B9B2">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67C0D390">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6FC84AD4">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p>
    <w:p w14:paraId="32A8663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473181F0">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Cs/>
          <w:color w:val="auto"/>
          <w:sz w:val="24"/>
          <w:highlight w:val="none"/>
        </w:rPr>
        <w:t>其他方式编制的“备份投标文件”视为无效的“备份投标文件”。</w:t>
      </w:r>
    </w:p>
    <w:p w14:paraId="151EDAF4">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40B366BC">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335D8515">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4E17F2FB">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0C81423">
      <w:pPr>
        <w:numPr>
          <w:ilvl w:val="0"/>
          <w:numId w:val="7"/>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387D7144">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2B50CF45">
      <w:pPr>
        <w:pStyle w:val="6"/>
        <w:widowControl w:val="0"/>
        <w:numPr>
          <w:ilvl w:val="0"/>
          <w:numId w:val="0"/>
        </w:numPr>
        <w:tabs>
          <w:tab w:val="left" w:pos="0"/>
          <w:tab w:val="left" w:pos="720"/>
          <w:tab w:val="left" w:pos="899"/>
          <w:tab w:val="left" w:pos="1200"/>
        </w:tabs>
        <w:snapToGrid w:val="0"/>
        <w:spacing w:afterLines="0" w:line="360" w:lineRule="auto"/>
        <w:ind w:firstLine="480" w:firstLineChars="200"/>
        <w:rPr>
          <w:rFonts w:ascii="宋体" w:hAnsi="宋体" w:cs="宋体"/>
          <w:color w:val="auto"/>
          <w:sz w:val="24"/>
          <w:szCs w:val="24"/>
          <w:highlight w:val="none"/>
          <w:lang w:val="en-GB"/>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GB"/>
        </w:rPr>
        <w:t>自磋商响应截止日起90天磋商响应文件应保持有效。有效期不足的磋商响应文件将被拒绝。</w:t>
      </w:r>
    </w:p>
    <w:p w14:paraId="7C620958">
      <w:pPr>
        <w:pStyle w:val="6"/>
        <w:widowControl w:val="0"/>
        <w:numPr>
          <w:ilvl w:val="0"/>
          <w:numId w:val="0"/>
        </w:numPr>
        <w:tabs>
          <w:tab w:val="left" w:pos="0"/>
          <w:tab w:val="left" w:pos="720"/>
          <w:tab w:val="left" w:pos="899"/>
          <w:tab w:val="left" w:pos="1200"/>
        </w:tabs>
        <w:snapToGrid w:val="0"/>
        <w:spacing w:afterLines="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2、在特殊情况下，采购人可与磋商供应商协商延长磋商响应文件的有效期，这种要求和答复均以书面形式进行。</w:t>
      </w:r>
    </w:p>
    <w:p w14:paraId="156CAE63">
      <w:pPr>
        <w:pStyle w:val="6"/>
        <w:widowControl w:val="0"/>
        <w:numPr>
          <w:ilvl w:val="0"/>
          <w:numId w:val="0"/>
        </w:numPr>
        <w:tabs>
          <w:tab w:val="left" w:pos="0"/>
          <w:tab w:val="left" w:pos="425"/>
          <w:tab w:val="left" w:pos="720"/>
          <w:tab w:val="left" w:pos="899"/>
          <w:tab w:val="left" w:pos="1200"/>
        </w:tabs>
        <w:snapToGrid w:val="0"/>
        <w:spacing w:afterLines="0"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 xml:space="preserve">3、磋商供应商可拒绝接受延期要求。同意延长有效期的磋商供应商不能修改磋商响应文件。 </w:t>
      </w:r>
    </w:p>
    <w:p w14:paraId="06D9DDD8">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color w:val="auto"/>
          <w:sz w:val="24"/>
          <w:szCs w:val="24"/>
          <w:highlight w:val="none"/>
        </w:rPr>
        <w:t>▲</w:t>
      </w:r>
      <w:r>
        <w:rPr>
          <w:rFonts w:hint="eastAsia" w:ascii="宋体" w:hAnsi="宋体" w:cs="宋体"/>
          <w:color w:val="auto"/>
          <w:kern w:val="0"/>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成交供应商的</w:t>
      </w:r>
      <w:r>
        <w:rPr>
          <w:rFonts w:hint="eastAsia" w:ascii="宋体" w:hAnsi="宋体" w:cs="宋体"/>
          <w:color w:val="auto"/>
          <w:sz w:val="24"/>
          <w:szCs w:val="24"/>
          <w:highlight w:val="none"/>
        </w:rPr>
        <w:t>磋商响应文件</w:t>
      </w:r>
      <w:r>
        <w:rPr>
          <w:rFonts w:hint="eastAsia" w:ascii="宋体" w:hAnsi="宋体" w:cs="宋体"/>
          <w:color w:val="auto"/>
          <w:kern w:val="0"/>
          <w:sz w:val="24"/>
          <w:szCs w:val="24"/>
          <w:highlight w:val="none"/>
        </w:rPr>
        <w:t>自磋商之</w:t>
      </w:r>
      <w:r>
        <w:rPr>
          <w:rFonts w:hint="eastAsia" w:ascii="宋体" w:hAnsi="宋体" w:cs="宋体"/>
          <w:color w:val="auto"/>
          <w:kern w:val="0"/>
          <w:sz w:val="24"/>
          <w:highlight w:val="none"/>
        </w:rPr>
        <w:t>日起至合同履行完毕均应保持有效。</w:t>
      </w:r>
    </w:p>
    <w:p w14:paraId="6CCAADD1">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5AFF3346">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01B194D6">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三、磋商保证金</w:t>
      </w:r>
    </w:p>
    <w:p w14:paraId="70B56400">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kern w:val="0"/>
          <w:sz w:val="24"/>
          <w:highlight w:val="none"/>
        </w:rPr>
        <w:t>无</w:t>
      </w:r>
    </w:p>
    <w:p w14:paraId="3FF28AD6">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0F7EB2DF">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1BDD5F92">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6F5774E8">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1D6AD395">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B05C7B0">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color w:val="auto"/>
          <w:kern w:val="0"/>
          <w:sz w:val="24"/>
          <w:highlight w:val="none"/>
          <w:lang w:val="en-US" w:eastAsia="zh-CN"/>
        </w:rPr>
        <w:t>zjtzxcx@163.com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7E80EC5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752D37C4">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0ABC5F9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5DC74C1A">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78C9DFC4">
      <w:pPr>
        <w:spacing w:line="360" w:lineRule="auto"/>
        <w:ind w:firstLine="424" w:firstLineChars="177"/>
        <w:jc w:val="left"/>
        <w:rPr>
          <w:rFonts w:hint="eastAsia" w:ascii="宋体" w:hAnsi="宋体" w:eastAsia="宋体" w:cs="Arial"/>
          <w:b/>
          <w:color w:val="auto"/>
          <w:kern w:val="0"/>
          <w:sz w:val="24"/>
          <w:highlight w:val="none"/>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r>
        <w:rPr>
          <w:rFonts w:hint="eastAsia" w:ascii="宋体" w:hAnsi="宋体" w:eastAsia="宋体" w:cs="Arial"/>
          <w:b/>
          <w:color w:val="auto"/>
          <w:kern w:val="0"/>
          <w:sz w:val="24"/>
          <w:highlight w:val="none"/>
        </w:rPr>
        <w:t>最后报价是供应商响应文件的有效组成部分。</w:t>
      </w:r>
      <w:r>
        <w:rPr>
          <w:rFonts w:hint="eastAsia" w:ascii="宋体" w:hAnsi="宋体" w:cs="Arial"/>
          <w:b/>
          <w:color w:val="auto"/>
          <w:kern w:val="0"/>
          <w:sz w:val="24"/>
          <w:highlight w:val="none"/>
          <w:lang w:eastAsia="zh-CN"/>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p>
    <w:p w14:paraId="4614BD47">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color w:val="auto"/>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4718F2BD">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4D328EA9">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5DB9CA1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3AD5E41D">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7D45F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color w:val="auto"/>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67AEC90D">
      <w:pPr>
        <w:pStyle w:val="14"/>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548CD2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C844BE7">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0050998E">
      <w:pPr>
        <w:pStyle w:val="20"/>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5CF29541">
      <w:pPr>
        <w:pStyle w:val="20"/>
        <w:spacing w:before="0" w:beforeAutospacing="0" w:after="0" w:afterAutospacing="0" w:line="360" w:lineRule="auto"/>
        <w:ind w:firstLine="465"/>
        <w:jc w:val="both"/>
        <w:rPr>
          <w:rFonts w:ascii="宋体" w:hAnsi="宋体" w:cs="宋体"/>
          <w:color w:val="auto"/>
          <w:highlight w:val="none"/>
        </w:rPr>
      </w:pPr>
      <w:r>
        <w:rPr>
          <w:rFonts w:ascii="宋体" w:hAnsi="宋体" w:cs="宋体"/>
          <w:color w:val="auto"/>
          <w:highlight w:val="none"/>
        </w:rPr>
        <w:t>1、</w:t>
      </w:r>
      <w:r>
        <w:rPr>
          <w:color w:val="auto"/>
          <w:highlight w:val="none"/>
        </w:rPr>
        <w:t>政采云平台上开启的投标报价与电子投标文件中报价一览表（报价表）内容不一致的，以电子投标文件中报价一览表（报价表）为准；</w:t>
      </w:r>
    </w:p>
    <w:p w14:paraId="2499FEA7">
      <w:pPr>
        <w:pStyle w:val="20"/>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磋商响应文件中首次报价一览表内容与磋商响应文件中相应内容不一致的，以首次报价一览表为准；</w:t>
      </w:r>
    </w:p>
    <w:p w14:paraId="246E1638">
      <w:pPr>
        <w:pStyle w:val="20"/>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3</w:t>
      </w:r>
      <w:r>
        <w:rPr>
          <w:rFonts w:ascii="宋体" w:hAnsi="宋体" w:cs="宋体"/>
          <w:color w:val="auto"/>
          <w:highlight w:val="none"/>
        </w:rPr>
        <w:t>、大写金额和小写金额不一致的，以大写金额为准；</w:t>
      </w:r>
    </w:p>
    <w:p w14:paraId="4C3AA6A3">
      <w:pPr>
        <w:pStyle w:val="20"/>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4</w:t>
      </w:r>
      <w:r>
        <w:rPr>
          <w:rFonts w:ascii="宋体" w:hAnsi="宋体" w:cs="宋体"/>
          <w:color w:val="auto"/>
          <w:highlight w:val="none"/>
        </w:rPr>
        <w:t>、单价金额小数点或者百分比有明显错位的，以首次报价一览表的总价为准，并修改单价；</w:t>
      </w:r>
    </w:p>
    <w:p w14:paraId="615E270C">
      <w:pPr>
        <w:pStyle w:val="20"/>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5</w:t>
      </w:r>
      <w:r>
        <w:rPr>
          <w:rFonts w:ascii="宋体" w:hAnsi="宋体" w:cs="宋体"/>
          <w:color w:val="auto"/>
          <w:highlight w:val="none"/>
        </w:rPr>
        <w:t>、总价金额与按单价汇总金额不一致的，以单价金额计算结果为准。</w:t>
      </w:r>
    </w:p>
    <w:p w14:paraId="4E991307">
      <w:pPr>
        <w:pStyle w:val="20"/>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color w:val="auto"/>
          <w:highlight w:val="none"/>
        </w:rPr>
        <w:t>或在规定的时间内未能有效澄清</w:t>
      </w:r>
      <w:r>
        <w:rPr>
          <w:rFonts w:ascii="宋体" w:hAnsi="宋体" w:cs="宋体"/>
          <w:color w:val="auto"/>
          <w:highlight w:val="none"/>
        </w:rPr>
        <w:t>的，将终止磋商。</w:t>
      </w:r>
    </w:p>
    <w:p w14:paraId="092C9BF7">
      <w:pPr>
        <w:pStyle w:val="20"/>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1BEE4942">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跟商务与技术内容中的</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出现重大偏差的；</w:t>
      </w:r>
    </w:p>
    <w:p w14:paraId="00C537A9">
      <w:pPr>
        <w:pStyle w:val="20"/>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4FCD7E7D">
      <w:pPr>
        <w:pStyle w:val="20"/>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3BE4F793">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66FB9808">
      <w:pPr>
        <w:pStyle w:val="20"/>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217AFC2">
      <w:pPr>
        <w:pStyle w:val="20"/>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6、报价超过磋商采购文件中规定的预算金额/最高限（单）价。</w:t>
      </w:r>
    </w:p>
    <w:p w14:paraId="5FAF1379">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7、磋商参数未如实填写的。</w:t>
      </w:r>
    </w:p>
    <w:p w14:paraId="0DCBF0DB">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8、磋商响应文件提供虚假材料的。</w:t>
      </w:r>
    </w:p>
    <w:p w14:paraId="298213F6">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不同供应商的磋商响应文件由同一单位或者个人编制；</w:t>
      </w:r>
    </w:p>
    <w:p w14:paraId="1C96E9D7">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10、不同供应商委托同一单位或者个人办理磋商事宜；</w:t>
      </w:r>
    </w:p>
    <w:p w14:paraId="1878D8EB">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11、不同供应商的磋商响应文件载明的项目管理成员或者联系人员为同一人；</w:t>
      </w:r>
    </w:p>
    <w:p w14:paraId="3F663F92">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12、不同供应商的磋商响应文件异常一致或者报价呈规律性差异；</w:t>
      </w:r>
    </w:p>
    <w:p w14:paraId="0BB0FD57">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13、不同供应商的磋商响应文件相互混装；</w:t>
      </w:r>
    </w:p>
    <w:p w14:paraId="333A837A">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14、不符合法律、法规和磋商采购文件中规定的其他实质性要求的（磋商采购文件中打“▲”内容及被拒绝的条款）。</w:t>
      </w:r>
    </w:p>
    <w:p w14:paraId="660C8B62">
      <w:pPr>
        <w:pStyle w:val="2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15、</w:t>
      </w:r>
      <w:r>
        <w:rPr>
          <w:rFonts w:ascii="宋体" w:hAnsi="宋体" w:cs="宋体"/>
          <w:b/>
          <w:bCs/>
          <w:color w:val="auto"/>
          <w:highlight w:val="none"/>
        </w:rPr>
        <w:t>仅提交“备份投标文件”或电子磋商响应文件未按时完成解密，又未提供备份电子磋商响应文件的；</w:t>
      </w:r>
    </w:p>
    <w:p w14:paraId="08319EE7">
      <w:pPr>
        <w:autoSpaceDE w:val="0"/>
        <w:autoSpaceDN w:val="0"/>
        <w:adjustRightIn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（六）有下列情况之一的，本次磋商终止。</w:t>
      </w:r>
    </w:p>
    <w:p w14:paraId="08BEDC2D">
      <w:pPr>
        <w:pStyle w:val="20"/>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7CB0FC69">
      <w:pPr>
        <w:pStyle w:val="20"/>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12E97B22">
      <w:pPr>
        <w:pStyle w:val="20"/>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4EE838E1">
      <w:pPr>
        <w:pStyle w:val="20"/>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1724BC4E">
      <w:pPr>
        <w:pStyle w:val="20"/>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5A4BC5B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19E8E81E">
      <w:pPr>
        <w:pStyle w:val="14"/>
        <w:snapToGrid w:val="0"/>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F23F76D">
      <w:pPr>
        <w:pStyle w:val="14"/>
        <w:snapToGrid w:val="0"/>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2、磋商办法。具体磋商内容及评分标准等详见《第三章：评审方法及评分标准》。</w:t>
      </w:r>
    </w:p>
    <w:p w14:paraId="5560EB1A">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4D7B2584">
      <w:pPr>
        <w:pStyle w:val="20"/>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52D20891">
      <w:pPr>
        <w:keepNext w:val="0"/>
        <w:keepLines w:val="0"/>
        <w:pageBreakBefore w:val="0"/>
        <w:kinsoku/>
        <w:wordWrap/>
        <w:overflowPunct/>
        <w:topLinePunct w:val="0"/>
        <w:autoSpaceDE w:val="0"/>
        <w:autoSpaceDN w:val="0"/>
        <w:bidi w:val="0"/>
        <w:adjustRightInd w:val="0"/>
        <w:snapToGrid/>
        <w:spacing w:line="360" w:lineRule="auto"/>
        <w:ind w:left="480"/>
        <w:textAlignment w:val="auto"/>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7DE93B97">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42C63001">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4DC29E18">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608CCB60">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6CE88F1A">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6068F226">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6ED7E04E">
      <w:pPr>
        <w:pStyle w:val="20"/>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36233526">
      <w:pPr>
        <w:pStyle w:val="20"/>
        <w:keepNext w:val="0"/>
        <w:keepLines w:val="0"/>
        <w:pageBreakBefore w:val="0"/>
        <w:kinsoku/>
        <w:wordWrap/>
        <w:overflowPunct/>
        <w:topLinePunct w:val="0"/>
        <w:bidi w:val="0"/>
        <w:snapToGrid/>
        <w:spacing w:before="0" w:beforeAutospacing="0" w:after="0" w:afterAutospacing="0" w:line="360" w:lineRule="auto"/>
        <w:ind w:firstLine="482" w:firstLineChars="200"/>
        <w:jc w:val="both"/>
        <w:textAlignment w:val="auto"/>
        <w:rPr>
          <w:rFonts w:hint="default" w:ascii="宋体" w:hAnsi="宋体" w:cs="宋体"/>
          <w:b/>
          <w:color w:val="auto"/>
          <w:kern w:val="2"/>
          <w:highlight w:val="none"/>
        </w:rPr>
      </w:pPr>
      <w:r>
        <w:rPr>
          <w:rFonts w:ascii="宋体" w:hAnsi="宋体" w:cs="宋体"/>
          <w:b/>
          <w:color w:val="auto"/>
          <w:kern w:val="2"/>
          <w:highlight w:val="none"/>
        </w:rPr>
        <w:t>五、磋商结果确定</w:t>
      </w:r>
    </w:p>
    <w:p w14:paraId="71691C3D">
      <w:pPr>
        <w:pStyle w:val="20"/>
        <w:keepNext w:val="0"/>
        <w:keepLines w:val="0"/>
        <w:pageBreakBefore w:val="0"/>
        <w:kinsoku/>
        <w:wordWrap/>
        <w:overflowPunct/>
        <w:topLinePunct w:val="0"/>
        <w:bidi w:val="0"/>
        <w:snapToGrid/>
        <w:spacing w:before="0" w:beforeAutospacing="0" w:after="0" w:afterAutospacing="0" w:line="360" w:lineRule="auto"/>
        <w:ind w:firstLine="600" w:firstLineChars="250"/>
        <w:jc w:val="both"/>
        <w:textAlignment w:val="auto"/>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5F3417E">
      <w:pPr>
        <w:keepNext w:val="0"/>
        <w:keepLines w:val="0"/>
        <w:pageBreakBefore w:val="0"/>
        <w:kinsoku/>
        <w:wordWrap/>
        <w:overflowPunct/>
        <w:topLinePunct w:val="0"/>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16070CC7">
      <w:pPr>
        <w:keepNext w:val="0"/>
        <w:keepLines w:val="0"/>
        <w:pageBreakBefore w:val="0"/>
        <w:kinsoku/>
        <w:wordWrap/>
        <w:overflowPunct/>
        <w:topLinePunct w:val="0"/>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20C79E14">
      <w:pPr>
        <w:keepNext w:val="0"/>
        <w:keepLines w:val="0"/>
        <w:pageBreakBefore w:val="0"/>
        <w:kinsoku/>
        <w:wordWrap/>
        <w:overflowPunct/>
        <w:topLinePunct w:val="0"/>
        <w:bidi w:val="0"/>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5EF3BD6C">
      <w:pPr>
        <w:pStyle w:val="1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line="360" w:lineRule="auto"/>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（一）签订合同</w:t>
      </w:r>
    </w:p>
    <w:p w14:paraId="2BF45F2F">
      <w:pPr>
        <w:pStyle w:val="1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1、采购人应当自成交通知书发出之日起30日内，按照磋商采购文件确定的合同文本以及采购标的、规格型号、采购金额、采购数量和服务要求等事项签订政府采购合同。</w:t>
      </w:r>
    </w:p>
    <w:p w14:paraId="41D9EF66">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50"/>
        <w:jc w:val="both"/>
        <w:textAlignment w:val="auto"/>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E048B70">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50"/>
        <w:jc w:val="both"/>
        <w:textAlignment w:val="auto"/>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595FCEF0">
      <w:pPr>
        <w:pStyle w:val="20"/>
        <w:keepNext w:val="0"/>
        <w:keepLines w:val="0"/>
        <w:pageBreakBefore w:val="0"/>
        <w:kinsoku/>
        <w:wordWrap/>
        <w:overflowPunct/>
        <w:topLinePunct w:val="0"/>
        <w:bidi w:val="0"/>
        <w:snapToGrid/>
        <w:spacing w:before="0" w:beforeAutospacing="0" w:after="0" w:afterAutospacing="0" w:line="360" w:lineRule="auto"/>
        <w:ind w:firstLine="600" w:firstLineChars="250"/>
        <w:jc w:val="both"/>
        <w:textAlignment w:val="auto"/>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color w:val="auto"/>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4434A9E8">
      <w:pPr>
        <w:pStyle w:val="20"/>
        <w:keepNext w:val="0"/>
        <w:keepLines w:val="0"/>
        <w:pageBreakBefore w:val="0"/>
        <w:kinsoku/>
        <w:wordWrap/>
        <w:overflowPunct/>
        <w:topLinePunct w:val="0"/>
        <w:bidi w:val="0"/>
        <w:snapToGrid/>
        <w:spacing w:before="0" w:beforeAutospacing="0" w:after="0" w:afterAutospacing="0" w:line="360" w:lineRule="auto"/>
        <w:ind w:firstLine="600" w:firstLineChars="250"/>
        <w:jc w:val="both"/>
        <w:textAlignment w:val="auto"/>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276F5E23">
      <w:pPr>
        <w:pStyle w:val="20"/>
        <w:keepNext w:val="0"/>
        <w:keepLines w:val="0"/>
        <w:pageBreakBefore w:val="0"/>
        <w:kinsoku/>
        <w:wordWrap/>
        <w:overflowPunct/>
        <w:topLinePunct w:val="0"/>
        <w:bidi w:val="0"/>
        <w:snapToGrid/>
        <w:spacing w:line="360" w:lineRule="auto"/>
        <w:ind w:firstLine="602" w:firstLineChars="250"/>
        <w:textAlignment w:val="auto"/>
        <w:rPr>
          <w:rFonts w:hint="default" w:ascii="宋体" w:hAnsi="宋体" w:cs="宋体"/>
          <w:b/>
          <w:color w:val="auto"/>
          <w:highlight w:val="none"/>
        </w:rPr>
      </w:pPr>
      <w:r>
        <w:rPr>
          <w:rFonts w:ascii="宋体" w:hAnsi="宋体" w:cs="宋体"/>
          <w:b/>
          <w:color w:val="auto"/>
          <w:highlight w:val="none"/>
        </w:rPr>
        <w:t>（二）合同公告及备案</w:t>
      </w:r>
    </w:p>
    <w:p w14:paraId="339E6C68">
      <w:pPr>
        <w:pStyle w:val="1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1、采购人应当自政府采购合同签订之日起2个工作日内，在省级以上财政部门指定的政府采购信息发布媒体及相关网站上公告。</w:t>
      </w:r>
    </w:p>
    <w:p w14:paraId="48A8ADEF">
      <w:pPr>
        <w:pStyle w:val="1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textAlignment w:val="auto"/>
        <w:rPr>
          <w:rFonts w:ascii="宋体" w:hAnsi="宋体" w:cs="宋体"/>
          <w:b/>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 w:val="24"/>
          <w:szCs w:val="24"/>
          <w:highlight w:val="none"/>
        </w:rPr>
        <w:t>2、采购人应当自政府采购合同签订之日起7个工作日内，将政府采购合同副本报同级人民政府财政部门备案以及采购组织机构存档。</w:t>
      </w:r>
    </w:p>
    <w:p w14:paraId="0D1FEB19">
      <w:pPr>
        <w:pStyle w:val="8"/>
        <w:spacing w:line="360" w:lineRule="auto"/>
        <w:jc w:val="both"/>
        <w:rPr>
          <w:rFonts w:asciiTheme="minorEastAsia" w:hAnsiTheme="minorEastAsia" w:eastAsiaTheme="minorEastAsia"/>
          <w:b/>
          <w:color w:val="auto"/>
          <w:sz w:val="36"/>
          <w:szCs w:val="36"/>
          <w:highlight w:val="none"/>
        </w:rPr>
      </w:pPr>
    </w:p>
    <w:p w14:paraId="1A9EF72D">
      <w:pPr>
        <w:numPr>
          <w:ilvl w:val="0"/>
          <w:numId w:val="3"/>
        </w:numPr>
        <w:spacing w:line="360" w:lineRule="auto"/>
        <w:jc w:val="center"/>
        <w:outlineLvl w:val="0"/>
        <w:rPr>
          <w:rFonts w:asciiTheme="minorEastAsia" w:hAnsiTheme="minorEastAsia" w:eastAsiaTheme="minorEastAsia"/>
          <w:b/>
          <w:color w:val="auto"/>
          <w:sz w:val="36"/>
          <w:szCs w:val="36"/>
          <w:highlight w:val="none"/>
        </w:rPr>
      </w:pPr>
      <w:bookmarkStart w:id="31" w:name="_Toc2964"/>
      <w:r>
        <w:rPr>
          <w:rFonts w:hint="eastAsia" w:asciiTheme="minorEastAsia" w:hAnsiTheme="minorEastAsia" w:eastAsiaTheme="minorEastAsia"/>
          <w:b/>
          <w:color w:val="auto"/>
          <w:sz w:val="36"/>
          <w:szCs w:val="36"/>
          <w:highlight w:val="none"/>
        </w:rPr>
        <w:t>项目需求</w:t>
      </w:r>
      <w:bookmarkEnd w:id="31"/>
    </w:p>
    <w:p w14:paraId="76D37B23">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tbl>
      <w:tblPr>
        <w:tblStyle w:val="2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78"/>
        <w:gridCol w:w="693"/>
        <w:gridCol w:w="811"/>
        <w:gridCol w:w="1281"/>
        <w:gridCol w:w="1412"/>
        <w:gridCol w:w="1412"/>
        <w:gridCol w:w="1467"/>
      </w:tblGrid>
      <w:tr w14:paraId="7610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22" w:type="dxa"/>
            <w:vAlign w:val="center"/>
          </w:tcPr>
          <w:p w14:paraId="395FB7EB">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1778" w:type="dxa"/>
            <w:vAlign w:val="center"/>
          </w:tcPr>
          <w:p w14:paraId="38C87982">
            <w:pPr>
              <w:tabs>
                <w:tab w:val="left" w:pos="8280"/>
              </w:tabs>
              <w:autoSpaceDE w:val="0"/>
              <w:autoSpaceDN w:val="0"/>
              <w:adjustRightInd w:val="0"/>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标项名称</w:t>
            </w:r>
          </w:p>
        </w:tc>
        <w:tc>
          <w:tcPr>
            <w:tcW w:w="693" w:type="dxa"/>
            <w:vAlign w:val="center"/>
          </w:tcPr>
          <w:p w14:paraId="4D97C1BD">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811" w:type="dxa"/>
            <w:vAlign w:val="center"/>
          </w:tcPr>
          <w:p w14:paraId="3ACE0CDA">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81" w:type="dxa"/>
            <w:vAlign w:val="center"/>
          </w:tcPr>
          <w:p w14:paraId="77E183D5">
            <w:pPr>
              <w:tabs>
                <w:tab w:val="left" w:pos="8280"/>
              </w:tabs>
              <w:autoSpaceDE w:val="0"/>
              <w:autoSpaceDN w:val="0"/>
              <w:adjustRightInd w:val="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预算</w:t>
            </w:r>
            <w:r>
              <w:rPr>
                <w:rFonts w:hint="eastAsia" w:ascii="宋体" w:hAnsi="宋体" w:cs="宋体"/>
                <w:b/>
                <w:bCs/>
                <w:color w:val="auto"/>
                <w:kern w:val="0"/>
                <w:sz w:val="24"/>
                <w:highlight w:val="none"/>
              </w:rPr>
              <w:t>价</w:t>
            </w:r>
          </w:p>
          <w:p w14:paraId="0DA38E59">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412" w:type="dxa"/>
            <w:vAlign w:val="center"/>
          </w:tcPr>
          <w:p w14:paraId="3D904384">
            <w:pPr>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最高投标限价</w:t>
            </w:r>
          </w:p>
          <w:p w14:paraId="2936F549">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（万元）</w:t>
            </w:r>
          </w:p>
        </w:tc>
        <w:tc>
          <w:tcPr>
            <w:tcW w:w="1412" w:type="dxa"/>
            <w:vAlign w:val="center"/>
          </w:tcPr>
          <w:p w14:paraId="61A20AFC">
            <w:pPr>
              <w:jc w:val="center"/>
              <w:rPr>
                <w:rFonts w:ascii="宋体" w:hAnsi="宋体" w:cs="宋体"/>
                <w:b/>
                <w:color w:val="auto"/>
                <w:sz w:val="24"/>
                <w:highlight w:val="none"/>
              </w:rPr>
            </w:pPr>
            <w:r>
              <w:rPr>
                <w:rFonts w:hint="eastAsia" w:ascii="宋体" w:hAnsi="宋体" w:cs="宋体"/>
                <w:b/>
                <w:color w:val="auto"/>
                <w:sz w:val="24"/>
                <w:highlight w:val="none"/>
              </w:rPr>
              <w:t>工期</w:t>
            </w:r>
          </w:p>
        </w:tc>
        <w:tc>
          <w:tcPr>
            <w:tcW w:w="1467" w:type="dxa"/>
            <w:vAlign w:val="center"/>
          </w:tcPr>
          <w:p w14:paraId="054EFFCE">
            <w:pPr>
              <w:widowControl/>
              <w:jc w:val="center"/>
              <w:rPr>
                <w:rFonts w:ascii="宋体" w:hAnsi="宋体" w:cs="宋体"/>
                <w:b/>
                <w:color w:val="auto"/>
                <w:sz w:val="24"/>
                <w:highlight w:val="none"/>
              </w:rPr>
            </w:pPr>
            <w:r>
              <w:rPr>
                <w:rFonts w:hint="eastAsia" w:ascii="宋体" w:hAnsi="宋体" w:cs="宋体"/>
                <w:b/>
                <w:color w:val="auto"/>
                <w:sz w:val="24"/>
                <w:highlight w:val="none"/>
              </w:rPr>
              <w:t>建设地点</w:t>
            </w:r>
          </w:p>
        </w:tc>
      </w:tr>
      <w:tr w14:paraId="5E09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22" w:type="dxa"/>
            <w:vAlign w:val="center"/>
          </w:tcPr>
          <w:p w14:paraId="2496A95F">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78" w:type="dxa"/>
            <w:vAlign w:val="center"/>
          </w:tcPr>
          <w:p w14:paraId="346904F3">
            <w:pPr>
              <w:tabs>
                <w:tab w:val="left" w:pos="8280"/>
              </w:tabs>
              <w:autoSpaceDE w:val="0"/>
              <w:autoSpaceDN w:val="0"/>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椒江区梓杨河（山门村段）治理工程</w:t>
            </w:r>
          </w:p>
        </w:tc>
        <w:tc>
          <w:tcPr>
            <w:tcW w:w="693" w:type="dxa"/>
            <w:vAlign w:val="center"/>
          </w:tcPr>
          <w:p w14:paraId="6BAB2779">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811" w:type="dxa"/>
            <w:vAlign w:val="center"/>
          </w:tcPr>
          <w:p w14:paraId="4FEC65C9">
            <w:pPr>
              <w:tabs>
                <w:tab w:val="left" w:pos="8280"/>
              </w:tabs>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项</w:t>
            </w:r>
          </w:p>
        </w:tc>
        <w:tc>
          <w:tcPr>
            <w:tcW w:w="1281" w:type="dxa"/>
            <w:vAlign w:val="center"/>
          </w:tcPr>
          <w:p w14:paraId="440592EC">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eastAsia="zh-CN"/>
              </w:rPr>
              <w:t>132.9553</w:t>
            </w:r>
            <w:r>
              <w:rPr>
                <w:rFonts w:hint="eastAsia" w:ascii="宋体" w:hAnsi="宋体" w:cs="宋体"/>
                <w:color w:val="auto"/>
                <w:sz w:val="24"/>
                <w:highlight w:val="none"/>
              </w:rPr>
              <w:t xml:space="preserve"> </w:t>
            </w:r>
          </w:p>
        </w:tc>
        <w:tc>
          <w:tcPr>
            <w:tcW w:w="1412" w:type="dxa"/>
            <w:vAlign w:val="center"/>
          </w:tcPr>
          <w:p w14:paraId="49A368CD">
            <w:pPr>
              <w:autoSpaceDE w:val="0"/>
              <w:autoSpaceDN w:val="0"/>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122.3189</w:t>
            </w:r>
          </w:p>
        </w:tc>
        <w:tc>
          <w:tcPr>
            <w:tcW w:w="1412" w:type="dxa"/>
            <w:vAlign w:val="center"/>
          </w:tcPr>
          <w:p w14:paraId="0C4D2953">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eastAsia="zh-CN"/>
              </w:rPr>
              <w:t>不超过120日历天</w:t>
            </w:r>
          </w:p>
        </w:tc>
        <w:tc>
          <w:tcPr>
            <w:tcW w:w="1467" w:type="dxa"/>
            <w:vAlign w:val="center"/>
          </w:tcPr>
          <w:p w14:paraId="78D38ED2">
            <w:pPr>
              <w:widowControl/>
              <w:jc w:val="center"/>
              <w:rPr>
                <w:rFonts w:ascii="宋体" w:hAnsi="宋体" w:cs="宋体"/>
                <w:color w:val="auto"/>
                <w:sz w:val="24"/>
                <w:highlight w:val="none"/>
              </w:rPr>
            </w:pPr>
            <w:r>
              <w:rPr>
                <w:rFonts w:hint="eastAsia" w:ascii="宋体" w:hAnsi="宋体" w:cs="宋体"/>
                <w:color w:val="auto"/>
                <w:highlight w:val="none"/>
              </w:rPr>
              <w:t>椒江区</w:t>
            </w:r>
            <w:r>
              <w:rPr>
                <w:rFonts w:hint="eastAsia" w:ascii="宋体" w:hAnsi="宋体" w:cs="宋体"/>
                <w:color w:val="auto"/>
                <w:highlight w:val="none"/>
                <w:lang w:val="en-US" w:eastAsia="zh-CN"/>
              </w:rPr>
              <w:t>章安街道</w:t>
            </w:r>
          </w:p>
        </w:tc>
      </w:tr>
    </w:tbl>
    <w:p w14:paraId="34517CE9">
      <w:pPr>
        <w:numPr>
          <w:ilvl w:val="0"/>
          <w:numId w:val="4"/>
        </w:numPr>
        <w:snapToGrid w:val="0"/>
        <w:spacing w:line="480" w:lineRule="exact"/>
        <w:ind w:left="0" w:leftChars="0" w:firstLine="482" w:firstLineChars="200"/>
        <w:rPr>
          <w:rFonts w:hint="default" w:ascii="宋体" w:hAnsi="宋体" w:eastAsia="宋体" w:cs="Times New Roman"/>
          <w:color w:val="auto"/>
          <w:kern w:val="2"/>
          <w:sz w:val="24"/>
          <w:szCs w:val="24"/>
          <w:highlight w:val="none"/>
          <w:lang w:val="en-US" w:eastAsia="zh-CN" w:bidi="ar-SA"/>
        </w:rPr>
      </w:pPr>
      <w:r>
        <w:rPr>
          <w:rFonts w:hint="eastAsia" w:asciiTheme="minorEastAsia" w:hAnsiTheme="minorEastAsia" w:eastAsiaTheme="minorEastAsia"/>
          <w:b/>
          <w:color w:val="auto"/>
          <w:sz w:val="24"/>
          <w:highlight w:val="none"/>
        </w:rPr>
        <w:t>技术需求</w:t>
      </w:r>
    </w:p>
    <w:p w14:paraId="26B36D83">
      <w:pPr>
        <w:numPr>
          <w:ilvl w:val="0"/>
          <w:numId w:val="0"/>
        </w:numPr>
        <w:snapToGrid w:val="0"/>
        <w:spacing w:line="480" w:lineRule="exact"/>
        <w:ind w:leftChars="200"/>
        <w:rPr>
          <w:rFonts w:hint="default" w:ascii="宋体" w:hAnsi="宋体" w:eastAsia="宋体" w:cs="Times New Roman"/>
          <w:color w:val="auto"/>
          <w:kern w:val="2"/>
          <w:sz w:val="24"/>
          <w:szCs w:val="24"/>
          <w:highlight w:val="none"/>
          <w:lang w:val="en-US" w:eastAsia="zh-CN" w:bidi="ar-SA"/>
        </w:rPr>
      </w:pPr>
      <w:r>
        <w:rPr>
          <w:rFonts w:hint="eastAsia" w:asciiTheme="minorEastAsia" w:hAnsiTheme="minorEastAsia" w:eastAsiaTheme="minorEastAsia"/>
          <w:b/>
          <w:color w:val="auto"/>
          <w:sz w:val="24"/>
          <w:highlight w:val="none"/>
          <w:lang w:eastAsia="zh-CN"/>
        </w:rPr>
        <w:t>（一）项目概况：</w:t>
      </w:r>
      <w:r>
        <w:rPr>
          <w:rFonts w:hint="eastAsia" w:ascii="宋体" w:hAnsi="宋体" w:eastAsia="宋体" w:cs="Times New Roman"/>
          <w:color w:val="auto"/>
          <w:kern w:val="2"/>
          <w:sz w:val="24"/>
          <w:szCs w:val="24"/>
          <w:highlight w:val="none"/>
          <w:lang w:val="en-US" w:eastAsia="zh-CN" w:bidi="ar-SA"/>
        </w:rPr>
        <w:t>椒江区梓杨河(山门村段)治理工程位于章安街道山门村村界内，工程为IV等工程，河道主要建筑物级别为4级，次要、临时建筑物级别为5级。工程主要任务是通过对项目范围内的河道进行护坡整治、清淤疏浚等工程措施，基本实现河内无阻水障碍物、水系基本通畅，河面基本无漂浮物、河岸基本无损毁、无垃圾，使工程区农村环境整体上有明显的改善，恢复梓杨河的行洪、排涝等综合功能，同时后期结合区城绕山绿道建设，以达到实现“水清、河畅、岸绿、景美”的综合整治目标。本次整治梓杨河长545m,具体为对左岸护岸进行修复治理及河道疏浚。</w:t>
      </w:r>
    </w:p>
    <w:p w14:paraId="46A4EA72">
      <w:pPr>
        <w:numPr>
          <w:ilvl w:val="0"/>
          <w:numId w:val="0"/>
        </w:numPr>
        <w:spacing w:line="460" w:lineRule="exact"/>
        <w:ind w:left="19" w:leftChars="9" w:firstLine="545" w:firstLineChars="226"/>
        <w:rPr>
          <w:rFonts w:ascii="宋体" w:hAnsi="宋体" w:cs="Times New Roman"/>
          <w:b/>
          <w:color w:val="auto"/>
          <w:sz w:val="24"/>
          <w:szCs w:val="24"/>
          <w:highlight w:val="none"/>
        </w:rPr>
      </w:pPr>
      <w:r>
        <w:rPr>
          <w:rFonts w:hint="eastAsia" w:ascii="宋体" w:hAnsi="宋体" w:cs="Times New Roman"/>
          <w:b/>
          <w:color w:val="auto"/>
          <w:sz w:val="24"/>
          <w:szCs w:val="24"/>
          <w:highlight w:val="none"/>
        </w:rPr>
        <w:t>（二）技术规范及标准</w:t>
      </w:r>
    </w:p>
    <w:p w14:paraId="2E24F049">
      <w:pPr>
        <w:pStyle w:val="33"/>
        <w:spacing w:line="360" w:lineRule="auto"/>
        <w:ind w:firstLine="480"/>
        <w:rPr>
          <w:rFonts w:hAnsi="宋体"/>
          <w:color w:val="auto"/>
          <w:szCs w:val="24"/>
          <w:highlight w:val="none"/>
        </w:rPr>
      </w:pPr>
      <w:r>
        <w:rPr>
          <w:rFonts w:hint="eastAsia" w:hAnsi="宋体"/>
          <w:color w:val="auto"/>
          <w:szCs w:val="24"/>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14:paraId="725EEA1D">
      <w:pPr>
        <w:pStyle w:val="33"/>
        <w:spacing w:line="360" w:lineRule="auto"/>
        <w:ind w:firstLine="480"/>
        <w:rPr>
          <w:rFonts w:ascii="Times New Roman"/>
          <w:color w:val="auto"/>
          <w:highlight w:val="none"/>
        </w:rPr>
      </w:pPr>
      <w:r>
        <w:rPr>
          <w:rFonts w:hint="eastAsia" w:ascii="Times New Roman"/>
          <w:color w:val="auto"/>
          <w:highlight w:val="none"/>
        </w:rPr>
        <w:t>《水利水电工程施工测量规范》(SL52-2015)</w:t>
      </w:r>
    </w:p>
    <w:p w14:paraId="21D3DCD3">
      <w:pPr>
        <w:pStyle w:val="33"/>
        <w:spacing w:line="360" w:lineRule="auto"/>
        <w:ind w:firstLine="480"/>
        <w:rPr>
          <w:rFonts w:ascii="Times New Roman"/>
          <w:color w:val="auto"/>
          <w:highlight w:val="none"/>
        </w:rPr>
      </w:pPr>
      <w:r>
        <w:rPr>
          <w:rFonts w:hint="eastAsia" w:ascii="Times New Roman"/>
          <w:color w:val="auto"/>
          <w:highlight w:val="none"/>
        </w:rPr>
        <w:t>《水利水电建设工程验收</w:t>
      </w:r>
      <w:r>
        <w:rPr>
          <w:rFonts w:hint="eastAsia" w:ascii="Times New Roman"/>
          <w:color w:val="auto"/>
          <w:highlight w:val="none"/>
          <w:lang w:val="en-US" w:eastAsia="zh-CN"/>
        </w:rPr>
        <w:t>规程</w:t>
      </w:r>
      <w:r>
        <w:rPr>
          <w:rFonts w:hint="eastAsia" w:ascii="Times New Roman"/>
          <w:color w:val="auto"/>
          <w:highlight w:val="none"/>
        </w:rPr>
        <w:t>》(SL223-2008)</w:t>
      </w:r>
    </w:p>
    <w:p w14:paraId="0F903F2B">
      <w:pPr>
        <w:pStyle w:val="33"/>
        <w:spacing w:line="360" w:lineRule="auto"/>
        <w:ind w:firstLine="480"/>
        <w:rPr>
          <w:rFonts w:ascii="Times New Roman"/>
          <w:color w:val="auto"/>
          <w:highlight w:val="none"/>
        </w:rPr>
      </w:pPr>
      <w:r>
        <w:rPr>
          <w:rFonts w:hint="eastAsia" w:ascii="Times New Roman"/>
          <w:color w:val="auto"/>
          <w:highlight w:val="none"/>
        </w:rPr>
        <w:t>《水利水电工程单元工程施工质量验收评定标准</w:t>
      </w:r>
      <w:r>
        <w:rPr>
          <w:rFonts w:hint="eastAsia" w:ascii="Times New Roman"/>
          <w:color w:val="auto"/>
          <w:highlight w:val="none"/>
          <w:lang w:eastAsia="zh-CN"/>
        </w:rPr>
        <w:t>——</w:t>
      </w:r>
      <w:r>
        <w:rPr>
          <w:rFonts w:hint="eastAsia" w:ascii="Times New Roman"/>
          <w:color w:val="auto"/>
          <w:highlight w:val="none"/>
          <w:lang w:val="en-US" w:eastAsia="zh-CN"/>
        </w:rPr>
        <w:t>混凝土工程</w:t>
      </w:r>
      <w:r>
        <w:rPr>
          <w:rFonts w:hint="eastAsia" w:ascii="Times New Roman"/>
          <w:color w:val="auto"/>
          <w:highlight w:val="none"/>
        </w:rPr>
        <w:t>》(SL632-2012);</w:t>
      </w:r>
    </w:p>
    <w:p w14:paraId="219EB992">
      <w:pPr>
        <w:pStyle w:val="33"/>
        <w:spacing w:line="360" w:lineRule="auto"/>
        <w:ind w:firstLine="480"/>
        <w:rPr>
          <w:rFonts w:ascii="Times New Roman"/>
          <w:color w:val="auto"/>
          <w:highlight w:val="none"/>
        </w:rPr>
      </w:pPr>
      <w:r>
        <w:rPr>
          <w:rFonts w:hint="eastAsia" w:ascii="Times New Roman"/>
          <w:color w:val="auto"/>
          <w:highlight w:val="none"/>
        </w:rPr>
        <w:t>《砌体结构工程施工质量验</w:t>
      </w:r>
      <w:r>
        <w:rPr>
          <w:rFonts w:hint="eastAsia" w:ascii="Times New Roman"/>
          <w:color w:val="auto"/>
          <w:highlight w:val="none"/>
          <w:lang w:val="en-US" w:eastAsia="zh-CN"/>
        </w:rPr>
        <w:t>收</w:t>
      </w:r>
      <w:r>
        <w:rPr>
          <w:rFonts w:hint="eastAsia" w:ascii="Times New Roman"/>
          <w:color w:val="auto"/>
          <w:highlight w:val="none"/>
        </w:rPr>
        <w:t>规范》(GB50203-2011);</w:t>
      </w:r>
    </w:p>
    <w:p w14:paraId="23966D09">
      <w:pPr>
        <w:pStyle w:val="33"/>
        <w:spacing w:line="360" w:lineRule="auto"/>
        <w:ind w:firstLine="480"/>
        <w:rPr>
          <w:rFonts w:ascii="Times New Roman"/>
          <w:color w:val="auto"/>
          <w:highlight w:val="none"/>
        </w:rPr>
      </w:pPr>
      <w:r>
        <w:rPr>
          <w:rFonts w:hint="eastAsia" w:ascii="Times New Roman"/>
          <w:color w:val="auto"/>
          <w:highlight w:val="none"/>
        </w:rPr>
        <w:t>《水利水电工程施工质量检验与评定规程》(SL176-2007);</w:t>
      </w:r>
    </w:p>
    <w:p w14:paraId="135EB004">
      <w:pPr>
        <w:pStyle w:val="33"/>
        <w:spacing w:line="360" w:lineRule="auto"/>
        <w:ind w:firstLine="480"/>
        <w:rPr>
          <w:rFonts w:ascii="Times New Roman"/>
          <w:color w:val="auto"/>
          <w:highlight w:val="none"/>
        </w:rPr>
      </w:pPr>
      <w:r>
        <w:rPr>
          <w:rFonts w:hint="eastAsia" w:ascii="Times New Roman"/>
          <w:color w:val="auto"/>
          <w:highlight w:val="none"/>
        </w:rPr>
        <w:t>《水工混凝</w:t>
      </w:r>
      <w:r>
        <w:rPr>
          <w:rFonts w:hint="eastAsia" w:ascii="Times New Roman"/>
          <w:color w:val="auto"/>
          <w:highlight w:val="none"/>
          <w:lang w:val="en-US" w:eastAsia="zh-CN"/>
        </w:rPr>
        <w:t>土</w:t>
      </w:r>
      <w:r>
        <w:rPr>
          <w:rFonts w:hint="eastAsia" w:ascii="Times New Roman"/>
          <w:color w:val="auto"/>
          <w:highlight w:val="none"/>
        </w:rPr>
        <w:t>施工规范》(SL677-2014);</w:t>
      </w:r>
    </w:p>
    <w:p w14:paraId="7C535E73">
      <w:pPr>
        <w:pStyle w:val="33"/>
        <w:spacing w:line="360" w:lineRule="auto"/>
        <w:ind w:firstLine="480"/>
        <w:rPr>
          <w:rFonts w:ascii="Times New Roman"/>
          <w:color w:val="auto"/>
          <w:highlight w:val="none"/>
        </w:rPr>
      </w:pPr>
      <w:r>
        <w:rPr>
          <w:rFonts w:hint="eastAsia" w:ascii="Times New Roman"/>
          <w:color w:val="auto"/>
          <w:highlight w:val="none"/>
        </w:rPr>
        <w:t>其他国家及地方有关设计规范、规定</w:t>
      </w:r>
    </w:p>
    <w:p w14:paraId="4E44AC41">
      <w:pPr>
        <w:pStyle w:val="33"/>
        <w:spacing w:line="360" w:lineRule="auto"/>
        <w:ind w:firstLine="480"/>
        <w:rPr>
          <w:rFonts w:hAnsi="宋体"/>
          <w:color w:val="auto"/>
          <w:szCs w:val="24"/>
          <w:highlight w:val="none"/>
        </w:rPr>
      </w:pPr>
      <w:r>
        <w:rPr>
          <w:rFonts w:hint="eastAsia" w:hAnsi="宋体"/>
          <w:color w:val="auto"/>
          <w:szCs w:val="24"/>
          <w:highlight w:val="none"/>
        </w:rPr>
        <w:t>2.以上技术规范由承包人自备，如有不足之处或未能达到国家最新标准时，承包人应使施工及选用的设备和材料符合最新版本的国家标准、规范。</w:t>
      </w:r>
    </w:p>
    <w:p w14:paraId="4549ADA1">
      <w:pPr>
        <w:pStyle w:val="33"/>
        <w:spacing w:line="360" w:lineRule="auto"/>
        <w:ind w:firstLine="480"/>
        <w:rPr>
          <w:rFonts w:hAnsi="宋体"/>
          <w:color w:val="auto"/>
          <w:szCs w:val="24"/>
          <w:highlight w:val="none"/>
        </w:rPr>
      </w:pPr>
      <w:r>
        <w:rPr>
          <w:rFonts w:hint="eastAsia" w:hAnsi="宋体"/>
          <w:color w:val="auto"/>
          <w:szCs w:val="24"/>
          <w:highlight w:val="none"/>
        </w:rPr>
        <w:t>3.引用</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浙江省水利水电工程 施工招标文件示范文本（2023年）</w:t>
      </w:r>
      <w:r>
        <w:rPr>
          <w:rFonts w:hint="eastAsia"/>
          <w:color w:val="auto"/>
          <w:highlight w:val="none"/>
          <w:lang w:val="en-US" w:eastAsia="zh-CN"/>
        </w:rPr>
        <w:t>》</w:t>
      </w:r>
      <w:r>
        <w:rPr>
          <w:rFonts w:hint="eastAsia" w:ascii="宋体" w:hAnsi="宋体" w:eastAsia="宋体" w:cs="宋体"/>
          <w:color w:val="auto"/>
          <w:szCs w:val="21"/>
          <w:highlight w:val="none"/>
        </w:rPr>
        <w:t>中的</w:t>
      </w:r>
      <w:r>
        <w:rPr>
          <w:rFonts w:hint="eastAsia" w:hAnsi="宋体"/>
          <w:color w:val="auto"/>
          <w:szCs w:val="24"/>
          <w:highlight w:val="none"/>
        </w:rPr>
        <w:t>的技术标准和要求（合同技术条款）。</w:t>
      </w:r>
    </w:p>
    <w:p w14:paraId="0B6F4C2F">
      <w:pPr>
        <w:pStyle w:val="33"/>
        <w:spacing w:line="360" w:lineRule="auto"/>
        <w:ind w:firstLine="480"/>
        <w:rPr>
          <w:rFonts w:hAnsi="宋体"/>
          <w:color w:val="auto"/>
          <w:szCs w:val="24"/>
          <w:highlight w:val="none"/>
        </w:rPr>
      </w:pPr>
      <w:r>
        <w:rPr>
          <w:rFonts w:hint="eastAsia" w:hAnsi="宋体"/>
          <w:color w:val="auto"/>
          <w:szCs w:val="24"/>
          <w:highlight w:val="none"/>
        </w:rPr>
        <w:t>技术标准和要求中的内容若有与本工程图纸不一致者，以图纸为准。</w:t>
      </w:r>
    </w:p>
    <w:p w14:paraId="03DB20B4">
      <w:pPr>
        <w:pStyle w:val="32"/>
        <w:spacing w:line="360" w:lineRule="auto"/>
        <w:ind w:firstLine="482"/>
        <w:rPr>
          <w:rFonts w:ascii="宋体" w:hAnsi="宋体" w:cs="Times New Roman"/>
          <w:b/>
          <w:color w:val="auto"/>
          <w:sz w:val="24"/>
          <w:szCs w:val="24"/>
          <w:highlight w:val="none"/>
        </w:rPr>
      </w:pPr>
      <w:r>
        <w:rPr>
          <w:rFonts w:hint="eastAsia" w:ascii="宋体" w:hAnsi="宋体" w:cs="Times New Roman"/>
          <w:b/>
          <w:color w:val="auto"/>
          <w:sz w:val="24"/>
          <w:szCs w:val="24"/>
          <w:highlight w:val="none"/>
        </w:rPr>
        <w:t>（三）材料质量要求</w:t>
      </w:r>
    </w:p>
    <w:p w14:paraId="0727BCC4">
      <w:pPr>
        <w:pStyle w:val="33"/>
        <w:spacing w:line="360" w:lineRule="auto"/>
        <w:ind w:firstLine="480"/>
        <w:rPr>
          <w:rFonts w:hAnsi="宋体"/>
          <w:color w:val="auto"/>
          <w:szCs w:val="24"/>
          <w:highlight w:val="none"/>
        </w:rPr>
      </w:pPr>
      <w:r>
        <w:rPr>
          <w:rFonts w:hint="eastAsia" w:hAnsi="宋体"/>
          <w:color w:val="auto"/>
          <w:szCs w:val="24"/>
          <w:highlight w:val="none"/>
        </w:rPr>
        <w:t>1.材料选择</w:t>
      </w:r>
    </w:p>
    <w:p w14:paraId="532E47E4">
      <w:pPr>
        <w:pStyle w:val="33"/>
        <w:spacing w:line="360" w:lineRule="auto"/>
        <w:ind w:firstLine="480"/>
        <w:rPr>
          <w:rFonts w:hAnsi="宋体"/>
          <w:color w:val="auto"/>
          <w:szCs w:val="24"/>
          <w:highlight w:val="none"/>
        </w:rPr>
      </w:pPr>
      <w:r>
        <w:rPr>
          <w:rFonts w:hint="eastAsia" w:hAnsi="宋体"/>
          <w:color w:val="auto"/>
          <w:szCs w:val="24"/>
          <w:highlight w:val="none"/>
        </w:rPr>
        <w:t>本采购文件涉及的其他主要材料及零星材料，各供应商须根据设计施工图的要求按中高档的用材标准进行选材并报价，所有建筑材料要求采用在行业内有一定知名度的品牌，并符合环保要求，严禁选择不合设计要求的低档材料进行报价及组织施工实施。</w:t>
      </w:r>
    </w:p>
    <w:p w14:paraId="17F24E24">
      <w:pPr>
        <w:pStyle w:val="33"/>
        <w:spacing w:line="360" w:lineRule="auto"/>
        <w:ind w:firstLine="480"/>
        <w:rPr>
          <w:rFonts w:hAnsi="宋体"/>
          <w:color w:val="auto"/>
          <w:szCs w:val="24"/>
          <w:highlight w:val="none"/>
        </w:rPr>
      </w:pPr>
      <w:r>
        <w:rPr>
          <w:rFonts w:hint="eastAsia" w:hAnsi="宋体"/>
          <w:color w:val="auto"/>
          <w:szCs w:val="24"/>
          <w:highlight w:val="none"/>
        </w:rPr>
        <w:t>2.材料的质量保证</w:t>
      </w:r>
    </w:p>
    <w:p w14:paraId="72C12EAB">
      <w:pPr>
        <w:pStyle w:val="33"/>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）在免费保修期内，中标供应商对有缺陷的部位必须无偿地给予修理与更换，并承担一切由此引起的对采购人或第三者的直接损失，除非该缺陷是由于人为破坏或合同规定的不可抗力因素造成的损坏。</w:t>
      </w:r>
    </w:p>
    <w:p w14:paraId="062A6A28">
      <w:pPr>
        <w:pStyle w:val="33"/>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）中标供应必须对所承包的工程的质量负全部责任，其责任不因其他材料生产商提供的保证书而减轻或更改。</w:t>
      </w:r>
    </w:p>
    <w:p w14:paraId="16AB811D">
      <w:pPr>
        <w:pStyle w:val="33"/>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3</w:t>
      </w:r>
      <w:r>
        <w:rPr>
          <w:rFonts w:hint="eastAsia" w:hAnsi="宋体"/>
          <w:color w:val="auto"/>
          <w:szCs w:val="24"/>
          <w:highlight w:val="none"/>
        </w:rPr>
        <w:t>）材料检验结果证明其有害物质含量指标超标的产品不得在工程上使用。</w:t>
      </w:r>
    </w:p>
    <w:p w14:paraId="35419646">
      <w:pPr>
        <w:pStyle w:val="33"/>
        <w:spacing w:line="360" w:lineRule="auto"/>
        <w:ind w:firstLine="480"/>
        <w:rPr>
          <w:rFonts w:hAnsi="宋体"/>
          <w:color w:val="auto"/>
          <w:szCs w:val="24"/>
          <w:highlight w:val="none"/>
        </w:rPr>
      </w:pPr>
      <w:r>
        <w:rPr>
          <w:rFonts w:hint="eastAsia" w:hAnsi="宋体"/>
          <w:color w:val="auto"/>
          <w:szCs w:val="24"/>
          <w:highlight w:val="none"/>
        </w:rPr>
        <w:t>3.供应要求</w:t>
      </w:r>
    </w:p>
    <w:p w14:paraId="61F74EE0">
      <w:pPr>
        <w:pStyle w:val="33"/>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本次承包范围内的建筑施工材料均由中标供应商根据本采购文件、设计图纸和国家有关规定的具体要求进行采购、运输、检验、保管，但采购人保留变更和指定材料的权利；所有建筑材料须有产品合格证和质量保证书，应先送样品，样品经设计方、监理方、采购人确认与采购要求一致后封存，批量供应时应与样品一致，并经相关部门检验合格后方可使用。</w:t>
      </w:r>
    </w:p>
    <w:p w14:paraId="37513A1A">
      <w:pPr>
        <w:pStyle w:val="33"/>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）由中标供应商采购的主要建筑材料，当中标供应商选定的产品质量达不到设计要求和预期质量目标时，采购人保留更换的权利，且中标价不予调整。</w:t>
      </w:r>
    </w:p>
    <w:p w14:paraId="55403C6E">
      <w:pPr>
        <w:pStyle w:val="32"/>
        <w:spacing w:line="360" w:lineRule="auto"/>
        <w:ind w:firstLine="482"/>
        <w:rPr>
          <w:rFonts w:ascii="宋体" w:hAnsi="宋体" w:cs="Times New Roman"/>
          <w:b/>
          <w:color w:val="auto"/>
          <w:sz w:val="24"/>
          <w:szCs w:val="24"/>
          <w:highlight w:val="none"/>
        </w:rPr>
      </w:pPr>
      <w:r>
        <w:rPr>
          <w:rFonts w:hint="eastAsia" w:ascii="宋体" w:hAnsi="宋体" w:cs="Times New Roman"/>
          <w:b/>
          <w:color w:val="auto"/>
          <w:sz w:val="24"/>
          <w:szCs w:val="24"/>
          <w:highlight w:val="none"/>
        </w:rPr>
        <w:t>（四）工程管理的要求</w:t>
      </w:r>
    </w:p>
    <w:p w14:paraId="67F5148E">
      <w:pPr>
        <w:pStyle w:val="32"/>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1.本工程发包范围内的工程项目，未经采购人同意一律不得分包。</w:t>
      </w:r>
    </w:p>
    <w:p w14:paraId="20936779">
      <w:pPr>
        <w:pStyle w:val="32"/>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中标供应商应严格按已确认设计图纸和施工技术方案组织施工，并无条件地接受采购人委托的监理单位对施工质量的监督和管理。在项目施工过程中，中标供应商应严格控制造价，工程量增加或变更造价及时申报，因工程变更或工程量增加所增加的费用不得超过合同总额的10%，否则不予认可。</w:t>
      </w:r>
    </w:p>
    <w:p w14:paraId="04478467">
      <w:pPr>
        <w:numPr>
          <w:ilvl w:val="0"/>
          <w:numId w:val="8"/>
        </w:numPr>
        <w:tabs>
          <w:tab w:val="left" w:pos="8280"/>
        </w:tabs>
        <w:autoSpaceDE w:val="0"/>
        <w:autoSpaceDN w:val="0"/>
        <w:adjustRightInd w:val="0"/>
        <w:spacing w:line="360" w:lineRule="auto"/>
        <w:ind w:right="25"/>
        <w:rPr>
          <w:rFonts w:ascii="宋体" w:hAnsi="宋体" w:cs="宋体"/>
          <w:b/>
          <w:color w:val="auto"/>
          <w:sz w:val="24"/>
          <w:highlight w:val="none"/>
        </w:rPr>
      </w:pPr>
      <w:r>
        <w:rPr>
          <w:rFonts w:hint="eastAsia" w:ascii="宋体" w:hAnsi="宋体" w:cs="宋体"/>
          <w:b/>
          <w:color w:val="auto"/>
          <w:sz w:val="24"/>
          <w:highlight w:val="none"/>
        </w:rPr>
        <w:t>商务需求</w:t>
      </w:r>
    </w:p>
    <w:p w14:paraId="75613720">
      <w:pPr>
        <w:pStyle w:val="10"/>
        <w:spacing w:line="360" w:lineRule="auto"/>
        <w:ind w:firstLine="482"/>
        <w:rPr>
          <w:rFonts w:hint="eastAsia" w:ascii="宋体" w:hAnsi="宋体" w:eastAsia="宋体"/>
          <w:color w:val="auto"/>
          <w:kern w:val="0"/>
          <w:highlight w:val="none"/>
          <w:lang w:eastAsia="zh-CN"/>
        </w:rPr>
      </w:pPr>
      <w:r>
        <w:rPr>
          <w:rFonts w:hint="eastAsia" w:ascii="宋体" w:hAnsi="宋体" w:cs="宋体"/>
          <w:b/>
          <w:color w:val="auto"/>
          <w:highlight w:val="none"/>
        </w:rPr>
        <w:t>(一）报价要求：</w:t>
      </w:r>
      <w:r>
        <w:rPr>
          <w:rFonts w:hint="eastAsia" w:ascii="宋体" w:hAnsi="宋体"/>
          <w:color w:val="auto"/>
          <w:kern w:val="0"/>
          <w:highlight w:val="none"/>
        </w:rPr>
        <w:t>本项目采用固定单价合同方式，采购人有权单方面做出决定增加或减少或取消数量，但不得调整单价。按发包人提供的</w:t>
      </w:r>
      <w:r>
        <w:rPr>
          <w:rFonts w:hint="eastAsia" w:ascii="宋体" w:hAnsi="宋体"/>
          <w:color w:val="auto"/>
          <w:kern w:val="0"/>
          <w:highlight w:val="none"/>
          <w:lang w:val="en-US" w:eastAsia="zh-CN"/>
        </w:rPr>
        <w:t>预算价</w:t>
      </w:r>
      <w:r>
        <w:rPr>
          <w:rFonts w:hint="eastAsia" w:ascii="宋体" w:hAnsi="宋体"/>
          <w:color w:val="auto"/>
          <w:kern w:val="0"/>
          <w:highlight w:val="none"/>
        </w:rPr>
        <w:t>结合固定结算率方式结算</w:t>
      </w:r>
      <w:r>
        <w:rPr>
          <w:rFonts w:hint="eastAsia" w:ascii="宋体" w:hAnsi="宋体"/>
          <w:color w:val="auto"/>
          <w:kern w:val="0"/>
          <w:highlight w:val="none"/>
          <w:lang w:eastAsia="zh-CN"/>
        </w:rPr>
        <w:t>。</w:t>
      </w:r>
    </w:p>
    <w:p w14:paraId="79E71895">
      <w:pPr>
        <w:pStyle w:val="9"/>
        <w:spacing w:line="360" w:lineRule="auto"/>
        <w:ind w:firstLine="480" w:firstLineChars="200"/>
        <w:rPr>
          <w:rFonts w:hint="eastAsia" w:ascii="宋体" w:hAnsi="宋体" w:eastAsia="宋体"/>
          <w:color w:val="auto"/>
          <w:kern w:val="0"/>
          <w:highlight w:val="none"/>
          <w:lang w:eastAsia="zh-CN"/>
        </w:rPr>
      </w:pPr>
      <w:r>
        <w:rPr>
          <w:rFonts w:hint="eastAsia" w:ascii="宋体" w:hAnsi="宋体"/>
          <w:color w:val="auto"/>
          <w:kern w:val="0"/>
          <w:highlight w:val="none"/>
        </w:rPr>
        <w:t>供应商的报价应是采购文件所确定的采购需求内全部工作内容的表现。供应商应根据采购人提供的全套施工图纸、技术资料、预算以及本工程实际情况和自身的综合实力，竞报投标报价</w:t>
      </w:r>
      <w:r>
        <w:rPr>
          <w:rFonts w:hint="eastAsia" w:ascii="宋体" w:hAnsi="宋体"/>
          <w:color w:val="auto"/>
          <w:kern w:val="0"/>
          <w:highlight w:val="none"/>
          <w:lang w:eastAsia="zh-CN"/>
        </w:rPr>
        <w:t>。</w:t>
      </w:r>
    </w:p>
    <w:p w14:paraId="32CD9D02">
      <w:pPr>
        <w:pStyle w:val="9"/>
        <w:spacing w:line="360" w:lineRule="auto"/>
        <w:ind w:firstLine="482" w:firstLineChars="200"/>
        <w:rPr>
          <w:rFonts w:ascii="宋体" w:hAnsi="宋体"/>
          <w:b/>
          <w:bCs/>
          <w:color w:val="auto"/>
          <w:kern w:val="0"/>
          <w:highlight w:val="none"/>
        </w:rPr>
      </w:pPr>
      <w:r>
        <w:rPr>
          <w:rFonts w:hint="eastAsia" w:ascii="宋体" w:hAnsi="宋体"/>
          <w:b/>
          <w:bCs/>
          <w:color w:val="auto"/>
          <w:kern w:val="0"/>
          <w:highlight w:val="none"/>
        </w:rPr>
        <w:t>（二）工期及建设地点</w:t>
      </w:r>
    </w:p>
    <w:p w14:paraId="40D5DD35">
      <w:pPr>
        <w:pStyle w:val="9"/>
        <w:spacing w:line="360" w:lineRule="auto"/>
        <w:ind w:firstLine="480" w:firstLineChars="200"/>
        <w:rPr>
          <w:rFonts w:ascii="宋体" w:hAnsi="宋体"/>
          <w:b/>
          <w:color w:val="auto"/>
          <w:kern w:val="0"/>
          <w:highlight w:val="none"/>
        </w:rPr>
      </w:pPr>
      <w:r>
        <w:rPr>
          <w:rFonts w:hint="eastAsia" w:ascii="宋体" w:hAnsi="宋体"/>
          <w:color w:val="auto"/>
          <w:kern w:val="0"/>
          <w:highlight w:val="none"/>
        </w:rPr>
        <w:t>工期：</w:t>
      </w:r>
      <w:r>
        <w:rPr>
          <w:rFonts w:hint="eastAsia" w:ascii="宋体" w:hAnsi="宋体"/>
          <w:color w:val="auto"/>
          <w:kern w:val="0"/>
          <w:highlight w:val="none"/>
          <w:lang w:eastAsia="zh-CN"/>
        </w:rPr>
        <w:t>不超过120日历天</w:t>
      </w:r>
      <w:r>
        <w:rPr>
          <w:rFonts w:hint="eastAsia" w:ascii="宋体" w:hAnsi="宋体"/>
          <w:b w:val="0"/>
          <w:bCs/>
          <w:color w:val="auto"/>
          <w:kern w:val="0"/>
          <w:highlight w:val="none"/>
        </w:rPr>
        <w:t>。</w:t>
      </w:r>
    </w:p>
    <w:p w14:paraId="1296037A">
      <w:pPr>
        <w:pStyle w:val="9"/>
        <w:spacing w:line="360" w:lineRule="auto"/>
        <w:ind w:firstLine="480" w:firstLineChars="200"/>
        <w:rPr>
          <w:rFonts w:ascii="宋体" w:hAnsi="宋体"/>
          <w:color w:val="auto"/>
          <w:kern w:val="0"/>
          <w:highlight w:val="none"/>
        </w:rPr>
      </w:pPr>
      <w:r>
        <w:rPr>
          <w:rFonts w:hint="eastAsia" w:ascii="宋体" w:hAnsi="宋体"/>
          <w:color w:val="auto"/>
          <w:kern w:val="0"/>
          <w:highlight w:val="none"/>
        </w:rPr>
        <w:t>建设地点：</w:t>
      </w:r>
      <w:r>
        <w:rPr>
          <w:rFonts w:hint="eastAsia" w:ascii="宋体" w:hAnsi="宋体" w:cs="宋体"/>
          <w:color w:val="auto"/>
          <w:highlight w:val="none"/>
        </w:rPr>
        <w:t>椒江区</w:t>
      </w:r>
      <w:r>
        <w:rPr>
          <w:rFonts w:hint="eastAsia" w:ascii="宋体" w:hAnsi="宋体" w:cs="宋体"/>
          <w:color w:val="auto"/>
          <w:highlight w:val="none"/>
          <w:lang w:val="en-US" w:eastAsia="zh-CN"/>
        </w:rPr>
        <w:t>章安街道</w:t>
      </w:r>
      <w:r>
        <w:rPr>
          <w:rFonts w:hint="eastAsia" w:ascii="宋体" w:hAnsi="宋体" w:cs="宋体"/>
          <w:color w:val="auto"/>
          <w:highlight w:val="none"/>
        </w:rPr>
        <w:t>。</w:t>
      </w:r>
    </w:p>
    <w:p w14:paraId="22D108C8">
      <w:pPr>
        <w:pStyle w:val="17"/>
        <w:pBdr>
          <w:top w:val="none" w:color="auto" w:sz="0" w:space="0"/>
        </w:pBdr>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（三）质量标准及质量保修期</w:t>
      </w:r>
    </w:p>
    <w:p w14:paraId="3E1032A5">
      <w:pPr>
        <w:pStyle w:val="17"/>
        <w:pBdr>
          <w:top w:val="none" w:color="auto" w:sz="0" w:space="0"/>
        </w:pBdr>
        <w:spacing w:line="360" w:lineRule="auto"/>
        <w:ind w:firstLine="482" w:firstLineChars="200"/>
        <w:rPr>
          <w:rFonts w:ascii="宋体" w:hAnsi="宋体"/>
          <w:color w:val="auto"/>
          <w:kern w:val="0"/>
          <w:sz w:val="24"/>
          <w:highlight w:val="none"/>
        </w:rPr>
      </w:pPr>
      <w:r>
        <w:rPr>
          <w:rFonts w:hint="eastAsia" w:ascii="宋体" w:hAnsi="宋体"/>
          <w:b/>
          <w:bCs/>
          <w:color w:val="auto"/>
          <w:kern w:val="0"/>
          <w:sz w:val="24"/>
          <w:highlight w:val="none"/>
        </w:rPr>
        <w:t>质量标准：</w:t>
      </w:r>
      <w:r>
        <w:rPr>
          <w:rFonts w:hint="eastAsia" w:ascii="宋体" w:hAnsi="宋体"/>
          <w:color w:val="auto"/>
          <w:kern w:val="0"/>
          <w:sz w:val="24"/>
          <w:highlight w:val="none"/>
        </w:rPr>
        <w:t>合格</w:t>
      </w:r>
    </w:p>
    <w:p w14:paraId="1A5CAAC2">
      <w:pPr>
        <w:pStyle w:val="32"/>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质量保修期： 1年。</w:t>
      </w:r>
    </w:p>
    <w:p w14:paraId="067B53C6">
      <w:pPr>
        <w:pStyle w:val="32"/>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（1）在免费保修期内，成交人对有缺陷的部位必须无偿地给予修理与更换，并承担一切由此引起的对采购人或第三方的直接损失，除非该缺陷是由于人为破坏或合同规定的不可抗因素造成的损坏。</w:t>
      </w:r>
    </w:p>
    <w:p w14:paraId="0435E116">
      <w:pPr>
        <w:pStyle w:val="32"/>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（2）成交人必须对所中标的工程的质量负全部责任，其责任不因其他材料生产商提供的保证书而减轻或更改。</w:t>
      </w:r>
    </w:p>
    <w:p w14:paraId="57AE1151">
      <w:pPr>
        <w:pStyle w:val="32"/>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（3）材料检验结果证明其有害物质含量指标超标的产品不得在工程上使用。</w:t>
      </w:r>
    </w:p>
    <w:p w14:paraId="450B0E40">
      <w:pPr>
        <w:snapToGrid w:val="0"/>
        <w:spacing w:line="360" w:lineRule="auto"/>
        <w:jc w:val="left"/>
        <w:rPr>
          <w:rFonts w:hint="eastAsia" w:ascii="宋体" w:hAnsi="宋体" w:eastAsia="宋体" w:cs="Arial"/>
          <w:color w:val="auto"/>
          <w:sz w:val="24"/>
          <w:szCs w:val="24"/>
          <w:highlight w:val="none"/>
          <w:lang w:eastAsia="zh-CN"/>
        </w:rPr>
      </w:pPr>
      <w:r>
        <w:rPr>
          <w:rFonts w:hint="eastAsia" w:ascii="宋体" w:hAnsi="宋体" w:cs="Arial"/>
          <w:b/>
          <w:bCs/>
          <w:color w:val="auto"/>
          <w:sz w:val="24"/>
          <w:highlight w:val="none"/>
        </w:rPr>
        <w:t>（四）付款条件：</w:t>
      </w:r>
      <w:r>
        <w:rPr>
          <w:rFonts w:hint="eastAsia" w:ascii="宋体" w:hAnsi="宋体" w:eastAsia="宋体" w:cs="Arial"/>
          <w:color w:val="auto"/>
          <w:kern w:val="2"/>
          <w:sz w:val="24"/>
          <w:szCs w:val="24"/>
          <w:highlight w:val="none"/>
          <w:lang w:val="en-US" w:eastAsia="zh-CN" w:bidi="ar-SA"/>
        </w:rPr>
        <w:t>工程预付款的金额为签约合同价的10%，承包人人员、设备进场施工后，由承包人提出书面申请，并经监理人出具付款证书报送发包人批准后7天内予以支付，工程预付款不退回，后期直接抵作工程进度款。本工程按进度支付工程进度款，项目完成80%时，支付不超过合同价的50%工程价款（含预付款）</w:t>
      </w:r>
      <w:r>
        <w:rPr>
          <w:rFonts w:hint="eastAsia" w:ascii="宋体" w:hAnsi="宋体" w:cs="Arial"/>
          <w:color w:val="auto"/>
          <w:kern w:val="2"/>
          <w:sz w:val="24"/>
          <w:szCs w:val="24"/>
          <w:highlight w:val="none"/>
          <w:lang w:val="en-US" w:eastAsia="zh-CN" w:bidi="ar-SA"/>
        </w:rPr>
        <w:t>，</w:t>
      </w:r>
      <w:r>
        <w:rPr>
          <w:rFonts w:hint="eastAsia" w:ascii="宋体" w:hAnsi="宋体" w:eastAsia="宋体" w:cs="Arial"/>
          <w:color w:val="auto"/>
          <w:kern w:val="2"/>
          <w:sz w:val="24"/>
          <w:szCs w:val="24"/>
          <w:highlight w:val="none"/>
          <w:lang w:val="en-US" w:eastAsia="zh-CN" w:bidi="ar-SA"/>
        </w:rPr>
        <w:t>项目完工验收合格，承包人完成结算资料并上报至发包人，资料提交后发包人应向承包人支付不超过合同价的</w:t>
      </w:r>
      <w:r>
        <w:rPr>
          <w:rFonts w:hint="eastAsia" w:ascii="宋体" w:hAnsi="宋体" w:cs="Arial"/>
          <w:color w:val="auto"/>
          <w:kern w:val="2"/>
          <w:sz w:val="24"/>
          <w:szCs w:val="24"/>
          <w:highlight w:val="none"/>
          <w:lang w:val="en-US" w:eastAsia="zh-CN" w:bidi="ar-SA"/>
        </w:rPr>
        <w:t>8</w:t>
      </w:r>
      <w:r>
        <w:rPr>
          <w:rFonts w:hint="eastAsia" w:ascii="宋体" w:hAnsi="宋体" w:eastAsia="宋体" w:cs="Arial"/>
          <w:color w:val="auto"/>
          <w:kern w:val="2"/>
          <w:sz w:val="24"/>
          <w:szCs w:val="24"/>
          <w:highlight w:val="none"/>
          <w:lang w:val="en-US" w:eastAsia="zh-CN" w:bidi="ar-SA"/>
        </w:rPr>
        <w:t>5%工程价款（含预付款）；</w:t>
      </w:r>
      <w:r>
        <w:rPr>
          <w:rFonts w:hint="eastAsia" w:ascii="宋体" w:hAnsi="宋体" w:cs="Arial"/>
          <w:color w:val="auto"/>
          <w:kern w:val="2"/>
          <w:sz w:val="24"/>
          <w:szCs w:val="24"/>
          <w:highlight w:val="none"/>
          <w:lang w:val="en-US" w:eastAsia="zh-CN" w:bidi="ar-SA"/>
        </w:rPr>
        <w:t>待工程经竣工验收合格且按照政府工程相关规定完成结算后</w:t>
      </w:r>
      <w:r>
        <w:rPr>
          <w:rFonts w:hint="eastAsia" w:ascii="宋体" w:hAnsi="宋体" w:eastAsia="宋体" w:cs="Arial"/>
          <w:color w:val="auto"/>
          <w:kern w:val="2"/>
          <w:sz w:val="24"/>
          <w:szCs w:val="24"/>
          <w:highlight w:val="none"/>
          <w:lang w:val="en-US" w:eastAsia="zh-CN" w:bidi="ar-SA"/>
        </w:rPr>
        <w:t>,支付财政备案的结算审定价的</w:t>
      </w:r>
      <w:r>
        <w:rPr>
          <w:rFonts w:hint="eastAsia" w:ascii="宋体" w:hAnsi="宋体" w:cs="Arial"/>
          <w:color w:val="auto"/>
          <w:kern w:val="2"/>
          <w:sz w:val="24"/>
          <w:szCs w:val="24"/>
          <w:highlight w:val="none"/>
          <w:lang w:val="en-US" w:eastAsia="zh-CN" w:bidi="ar-SA"/>
        </w:rPr>
        <w:t>98.5</w:t>
      </w:r>
      <w:r>
        <w:rPr>
          <w:rFonts w:hint="eastAsia" w:ascii="宋体" w:hAnsi="宋体" w:eastAsia="宋体" w:cs="Arial"/>
          <w:color w:val="auto"/>
          <w:kern w:val="2"/>
          <w:sz w:val="24"/>
          <w:szCs w:val="24"/>
          <w:highlight w:val="none"/>
          <w:lang w:val="en-US" w:eastAsia="zh-CN" w:bidi="ar-SA"/>
        </w:rPr>
        <w:t>%</w:t>
      </w:r>
      <w:r>
        <w:rPr>
          <w:rFonts w:hint="eastAsia" w:ascii="宋体" w:hAnsi="宋体" w:cs="Arial"/>
          <w:color w:val="auto"/>
          <w:kern w:val="2"/>
          <w:sz w:val="24"/>
          <w:szCs w:val="24"/>
          <w:highlight w:val="none"/>
          <w:lang w:val="en-US" w:eastAsia="zh-CN" w:bidi="ar-SA"/>
        </w:rPr>
        <w:t>（扣留</w:t>
      </w:r>
      <w:r>
        <w:rPr>
          <w:rFonts w:hint="eastAsia" w:ascii="宋体" w:hAnsi="宋体" w:eastAsia="宋体" w:cs="Arial"/>
          <w:color w:val="auto"/>
          <w:kern w:val="2"/>
          <w:sz w:val="24"/>
          <w:szCs w:val="24"/>
          <w:highlight w:val="none"/>
          <w:lang w:val="en-US" w:eastAsia="zh-CN" w:bidi="ar-SA"/>
        </w:rPr>
        <w:t>财政备案的结算审定价</w:t>
      </w:r>
      <w:r>
        <w:rPr>
          <w:rFonts w:hint="eastAsia" w:ascii="宋体" w:hAnsi="宋体" w:cs="Arial"/>
          <w:color w:val="auto"/>
          <w:kern w:val="2"/>
          <w:sz w:val="24"/>
          <w:szCs w:val="24"/>
          <w:highlight w:val="none"/>
          <w:lang w:val="en-US" w:eastAsia="zh-CN" w:bidi="ar-SA"/>
        </w:rPr>
        <w:t>的1.5%作为</w:t>
      </w:r>
      <w:r>
        <w:rPr>
          <w:rFonts w:hint="eastAsia" w:ascii="宋体" w:hAnsi="宋体" w:eastAsia="宋体" w:cs="Arial"/>
          <w:color w:val="auto"/>
          <w:kern w:val="2"/>
          <w:sz w:val="24"/>
          <w:szCs w:val="24"/>
          <w:highlight w:val="none"/>
          <w:lang w:val="en-US" w:eastAsia="zh-CN" w:bidi="ar-SA"/>
        </w:rPr>
        <w:t>质量保证金</w:t>
      </w:r>
      <w:r>
        <w:rPr>
          <w:rFonts w:hint="eastAsia" w:ascii="宋体" w:hAnsi="宋体" w:cs="Arial"/>
          <w:color w:val="auto"/>
          <w:kern w:val="2"/>
          <w:sz w:val="24"/>
          <w:szCs w:val="24"/>
          <w:highlight w:val="none"/>
          <w:lang w:val="en-US" w:eastAsia="zh-CN" w:bidi="ar-SA"/>
        </w:rPr>
        <w:t>）</w:t>
      </w:r>
      <w:r>
        <w:rPr>
          <w:rFonts w:hint="eastAsia" w:ascii="宋体" w:hAnsi="宋体" w:eastAsia="宋体" w:cs="Arial"/>
          <w:color w:val="auto"/>
          <w:kern w:val="2"/>
          <w:sz w:val="24"/>
          <w:szCs w:val="24"/>
          <w:highlight w:val="none"/>
          <w:lang w:val="en-US" w:eastAsia="zh-CN" w:bidi="ar-SA"/>
        </w:rPr>
        <w:t>。</w:t>
      </w:r>
    </w:p>
    <w:p w14:paraId="72D0D0FF">
      <w:pPr>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　　</w:t>
      </w:r>
      <w:r>
        <w:rPr>
          <w:rFonts w:hint="eastAsia" w:ascii="宋体" w:hAnsi="宋体" w:cs="Arial"/>
          <w:b/>
          <w:bCs/>
          <w:color w:val="auto"/>
          <w:sz w:val="24"/>
          <w:highlight w:val="none"/>
        </w:rPr>
        <w:t>（五）履约保证金：</w:t>
      </w:r>
      <w:r>
        <w:rPr>
          <w:rFonts w:hint="eastAsia" w:ascii="宋体" w:hAnsi="宋体" w:eastAsia="宋体" w:cs="Arial"/>
          <w:color w:val="auto"/>
          <w:sz w:val="24"/>
          <w:szCs w:val="24"/>
          <w:highlight w:val="none"/>
          <w:lang w:eastAsia="zh-CN"/>
        </w:rPr>
        <w:t>本项目履约保证金为合同金额的1%。可采用银行保函、保险机构保证保险保单、保兑支票、银行汇票或支票，服务期满后无违约情况一个月内退还（无息），如有违约情况，退还剩余部分。采用保函保单方式的，应当保证其有效期不少于合同服务期届满之日</w:t>
      </w:r>
      <w:r>
        <w:rPr>
          <w:rFonts w:hint="eastAsia" w:ascii="宋体" w:hAnsi="宋体" w:cs="Arial"/>
          <w:color w:val="auto"/>
          <w:sz w:val="24"/>
          <w:szCs w:val="24"/>
          <w:highlight w:val="none"/>
          <w:lang w:val="en-US" w:eastAsia="zh-CN"/>
        </w:rPr>
        <w:t>起</w:t>
      </w:r>
      <w:r>
        <w:rPr>
          <w:rFonts w:hint="eastAsia" w:ascii="宋体" w:hAnsi="宋体" w:eastAsia="宋体" w:cs="Arial"/>
          <w:color w:val="auto"/>
          <w:sz w:val="24"/>
          <w:szCs w:val="24"/>
          <w:highlight w:val="none"/>
          <w:lang w:eastAsia="zh-CN"/>
        </w:rPr>
        <w:t>1个月内。</w:t>
      </w:r>
    </w:p>
    <w:p w14:paraId="4509E1D1">
      <w:pPr>
        <w:snapToGrid w:val="0"/>
        <w:spacing w:line="360" w:lineRule="auto"/>
        <w:jc w:val="left"/>
        <w:rPr>
          <w:color w:val="auto"/>
          <w:highlight w:val="none"/>
        </w:rPr>
      </w:pPr>
    </w:p>
    <w:p w14:paraId="495E9FA2">
      <w:pPr>
        <w:pStyle w:val="22"/>
        <w:rPr>
          <w:color w:val="auto"/>
          <w:highlight w:val="none"/>
        </w:rPr>
      </w:pPr>
    </w:p>
    <w:p w14:paraId="33CFAE2C">
      <w:pPr>
        <w:numPr>
          <w:ilvl w:val="0"/>
          <w:numId w:val="3"/>
        </w:numPr>
        <w:spacing w:line="360" w:lineRule="auto"/>
        <w:jc w:val="center"/>
        <w:outlineLvl w:val="0"/>
        <w:rPr>
          <w:rFonts w:asciiTheme="minorEastAsia" w:hAnsiTheme="minorEastAsia" w:eastAsiaTheme="minorEastAsia"/>
          <w:b/>
          <w:color w:val="auto"/>
          <w:sz w:val="36"/>
          <w:szCs w:val="36"/>
          <w:highlight w:val="none"/>
        </w:rPr>
      </w:pPr>
      <w:bookmarkStart w:id="32" w:name="_Toc20379"/>
      <w:r>
        <w:rPr>
          <w:rFonts w:hint="eastAsia" w:asciiTheme="minorEastAsia" w:hAnsiTheme="minorEastAsia" w:eastAsiaTheme="minorEastAsia"/>
          <w:b/>
          <w:color w:val="auto"/>
          <w:sz w:val="36"/>
          <w:szCs w:val="36"/>
          <w:highlight w:val="none"/>
        </w:rPr>
        <w:t>磋商</w:t>
      </w:r>
      <w:bookmarkEnd w:id="32"/>
    </w:p>
    <w:p w14:paraId="7DB3C7A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一、磋商原则</w:t>
      </w:r>
    </w:p>
    <w:p w14:paraId="4F56B419">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19FE918">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二、评审方法</w:t>
      </w:r>
    </w:p>
    <w:p w14:paraId="320CFC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综合评分法,是指响应文件满足磋商文件全部实质性要求且按照评审因素的量化指标</w:t>
      </w:r>
      <w:r>
        <w:rPr>
          <w:rFonts w:hint="eastAsia" w:cs="宋体" w:asciiTheme="minorEastAsia" w:hAnsiTheme="minorEastAsia" w:eastAsiaTheme="minorEastAsia"/>
          <w:color w:val="auto"/>
          <w:sz w:val="24"/>
          <w:highlight w:val="none"/>
          <w:lang w:val="zh-CN"/>
        </w:rPr>
        <w:t>以评审总得分最高的供应商为第一成交候选人，评审总得分次高的供应商为第二成交候选人，评审总得分第三高的供应商为第三成交候选人</w:t>
      </w:r>
      <w:r>
        <w:rPr>
          <w:rFonts w:hint="eastAsia" w:cs="宋体" w:asciiTheme="minorEastAsia" w:hAnsiTheme="minorEastAsia" w:eastAsiaTheme="minorEastAsia"/>
          <w:color w:val="auto"/>
          <w:sz w:val="24"/>
          <w:highlight w:val="none"/>
        </w:rPr>
        <w:t>的评标方法。</w:t>
      </w:r>
    </w:p>
    <w:p w14:paraId="650BDC64">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14:paraId="2CB1F4FB">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asciiTheme="minorEastAsia" w:hAnsiTheme="minorEastAsia" w:eastAsiaTheme="minorEastAsia" w:cstheme="minorBidi"/>
          <w:color w:val="auto"/>
          <w:sz w:val="24"/>
          <w:szCs w:val="24"/>
          <w:highlight w:val="none"/>
        </w:rPr>
        <w:t>磋商小组</w:t>
      </w:r>
      <w:r>
        <w:rPr>
          <w:rFonts w:asciiTheme="minorEastAsia" w:hAnsiTheme="minorEastAsia" w:eastAsiaTheme="minorEastAsia"/>
          <w:color w:val="auto"/>
          <w:sz w:val="24"/>
          <w:szCs w:val="24"/>
          <w:highlight w:val="none"/>
        </w:rPr>
        <w:t>由</w:t>
      </w:r>
      <w:r>
        <w:rPr>
          <w:rFonts w:hint="eastAsia" w:asciiTheme="minorEastAsia" w:hAnsiTheme="minorEastAsia" w:eastAsiaTheme="minorEastAsia"/>
          <w:color w:val="auto"/>
          <w:sz w:val="24"/>
          <w:szCs w:val="24"/>
          <w:highlight w:val="none"/>
        </w:rPr>
        <w:t>采购人代表和评审专家共3人以上单数</w:t>
      </w:r>
      <w:r>
        <w:rPr>
          <w:rFonts w:asciiTheme="minorEastAsia" w:hAnsiTheme="minorEastAsia" w:eastAsiaTheme="minorEastAsia"/>
          <w:color w:val="auto"/>
          <w:sz w:val="24"/>
          <w:szCs w:val="24"/>
          <w:highlight w:val="none"/>
        </w:rPr>
        <w:t>组成</w:t>
      </w:r>
      <w:r>
        <w:rPr>
          <w:rFonts w:hint="eastAsia" w:asciiTheme="minorEastAsia" w:hAnsiTheme="minorEastAsia" w:eastAsiaTheme="minorEastAsia"/>
          <w:color w:val="auto"/>
          <w:sz w:val="24"/>
          <w:szCs w:val="24"/>
          <w:highlight w:val="none"/>
        </w:rPr>
        <w:t>。</w:t>
      </w:r>
    </w:p>
    <w:p w14:paraId="0A6B0B81">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成员</w:t>
      </w:r>
      <w:r>
        <w:rPr>
          <w:rFonts w:hint="eastAsia" w:cs="宋体" w:asciiTheme="minorEastAsia" w:hAnsiTheme="minorEastAsia" w:eastAsiaTheme="minorEastAsia"/>
          <w:color w:val="auto"/>
          <w:sz w:val="24"/>
          <w:szCs w:val="24"/>
          <w:highlight w:val="none"/>
        </w:rPr>
        <w:t>与参与磋商的供应商</w:t>
      </w:r>
      <w:r>
        <w:rPr>
          <w:rFonts w:hint="eastAsia" w:asciiTheme="minorEastAsia" w:hAnsiTheme="minorEastAsia" w:eastAsiaTheme="minorEastAsia"/>
          <w:color w:val="auto"/>
          <w:sz w:val="24"/>
          <w:szCs w:val="24"/>
          <w:highlight w:val="none"/>
        </w:rPr>
        <w:t>有下列情形之一的，应当回避：</w:t>
      </w:r>
    </w:p>
    <w:p w14:paraId="465183AF">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1.参加采购活动前3年内与供应商存在劳动关系；</w:t>
      </w:r>
    </w:p>
    <w:p w14:paraId="59FB7C33">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2.参加采购活动前3年内担任供应商的董事、监事；</w:t>
      </w:r>
    </w:p>
    <w:p w14:paraId="75E3FA75">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3.参加采购活动前3年内是供应商的控股股东或者实际控制人；</w:t>
      </w:r>
    </w:p>
    <w:p w14:paraId="191CA501">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4.与供应商的法定代表人或者负责人有夫妻、直系血亲、三代以内旁系血亲或者近姻亲关系；</w:t>
      </w:r>
    </w:p>
    <w:p w14:paraId="5103F296">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5.与供应商有其他可能影响政府采购活动公平、公正进行的关系。</w:t>
      </w:r>
    </w:p>
    <w:p w14:paraId="1C5FF2A3">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负责具体评审事务，并独立履行下列职责：</w:t>
      </w:r>
    </w:p>
    <w:p w14:paraId="375A33AD">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1.审查、评价响应文件是否符合磋商文件的商务、技术等实质性要求；</w:t>
      </w:r>
    </w:p>
    <w:p w14:paraId="365C5F07">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2.要求供应商对响应文件有关事项作出澄清或者说明；</w:t>
      </w:r>
    </w:p>
    <w:p w14:paraId="3BE5ABE4">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3.对响应文件进行比较和评价；</w:t>
      </w:r>
    </w:p>
    <w:p w14:paraId="71E4C92A">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4.确定成交候选人名单，以及根据采购人委托直接确定成交供应商；</w:t>
      </w:r>
    </w:p>
    <w:p w14:paraId="67A1D751">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5.向采购人、采购</w:t>
      </w:r>
      <w:r>
        <w:rPr>
          <w:rFonts w:hint="eastAsia" w:asciiTheme="minorEastAsia" w:hAnsiTheme="minorEastAsia" w:eastAsiaTheme="minorEastAsia" w:cstheme="minorBidi"/>
          <w:color w:val="auto"/>
          <w:sz w:val="24"/>
          <w:szCs w:val="24"/>
          <w:highlight w:val="none"/>
        </w:rPr>
        <w:t>组织</w:t>
      </w:r>
      <w:r>
        <w:rPr>
          <w:rFonts w:hint="eastAsia" w:asciiTheme="minorEastAsia" w:hAnsiTheme="minorEastAsia" w:eastAsiaTheme="minorEastAsia"/>
          <w:color w:val="auto"/>
          <w:sz w:val="24"/>
          <w:szCs w:val="24"/>
          <w:highlight w:val="none"/>
        </w:rPr>
        <w:t>机构或者有关部门报告评审中发现的违法行为；</w:t>
      </w:r>
    </w:p>
    <w:p w14:paraId="5618D786">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6.法律法规规定的其他职责。</w:t>
      </w:r>
    </w:p>
    <w:p w14:paraId="5A3C88DB">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四、磋商要求</w:t>
      </w:r>
    </w:p>
    <w:p w14:paraId="59F7540F">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（一）采购人、采购代理机构不得对磋商小组中的评审专家作倾向性、误导性的解释或者说明。</w:t>
      </w:r>
    </w:p>
    <w:p w14:paraId="5C69B56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（二）磋商小组所有成员应当集中与单一供应商分别进行磋商，并给予所有参加磋商的供应商平等的磋商机会。</w:t>
      </w:r>
    </w:p>
    <w:p w14:paraId="039BEC1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14:paraId="56171F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（四）对磋商文件作出的实质性变动是磋商文件的有效组成部分，磋商小组应当及时以书面形式同时通知所有参加磋商的供应商。</w:t>
      </w:r>
    </w:p>
    <w:p w14:paraId="1EFB52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（五）供应商应当按照磋商文件的变动情况和磋商小组的要求重新提交响应文件，并由其法定代表人或授权代表签字或者加盖公章。</w:t>
      </w:r>
    </w:p>
    <w:p w14:paraId="3E2F2AA9">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（六）已提交响应文件的供应商，在提交最后报价之前，可以根据磋商情况退出磋商。</w:t>
      </w:r>
    </w:p>
    <w:p w14:paraId="2FFF30F6">
      <w:pPr>
        <w:pStyle w:val="20"/>
        <w:spacing w:before="0" w:beforeAutospacing="0" w:after="0" w:afterAutospacing="0" w:line="360" w:lineRule="auto"/>
        <w:ind w:firstLine="480" w:firstLineChars="200"/>
        <w:jc w:val="both"/>
        <w:rPr>
          <w:rFonts w:hint="default" w:asciiTheme="minorEastAsia" w:hAnsiTheme="minorEastAsia" w:eastAsiaTheme="minorEastAsia"/>
          <w:b/>
          <w:color w:val="auto"/>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b/>
          <w:color w:val="auto"/>
          <w:highlight w:val="none"/>
        </w:rPr>
        <w:t>五、无效响应情形</w:t>
      </w:r>
    </w:p>
    <w:p w14:paraId="08DA27A7">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olor w:val="auto"/>
          <w:kern w:val="0"/>
          <w:sz w:val="24"/>
          <w:highlight w:val="none"/>
        </w:rPr>
        <w:t>报价文件中报价的货物或服务跟商务与技术文件中的响应的货物或服务出现重大偏差的；</w:t>
      </w:r>
    </w:p>
    <w:p w14:paraId="76202B5B">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（二）不具备磋商文件中规定的资格要求的；</w:t>
      </w:r>
      <w:r>
        <w:rPr>
          <w:rFonts w:hint="default" w:asciiTheme="minorEastAsia" w:hAnsiTheme="minorEastAsia" w:eastAsiaTheme="minorEastAsia"/>
          <w:color w:val="auto"/>
          <w:highlight w:val="none"/>
        </w:rPr>
        <w:tab/>
      </w:r>
    </w:p>
    <w:p w14:paraId="7F96E816">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（三）响应文件含有采购人不能接受的附加条件的；</w:t>
      </w:r>
    </w:p>
    <w:p w14:paraId="57AA932F">
      <w:pPr>
        <w:pStyle w:val="8"/>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磋商小组认为供应商的报价明显低于其他通过符合性审查供应商的报价，有可能影响产品质量或者不能诚信履约的，供应商在限定的时间内不能证明其报价合理性的，磋商小组应当将其作为无效响应处理；</w:t>
      </w:r>
    </w:p>
    <w:p w14:paraId="005CA23C">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（五）报价超过磋商文件中规定的预算金额/最高限（单）价； </w:t>
      </w:r>
    </w:p>
    <w:p w14:paraId="28964E5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（六）</w:t>
      </w:r>
      <w:r>
        <w:rPr>
          <w:rFonts w:hint="eastAsia" w:asciiTheme="minorEastAsia" w:hAnsiTheme="minorEastAsia" w:eastAsiaTheme="minorEastAsia"/>
          <w:color w:val="auto"/>
          <w:kern w:val="0"/>
          <w:sz w:val="24"/>
          <w:highlight w:val="none"/>
        </w:rPr>
        <w:t>响应参数未如实填写；</w:t>
      </w:r>
    </w:p>
    <w:p w14:paraId="12F2211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（七）响应文件</w:t>
      </w:r>
      <w:r>
        <w:rPr>
          <w:rFonts w:hint="eastAsia" w:asciiTheme="minorEastAsia" w:hAnsiTheme="minorEastAsia" w:eastAsiaTheme="minorEastAsia"/>
          <w:color w:val="auto"/>
          <w:kern w:val="0"/>
          <w:sz w:val="24"/>
          <w:highlight w:val="none"/>
        </w:rPr>
        <w:t xml:space="preserve">存在虚假材料的； </w:t>
      </w:r>
    </w:p>
    <w:p w14:paraId="019F1C8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3476743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（九）不同供应商委托同一单位或者个人办理磋商事宜；</w:t>
      </w:r>
    </w:p>
    <w:p w14:paraId="7D0DB136">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（十）不同供应商的响应文件载明的项目管理成员或者联系人员为同一人；</w:t>
      </w:r>
    </w:p>
    <w:p w14:paraId="14E337FA">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（十一）不同供应商的响应文件异常一致或者磋商报价呈规律性差异；</w:t>
      </w:r>
    </w:p>
    <w:p w14:paraId="6E6C0247">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1DF76FD3">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（十三）</w:t>
      </w:r>
      <w:r>
        <w:rPr>
          <w:rFonts w:cs="宋体" w:asciiTheme="minorEastAsia" w:hAnsiTheme="minorEastAsia" w:eastAsiaTheme="minorEastAsia"/>
          <w:color w:val="auto"/>
          <w:highlight w:val="none"/>
        </w:rPr>
        <w:t>实质性要求（磋商文件中打“▲”内容）不响应或响应不符合要求的；</w:t>
      </w:r>
    </w:p>
    <w:p w14:paraId="1E9B3C3A">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（十四）</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4664BE42">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（十五）</w:t>
      </w:r>
      <w:r>
        <w:rPr>
          <w:rFonts w:hint="eastAsia" w:asciiTheme="minorEastAsia" w:hAnsiTheme="minorEastAsia" w:eastAsiaTheme="minorEastAsia"/>
          <w:color w:val="auto"/>
          <w:kern w:val="0"/>
          <w:sz w:val="24"/>
          <w:szCs w:val="24"/>
          <w:highlight w:val="none"/>
        </w:rPr>
        <w:t>逾期或未按要求提交</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30727D17">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（十六）</w:t>
      </w:r>
      <w:r>
        <w:rPr>
          <w:rFonts w:hint="eastAsia" w:asciiTheme="minorEastAsia" w:hAnsiTheme="minorEastAsia" w:eastAsiaTheme="minorEastAsia"/>
          <w:color w:val="auto"/>
          <w:kern w:val="0"/>
          <w:sz w:val="24"/>
          <w:szCs w:val="24"/>
          <w:highlight w:val="none"/>
        </w:rPr>
        <w:t>其他</w:t>
      </w:r>
      <w:r>
        <w:rPr>
          <w:rFonts w:cs="宋体" w:asciiTheme="minorEastAsia" w:hAnsiTheme="minorEastAsia" w:eastAsiaTheme="minorEastAsia"/>
          <w:color w:val="auto"/>
          <w:sz w:val="24"/>
          <w:szCs w:val="24"/>
          <w:highlight w:val="none"/>
        </w:rPr>
        <w:t>不符合法律、法规相关规定的</w:t>
      </w:r>
      <w:r>
        <w:rPr>
          <w:rFonts w:hint="eastAsia" w:cs="宋体" w:asciiTheme="minorEastAsia" w:hAnsiTheme="minorEastAsia" w:eastAsiaTheme="minorEastAsia"/>
          <w:color w:val="auto"/>
          <w:sz w:val="24"/>
          <w:szCs w:val="24"/>
          <w:highlight w:val="none"/>
        </w:rPr>
        <w:t>。</w:t>
      </w:r>
    </w:p>
    <w:p w14:paraId="082A8B4D">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kern w:val="0"/>
          <w:sz w:val="24"/>
          <w:highlight w:val="none"/>
        </w:rPr>
        <w:t>六、终止磋商情形</w:t>
      </w:r>
    </w:p>
    <w:p w14:paraId="4CBDA6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（一）出现影响采购公正的违法、违规行为的；</w:t>
      </w:r>
    </w:p>
    <w:p w14:paraId="6BE1BF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（二）磋商小组发现磋商文件存在歧义、重大缺陷导致评审工作无法进行，或者磋商文件内容违反国家有关强制性规定的；</w:t>
      </w:r>
    </w:p>
    <w:p w14:paraId="77E862F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（三）因重大变故，采购任务取消的；</w:t>
      </w:r>
    </w:p>
    <w:p w14:paraId="78034947">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68028F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（五）法律、法规和磋商文件规定的其他导致评审结果无效的。</w:t>
      </w:r>
    </w:p>
    <w:p w14:paraId="2AD4504F">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14:paraId="16B1A7C1">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14:paraId="6C9778A1">
      <w:pPr>
        <w:pStyle w:val="20"/>
        <w:spacing w:before="0" w:beforeAutospacing="0" w:after="0" w:afterAutospacing="0" w:line="360" w:lineRule="auto"/>
        <w:ind w:firstLine="482" w:firstLineChars="200"/>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八、政府采购政策落实</w:t>
      </w:r>
      <w:r>
        <w:rPr>
          <w:b/>
          <w:bCs/>
          <w:color w:val="auto"/>
          <w:highlight w:val="none"/>
        </w:rPr>
        <w:t>(本项目</w:t>
      </w:r>
      <w:r>
        <w:rPr>
          <w:rFonts w:cs="宋体"/>
          <w:b/>
          <w:color w:val="auto"/>
          <w:highlight w:val="none"/>
        </w:rPr>
        <w:t>专门面向中小企业，不再享受相应的小微企业优惠政策进行价格扣除)</w:t>
      </w:r>
    </w:p>
    <w:p w14:paraId="69BD3A42">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14:paraId="25BBD8C1">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2B520825">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asciiTheme="minorEastAsia" w:hAnsiTheme="minorEastAsia" w:eastAsiaTheme="minor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4"/>
        <w:gridCol w:w="6733"/>
      </w:tblGrid>
      <w:tr w14:paraId="1370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4" w:type="dxa"/>
            <w:vAlign w:val="center"/>
          </w:tcPr>
          <w:p w14:paraId="2479B0FE">
            <w:pPr>
              <w:pStyle w:val="34"/>
              <w:spacing w:before="1"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具有独立承担民事责任的能力</w:t>
            </w:r>
          </w:p>
        </w:tc>
        <w:tc>
          <w:tcPr>
            <w:tcW w:w="6733" w:type="dxa"/>
            <w:vAlign w:val="center"/>
          </w:tcPr>
          <w:p w14:paraId="3A8A27D9">
            <w:pPr>
              <w:pStyle w:val="34"/>
              <w:spacing w:line="360" w:lineRule="auto"/>
              <w:ind w:left="64" w:right="63"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在中华人民共和国境内注册的法人或其他组织或自然人，磋商时提交有效的营业执照（或事业法人登记证或身份证等相关证明）副本扫描件。（以联合体形式参与磋商时，联合体各方均须满足该条款）</w:t>
            </w:r>
          </w:p>
        </w:tc>
      </w:tr>
      <w:tr w14:paraId="37FB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2384" w:type="dxa"/>
            <w:shd w:val="clear" w:color="auto" w:fill="F6F6F6"/>
            <w:vAlign w:val="center"/>
          </w:tcPr>
          <w:p w14:paraId="63030359">
            <w:pPr>
              <w:pStyle w:val="34"/>
              <w:spacing w:before="1"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有依法缴纳税收和社会保障资金的良好记录</w:t>
            </w:r>
          </w:p>
        </w:tc>
        <w:tc>
          <w:tcPr>
            <w:tcW w:w="6733" w:type="dxa"/>
            <w:vMerge w:val="restart"/>
            <w:shd w:val="clear" w:color="auto" w:fill="F6F6F6"/>
            <w:vAlign w:val="center"/>
          </w:tcPr>
          <w:p w14:paraId="2921C410">
            <w:pPr>
              <w:pStyle w:val="34"/>
              <w:spacing w:before="117" w:line="360" w:lineRule="auto"/>
              <w:ind w:firstLine="480" w:firstLineChars="200"/>
              <w:rPr>
                <w:rFonts w:asciiTheme="minorEastAsia" w:hAnsiTheme="minorEastAsia" w:eastAsiaTheme="minorEastAsia"/>
                <w:color w:val="auto"/>
                <w:sz w:val="24"/>
                <w:highlight w:val="none"/>
              </w:rPr>
            </w:pPr>
            <w:r>
              <w:rPr>
                <w:rFonts w:hint="eastAsia"/>
                <w:color w:val="auto"/>
                <w:sz w:val="24"/>
                <w:highlight w:val="none"/>
              </w:rPr>
              <w:t>符合参与政府采购活动的资格条件、具备良好的商业信誉和健全的财务会计制度并且没有税收缴纳、社会保障等方面的失信记录的承诺函（格式见附件）</w:t>
            </w:r>
          </w:p>
        </w:tc>
      </w:tr>
      <w:tr w14:paraId="2E17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2384" w:type="dxa"/>
            <w:vAlign w:val="center"/>
          </w:tcPr>
          <w:p w14:paraId="0577C680">
            <w:pPr>
              <w:pStyle w:val="34"/>
              <w:spacing w:before="1"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具有良好的商业信誉和健全的财务会计制度</w:t>
            </w:r>
          </w:p>
        </w:tc>
        <w:tc>
          <w:tcPr>
            <w:tcW w:w="6733" w:type="dxa"/>
            <w:vMerge w:val="continue"/>
            <w:vAlign w:val="center"/>
          </w:tcPr>
          <w:p w14:paraId="3A1BAF22">
            <w:pPr>
              <w:pStyle w:val="34"/>
              <w:spacing w:before="117" w:line="360" w:lineRule="auto"/>
              <w:ind w:firstLine="480" w:firstLineChars="200"/>
              <w:rPr>
                <w:rFonts w:asciiTheme="minorEastAsia" w:hAnsiTheme="minorEastAsia" w:eastAsiaTheme="minorEastAsia"/>
                <w:color w:val="auto"/>
                <w:sz w:val="24"/>
                <w:highlight w:val="none"/>
              </w:rPr>
            </w:pPr>
          </w:p>
        </w:tc>
      </w:tr>
      <w:tr w14:paraId="7F05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4" w:type="dxa"/>
            <w:shd w:val="clear" w:color="auto" w:fill="F6F6F6"/>
            <w:vAlign w:val="center"/>
          </w:tcPr>
          <w:p w14:paraId="235B0C44">
            <w:pPr>
              <w:pStyle w:val="34"/>
              <w:spacing w:before="1"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履行合同所必需的设备和专业技术能力</w:t>
            </w:r>
          </w:p>
        </w:tc>
        <w:tc>
          <w:tcPr>
            <w:tcW w:w="6733" w:type="dxa"/>
            <w:shd w:val="clear" w:color="auto" w:fill="F6F6F6"/>
            <w:vAlign w:val="center"/>
          </w:tcPr>
          <w:p w14:paraId="483D683F">
            <w:pPr>
              <w:pStyle w:val="34"/>
              <w:spacing w:before="1" w:line="360" w:lineRule="auto"/>
              <w:ind w:left="64"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承诺函（格式见附件）</w:t>
            </w:r>
          </w:p>
        </w:tc>
      </w:tr>
      <w:tr w14:paraId="54B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384" w:type="dxa"/>
            <w:vAlign w:val="center"/>
          </w:tcPr>
          <w:p w14:paraId="11E46E9F">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参加采购活动前</w:t>
            </w:r>
            <w:r>
              <w:rPr>
                <w:rFonts w:hint="eastAsia" w:asciiTheme="minorEastAsia" w:hAnsiTheme="minorEastAsia" w:eastAsiaTheme="minorEastAsia"/>
                <w:color w:val="auto"/>
                <w:w w:val="110"/>
                <w:sz w:val="24"/>
                <w:highlight w:val="none"/>
              </w:rPr>
              <w:t>3</w:t>
            </w:r>
            <w:r>
              <w:rPr>
                <w:rFonts w:hint="eastAsia" w:asciiTheme="minorEastAsia" w:hAnsiTheme="minorEastAsia" w:eastAsiaTheme="minorEastAsia"/>
                <w:color w:val="auto"/>
                <w:sz w:val="24"/>
                <w:highlight w:val="none"/>
              </w:rPr>
              <w:t>年内，在经营活动中没有重大违法记录</w:t>
            </w:r>
          </w:p>
        </w:tc>
        <w:tc>
          <w:tcPr>
            <w:tcW w:w="6733" w:type="dxa"/>
            <w:vAlign w:val="center"/>
          </w:tcPr>
          <w:p w14:paraId="6AD71A0D">
            <w:pPr>
              <w:pStyle w:val="34"/>
              <w:spacing w:before="48" w:line="360" w:lineRule="auto"/>
              <w:ind w:left="64" w:right="63"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14:paraId="1565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384" w:type="dxa"/>
            <w:vAlign w:val="center"/>
          </w:tcPr>
          <w:p w14:paraId="54D408D4">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信用记录</w:t>
            </w:r>
          </w:p>
        </w:tc>
        <w:tc>
          <w:tcPr>
            <w:tcW w:w="6733" w:type="dxa"/>
            <w:vAlign w:val="center"/>
          </w:tcPr>
          <w:p w14:paraId="5071BD9E">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截止时点：</w:t>
            </w:r>
            <w:r>
              <w:rPr>
                <w:rFonts w:hint="eastAsia" w:asciiTheme="minorEastAsia" w:hAnsiTheme="minorEastAsia" w:eastAsiaTheme="minorEastAsia"/>
                <w:color w:val="auto"/>
                <w:sz w:val="24"/>
                <w:highlight w:val="none"/>
              </w:rPr>
              <w:t>开标后评标前</w:t>
            </w:r>
            <w:r>
              <w:rPr>
                <w:rFonts w:asciiTheme="minorEastAsia" w:hAnsiTheme="minorEastAsia" w:eastAsiaTheme="minorEastAsia"/>
                <w:color w:val="auto"/>
                <w:sz w:val="24"/>
                <w:highlight w:val="none"/>
              </w:rPr>
              <w:t>。</w:t>
            </w:r>
          </w:p>
          <w:p w14:paraId="4EBAFAD6">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信用信息查询记录和证据留存的具体方式：由采购组织机构在规定查询时间内打印信用信息查询记录并归入项目档案。</w:t>
            </w:r>
          </w:p>
          <w:p w14:paraId="6C8AC5BE">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使用规则</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未被列入“信用中国”失信被执行人或重大税收违法案件当事人名单；</w:t>
            </w:r>
            <w:r>
              <w:rPr>
                <w:rFonts w:hint="eastAsia" w:asciiTheme="minorEastAsia" w:hAnsiTheme="minorEastAsia" w:eastAsiaTheme="minorEastAsia"/>
                <w:color w:val="auto"/>
                <w:sz w:val="24"/>
                <w:highlight w:val="none"/>
              </w:rPr>
              <w:t>未</w:t>
            </w:r>
            <w:r>
              <w:rPr>
                <w:rFonts w:asciiTheme="minorEastAsia" w:hAnsiTheme="minorEastAsia" w:eastAsiaTheme="minorEastAsia"/>
                <w:color w:val="auto"/>
                <w:sz w:val="24"/>
                <w:highlight w:val="none"/>
              </w:rPr>
              <w:t>处于“中国政府采购网”政府采购严重违法失信行为信息记录中的禁止参加政府采购活动期间。（以联合体形式投标时，联合体各方均须满足该条款）</w:t>
            </w:r>
          </w:p>
          <w:p w14:paraId="3E4609BF">
            <w:pPr>
              <w:pStyle w:val="34"/>
              <w:spacing w:line="360" w:lineRule="auto"/>
              <w:ind w:right="146"/>
              <w:rPr>
                <w:color w:val="auto"/>
                <w:kern w:val="0"/>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查询渠道：</w:t>
            </w:r>
            <w:r>
              <w:rPr>
                <w:rFonts w:hint="eastAsia"/>
                <w:color w:val="auto"/>
                <w:kern w:val="0"/>
                <w:sz w:val="24"/>
                <w:highlight w:val="none"/>
              </w:rPr>
              <w:t>“信用中国”（www.creditchina.gov.cn）、中国政府采购网（www.ccgp.gov.cn）、浙江政府采购网（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27"/>
                <w:color w:val="auto"/>
                <w:kern w:val="0"/>
                <w:sz w:val="24"/>
                <w:highlight w:val="none"/>
              </w:rPr>
              <w:t>https://zfcg.czt.zj.gov.cn</w:t>
            </w:r>
            <w:r>
              <w:rPr>
                <w:rStyle w:val="27"/>
                <w:color w:val="auto"/>
                <w:kern w:val="0"/>
                <w:sz w:val="24"/>
                <w:highlight w:val="none"/>
              </w:rPr>
              <w:fldChar w:fldCharType="end"/>
            </w:r>
            <w:r>
              <w:rPr>
                <w:rFonts w:hint="eastAsia"/>
                <w:color w:val="auto"/>
                <w:kern w:val="0"/>
                <w:sz w:val="24"/>
                <w:highlight w:val="none"/>
              </w:rPr>
              <w:t>）</w:t>
            </w:r>
          </w:p>
          <w:p w14:paraId="369C6BA6">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注：供应商无须单独提供</w:t>
            </w:r>
          </w:p>
        </w:tc>
      </w:tr>
      <w:tr w14:paraId="039A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384" w:type="dxa"/>
            <w:vAlign w:val="center"/>
          </w:tcPr>
          <w:p w14:paraId="6E8E1F88">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供应商必须符合法律、行政法规规定的其他条件</w:t>
            </w:r>
          </w:p>
        </w:tc>
        <w:tc>
          <w:tcPr>
            <w:tcW w:w="6733" w:type="dxa"/>
            <w:vAlign w:val="center"/>
          </w:tcPr>
          <w:p w14:paraId="679BB4EF">
            <w:pPr>
              <w:pStyle w:val="34"/>
              <w:spacing w:before="48" w:line="360" w:lineRule="auto"/>
              <w:ind w:right="63" w:firstLine="480" w:firstLineChars="20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z w:val="24"/>
                <w:highlight w:val="none"/>
              </w:rPr>
              <w:t>1.单位负责人为同一人或者存在直接控股、管理关系的不同供应商，不得参加同一合同项下的政府采购活动</w:t>
            </w:r>
            <w:r>
              <w:rPr>
                <w:rFonts w:hint="eastAsia" w:asciiTheme="minorEastAsia" w:hAnsiTheme="minorEastAsia" w:eastAsiaTheme="minorEastAsia"/>
                <w:color w:val="auto"/>
                <w:spacing w:val="-3"/>
                <w:sz w:val="24"/>
                <w:highlight w:val="none"/>
              </w:rPr>
              <w:t>。</w:t>
            </w:r>
          </w:p>
          <w:p w14:paraId="11CE75CE">
            <w:pPr>
              <w:pStyle w:val="34"/>
              <w:spacing w:before="48" w:line="360" w:lineRule="auto"/>
              <w:ind w:right="63" w:firstLine="468"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2.为本项目提供整体设计、规范编制或者项目管理、监理、检测等服务的供应商</w:t>
            </w:r>
            <w:r>
              <w:rPr>
                <w:rFonts w:hint="eastAsia" w:asciiTheme="minorEastAsia" w:hAnsiTheme="minorEastAsia" w:eastAsiaTheme="minorEastAsia"/>
                <w:color w:val="auto"/>
                <w:spacing w:val="1"/>
                <w:sz w:val="24"/>
                <w:highlight w:val="none"/>
              </w:rPr>
              <w:t>，不得再参与本项目磋商。</w:t>
            </w:r>
          </w:p>
          <w:p w14:paraId="31FEDA22">
            <w:pPr>
              <w:pStyle w:val="34"/>
              <w:spacing w:before="48" w:line="360" w:lineRule="auto"/>
              <w:ind w:left="64" w:right="63" w:firstLine="484" w:firstLineChars="200"/>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3</w:t>
            </w:r>
            <w:r>
              <w:rPr>
                <w:rFonts w:asciiTheme="minorEastAsia" w:hAnsiTheme="minorEastAsia" w:eastAsiaTheme="minorEastAsia"/>
                <w:color w:val="auto"/>
                <w:spacing w:val="1"/>
                <w:sz w:val="24"/>
                <w:highlight w:val="none"/>
              </w:rPr>
              <w:t>.</w:t>
            </w:r>
            <w:r>
              <w:rPr>
                <w:rFonts w:hint="eastAsia"/>
                <w:color w:val="auto"/>
                <w:sz w:val="24"/>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1B0B02CE">
            <w:pPr>
              <w:pStyle w:val="34"/>
              <w:spacing w:before="48" w:line="360" w:lineRule="auto"/>
              <w:ind w:left="64" w:right="63" w:firstLine="484"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4.</w:t>
            </w:r>
            <w:r>
              <w:rPr>
                <w:rFonts w:hint="eastAsia" w:asciiTheme="minorEastAsia" w:hAnsiTheme="minorEastAsia" w:eastAsiaTheme="minorEastAsia"/>
                <w:color w:val="auto"/>
                <w:sz w:val="24"/>
                <w:highlight w:val="none"/>
              </w:rPr>
              <w:t>相关承诺要求内容。（以联合体形式参与磋商时，联合体各方均须满足该条款）</w:t>
            </w:r>
          </w:p>
        </w:tc>
      </w:tr>
      <w:tr w14:paraId="2EE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84" w:type="dxa"/>
            <w:shd w:val="clear" w:color="auto" w:fill="F6F6F6"/>
            <w:vAlign w:val="center"/>
          </w:tcPr>
          <w:p w14:paraId="18452BCE">
            <w:pPr>
              <w:pStyle w:val="34"/>
              <w:spacing w:before="48" w:line="360" w:lineRule="auto"/>
              <w:ind w:left="6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联合体参与磋商</w:t>
            </w:r>
          </w:p>
        </w:tc>
        <w:tc>
          <w:tcPr>
            <w:tcW w:w="6733" w:type="dxa"/>
            <w:shd w:val="clear" w:color="auto" w:fill="F6F6F6"/>
            <w:vAlign w:val="center"/>
          </w:tcPr>
          <w:p w14:paraId="606BE708">
            <w:pPr>
              <w:pStyle w:val="34"/>
              <w:spacing w:before="48" w:line="360" w:lineRule="auto"/>
              <w:ind w:left="64"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本项目不接受联合体参与磋商。</w:t>
            </w:r>
          </w:p>
        </w:tc>
      </w:tr>
      <w:tr w14:paraId="2BD4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84" w:type="dxa"/>
            <w:vAlign w:val="center"/>
          </w:tcPr>
          <w:p w14:paraId="3BD53AF5">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特定资格要求</w:t>
            </w:r>
          </w:p>
        </w:tc>
        <w:tc>
          <w:tcPr>
            <w:tcW w:w="6733" w:type="dxa"/>
            <w:vAlign w:val="center"/>
          </w:tcPr>
          <w:p w14:paraId="26DC92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（1）供应商应具有</w:t>
            </w:r>
            <w:r>
              <w:rPr>
                <w:rFonts w:hint="eastAsia" w:ascii="宋体" w:hAnsi="宋体" w:cs="宋体"/>
                <w:color w:val="auto"/>
                <w:kern w:val="0"/>
                <w:sz w:val="24"/>
                <w:highlight w:val="none"/>
                <w:lang w:eastAsia="zh-CN"/>
              </w:rPr>
              <w:t>水利水电工程施工总承包二级及以上资质（包含仍在有效期范围内的水利水电工程施工总承包三级资质）</w:t>
            </w:r>
            <w:r>
              <w:rPr>
                <w:rFonts w:hint="eastAsia" w:ascii="宋体" w:hAnsi="宋体" w:cs="宋体"/>
                <w:color w:val="auto"/>
                <w:sz w:val="24"/>
                <w:highlight w:val="none"/>
              </w:rPr>
              <w:t>；</w:t>
            </w:r>
          </w:p>
          <w:p w14:paraId="201B1D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拟派的项目负责人应具有水利水电专业二级及以上建造师注册证书</w:t>
            </w:r>
            <w:r>
              <w:rPr>
                <w:rFonts w:hint="eastAsia" w:ascii="宋体" w:hAnsi="宋体" w:eastAsia="宋体" w:cs="宋体"/>
                <w:color w:val="auto"/>
                <w:kern w:val="0"/>
                <w:sz w:val="24"/>
                <w:highlight w:val="none"/>
                <w:lang w:eastAsia="zh-CN"/>
              </w:rPr>
              <w:t>（项目负责人无在建工程）</w:t>
            </w:r>
            <w:r>
              <w:rPr>
                <w:rFonts w:hint="eastAsia" w:ascii="宋体" w:hAnsi="宋体" w:cs="宋体"/>
                <w:color w:val="auto"/>
                <w:kern w:val="0"/>
                <w:sz w:val="24"/>
                <w:highlight w:val="none"/>
              </w:rPr>
              <w:t>。</w:t>
            </w:r>
          </w:p>
          <w:p w14:paraId="4D8F6A2C">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3.安全生产许可证副本扫描件或影印件；</w:t>
            </w:r>
          </w:p>
          <w:p w14:paraId="3B36D041">
            <w:pPr>
              <w:widowControl/>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宋体" w:hAnsi="宋体"/>
                <w:color w:val="auto"/>
                <w:kern w:val="0"/>
                <w:sz w:val="24"/>
                <w:highlight w:val="none"/>
              </w:rPr>
              <w:t>如为浙江省省外企业还须提供浙江省水利建设市场信息平台”上公示的打印页面。</w:t>
            </w:r>
          </w:p>
        </w:tc>
      </w:tr>
      <w:tr w14:paraId="14A1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84" w:type="dxa"/>
            <w:shd w:val="clear" w:color="auto" w:fill="F6F6F6"/>
            <w:vAlign w:val="center"/>
          </w:tcPr>
          <w:p w14:paraId="10E8AFDA">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法定代表人/负责人资格证明书或法定代表人授权委托书</w:t>
            </w:r>
          </w:p>
        </w:tc>
        <w:tc>
          <w:tcPr>
            <w:tcW w:w="6733" w:type="dxa"/>
            <w:shd w:val="clear" w:color="auto" w:fill="F6F6F6"/>
            <w:vAlign w:val="center"/>
          </w:tcPr>
          <w:p w14:paraId="786FEFE6">
            <w:pPr>
              <w:pStyle w:val="34"/>
              <w:spacing w:before="1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法定代表人/负责人资格证明书（身份证）或法定代表人授权委托书，按对应格式文件签署、盖章。</w:t>
            </w:r>
          </w:p>
        </w:tc>
      </w:tr>
      <w:tr w14:paraId="1F09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84" w:type="dxa"/>
            <w:shd w:val="clear" w:color="auto" w:fill="F6F6F6"/>
            <w:vAlign w:val="center"/>
          </w:tcPr>
          <w:p w14:paraId="530EDF9C">
            <w:pPr>
              <w:pStyle w:val="34"/>
              <w:spacing w:before="1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落实政府采购政策需满足的资格要求</w:t>
            </w:r>
          </w:p>
        </w:tc>
        <w:tc>
          <w:tcPr>
            <w:tcW w:w="6733" w:type="dxa"/>
            <w:shd w:val="clear" w:color="auto" w:fill="F6F6F6"/>
            <w:vAlign w:val="center"/>
          </w:tcPr>
          <w:p w14:paraId="5E570735">
            <w:pPr>
              <w:pStyle w:val="34"/>
              <w:spacing w:before="1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提供中小企业声明函（格式见附件）或残疾人福利性单位声明函（格式见附件）或监狱企业证明文件。</w:t>
            </w:r>
          </w:p>
        </w:tc>
      </w:tr>
    </w:tbl>
    <w:p w14:paraId="6B2ACC7E">
      <w:pPr>
        <w:pStyle w:val="8"/>
        <w:spacing w:before="120" w:beforeLines="50" w:line="360" w:lineRule="auto"/>
        <w:ind w:firstLine="482" w:firstLineChars="200"/>
        <w:jc w:val="both"/>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3A272C71">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310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58042D6D">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磋商响应文件</w:t>
            </w:r>
          </w:p>
        </w:tc>
        <w:tc>
          <w:tcPr>
            <w:tcW w:w="7476" w:type="dxa"/>
            <w:vAlign w:val="center"/>
          </w:tcPr>
          <w:p w14:paraId="0A52D2CD">
            <w:pPr>
              <w:pStyle w:val="34"/>
              <w:spacing w:before="48"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磋商响应文件无重大错漏，并按要求签署、盖章。</w:t>
            </w:r>
          </w:p>
        </w:tc>
      </w:tr>
      <w:tr w14:paraId="534B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6A640EB9">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“▲”实质性条款</w:t>
            </w:r>
          </w:p>
        </w:tc>
        <w:tc>
          <w:tcPr>
            <w:tcW w:w="7476" w:type="dxa"/>
            <w:vAlign w:val="center"/>
          </w:tcPr>
          <w:p w14:paraId="12146AD1">
            <w:pPr>
              <w:pStyle w:val="34"/>
              <w:spacing w:before="48"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“▲”实质性条款满足磋商文件要求。</w:t>
            </w:r>
          </w:p>
        </w:tc>
      </w:tr>
      <w:tr w14:paraId="0AB9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73584F16">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磋商响应有效期</w:t>
            </w:r>
          </w:p>
        </w:tc>
        <w:tc>
          <w:tcPr>
            <w:tcW w:w="7476" w:type="dxa"/>
            <w:shd w:val="clear" w:color="auto" w:fill="F6F6F6"/>
            <w:vAlign w:val="center"/>
          </w:tcPr>
          <w:p w14:paraId="226D4D00">
            <w:pPr>
              <w:pStyle w:val="34"/>
              <w:spacing w:before="48"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磋商有效期为磋商截止日起至少90天。</w:t>
            </w:r>
          </w:p>
        </w:tc>
      </w:tr>
      <w:tr w14:paraId="56D9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43C1FB68">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附加条件</w:t>
            </w:r>
          </w:p>
        </w:tc>
        <w:tc>
          <w:tcPr>
            <w:tcW w:w="7476" w:type="dxa"/>
            <w:vAlign w:val="center"/>
          </w:tcPr>
          <w:p w14:paraId="6888C7A7">
            <w:pPr>
              <w:pStyle w:val="34"/>
              <w:spacing w:before="48"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磋商响应文件未含有采购人不可接受的附加条件。</w:t>
            </w:r>
          </w:p>
        </w:tc>
      </w:tr>
      <w:tr w14:paraId="6C8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0BAE073F">
            <w:pPr>
              <w:pStyle w:val="34"/>
              <w:spacing w:line="360" w:lineRule="auto"/>
              <w:ind w:right="14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其他</w:t>
            </w:r>
          </w:p>
        </w:tc>
        <w:tc>
          <w:tcPr>
            <w:tcW w:w="7476" w:type="dxa"/>
            <w:vAlign w:val="center"/>
          </w:tcPr>
          <w:p w14:paraId="284EB2FA">
            <w:pPr>
              <w:pStyle w:val="34"/>
              <w:spacing w:before="48"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磋商响应文件并无其他法定或本文件规定的无效情形。</w:t>
            </w:r>
          </w:p>
        </w:tc>
      </w:tr>
    </w:tbl>
    <w:p w14:paraId="37B3831B">
      <w:pPr>
        <w:autoSpaceDE w:val="0"/>
        <w:autoSpaceDN w:val="0"/>
        <w:spacing w:before="120" w:beforeLines="50"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color w:val="auto"/>
          <w:sz w:val="24"/>
          <w:highlight w:val="none"/>
        </w:rPr>
        <w:t>商务与技术</w:t>
      </w:r>
      <w:r>
        <w:rPr>
          <w:rFonts w:hint="eastAsia" w:asciiTheme="minorEastAsia" w:hAnsiTheme="minorEastAsia" w:eastAsiaTheme="minorEastAsia"/>
          <w:b/>
          <w:bCs/>
          <w:color w:val="auto"/>
          <w:sz w:val="24"/>
          <w:highlight w:val="none"/>
        </w:rPr>
        <w:t>及价格评审</w:t>
      </w:r>
    </w:p>
    <w:p w14:paraId="6A4A5859">
      <w:pPr>
        <w:autoSpaceDE w:val="0"/>
        <w:autoSpaceDN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本项目评审方法为综合评分法，总计100分，评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14:paraId="7579D2C9">
      <w:pPr>
        <w:pStyle w:val="21"/>
        <w:rPr>
          <w:rFonts w:hint="eastAsia" w:asciiTheme="minorEastAsia" w:hAnsiTheme="minorEastAsia" w:eastAsiaTheme="minorEastAsia"/>
          <w:color w:val="auto"/>
          <w:kern w:val="0"/>
          <w:sz w:val="24"/>
          <w:highlight w:val="none"/>
        </w:rPr>
      </w:pPr>
    </w:p>
    <w:p w14:paraId="3907DDFE">
      <w:pPr>
        <w:rPr>
          <w:rFonts w:hint="eastAsia" w:asciiTheme="minorEastAsia" w:hAnsiTheme="minorEastAsia" w:eastAsiaTheme="minorEastAsia"/>
          <w:color w:val="auto"/>
          <w:kern w:val="0"/>
          <w:sz w:val="24"/>
          <w:highlight w:val="none"/>
        </w:rPr>
      </w:pPr>
    </w:p>
    <w:p w14:paraId="4E6B88A2">
      <w:pPr>
        <w:pStyle w:val="21"/>
        <w:rPr>
          <w:rFonts w:hint="eastAsia" w:asciiTheme="minorEastAsia" w:hAnsiTheme="minorEastAsia" w:eastAsiaTheme="minorEastAsia"/>
          <w:color w:val="auto"/>
          <w:kern w:val="0"/>
          <w:sz w:val="24"/>
          <w:highlight w:val="none"/>
        </w:rPr>
      </w:pPr>
    </w:p>
    <w:p w14:paraId="0A184E0A">
      <w:pPr>
        <w:rPr>
          <w:rFonts w:hint="eastAsia" w:asciiTheme="minorEastAsia" w:hAnsiTheme="minorEastAsia" w:eastAsiaTheme="minorEastAsia"/>
          <w:color w:val="auto"/>
          <w:kern w:val="0"/>
          <w:sz w:val="24"/>
          <w:highlight w:val="none"/>
        </w:rPr>
      </w:pPr>
    </w:p>
    <w:p w14:paraId="4C62E6F3">
      <w:pPr>
        <w:pStyle w:val="21"/>
        <w:rPr>
          <w:color w:val="auto"/>
          <w:highlight w:val="none"/>
        </w:rPr>
      </w:pPr>
    </w:p>
    <w:p w14:paraId="79A535D2">
      <w:pPr>
        <w:autoSpaceDE w:val="0"/>
        <w:autoSpaceDN w:val="0"/>
        <w:adjustRightInd w:val="0"/>
        <w:spacing w:line="360" w:lineRule="auto"/>
        <w:ind w:right="85"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1.评分标准</w:t>
      </w:r>
    </w:p>
    <w:tbl>
      <w:tblPr>
        <w:tblStyle w:val="23"/>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8445"/>
        <w:gridCol w:w="750"/>
      </w:tblGrid>
      <w:tr w14:paraId="471FF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827" w:type="dxa"/>
            <w:shd w:val="pct20" w:color="auto" w:fill="auto"/>
            <w:vAlign w:val="center"/>
          </w:tcPr>
          <w:p w14:paraId="26197C65">
            <w:pPr>
              <w:widowControl/>
              <w:jc w:val="center"/>
              <w:rPr>
                <w:rFonts w:ascii="宋体" w:hAnsi="宋体"/>
                <w:b/>
                <w:color w:val="auto"/>
                <w:szCs w:val="21"/>
                <w:highlight w:val="none"/>
              </w:rPr>
            </w:pPr>
            <w:r>
              <w:rPr>
                <w:rFonts w:hint="eastAsia" w:ascii="宋体" w:hAnsi="宋体"/>
                <w:b/>
                <w:color w:val="auto"/>
                <w:szCs w:val="21"/>
                <w:highlight w:val="none"/>
              </w:rPr>
              <w:t>评分</w:t>
            </w:r>
          </w:p>
          <w:p w14:paraId="3500A094">
            <w:pPr>
              <w:widowControl/>
              <w:jc w:val="center"/>
              <w:rPr>
                <w:rFonts w:ascii="宋体" w:hAnsi="宋体" w:cs="Arial"/>
                <w:b/>
                <w:bCs/>
                <w:color w:val="auto"/>
                <w:szCs w:val="21"/>
                <w:highlight w:val="none"/>
              </w:rPr>
            </w:pPr>
            <w:r>
              <w:rPr>
                <w:rFonts w:hint="eastAsia" w:ascii="宋体" w:hAnsi="宋体"/>
                <w:b/>
                <w:color w:val="auto"/>
                <w:szCs w:val="21"/>
                <w:highlight w:val="none"/>
              </w:rPr>
              <w:t>项目</w:t>
            </w:r>
          </w:p>
        </w:tc>
        <w:tc>
          <w:tcPr>
            <w:tcW w:w="8445" w:type="dxa"/>
            <w:shd w:val="pct20" w:color="auto" w:fill="auto"/>
            <w:vAlign w:val="center"/>
          </w:tcPr>
          <w:p w14:paraId="12F79B87">
            <w:pPr>
              <w:widowControl/>
              <w:jc w:val="center"/>
              <w:rPr>
                <w:rFonts w:ascii="宋体" w:hAnsi="宋体"/>
                <w:b/>
                <w:color w:val="auto"/>
                <w:szCs w:val="21"/>
                <w:highlight w:val="none"/>
              </w:rPr>
            </w:pPr>
            <w:r>
              <w:rPr>
                <w:rFonts w:hint="eastAsia" w:ascii="宋体" w:hAnsi="宋体"/>
                <w:b/>
                <w:color w:val="auto"/>
                <w:szCs w:val="21"/>
                <w:highlight w:val="none"/>
              </w:rPr>
              <w:t>评分细则</w:t>
            </w:r>
          </w:p>
        </w:tc>
        <w:tc>
          <w:tcPr>
            <w:tcW w:w="750" w:type="dxa"/>
            <w:shd w:val="pct20" w:color="auto" w:fill="auto"/>
            <w:vAlign w:val="center"/>
          </w:tcPr>
          <w:p w14:paraId="09873480">
            <w:pPr>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r>
      <w:tr w14:paraId="640C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827" w:type="dxa"/>
            <w:tcBorders>
              <w:top w:val="single" w:color="auto" w:sz="4" w:space="0"/>
            </w:tcBorders>
            <w:vAlign w:val="center"/>
          </w:tcPr>
          <w:p w14:paraId="04E6349D">
            <w:pPr>
              <w:widowControl/>
              <w:jc w:val="center"/>
              <w:rPr>
                <w:rFonts w:ascii="宋体" w:hAnsi="宋体"/>
                <w:color w:val="auto"/>
                <w:szCs w:val="21"/>
                <w:highlight w:val="none"/>
              </w:rPr>
            </w:pPr>
            <w:r>
              <w:rPr>
                <w:rFonts w:hint="eastAsia" w:ascii="宋体" w:hAnsi="宋体" w:cs="宋体"/>
                <w:color w:val="auto"/>
                <w:szCs w:val="21"/>
                <w:highlight w:val="none"/>
              </w:rPr>
              <w:t>类似业绩</w:t>
            </w:r>
          </w:p>
        </w:tc>
        <w:tc>
          <w:tcPr>
            <w:tcW w:w="8445" w:type="dxa"/>
            <w:vAlign w:val="center"/>
          </w:tcPr>
          <w:p w14:paraId="63DEA3BE">
            <w:pPr>
              <w:tabs>
                <w:tab w:val="center" w:pos="3289"/>
              </w:tabs>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客观分：</w:t>
            </w:r>
          </w:p>
          <w:p w14:paraId="69F62D25">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val="en-US" w:eastAsia="zh-CN"/>
              </w:rPr>
              <w:t>2021</w:t>
            </w:r>
            <w:r>
              <w:rPr>
                <w:rFonts w:hint="eastAsia" w:ascii="宋体" w:hAnsi="宋体" w:eastAsia="宋体" w:cs="宋体"/>
                <w:color w:val="auto"/>
                <w:sz w:val="22"/>
                <w:szCs w:val="22"/>
                <w:highlight w:val="none"/>
              </w:rPr>
              <w:t>年1月以来（以合同签订时间为准）具有</w:t>
            </w:r>
            <w:r>
              <w:rPr>
                <w:rFonts w:hint="eastAsia" w:ascii="宋体" w:hAnsi="宋体" w:eastAsia="宋体" w:cs="宋体"/>
                <w:color w:val="auto"/>
                <w:sz w:val="22"/>
                <w:szCs w:val="22"/>
                <w:highlight w:val="none"/>
                <w:lang w:val="en-US" w:eastAsia="zh-CN"/>
              </w:rPr>
              <w:t>类似水利工程项目</w:t>
            </w:r>
            <w:r>
              <w:rPr>
                <w:rFonts w:hint="eastAsia" w:ascii="宋体" w:hAnsi="宋体" w:eastAsia="宋体" w:cs="宋体"/>
                <w:color w:val="auto"/>
                <w:sz w:val="22"/>
                <w:szCs w:val="22"/>
                <w:highlight w:val="none"/>
              </w:rPr>
              <w:t>施工业绩的，每项得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分。提供合同扫描件，</w:t>
            </w:r>
            <w:r>
              <w:rPr>
                <w:rFonts w:hint="eastAsia" w:ascii="宋体" w:hAnsi="宋体" w:eastAsia="宋体" w:cs="宋体"/>
                <w:color w:val="auto"/>
                <w:sz w:val="22"/>
                <w:szCs w:val="22"/>
                <w:highlight w:val="none"/>
                <w:lang w:val="zh-CN"/>
              </w:rPr>
              <w:t>未提供不得分</w:t>
            </w:r>
            <w:r>
              <w:rPr>
                <w:rFonts w:hint="eastAsia" w:ascii="宋体" w:hAnsi="宋体" w:eastAsia="宋体" w:cs="宋体"/>
                <w:color w:val="auto"/>
                <w:sz w:val="22"/>
                <w:szCs w:val="22"/>
                <w:highlight w:val="none"/>
              </w:rPr>
              <w:t>。</w:t>
            </w:r>
          </w:p>
        </w:tc>
        <w:tc>
          <w:tcPr>
            <w:tcW w:w="750" w:type="dxa"/>
            <w:vAlign w:val="center"/>
          </w:tcPr>
          <w:p w14:paraId="03CD31A1">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14:paraId="64446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27" w:type="dxa"/>
            <w:tcBorders>
              <w:top w:val="single" w:color="auto" w:sz="4" w:space="0"/>
            </w:tcBorders>
            <w:vAlign w:val="center"/>
          </w:tcPr>
          <w:p w14:paraId="1FCDC297">
            <w:pPr>
              <w:adjustRightInd w:val="0"/>
              <w:snapToGrid w:val="0"/>
              <w:jc w:val="center"/>
              <w:rPr>
                <w:rFonts w:ascii="宋体" w:hAnsi="宋体" w:cs="宋体"/>
                <w:bCs/>
                <w:color w:val="auto"/>
                <w:szCs w:val="21"/>
                <w:highlight w:val="none"/>
              </w:rPr>
            </w:pPr>
            <w:r>
              <w:rPr>
                <w:rFonts w:hint="eastAsia" w:ascii="宋体" w:hAnsi="宋体" w:cs="宋体"/>
                <w:color w:val="auto"/>
                <w:szCs w:val="21"/>
                <w:highlight w:val="none"/>
              </w:rPr>
              <w:t>项目团队实力</w:t>
            </w:r>
          </w:p>
        </w:tc>
        <w:tc>
          <w:tcPr>
            <w:tcW w:w="8445" w:type="dxa"/>
            <w:vAlign w:val="center"/>
          </w:tcPr>
          <w:p w14:paraId="6FC5B3A3">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客观分：</w:t>
            </w:r>
          </w:p>
          <w:p w14:paraId="7513A98C">
            <w:pPr>
              <w:numPr>
                <w:ilvl w:val="0"/>
                <w:numId w:val="9"/>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项目负责人具有水利工程专业</w:t>
            </w:r>
            <w:r>
              <w:rPr>
                <w:rFonts w:hint="eastAsia" w:ascii="宋体" w:hAnsi="宋体" w:eastAsia="宋体" w:cs="宋体"/>
                <w:color w:val="auto"/>
                <w:sz w:val="22"/>
                <w:szCs w:val="22"/>
                <w:highlight w:val="none"/>
                <w:lang w:val="en-US" w:eastAsia="zh-CN"/>
              </w:rPr>
              <w:t>中级</w:t>
            </w:r>
            <w:r>
              <w:rPr>
                <w:rFonts w:hint="eastAsia" w:ascii="宋体" w:hAnsi="宋体" w:eastAsia="宋体" w:cs="宋体"/>
                <w:color w:val="auto"/>
                <w:sz w:val="22"/>
                <w:szCs w:val="22"/>
                <w:highlight w:val="none"/>
              </w:rPr>
              <w:t>工程师</w:t>
            </w:r>
            <w:r>
              <w:rPr>
                <w:rFonts w:hint="eastAsia" w:ascii="宋体" w:hAnsi="宋体" w:eastAsia="宋体" w:cs="宋体"/>
                <w:color w:val="auto"/>
                <w:sz w:val="22"/>
                <w:szCs w:val="22"/>
                <w:highlight w:val="none"/>
              </w:rPr>
              <w:t>及以上职称的，得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分，其他不得分。</w:t>
            </w:r>
          </w:p>
          <w:p w14:paraId="64A347F5">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2.技术负责人具有水利工程专业</w:t>
            </w:r>
            <w:r>
              <w:rPr>
                <w:rFonts w:hint="eastAsia" w:ascii="宋体" w:hAnsi="宋体" w:eastAsia="宋体" w:cs="宋体"/>
                <w:color w:val="auto"/>
                <w:sz w:val="22"/>
                <w:szCs w:val="22"/>
                <w:highlight w:val="none"/>
                <w:lang w:val="en-US" w:eastAsia="zh-CN"/>
              </w:rPr>
              <w:t>中级</w:t>
            </w:r>
            <w:r>
              <w:rPr>
                <w:rFonts w:hint="eastAsia" w:ascii="宋体" w:hAnsi="宋体" w:eastAsia="宋体" w:cs="宋体"/>
                <w:color w:val="auto"/>
                <w:sz w:val="22"/>
                <w:szCs w:val="22"/>
                <w:highlight w:val="none"/>
              </w:rPr>
              <w:t>工程师</w:t>
            </w:r>
            <w:r>
              <w:rPr>
                <w:rFonts w:hint="eastAsia" w:ascii="宋体" w:hAnsi="宋体" w:eastAsia="宋体" w:cs="宋体"/>
                <w:color w:val="auto"/>
                <w:sz w:val="22"/>
                <w:szCs w:val="22"/>
                <w:highlight w:val="none"/>
              </w:rPr>
              <w:t>及以上职称的，得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分，其他不得分。</w:t>
            </w:r>
          </w:p>
          <w:p w14:paraId="2E9E7604">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项目管理（或实施）人员（除项目负责人外）中</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水利工程专业</w:t>
            </w:r>
            <w:r>
              <w:rPr>
                <w:rFonts w:hint="eastAsia" w:ascii="宋体" w:hAnsi="宋体" w:eastAsia="宋体" w:cs="宋体"/>
                <w:color w:val="auto"/>
                <w:sz w:val="22"/>
                <w:szCs w:val="22"/>
                <w:highlight w:val="none"/>
                <w:lang w:val="en-US" w:eastAsia="zh-CN"/>
              </w:rPr>
              <w:t>一级造价工程师的得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水利工程专业</w:t>
            </w:r>
            <w:r>
              <w:rPr>
                <w:rFonts w:hint="eastAsia" w:ascii="宋体" w:hAnsi="宋体" w:eastAsia="宋体" w:cs="宋体"/>
                <w:color w:val="auto"/>
                <w:sz w:val="22"/>
                <w:szCs w:val="22"/>
                <w:highlight w:val="none"/>
                <w:lang w:val="en-US" w:eastAsia="zh-CN"/>
              </w:rPr>
              <w:t>二级造价工程师的得1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4CCDDC0D">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项目管理（或实施）人员（除项目负责人外）</w:t>
            </w:r>
            <w:r>
              <w:rPr>
                <w:rFonts w:hint="eastAsia" w:ascii="宋体" w:hAnsi="宋体" w:eastAsia="宋体" w:cs="宋体"/>
                <w:color w:val="auto"/>
                <w:sz w:val="22"/>
                <w:szCs w:val="22"/>
                <w:highlight w:val="none"/>
                <w:lang w:eastAsia="zh-CN"/>
              </w:rPr>
              <w:t>配备施工员的得</w:t>
            </w:r>
            <w:r>
              <w:rPr>
                <w:rFonts w:hint="eastAsia" w:ascii="宋体" w:hAnsi="宋体" w:eastAsia="宋体" w:cs="宋体"/>
                <w:color w:val="auto"/>
                <w:sz w:val="22"/>
                <w:szCs w:val="22"/>
                <w:highlight w:val="none"/>
                <w:lang w:val="en-US" w:eastAsia="zh-CN"/>
              </w:rPr>
              <w:t>1分，其他不得分。</w:t>
            </w:r>
          </w:p>
          <w:p w14:paraId="7A2F22F2">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项目管理（或实施）人员（除项目负责人外）</w:t>
            </w:r>
            <w:r>
              <w:rPr>
                <w:rFonts w:hint="eastAsia" w:ascii="宋体" w:hAnsi="宋体" w:eastAsia="宋体" w:cs="宋体"/>
                <w:color w:val="auto"/>
                <w:sz w:val="22"/>
                <w:szCs w:val="22"/>
                <w:highlight w:val="none"/>
                <w:lang w:eastAsia="zh-CN"/>
              </w:rPr>
              <w:t>配备质检员的得</w:t>
            </w:r>
            <w:r>
              <w:rPr>
                <w:rFonts w:hint="eastAsia" w:ascii="宋体" w:hAnsi="宋体" w:eastAsia="宋体" w:cs="宋体"/>
                <w:color w:val="auto"/>
                <w:sz w:val="22"/>
                <w:szCs w:val="22"/>
                <w:highlight w:val="none"/>
                <w:lang w:val="en-US" w:eastAsia="zh-CN"/>
              </w:rPr>
              <w:t>1分，其他不得分。</w:t>
            </w:r>
          </w:p>
          <w:p w14:paraId="780CCB61">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项目管理（或实施）人</w:t>
            </w:r>
            <w:r>
              <w:rPr>
                <w:rFonts w:hint="eastAsia" w:ascii="宋体" w:hAnsi="宋体" w:eastAsia="宋体" w:cs="宋体"/>
                <w:color w:val="auto"/>
                <w:sz w:val="22"/>
                <w:szCs w:val="22"/>
                <w:highlight w:val="none"/>
                <w:u w:val="none"/>
              </w:rPr>
              <w:t>员（除项目负责人外）</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安全员的得</w:t>
            </w:r>
            <w:r>
              <w:rPr>
                <w:rFonts w:hint="eastAsia" w:ascii="宋体" w:hAnsi="宋体" w:cs="宋体"/>
                <w:color w:val="auto"/>
                <w:sz w:val="22"/>
                <w:szCs w:val="22"/>
                <w:highlight w:val="none"/>
                <w:u w:val="none"/>
                <w:lang w:val="en-US" w:eastAsia="zh-CN"/>
              </w:rPr>
              <w:t>1分，其他不得分。</w:t>
            </w:r>
          </w:p>
          <w:p w14:paraId="3AB28B61">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注：一人多</w:t>
            </w:r>
            <w:r>
              <w:rPr>
                <w:rFonts w:hint="eastAsia" w:ascii="宋体" w:hAnsi="宋体" w:cs="宋体"/>
                <w:b/>
                <w:bCs/>
                <w:color w:val="auto"/>
                <w:sz w:val="22"/>
                <w:szCs w:val="22"/>
                <w:highlight w:val="none"/>
                <w:lang w:eastAsia="zh-CN"/>
              </w:rPr>
              <w:t>职</w:t>
            </w:r>
            <w:r>
              <w:rPr>
                <w:rFonts w:hint="eastAsia" w:ascii="宋体" w:hAnsi="宋体" w:eastAsia="宋体" w:cs="宋体"/>
                <w:b/>
                <w:bCs/>
                <w:color w:val="auto"/>
                <w:sz w:val="22"/>
                <w:szCs w:val="22"/>
                <w:highlight w:val="none"/>
              </w:rPr>
              <w:t>仅计分一次</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需提供有效证书及供应商为</w:t>
            </w:r>
            <w:r>
              <w:rPr>
                <w:rFonts w:hint="eastAsia" w:ascii="宋体" w:hAnsi="宋体" w:eastAsia="宋体" w:cs="宋体"/>
                <w:b/>
                <w:bCs/>
                <w:color w:val="auto"/>
                <w:sz w:val="22"/>
                <w:szCs w:val="22"/>
                <w:highlight w:val="none"/>
                <w:lang w:val="zh-CN" w:eastAsia="zh-CN"/>
              </w:rPr>
              <w:t>其缴纳近期的社保</w:t>
            </w:r>
            <w:r>
              <w:rPr>
                <w:rFonts w:hint="eastAsia" w:ascii="宋体" w:hAnsi="宋体" w:eastAsia="宋体" w:cs="宋体"/>
                <w:b/>
                <w:bCs/>
                <w:color w:val="auto"/>
                <w:sz w:val="22"/>
                <w:szCs w:val="22"/>
                <w:highlight w:val="none"/>
              </w:rPr>
              <w:t>证明（须为加盖社保部门印章的证明文件）影印件或扫描件，否则不得分。</w:t>
            </w:r>
          </w:p>
        </w:tc>
        <w:tc>
          <w:tcPr>
            <w:tcW w:w="750" w:type="dxa"/>
            <w:vAlign w:val="center"/>
          </w:tcPr>
          <w:p w14:paraId="2038BB62">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r w14:paraId="371B1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827" w:type="dxa"/>
            <w:tcBorders>
              <w:bottom w:val="single" w:color="auto" w:sz="4" w:space="0"/>
            </w:tcBorders>
            <w:vAlign w:val="center"/>
          </w:tcPr>
          <w:p w14:paraId="45A1F4ED">
            <w:pPr>
              <w:adjustRightInd w:val="0"/>
              <w:snapToGrid w:val="0"/>
              <w:jc w:val="center"/>
              <w:rPr>
                <w:color w:val="auto"/>
                <w:highlight w:val="none"/>
              </w:rPr>
            </w:pPr>
            <w:r>
              <w:rPr>
                <w:rFonts w:hint="eastAsia" w:ascii="宋体" w:hAnsi="宋体"/>
                <w:color w:val="auto"/>
                <w:szCs w:val="21"/>
                <w:highlight w:val="none"/>
              </w:rPr>
              <w:t>施工进度保证措施</w:t>
            </w:r>
          </w:p>
        </w:tc>
        <w:tc>
          <w:tcPr>
            <w:tcW w:w="8445" w:type="dxa"/>
            <w:vAlign w:val="center"/>
          </w:tcPr>
          <w:p w14:paraId="0597AFA9">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701A009E">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根据提供的施工进度计划、关键节点和线路的保证措施及承诺是否具有针对性和可行性，</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打分。</w:t>
            </w:r>
          </w:p>
          <w:p w14:paraId="5D816A74">
            <w:pPr>
              <w:numPr>
                <w:ilvl w:val="0"/>
                <w:numId w:val="10"/>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施工进度计划、关键节点和线路设置合理，工程进度保证措施可行性强的得</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14:paraId="63602489">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施工进度计划、关键节点和线路设置</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合理，工程进度保证措施可行性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50F7CA50">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施工进度计划、关键节点和线路设置较普通，工程进度保证措施可行性差的得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06D9D4E">
            <w:pPr>
              <w:adjustRightInd w:val="0"/>
              <w:snapToGrid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未提供该项内容不得分。</w:t>
            </w:r>
          </w:p>
        </w:tc>
        <w:tc>
          <w:tcPr>
            <w:tcW w:w="750" w:type="dxa"/>
            <w:vAlign w:val="center"/>
          </w:tcPr>
          <w:p w14:paraId="234B1A9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357A3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827" w:type="dxa"/>
            <w:tcBorders>
              <w:bottom w:val="single" w:color="auto" w:sz="4" w:space="0"/>
            </w:tcBorders>
            <w:vAlign w:val="center"/>
          </w:tcPr>
          <w:p w14:paraId="54664B4D">
            <w:pPr>
              <w:adjustRightInd w:val="0"/>
              <w:snapToGrid w:val="0"/>
              <w:jc w:val="center"/>
              <w:rPr>
                <w:rFonts w:ascii="宋体" w:hAnsi="宋体"/>
                <w:color w:val="auto"/>
                <w:szCs w:val="21"/>
                <w:highlight w:val="none"/>
              </w:rPr>
            </w:pPr>
            <w:r>
              <w:rPr>
                <w:rFonts w:hint="eastAsia" w:ascii="宋体" w:hAnsi="宋体"/>
                <w:color w:val="auto"/>
                <w:szCs w:val="21"/>
                <w:highlight w:val="none"/>
              </w:rPr>
              <w:t>安全文明施工保证措施</w:t>
            </w:r>
          </w:p>
        </w:tc>
        <w:tc>
          <w:tcPr>
            <w:tcW w:w="8445" w:type="dxa"/>
            <w:vAlign w:val="center"/>
          </w:tcPr>
          <w:p w14:paraId="3FF97597">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613449B8">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根据符合施工现场实际情况进行打分。</w:t>
            </w:r>
          </w:p>
          <w:p w14:paraId="5A06C597">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（1）根据实际情况制定安全文明施工保证计划全面周到、完整，关键地点、工序、环节控制保障措施得力，责任人具体的</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63B4B6B9">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（2）根据实际情况制定安全文明施工保证计划比较全面周到、完整，关键地点、工序、环节控制保障措施比较得力，责任人基本到位的</w:t>
            </w:r>
            <w:r>
              <w:rPr>
                <w:rFonts w:hint="eastAsia" w:ascii="宋体" w:hAnsi="宋体" w:eastAsia="宋体" w:cs="宋体"/>
                <w:color w:val="auto"/>
                <w:sz w:val="22"/>
                <w:szCs w:val="22"/>
                <w:highlight w:val="none"/>
                <w:lang w:val="zh-CN" w:eastAsia="zh-CN"/>
              </w:rPr>
              <w:t>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2B4A118D">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）根据实际情况制定安全文明施工保证计划不全面不周到、不完整，或关键地点、工序、环节控制保障措施未制订，或责任人未明确的</w:t>
            </w:r>
            <w:r>
              <w:rPr>
                <w:rFonts w:hint="eastAsia" w:ascii="宋体" w:hAnsi="宋体" w:eastAsia="宋体" w:cs="宋体"/>
                <w:color w:val="auto"/>
                <w:sz w:val="22"/>
                <w:szCs w:val="22"/>
                <w:highlight w:val="none"/>
                <w:lang w:val="zh-CN"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1E2C0B9F">
            <w:pPr>
              <w:numPr>
                <w:ilvl w:val="0"/>
                <w:numId w:val="0"/>
              </w:numPr>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）缺项的得0分。</w:t>
            </w:r>
          </w:p>
        </w:tc>
        <w:tc>
          <w:tcPr>
            <w:tcW w:w="750" w:type="dxa"/>
            <w:vAlign w:val="center"/>
          </w:tcPr>
          <w:p w14:paraId="1FF4660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69A7B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27" w:type="dxa"/>
            <w:tcBorders>
              <w:bottom w:val="single" w:color="auto" w:sz="4" w:space="0"/>
            </w:tcBorders>
            <w:vAlign w:val="center"/>
          </w:tcPr>
          <w:p w14:paraId="1EFC9166">
            <w:pPr>
              <w:adjustRightInd w:val="0"/>
              <w:snapToGrid w:val="0"/>
              <w:jc w:val="center"/>
              <w:rPr>
                <w:rFonts w:ascii="宋体" w:hAnsi="宋体"/>
                <w:color w:val="auto"/>
                <w:szCs w:val="21"/>
                <w:highlight w:val="none"/>
              </w:rPr>
            </w:pPr>
            <w:r>
              <w:rPr>
                <w:rFonts w:hint="eastAsia" w:ascii="宋体" w:hAnsi="宋体"/>
                <w:color w:val="auto"/>
                <w:szCs w:val="21"/>
                <w:highlight w:val="none"/>
              </w:rPr>
              <w:t>针对本项目的重难点分析</w:t>
            </w:r>
          </w:p>
        </w:tc>
        <w:tc>
          <w:tcPr>
            <w:tcW w:w="8445" w:type="dxa"/>
            <w:vAlign w:val="center"/>
          </w:tcPr>
          <w:p w14:paraId="748776A2">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4B1DD5BF">
            <w:p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投标人根据本项目的采购需求，重点、难点分析是否全面、阐述合理、条理清晰、符合现状措施等，由评委进行评价。</w:t>
            </w:r>
          </w:p>
          <w:p w14:paraId="5D064A61">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）重点、难点分析全面、到位、合理、准确的得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6BB9B3E5">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）重点、难点分析基本全面、到位、合理、准确的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7F407A49">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）重点、难点分析有缺陷的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39CA77A8">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缺项的得0分。</w:t>
            </w:r>
          </w:p>
        </w:tc>
        <w:tc>
          <w:tcPr>
            <w:tcW w:w="750" w:type="dxa"/>
            <w:vAlign w:val="center"/>
          </w:tcPr>
          <w:p w14:paraId="05725FE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49A70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27" w:type="dxa"/>
            <w:tcBorders>
              <w:bottom w:val="single" w:color="auto" w:sz="4" w:space="0"/>
            </w:tcBorders>
            <w:vAlign w:val="center"/>
          </w:tcPr>
          <w:p w14:paraId="487DE733">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rPr>
              <w:t>项目施工质量保证</w:t>
            </w:r>
            <w:r>
              <w:rPr>
                <w:rFonts w:hint="eastAsia" w:ascii="宋体" w:hAnsi="宋体"/>
                <w:color w:val="auto"/>
                <w:szCs w:val="21"/>
                <w:highlight w:val="none"/>
                <w:lang w:eastAsia="zh-CN"/>
              </w:rPr>
              <w:t>措施</w:t>
            </w:r>
          </w:p>
        </w:tc>
        <w:tc>
          <w:tcPr>
            <w:tcW w:w="8445" w:type="dxa"/>
            <w:vAlign w:val="center"/>
          </w:tcPr>
          <w:p w14:paraId="6D72FC35">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针对项目实施过程中的质量保证措施进行打分。</w:t>
            </w:r>
          </w:p>
          <w:p w14:paraId="44EF4EE5">
            <w:pPr>
              <w:adjustRightInd w:val="0"/>
              <w:snapToGrid w:val="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措施方案科学合理，可行性强的得10分；</w:t>
            </w:r>
          </w:p>
          <w:p w14:paraId="5856F121">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措施方案科学较合理，可行性一般的得6分；</w:t>
            </w:r>
          </w:p>
          <w:p w14:paraId="5354FD78">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措施方案科学合理性、可行性较差的得3分；</w:t>
            </w:r>
          </w:p>
          <w:p w14:paraId="52B4EC46">
            <w:pPr>
              <w:adjustRightInd w:val="0"/>
              <w:snapToGrid w:val="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未提及此项得0分。</w:t>
            </w:r>
          </w:p>
        </w:tc>
        <w:tc>
          <w:tcPr>
            <w:tcW w:w="750" w:type="dxa"/>
            <w:vAlign w:val="center"/>
          </w:tcPr>
          <w:p w14:paraId="7F8F50E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05820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27" w:type="dxa"/>
            <w:tcBorders>
              <w:bottom w:val="single" w:color="auto" w:sz="4" w:space="0"/>
            </w:tcBorders>
            <w:vAlign w:val="center"/>
          </w:tcPr>
          <w:p w14:paraId="797ADECD">
            <w:pPr>
              <w:adjustRightInd w:val="0"/>
              <w:snapToGrid w:val="0"/>
              <w:jc w:val="center"/>
              <w:rPr>
                <w:rFonts w:asciiTheme="minorEastAsia" w:hAnsiTheme="minorEastAsia" w:eastAsiaTheme="minorEastAsia"/>
                <w:color w:val="auto"/>
                <w:sz w:val="24"/>
                <w:highlight w:val="none"/>
              </w:rPr>
            </w:pPr>
            <w:r>
              <w:rPr>
                <w:rFonts w:hint="eastAsia" w:ascii="宋体" w:hAnsi="宋体"/>
                <w:color w:val="auto"/>
                <w:szCs w:val="21"/>
                <w:highlight w:val="none"/>
              </w:rPr>
              <w:t>应急预案</w:t>
            </w:r>
          </w:p>
        </w:tc>
        <w:tc>
          <w:tcPr>
            <w:tcW w:w="8445" w:type="dxa"/>
            <w:vAlign w:val="center"/>
          </w:tcPr>
          <w:p w14:paraId="6F35AFA9">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4367348A">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针对项目实施过程中可能遇到的紧急事件、异常处理等应急预案和对应的解决措施情况进行打分。</w:t>
            </w:r>
          </w:p>
          <w:p w14:paraId="67D3B494">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1.提出应急措施科学可行、具有针对性的得</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分；</w:t>
            </w:r>
          </w:p>
          <w:p w14:paraId="2F94E7C9">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2.提出应急措施科学可行、针对性一般的得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0CD073DC">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3.提出应急措施科学可行、针对性较差的得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3D5A3CEF">
            <w:pPr>
              <w:adjustRightInd w:val="0"/>
              <w:snapToGrid w:val="0"/>
              <w:rPr>
                <w:rFonts w:hint="eastAsia" w:ascii="宋体" w:hAnsi="宋体" w:eastAsia="宋体" w:cs="宋体"/>
                <w:color w:val="auto"/>
                <w:spacing w:val="-4"/>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.未提及此项得0分。</w:t>
            </w:r>
          </w:p>
        </w:tc>
        <w:tc>
          <w:tcPr>
            <w:tcW w:w="750" w:type="dxa"/>
            <w:vAlign w:val="center"/>
          </w:tcPr>
          <w:p w14:paraId="48968EA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r w14:paraId="7ED8C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27" w:type="dxa"/>
            <w:vAlign w:val="center"/>
          </w:tcPr>
          <w:p w14:paraId="68383C49">
            <w:pPr>
              <w:widowControl/>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价格</w:t>
            </w:r>
          </w:p>
        </w:tc>
        <w:tc>
          <w:tcPr>
            <w:tcW w:w="8445" w:type="dxa"/>
            <w:vAlign w:val="center"/>
          </w:tcPr>
          <w:p w14:paraId="4C1DB2BE">
            <w:pPr>
              <w:widowControl/>
              <w:spacing w:line="23"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以响应合格供应商有效报价中的最终报价最低价为基准价，基准价为</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分。报价得分＝（评标基准价/最终报价）×</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%×100（小数点后保留2位小数）。</w:t>
            </w:r>
          </w:p>
        </w:tc>
        <w:tc>
          <w:tcPr>
            <w:tcW w:w="750" w:type="dxa"/>
            <w:vAlign w:val="center"/>
          </w:tcPr>
          <w:p w14:paraId="4F2CE6D1">
            <w:pPr>
              <w:widowControl/>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40</w:t>
            </w:r>
          </w:p>
        </w:tc>
      </w:tr>
    </w:tbl>
    <w:p w14:paraId="1ED752C9">
      <w:pPr>
        <w:rPr>
          <w:rFonts w:asciiTheme="minorEastAsia" w:hAnsiTheme="minorEastAsia" w:eastAsiaTheme="minorEastAsia"/>
          <w:b/>
          <w:color w:val="auto"/>
          <w:sz w:val="24"/>
          <w:highlight w:val="none"/>
        </w:rPr>
      </w:pPr>
    </w:p>
    <w:p w14:paraId="1ED50904">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注：合同、证书、报告及其他相关证明材料，将原件扫描上传至响应文件，并加盖电子印章。</w:t>
      </w:r>
    </w:p>
    <w:p w14:paraId="38E179EE">
      <w:pPr>
        <w:spacing w:before="120" w:beforeLines="50"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2.最后报价</w:t>
      </w:r>
    </w:p>
    <w:p w14:paraId="6C7142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14:paraId="5E7B9412">
      <w:pPr>
        <w:pStyle w:val="28"/>
        <w:spacing w:line="360" w:lineRule="auto"/>
        <w:ind w:firstLine="480" w:firstLineChars="200"/>
        <w:jc w:val="both"/>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26EADADB">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14:paraId="6E8AFE6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(1)磋商小组应当按照磋商文件中规定的评标方法和标准，对符合性审查合格的响应文件的商务部分和技术部分进行综合比较与评价，其中</w:t>
      </w:r>
      <w:r>
        <w:rPr>
          <w:rFonts w:hint="eastAsia" w:asciiTheme="minorEastAsia" w:hAnsiTheme="minorEastAsia" w:eastAsiaTheme="minorEastAsia"/>
          <w:bCs/>
          <w:color w:val="auto"/>
          <w:sz w:val="24"/>
          <w:highlight w:val="none"/>
          <w:lang w:val="zh-CN"/>
        </w:rPr>
        <w:t>客观</w:t>
      </w:r>
      <w:r>
        <w:rPr>
          <w:rFonts w:hint="eastAsia" w:asciiTheme="minorEastAsia" w:hAnsiTheme="minorEastAsia" w:eastAsiaTheme="minorEastAsia"/>
          <w:bCs/>
          <w:color w:val="auto"/>
          <w:sz w:val="24"/>
          <w:highlight w:val="none"/>
        </w:rPr>
        <w:t>评分项的分值</w:t>
      </w:r>
      <w:r>
        <w:rPr>
          <w:rFonts w:hint="eastAsia" w:asciiTheme="minorEastAsia" w:hAnsiTheme="minorEastAsia" w:eastAsiaTheme="minorEastAsia"/>
          <w:bCs/>
          <w:color w:val="auto"/>
          <w:sz w:val="24"/>
          <w:highlight w:val="none"/>
          <w:lang w:val="zh-CN"/>
        </w:rPr>
        <w:t>应当一致。</w:t>
      </w:r>
    </w:p>
    <w:p w14:paraId="5EFB535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（2）对于磋商响应文件中含义不明确、同类问题表述不一致或者有明显文字和计算错误的内容，磋商小组应当要求供应商作出必要的澄清、说明或者补正。</w:t>
      </w:r>
    </w:p>
    <w:p w14:paraId="55AF35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14:paraId="55B66E1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（四）结果汇总及排序</w:t>
      </w:r>
    </w:p>
    <w:p w14:paraId="73AA2F3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1.经磋商确定最终采购需求和提交最后报价的供应商后，由磋商小组采用综合评分法对提交最后报价的供应商的响应文件和最后报价进行综合比较与评价。根据综合评分情况，</w:t>
      </w:r>
      <w:r>
        <w:rPr>
          <w:rFonts w:hint="eastAsia" w:ascii="宋体"/>
          <w:bCs/>
          <w:color w:val="auto"/>
          <w:kern w:val="0"/>
          <w:sz w:val="24"/>
          <w:highlight w:val="none"/>
          <w:lang w:val="zh-CN"/>
        </w:rPr>
        <w:t>以评审总得分最高的供应商为第一成交候选人，评审总得分次高的供应商为第二成交候选人，评审总得分第三高的供应商为第三成交候选人。如综合得分相同，最后报价低者为先</w:t>
      </w:r>
      <w:r>
        <w:rPr>
          <w:rFonts w:hint="eastAsia" w:cs="宋体" w:asciiTheme="minorEastAsia" w:hAnsiTheme="minorEastAsia" w:eastAsiaTheme="minorEastAsia"/>
          <w:color w:val="auto"/>
          <w:sz w:val="24"/>
          <w:highlight w:val="none"/>
        </w:rPr>
        <w:t>。</w:t>
      </w:r>
      <w:r>
        <w:rPr>
          <w:rFonts w:hint="eastAsia" w:ascii="宋体"/>
          <w:bCs/>
          <w:color w:val="auto"/>
          <w:kern w:val="0"/>
          <w:sz w:val="24"/>
          <w:highlight w:val="none"/>
          <w:lang w:val="zh-CN"/>
        </w:rPr>
        <w:t>如综合得分且最后报价相同的，以业绩得分较高者为先</w:t>
      </w:r>
      <w:r>
        <w:rPr>
          <w:rFonts w:hint="eastAsia" w:ascii="宋体" w:hAnsi="宋体" w:cs="宋体"/>
          <w:bCs/>
          <w:color w:val="auto"/>
          <w:sz w:val="24"/>
          <w:highlight w:val="none"/>
        </w:rPr>
        <w:t>，均相同的抽签确定。</w:t>
      </w:r>
      <w:r>
        <w:rPr>
          <w:rFonts w:hint="eastAsia" w:ascii="宋体" w:hAnsi="宋体" w:cs="宋体"/>
          <w:b/>
          <w:color w:val="auto"/>
          <w:sz w:val="24"/>
          <w:highlight w:val="none"/>
        </w:rPr>
        <w:t xml:space="preserve"> </w:t>
      </w:r>
    </w:p>
    <w:p w14:paraId="3B58DEA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（五）编写评审报告</w:t>
      </w:r>
    </w:p>
    <w:p w14:paraId="490F0C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磋商小组根据全体评审人员签字的原始记录和得分情况编写评审报告。</w:t>
      </w:r>
    </w:p>
    <w:p w14:paraId="264658C0">
      <w:pPr>
        <w:pStyle w:val="28"/>
        <w:spacing w:line="360" w:lineRule="auto"/>
        <w:ind w:firstLine="200"/>
        <w:jc w:val="both"/>
        <w:rPr>
          <w:rFonts w:asciiTheme="minorEastAsia" w:hAnsiTheme="minorEastAsia" w:eastAsiaTheme="minorEastAsia"/>
          <w:color w:val="auto"/>
          <w:sz w:val="24"/>
          <w:szCs w:val="24"/>
          <w:highlight w:val="none"/>
        </w:rPr>
      </w:pPr>
    </w:p>
    <w:p w14:paraId="74B21FBE">
      <w:pPr>
        <w:spacing w:line="360" w:lineRule="auto"/>
        <w:jc w:val="center"/>
        <w:outlineLvl w:val="0"/>
        <w:rPr>
          <w:rFonts w:hint="eastAsia" w:asciiTheme="minorEastAsia" w:hAnsiTheme="minorEastAsia" w:eastAsiaTheme="minorEastAsia"/>
          <w:b/>
          <w:color w:val="auto"/>
          <w:sz w:val="36"/>
          <w:szCs w:val="36"/>
          <w:highlight w:val="none"/>
        </w:rPr>
        <w:sectPr>
          <w:headerReference r:id="rId11" w:type="default"/>
          <w:footerReference r:id="rId12" w:type="default"/>
          <w:pgSz w:w="11906" w:h="16838"/>
          <w:pgMar w:top="1276" w:right="1418" w:bottom="1440" w:left="1418" w:header="851" w:footer="851" w:gutter="0"/>
          <w:pgNumType w:start="21"/>
          <w:cols w:space="720" w:num="1"/>
          <w:docGrid w:linePitch="312" w:charSpace="0"/>
        </w:sectPr>
      </w:pPr>
      <w:bookmarkStart w:id="33" w:name="_Toc18545"/>
    </w:p>
    <w:p w14:paraId="2BF37E23">
      <w:pPr>
        <w:spacing w:line="360" w:lineRule="auto"/>
        <w:jc w:val="center"/>
        <w:outlineLvl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36"/>
          <w:szCs w:val="36"/>
          <w:highlight w:val="none"/>
        </w:rPr>
        <w:t>第五章  拟签订的合同文本</w:t>
      </w:r>
      <w:bookmarkEnd w:id="33"/>
    </w:p>
    <w:p w14:paraId="0166EA12">
      <w:pPr>
        <w:pStyle w:val="2"/>
        <w:tabs>
          <w:tab w:val="left" w:pos="8280"/>
        </w:tabs>
        <w:spacing w:line="400" w:lineRule="exact"/>
        <w:jc w:val="center"/>
        <w:rPr>
          <w:rFonts w:ascii="Times New Roman" w:hAnsi="Times New Roman"/>
          <w:color w:val="auto"/>
          <w:sz w:val="30"/>
          <w:szCs w:val="30"/>
          <w:highlight w:val="none"/>
        </w:rPr>
      </w:pPr>
      <w:bookmarkStart w:id="34" w:name="_Toc413830630"/>
      <w:bookmarkStart w:id="35" w:name="_Toc270512726"/>
      <w:bookmarkStart w:id="36" w:name="_Toc403733988"/>
      <w:bookmarkStart w:id="37" w:name="_Toc102732406"/>
      <w:bookmarkStart w:id="38" w:name="_Toc522010870"/>
      <w:bookmarkStart w:id="39" w:name="_Toc168475883"/>
      <w:bookmarkStart w:id="40" w:name="_Toc168476286"/>
      <w:bookmarkStart w:id="41" w:name="_Toc229305402"/>
      <w:bookmarkStart w:id="42" w:name="_Toc144974826"/>
      <w:bookmarkStart w:id="43" w:name="_Toc222031003"/>
      <w:bookmarkStart w:id="44" w:name="_Toc222029501"/>
      <w:bookmarkStart w:id="45" w:name="_Toc522010868"/>
      <w:bookmarkStart w:id="46" w:name="_Toc25081"/>
      <w:bookmarkStart w:id="47" w:name="_Toc222033852"/>
      <w:bookmarkStart w:id="48" w:name="_Toc222032670"/>
      <w:bookmarkStart w:id="49" w:name="_Toc229305361"/>
      <w:bookmarkStart w:id="50" w:name="_Toc221948339"/>
      <w:bookmarkStart w:id="51" w:name="_Toc221950661"/>
      <w:bookmarkStart w:id="52" w:name="_Toc5481_WPSOffice_Level1"/>
      <w:r>
        <w:rPr>
          <w:rFonts w:hint="eastAsia" w:ascii="Times New Roman" w:hAnsi="Times New Roman"/>
          <w:color w:val="auto"/>
          <w:sz w:val="30"/>
          <w:szCs w:val="30"/>
          <w:highlight w:val="none"/>
        </w:rPr>
        <w:t>第一节  通用合同条款</w:t>
      </w:r>
    </w:p>
    <w:bookmarkEnd w:id="34"/>
    <w:bookmarkEnd w:id="35"/>
    <w:bookmarkEnd w:id="36"/>
    <w:bookmarkEnd w:id="37"/>
    <w:p w14:paraId="24BC0688">
      <w:pPr>
        <w:keepLines/>
        <w:widowControl/>
        <w:snapToGrid w:val="0"/>
        <w:spacing w:before="120" w:beforeLines="50" w:line="360" w:lineRule="auto"/>
        <w:jc w:val="center"/>
        <w:outlineLvl w:val="2"/>
        <w:rPr>
          <w:rFonts w:hint="eastAsia" w:ascii="宋体" w:hAnsi="宋体" w:eastAsia="宋体" w:cs="宋体"/>
          <w:color w:val="auto"/>
          <w:szCs w:val="21"/>
          <w:highlight w:val="none"/>
        </w:rPr>
      </w:pPr>
      <w:bookmarkStart w:id="53" w:name="_Toc403733989"/>
      <w:bookmarkStart w:id="54" w:name="_Toc413830631"/>
      <w:bookmarkStart w:id="55" w:name="_Toc102732407"/>
      <w:bookmarkStart w:id="56" w:name="_Toc270512727"/>
      <w:r>
        <w:rPr>
          <w:rFonts w:hint="eastAsia" w:ascii="宋体" w:hAnsi="宋体" w:eastAsia="宋体" w:cs="宋体"/>
          <w:color w:val="auto"/>
          <w:szCs w:val="21"/>
          <w:highlight w:val="none"/>
        </w:rPr>
        <w:t>通用合同条款使用浙水建【2024】1号文《浙江省水利水电工程施工招标文件示范文本（2023年）》中的第4章通用合同条款。</w:t>
      </w:r>
    </w:p>
    <w:p w14:paraId="3860BF6C">
      <w:pPr>
        <w:keepLines/>
        <w:widowControl/>
        <w:snapToGrid w:val="0"/>
        <w:spacing w:before="120" w:beforeLines="50" w:line="360" w:lineRule="auto"/>
        <w:jc w:val="center"/>
        <w:outlineLvl w:val="2"/>
        <w:rPr>
          <w:rFonts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第2节 专用合同条款</w:t>
      </w:r>
      <w:bookmarkEnd w:id="53"/>
      <w:bookmarkEnd w:id="54"/>
      <w:bookmarkEnd w:id="55"/>
      <w:bookmarkEnd w:id="56"/>
    </w:p>
    <w:p w14:paraId="585F3BD9">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 一般约定</w:t>
      </w:r>
    </w:p>
    <w:p w14:paraId="1B6FE3A2">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1.1 词语定义</w:t>
      </w:r>
    </w:p>
    <w:p w14:paraId="4033F03B">
      <w:pPr>
        <w:pStyle w:val="9"/>
        <w:snapToGrid w:val="0"/>
        <w:spacing w:line="420" w:lineRule="exact"/>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1.1.2 合同当事人和人员</w:t>
      </w:r>
    </w:p>
    <w:p w14:paraId="5A951C9B">
      <w:pPr>
        <w:tabs>
          <w:tab w:val="left" w:pos="36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1.1.2.2 发包人：</w:t>
      </w:r>
      <w:r>
        <w:rPr>
          <w:rFonts w:hint="eastAsia" w:asciiTheme="minorEastAsia" w:hAnsiTheme="minorEastAsia" w:eastAsiaTheme="minorEastAsia"/>
          <w:color w:val="auto"/>
          <w:sz w:val="24"/>
          <w:highlight w:val="none"/>
          <w:u w:val="single"/>
          <w:lang w:eastAsia="zh-CN"/>
        </w:rPr>
        <w:t>台州市椒江区人民政府章安街道办事处</w:t>
      </w:r>
      <w:r>
        <w:rPr>
          <w:rFonts w:hint="eastAsia" w:asciiTheme="minorEastAsia" w:hAnsiTheme="minorEastAsia" w:eastAsiaTheme="minorEastAsia"/>
          <w:color w:val="auto"/>
          <w:sz w:val="24"/>
          <w:highlight w:val="none"/>
        </w:rPr>
        <w:t>。</w:t>
      </w:r>
    </w:p>
    <w:p w14:paraId="62E8A8E4">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1.1.2.3 承包人：</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7FA5DDA9">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1.1.2.5 分包人：</w:t>
      </w:r>
      <w:r>
        <w:rPr>
          <w:rFonts w:hint="eastAsia"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0CFF9A5F">
      <w:pPr>
        <w:tabs>
          <w:tab w:val="left" w:pos="36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1.1.2.6 监理人：</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622C9DE3">
      <w:pPr>
        <w:tabs>
          <w:tab w:val="left" w:pos="36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1.1.3 工程和设备</w:t>
      </w:r>
    </w:p>
    <w:p w14:paraId="56D1FB32">
      <w:pPr>
        <w:tabs>
          <w:tab w:val="left" w:pos="36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1.1.3.4 单位工程：指经工程质量监督机构确认的工程项目划分表中确定的具有独立发挥作用或独立施工条件的永久建筑物。</w:t>
      </w:r>
    </w:p>
    <w:p w14:paraId="340072B5">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1.1.4 日期</w:t>
      </w:r>
    </w:p>
    <w:p w14:paraId="77D717E0">
      <w:pPr>
        <w:tabs>
          <w:tab w:val="left" w:pos="36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1.1.4.5缺陷责任期（工程质量保修期）：</w:t>
      </w:r>
      <w:r>
        <w:rPr>
          <w:rFonts w:hint="eastAsia" w:asciiTheme="minorEastAsia" w:hAnsiTheme="minorEastAsia" w:eastAsiaTheme="minorEastAsia"/>
          <w:snapToGrid w:val="0"/>
          <w:color w:val="auto"/>
          <w:sz w:val="24"/>
          <w:highlight w:val="none"/>
          <w:u w:val="single"/>
        </w:rPr>
        <w:t>本工程</w:t>
      </w:r>
      <w:r>
        <w:rPr>
          <w:rFonts w:asciiTheme="minorEastAsia" w:hAnsiTheme="minorEastAsia" w:eastAsiaTheme="minorEastAsia"/>
          <w:snapToGrid w:val="0"/>
          <w:color w:val="auto"/>
          <w:sz w:val="24"/>
          <w:highlight w:val="none"/>
          <w:u w:val="single"/>
        </w:rPr>
        <w:t>缺陷责任期为</w:t>
      </w:r>
      <w:r>
        <w:rPr>
          <w:rFonts w:hint="eastAsia" w:asciiTheme="minorEastAsia" w:hAnsiTheme="minorEastAsia" w:eastAsiaTheme="minorEastAsia"/>
          <w:snapToGrid w:val="0"/>
          <w:color w:val="auto"/>
          <w:sz w:val="24"/>
          <w:highlight w:val="none"/>
          <w:u w:val="single"/>
        </w:rPr>
        <w:t>1</w:t>
      </w:r>
      <w:r>
        <w:rPr>
          <w:rFonts w:asciiTheme="minorEastAsia" w:hAnsiTheme="minorEastAsia" w:eastAsiaTheme="minorEastAsia"/>
          <w:snapToGrid w:val="0"/>
          <w:color w:val="auto"/>
          <w:sz w:val="24"/>
          <w:highlight w:val="none"/>
          <w:u w:val="single"/>
        </w:rPr>
        <w:t>年</w:t>
      </w:r>
      <w:r>
        <w:rPr>
          <w:rFonts w:hint="eastAsia" w:asciiTheme="minorEastAsia" w:hAnsiTheme="minorEastAsia" w:eastAsiaTheme="minorEastAsia"/>
          <w:color w:val="auto"/>
          <w:sz w:val="24"/>
          <w:highlight w:val="none"/>
        </w:rPr>
        <w:t>。</w:t>
      </w:r>
    </w:p>
    <w:p w14:paraId="6D50EDAF">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1.1.6 其他</w:t>
      </w:r>
    </w:p>
    <w:p w14:paraId="516301C3">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1.1.6.2 完工验收：指《水利水电建设工程验收规程》中的合同工程完工验收。通用合同条款中</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竣工验收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一词具有相同含义。</w:t>
      </w:r>
    </w:p>
    <w:p w14:paraId="74F6CF02">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1.4 合同文件的优先顺序</w:t>
      </w:r>
    </w:p>
    <w:p w14:paraId="40C0CDA7">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除合同另有规定外，解释合同文件的优先顺序如下：</w:t>
      </w:r>
    </w:p>
    <w:p w14:paraId="66DC977A">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协议书（包括补充协议书）；</w:t>
      </w:r>
    </w:p>
    <w:p w14:paraId="396985E1">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中标通知书；</w:t>
      </w:r>
    </w:p>
    <w:p w14:paraId="535F25E3">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投标函及投标函附录；</w:t>
      </w:r>
    </w:p>
    <w:p w14:paraId="1119C234">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招投标文件澄清问题、澄清问题的复函、补充通知等相关资料；</w:t>
      </w:r>
    </w:p>
    <w:p w14:paraId="44D4FE2F">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专用合同条款；</w:t>
      </w:r>
    </w:p>
    <w:p w14:paraId="4C6C1362">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通用合同条款；</w:t>
      </w:r>
    </w:p>
    <w:p w14:paraId="4BF24F74">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技术标准和要求； </w:t>
      </w:r>
    </w:p>
    <w:p w14:paraId="7B777230">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图纸； </w:t>
      </w:r>
    </w:p>
    <w:p w14:paraId="5E6EC1DA">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已标价的工程量清单</w:t>
      </w:r>
    </w:p>
    <w:p w14:paraId="29326AC5">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经双方确认进入合同的其他文件。</w:t>
      </w:r>
    </w:p>
    <w:p w14:paraId="672A4182">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 联络</w:t>
      </w:r>
    </w:p>
    <w:p w14:paraId="58A5D797">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1.7.2 来往函件均应按技术标准和要求（合同技术条款）约定的期限送达</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eastAsia="zh-CN"/>
        </w:rPr>
        <w:t>台州市椒江区人民政府章安街道办事处</w:t>
      </w:r>
      <w:r>
        <w:rPr>
          <w:rFonts w:hint="eastAsia" w:cs="宋体" w:asciiTheme="minorEastAsia" w:hAnsiTheme="minorEastAsia" w:eastAsiaTheme="minorEastAsia"/>
          <w:color w:val="auto"/>
          <w:sz w:val="24"/>
          <w:highlight w:val="none"/>
        </w:rPr>
        <w:t>。</w:t>
      </w:r>
    </w:p>
    <w:p w14:paraId="773AEC23">
      <w:pPr>
        <w:pStyle w:val="7"/>
        <w:rPr>
          <w:rFonts w:asciiTheme="minorEastAsia" w:hAnsiTheme="minorEastAsia" w:eastAsiaTheme="minorEastAsia"/>
          <w:color w:val="auto"/>
          <w:sz w:val="24"/>
          <w:szCs w:val="24"/>
          <w:highlight w:val="none"/>
        </w:rPr>
      </w:pPr>
    </w:p>
    <w:p w14:paraId="29CB510E">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 发包人义务</w:t>
      </w:r>
    </w:p>
    <w:p w14:paraId="7FEFA376">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2.3 提供施工场地</w:t>
      </w:r>
    </w:p>
    <w:p w14:paraId="64FF9A13">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2.3.2发包人提供的用地范围：</w:t>
      </w:r>
      <w:r>
        <w:rPr>
          <w:rFonts w:hint="eastAsia" w:cs="宋体" w:asciiTheme="minorEastAsia" w:hAnsiTheme="minorEastAsia" w:eastAsiaTheme="minorEastAsia"/>
          <w:color w:val="auto"/>
          <w:sz w:val="24"/>
          <w:highlight w:val="none"/>
          <w:u w:val="single"/>
        </w:rPr>
        <w:t xml:space="preserve"> </w:t>
      </w:r>
      <w:r>
        <w:rPr>
          <w:rFonts w:hint="eastAsia"/>
          <w:color w:val="auto"/>
          <w:kern w:val="0"/>
          <w:szCs w:val="21"/>
          <w:highlight w:val="none"/>
          <w:u w:val="single"/>
        </w:rPr>
        <w:t>规划部门批准的红线范围，承包人应无条件接受现场条件。超出上述范围需要使用的临时用地，租金、规费、审批手续、复垦均由承包人负责，相关费用已包含在投标报价中，发包人不再另行支付。</w:t>
      </w:r>
    </w:p>
    <w:p w14:paraId="55B8D032">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2.3.3 承包人自行勘察的施工场地范围：</w:t>
      </w:r>
      <w:r>
        <w:rPr>
          <w:rFonts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 xml:space="preserve"> 。 </w:t>
      </w:r>
    </w:p>
    <w:p w14:paraId="31A1E306">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3 监理人</w:t>
      </w:r>
    </w:p>
    <w:p w14:paraId="33BD44F5">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3.1 监理人的职责和权力</w:t>
      </w:r>
    </w:p>
    <w:p w14:paraId="3011AD5B">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3.1.1监理人须根据发包人事先批准的权力范围行使权力，需经发包人批准的权利范围：</w:t>
      </w:r>
    </w:p>
    <w:p w14:paraId="718FD896">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（1）按第4.3款约定，批准工程的分包；</w:t>
      </w:r>
    </w:p>
    <w:p w14:paraId="280CDA4D">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（2）按第11.3款约定，确定延长完工期限；</w:t>
      </w:r>
    </w:p>
    <w:p w14:paraId="6D159A6E">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（3）按第15.4条规定，</w:t>
      </w:r>
      <w:r>
        <w:rPr>
          <w:rFonts w:hint="eastAsia" w:asciiTheme="minorEastAsia" w:hAnsiTheme="minorEastAsia" w:eastAsiaTheme="minorEastAsia"/>
          <w:color w:val="auto"/>
          <w:sz w:val="24"/>
          <w:szCs w:val="24"/>
          <w:highlight w:val="none"/>
        </w:rPr>
        <w:t>批准</w:t>
      </w:r>
      <w:r>
        <w:rPr>
          <w:rFonts w:asciiTheme="minorEastAsia" w:hAnsiTheme="minorEastAsia" w:eastAsiaTheme="minorEastAsia"/>
          <w:color w:val="auto"/>
          <w:sz w:val="24"/>
          <w:szCs w:val="24"/>
          <w:highlight w:val="none"/>
        </w:rPr>
        <w:t>因变更而变动的单价和合价；</w:t>
      </w:r>
    </w:p>
    <w:p w14:paraId="23CD6E58">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（4）按第15.6款约定，批准预留金额的使用；</w:t>
      </w:r>
    </w:p>
    <w:p w14:paraId="28F5C7B6">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（5）按第23款约定，</w:t>
      </w:r>
      <w:r>
        <w:rPr>
          <w:rFonts w:hint="eastAsia" w:asciiTheme="minorEastAsia" w:hAnsiTheme="minorEastAsia" w:eastAsiaTheme="minorEastAsia"/>
          <w:color w:val="auto"/>
          <w:sz w:val="24"/>
          <w:szCs w:val="24"/>
          <w:highlight w:val="none"/>
        </w:rPr>
        <w:t>作出索赔的处理的决定</w:t>
      </w:r>
      <w:r>
        <w:rPr>
          <w:rFonts w:asciiTheme="minorEastAsia" w:hAnsiTheme="minorEastAsia" w:eastAsiaTheme="minorEastAsia"/>
          <w:color w:val="auto"/>
          <w:sz w:val="24"/>
          <w:szCs w:val="24"/>
          <w:highlight w:val="none"/>
        </w:rPr>
        <w:t>；</w:t>
      </w:r>
    </w:p>
    <w:p w14:paraId="344613B1">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批准</w:t>
      </w:r>
      <w:r>
        <w:rPr>
          <w:rFonts w:asciiTheme="minorEastAsia" w:hAnsiTheme="minorEastAsia" w:eastAsiaTheme="minorEastAsia"/>
          <w:color w:val="auto"/>
          <w:sz w:val="24"/>
          <w:szCs w:val="24"/>
          <w:highlight w:val="none"/>
        </w:rPr>
        <w:t>承包人主要管理人员（施工项目负责人、技术负责人、施工员、</w:t>
      </w:r>
      <w:r>
        <w:rPr>
          <w:rFonts w:hint="eastAsia" w:asciiTheme="minorEastAsia" w:hAnsiTheme="minorEastAsia" w:eastAsiaTheme="minorEastAsia"/>
          <w:b/>
          <w:snapToGrid w:val="0"/>
          <w:color w:val="auto"/>
          <w:sz w:val="24"/>
          <w:szCs w:val="24"/>
          <w:highlight w:val="none"/>
        </w:rPr>
        <w:t>项目</w:t>
      </w:r>
      <w:r>
        <w:rPr>
          <w:rFonts w:asciiTheme="minorEastAsia" w:hAnsiTheme="minorEastAsia" w:eastAsiaTheme="minorEastAsia"/>
          <w:b/>
          <w:snapToGrid w:val="0"/>
          <w:color w:val="auto"/>
          <w:sz w:val="24"/>
          <w:szCs w:val="24"/>
          <w:highlight w:val="none"/>
        </w:rPr>
        <w:t>专职安全员</w:t>
      </w:r>
      <w:r>
        <w:rPr>
          <w:rFonts w:hint="eastAsia" w:asciiTheme="minorEastAsia" w:hAnsiTheme="minorEastAsia" w:eastAsiaTheme="minorEastAsia"/>
          <w:b/>
          <w:snapToGrid w:val="0"/>
          <w:color w:val="auto"/>
          <w:sz w:val="24"/>
          <w:szCs w:val="24"/>
          <w:highlight w:val="none"/>
        </w:rPr>
        <w:t>、</w:t>
      </w:r>
      <w:r>
        <w:rPr>
          <w:rFonts w:asciiTheme="minorEastAsia" w:hAnsiTheme="minorEastAsia" w:eastAsiaTheme="minorEastAsia"/>
          <w:color w:val="auto"/>
          <w:sz w:val="24"/>
          <w:szCs w:val="24"/>
          <w:highlight w:val="none"/>
        </w:rPr>
        <w:t>安全员、质检员等）</w:t>
      </w:r>
      <w:r>
        <w:rPr>
          <w:rFonts w:hint="eastAsia" w:asciiTheme="minorEastAsia" w:hAnsiTheme="minorEastAsia" w:eastAsiaTheme="minorEastAsia"/>
          <w:color w:val="auto"/>
          <w:sz w:val="24"/>
          <w:szCs w:val="24"/>
          <w:highlight w:val="none"/>
        </w:rPr>
        <w:t>的调动和重要设备的调遣</w:t>
      </w:r>
      <w:r>
        <w:rPr>
          <w:rFonts w:asciiTheme="minorEastAsia" w:hAnsiTheme="minorEastAsia" w:eastAsiaTheme="minorEastAsia"/>
          <w:color w:val="auto"/>
          <w:sz w:val="24"/>
          <w:szCs w:val="24"/>
          <w:highlight w:val="none"/>
        </w:rPr>
        <w:t>；</w:t>
      </w:r>
    </w:p>
    <w:p w14:paraId="126E93A4">
      <w:pPr>
        <w:pStyle w:val="30"/>
        <w:snapToGrid w:val="0"/>
        <w:spacing w:line="420" w:lineRule="exact"/>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4"/>
          <w:highlight w:val="none"/>
        </w:rPr>
        <w:t>作出其他</w:t>
      </w:r>
      <w:r>
        <w:rPr>
          <w:rFonts w:asciiTheme="minorEastAsia" w:hAnsiTheme="minorEastAsia" w:eastAsiaTheme="minorEastAsia"/>
          <w:color w:val="auto"/>
          <w:sz w:val="24"/>
          <w:szCs w:val="24"/>
          <w:highlight w:val="none"/>
        </w:rPr>
        <w:t>影响工期、质量、合同价格等其他重大决定。</w:t>
      </w:r>
    </w:p>
    <w:p w14:paraId="2020231D">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 承包人</w:t>
      </w:r>
    </w:p>
    <w:p w14:paraId="09BB6985">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4.1 承包人一般义务</w:t>
      </w:r>
    </w:p>
    <w:p w14:paraId="4C0BC1D4">
      <w:pPr>
        <w:snapToGrid w:val="0"/>
        <w:spacing w:line="420" w:lineRule="exact"/>
        <w:ind w:firstLine="480" w:firstLineChars="200"/>
        <w:rPr>
          <w:rFonts w:asciiTheme="minorEastAsia" w:hAnsiTheme="minorEastAsia" w:eastAsiaTheme="minorEastAsia"/>
          <w:i/>
          <w:snapToGrid w:val="0"/>
          <w:color w:val="auto"/>
          <w:sz w:val="24"/>
          <w:highlight w:val="none"/>
        </w:rPr>
      </w:pPr>
      <w:r>
        <w:rPr>
          <w:rFonts w:asciiTheme="minorEastAsia" w:hAnsiTheme="minorEastAsia" w:eastAsiaTheme="minorEastAsia"/>
          <w:snapToGrid w:val="0"/>
          <w:color w:val="auto"/>
          <w:sz w:val="24"/>
          <w:highlight w:val="none"/>
        </w:rPr>
        <w:t>4.1.10 其它义务</w:t>
      </w:r>
    </w:p>
    <w:p w14:paraId="399898D9">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59ECA3BE">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（2）承包人应根据工程施工情况及监理人的指令，及时向监理人提交开工报告、测量报告、试验检验报告、隐蔽工程验收通知、工程质量自检报告、竣工验收申请报告及工程事故报告等。</w:t>
      </w:r>
    </w:p>
    <w:p w14:paraId="1921C6EB">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14:paraId="1A762A31">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78AC126">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（5）本工程完工验收通过后15日内，承包人应自行拆除施工临时设施，撤退施工机械设备并清理场地，修复场内的交通道路，撤离所有施工人员。</w:t>
      </w:r>
    </w:p>
    <w:p w14:paraId="15078749">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（6）承包人在工程实施中应按照水利部、台州市相关文件资料归档要求及时整理施工过程中的相关资料，做好资料归档工作，并根据发包人的要求按时提供，该项工作作为合同履约的组成部分。</w:t>
      </w:r>
    </w:p>
    <w:p w14:paraId="64D1FBB0">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（7）在保修期内要及时做好回访工作，需保修责任范围的事项应及时按质检标准修好。</w:t>
      </w:r>
    </w:p>
    <w:p w14:paraId="7C5F1F52">
      <w:pPr>
        <w:tabs>
          <w:tab w:val="left" w:pos="2790"/>
        </w:tabs>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21E26AAF">
      <w:pPr>
        <w:tabs>
          <w:tab w:val="left" w:pos="2790"/>
        </w:tabs>
        <w:snapToGrid w:val="0"/>
        <w:spacing w:line="420" w:lineRule="exact"/>
        <w:ind w:firstLine="480" w:firstLineChars="200"/>
        <w:rPr>
          <w:rFonts w:hint="eastAsia"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 xml:space="preserve"> （9）本工程多余土方运至</w:t>
      </w:r>
      <w:r>
        <w:rPr>
          <w:rFonts w:hint="eastAsia" w:asciiTheme="minorEastAsia" w:hAnsiTheme="minorEastAsia" w:eastAsiaTheme="minorEastAsia"/>
          <w:b/>
          <w:snapToGrid w:val="0"/>
          <w:color w:val="auto"/>
          <w:sz w:val="24"/>
          <w:highlight w:val="none"/>
          <w:u w:val="single"/>
        </w:rPr>
        <w:t>弃土场，不得堆置在河岸边</w:t>
      </w:r>
      <w:r>
        <w:rPr>
          <w:rFonts w:hint="eastAsia" w:asciiTheme="minorEastAsia" w:hAnsiTheme="minorEastAsia" w:eastAsiaTheme="minorEastAsia"/>
          <w:snapToGrid w:val="0"/>
          <w:color w:val="auto"/>
          <w:sz w:val="24"/>
          <w:highlight w:val="none"/>
        </w:rPr>
        <w:t>，弃土运距及消纳费用包干，不因实际而调整。</w:t>
      </w:r>
    </w:p>
    <w:p w14:paraId="07C45863">
      <w:pPr>
        <w:tabs>
          <w:tab w:val="left" w:pos="2790"/>
        </w:tabs>
        <w:snapToGrid w:val="0"/>
        <w:spacing w:line="420" w:lineRule="exact"/>
        <w:ind w:firstLine="480" w:firstLineChars="200"/>
        <w:rPr>
          <w:rFonts w:hint="eastAsia" w:cs="Times New Roman" w:asciiTheme="minorEastAsia" w:hAnsiTheme="minorEastAsia" w:eastAsiaTheme="minorEastAsia"/>
          <w:snapToGrid w:val="0"/>
          <w:color w:val="auto"/>
          <w:sz w:val="24"/>
          <w:highlight w:val="none"/>
        </w:rPr>
      </w:pPr>
      <w:r>
        <w:rPr>
          <w:rFonts w:hint="eastAsia" w:cs="Times New Roman" w:asciiTheme="minorEastAsia" w:hAnsiTheme="minorEastAsia" w:eastAsiaTheme="minorEastAsia"/>
          <w:snapToGrid w:val="0"/>
          <w:color w:val="auto"/>
          <w:sz w:val="24"/>
          <w:highlight w:val="none"/>
        </w:rPr>
        <w:t>（10）项目实施期间，发生一切事故所产生的一切费用与责任由乙方负全责。</w:t>
      </w:r>
    </w:p>
    <w:p w14:paraId="54628A79">
      <w:pPr>
        <w:tabs>
          <w:tab w:val="left" w:pos="2790"/>
        </w:tabs>
        <w:snapToGrid w:val="0"/>
        <w:spacing w:line="420" w:lineRule="exact"/>
        <w:rPr>
          <w:rFonts w:hint="eastAsia" w:cs="Times New Roman" w:asciiTheme="minorEastAsia" w:hAnsiTheme="minorEastAsia" w:eastAsiaTheme="minorEastAsia"/>
          <w:snapToGrid w:val="0"/>
          <w:color w:val="auto"/>
          <w:sz w:val="24"/>
          <w:highlight w:val="none"/>
        </w:rPr>
      </w:pPr>
      <w:r>
        <w:rPr>
          <w:rFonts w:hint="eastAsia" w:cs="Times New Roman" w:asciiTheme="minorEastAsia" w:hAnsiTheme="minorEastAsia" w:eastAsiaTheme="minorEastAsia"/>
          <w:snapToGrid w:val="0"/>
          <w:color w:val="auto"/>
          <w:sz w:val="24"/>
          <w:highlight w:val="none"/>
        </w:rPr>
        <w:t>4.2履约担保</w:t>
      </w:r>
    </w:p>
    <w:p w14:paraId="57BBBAEE">
      <w:pPr>
        <w:tabs>
          <w:tab w:val="left" w:pos="2790"/>
        </w:tabs>
        <w:snapToGrid w:val="0"/>
        <w:spacing w:line="420" w:lineRule="exact"/>
        <w:ind w:firstLine="480" w:firstLineChars="200"/>
        <w:rPr>
          <w:rFonts w:hint="eastAsia" w:cs="Times New Roman" w:asciiTheme="minorEastAsia" w:hAnsiTheme="minorEastAsia" w:eastAsiaTheme="minorEastAsia"/>
          <w:snapToGrid w:val="0"/>
          <w:color w:val="auto"/>
          <w:sz w:val="24"/>
          <w:highlight w:val="none"/>
        </w:rPr>
      </w:pPr>
      <w:r>
        <w:rPr>
          <w:rFonts w:hint="eastAsia" w:cs="Times New Roman" w:asciiTheme="minorEastAsia" w:hAnsiTheme="minorEastAsia" w:eastAsiaTheme="minorEastAsia"/>
          <w:snapToGrid w:val="0"/>
          <w:color w:val="auto"/>
          <w:sz w:val="24"/>
          <w:highlight w:val="none"/>
        </w:rPr>
        <w:t>履约担保金额为合同总价的1%，即    元；承包人应保证其履约担保在合同工程通过完工验收前一直有效。发包人应在合同工程完工验收合格后10天内将履约担保退还给承包人。承包商履约保函有效期内，如合同规定的承包人履约义务未完成的，应在履约保函到期日前及时办理续保手续，否则发包人有权暂停支付工程款。</w:t>
      </w:r>
    </w:p>
    <w:p w14:paraId="4304B417">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4.3 分包</w:t>
      </w:r>
    </w:p>
    <w:p w14:paraId="4E62C2FF">
      <w:pPr>
        <w:pStyle w:val="36"/>
        <w:snapToGrid w:val="0"/>
        <w:spacing w:line="420" w:lineRule="exact"/>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4.3.2</w:t>
      </w:r>
      <w:r>
        <w:rPr>
          <w:rFonts w:hint="eastAsia" w:asciiTheme="minorEastAsia" w:hAnsiTheme="minorEastAsia" w:eastAsiaTheme="minorEastAsia"/>
          <w:color w:val="auto"/>
          <w:szCs w:val="24"/>
          <w:highlight w:val="none"/>
        </w:rPr>
        <w:t xml:space="preserve"> 允许承包人分包的工程项目、工作内容与分包金额限额为</w:t>
      </w:r>
      <w:r>
        <w:rPr>
          <w:rFonts w:asciiTheme="minorEastAsia" w:hAnsiTheme="minorEastAsia" w:eastAsiaTheme="minorEastAsia"/>
          <w:color w:val="auto"/>
          <w:szCs w:val="24"/>
          <w:highlight w:val="none"/>
        </w:rPr>
        <w:t>：</w:t>
      </w:r>
    </w:p>
    <w:p w14:paraId="686CEFF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（1）工程项目：</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562095B8">
      <w:pPr>
        <w:widowControl/>
        <w:snapToGrid w:val="0"/>
        <w:spacing w:line="420" w:lineRule="exact"/>
        <w:ind w:firstLine="480"/>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（2）工作内容：</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2E6AEED9">
      <w:pPr>
        <w:widowControl/>
        <w:snapToGrid w:val="0"/>
        <w:spacing w:line="420" w:lineRule="exact"/>
        <w:ind w:firstLine="480"/>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（3）分包金额限额：</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71DAFB3C">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4.3.10 分包人项目管理机构的设立：</w:t>
      </w:r>
      <w:r>
        <w:rPr>
          <w:rFonts w:hint="eastAsia" w:cs="宋体"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5F7F3621">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4.5 承包人项目负责人</w:t>
      </w:r>
    </w:p>
    <w:p w14:paraId="7F0C089D">
      <w:pPr>
        <w:tabs>
          <w:tab w:val="left" w:pos="279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补充4.5.5款：</w:t>
      </w:r>
    </w:p>
    <w:p w14:paraId="3A888015">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关于项目负责人每月在施工现场的时间要求：</w:t>
      </w:r>
      <w:r>
        <w:rPr>
          <w:rFonts w:hint="eastAsia" w:asciiTheme="minorEastAsia" w:hAnsiTheme="minorEastAsia" w:eastAsiaTheme="minorEastAsia"/>
          <w:color w:val="auto"/>
          <w:sz w:val="24"/>
          <w:highlight w:val="none"/>
          <w:u w:val="single"/>
        </w:rPr>
        <w:t>月到位达到22天及以上</w:t>
      </w:r>
      <w:r>
        <w:rPr>
          <w:rFonts w:hint="eastAsia" w:asciiTheme="minorEastAsia" w:hAnsiTheme="minorEastAsia" w:eastAsiaTheme="minorEastAsia"/>
          <w:color w:val="auto"/>
          <w:sz w:val="24"/>
          <w:highlight w:val="none"/>
        </w:rPr>
        <w:t>。</w:t>
      </w:r>
    </w:p>
    <w:p w14:paraId="1C0E1C7C">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项目负责人未经批准，擅自离开施工现场的违约责任：</w:t>
      </w:r>
      <w:r>
        <w:rPr>
          <w:rFonts w:asciiTheme="minorEastAsia" w:hAnsiTheme="minorEastAsia" w:eastAsiaTheme="minorEastAsia"/>
          <w:color w:val="auto"/>
          <w:sz w:val="24"/>
          <w:highlight w:val="none"/>
          <w:u w:val="single"/>
        </w:rPr>
        <w:t>项目负责人</w:t>
      </w:r>
      <w:r>
        <w:rPr>
          <w:rFonts w:hint="eastAsia" w:asciiTheme="minorEastAsia" w:hAnsiTheme="minorEastAsia" w:eastAsiaTheme="minorEastAsia"/>
          <w:color w:val="auto"/>
          <w:sz w:val="24"/>
          <w:highlight w:val="none"/>
          <w:u w:val="single"/>
        </w:rPr>
        <w:t>月到位达不到22天的，每天扣除人民币1000元，每月结算【不足一个月的，以月（30天）到位22天为标准按时计算】；合同期内项目负责人未到岗超过29天或项目负责人不能到岗的，发包人有权终止合同，没收全部履约担保金，同时赔偿发包人由此造成的损失。另遇有工程检查、验收或参观等活动时，无特殊原因不得离开施工现场</w:t>
      </w:r>
      <w:r>
        <w:rPr>
          <w:rFonts w:asciiTheme="minorEastAsia" w:hAnsiTheme="minorEastAsia" w:eastAsiaTheme="minorEastAsia"/>
          <w:color w:val="auto"/>
          <w:sz w:val="24"/>
          <w:highlight w:val="none"/>
          <w:u w:val="single"/>
        </w:rPr>
        <w:t>。</w:t>
      </w:r>
    </w:p>
    <w:p w14:paraId="184A79D0">
      <w:pPr>
        <w:tabs>
          <w:tab w:val="left" w:pos="279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snapToGrid w:val="0"/>
          <w:color w:val="auto"/>
          <w:sz w:val="24"/>
          <w:highlight w:val="none"/>
        </w:rPr>
        <w:t>在工地工作天数以监理人实际考勤记录为准。</w:t>
      </w:r>
      <w:r>
        <w:rPr>
          <w:rFonts w:hint="eastAsia" w:cs="宋体" w:asciiTheme="minorEastAsia" w:hAnsiTheme="minorEastAsia" w:eastAsiaTheme="minorEastAsia"/>
          <w:color w:val="auto"/>
          <w:sz w:val="24"/>
          <w:highlight w:val="none"/>
        </w:rPr>
        <w:t>驻工地时间按天签到为准。发包人有权对严重违约的承包人终止合同，合同履约保证金不予返还。</w:t>
      </w:r>
    </w:p>
    <w:p w14:paraId="1B6211D4">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4.6 承包人人员的管理</w:t>
      </w:r>
    </w:p>
    <w:p w14:paraId="50D548A3">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4.6.5</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技术</w:t>
      </w:r>
      <w:r>
        <w:rPr>
          <w:rFonts w:asciiTheme="minorEastAsia" w:hAnsiTheme="minorEastAsia" w:eastAsiaTheme="minorEastAsia"/>
          <w:color w:val="auto"/>
          <w:sz w:val="24"/>
          <w:highlight w:val="none"/>
        </w:rPr>
        <w:t>负责人</w:t>
      </w:r>
      <w:r>
        <w:rPr>
          <w:rFonts w:hint="eastAsia" w:asciiTheme="minorEastAsia" w:hAnsiTheme="minorEastAsia" w:eastAsiaTheme="minorEastAsia"/>
          <w:color w:val="auto"/>
          <w:sz w:val="24"/>
          <w:highlight w:val="none"/>
        </w:rPr>
        <w:t>、质量员、施工员、安全员每人每月驻工地的天数</w:t>
      </w:r>
      <w:r>
        <w:rPr>
          <w:rFonts w:asciiTheme="minorEastAsia" w:hAnsiTheme="minorEastAsia" w:eastAsiaTheme="minorEastAsia"/>
          <w:color w:val="auto"/>
          <w:sz w:val="24"/>
          <w:highlight w:val="none"/>
        </w:rPr>
        <w:t>不少于2</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天</w:t>
      </w:r>
      <w:r>
        <w:rPr>
          <w:rFonts w:hint="eastAsia" w:asciiTheme="minorEastAsia" w:hAnsiTheme="minorEastAsia" w:eastAsiaTheme="minorEastAsia"/>
          <w:color w:val="auto"/>
          <w:sz w:val="24"/>
          <w:highlight w:val="none"/>
        </w:rPr>
        <w:t>，每人每少一天支付违约金500元，每月结算【不足一个月的，以月（30天）到位22天为标准按时计算】。</w:t>
      </w:r>
    </w:p>
    <w:p w14:paraId="479C1DEE">
      <w:pPr>
        <w:snapToGrid w:val="0"/>
        <w:spacing w:line="42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上述违约金在当月工程进度款中直接扣除，</w:t>
      </w:r>
      <w:r>
        <w:rPr>
          <w:rFonts w:asciiTheme="minorEastAsia" w:hAnsiTheme="minorEastAsia" w:eastAsiaTheme="minorEastAsia"/>
          <w:snapToGrid w:val="0"/>
          <w:color w:val="auto"/>
          <w:sz w:val="24"/>
          <w:highlight w:val="none"/>
        </w:rPr>
        <w:t>在工地工作天数以监理人实际考勤记录为准。</w:t>
      </w:r>
    </w:p>
    <w:p w14:paraId="05BB209E">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4.7 撤换承包人项目负责人和其他人员</w:t>
      </w:r>
    </w:p>
    <w:p w14:paraId="3747A6FD">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本款补充：</w:t>
      </w:r>
    </w:p>
    <w:p w14:paraId="58A3B7E5">
      <w:pPr>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项目负责人、技术负责人不得擅自更换。若承包人擅自更换的，每人次需支付</w:t>
      </w:r>
      <w:r>
        <w:rPr>
          <w:rFonts w:hint="eastAsia" w:asciiTheme="minorEastAsia" w:hAnsiTheme="minorEastAsia" w:eastAsiaTheme="minorEastAsia"/>
          <w:b/>
          <w:bCs/>
          <w:snapToGrid w:val="0"/>
          <w:color w:val="auto"/>
          <w:sz w:val="24"/>
          <w:highlight w:val="none"/>
        </w:rPr>
        <w:t>1万元</w:t>
      </w:r>
      <w:r>
        <w:rPr>
          <w:rFonts w:hint="eastAsia" w:asciiTheme="minorEastAsia" w:hAnsiTheme="minorEastAsia" w:eastAsiaTheme="minorEastAsia"/>
          <w:snapToGrid w:val="0"/>
          <w:color w:val="auto"/>
          <w:sz w:val="24"/>
          <w:highlight w:val="none"/>
        </w:rPr>
        <w:t>的违约金；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3C0C1999">
      <w:pPr>
        <w:snapToGrid w:val="0"/>
        <w:spacing w:line="420" w:lineRule="exact"/>
        <w:ind w:firstLine="480" w:firstLineChars="200"/>
        <w:rPr>
          <w:rFonts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承包人的质量员、施工员、安全员擅自调换每一人次需支付违约金</w:t>
      </w:r>
      <w:r>
        <w:rPr>
          <w:rFonts w:hint="eastAsia" w:asciiTheme="minorEastAsia" w:hAnsiTheme="minorEastAsia" w:eastAsiaTheme="minorEastAsia"/>
          <w:b/>
          <w:bCs/>
          <w:snapToGrid w:val="0"/>
          <w:color w:val="auto"/>
          <w:sz w:val="24"/>
          <w:highlight w:val="none"/>
        </w:rPr>
        <w:t>0.</w:t>
      </w:r>
      <w:r>
        <w:rPr>
          <w:rFonts w:hint="eastAsia" w:asciiTheme="minorEastAsia" w:hAnsiTheme="minorEastAsia" w:eastAsiaTheme="minorEastAsia"/>
          <w:b/>
          <w:bCs/>
          <w:snapToGrid w:val="0"/>
          <w:color w:val="auto"/>
          <w:sz w:val="24"/>
          <w:highlight w:val="none"/>
          <w:lang w:val="en-US" w:eastAsia="zh-CN"/>
        </w:rPr>
        <w:t>1</w:t>
      </w:r>
      <w:r>
        <w:rPr>
          <w:rFonts w:hint="eastAsia" w:asciiTheme="minorEastAsia" w:hAnsiTheme="minorEastAsia" w:eastAsiaTheme="minorEastAsia"/>
          <w:b/>
          <w:bCs/>
          <w:snapToGrid w:val="0"/>
          <w:color w:val="auto"/>
          <w:sz w:val="24"/>
          <w:highlight w:val="none"/>
        </w:rPr>
        <w:t>万元</w:t>
      </w:r>
      <w:r>
        <w:rPr>
          <w:rFonts w:hint="eastAsia" w:asciiTheme="minorEastAsia" w:hAnsiTheme="minorEastAsia" w:eastAsiaTheme="minorEastAsia"/>
          <w:snapToGrid w:val="0"/>
          <w:color w:val="auto"/>
          <w:sz w:val="24"/>
          <w:highlight w:val="none"/>
        </w:rPr>
        <w:t>。违约金在工程进度付款中扣除。</w:t>
      </w:r>
    </w:p>
    <w:p w14:paraId="797F05E6">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4.11 不利物质条件</w:t>
      </w:r>
    </w:p>
    <w:p w14:paraId="6167305B">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4.11.1 不利物质条件的范围：</w:t>
      </w:r>
      <w:r>
        <w:rPr>
          <w:rFonts w:asciiTheme="minorEastAsia" w:hAnsiTheme="minorEastAsia" w:eastAsiaTheme="minorEastAsia"/>
          <w:color w:val="auto"/>
          <w:sz w:val="24"/>
          <w:highlight w:val="none"/>
          <w:u w:val="single"/>
        </w:rPr>
        <w:t>施工中遇到文物或古迹</w:t>
      </w:r>
      <w:r>
        <w:rPr>
          <w:rFonts w:asciiTheme="minorEastAsia" w:hAnsiTheme="minorEastAsia" w:eastAsiaTheme="minorEastAsia"/>
          <w:color w:val="auto"/>
          <w:sz w:val="24"/>
          <w:highlight w:val="none"/>
        </w:rPr>
        <w:t>。</w:t>
      </w:r>
    </w:p>
    <w:p w14:paraId="5436765A">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5 材料和工程设备</w:t>
      </w:r>
    </w:p>
    <w:p w14:paraId="0AFFD71A">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5.2.1发包人不提供材料和工程设备。</w:t>
      </w:r>
    </w:p>
    <w:p w14:paraId="5AAA0A2E">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6 施工设备和临时设施</w:t>
      </w:r>
    </w:p>
    <w:p w14:paraId="26FF7A36">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6.2 发包人提供的施工设备和临时设施</w:t>
      </w:r>
    </w:p>
    <w:p w14:paraId="065D8294">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删去本款全文，并代之以：</w:t>
      </w:r>
    </w:p>
    <w:p w14:paraId="38C9B47A">
      <w:pPr>
        <w:tabs>
          <w:tab w:val="left" w:pos="2790"/>
        </w:tabs>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发包人</w:t>
      </w:r>
      <w:r>
        <w:rPr>
          <w:rFonts w:hint="eastAsia" w:asciiTheme="minorEastAsia" w:hAnsiTheme="minorEastAsia" w:eastAsiaTheme="minorEastAsia"/>
          <w:color w:val="auto"/>
          <w:sz w:val="24"/>
          <w:highlight w:val="none"/>
          <w:u w:val="single"/>
        </w:rPr>
        <w:t>不</w:t>
      </w:r>
      <w:r>
        <w:rPr>
          <w:rFonts w:asciiTheme="minorEastAsia" w:hAnsiTheme="minorEastAsia" w:eastAsiaTheme="minorEastAsia"/>
          <w:color w:val="auto"/>
          <w:sz w:val="24"/>
          <w:highlight w:val="none"/>
          <w:u w:val="single"/>
        </w:rPr>
        <w:t>提供施工设备和临时设施</w:t>
      </w:r>
      <w:r>
        <w:rPr>
          <w:rFonts w:hint="eastAsia" w:asciiTheme="minorEastAsia" w:hAnsiTheme="minorEastAsia" w:eastAsiaTheme="minorEastAsia"/>
          <w:color w:val="auto"/>
          <w:sz w:val="24"/>
          <w:highlight w:val="none"/>
        </w:rPr>
        <w:t>。</w:t>
      </w:r>
    </w:p>
    <w:p w14:paraId="7B962D8D">
      <w:pPr>
        <w:pStyle w:val="4"/>
        <w:snapToGrid w:val="0"/>
        <w:spacing w:line="420" w:lineRule="exact"/>
        <w:rPr>
          <w:rFonts w:asciiTheme="minorEastAsia" w:hAnsiTheme="minorEastAsia" w:eastAsiaTheme="minorEastAsia"/>
          <w:color w:val="auto"/>
          <w:sz w:val="24"/>
          <w:szCs w:val="24"/>
          <w:highlight w:val="none"/>
        </w:rPr>
      </w:pPr>
      <w:r>
        <w:rPr>
          <w:rStyle w:val="35"/>
          <w:rFonts w:hint="eastAsia" w:asciiTheme="minorEastAsia" w:hAnsiTheme="minorEastAsia" w:eastAsiaTheme="minorEastAsia"/>
          <w:b w:val="0"/>
          <w:color w:val="auto"/>
          <w:szCs w:val="24"/>
          <w:highlight w:val="none"/>
        </w:rPr>
        <w:t>7　交通运输</w:t>
      </w:r>
    </w:p>
    <w:p w14:paraId="452E3C4A">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 xml:space="preserve">7.1 </w:t>
      </w:r>
      <w:r>
        <w:rPr>
          <w:rStyle w:val="35"/>
          <w:rFonts w:hint="eastAsia" w:asciiTheme="minorEastAsia" w:hAnsiTheme="minorEastAsia" w:eastAsiaTheme="minorEastAsia"/>
          <w:b w:val="0"/>
          <w:color w:val="auto"/>
          <w:szCs w:val="24"/>
          <w:highlight w:val="none"/>
        </w:rPr>
        <w:t>道路通行权和场外设施</w:t>
      </w:r>
    </w:p>
    <w:p w14:paraId="2A603FB6">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道路通行权和场外设施的约定：</w:t>
      </w:r>
    </w:p>
    <w:p w14:paraId="1D024042">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）承包人自行协调场外道路、设施、行车干扰、道路维护修复、噪音粉尘扰民等所有不利的状况，所产生的费用和所有的风险由承包人自行在报价中综合考虑，结算时不再另列项目计算。</w:t>
      </w:r>
    </w:p>
    <w:p w14:paraId="3160B753">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2</w:t>
      </w:r>
      <w:r>
        <w:rPr>
          <w:rFonts w:hint="eastAsia" w:asciiTheme="minorEastAsia" w:hAnsiTheme="minorEastAsia" w:eastAsiaTheme="minorEastAsia"/>
          <w:color w:val="auto"/>
          <w:sz w:val="24"/>
          <w:highlight w:val="none"/>
          <w:u w:val="single"/>
        </w:rPr>
        <w:t>）承包人负责场内过境车辆的协调和分流工作；</w:t>
      </w:r>
    </w:p>
    <w:p w14:paraId="2317F90A">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u w:val="single"/>
        </w:rPr>
        <w:t>）本条（</w:t>
      </w:r>
      <w:r>
        <w:rPr>
          <w:rFonts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2</w:t>
      </w:r>
      <w:r>
        <w:rPr>
          <w:rFonts w:hint="eastAsia" w:asciiTheme="minorEastAsia" w:hAnsiTheme="minorEastAsia" w:eastAsiaTheme="minorEastAsia"/>
          <w:color w:val="auto"/>
          <w:sz w:val="24"/>
          <w:highlight w:val="none"/>
          <w:u w:val="single"/>
        </w:rPr>
        <w:t>）款相关费用计入措施费，不再另行计费。</w:t>
      </w:r>
    </w:p>
    <w:p w14:paraId="445F107A">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8 测量放线</w:t>
      </w:r>
    </w:p>
    <w:p w14:paraId="2ECDBFF5">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8.1 施工控制网</w:t>
      </w:r>
    </w:p>
    <w:p w14:paraId="36DB530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8.1.1 施工控制网的约定：发包人应在本合同协议书签订后的</w:t>
      </w:r>
      <w:r>
        <w:rPr>
          <w:rFonts w:asciiTheme="minorEastAsia" w:hAnsiTheme="minorEastAsia" w:eastAsiaTheme="minorEastAsia"/>
          <w:color w:val="auto"/>
          <w:sz w:val="24"/>
          <w:highlight w:val="none"/>
          <w:u w:val="single"/>
        </w:rPr>
        <w:t xml:space="preserve"> 14 </w:t>
      </w:r>
      <w:r>
        <w:rPr>
          <w:rFonts w:asciiTheme="minorEastAsia" w:hAnsiTheme="minorEastAsia" w:eastAsiaTheme="minorEastAsia"/>
          <w:color w:val="auto"/>
          <w:sz w:val="24"/>
          <w:highlight w:val="none"/>
        </w:rPr>
        <w:t>天内，通过监理人向承包人提供</w:t>
      </w:r>
      <w:r>
        <w:rPr>
          <w:rFonts w:hint="eastAsia" w:asciiTheme="minorEastAsia" w:hAnsiTheme="minorEastAsia" w:eastAsiaTheme="minorEastAsia"/>
          <w:color w:val="auto"/>
          <w:sz w:val="24"/>
          <w:highlight w:val="none"/>
        </w:rPr>
        <w:t>首级施工控制网成果</w:t>
      </w:r>
      <w:r>
        <w:rPr>
          <w:rFonts w:asciiTheme="minorEastAsia" w:hAnsiTheme="minorEastAsia" w:eastAsiaTheme="minorEastAsia"/>
          <w:color w:val="auto"/>
          <w:sz w:val="24"/>
          <w:highlight w:val="none"/>
        </w:rPr>
        <w:t>。承包人在接到</w:t>
      </w:r>
      <w:r>
        <w:rPr>
          <w:rFonts w:hint="eastAsia" w:asciiTheme="minorEastAsia" w:hAnsiTheme="minorEastAsia" w:eastAsiaTheme="minorEastAsia"/>
          <w:color w:val="auto"/>
          <w:sz w:val="24"/>
          <w:highlight w:val="none"/>
        </w:rPr>
        <w:t>首级施工控制网成果</w:t>
      </w:r>
      <w:r>
        <w:rPr>
          <w:rFonts w:asciiTheme="minorEastAsia" w:hAnsiTheme="minorEastAsia" w:eastAsiaTheme="minorEastAsia"/>
          <w:color w:val="auto"/>
          <w:sz w:val="24"/>
          <w:highlight w:val="none"/>
        </w:rPr>
        <w:t>后</w:t>
      </w:r>
      <w:r>
        <w:rPr>
          <w:rFonts w:asciiTheme="minorEastAsia" w:hAnsiTheme="minorEastAsia" w:eastAsiaTheme="minorEastAsia"/>
          <w:color w:val="auto"/>
          <w:sz w:val="24"/>
          <w:highlight w:val="none"/>
          <w:u w:val="single"/>
        </w:rPr>
        <w:t xml:space="preserve"> 14</w:t>
      </w:r>
      <w:r>
        <w:rPr>
          <w:rFonts w:asciiTheme="minorEastAsia" w:hAnsiTheme="minorEastAsia" w:eastAsiaTheme="minorEastAsia"/>
          <w:color w:val="auto"/>
          <w:sz w:val="24"/>
          <w:highlight w:val="none"/>
        </w:rPr>
        <w:t>天内完成施工控制网布设，并将施工控制网资料报送监理人审批。</w:t>
      </w:r>
    </w:p>
    <w:p w14:paraId="08DEB218">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9 施工安全、治安保卫和环境保护</w:t>
      </w:r>
    </w:p>
    <w:p w14:paraId="07457A60">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9.1 发包人的施工安全责任</w:t>
      </w:r>
    </w:p>
    <w:p w14:paraId="397B7472">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9.1.4 发包人提供</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资料，其余资料由承包人负责收集。</w:t>
      </w:r>
    </w:p>
    <w:p w14:paraId="00574B27">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9.2 承包人的施工安全责任</w:t>
      </w:r>
    </w:p>
    <w:p w14:paraId="4A0EEB3D">
      <w:pPr>
        <w:spacing w:line="420" w:lineRule="exact"/>
        <w:ind w:firstLine="3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9.2.5</w:t>
      </w:r>
      <w:r>
        <w:rPr>
          <w:rFonts w:asciiTheme="minorEastAsia" w:hAnsiTheme="minorEastAsia" w:eastAsiaTheme="minorEastAsia"/>
          <w:color w:val="auto"/>
          <w:sz w:val="24"/>
          <w:highlight w:val="none"/>
        </w:rPr>
        <w:t>承包人的</w:t>
      </w:r>
      <w:r>
        <w:rPr>
          <w:rFonts w:hint="eastAsia" w:asciiTheme="minorEastAsia" w:hAnsiTheme="minorEastAsia" w:eastAsiaTheme="minorEastAsia"/>
          <w:color w:val="auto"/>
          <w:sz w:val="24"/>
          <w:highlight w:val="none"/>
        </w:rPr>
        <w:t>安全文明施工费</w:t>
      </w:r>
      <w:r>
        <w:rPr>
          <w:rFonts w:asciiTheme="minorEastAsia" w:hAnsiTheme="minorEastAsia" w:eastAsiaTheme="minorEastAsia"/>
          <w:color w:val="auto"/>
          <w:sz w:val="24"/>
          <w:highlight w:val="none"/>
        </w:rPr>
        <w:t>不得作为竞争性费用</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安全文明施工费</w:t>
      </w:r>
      <w:r>
        <w:rPr>
          <w:rFonts w:asciiTheme="minorEastAsia" w:hAnsiTheme="minorEastAsia" w:eastAsiaTheme="minorEastAsia"/>
          <w:color w:val="auto"/>
          <w:sz w:val="24"/>
          <w:highlight w:val="none"/>
        </w:rPr>
        <w:t>”的使用管理办法按国家和浙江省有关规定执行。</w:t>
      </w:r>
      <w:r>
        <w:rPr>
          <w:rFonts w:hint="eastAsia" w:asciiTheme="minorEastAsia" w:hAnsiTheme="minorEastAsia" w:eastAsiaTheme="minorEastAsia"/>
          <w:color w:val="auto"/>
          <w:sz w:val="24"/>
          <w:highlight w:val="none"/>
        </w:rPr>
        <w:t>安全文明施工费</w:t>
      </w:r>
      <w:r>
        <w:rPr>
          <w:rFonts w:asciiTheme="minorEastAsia" w:hAnsiTheme="minorEastAsia" w:eastAsiaTheme="minorEastAsia"/>
          <w:color w:val="auto"/>
          <w:sz w:val="24"/>
          <w:highlight w:val="none"/>
        </w:rPr>
        <w:t>包括文明施工费和施工安全费，应用于施工安全防护用具及设施的采购和更新、安全施工措施的落实、安全生产条件的改善，不得挪作他用。如承包人在此基础上增加</w:t>
      </w:r>
      <w:r>
        <w:rPr>
          <w:rFonts w:hint="eastAsia" w:asciiTheme="minorEastAsia" w:hAnsiTheme="minorEastAsia" w:eastAsiaTheme="minorEastAsia"/>
          <w:color w:val="auto"/>
          <w:sz w:val="24"/>
          <w:highlight w:val="none"/>
        </w:rPr>
        <w:t>安全文明施工费</w:t>
      </w:r>
      <w:r>
        <w:rPr>
          <w:rFonts w:asciiTheme="minorEastAsia" w:hAnsiTheme="minorEastAsia" w:eastAsiaTheme="minorEastAsia"/>
          <w:color w:val="auto"/>
          <w:sz w:val="24"/>
          <w:highlight w:val="none"/>
        </w:rPr>
        <w:t>用以满足项目施工需要，则承包人应在本项目清单的单价中予以考虑，发包人不再另行支付。</w:t>
      </w:r>
      <w:r>
        <w:rPr>
          <w:rFonts w:hint="eastAsia" w:asciiTheme="minorEastAsia" w:hAnsiTheme="minorEastAsia" w:eastAsiaTheme="minorEastAsia"/>
          <w:color w:val="auto"/>
          <w:sz w:val="24"/>
          <w:highlight w:val="none"/>
        </w:rPr>
        <w:t>安全文明施工费的支付由发包人在该项总价范围内凭票</w:t>
      </w:r>
      <w:r>
        <w:rPr>
          <w:rFonts w:asciiTheme="minorEastAsia" w:hAnsiTheme="minorEastAsia" w:eastAsiaTheme="minorEastAsia"/>
          <w:color w:val="auto"/>
          <w:sz w:val="24"/>
          <w:highlight w:val="none"/>
        </w:rPr>
        <w:t>按实结算支付。</w:t>
      </w:r>
      <w:r>
        <w:rPr>
          <w:rFonts w:hint="eastAsia" w:asciiTheme="minorEastAsia" w:hAnsiTheme="minorEastAsia" w:eastAsiaTheme="minorEastAsia"/>
          <w:color w:val="auto"/>
          <w:sz w:val="24"/>
          <w:highlight w:val="none"/>
        </w:rPr>
        <w:t>承包人必须按国家有关规定，切实落实各项安全技术措施，确保施工现场的安全生产和文明施工。在施工过程中由于承包人原因而发生的人身伤亡、财产损失及其它一切事故，其责任全部由承包人承担。</w:t>
      </w:r>
    </w:p>
    <w:p w14:paraId="6B34DEBA">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9.2.12 </w:t>
      </w:r>
      <w:r>
        <w:rPr>
          <w:rFonts w:hint="eastAsia" w:asciiTheme="minorEastAsia" w:hAnsiTheme="minorEastAsia" w:eastAsiaTheme="minorEastAsia"/>
          <w:color w:val="auto"/>
          <w:sz w:val="24"/>
          <w:highlight w:val="none"/>
        </w:rPr>
        <w:t>下列工程应编制专项施工方案：</w:t>
      </w:r>
      <w:r>
        <w:rPr>
          <w:rFonts w:hint="eastAsia" w:asciiTheme="minorEastAsia" w:hAnsiTheme="minorEastAsia" w:eastAsiaTheme="minorEastAsia"/>
          <w:color w:val="auto"/>
          <w:sz w:val="24"/>
          <w:highlight w:val="none"/>
          <w:u w:val="single"/>
        </w:rPr>
        <w:t>无</w:t>
      </w:r>
      <w:r>
        <w:rPr>
          <w:rFonts w:hint="eastAsia" w:asciiTheme="minorEastAsia" w:hAnsiTheme="minorEastAsia" w:eastAsiaTheme="minorEastAsia"/>
          <w:b/>
          <w:color w:val="auto"/>
          <w:sz w:val="24"/>
          <w:highlight w:val="none"/>
        </w:rPr>
        <w:t>。</w:t>
      </w:r>
    </w:p>
    <w:p w14:paraId="636F4779">
      <w:pPr>
        <w:tabs>
          <w:tab w:val="left" w:pos="2790"/>
        </w:tabs>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施工合同签订时，承包人应同时与发包人签订安全生产协议书。</w:t>
      </w:r>
    </w:p>
    <w:p w14:paraId="1DB4BB0B">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 xml:space="preserve">9.4 </w:t>
      </w:r>
      <w:r>
        <w:rPr>
          <w:rStyle w:val="35"/>
          <w:rFonts w:hint="eastAsia" w:asciiTheme="minorEastAsia" w:hAnsiTheme="minorEastAsia" w:eastAsiaTheme="minorEastAsia"/>
          <w:b w:val="0"/>
          <w:color w:val="auto"/>
          <w:szCs w:val="24"/>
          <w:highlight w:val="none"/>
        </w:rPr>
        <w:t>环境保护</w:t>
      </w:r>
    </w:p>
    <w:p w14:paraId="4476DD3E">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补充以下条款：</w:t>
      </w:r>
    </w:p>
    <w:p w14:paraId="5102954F">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xml:space="preserve">9.4.7 </w:t>
      </w:r>
      <w:r>
        <w:rPr>
          <w:rFonts w:hint="eastAsia" w:asciiTheme="minorEastAsia" w:hAnsiTheme="minorEastAsia" w:eastAsiaTheme="minorEastAsia"/>
          <w:color w:val="auto"/>
          <w:sz w:val="24"/>
          <w:highlight w:val="none"/>
          <w:u w:val="single"/>
        </w:rPr>
        <w:t>承包人应严格执行国家有关水域环境生态保护的规定，合理选择施工机械和施工工艺，采取有效措施，减少施工对周边水域的影响。</w:t>
      </w:r>
    </w:p>
    <w:p w14:paraId="525A6AFB">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9.4.</w:t>
      </w:r>
      <w:r>
        <w:rPr>
          <w:rFonts w:hint="eastAsia" w:asciiTheme="minorEastAsia" w:hAnsiTheme="minorEastAsia" w:eastAsiaTheme="minorEastAsia"/>
          <w:color w:val="auto"/>
          <w:sz w:val="24"/>
          <w:highlight w:val="none"/>
          <w:u w:val="single"/>
        </w:rPr>
        <w:t>8承包人应尽可能优化施工方案，严格限定施工活动范围，合理安排好施工时段和施工方式。加强水土流失防治，落实相应的工程措施、植物措施和临时措施。</w:t>
      </w:r>
    </w:p>
    <w:p w14:paraId="3C0CBA8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9.4.</w:t>
      </w:r>
      <w:r>
        <w:rPr>
          <w:rFonts w:hint="eastAsia" w:asciiTheme="minorEastAsia" w:hAnsiTheme="minorEastAsia" w:eastAsiaTheme="minorEastAsia"/>
          <w:color w:val="auto"/>
          <w:sz w:val="24"/>
          <w:highlight w:val="none"/>
          <w:u w:val="single"/>
        </w:rPr>
        <w:t>9承包人应做好施工区附近和施工公路沿线居民点的噪声和扬尘污染防治工作。选用低噪声设备，合理安排施工作业时间。建筑垃圾及施工人员生活垃圾须及时清运并妥善处理，禁止随意抛弃、排入水体。</w:t>
      </w:r>
    </w:p>
    <w:p w14:paraId="70600E07">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 xml:space="preserve">9.6 </w:t>
      </w:r>
      <w:r>
        <w:rPr>
          <w:rStyle w:val="35"/>
          <w:rFonts w:hint="eastAsia" w:asciiTheme="minorEastAsia" w:hAnsiTheme="minorEastAsia" w:eastAsiaTheme="minorEastAsia"/>
          <w:b w:val="0"/>
          <w:color w:val="auto"/>
          <w:szCs w:val="24"/>
          <w:highlight w:val="none"/>
        </w:rPr>
        <w:t>水土保持</w:t>
      </w:r>
    </w:p>
    <w:p w14:paraId="448B91B9">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增加以下条款：</w:t>
      </w:r>
    </w:p>
    <w:p w14:paraId="467ABB4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xml:space="preserve">9.6.4 </w:t>
      </w:r>
      <w:r>
        <w:rPr>
          <w:rFonts w:hint="eastAsia" w:asciiTheme="minorEastAsia" w:hAnsiTheme="minorEastAsia" w:eastAsiaTheme="minorEastAsia"/>
          <w:color w:val="auto"/>
          <w:sz w:val="24"/>
          <w:highlight w:val="none"/>
          <w:u w:val="single"/>
        </w:rPr>
        <w:t>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w:t>
      </w:r>
      <w:r>
        <w:rPr>
          <w:rFonts w:hint="eastAsia" w:asciiTheme="minorEastAsia" w:hAnsiTheme="minorEastAsia" w:eastAsiaTheme="minorEastAsia"/>
          <w:color w:val="auto"/>
          <w:sz w:val="24"/>
          <w:highlight w:val="none"/>
          <w:u w:val="single"/>
          <w:lang w:eastAsia="zh-CN"/>
        </w:rPr>
        <w:t>清淤</w:t>
      </w:r>
      <w:r>
        <w:rPr>
          <w:rFonts w:hint="eastAsia" w:asciiTheme="minorEastAsia" w:hAnsiTheme="minorEastAsia" w:eastAsiaTheme="minorEastAsia"/>
          <w:color w:val="auto"/>
          <w:sz w:val="24"/>
          <w:highlight w:val="none"/>
          <w:u w:val="single"/>
        </w:rPr>
        <w:t>、复耕或恢复植被。加强施工组织管理和临时防护措施，合理安排施工时序，严格控制施工期间可能造成的水土流失。</w:t>
      </w:r>
    </w:p>
    <w:p w14:paraId="55924D80">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9.7 文明工地</w:t>
      </w:r>
    </w:p>
    <w:p w14:paraId="01B55FB7">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本合同文明工地的约定：</w:t>
      </w:r>
      <w:r>
        <w:rPr>
          <w:rFonts w:hint="eastAsia" w:asciiTheme="minorEastAsia" w:hAnsiTheme="minorEastAsia" w:eastAsiaTheme="minorEastAsia"/>
          <w:color w:val="auto"/>
          <w:sz w:val="24"/>
          <w:highlight w:val="none"/>
          <w:u w:val="single"/>
        </w:rPr>
        <w:t>有关标准按工程所在地的规定执行。</w:t>
      </w:r>
    </w:p>
    <w:p w14:paraId="737126ED">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增加以下条款：</w:t>
      </w:r>
    </w:p>
    <w:p w14:paraId="52ABAEDA">
      <w:pPr>
        <w:pStyle w:val="9"/>
        <w:spacing w:line="420" w:lineRule="exact"/>
        <w:ind w:firstLine="482"/>
        <w:rPr>
          <w:rFonts w:asciiTheme="minorEastAsia" w:hAnsiTheme="minorEastAsia" w:eastAsiaTheme="minorEastAsia"/>
          <w:color w:val="auto"/>
          <w:highlight w:val="none"/>
        </w:rPr>
      </w:pPr>
      <w:r>
        <w:rPr>
          <w:rFonts w:hint="eastAsia" w:cs="Courier New" w:asciiTheme="minorEastAsia" w:hAnsiTheme="minorEastAsia" w:eastAsiaTheme="minorEastAsia"/>
          <w:color w:val="auto"/>
          <w:highlight w:val="none"/>
          <w:u w:val="single"/>
        </w:rPr>
        <w:t>承包人在施工期间，应严格执行国家、省和本市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cs="Courier New" w:asciiTheme="minorEastAsia" w:hAnsiTheme="minorEastAsia" w:eastAsiaTheme="minorEastAsia"/>
          <w:color w:val="auto"/>
          <w:highlight w:val="none"/>
        </w:rPr>
        <w:t>。</w:t>
      </w:r>
    </w:p>
    <w:p w14:paraId="1E1750B7">
      <w:pPr>
        <w:pStyle w:val="4"/>
        <w:snapToGrid w:val="0"/>
        <w:spacing w:line="420" w:lineRule="exact"/>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11 开工和竣工（完工）</w:t>
      </w:r>
    </w:p>
    <w:p w14:paraId="41DFCAFF">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11.1 开工</w:t>
      </w:r>
    </w:p>
    <w:p w14:paraId="3E46DC37">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本工程计划于</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asciiTheme="minorEastAsia" w:hAnsiTheme="minorEastAsia" w:eastAsiaTheme="minorEastAsia"/>
          <w:color w:val="auto"/>
          <w:sz w:val="24"/>
          <w:highlight w:val="none"/>
        </w:rPr>
        <w:t>开工。具体开工日期以监理工程师发出的开工令为准。</w:t>
      </w:r>
    </w:p>
    <w:p w14:paraId="48B49326">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11.2  竣工（完工）</w:t>
      </w:r>
    </w:p>
    <w:p w14:paraId="74D08115">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全部工程要求自监理工程师发出的开工令起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天</w:t>
      </w:r>
      <w:r>
        <w:rPr>
          <w:rFonts w:asciiTheme="minorEastAsia" w:hAnsiTheme="minorEastAsia" w:eastAsiaTheme="minorEastAsia"/>
          <w:color w:val="auto"/>
          <w:sz w:val="24"/>
          <w:highlight w:val="none"/>
        </w:rPr>
        <w:t>内完工。</w:t>
      </w:r>
    </w:p>
    <w:p w14:paraId="2126D53F">
      <w:pPr>
        <w:pStyle w:val="5"/>
        <w:tabs>
          <w:tab w:val="left" w:pos="0"/>
        </w:tabs>
        <w:suppressAutoHyphens/>
        <w:snapToGrid w:val="0"/>
        <w:spacing w:before="0" w:after="0" w:line="420" w:lineRule="exact"/>
        <w:rPr>
          <w:rStyle w:val="35"/>
          <w:rFonts w:asciiTheme="minorEastAsia" w:hAnsiTheme="minorEastAsia" w:eastAsiaTheme="minorEastAsia"/>
          <w:b w:val="0"/>
          <w:color w:val="auto"/>
          <w:szCs w:val="24"/>
          <w:highlight w:val="none"/>
        </w:rPr>
      </w:pPr>
      <w:r>
        <w:rPr>
          <w:rStyle w:val="35"/>
          <w:rFonts w:asciiTheme="minorEastAsia" w:hAnsiTheme="minorEastAsia" w:eastAsiaTheme="minorEastAsia"/>
          <w:b w:val="0"/>
          <w:color w:val="auto"/>
          <w:szCs w:val="24"/>
          <w:highlight w:val="none"/>
        </w:rPr>
        <w:t>11.4 异常恶劣的气候条件</w:t>
      </w:r>
    </w:p>
    <w:p w14:paraId="3EBFDBD9">
      <w:pPr>
        <w:spacing w:line="42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11.4.3 本合同工程界定异常恶劣的气候条件的范围为：</w:t>
      </w:r>
    </w:p>
    <w:p w14:paraId="160FCDFE">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 日降雨量大于 </w:t>
      </w:r>
      <w:r>
        <w:rPr>
          <w:rFonts w:hint="eastAsia" w:asciiTheme="minorEastAsia" w:hAnsiTheme="minorEastAsia" w:eastAsiaTheme="minorEastAsia"/>
          <w:color w:val="auto"/>
          <w:sz w:val="24"/>
          <w:highlight w:val="none"/>
          <w:u w:val="single"/>
        </w:rPr>
        <w:t>50</w:t>
      </w:r>
      <w:r>
        <w:rPr>
          <w:rFonts w:hint="eastAsia" w:asciiTheme="minorEastAsia" w:hAnsiTheme="minorEastAsia" w:eastAsiaTheme="minorEastAsia"/>
          <w:color w:val="auto"/>
          <w:sz w:val="24"/>
          <w:highlight w:val="none"/>
        </w:rPr>
        <w:t xml:space="preserve"> mm的雨日超过</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天；</w:t>
      </w:r>
    </w:p>
    <w:p w14:paraId="642C4F4C">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风速大于</w:t>
      </w:r>
      <w:r>
        <w:rPr>
          <w:rFonts w:hint="eastAsia" w:asciiTheme="minorEastAsia" w:hAnsiTheme="minorEastAsia" w:eastAsiaTheme="minorEastAsia"/>
          <w:color w:val="auto"/>
          <w:sz w:val="24"/>
          <w:highlight w:val="none"/>
          <w:u w:val="single"/>
        </w:rPr>
        <w:t>17</w:t>
      </w:r>
      <w:r>
        <w:rPr>
          <w:rFonts w:hint="eastAsia" w:asciiTheme="minorEastAsia" w:hAnsiTheme="minorEastAsia" w:eastAsiaTheme="minorEastAsia"/>
          <w:color w:val="auto"/>
          <w:sz w:val="24"/>
          <w:highlight w:val="none"/>
        </w:rPr>
        <w:t xml:space="preserve"> m/s的</w:t>
      </w:r>
      <w:r>
        <w:rPr>
          <w:rFonts w:hint="eastAsia" w:asciiTheme="minorEastAsia" w:hAnsiTheme="minorEastAsia" w:eastAsiaTheme="minorEastAsia"/>
          <w:color w:val="auto"/>
          <w:sz w:val="24"/>
          <w:highlight w:val="none"/>
          <w:u w:val="single"/>
        </w:rPr>
        <w:t>7</w:t>
      </w:r>
      <w:r>
        <w:rPr>
          <w:rFonts w:hint="eastAsia" w:asciiTheme="minorEastAsia" w:hAnsiTheme="minorEastAsia" w:eastAsiaTheme="minorEastAsia"/>
          <w:color w:val="auto"/>
          <w:sz w:val="24"/>
          <w:highlight w:val="none"/>
        </w:rPr>
        <w:t>级以上台风灾害；</w:t>
      </w:r>
    </w:p>
    <w:p w14:paraId="14A1DF6D">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日气温超过</w:t>
      </w:r>
      <w:r>
        <w:rPr>
          <w:rFonts w:hint="eastAsia" w:asciiTheme="minorEastAsia" w:hAnsiTheme="minorEastAsia" w:eastAsiaTheme="minorEastAsia"/>
          <w:color w:val="auto"/>
          <w:sz w:val="24"/>
          <w:highlight w:val="none"/>
          <w:u w:val="single"/>
        </w:rPr>
        <w:t>40</w:t>
      </w:r>
      <w:r>
        <w:rPr>
          <w:rFonts w:hint="eastAsia" w:asciiTheme="minorEastAsia" w:hAnsiTheme="minorEastAsia" w:eastAsiaTheme="minorEastAsia"/>
          <w:color w:val="auto"/>
          <w:sz w:val="24"/>
          <w:highlight w:val="none"/>
        </w:rPr>
        <w:t>℃的高温大于</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天；</w:t>
      </w:r>
    </w:p>
    <w:p w14:paraId="14CEECE8">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 日气温低于</w:t>
      </w:r>
      <w:r>
        <w:rPr>
          <w:rFonts w:hint="eastAsia" w:asciiTheme="minorEastAsia" w:hAnsiTheme="minorEastAsia" w:eastAsiaTheme="minorEastAsia"/>
          <w:color w:val="auto"/>
          <w:sz w:val="24"/>
          <w:highlight w:val="none"/>
          <w:u w:val="single"/>
        </w:rPr>
        <w:t>-5</w:t>
      </w:r>
      <w:r>
        <w:rPr>
          <w:rFonts w:hint="eastAsia" w:asciiTheme="minorEastAsia" w:hAnsiTheme="minorEastAsia" w:eastAsiaTheme="minorEastAsia"/>
          <w:color w:val="auto"/>
          <w:sz w:val="24"/>
          <w:highlight w:val="none"/>
        </w:rPr>
        <w:t>℃的严寒大于</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天；</w:t>
      </w:r>
    </w:p>
    <w:p w14:paraId="38E8012D">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造成工程损失的冰雹和大雪灾害：冰雹天气或日降雪量超过</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mm以上的天气大于</w:t>
      </w:r>
      <w:r>
        <w:rPr>
          <w:rFonts w:hint="eastAsia" w:asciiTheme="minorEastAsia" w:hAnsiTheme="minorEastAsia" w:eastAsiaTheme="minorEastAsia"/>
          <w:color w:val="auto"/>
          <w:sz w:val="24"/>
          <w:highlight w:val="none"/>
          <w:u w:val="single"/>
        </w:rPr>
        <w:t>10</w:t>
      </w:r>
      <w:r>
        <w:rPr>
          <w:rFonts w:hint="eastAsia" w:asciiTheme="minorEastAsia" w:hAnsiTheme="minorEastAsia" w:eastAsiaTheme="minorEastAsia"/>
          <w:color w:val="auto"/>
          <w:sz w:val="24"/>
          <w:highlight w:val="none"/>
        </w:rPr>
        <w:t>天；</w:t>
      </w:r>
    </w:p>
    <w:p w14:paraId="2FB33CCD">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 其它异常恶劣气候灾害。</w:t>
      </w:r>
    </w:p>
    <w:p w14:paraId="4AD5ACD7">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11.5 承包人的工期延误</w:t>
      </w:r>
    </w:p>
    <w:p w14:paraId="72A8B725">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逾期完工违约金表</w:t>
      </w:r>
    </w:p>
    <w:p w14:paraId="77FEDE1E">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逾期完工违约金表</w:t>
      </w:r>
    </w:p>
    <w:tbl>
      <w:tblPr>
        <w:tblStyle w:val="23"/>
        <w:tblW w:w="8840" w:type="dxa"/>
        <w:tblInd w:w="28" w:type="dxa"/>
        <w:tblLayout w:type="fixed"/>
        <w:tblCellMar>
          <w:top w:w="0" w:type="dxa"/>
          <w:left w:w="28" w:type="dxa"/>
          <w:bottom w:w="0" w:type="dxa"/>
          <w:right w:w="28" w:type="dxa"/>
        </w:tblCellMar>
      </w:tblPr>
      <w:tblGrid>
        <w:gridCol w:w="851"/>
        <w:gridCol w:w="2268"/>
        <w:gridCol w:w="3260"/>
        <w:gridCol w:w="2461"/>
      </w:tblGrid>
      <w:tr w14:paraId="03274576">
        <w:tblPrEx>
          <w:tblCellMar>
            <w:top w:w="0" w:type="dxa"/>
            <w:left w:w="28" w:type="dxa"/>
            <w:bottom w:w="0" w:type="dxa"/>
            <w:right w:w="28" w:type="dxa"/>
          </w:tblCellMar>
        </w:tblPrEx>
        <w:trPr>
          <w:trHeight w:val="541" w:hRule="atLeast"/>
        </w:trPr>
        <w:tc>
          <w:tcPr>
            <w:tcW w:w="851" w:type="dxa"/>
            <w:tcBorders>
              <w:top w:val="single" w:color="000000" w:sz="8" w:space="0"/>
              <w:left w:val="single" w:color="000000" w:sz="8" w:space="0"/>
              <w:bottom w:val="single" w:color="000000" w:sz="4" w:space="0"/>
            </w:tcBorders>
            <w:vAlign w:val="center"/>
          </w:tcPr>
          <w:p w14:paraId="62B31691">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序号</w:t>
            </w:r>
          </w:p>
        </w:tc>
        <w:tc>
          <w:tcPr>
            <w:tcW w:w="2268" w:type="dxa"/>
            <w:tcBorders>
              <w:top w:val="single" w:color="000000" w:sz="8" w:space="0"/>
              <w:left w:val="single" w:color="000000" w:sz="4" w:space="0"/>
              <w:bottom w:val="single" w:color="000000" w:sz="4" w:space="0"/>
            </w:tcBorders>
            <w:vAlign w:val="center"/>
          </w:tcPr>
          <w:p w14:paraId="0B03AD9D">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项目及其说明</w:t>
            </w:r>
          </w:p>
        </w:tc>
        <w:tc>
          <w:tcPr>
            <w:tcW w:w="3260" w:type="dxa"/>
            <w:tcBorders>
              <w:top w:val="single" w:color="000000" w:sz="8" w:space="0"/>
              <w:left w:val="single" w:color="000000" w:sz="4" w:space="0"/>
              <w:bottom w:val="single" w:color="000000" w:sz="4" w:space="0"/>
            </w:tcBorders>
            <w:vAlign w:val="center"/>
          </w:tcPr>
          <w:p w14:paraId="3C7C1198">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要求完工日期</w:t>
            </w:r>
          </w:p>
        </w:tc>
        <w:tc>
          <w:tcPr>
            <w:tcW w:w="2461" w:type="dxa"/>
            <w:tcBorders>
              <w:top w:val="single" w:color="000000" w:sz="8" w:space="0"/>
              <w:left w:val="single" w:color="000000" w:sz="4" w:space="0"/>
              <w:bottom w:val="single" w:color="000000" w:sz="4" w:space="0"/>
              <w:right w:val="single" w:color="000000" w:sz="8" w:space="0"/>
            </w:tcBorders>
            <w:vAlign w:val="center"/>
          </w:tcPr>
          <w:p w14:paraId="6FCB67E3">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违约金（元/天）</w:t>
            </w:r>
          </w:p>
        </w:tc>
      </w:tr>
      <w:tr w14:paraId="3F10CBB5">
        <w:tblPrEx>
          <w:tblCellMar>
            <w:top w:w="0" w:type="dxa"/>
            <w:left w:w="28" w:type="dxa"/>
            <w:bottom w:w="0" w:type="dxa"/>
            <w:right w:w="28" w:type="dxa"/>
          </w:tblCellMar>
        </w:tblPrEx>
        <w:trPr>
          <w:trHeight w:val="541" w:hRule="atLeast"/>
        </w:trPr>
        <w:tc>
          <w:tcPr>
            <w:tcW w:w="851" w:type="dxa"/>
            <w:tcBorders>
              <w:top w:val="single" w:color="000000" w:sz="4" w:space="0"/>
              <w:left w:val="single" w:color="000000" w:sz="8" w:space="0"/>
              <w:bottom w:val="single" w:color="000000" w:sz="4" w:space="0"/>
            </w:tcBorders>
            <w:vAlign w:val="center"/>
          </w:tcPr>
          <w:p w14:paraId="682B22AC">
            <w:pPr>
              <w:snapToGrid w:val="0"/>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268" w:type="dxa"/>
            <w:tcBorders>
              <w:top w:val="single" w:color="000000" w:sz="4" w:space="0"/>
              <w:left w:val="single" w:color="000000" w:sz="4" w:space="0"/>
              <w:bottom w:val="single" w:color="000000" w:sz="4" w:space="0"/>
            </w:tcBorders>
            <w:vAlign w:val="center"/>
          </w:tcPr>
          <w:p w14:paraId="007723A2">
            <w:pPr>
              <w:snapToGrid w:val="0"/>
              <w:spacing w:line="4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全部工程</w:t>
            </w:r>
          </w:p>
        </w:tc>
        <w:tc>
          <w:tcPr>
            <w:tcW w:w="3260" w:type="dxa"/>
            <w:tcBorders>
              <w:top w:val="single" w:color="000000" w:sz="4" w:space="0"/>
              <w:left w:val="single" w:color="000000" w:sz="4" w:space="0"/>
              <w:bottom w:val="single" w:color="000000" w:sz="4" w:space="0"/>
            </w:tcBorders>
            <w:vAlign w:val="center"/>
          </w:tcPr>
          <w:p w14:paraId="0A84AE6E">
            <w:pPr>
              <w:snapToGrid w:val="0"/>
              <w:spacing w:line="42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eastAsia="zh-CN"/>
              </w:rPr>
              <w:t>发出开工令</w:t>
            </w:r>
            <w:r>
              <w:rPr>
                <w:rFonts w:hint="eastAsia" w:cs="Times New Roman" w:asciiTheme="minorEastAsia" w:hAnsiTheme="minorEastAsia" w:eastAsiaTheme="minorEastAsia"/>
                <w:color w:val="auto"/>
                <w:sz w:val="24"/>
                <w:highlight w:val="none"/>
              </w:rPr>
              <w:t>后</w:t>
            </w:r>
            <w:r>
              <w:rPr>
                <w:rFonts w:hint="eastAsia" w:cs="Times New Roman" w:asciiTheme="minorEastAsia" w:hAnsiTheme="minorEastAsia" w:eastAsiaTheme="minorEastAsia"/>
                <w:color w:val="auto"/>
                <w:sz w:val="24"/>
                <w:highlight w:val="none"/>
                <w:u w:val="none"/>
              </w:rPr>
              <w:t xml:space="preserve">     </w:t>
            </w:r>
            <w:r>
              <w:rPr>
                <w:rFonts w:hint="eastAsia" w:cs="Times New Roman" w:asciiTheme="minorEastAsia" w:hAnsiTheme="minorEastAsia" w:eastAsiaTheme="minorEastAsia"/>
                <w:color w:val="auto"/>
                <w:sz w:val="24"/>
                <w:highlight w:val="none"/>
              </w:rPr>
              <w:t>日历天</w:t>
            </w:r>
          </w:p>
        </w:tc>
        <w:tc>
          <w:tcPr>
            <w:tcW w:w="2461" w:type="dxa"/>
            <w:tcBorders>
              <w:top w:val="single" w:color="000000" w:sz="4" w:space="0"/>
              <w:left w:val="single" w:color="000000" w:sz="4" w:space="0"/>
              <w:bottom w:val="single" w:color="000000" w:sz="4" w:space="0"/>
              <w:right w:val="single" w:color="000000" w:sz="8" w:space="0"/>
            </w:tcBorders>
            <w:vAlign w:val="center"/>
          </w:tcPr>
          <w:p w14:paraId="4D3C79F6">
            <w:pPr>
              <w:snapToGrid w:val="0"/>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1000</w:t>
            </w:r>
          </w:p>
        </w:tc>
      </w:tr>
    </w:tbl>
    <w:p w14:paraId="2F5369E7">
      <w:pPr>
        <w:pStyle w:val="14"/>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全部逾期完工违约金的总限额为不超过签约合同价的</w:t>
      </w:r>
      <w:r>
        <w:rPr>
          <w:rFonts w:hint="eastAsia"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 xml:space="preserve"> %。</w:t>
      </w:r>
    </w:p>
    <w:p w14:paraId="766407D0">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11.6  工期提前</w:t>
      </w:r>
    </w:p>
    <w:p w14:paraId="718B6880">
      <w:pPr>
        <w:tabs>
          <w:tab w:val="left" w:pos="567"/>
        </w:tabs>
        <w:snapToGrid w:val="0"/>
        <w:spacing w:line="42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工期提前的奖金约定：</w:t>
      </w:r>
      <w:r>
        <w:rPr>
          <w:rFonts w:asciiTheme="minorEastAsia" w:hAnsiTheme="minorEastAsia" w:eastAsiaTheme="minorEastAsia"/>
          <w:color w:val="auto"/>
          <w:sz w:val="24"/>
          <w:highlight w:val="none"/>
          <w:u w:val="single"/>
        </w:rPr>
        <w:t>工期提前</w:t>
      </w:r>
      <w:r>
        <w:rPr>
          <w:rFonts w:hint="eastAsia" w:asciiTheme="minorEastAsia" w:hAnsiTheme="minorEastAsia" w:eastAsiaTheme="minorEastAsia"/>
          <w:color w:val="auto"/>
          <w:sz w:val="24"/>
          <w:highlight w:val="none"/>
          <w:u w:val="single"/>
        </w:rPr>
        <w:t>不奖励。</w:t>
      </w:r>
    </w:p>
    <w:p w14:paraId="158CB68B">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12 暂停施工</w:t>
      </w:r>
    </w:p>
    <w:p w14:paraId="6A82B681">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12.1 承包人暂停施工的责任</w:t>
      </w:r>
    </w:p>
    <w:p w14:paraId="4B65C359">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承包人承担暂停施工责任的其他情形：</w:t>
      </w:r>
      <w:r>
        <w:rPr>
          <w:rFonts w:hint="eastAsia" w:cs="宋体" w:asciiTheme="minorEastAsia" w:hAnsiTheme="minorEastAsia" w:eastAsiaTheme="minorEastAsia"/>
          <w:color w:val="auto"/>
          <w:sz w:val="24"/>
          <w:highlight w:val="none"/>
          <w:u w:val="single"/>
        </w:rPr>
        <w:t>现场气候条件导致的必要停工（第11.4.3项规定的异常恶劣的气候条件除外）</w:t>
      </w:r>
      <w:r>
        <w:rPr>
          <w:rFonts w:asciiTheme="minorEastAsia" w:hAnsiTheme="minorEastAsia" w:eastAsiaTheme="minorEastAsia"/>
          <w:color w:val="auto"/>
          <w:sz w:val="24"/>
          <w:highlight w:val="none"/>
        </w:rPr>
        <w:t>。</w:t>
      </w:r>
    </w:p>
    <w:p w14:paraId="6AD6A541">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12.2 发包人暂停施工的责任</w:t>
      </w:r>
    </w:p>
    <w:p w14:paraId="2349EC5D">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发包人承担暂停施工责任的其他情形：</w:t>
      </w:r>
      <w:r>
        <w:rPr>
          <w:rFonts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48717D0E">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13 工程质量</w:t>
      </w:r>
    </w:p>
    <w:p w14:paraId="01E9DAB2">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13.7 质量评定</w:t>
      </w:r>
    </w:p>
    <w:p w14:paraId="1D93C9A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13.7.7 工程质量标准为：</w:t>
      </w:r>
      <w:r>
        <w:rPr>
          <w:rFonts w:hint="eastAsia" w:asciiTheme="minorEastAsia" w:hAnsiTheme="minorEastAsia" w:eastAsiaTheme="minorEastAsia"/>
          <w:color w:val="auto"/>
          <w:sz w:val="24"/>
          <w:highlight w:val="none"/>
          <w:u w:val="single"/>
        </w:rPr>
        <w:t>合格</w:t>
      </w:r>
      <w:r>
        <w:rPr>
          <w:rFonts w:asciiTheme="minorEastAsia" w:hAnsiTheme="minorEastAsia" w:eastAsiaTheme="minorEastAsia"/>
          <w:color w:val="auto"/>
          <w:sz w:val="24"/>
          <w:highlight w:val="none"/>
        </w:rPr>
        <w:t>，达到优良的奖金</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0DF84DDE">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14 验收和检验</w:t>
      </w:r>
    </w:p>
    <w:p w14:paraId="0715EFB8">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14.1 材料、工程设备和工程的试验和检验</w:t>
      </w:r>
    </w:p>
    <w:p w14:paraId="47F2AB5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14.1.5 水工金属结构、启闭机及机电产品进场后的交货检查和验收中，承包人负责</w:t>
      </w:r>
      <w:r>
        <w:rPr>
          <w:rFonts w:hint="eastAsia" w:asciiTheme="minorEastAsia" w:hAnsiTheme="minorEastAsia" w:eastAsiaTheme="minorEastAsia"/>
          <w:color w:val="auto"/>
          <w:sz w:val="24"/>
          <w:highlight w:val="none"/>
          <w:u w:val="single"/>
        </w:rPr>
        <w:t>按通用条款</w:t>
      </w:r>
      <w:r>
        <w:rPr>
          <w:rFonts w:asciiTheme="minorEastAsia" w:hAnsiTheme="minorEastAsia" w:eastAsiaTheme="minorEastAsia"/>
          <w:color w:val="auto"/>
          <w:sz w:val="24"/>
          <w:highlight w:val="none"/>
        </w:rPr>
        <w:t>。</w:t>
      </w:r>
    </w:p>
    <w:p w14:paraId="7830A5F2">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14.1.6 本工程实行见证取样的试块、试件及有关材料：</w:t>
      </w:r>
      <w:r>
        <w:rPr>
          <w:rFonts w:asciiTheme="minorEastAsia" w:hAnsiTheme="minorEastAsia" w:eastAsiaTheme="minorEastAsia"/>
          <w:color w:val="auto"/>
          <w:sz w:val="24"/>
          <w:highlight w:val="none"/>
          <w:u w:val="single"/>
        </w:rPr>
        <w:t>水泥、砼、钢筋、砼骨料等（具体由监理人按有关规定确定）</w:t>
      </w:r>
      <w:r>
        <w:rPr>
          <w:rFonts w:asciiTheme="minorEastAsia" w:hAnsiTheme="minorEastAsia" w:eastAsiaTheme="minorEastAsia"/>
          <w:color w:val="auto"/>
          <w:sz w:val="24"/>
          <w:highlight w:val="none"/>
        </w:rPr>
        <w:t>。</w:t>
      </w:r>
    </w:p>
    <w:p w14:paraId="089C1CE5">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15 变更</w:t>
      </w:r>
    </w:p>
    <w:p w14:paraId="3924970F">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15.1 变更的范围和内容</w:t>
      </w:r>
    </w:p>
    <w:p w14:paraId="5101D211">
      <w:pPr>
        <w:snapToGrid w:val="0"/>
        <w:spacing w:line="420" w:lineRule="exact"/>
        <w:ind w:firstLine="480"/>
        <w:rPr>
          <w:rFonts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⑹</w:t>
      </w:r>
      <w:r>
        <w:rPr>
          <w:rFonts w:asciiTheme="minorEastAsia" w:hAnsiTheme="minorEastAsia" w:eastAsiaTheme="minorEastAsia"/>
          <w:color w:val="auto"/>
          <w:sz w:val="24"/>
          <w:highlight w:val="none"/>
        </w:rPr>
        <w:t xml:space="preserve"> 原条款改为：</w:t>
      </w:r>
      <w:r>
        <w:rPr>
          <w:rFonts w:asciiTheme="minorEastAsia" w:hAnsiTheme="minorEastAsia" w:eastAsiaTheme="minorEastAsia"/>
          <w:color w:val="auto"/>
          <w:sz w:val="24"/>
          <w:highlight w:val="none"/>
          <w:u w:val="single"/>
        </w:rPr>
        <w:t>合同中单价承包项目的工程量不管增加或减少多少，其单价不作调整。</w:t>
      </w:r>
    </w:p>
    <w:p w14:paraId="6CE0F40B">
      <w:pPr>
        <w:spacing w:line="420" w:lineRule="exact"/>
        <w:ind w:firstLine="466" w:firstLineChars="200"/>
        <w:rPr>
          <w:rFonts w:asciiTheme="minorEastAsia" w:hAnsiTheme="minorEastAsia" w:eastAsiaTheme="minorEastAsia"/>
          <w:b/>
          <w:snapToGrid w:val="0"/>
          <w:color w:val="auto"/>
          <w:spacing w:val="-4"/>
          <w:sz w:val="24"/>
          <w:highlight w:val="none"/>
        </w:rPr>
      </w:pPr>
      <w:r>
        <w:rPr>
          <w:rFonts w:hint="eastAsia" w:asciiTheme="minorEastAsia" w:hAnsiTheme="minorEastAsia" w:eastAsiaTheme="minorEastAsia"/>
          <w:b/>
          <w:snapToGrid w:val="0"/>
          <w:color w:val="auto"/>
          <w:spacing w:val="-4"/>
          <w:sz w:val="24"/>
          <w:highlight w:val="none"/>
        </w:rPr>
        <w:t>补充以下内容：</w:t>
      </w:r>
    </w:p>
    <w:p w14:paraId="4A958C3F">
      <w:pPr>
        <w:spacing w:line="420" w:lineRule="exact"/>
        <w:ind w:firstLine="466" w:firstLineChars="200"/>
        <w:rPr>
          <w:rFonts w:asciiTheme="minorEastAsia" w:hAnsiTheme="minorEastAsia" w:eastAsiaTheme="minorEastAsia"/>
          <w:b/>
          <w:snapToGrid w:val="0"/>
          <w:color w:val="auto"/>
          <w:spacing w:val="-4"/>
          <w:sz w:val="24"/>
          <w:highlight w:val="none"/>
        </w:rPr>
      </w:pPr>
      <w:r>
        <w:rPr>
          <w:rFonts w:hint="eastAsia" w:asciiTheme="minorEastAsia" w:hAnsiTheme="minorEastAsia" w:eastAsiaTheme="minorEastAsia"/>
          <w:b/>
          <w:snapToGrid w:val="0"/>
          <w:color w:val="auto"/>
          <w:spacing w:val="-4"/>
          <w:sz w:val="24"/>
          <w:highlight w:val="none"/>
        </w:rPr>
        <w:t>本合同价款采用固定</w:t>
      </w:r>
      <w:r>
        <w:rPr>
          <w:rFonts w:hint="eastAsia" w:cs="Times New Roman" w:asciiTheme="minorEastAsia" w:hAnsiTheme="minorEastAsia" w:eastAsiaTheme="minorEastAsia"/>
          <w:b/>
          <w:snapToGrid w:val="0"/>
          <w:color w:val="auto"/>
          <w:spacing w:val="-4"/>
          <w:sz w:val="24"/>
          <w:highlight w:val="none"/>
        </w:rPr>
        <w:t>单价合同方式。本工程按发包人提供的</w:t>
      </w:r>
      <w:r>
        <w:rPr>
          <w:rFonts w:hint="eastAsia" w:cs="Times New Roman" w:asciiTheme="minorEastAsia" w:hAnsiTheme="minorEastAsia" w:eastAsiaTheme="minorEastAsia"/>
          <w:b/>
          <w:snapToGrid w:val="0"/>
          <w:color w:val="auto"/>
          <w:spacing w:val="-4"/>
          <w:sz w:val="24"/>
          <w:highlight w:val="none"/>
          <w:lang w:val="en-US" w:eastAsia="zh-CN"/>
        </w:rPr>
        <w:t>预算价</w:t>
      </w:r>
      <w:r>
        <w:rPr>
          <w:rFonts w:hint="eastAsia" w:cs="Times New Roman" w:asciiTheme="minorEastAsia" w:hAnsiTheme="minorEastAsia" w:eastAsiaTheme="minorEastAsia"/>
          <w:b/>
          <w:snapToGrid w:val="0"/>
          <w:color w:val="auto"/>
          <w:spacing w:val="-4"/>
          <w:sz w:val="24"/>
          <w:highlight w:val="none"/>
        </w:rPr>
        <w:t>结合固定结算率方式结算，结算时应按照</w:t>
      </w:r>
      <w:r>
        <w:rPr>
          <w:rFonts w:hint="eastAsia" w:cs="Times New Roman" w:asciiTheme="minorEastAsia" w:hAnsiTheme="minorEastAsia" w:eastAsiaTheme="minorEastAsia"/>
          <w:b/>
          <w:snapToGrid w:val="0"/>
          <w:color w:val="auto"/>
          <w:spacing w:val="-4"/>
          <w:sz w:val="24"/>
          <w:highlight w:val="none"/>
          <w:lang w:val="en-US" w:eastAsia="zh-CN"/>
        </w:rPr>
        <w:t>预算价</w:t>
      </w:r>
      <w:r>
        <w:rPr>
          <w:rFonts w:hint="eastAsia" w:cs="Times New Roman" w:asciiTheme="minorEastAsia" w:hAnsiTheme="minorEastAsia" w:eastAsiaTheme="minorEastAsia"/>
          <w:b/>
          <w:snapToGrid w:val="0"/>
          <w:color w:val="auto"/>
          <w:spacing w:val="-4"/>
          <w:sz w:val="24"/>
          <w:highlight w:val="none"/>
        </w:rPr>
        <w:t>的计量依据、组价方式、取费标准、工程量清单综合单价确定办法等进行结算，不得调整</w:t>
      </w:r>
      <w:r>
        <w:rPr>
          <w:rFonts w:hint="eastAsia" w:cs="Times New Roman" w:asciiTheme="minorEastAsia" w:hAnsiTheme="minorEastAsia" w:eastAsiaTheme="minorEastAsia"/>
          <w:b/>
          <w:snapToGrid w:val="0"/>
          <w:color w:val="auto"/>
          <w:spacing w:val="-4"/>
          <w:sz w:val="24"/>
          <w:highlight w:val="none"/>
          <w:lang w:eastAsia="zh-CN"/>
        </w:rPr>
        <w:t>。</w:t>
      </w:r>
      <w:r>
        <w:rPr>
          <w:rFonts w:hint="eastAsia" w:asciiTheme="minorEastAsia" w:hAnsiTheme="minorEastAsia" w:eastAsiaTheme="minorEastAsia"/>
          <w:b/>
          <w:snapToGrid w:val="0"/>
          <w:color w:val="auto"/>
          <w:spacing w:val="-4"/>
          <w:sz w:val="24"/>
          <w:highlight w:val="none"/>
        </w:rPr>
        <w:t>其它项目费用的保险费凭相</w:t>
      </w:r>
      <w:r>
        <w:rPr>
          <w:rFonts w:asciiTheme="minorEastAsia" w:hAnsiTheme="minorEastAsia" w:eastAsiaTheme="minorEastAsia"/>
          <w:b/>
          <w:snapToGrid w:val="0"/>
          <w:color w:val="auto"/>
          <w:spacing w:val="-4"/>
          <w:sz w:val="24"/>
          <w:highlight w:val="none"/>
        </w:rPr>
        <w:t>应</w:t>
      </w:r>
      <w:r>
        <w:rPr>
          <w:rFonts w:hint="eastAsia" w:asciiTheme="minorEastAsia" w:hAnsiTheme="minorEastAsia" w:eastAsiaTheme="minorEastAsia"/>
          <w:b/>
          <w:snapToGrid w:val="0"/>
          <w:color w:val="auto"/>
          <w:spacing w:val="-4"/>
          <w:sz w:val="24"/>
          <w:highlight w:val="none"/>
        </w:rPr>
        <w:t>票据在该项投标总价范围内按实结算。</w:t>
      </w:r>
    </w:p>
    <w:p w14:paraId="1A3FC837">
      <w:pPr>
        <w:pStyle w:val="14"/>
        <w:spacing w:line="420" w:lineRule="exact"/>
        <w:ind w:firstLine="457" w:firstLineChars="196"/>
        <w:rPr>
          <w:rFonts w:asciiTheme="minorEastAsia" w:hAnsiTheme="minorEastAsia" w:eastAsiaTheme="minorEastAsia"/>
          <w:b/>
          <w:snapToGrid w:val="0"/>
          <w:color w:val="auto"/>
          <w:spacing w:val="-4"/>
          <w:sz w:val="24"/>
          <w:highlight w:val="none"/>
        </w:rPr>
      </w:pPr>
      <w:r>
        <w:rPr>
          <w:rFonts w:hint="eastAsia" w:asciiTheme="minorEastAsia" w:hAnsiTheme="minorEastAsia" w:eastAsiaTheme="minorEastAsia"/>
          <w:b/>
          <w:snapToGrid w:val="0"/>
          <w:color w:val="auto"/>
          <w:spacing w:val="-4"/>
          <w:sz w:val="24"/>
          <w:highlight w:val="none"/>
        </w:rPr>
        <w:t>合同价款中包括的风险范围：①本工程的结算率一次性包死，</w:t>
      </w:r>
      <w:r>
        <w:rPr>
          <w:rFonts w:hint="eastAsia" w:asciiTheme="minorEastAsia" w:hAnsiTheme="minorEastAsia" w:eastAsiaTheme="minorEastAsia"/>
          <w:b/>
          <w:bCs w:val="0"/>
          <w:snapToGrid w:val="0"/>
          <w:color w:val="auto"/>
          <w:spacing w:val="-4"/>
          <w:sz w:val="24"/>
          <w:highlight w:val="none"/>
        </w:rPr>
        <w:t>结算率=（投标人投标价-</w:t>
      </w:r>
      <w:r>
        <w:rPr>
          <w:rFonts w:hint="eastAsia" w:asciiTheme="minorEastAsia" w:hAnsiTheme="minorEastAsia" w:eastAsiaTheme="minorEastAsia"/>
          <w:b/>
          <w:bCs w:val="0"/>
          <w:snapToGrid w:val="0"/>
          <w:color w:val="auto"/>
          <w:spacing w:val="-4"/>
          <w:sz w:val="24"/>
          <w:highlight w:val="none"/>
          <w:lang w:eastAsia="zh-CN"/>
        </w:rPr>
        <w:t>预留金</w:t>
      </w:r>
      <w:r>
        <w:rPr>
          <w:rFonts w:hint="eastAsia" w:asciiTheme="minorEastAsia" w:hAnsiTheme="minorEastAsia" w:eastAsiaTheme="minorEastAsia"/>
          <w:b/>
          <w:bCs w:val="0"/>
          <w:snapToGrid w:val="0"/>
          <w:color w:val="auto"/>
          <w:spacing w:val="-4"/>
          <w:sz w:val="24"/>
          <w:highlight w:val="none"/>
        </w:rPr>
        <w:t>-</w:t>
      </w:r>
      <w:r>
        <w:rPr>
          <w:rFonts w:hint="eastAsia" w:asciiTheme="minorEastAsia" w:hAnsiTheme="minorEastAsia" w:eastAsiaTheme="minorEastAsia"/>
          <w:b/>
          <w:bCs w:val="0"/>
          <w:snapToGrid w:val="0"/>
          <w:color w:val="auto"/>
          <w:spacing w:val="-4"/>
          <w:sz w:val="24"/>
          <w:highlight w:val="none"/>
          <w:lang w:eastAsia="zh-CN"/>
        </w:rPr>
        <w:t>安全文明施工费</w:t>
      </w:r>
      <w:r>
        <w:rPr>
          <w:rFonts w:hint="eastAsia" w:asciiTheme="minorEastAsia" w:hAnsiTheme="minorEastAsia" w:eastAsiaTheme="minorEastAsia"/>
          <w:b/>
          <w:bCs w:val="0"/>
          <w:snapToGrid w:val="0"/>
          <w:color w:val="auto"/>
          <w:spacing w:val="-4"/>
          <w:sz w:val="24"/>
          <w:highlight w:val="none"/>
        </w:rPr>
        <w:t>）/（招标人招标控制价-</w:t>
      </w:r>
      <w:r>
        <w:rPr>
          <w:rFonts w:hint="eastAsia" w:asciiTheme="minorEastAsia" w:hAnsiTheme="minorEastAsia" w:eastAsiaTheme="minorEastAsia"/>
          <w:b/>
          <w:bCs w:val="0"/>
          <w:snapToGrid w:val="0"/>
          <w:color w:val="auto"/>
          <w:spacing w:val="-4"/>
          <w:sz w:val="24"/>
          <w:highlight w:val="none"/>
          <w:lang w:eastAsia="zh-CN"/>
        </w:rPr>
        <w:t>预留金</w:t>
      </w:r>
      <w:r>
        <w:rPr>
          <w:rFonts w:hint="eastAsia" w:asciiTheme="minorEastAsia" w:hAnsiTheme="minorEastAsia" w:eastAsiaTheme="minorEastAsia"/>
          <w:b/>
          <w:bCs w:val="0"/>
          <w:snapToGrid w:val="0"/>
          <w:color w:val="auto"/>
          <w:spacing w:val="-4"/>
          <w:sz w:val="24"/>
          <w:highlight w:val="none"/>
        </w:rPr>
        <w:t>-</w:t>
      </w:r>
      <w:r>
        <w:rPr>
          <w:rFonts w:hint="eastAsia" w:asciiTheme="minorEastAsia" w:hAnsiTheme="minorEastAsia" w:eastAsiaTheme="minorEastAsia"/>
          <w:b/>
          <w:bCs w:val="0"/>
          <w:snapToGrid w:val="0"/>
          <w:color w:val="auto"/>
          <w:spacing w:val="-4"/>
          <w:sz w:val="24"/>
          <w:highlight w:val="none"/>
          <w:lang w:eastAsia="zh-CN"/>
        </w:rPr>
        <w:t>安全文明施工费</w:t>
      </w:r>
      <w:r>
        <w:rPr>
          <w:rFonts w:hint="eastAsia" w:asciiTheme="minorEastAsia" w:hAnsiTheme="minorEastAsia" w:eastAsiaTheme="minorEastAsia"/>
          <w:b/>
          <w:bCs w:val="0"/>
          <w:snapToGrid w:val="0"/>
          <w:color w:val="auto"/>
          <w:spacing w:val="-4"/>
          <w:sz w:val="24"/>
          <w:highlight w:val="none"/>
        </w:rPr>
        <w:t>）*100%</w:t>
      </w:r>
      <w:r>
        <w:rPr>
          <w:rFonts w:hint="eastAsia" w:asciiTheme="minorEastAsia" w:hAnsiTheme="minorEastAsia" w:eastAsiaTheme="minorEastAsia"/>
          <w:b/>
          <w:snapToGrid w:val="0"/>
          <w:color w:val="auto"/>
          <w:spacing w:val="-4"/>
          <w:sz w:val="24"/>
          <w:highlight w:val="none"/>
        </w:rPr>
        <w:t>，相应结算率为</w:t>
      </w:r>
      <w:r>
        <w:rPr>
          <w:rFonts w:hint="eastAsia" w:asciiTheme="minorEastAsia" w:hAnsiTheme="minorEastAsia" w:eastAsiaTheme="minorEastAsia"/>
          <w:b/>
          <w:snapToGrid w:val="0"/>
          <w:color w:val="auto"/>
          <w:spacing w:val="-4"/>
          <w:sz w:val="24"/>
          <w:highlight w:val="none"/>
          <w:u w:val="none"/>
        </w:rPr>
        <w:t xml:space="preserve">   %</w:t>
      </w:r>
      <w:r>
        <w:rPr>
          <w:rFonts w:hint="eastAsia" w:asciiTheme="minorEastAsia" w:hAnsiTheme="minorEastAsia" w:eastAsiaTheme="minorEastAsia"/>
          <w:b/>
          <w:snapToGrid w:val="0"/>
          <w:color w:val="auto"/>
          <w:spacing w:val="-4"/>
          <w:sz w:val="24"/>
          <w:highlight w:val="none"/>
        </w:rPr>
        <w:t>；②造价部门发布的价格调整；③施工期间停水、停电引起的费用增加；④专用条款中约定不予调整的条款和承包人承担的费用；⑤除以下明确风险范围以外的影响因素外，其他因素均在风险因素之内。</w:t>
      </w:r>
    </w:p>
    <w:p w14:paraId="29A54756">
      <w:pPr>
        <w:spacing w:line="420" w:lineRule="exact"/>
        <w:ind w:firstLine="466" w:firstLineChars="200"/>
        <w:rPr>
          <w:rFonts w:asciiTheme="minorEastAsia" w:hAnsiTheme="minorEastAsia" w:eastAsiaTheme="minorEastAsia"/>
          <w:b/>
          <w:snapToGrid w:val="0"/>
          <w:color w:val="auto"/>
          <w:spacing w:val="-4"/>
          <w:sz w:val="24"/>
          <w:highlight w:val="none"/>
        </w:rPr>
      </w:pPr>
      <w:r>
        <w:rPr>
          <w:rFonts w:hint="eastAsia" w:asciiTheme="minorEastAsia" w:hAnsiTheme="minorEastAsia" w:eastAsiaTheme="minorEastAsia"/>
          <w:b/>
          <w:snapToGrid w:val="0"/>
          <w:color w:val="auto"/>
          <w:spacing w:val="-4"/>
          <w:sz w:val="24"/>
          <w:highlight w:val="none"/>
        </w:rPr>
        <w:t>风险费用的计算方法： 在投标报价时考虑。</w:t>
      </w:r>
    </w:p>
    <w:p w14:paraId="5CF0CAC8">
      <w:pPr>
        <w:spacing w:line="420" w:lineRule="exact"/>
        <w:ind w:firstLine="466" w:firstLineChars="200"/>
        <w:rPr>
          <w:rFonts w:asciiTheme="minorEastAsia" w:hAnsiTheme="minorEastAsia" w:eastAsiaTheme="minorEastAsia"/>
          <w:b/>
          <w:snapToGrid w:val="0"/>
          <w:color w:val="auto"/>
          <w:spacing w:val="-4"/>
          <w:sz w:val="24"/>
          <w:highlight w:val="none"/>
        </w:rPr>
      </w:pPr>
      <w:r>
        <w:rPr>
          <w:rFonts w:hint="eastAsia" w:asciiTheme="minorEastAsia" w:hAnsiTheme="minorEastAsia" w:eastAsiaTheme="minorEastAsia"/>
          <w:b/>
          <w:snapToGrid w:val="0"/>
          <w:color w:val="auto"/>
          <w:spacing w:val="-4"/>
          <w:sz w:val="24"/>
          <w:highlight w:val="none"/>
        </w:rPr>
        <w:t>风险范围以外合同价款调整方法： ①发包人提供的预算数量有误或者设计变更引起的工程项目或数量的增减，项目的工程量按实调整。②符合合同约定的工程洽商、变更等书面协议和文件。</w:t>
      </w:r>
    </w:p>
    <w:p w14:paraId="107B8787">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hint="eastAsia" w:asciiTheme="minorEastAsia" w:hAnsiTheme="minorEastAsia" w:eastAsiaTheme="minorEastAsia"/>
          <w:b w:val="0"/>
          <w:color w:val="auto"/>
          <w:szCs w:val="24"/>
          <w:highlight w:val="none"/>
        </w:rPr>
        <w:t>15.3变更程序</w:t>
      </w:r>
    </w:p>
    <w:p w14:paraId="04A71669">
      <w:pPr>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变更程序执行</w:t>
      </w:r>
      <w:r>
        <w:rPr>
          <w:rFonts w:hint="eastAsia" w:asciiTheme="minorEastAsia" w:hAnsiTheme="minorEastAsia" w:eastAsiaTheme="minorEastAsia"/>
          <w:snapToGrid w:val="0"/>
          <w:color w:val="auto"/>
          <w:sz w:val="24"/>
          <w:highlight w:val="none"/>
        </w:rPr>
        <w:t>当地</w:t>
      </w:r>
      <w:r>
        <w:rPr>
          <w:rFonts w:hint="eastAsia" w:asciiTheme="minorEastAsia" w:hAnsiTheme="minorEastAsia" w:eastAsiaTheme="minorEastAsia"/>
          <w:color w:val="auto"/>
          <w:sz w:val="24"/>
          <w:highlight w:val="none"/>
        </w:rPr>
        <w:t>文件的有关规定。如施工期间，当地政府部门有新的变更规定的，则按新出台的变更规定执行。</w:t>
      </w:r>
    </w:p>
    <w:p w14:paraId="2CDA5A3E">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15.4 变更的估价原则</w:t>
      </w:r>
    </w:p>
    <w:p w14:paraId="7BC9A1CB">
      <w:pPr>
        <w:pStyle w:val="36"/>
        <w:spacing w:before="60" w:after="60" w:line="420" w:lineRule="exact"/>
        <w:ind w:firstLine="471"/>
        <w:rPr>
          <w:rFonts w:asciiTheme="minorEastAsia" w:hAnsiTheme="minorEastAsia" w:eastAsiaTheme="minorEastAsia"/>
          <w:color w:val="auto"/>
          <w:szCs w:val="24"/>
          <w:highlight w:val="none"/>
        </w:rPr>
      </w:pPr>
      <w:r>
        <w:rPr>
          <w:rFonts w:asciiTheme="minorEastAsia" w:hAnsiTheme="minorEastAsia" w:eastAsiaTheme="minorEastAsia"/>
          <w:b/>
          <w:color w:val="auto"/>
          <w:szCs w:val="24"/>
          <w:highlight w:val="none"/>
        </w:rPr>
        <w:t>15.4.</w:t>
      </w:r>
      <w:r>
        <w:rPr>
          <w:rFonts w:hint="eastAsia" w:asciiTheme="minorEastAsia" w:hAnsiTheme="minorEastAsia" w:eastAsiaTheme="minorEastAsia"/>
          <w:b/>
          <w:color w:val="auto"/>
          <w:szCs w:val="24"/>
          <w:highlight w:val="none"/>
        </w:rPr>
        <w:t>1、15.4.2、15.4.3</w:t>
      </w:r>
      <w:r>
        <w:rPr>
          <w:rFonts w:asciiTheme="minorEastAsia" w:hAnsiTheme="minorEastAsia" w:eastAsiaTheme="minorEastAsia"/>
          <w:color w:val="auto"/>
          <w:szCs w:val="24"/>
          <w:highlight w:val="none"/>
        </w:rPr>
        <w:t>删去本项全文，并代之以：</w:t>
      </w:r>
    </w:p>
    <w:p w14:paraId="222F7C26">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变更项目的计价口径同合同15.1款约定计价方法，按约定的工程预算定额计价，预算定额中无合适定额子目的由发包人签证确定。</w:t>
      </w:r>
    </w:p>
    <w:p w14:paraId="29F0D586">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本款增加：</w:t>
      </w:r>
    </w:p>
    <w:p w14:paraId="3CAA6D91">
      <w:pPr>
        <w:pStyle w:val="36"/>
        <w:spacing w:before="60" w:after="60" w:line="420" w:lineRule="exact"/>
        <w:ind w:firstLine="471"/>
        <w:rPr>
          <w:rFonts w:asciiTheme="minorEastAsia" w:hAnsiTheme="minorEastAsia" w:eastAsiaTheme="minorEastAsia"/>
          <w:color w:val="auto"/>
          <w:szCs w:val="24"/>
          <w:highlight w:val="none"/>
        </w:rPr>
      </w:pPr>
      <w:r>
        <w:rPr>
          <w:rFonts w:asciiTheme="minorEastAsia" w:hAnsiTheme="minorEastAsia" w:eastAsiaTheme="minorEastAsia"/>
          <w:b/>
          <w:color w:val="auto"/>
          <w:szCs w:val="24"/>
          <w:highlight w:val="none"/>
        </w:rPr>
        <w:t xml:space="preserve">15.4.4 </w:t>
      </w:r>
      <w:r>
        <w:rPr>
          <w:rFonts w:asciiTheme="minorEastAsia" w:hAnsiTheme="minorEastAsia" w:eastAsiaTheme="minorEastAsia"/>
          <w:color w:val="auto"/>
          <w:szCs w:val="24"/>
          <w:highlight w:val="none"/>
          <w:u w:val="single"/>
        </w:rPr>
        <w:t>本合同工程新增或变更工程金额，不论金额大小，均不得要求增加工程量清单中的总价承包部分的费用</w:t>
      </w:r>
      <w:r>
        <w:rPr>
          <w:rFonts w:asciiTheme="minorEastAsia" w:hAnsiTheme="minorEastAsia" w:eastAsiaTheme="minorEastAsia"/>
          <w:color w:val="auto"/>
          <w:szCs w:val="24"/>
          <w:highlight w:val="none"/>
        </w:rPr>
        <w:t>。</w:t>
      </w:r>
    </w:p>
    <w:p w14:paraId="231D68BE">
      <w:pPr>
        <w:pStyle w:val="36"/>
        <w:spacing w:before="60" w:after="60" w:line="420" w:lineRule="exact"/>
        <w:ind w:firstLine="471"/>
        <w:rPr>
          <w:rFonts w:asciiTheme="minorEastAsia" w:hAnsiTheme="minorEastAsia" w:eastAsiaTheme="minorEastAsia"/>
          <w:color w:val="auto"/>
          <w:szCs w:val="24"/>
          <w:highlight w:val="none"/>
        </w:rPr>
      </w:pPr>
      <w:r>
        <w:rPr>
          <w:rFonts w:asciiTheme="minorEastAsia" w:hAnsiTheme="minorEastAsia" w:eastAsiaTheme="minorEastAsia"/>
          <w:b/>
          <w:color w:val="auto"/>
          <w:szCs w:val="24"/>
          <w:highlight w:val="none"/>
        </w:rPr>
        <w:t>15.4.</w:t>
      </w:r>
      <w:r>
        <w:rPr>
          <w:rFonts w:hint="eastAsia" w:asciiTheme="minorEastAsia" w:hAnsiTheme="minorEastAsia" w:eastAsiaTheme="minorEastAsia"/>
          <w:b/>
          <w:color w:val="auto"/>
          <w:szCs w:val="24"/>
          <w:highlight w:val="none"/>
        </w:rPr>
        <w:t>5</w:t>
      </w:r>
      <w:r>
        <w:rPr>
          <w:rFonts w:hint="eastAsia" w:asciiTheme="minorEastAsia" w:hAnsiTheme="minorEastAsia" w:eastAsiaTheme="minorEastAsia"/>
          <w:color w:val="auto"/>
          <w:szCs w:val="24"/>
          <w:highlight w:val="none"/>
          <w:u w:val="single"/>
        </w:rPr>
        <w:t>承包人不得因本工程的工程量调整（增加或减少）原因而提出索赔或其他补偿要求。</w:t>
      </w:r>
    </w:p>
    <w:p w14:paraId="371B6EF7">
      <w:pPr>
        <w:pStyle w:val="36"/>
        <w:spacing w:before="60" w:after="60" w:line="420" w:lineRule="exact"/>
        <w:ind w:firstLine="471"/>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 xml:space="preserve">15.4.6 </w:t>
      </w:r>
      <w:r>
        <w:rPr>
          <w:rFonts w:hint="eastAsia" w:asciiTheme="minorEastAsia" w:hAnsiTheme="minorEastAsia" w:eastAsiaTheme="minorEastAsia"/>
          <w:color w:val="auto"/>
          <w:szCs w:val="24"/>
          <w:highlight w:val="none"/>
        </w:rPr>
        <w:t>承包人应充分考虑施工现场实际情况，不得因本工程施工场地政策处理原因而提出索赔或其他补偿要求。</w:t>
      </w:r>
    </w:p>
    <w:p w14:paraId="5815AACF">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15.5 承包人的合理化建议</w:t>
      </w:r>
    </w:p>
    <w:p w14:paraId="62E2350A">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15.5.2 承包人实现合理化建议的奖励金额为：</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4C07F6B1">
      <w:pPr>
        <w:snapToGrid w:val="0"/>
        <w:spacing w:line="420" w:lineRule="exac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15.6预留金</w:t>
      </w:r>
    </w:p>
    <w:p w14:paraId="4725D4DB">
      <w:pPr>
        <w:snapToGrid w:val="0"/>
        <w:spacing w:line="420" w:lineRule="exact"/>
        <w:ind w:firstLine="48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u w:val="single"/>
          <w:lang w:val="en-US" w:eastAsia="zh-CN"/>
        </w:rPr>
        <w:t>38547元，以实际业主需求使用</w:t>
      </w:r>
      <w:r>
        <w:rPr>
          <w:rFonts w:hint="eastAsia" w:asciiTheme="minorEastAsia" w:hAnsiTheme="minorEastAsia" w:eastAsiaTheme="minorEastAsia"/>
          <w:color w:val="auto"/>
          <w:sz w:val="24"/>
          <w:highlight w:val="none"/>
          <w:u w:val="none"/>
          <w:lang w:val="en-US" w:eastAsia="zh-CN"/>
        </w:rPr>
        <w:t>。</w:t>
      </w:r>
    </w:p>
    <w:p w14:paraId="2726A359">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15.8 暂估价</w:t>
      </w:r>
    </w:p>
    <w:p w14:paraId="7081096A">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15.8.1</w:t>
      </w:r>
    </w:p>
    <w:p w14:paraId="735DB107">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⑴ </w:t>
      </w:r>
      <w:r>
        <w:rPr>
          <w:rFonts w:asciiTheme="minorEastAsia" w:hAnsiTheme="minorEastAsia" w:eastAsiaTheme="minorEastAsia"/>
          <w:color w:val="auto"/>
          <w:sz w:val="24"/>
          <w:highlight w:val="none"/>
        </w:rPr>
        <w:t>发包人和承包人组织招标的暂估价项目：</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；发包人组织招标的暂估价项目：</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189FDB18">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⑵ </w:t>
      </w:r>
      <w:r>
        <w:rPr>
          <w:rFonts w:asciiTheme="minorEastAsia" w:hAnsiTheme="minorEastAsia" w:eastAsiaTheme="minorEastAsia"/>
          <w:color w:val="auto"/>
          <w:sz w:val="24"/>
          <w:highlight w:val="none"/>
        </w:rPr>
        <w:t>发包人和承包人以招标方式选择暂估价项目供应商或分包人时，双方的权利义务系：</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16775D9D">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16 价格调整</w:t>
      </w:r>
    </w:p>
    <w:p w14:paraId="0B00D314">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16.1 物价波动引起的价格调整</w:t>
      </w:r>
    </w:p>
    <w:p w14:paraId="1E91EA0B">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删去本条全文，并代之以：</w:t>
      </w:r>
    </w:p>
    <w:p w14:paraId="0DF70851">
      <w:pPr>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工程建设中所需的材料，在合同执行期内不作调整，价格风险由承包人自负。</w:t>
      </w:r>
    </w:p>
    <w:p w14:paraId="31B3E91E">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 计量与支付</w:t>
      </w:r>
    </w:p>
    <w:p w14:paraId="1F87FDCE">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17.2 预付款</w:t>
      </w:r>
    </w:p>
    <w:p w14:paraId="100D2DC3">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17.2.1</w:t>
      </w:r>
      <w:r>
        <w:rPr>
          <w:rFonts w:asciiTheme="minorEastAsia" w:hAnsiTheme="minorEastAsia" w:eastAsiaTheme="minorEastAsia"/>
          <w:color w:val="auto"/>
          <w:sz w:val="24"/>
          <w:highlight w:val="none"/>
        </w:rPr>
        <w:t xml:space="preserve"> 预付款：</w:t>
      </w:r>
    </w:p>
    <w:p w14:paraId="50B57D59">
      <w:pPr>
        <w:spacing w:line="420" w:lineRule="exact"/>
        <w:ind w:firstLine="48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⑴ 工程预付款</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工程预付款的金额为签约合同价的10%，承包人人员、设备进场施工后，由承包人提出书面申请，并经监理人出具付款证书报送发包人批准后7天内予以支付，工程预付款不退回，后期直接抵作工程进度款。</w:t>
      </w:r>
    </w:p>
    <w:p w14:paraId="042CAB7D">
      <w:pPr>
        <w:spacing w:line="420" w:lineRule="exact"/>
        <w:ind w:firstLine="480"/>
        <w:rPr>
          <w:rFonts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⑵</w:t>
      </w:r>
      <w:r>
        <w:rPr>
          <w:rFonts w:asciiTheme="minorEastAsia" w:hAnsiTheme="minorEastAsia" w:eastAsiaTheme="minorEastAsia"/>
          <w:color w:val="auto"/>
          <w:sz w:val="24"/>
          <w:highlight w:val="none"/>
        </w:rPr>
        <w:t xml:space="preserve"> 工程材料预付款的额度和预付办法约定为：</w:t>
      </w:r>
      <w:r>
        <w:rPr>
          <w:rFonts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7223FC8F">
      <w:pPr>
        <w:spacing w:line="420" w:lineRule="exact"/>
        <w:ind w:firstLine="472" w:firstLineChars="196"/>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17.2. 2</w:t>
      </w:r>
      <w:r>
        <w:rPr>
          <w:rFonts w:asciiTheme="minorEastAsia" w:hAnsiTheme="minorEastAsia" w:eastAsiaTheme="minorEastAsia"/>
          <w:color w:val="auto"/>
          <w:sz w:val="24"/>
          <w:highlight w:val="none"/>
        </w:rPr>
        <w:t xml:space="preserve"> 预付款保函（担保）</w:t>
      </w:r>
    </w:p>
    <w:p w14:paraId="098ECDB2">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⑵ 工程材料预付款的担保约定为：</w:t>
      </w:r>
      <w:r>
        <w:rPr>
          <w:rFonts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034274C0">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17.2.3</w:t>
      </w:r>
      <w:r>
        <w:rPr>
          <w:rFonts w:asciiTheme="minorEastAsia" w:hAnsiTheme="minorEastAsia" w:eastAsiaTheme="minorEastAsia"/>
          <w:color w:val="auto"/>
          <w:sz w:val="24"/>
          <w:highlight w:val="none"/>
        </w:rPr>
        <w:t xml:space="preserve"> 预付款的扣回与还清</w:t>
      </w:r>
    </w:p>
    <w:p w14:paraId="394BC46B">
      <w:pPr>
        <w:spacing w:line="420" w:lineRule="exact"/>
        <w:ind w:firstLine="480"/>
        <w:rPr>
          <w:rFonts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⑴</w:t>
      </w:r>
      <w:r>
        <w:rPr>
          <w:rFonts w:asciiTheme="minorEastAsia" w:hAnsiTheme="minorEastAsia" w:eastAsiaTheme="minorEastAsia"/>
          <w:color w:val="auto"/>
          <w:sz w:val="24"/>
          <w:highlight w:val="none"/>
        </w:rPr>
        <w:t xml:space="preserve"> 工程预付款</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不扣回</w:t>
      </w:r>
      <w:r>
        <w:rPr>
          <w:rFonts w:hint="eastAsia" w:asciiTheme="minorEastAsia" w:hAnsiTheme="minorEastAsia" w:eastAsiaTheme="minorEastAsia"/>
          <w:color w:val="auto"/>
          <w:sz w:val="24"/>
          <w:highlight w:val="none"/>
        </w:rPr>
        <w:t>。</w:t>
      </w:r>
    </w:p>
    <w:p w14:paraId="4629D499">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⑵ 工程材料预付款的扣回与还清约定为：</w:t>
      </w:r>
      <w:r>
        <w:rPr>
          <w:rFonts w:hint="eastAsia" w:asciiTheme="minorEastAsia" w:hAnsiTheme="minorEastAsia" w:eastAsiaTheme="minorEastAsia"/>
          <w:color w:val="auto"/>
          <w:sz w:val="24"/>
          <w:highlight w:val="none"/>
          <w:u w:val="single"/>
        </w:rPr>
        <w:t>不扣回</w:t>
      </w:r>
      <w:r>
        <w:rPr>
          <w:rFonts w:asciiTheme="minorEastAsia" w:hAnsiTheme="minorEastAsia" w:eastAsiaTheme="minorEastAsia"/>
          <w:color w:val="auto"/>
          <w:sz w:val="24"/>
          <w:highlight w:val="none"/>
        </w:rPr>
        <w:t>。</w:t>
      </w:r>
    </w:p>
    <w:p w14:paraId="0D43A835">
      <w:pPr>
        <w:pStyle w:val="5"/>
        <w:tabs>
          <w:tab w:val="left" w:pos="0"/>
        </w:tabs>
        <w:suppressAutoHyphens/>
        <w:snapToGrid w:val="0"/>
        <w:spacing w:before="0" w:after="0" w:line="420" w:lineRule="exact"/>
        <w:rPr>
          <w:rStyle w:val="35"/>
          <w:rFonts w:asciiTheme="minorEastAsia" w:hAnsiTheme="minorEastAsia" w:eastAsiaTheme="minorEastAsia"/>
          <w:b w:val="0"/>
          <w:color w:val="auto"/>
          <w:szCs w:val="24"/>
          <w:highlight w:val="none"/>
        </w:rPr>
      </w:pPr>
      <w:r>
        <w:rPr>
          <w:rStyle w:val="35"/>
          <w:rFonts w:asciiTheme="minorEastAsia" w:hAnsiTheme="minorEastAsia" w:eastAsiaTheme="minorEastAsia"/>
          <w:b w:val="0"/>
          <w:color w:val="auto"/>
          <w:szCs w:val="24"/>
          <w:highlight w:val="none"/>
        </w:rPr>
        <w:t>17.3 工程进度付款</w:t>
      </w:r>
    </w:p>
    <w:p w14:paraId="42E48A60">
      <w:pPr>
        <w:snapToGrid w:val="0"/>
        <w:spacing w:line="380" w:lineRule="exact"/>
        <w:ind w:firstLine="482" w:firstLineChars="200"/>
        <w:rPr>
          <w:rFonts w:cs="宋体" w:asciiTheme="minorEastAsia" w:hAnsiTheme="minorEastAsia" w:eastAsiaTheme="minorEastAsia"/>
          <w:b/>
          <w:color w:val="auto"/>
          <w:sz w:val="24"/>
          <w:highlight w:val="none"/>
        </w:rPr>
      </w:pPr>
      <w:bookmarkStart w:id="57" w:name="_Toc518914412"/>
      <w:r>
        <w:rPr>
          <w:rFonts w:hint="eastAsia" w:cs="宋体" w:asciiTheme="minorEastAsia" w:hAnsiTheme="minorEastAsia" w:eastAsiaTheme="minorEastAsia"/>
          <w:b/>
          <w:color w:val="auto"/>
          <w:sz w:val="24"/>
          <w:highlight w:val="none"/>
        </w:rPr>
        <w:t>17.3.1 双方约定的工程进度款支付的方式、时间和比例：</w:t>
      </w:r>
      <w:bookmarkEnd w:id="57"/>
    </w:p>
    <w:p w14:paraId="5D5F09C9">
      <w:pPr>
        <w:pStyle w:val="37"/>
        <w:ind w:firstLine="482"/>
        <w:rPr>
          <w:rFonts w:hint="eastAsia" w:ascii="宋体" w:hAnsi="宋体" w:eastAsia="宋体" w:cs="Arial"/>
          <w:color w:val="auto"/>
          <w:kern w:val="2"/>
          <w:sz w:val="24"/>
          <w:szCs w:val="24"/>
          <w:highlight w:val="none"/>
          <w:lang w:val="en-US" w:eastAsia="zh-CN" w:bidi="ar-SA"/>
        </w:rPr>
      </w:pPr>
      <w:bookmarkStart w:id="58" w:name="_Toc13958"/>
      <w:bookmarkStart w:id="59" w:name="_Toc42857986"/>
      <w:bookmarkStart w:id="60" w:name="_Toc42857899"/>
      <w:r>
        <w:rPr>
          <w:rFonts w:hint="eastAsia" w:ascii="宋体" w:hAnsi="宋体" w:eastAsia="宋体" w:cs="Arial"/>
          <w:color w:val="auto"/>
          <w:kern w:val="2"/>
          <w:sz w:val="24"/>
          <w:szCs w:val="24"/>
          <w:highlight w:val="none"/>
          <w:lang w:val="en-US" w:eastAsia="zh-CN" w:bidi="ar-SA"/>
        </w:rPr>
        <w:t>本工程按进度支付工程进度款，项目完成80%时，支付不超过合同价的50%工程价款（含预付款），项目完工验收合格，承包人完成结算资料并上报至发包人，资料提交后发包人应向承包人支付不超过合同价的85%工程价款（含预付款）；待工程经竣工验收合格且按照政府工程相关规定完成结算后,支付财政备案的结算审定价的98.5%（扣留财政备案的结算审定价的1.5%作为质量保证金）。</w:t>
      </w:r>
    </w:p>
    <w:p w14:paraId="0B3383A4">
      <w:pPr>
        <w:pStyle w:val="37"/>
        <w:ind w:firstLine="482"/>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工程施工过程中，若发现工程质量不合格，发包方将暂停支付工程进度款，承包人必须无条件返工（返工费用由承包人承担）直至达到合同要求的质量标准方可支付工程进度款。因工程返工造成的工期延长等问题，承包人须承担违约责任，同时赔偿由此引起发包人的一切直接经济损失。</w:t>
      </w:r>
    </w:p>
    <w:p w14:paraId="3C9E8EC8">
      <w:pPr>
        <w:pStyle w:val="37"/>
        <w:ind w:firstLine="482"/>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17.3.2</w:t>
      </w:r>
      <w:bookmarkEnd w:id="58"/>
      <w:r>
        <w:rPr>
          <w:rFonts w:hint="eastAsia" w:cs="宋体" w:asciiTheme="minorEastAsia" w:hAnsiTheme="minorEastAsia" w:eastAsiaTheme="minorEastAsia"/>
          <w:b/>
          <w:color w:val="auto"/>
          <w:highlight w:val="none"/>
        </w:rPr>
        <w:t>承包人收取每期工程款前应向发包人开具正式专用发票。</w:t>
      </w:r>
      <w:bookmarkEnd w:id="59"/>
      <w:bookmarkEnd w:id="60"/>
    </w:p>
    <w:p w14:paraId="5A71E2E5">
      <w:pPr>
        <w:snapToGrid w:val="0"/>
        <w:spacing w:line="38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17.3.3发包人向承包人支付的所有工程款均须汇入协议书中指定的承包人银行账户。</w:t>
      </w:r>
    </w:p>
    <w:p w14:paraId="63A03992">
      <w:pPr>
        <w:pStyle w:val="10"/>
        <w:spacing w:line="420" w:lineRule="exact"/>
        <w:ind w:firstLine="600" w:firstLineChars="250"/>
        <w:rPr>
          <w:rFonts w:cs="宋体" w:asciiTheme="minorEastAsia" w:hAnsiTheme="minorEastAsia" w:eastAsiaTheme="minorEastAsia"/>
          <w:b/>
          <w:color w:val="auto"/>
          <w:highlight w:val="none"/>
          <w:u w:val="single"/>
        </w:rPr>
      </w:pPr>
      <w:r>
        <w:rPr>
          <w:rFonts w:hint="eastAsia" w:cs="宋体" w:asciiTheme="minorEastAsia" w:hAnsiTheme="minorEastAsia" w:eastAsiaTheme="minorEastAsia"/>
          <w:color w:val="auto"/>
          <w:highlight w:val="none"/>
        </w:rPr>
        <w:t>如承包人因经营需要将工程款支付至其它指定</w:t>
      </w:r>
      <w:r>
        <w:rPr>
          <w:rFonts w:hint="eastAsia" w:cs="宋体" w:asciiTheme="minorEastAsia" w:hAnsiTheme="minorEastAsia" w:eastAsiaTheme="minorEastAsia"/>
          <w:color w:val="auto"/>
          <w:highlight w:val="none"/>
          <w:lang w:val="en-US" w:eastAsia="zh-CN"/>
        </w:rPr>
        <w:t>账</w:t>
      </w:r>
      <w:r>
        <w:rPr>
          <w:rFonts w:hint="eastAsia" w:cs="宋体" w:asciiTheme="minorEastAsia" w:hAnsiTheme="minorEastAsia" w:eastAsiaTheme="minorEastAsia"/>
          <w:color w:val="auto"/>
          <w:highlight w:val="none"/>
        </w:rPr>
        <w:t>户时，应向发包人书面申请，并由承包人法定代表人或授权代表签字、盖章。</w:t>
      </w:r>
    </w:p>
    <w:p w14:paraId="0741EDA1">
      <w:pPr>
        <w:pStyle w:val="5"/>
        <w:tabs>
          <w:tab w:val="left" w:pos="0"/>
        </w:tabs>
        <w:suppressAutoHyphens/>
        <w:snapToGrid w:val="0"/>
        <w:spacing w:before="0" w:after="0" w:line="420" w:lineRule="exact"/>
        <w:rPr>
          <w:rStyle w:val="35"/>
          <w:rFonts w:asciiTheme="minorEastAsia" w:hAnsiTheme="minorEastAsia" w:eastAsiaTheme="minorEastAsia"/>
          <w:b w:val="0"/>
          <w:color w:val="auto"/>
          <w:szCs w:val="24"/>
          <w:highlight w:val="none"/>
        </w:rPr>
      </w:pPr>
      <w:r>
        <w:rPr>
          <w:rStyle w:val="35"/>
          <w:rFonts w:asciiTheme="minorEastAsia" w:hAnsiTheme="minorEastAsia" w:eastAsiaTheme="minorEastAsia"/>
          <w:b w:val="0"/>
          <w:color w:val="auto"/>
          <w:szCs w:val="24"/>
          <w:highlight w:val="none"/>
        </w:rPr>
        <w:t>17.4 质量保证金</w:t>
      </w:r>
    </w:p>
    <w:p w14:paraId="1489F16C">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17.4.</w:t>
      </w:r>
      <w:r>
        <w:rPr>
          <w:rFonts w:hint="eastAsia" w:asciiTheme="minorEastAsia" w:hAnsiTheme="minorEastAsia" w:eastAsiaTheme="minorEastAsia"/>
          <w:color w:val="auto"/>
          <w:sz w:val="24"/>
          <w:highlight w:val="none"/>
        </w:rPr>
        <w:t>1质量保证金：</w:t>
      </w:r>
      <w:r>
        <w:rPr>
          <w:rFonts w:hint="eastAsia" w:asciiTheme="minorEastAsia" w:hAnsiTheme="minorEastAsia" w:eastAsiaTheme="minorEastAsia"/>
          <w:color w:val="auto"/>
          <w:sz w:val="24"/>
          <w:highlight w:val="none"/>
          <w:u w:val="single"/>
        </w:rPr>
        <w:t>财政备案结算审定价款的1.5%。</w:t>
      </w:r>
    </w:p>
    <w:p w14:paraId="4205CEC4">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17.5 竣工（完工）结算</w:t>
      </w:r>
    </w:p>
    <w:p w14:paraId="152EB9A5">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17.5.1 竣工（完工）付款申请单</w:t>
      </w:r>
    </w:p>
    <w:p w14:paraId="44BDB2E6">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⑴ </w:t>
      </w:r>
      <w:r>
        <w:rPr>
          <w:rFonts w:asciiTheme="minorEastAsia" w:hAnsiTheme="minorEastAsia" w:eastAsiaTheme="minorEastAsia"/>
          <w:color w:val="auto"/>
          <w:sz w:val="24"/>
          <w:highlight w:val="none"/>
        </w:rPr>
        <w:t>承包人应提交完工付款申请单一式</w:t>
      </w:r>
      <w:r>
        <w:rPr>
          <w:rFonts w:hint="eastAsia" w:asciiTheme="minorEastAsia" w:hAnsiTheme="minorEastAsia" w:eastAsiaTheme="minorEastAsia"/>
          <w:color w:val="auto"/>
          <w:sz w:val="24"/>
          <w:highlight w:val="none"/>
          <w:u w:val="single"/>
        </w:rPr>
        <w:t xml:space="preserve">5 </w:t>
      </w:r>
      <w:r>
        <w:rPr>
          <w:rFonts w:asciiTheme="minorEastAsia" w:hAnsiTheme="minorEastAsia" w:eastAsiaTheme="minorEastAsia"/>
          <w:color w:val="auto"/>
          <w:sz w:val="24"/>
          <w:highlight w:val="none"/>
        </w:rPr>
        <w:t>份。</w:t>
      </w:r>
    </w:p>
    <w:p w14:paraId="6F02CBF5">
      <w:pPr>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本款增加：</w:t>
      </w:r>
    </w:p>
    <w:p w14:paraId="42BBB716">
      <w:pPr>
        <w:pStyle w:val="36"/>
        <w:spacing w:before="60" w:after="60" w:line="420" w:lineRule="exact"/>
        <w:ind w:firstLine="561"/>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17.5.3工程价款必须经过</w:t>
      </w:r>
      <w:r>
        <w:rPr>
          <w:rFonts w:hint="eastAsia" w:asciiTheme="minorEastAsia" w:hAnsiTheme="minorEastAsia" w:eastAsiaTheme="minorEastAsia"/>
          <w:color w:val="auto"/>
          <w:szCs w:val="24"/>
          <w:highlight w:val="none"/>
        </w:rPr>
        <w:t>有关部门或发包人委托的第三方审定后支付。工程审计（价）后的核减费用超过送审结算价5%以上部分的审计（价）费由承包人承担。</w:t>
      </w:r>
    </w:p>
    <w:p w14:paraId="31EF4014">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17.6 最终结清</w:t>
      </w:r>
    </w:p>
    <w:p w14:paraId="4968BAD7">
      <w:pPr>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17. 6.1</w:t>
      </w:r>
      <w:r>
        <w:rPr>
          <w:rFonts w:asciiTheme="minorEastAsia" w:hAnsiTheme="minorEastAsia" w:eastAsiaTheme="minorEastAsia"/>
          <w:color w:val="auto"/>
          <w:sz w:val="24"/>
          <w:highlight w:val="none"/>
        </w:rPr>
        <w:t xml:space="preserve"> 最终结清申请单</w:t>
      </w:r>
    </w:p>
    <w:p w14:paraId="214FCA95">
      <w:pPr>
        <w:spacing w:line="420" w:lineRule="exact"/>
        <w:ind w:firstLine="480"/>
        <w:rPr>
          <w:rFonts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⑴</w:t>
      </w:r>
      <w:r>
        <w:rPr>
          <w:rFonts w:asciiTheme="minorEastAsia" w:hAnsiTheme="minorEastAsia" w:eastAsiaTheme="minorEastAsia"/>
          <w:color w:val="auto"/>
          <w:sz w:val="24"/>
          <w:highlight w:val="none"/>
        </w:rPr>
        <w:t xml:space="preserve"> 承包人应提交最终结清申请单一式</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份。</w:t>
      </w:r>
    </w:p>
    <w:p w14:paraId="4D3E4F5F">
      <w:pPr>
        <w:spacing w:line="420" w:lineRule="exact"/>
        <w:ind w:firstLine="48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本款补充：</w:t>
      </w:r>
      <w:r>
        <w:rPr>
          <w:rFonts w:hint="eastAsia" w:asciiTheme="minorEastAsia" w:hAnsiTheme="minorEastAsia" w:eastAsiaTheme="minorEastAsia"/>
          <w:color w:val="auto"/>
          <w:sz w:val="24"/>
          <w:highlight w:val="none"/>
          <w:u w:val="single"/>
        </w:rPr>
        <w:t>以发包人或财政部门确认的审价单位审定的工程造价办理最终工程结算</w:t>
      </w:r>
      <w:r>
        <w:rPr>
          <w:rFonts w:asciiTheme="minorEastAsia" w:hAnsiTheme="minorEastAsia" w:eastAsiaTheme="minorEastAsia"/>
          <w:color w:val="auto"/>
          <w:sz w:val="24"/>
          <w:highlight w:val="none"/>
        </w:rPr>
        <w:t>。</w:t>
      </w:r>
    </w:p>
    <w:p w14:paraId="4A7372FF">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17.7 竣工财务决算</w:t>
      </w:r>
    </w:p>
    <w:p w14:paraId="5F69087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承包人应为竣工财务决算编制提供的资料：</w:t>
      </w:r>
      <w:r>
        <w:rPr>
          <w:rFonts w:asciiTheme="minorEastAsia" w:hAnsiTheme="minorEastAsia" w:eastAsiaTheme="minorEastAsia"/>
          <w:color w:val="auto"/>
          <w:sz w:val="24"/>
          <w:highlight w:val="none"/>
          <w:u w:val="single"/>
        </w:rPr>
        <w:t>财务决算所需的一切资料</w:t>
      </w:r>
      <w:r>
        <w:rPr>
          <w:rFonts w:asciiTheme="minorEastAsia" w:hAnsiTheme="minorEastAsia" w:eastAsiaTheme="minorEastAsia"/>
          <w:color w:val="auto"/>
          <w:sz w:val="24"/>
          <w:highlight w:val="none"/>
        </w:rPr>
        <w:t>。</w:t>
      </w:r>
    </w:p>
    <w:p w14:paraId="1362B356">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18工程验收</w:t>
      </w:r>
    </w:p>
    <w:p w14:paraId="1414680E">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18.1 验收工作分类</w:t>
      </w:r>
    </w:p>
    <w:p w14:paraId="606A29E8">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本工程法人验收包括：</w:t>
      </w:r>
      <w:r>
        <w:rPr>
          <w:rFonts w:hint="eastAsia" w:asciiTheme="minorEastAsia" w:hAnsiTheme="minorEastAsia" w:eastAsiaTheme="minorEastAsia"/>
          <w:color w:val="auto"/>
          <w:sz w:val="24"/>
          <w:highlight w:val="none"/>
          <w:u w:val="single"/>
        </w:rPr>
        <w:t>分部工程验收、单位工程验收、合同工程完工验收等</w:t>
      </w:r>
      <w:r>
        <w:rPr>
          <w:rFonts w:asciiTheme="minorEastAsia" w:hAnsiTheme="minorEastAsia" w:eastAsiaTheme="minorEastAsia"/>
          <w:color w:val="auto"/>
          <w:sz w:val="24"/>
          <w:highlight w:val="none"/>
        </w:rPr>
        <w:t>；政府验收包括：</w:t>
      </w:r>
      <w:r>
        <w:rPr>
          <w:rFonts w:hint="eastAsia" w:asciiTheme="minorEastAsia" w:hAnsiTheme="minorEastAsia" w:eastAsiaTheme="minorEastAsia"/>
          <w:color w:val="auto"/>
          <w:sz w:val="24"/>
          <w:highlight w:val="none"/>
          <w:u w:val="single"/>
        </w:rPr>
        <w:t>阶段验收、专项验收、竣工验收</w:t>
      </w:r>
      <w:r>
        <w:rPr>
          <w:rFonts w:asciiTheme="minorEastAsia" w:hAnsiTheme="minorEastAsia" w:eastAsiaTheme="minorEastAsia"/>
          <w:color w:val="auto"/>
          <w:sz w:val="24"/>
          <w:highlight w:val="none"/>
        </w:rPr>
        <w:t>。验收条件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合格</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验收程序</w:t>
      </w:r>
      <w:r>
        <w:rPr>
          <w:rFonts w:hint="eastAsia"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rPr>
        <w:t>按《水利水电建设工程验收规程》（SL223-2008）及浙江省现行有关规定执行</w:t>
      </w:r>
      <w:r>
        <w:rPr>
          <w:rFonts w:asciiTheme="minorEastAsia" w:hAnsiTheme="minorEastAsia" w:eastAsiaTheme="minorEastAsia"/>
          <w:color w:val="auto"/>
          <w:sz w:val="24"/>
          <w:highlight w:val="none"/>
        </w:rPr>
        <w:t>。</w:t>
      </w:r>
    </w:p>
    <w:p w14:paraId="62DF494B">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18.2 分部工程验收</w:t>
      </w:r>
    </w:p>
    <w:p w14:paraId="23C450FA">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18.2.2 本工程由</w:t>
      </w:r>
      <w:r>
        <w:rPr>
          <w:rFonts w:hint="eastAsia" w:asciiTheme="minorEastAsia" w:hAnsiTheme="minorEastAsia" w:eastAsiaTheme="minorEastAsia"/>
          <w:color w:val="auto"/>
          <w:sz w:val="24"/>
          <w:highlight w:val="none"/>
        </w:rPr>
        <w:t>监理人主持的分部工程验收在监理合同中约定，其余由发包人主持。</w:t>
      </w:r>
    </w:p>
    <w:p w14:paraId="279E840B">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18.3 单位工程验收</w:t>
      </w:r>
    </w:p>
    <w:p w14:paraId="028185D5">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18.3.4 提前投入使用的单位工程包括：</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07B8A249">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18.5 阶段验收</w:t>
      </w:r>
    </w:p>
    <w:p w14:paraId="04056A57">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18.5.1 本合同工程阶段验收类别包括：</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3085A4C5">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18.6 专项验收</w:t>
      </w:r>
    </w:p>
    <w:p w14:paraId="60C1F33E">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18.6.2 本合同工程专项验收类别包括：</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3E7F4EDD">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18.7 竣工验收</w:t>
      </w:r>
    </w:p>
    <w:p w14:paraId="10BA8BC9">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18.7.3 本工程</w:t>
      </w:r>
      <w:r>
        <w:rPr>
          <w:rFonts w:hint="eastAsia" w:asciiTheme="minorEastAsia" w:hAnsiTheme="minorEastAsia" w:eastAsiaTheme="minorEastAsia"/>
          <w:color w:val="auto"/>
          <w:sz w:val="24"/>
          <w:highlight w:val="none"/>
          <w:u w:val="single"/>
        </w:rPr>
        <w:t>不需要</w:t>
      </w:r>
      <w:r>
        <w:rPr>
          <w:rFonts w:hint="eastAsia" w:asciiTheme="minorEastAsia" w:hAnsiTheme="minorEastAsia" w:eastAsiaTheme="minorEastAsia"/>
          <w:color w:val="auto"/>
          <w:sz w:val="24"/>
          <w:highlight w:val="none"/>
        </w:rPr>
        <w:t>竣工验收技术鉴定（蓄水安全鉴定）</w:t>
      </w:r>
      <w:r>
        <w:rPr>
          <w:rFonts w:asciiTheme="minorEastAsia" w:hAnsiTheme="minorEastAsia" w:eastAsiaTheme="minorEastAsia"/>
          <w:color w:val="auto"/>
          <w:sz w:val="24"/>
          <w:highlight w:val="none"/>
        </w:rPr>
        <w:t>。</w:t>
      </w:r>
    </w:p>
    <w:p w14:paraId="7D15A268">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18.8 施工期运行</w:t>
      </w:r>
    </w:p>
    <w:p w14:paraId="7536CCEF">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18.8.1 需要在施工期运行的单位工程或工程设备为：</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21A17C51">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18.9 试运行</w:t>
      </w:r>
    </w:p>
    <w:p w14:paraId="20D9C9E5">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18.9.1 试运行的组织：</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；费用承担：</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w:t>
      </w:r>
    </w:p>
    <w:p w14:paraId="60EB5FA0">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19 缺陷责任与保修责任</w:t>
      </w:r>
    </w:p>
    <w:p w14:paraId="4C3558A3">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19.1 缺陷责任期（工程质量保修期）的起算时间</w:t>
      </w:r>
    </w:p>
    <w:p w14:paraId="0DF38AA8">
      <w:pPr>
        <w:tabs>
          <w:tab w:val="left" w:pos="-560"/>
        </w:tabs>
        <w:spacing w:line="420" w:lineRule="exact"/>
        <w:ind w:left="86"/>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本工程缺陷责期（工程质量保修期）计算如下：</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1年</w:t>
      </w:r>
      <w:r>
        <w:rPr>
          <w:rFonts w:hint="eastAsia" w:asciiTheme="minorEastAsia" w:hAnsiTheme="minorEastAsia" w:eastAsiaTheme="minorEastAsia"/>
          <w:color w:val="auto"/>
          <w:sz w:val="24"/>
          <w:highlight w:val="none"/>
        </w:rPr>
        <w:t>。</w:t>
      </w:r>
    </w:p>
    <w:p w14:paraId="503A494B">
      <w:pPr>
        <w:pStyle w:val="4"/>
        <w:snapToGrid w:val="0"/>
        <w:spacing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20 保险</w:t>
      </w:r>
    </w:p>
    <w:p w14:paraId="779348EE">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20.1 工程保险</w:t>
      </w:r>
    </w:p>
    <w:p w14:paraId="0AD6FA2C">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建筑工程一切险和（或）安装工程一切险投保人：</w:t>
      </w:r>
      <w:r>
        <w:rPr>
          <w:rFonts w:asciiTheme="minorEastAsia" w:hAnsiTheme="minorEastAsia" w:eastAsiaTheme="minorEastAsia"/>
          <w:color w:val="auto"/>
          <w:sz w:val="24"/>
          <w:highlight w:val="none"/>
          <w:u w:val="single"/>
        </w:rPr>
        <w:t>由承包人以发包人和承包人的名义投保</w:t>
      </w:r>
      <w:r>
        <w:rPr>
          <w:rFonts w:asciiTheme="minorEastAsia" w:hAnsiTheme="minorEastAsia" w:eastAsiaTheme="minorEastAsia"/>
          <w:color w:val="auto"/>
          <w:sz w:val="24"/>
          <w:highlight w:val="none"/>
        </w:rPr>
        <w:t>；</w:t>
      </w:r>
    </w:p>
    <w:p w14:paraId="59452ED1">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投保内容：</w:t>
      </w:r>
      <w:r>
        <w:rPr>
          <w:rFonts w:asciiTheme="minorEastAsia" w:hAnsiTheme="minorEastAsia" w:eastAsiaTheme="minorEastAsia"/>
          <w:color w:val="auto"/>
          <w:sz w:val="24"/>
          <w:highlight w:val="none"/>
          <w:u w:val="single"/>
        </w:rPr>
        <w:t>为本合同工程的永久工程、临时工程及已运至施工工地用于永久工程的材料和设备所投的保险</w:t>
      </w:r>
      <w:r>
        <w:rPr>
          <w:rFonts w:asciiTheme="minorEastAsia" w:hAnsiTheme="minorEastAsia" w:eastAsiaTheme="minorEastAsia"/>
          <w:color w:val="auto"/>
          <w:sz w:val="24"/>
          <w:highlight w:val="none"/>
        </w:rPr>
        <w:t>；</w:t>
      </w:r>
    </w:p>
    <w:p w14:paraId="2BF5232A">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保险金额、保险费率和保险期限：</w:t>
      </w:r>
      <w:r>
        <w:rPr>
          <w:rFonts w:asciiTheme="minorEastAsia" w:hAnsiTheme="minorEastAsia" w:eastAsiaTheme="minorEastAsia"/>
          <w:color w:val="auto"/>
          <w:sz w:val="24"/>
          <w:highlight w:val="none"/>
          <w:u w:val="single"/>
        </w:rPr>
        <w:t>保险金额</w:t>
      </w:r>
      <w:r>
        <w:rPr>
          <w:rFonts w:hint="eastAsia" w:asciiTheme="minorEastAsia" w:hAnsiTheme="minorEastAsia" w:eastAsiaTheme="minorEastAsia"/>
          <w:color w:val="auto"/>
          <w:sz w:val="24"/>
          <w:highlight w:val="none"/>
          <w:u w:val="single"/>
        </w:rPr>
        <w:t>及保险费率</w:t>
      </w:r>
      <w:r>
        <w:rPr>
          <w:rFonts w:asciiTheme="minorEastAsia" w:hAnsiTheme="minorEastAsia" w:eastAsiaTheme="minorEastAsia"/>
          <w:color w:val="auto"/>
          <w:sz w:val="24"/>
          <w:highlight w:val="none"/>
          <w:u w:val="single"/>
        </w:rPr>
        <w:t>按保险人规定，保险期限自开工即日算起</w:t>
      </w:r>
      <w:r>
        <w:rPr>
          <w:rFonts w:asciiTheme="minorEastAsia" w:hAnsiTheme="minorEastAsia" w:eastAsiaTheme="minorEastAsia"/>
          <w:color w:val="auto"/>
          <w:sz w:val="24"/>
          <w:highlight w:val="none"/>
        </w:rPr>
        <w:t>至</w:t>
      </w:r>
      <w:r>
        <w:rPr>
          <w:rFonts w:asciiTheme="minorEastAsia" w:hAnsiTheme="minorEastAsia" w:eastAsiaTheme="minorEastAsia"/>
          <w:color w:val="auto"/>
          <w:sz w:val="24"/>
          <w:highlight w:val="none"/>
          <w:u w:val="single"/>
        </w:rPr>
        <w:t>颁发工程移交证书</w:t>
      </w:r>
      <w:r>
        <w:rPr>
          <w:rFonts w:asciiTheme="minorEastAsia" w:hAnsiTheme="minorEastAsia" w:eastAsiaTheme="minorEastAsia"/>
          <w:color w:val="auto"/>
          <w:sz w:val="24"/>
          <w:highlight w:val="none"/>
        </w:rPr>
        <w:t>。</w:t>
      </w:r>
    </w:p>
    <w:p w14:paraId="273901F4">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20.4 第三者责任险</w:t>
      </w:r>
    </w:p>
    <w:p w14:paraId="22F6D593">
      <w:pPr>
        <w:pStyle w:val="14"/>
        <w:snapToGrid w:val="0"/>
        <w:spacing w:line="420" w:lineRule="exact"/>
        <w:ind w:firstLine="48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20.4.2 第三者责任险保险费率：</w:t>
      </w:r>
      <w:r>
        <w:rPr>
          <w:rFonts w:asciiTheme="minorEastAsia" w:hAnsiTheme="minorEastAsia" w:eastAsiaTheme="minorEastAsia"/>
          <w:color w:val="auto"/>
          <w:sz w:val="24"/>
          <w:highlight w:val="none"/>
          <w:u w:val="single"/>
        </w:rPr>
        <w:t>保险费率</w:t>
      </w:r>
      <w:r>
        <w:rPr>
          <w:rFonts w:hint="eastAsia" w:asciiTheme="minorEastAsia" w:hAnsiTheme="minorEastAsia" w:eastAsiaTheme="minorEastAsia"/>
          <w:color w:val="auto"/>
          <w:sz w:val="24"/>
          <w:highlight w:val="none"/>
          <w:u w:val="single"/>
        </w:rPr>
        <w:t>按保险人规定</w:t>
      </w:r>
      <w:r>
        <w:rPr>
          <w:rFonts w:asciiTheme="minorEastAsia" w:hAnsiTheme="minorEastAsia" w:eastAsiaTheme="minorEastAsia"/>
          <w:color w:val="auto"/>
          <w:sz w:val="24"/>
          <w:highlight w:val="none"/>
        </w:rPr>
        <w:t>；第三者责任险最低保险金额：</w:t>
      </w:r>
      <w:r>
        <w:rPr>
          <w:rFonts w:hint="eastAsia" w:asciiTheme="minorEastAsia" w:hAnsiTheme="minorEastAsia" w:eastAsiaTheme="minorEastAsia"/>
          <w:color w:val="auto"/>
          <w:sz w:val="24"/>
          <w:highlight w:val="none"/>
          <w:u w:val="single"/>
        </w:rPr>
        <w:t>相应的保险费进入报价，结算时根据发票按实结算</w:t>
      </w:r>
      <w:r>
        <w:rPr>
          <w:rFonts w:asciiTheme="minorEastAsia" w:hAnsiTheme="minorEastAsia" w:eastAsiaTheme="minorEastAsia"/>
          <w:color w:val="auto"/>
          <w:sz w:val="24"/>
          <w:highlight w:val="none"/>
          <w:u w:val="single"/>
        </w:rPr>
        <w:t>。</w:t>
      </w:r>
    </w:p>
    <w:p w14:paraId="22F79A38">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20.5 其它保险</w:t>
      </w:r>
    </w:p>
    <w:p w14:paraId="2ED3A003">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需要投保的其它内容：</w:t>
      </w:r>
      <w:r>
        <w:rPr>
          <w:rFonts w:asciiTheme="minorEastAsia" w:hAnsiTheme="minorEastAsia" w:eastAsiaTheme="minorEastAsia"/>
          <w:color w:val="auto"/>
          <w:sz w:val="24"/>
          <w:highlight w:val="none"/>
          <w:u w:val="single"/>
        </w:rPr>
        <w:t xml:space="preserve"> 由承包人自行决定。</w:t>
      </w:r>
    </w:p>
    <w:p w14:paraId="64481174">
      <w:pPr>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保险金额、保险费率和保险期限：</w:t>
      </w:r>
      <w:r>
        <w:rPr>
          <w:rFonts w:asciiTheme="minorEastAsia" w:hAnsiTheme="minorEastAsia" w:eastAsiaTheme="minorEastAsia"/>
          <w:color w:val="auto"/>
          <w:sz w:val="24"/>
          <w:highlight w:val="none"/>
          <w:u w:val="single"/>
        </w:rPr>
        <w:t xml:space="preserve">  / </w:t>
      </w:r>
      <w:r>
        <w:rPr>
          <w:rFonts w:asciiTheme="minorEastAsia" w:hAnsiTheme="minorEastAsia" w:eastAsiaTheme="minorEastAsia"/>
          <w:color w:val="auto"/>
          <w:sz w:val="24"/>
          <w:highlight w:val="none"/>
        </w:rPr>
        <w:t>。</w:t>
      </w:r>
    </w:p>
    <w:p w14:paraId="6DD200A9">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20.6 对各项保险的一般要求</w:t>
      </w:r>
    </w:p>
    <w:p w14:paraId="6EFFAA6A">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20. 6.1 保险凭证</w:t>
      </w:r>
    </w:p>
    <w:p w14:paraId="3B24530B">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承包人提交保险凭证的期限：</w:t>
      </w:r>
      <w:r>
        <w:rPr>
          <w:rFonts w:asciiTheme="minorEastAsia" w:hAnsiTheme="minorEastAsia" w:eastAsiaTheme="minorEastAsia"/>
          <w:color w:val="auto"/>
          <w:sz w:val="24"/>
          <w:highlight w:val="none"/>
          <w:u w:val="single"/>
        </w:rPr>
        <w:t>保险手续办理完毕后7 天内提交；</w:t>
      </w:r>
    </w:p>
    <w:p w14:paraId="29F4CCAF">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保险条件：</w:t>
      </w:r>
      <w:r>
        <w:rPr>
          <w:rFonts w:asciiTheme="minorEastAsia" w:hAnsiTheme="minorEastAsia" w:eastAsiaTheme="minorEastAsia"/>
          <w:color w:val="auto"/>
          <w:sz w:val="24"/>
          <w:highlight w:val="none"/>
          <w:u w:val="single"/>
        </w:rPr>
        <w:t>满足合同条款的规定</w:t>
      </w:r>
      <w:r>
        <w:rPr>
          <w:rFonts w:asciiTheme="minorEastAsia" w:hAnsiTheme="minorEastAsia" w:eastAsiaTheme="minorEastAsia"/>
          <w:color w:val="auto"/>
          <w:sz w:val="24"/>
          <w:highlight w:val="none"/>
        </w:rPr>
        <w:t>。</w:t>
      </w:r>
    </w:p>
    <w:p w14:paraId="40D16B14">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20.6.4 保险金不足的补偿</w:t>
      </w:r>
    </w:p>
    <w:p w14:paraId="0A8FE2FA">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承包人负责补偿的范围与金额：</w:t>
      </w:r>
      <w:r>
        <w:rPr>
          <w:rFonts w:asciiTheme="minorEastAsia" w:hAnsiTheme="minorEastAsia" w:eastAsiaTheme="minorEastAsia"/>
          <w:color w:val="auto"/>
          <w:sz w:val="24"/>
          <w:highlight w:val="none"/>
          <w:u w:val="single"/>
        </w:rPr>
        <w:t>免赔额部分及保险金不足的补偿均由承包人负责</w:t>
      </w:r>
      <w:r>
        <w:rPr>
          <w:rFonts w:asciiTheme="minorEastAsia" w:hAnsiTheme="minorEastAsia" w:eastAsiaTheme="minorEastAsia"/>
          <w:color w:val="auto"/>
          <w:sz w:val="24"/>
          <w:highlight w:val="none"/>
        </w:rPr>
        <w:t>。</w:t>
      </w:r>
    </w:p>
    <w:p w14:paraId="7F357D9B">
      <w:pPr>
        <w:pStyle w:val="14"/>
        <w:snapToGrid w:val="0"/>
        <w:spacing w:line="42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发包人负责补偿的范围与金额：</w:t>
      </w:r>
      <w:r>
        <w:rPr>
          <w:rFonts w:asciiTheme="minorEastAsia" w:hAnsiTheme="minorEastAsia" w:eastAsiaTheme="minorEastAsia"/>
          <w:color w:val="auto"/>
          <w:sz w:val="24"/>
          <w:highlight w:val="none"/>
          <w:u w:val="single"/>
        </w:rPr>
        <w:t>由于本工程一切保险均由承包人负责投保，其费用均列入报价，故发包人不承担保险金不足的补偿</w:t>
      </w:r>
      <w:r>
        <w:rPr>
          <w:rFonts w:asciiTheme="minorEastAsia" w:hAnsiTheme="minorEastAsia" w:eastAsiaTheme="minorEastAsia"/>
          <w:color w:val="auto"/>
          <w:sz w:val="24"/>
          <w:highlight w:val="none"/>
        </w:rPr>
        <w:t>。</w:t>
      </w:r>
    </w:p>
    <w:p w14:paraId="1CCC6AC4">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22.1.2 对承包人违约的处理</w:t>
      </w:r>
    </w:p>
    <w:p w14:paraId="45856EA4">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）人员到位违约的处理：详见本合同条款第4.5、4.6、4.7款。</w:t>
      </w:r>
    </w:p>
    <w:p w14:paraId="2EBEF62E">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）进度违约的处理：详见本合同条款第11.5款。</w:t>
      </w:r>
    </w:p>
    <w:p w14:paraId="02C1D57B">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）质量违约的处理：</w:t>
      </w:r>
    </w:p>
    <w:p w14:paraId="25067C67">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承包人发生第22.1.1项（3）目情况，在发包人向承包人发出书面通知的14天内未见纠正后，发包人将按每一情况酌情向承包人扣以不超过0.1%签约合同价的违约金。即使缴纳了违约金，承包人仍应按合同规定继续实施和完成本合同工程及其缺陷修复。</w:t>
      </w:r>
    </w:p>
    <w:p w14:paraId="2D6A7548">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工程未能一次性通过验收合格，每次支付签约合同价0.2%的违约金。</w:t>
      </w:r>
    </w:p>
    <w:p w14:paraId="2343A1E0">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 工程发生较大及以上质量事故的，每次支付签约合同价0.2%的违约金。</w:t>
      </w:r>
    </w:p>
    <w:p w14:paraId="10340E46">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 上述违约金的总和不超过履约保证金总额。</w:t>
      </w:r>
    </w:p>
    <w:p w14:paraId="693C6951">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）民工工资支付违约处理：</w:t>
      </w:r>
    </w:p>
    <w:p w14:paraId="6E95F337">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未按规定及时支付民工工资的，除由发包人从工程进度款中代发以外，每次扣除签约合同价0.1%的违约金。</w:t>
      </w:r>
    </w:p>
    <w:p w14:paraId="58FDBE41">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上述违约金的总和不超过履约保证金的10%。</w:t>
      </w:r>
    </w:p>
    <w:p w14:paraId="79CD1B6F">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）安全违约的处理：</w:t>
      </w:r>
    </w:p>
    <w:p w14:paraId="7C1D7738">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经检查，发现存在安全隐患且在规定的时间内未整改到位的，除酌情扣除安全文明施工费外，每次扣除签约合同价0.1%的违约金。</w:t>
      </w:r>
    </w:p>
    <w:p w14:paraId="328FFCED">
      <w:pPr>
        <w:pStyle w:val="14"/>
        <w:snapToGrid w:val="0"/>
        <w:spacing w:line="420" w:lineRule="exact"/>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发生安全事故的，每次扣除签约合同价0.5%的违约金。</w:t>
      </w:r>
    </w:p>
    <w:p w14:paraId="0EF2F11C">
      <w:pPr>
        <w:pStyle w:val="14"/>
        <w:snapToGrid w:val="0"/>
        <w:spacing w:line="42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 上述违约金的总和不超过履约保证金总额。</w:t>
      </w:r>
    </w:p>
    <w:p w14:paraId="70E9FD67">
      <w:pPr>
        <w:pStyle w:val="5"/>
        <w:tabs>
          <w:tab w:val="left" w:pos="0"/>
        </w:tabs>
        <w:suppressAutoHyphens/>
        <w:snapToGrid w:val="0"/>
        <w:spacing w:before="0" w:after="0" w:line="420" w:lineRule="exact"/>
        <w:rPr>
          <w:rStyle w:val="35"/>
          <w:rFonts w:hint="eastAsia" w:asciiTheme="minorEastAsia" w:hAnsiTheme="minorEastAsia" w:eastAsiaTheme="minorEastAsia"/>
          <w:b w:val="0"/>
          <w:color w:val="auto"/>
          <w:szCs w:val="24"/>
          <w:highlight w:val="none"/>
          <w:lang w:val="en-US"/>
        </w:rPr>
      </w:pPr>
      <w:r>
        <w:rPr>
          <w:rStyle w:val="35"/>
          <w:rFonts w:hint="eastAsia" w:asciiTheme="minorEastAsia" w:hAnsiTheme="minorEastAsia" w:eastAsiaTheme="minorEastAsia"/>
          <w:b w:val="0"/>
          <w:color w:val="auto"/>
          <w:szCs w:val="24"/>
          <w:highlight w:val="none"/>
          <w:lang w:val="en-US"/>
        </w:rPr>
        <w:t>24 争议的解决</w:t>
      </w:r>
    </w:p>
    <w:p w14:paraId="6977BEB1">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24.1 争议的解决方式</w:t>
      </w:r>
    </w:p>
    <w:p w14:paraId="31AA0FCB">
      <w:pPr>
        <w:pStyle w:val="20"/>
        <w:snapToGrid w:val="0"/>
        <w:spacing w:before="0" w:beforeAutospacing="0" w:after="0" w:afterAutospacing="0" w:line="420" w:lineRule="exact"/>
        <w:ind w:firstLine="480"/>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合同当事人友好协商解决不成、不愿提请争议评审或不接受争议评审组意见的，向约定的合同</w:t>
      </w:r>
      <w:r>
        <w:rPr>
          <w:rFonts w:asciiTheme="minorEastAsia" w:hAnsiTheme="minorEastAsia" w:eastAsiaTheme="minorEastAsia"/>
          <w:color w:val="auto"/>
          <w:highlight w:val="none"/>
          <w:u w:val="single"/>
        </w:rPr>
        <w:t>工程所在地具有管辖权的人民法院提起诉讼。</w:t>
      </w:r>
    </w:p>
    <w:p w14:paraId="587F321F">
      <w:pPr>
        <w:pStyle w:val="5"/>
        <w:tabs>
          <w:tab w:val="left" w:pos="0"/>
        </w:tabs>
        <w:suppressAutoHyphens/>
        <w:snapToGrid w:val="0"/>
        <w:spacing w:before="0" w:after="0" w:line="420" w:lineRule="exact"/>
        <w:rPr>
          <w:rFonts w:asciiTheme="minorEastAsia" w:hAnsiTheme="minorEastAsia" w:eastAsiaTheme="minorEastAsia"/>
          <w:color w:val="auto"/>
          <w:sz w:val="24"/>
          <w:szCs w:val="24"/>
          <w:highlight w:val="none"/>
        </w:rPr>
      </w:pPr>
      <w:r>
        <w:rPr>
          <w:rStyle w:val="35"/>
          <w:rFonts w:asciiTheme="minorEastAsia" w:hAnsiTheme="minorEastAsia" w:eastAsiaTheme="minorEastAsia"/>
          <w:b w:val="0"/>
          <w:color w:val="auto"/>
          <w:szCs w:val="24"/>
          <w:highlight w:val="none"/>
        </w:rPr>
        <w:t>24.2 友好解决</w:t>
      </w:r>
    </w:p>
    <w:p w14:paraId="017C726E">
      <w:pPr>
        <w:pStyle w:val="20"/>
        <w:snapToGrid w:val="0"/>
        <w:spacing w:before="0" w:beforeAutospacing="0" w:after="0" w:afterAutospacing="0" w:line="420" w:lineRule="exact"/>
        <w:ind w:firstLine="480"/>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补充：合同当事人可以就争议请第三方或省水行政主管部门进行调解，调解达成协议的，经双方签字并盖章后作为合同补充文件，双方均应遵照执行。</w:t>
      </w:r>
    </w:p>
    <w:p w14:paraId="5B44CC7F">
      <w:pPr>
        <w:pStyle w:val="4"/>
        <w:snapToGrid w:val="0"/>
        <w:spacing w:line="420" w:lineRule="exact"/>
        <w:rPr>
          <w:rFonts w:asciiTheme="minorEastAsia" w:hAnsiTheme="minorEastAsia" w:eastAsiaTheme="minorEastAsia"/>
          <w:color w:val="auto"/>
          <w:sz w:val="24"/>
          <w:szCs w:val="24"/>
          <w:highlight w:val="none"/>
        </w:rPr>
      </w:pPr>
      <w:r>
        <w:rPr>
          <w:rStyle w:val="35"/>
          <w:rFonts w:hint="eastAsia" w:asciiTheme="minorEastAsia" w:hAnsiTheme="minorEastAsia" w:eastAsiaTheme="minorEastAsia"/>
          <w:b w:val="0"/>
          <w:color w:val="auto"/>
          <w:szCs w:val="24"/>
          <w:highlight w:val="none"/>
        </w:rPr>
        <w:t>25  其它</w:t>
      </w:r>
    </w:p>
    <w:p w14:paraId="6A5A54B0">
      <w:pPr>
        <w:spacing w:line="420" w:lineRule="exact"/>
        <w:ind w:firstLine="3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本工程以项为单位的措施费费用按项包干，结算时不做调整；</w:t>
      </w:r>
    </w:p>
    <w:p w14:paraId="416E1410">
      <w:pPr>
        <w:spacing w:line="420" w:lineRule="exact"/>
        <w:ind w:firstLine="3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安全文明施工费不得作为竞争性费用，且实行标外管理。安全文明施工费的使用范围按国家和省有关规定执行，安全文明施工费的使用，由承包人提出方案和预算，经监理审核，发包人批准后按方案实施进度支付；</w:t>
      </w:r>
    </w:p>
    <w:p w14:paraId="3779A73F">
      <w:pPr>
        <w:spacing w:line="420" w:lineRule="exact"/>
        <w:ind w:firstLine="3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25.3工程一切险及第三者责任险承包人综合考虑报价，结算时按发票结算；</w:t>
      </w:r>
    </w:p>
    <w:p w14:paraId="2A3E78B1">
      <w:pPr>
        <w:spacing w:line="420" w:lineRule="exact"/>
        <w:ind w:firstLine="3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 本工程发包人不提供施工用水、用电接入点，该费用承包人自行考虑。</w:t>
      </w:r>
    </w:p>
    <w:p w14:paraId="024F25A0">
      <w:pPr>
        <w:spacing w:line="420" w:lineRule="exact"/>
        <w:ind w:firstLine="3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25.5苗木养护期一年，养护期自工程交工验收合格以后开始计算，养护期满后再进行竣工验收。养护期内成交人对种下的苗木须每周组织自检，及时补种苗木，如采购人检查中发现苗木未存活，在告知成交人后，成交人须及时补种，否则采购人可以委托其他人员补种，其费用由成交人承担。</w:t>
      </w:r>
    </w:p>
    <w:p w14:paraId="1E6F70D0">
      <w:pPr>
        <w:spacing w:line="420" w:lineRule="exact"/>
        <w:ind w:firstLine="36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25.6承包人完工工期逾期超过计划工期30%的，发包人有权解除合同。承包人完成的工程未能通过完工验收或竣工验收的，应按发包人要求进行整改，拒不整改或经三次以上整改仍未能通过验收的，发包人有权解除合同，拒绝支付后续价款，并要求承包人承担按合同价的10%的违约责任。由此导致的工期逾期责任由承包人自行承担。</w:t>
      </w:r>
    </w:p>
    <w:p w14:paraId="3911C4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bookmarkStart w:id="61" w:name="_Toc8981"/>
      <w:r>
        <w:rPr>
          <w:rFonts w:hint="eastAsia" w:cs="Times New Roman" w:asciiTheme="minorEastAsia" w:hAnsiTheme="minorEastAsia" w:eastAsiaTheme="minorEastAsia"/>
          <w:b w:val="0"/>
          <w:bCs w:val="0"/>
          <w:color w:val="auto"/>
          <w:kern w:val="2"/>
          <w:sz w:val="24"/>
          <w:szCs w:val="24"/>
          <w:highlight w:val="none"/>
          <w:lang w:val="en-US" w:eastAsia="zh-CN" w:bidi="ar-SA"/>
        </w:rPr>
        <w:t>25.7土方回填前及回填过程中清除垃圾、树根等杂物的费用，由承包人在报价中综合考虑。</w:t>
      </w:r>
    </w:p>
    <w:p w14:paraId="28CE6D4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25.8基础开挖时，如遇到岸坡塌滑现象，进行基础支护措施，由承包人报价时综合考虑。</w:t>
      </w:r>
    </w:p>
    <w:p w14:paraId="28A0F99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25.9施工期间要严格按照设计和施工规范划定施工场地，施工车辆要在划定的线路上行驶，以减少对表土和植被的破坏。</w:t>
      </w:r>
    </w:p>
    <w:p w14:paraId="044B51A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25.10施工期尽可能减少临时占地面积，施工期结束后对施工场地采取土地整治，植被恢复等措施。</w:t>
      </w:r>
    </w:p>
    <w:p w14:paraId="09EBA8A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25.11施工期修建垃圾堆放点，收集固体废弃物，施工结束后按规定清理。</w:t>
      </w:r>
    </w:p>
    <w:p w14:paraId="2370778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25.12电价按网电价格计入，水按自来水信息价计入，风通过电价计算，若自发电由承包人自行考虑。</w:t>
      </w:r>
    </w:p>
    <w:p w14:paraId="79FB2BF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25.13实际施工时需涉及到用水、用电等问题应由承包人自行考虑相应的费用，结算时不再调整清单子目或综合单价。</w:t>
      </w:r>
    </w:p>
    <w:p w14:paraId="2D7EC60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sectPr>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eastAsiaTheme="minorEastAsia"/>
          <w:b w:val="0"/>
          <w:bCs w:val="0"/>
          <w:color w:val="auto"/>
          <w:kern w:val="2"/>
          <w:sz w:val="24"/>
          <w:szCs w:val="24"/>
          <w:highlight w:val="none"/>
          <w:lang w:val="en-US" w:eastAsia="zh-CN" w:bidi="ar-SA"/>
        </w:rPr>
        <w:t>25.14 本项目可能分阶段施工，所涉及的相关费用已包含在合同价中，结算时不做调整。</w:t>
      </w:r>
    </w:p>
    <w:p w14:paraId="05C2D545">
      <w:pPr>
        <w:pStyle w:val="2"/>
        <w:spacing w:line="400" w:lineRule="exact"/>
        <w:jc w:val="center"/>
        <w:rPr>
          <w:rFonts w:ascii="Times New Roman" w:hAnsi="Times New Roman"/>
          <w:color w:val="auto"/>
          <w:sz w:val="30"/>
          <w:szCs w:val="30"/>
          <w:highlight w:val="none"/>
        </w:rPr>
      </w:pPr>
      <w:r>
        <w:rPr>
          <w:rFonts w:hint="eastAsia" w:ascii="Times New Roman" w:hAnsi="Times New Roman"/>
          <w:color w:val="auto"/>
          <w:sz w:val="30"/>
          <w:szCs w:val="30"/>
          <w:highlight w:val="none"/>
        </w:rPr>
        <w:t>第三节  合同附件格式</w:t>
      </w:r>
      <w:bookmarkEnd w:id="38"/>
      <w:bookmarkEnd w:id="39"/>
      <w:bookmarkEnd w:id="40"/>
      <w:bookmarkEnd w:id="41"/>
      <w:bookmarkEnd w:id="42"/>
      <w:bookmarkEnd w:id="61"/>
    </w:p>
    <w:p w14:paraId="58B86362">
      <w:pPr>
        <w:spacing w:line="360" w:lineRule="exact"/>
        <w:ind w:firstLine="420" w:firstLineChars="200"/>
        <w:rPr>
          <w:color w:val="auto"/>
          <w:highlight w:val="none"/>
        </w:rPr>
      </w:pPr>
      <w:r>
        <w:rPr>
          <w:color w:val="auto"/>
          <w:highlight w:val="none"/>
        </w:rPr>
        <w:br w:type="page"/>
      </w:r>
      <w:bookmarkStart w:id="62" w:name="_Toc144974827"/>
      <w:bookmarkStart w:id="63" w:name="_Toc168475884"/>
      <w:bookmarkStart w:id="64" w:name="_Toc168476287"/>
      <w:r>
        <w:rPr>
          <w:rFonts w:hint="eastAsia"/>
          <w:color w:val="auto"/>
          <w:highlight w:val="none"/>
        </w:rPr>
        <w:t>附件一：合同协议书</w:t>
      </w:r>
      <w:bookmarkEnd w:id="62"/>
      <w:bookmarkEnd w:id="63"/>
      <w:bookmarkEnd w:id="64"/>
    </w:p>
    <w:p w14:paraId="1DA4ADB6">
      <w:pPr>
        <w:spacing w:line="400" w:lineRule="exact"/>
        <w:jc w:val="center"/>
        <w:rPr>
          <w:rFonts w:ascii="黑体" w:eastAsia="黑体"/>
          <w:color w:val="auto"/>
          <w:sz w:val="27"/>
          <w:szCs w:val="27"/>
          <w:highlight w:val="none"/>
        </w:rPr>
      </w:pPr>
      <w:r>
        <w:rPr>
          <w:rFonts w:hint="eastAsia" w:ascii="黑体" w:eastAsia="黑体"/>
          <w:color w:val="auto"/>
          <w:sz w:val="27"/>
          <w:szCs w:val="27"/>
          <w:highlight w:val="none"/>
        </w:rPr>
        <w:t>合同协议书</w:t>
      </w:r>
    </w:p>
    <w:p w14:paraId="149D93CE">
      <w:pPr>
        <w:spacing w:line="360" w:lineRule="exact"/>
        <w:ind w:firstLine="420" w:firstLineChars="200"/>
        <w:rPr>
          <w:color w:val="auto"/>
          <w:highlight w:val="none"/>
        </w:rPr>
      </w:pPr>
    </w:p>
    <w:p w14:paraId="1B8A1768">
      <w:pPr>
        <w:spacing w:line="400" w:lineRule="exact"/>
        <w:ind w:firstLine="420" w:firstLineChars="200"/>
        <w:rPr>
          <w:color w:val="auto"/>
          <w:highlight w:val="none"/>
        </w:rPr>
      </w:pPr>
      <w:r>
        <w:rPr>
          <w:rFonts w:hint="eastAsia"/>
          <w:color w:val="auto"/>
          <w:highlight w:val="none"/>
          <w:u w:val="single"/>
          <w:lang w:eastAsia="zh-CN"/>
        </w:rPr>
        <w:t>台州市椒江区人民政府章安街道办事处</w:t>
      </w:r>
      <w:r>
        <w:rPr>
          <w:color w:val="auto"/>
          <w:highlight w:val="none"/>
        </w:rPr>
        <w:t>为实施</w:t>
      </w:r>
      <w:r>
        <w:rPr>
          <w:rFonts w:hint="eastAsia"/>
          <w:color w:val="auto"/>
          <w:highlight w:val="none"/>
          <w:u w:val="single"/>
          <w:lang w:eastAsia="zh-CN"/>
        </w:rPr>
        <w:t>椒江区梓杨河（山门村段）治理工程</w:t>
      </w:r>
      <w:r>
        <w:rPr>
          <w:color w:val="auto"/>
          <w:highlight w:val="none"/>
        </w:rPr>
        <w:t>，已接受</w:t>
      </w:r>
      <w:r>
        <w:rPr>
          <w:color w:val="auto"/>
          <w:highlight w:val="none"/>
          <w:u w:val="single"/>
        </w:rPr>
        <w:t xml:space="preserve">        </w:t>
      </w:r>
      <w:r>
        <w:rPr>
          <w:color w:val="auto"/>
          <w:highlight w:val="none"/>
        </w:rPr>
        <w:t>（承包人名称</w:t>
      </w:r>
      <w:r>
        <w:rPr>
          <w:rFonts w:hint="eastAsia"/>
          <w:color w:val="auto"/>
          <w:highlight w:val="none"/>
        </w:rPr>
        <w:t>）的</w:t>
      </w:r>
      <w:r>
        <w:rPr>
          <w:color w:val="auto"/>
          <w:highlight w:val="none"/>
        </w:rPr>
        <w:t>投标</w:t>
      </w:r>
      <w:r>
        <w:rPr>
          <w:rFonts w:hint="eastAsia"/>
          <w:color w:val="auto"/>
          <w:highlight w:val="none"/>
        </w:rPr>
        <w:t>，并确定其为中标人。</w:t>
      </w:r>
      <w:r>
        <w:rPr>
          <w:color w:val="auto"/>
          <w:highlight w:val="none"/>
        </w:rPr>
        <w:t>发包人和承包人共同达成如下协议。</w:t>
      </w:r>
      <w:r>
        <w:rPr>
          <w:rFonts w:hint="eastAsia"/>
          <w:color w:val="auto"/>
          <w:highlight w:val="none"/>
        </w:rPr>
        <w:t xml:space="preserve"> </w:t>
      </w:r>
    </w:p>
    <w:p w14:paraId="0A502E9F">
      <w:pPr>
        <w:spacing w:line="400" w:lineRule="exact"/>
        <w:ind w:firstLine="420" w:firstLineChars="200"/>
        <w:rPr>
          <w:color w:val="auto"/>
          <w:highlight w:val="none"/>
        </w:rPr>
      </w:pPr>
      <w:bookmarkStart w:id="65" w:name="_Toc144974828"/>
      <w:bookmarkStart w:id="66" w:name="_Toc168476288"/>
      <w:bookmarkStart w:id="67" w:name="_Toc168475885"/>
      <w:r>
        <w:rPr>
          <w:color w:val="auto"/>
          <w:highlight w:val="none"/>
        </w:rPr>
        <w:t>1. 本协议书与下列文件一起构成合同文件：</w:t>
      </w:r>
      <w:bookmarkEnd w:id="65"/>
      <w:bookmarkEnd w:id="66"/>
      <w:bookmarkEnd w:id="67"/>
    </w:p>
    <w:p w14:paraId="52F916C6">
      <w:pPr>
        <w:spacing w:line="400" w:lineRule="exact"/>
        <w:ind w:firstLine="420" w:firstLineChars="200"/>
        <w:rPr>
          <w:color w:val="auto"/>
          <w:highlight w:val="none"/>
        </w:rPr>
      </w:pPr>
      <w:r>
        <w:rPr>
          <w:color w:val="auto"/>
          <w:highlight w:val="none"/>
        </w:rPr>
        <w:t>（1）中标通知书；</w:t>
      </w:r>
    </w:p>
    <w:p w14:paraId="775F15D3">
      <w:pPr>
        <w:spacing w:line="400" w:lineRule="exact"/>
        <w:ind w:firstLine="420" w:firstLineChars="200"/>
        <w:rPr>
          <w:color w:val="auto"/>
          <w:highlight w:val="none"/>
        </w:rPr>
      </w:pPr>
      <w:r>
        <w:rPr>
          <w:color w:val="auto"/>
          <w:highlight w:val="none"/>
        </w:rPr>
        <w:t>（2）投标</w:t>
      </w:r>
      <w:r>
        <w:rPr>
          <w:rFonts w:hint="eastAsia"/>
          <w:color w:val="auto"/>
          <w:highlight w:val="none"/>
        </w:rPr>
        <w:t>文件</w:t>
      </w:r>
      <w:r>
        <w:rPr>
          <w:color w:val="auto"/>
          <w:highlight w:val="none"/>
        </w:rPr>
        <w:t>；</w:t>
      </w:r>
    </w:p>
    <w:p w14:paraId="493F4389">
      <w:pPr>
        <w:spacing w:line="400" w:lineRule="exact"/>
        <w:ind w:firstLine="420" w:firstLineChars="200"/>
        <w:rPr>
          <w:color w:val="auto"/>
          <w:highlight w:val="none"/>
        </w:rPr>
      </w:pPr>
      <w:r>
        <w:rPr>
          <w:color w:val="auto"/>
          <w:highlight w:val="none"/>
        </w:rPr>
        <w:t>（3）专用合同条款；</w:t>
      </w:r>
    </w:p>
    <w:p w14:paraId="2B284370">
      <w:pPr>
        <w:spacing w:line="400" w:lineRule="exact"/>
        <w:ind w:firstLine="420" w:firstLineChars="200"/>
        <w:rPr>
          <w:color w:val="auto"/>
          <w:highlight w:val="none"/>
        </w:rPr>
      </w:pPr>
      <w:r>
        <w:rPr>
          <w:color w:val="auto"/>
          <w:highlight w:val="none"/>
        </w:rPr>
        <w:t>（4）通用合同条款；</w:t>
      </w:r>
    </w:p>
    <w:p w14:paraId="13564D1C">
      <w:pPr>
        <w:spacing w:line="400" w:lineRule="exact"/>
        <w:ind w:firstLine="420" w:firstLineChars="200"/>
        <w:rPr>
          <w:color w:val="auto"/>
          <w:highlight w:val="none"/>
        </w:rPr>
      </w:pPr>
      <w:r>
        <w:rPr>
          <w:color w:val="auto"/>
          <w:highlight w:val="none"/>
        </w:rPr>
        <w:t>（5）技术标准和要求</w:t>
      </w:r>
      <w:r>
        <w:rPr>
          <w:rFonts w:hint="eastAsia"/>
          <w:color w:val="auto"/>
          <w:highlight w:val="none"/>
        </w:rPr>
        <w:t>（合同技术条款）</w:t>
      </w:r>
      <w:r>
        <w:rPr>
          <w:color w:val="auto"/>
          <w:highlight w:val="none"/>
        </w:rPr>
        <w:t>；</w:t>
      </w:r>
    </w:p>
    <w:p w14:paraId="7B5DAC56">
      <w:pPr>
        <w:spacing w:line="400" w:lineRule="exact"/>
        <w:ind w:firstLine="420" w:firstLineChars="200"/>
        <w:rPr>
          <w:color w:val="auto"/>
          <w:highlight w:val="none"/>
        </w:rPr>
      </w:pPr>
      <w:r>
        <w:rPr>
          <w:color w:val="auto"/>
          <w:highlight w:val="none"/>
        </w:rPr>
        <w:t>（6）图纸；</w:t>
      </w:r>
    </w:p>
    <w:p w14:paraId="0B907C79">
      <w:pPr>
        <w:spacing w:line="400" w:lineRule="exact"/>
        <w:ind w:firstLine="420" w:firstLineChars="200"/>
        <w:rPr>
          <w:color w:val="auto"/>
          <w:highlight w:val="none"/>
        </w:rPr>
      </w:pPr>
      <w:r>
        <w:rPr>
          <w:color w:val="auto"/>
          <w:highlight w:val="none"/>
        </w:rPr>
        <w:t>（</w:t>
      </w:r>
      <w:r>
        <w:rPr>
          <w:rFonts w:hint="eastAsia"/>
          <w:color w:val="auto"/>
          <w:highlight w:val="none"/>
        </w:rPr>
        <w:t>7</w:t>
      </w:r>
      <w:r>
        <w:rPr>
          <w:color w:val="auto"/>
          <w:highlight w:val="none"/>
        </w:rPr>
        <w:t>）其他合同文件。</w:t>
      </w:r>
    </w:p>
    <w:p w14:paraId="528A3745">
      <w:pPr>
        <w:spacing w:line="400" w:lineRule="exact"/>
        <w:ind w:firstLine="420" w:firstLineChars="200"/>
        <w:rPr>
          <w:color w:val="auto"/>
          <w:highlight w:val="none"/>
        </w:rPr>
      </w:pPr>
      <w:bookmarkStart w:id="68" w:name="_Toc144974829"/>
      <w:bookmarkStart w:id="69" w:name="_Toc168476289"/>
      <w:bookmarkStart w:id="70" w:name="_Toc168475886"/>
      <w:r>
        <w:rPr>
          <w:color w:val="auto"/>
          <w:highlight w:val="none"/>
        </w:rPr>
        <w:t>2. 上述文件互相补充和解释，如有不明确或不一致之处，以合同约定次序在先者为准。</w:t>
      </w:r>
      <w:bookmarkEnd w:id="68"/>
      <w:bookmarkEnd w:id="69"/>
      <w:bookmarkEnd w:id="70"/>
    </w:p>
    <w:p w14:paraId="4F33EFA1">
      <w:pPr>
        <w:spacing w:line="400" w:lineRule="exact"/>
        <w:ind w:firstLine="420" w:firstLineChars="200"/>
        <w:rPr>
          <w:color w:val="auto"/>
          <w:highlight w:val="none"/>
        </w:rPr>
      </w:pPr>
      <w:r>
        <w:rPr>
          <w:color w:val="auto"/>
          <w:highlight w:val="none"/>
        </w:rPr>
        <w:t>3. 签约合同价：人民币（大写）</w:t>
      </w:r>
      <w:r>
        <w:rPr>
          <w:color w:val="auto"/>
          <w:highlight w:val="none"/>
          <w:u w:val="single"/>
        </w:rPr>
        <w:t xml:space="preserve">          </w:t>
      </w:r>
      <w:r>
        <w:rPr>
          <w:color w:val="auto"/>
          <w:highlight w:val="none"/>
        </w:rPr>
        <w:t>元（¥</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元，税率为：9%</w:t>
      </w:r>
      <w:r>
        <w:rPr>
          <w:color w:val="auto"/>
          <w:highlight w:val="none"/>
        </w:rPr>
        <w:t>）</w:t>
      </w:r>
      <w:r>
        <w:rPr>
          <w:rFonts w:hint="eastAsia"/>
          <w:color w:val="auto"/>
          <w:highlight w:val="none"/>
        </w:rPr>
        <w:t>，即结算率为</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（小数点后保留</w:t>
      </w:r>
      <w:r>
        <w:rPr>
          <w:rFonts w:hint="eastAsia"/>
          <w:color w:val="auto"/>
          <w:highlight w:val="none"/>
          <w:lang w:val="en-US" w:eastAsia="zh-CN"/>
        </w:rPr>
        <w:t>2位</w:t>
      </w:r>
      <w:r>
        <w:rPr>
          <w:rFonts w:hint="eastAsia"/>
          <w:color w:val="auto"/>
          <w:highlight w:val="none"/>
          <w:lang w:eastAsia="zh-CN"/>
        </w:rPr>
        <w:t>）</w:t>
      </w:r>
      <w:r>
        <w:rPr>
          <w:color w:val="auto"/>
          <w:highlight w:val="none"/>
        </w:rPr>
        <w:t>。</w:t>
      </w:r>
    </w:p>
    <w:p w14:paraId="7403A58E">
      <w:pPr>
        <w:spacing w:line="400" w:lineRule="exact"/>
        <w:ind w:firstLine="420" w:firstLineChars="200"/>
        <w:rPr>
          <w:rFonts w:hint="eastAsia" w:ascii="宋体" w:hAnsi="宋体" w:cs="宋体"/>
          <w:snapToGrid w:val="0"/>
          <w:color w:val="auto"/>
          <w:szCs w:val="21"/>
          <w:highlight w:val="none"/>
        </w:rPr>
      </w:pPr>
      <w:r>
        <w:rPr>
          <w:color w:val="auto"/>
          <w:highlight w:val="none"/>
        </w:rPr>
        <w:t xml:space="preserve">4. </w:t>
      </w:r>
      <w:r>
        <w:rPr>
          <w:rFonts w:hint="eastAsia"/>
          <w:color w:val="auto"/>
          <w:highlight w:val="none"/>
        </w:rPr>
        <w:t>承包人</w:t>
      </w:r>
      <w:r>
        <w:rPr>
          <w:color w:val="auto"/>
          <w:highlight w:val="none"/>
        </w:rPr>
        <w:t>项目经理：</w:t>
      </w:r>
      <w:r>
        <w:rPr>
          <w:color w:val="auto"/>
          <w:highlight w:val="none"/>
          <w:u w:val="single"/>
        </w:rPr>
        <w:t xml:space="preserve">            </w:t>
      </w:r>
      <w:r>
        <w:rPr>
          <w:rFonts w:hint="eastAsia" w:ascii="宋体" w:hAnsi="宋体" w:cs="宋体"/>
          <w:snapToGrid w:val="0"/>
          <w:color w:val="auto"/>
          <w:szCs w:val="21"/>
          <w:highlight w:val="none"/>
          <w:u w:val="single"/>
        </w:rPr>
        <w:t>（身份证号码：                 ）</w:t>
      </w:r>
      <w:r>
        <w:rPr>
          <w:rFonts w:hint="eastAsia" w:ascii="宋体" w:hAnsi="宋体" w:cs="宋体"/>
          <w:snapToGrid w:val="0"/>
          <w:color w:val="auto"/>
          <w:szCs w:val="21"/>
          <w:highlight w:val="none"/>
        </w:rPr>
        <w:t>。</w:t>
      </w:r>
    </w:p>
    <w:p w14:paraId="08496682">
      <w:pPr>
        <w:spacing w:line="400" w:lineRule="exact"/>
        <w:ind w:firstLine="420" w:firstLineChars="200"/>
        <w:rPr>
          <w:color w:val="auto"/>
          <w:highlight w:val="none"/>
        </w:rPr>
      </w:pPr>
      <w:r>
        <w:rPr>
          <w:color w:val="auto"/>
          <w:highlight w:val="none"/>
        </w:rPr>
        <w:t>5. 工程质量符合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标准。</w:t>
      </w:r>
    </w:p>
    <w:p w14:paraId="57F16E36">
      <w:pPr>
        <w:spacing w:line="400" w:lineRule="exact"/>
        <w:ind w:firstLine="420" w:firstLineChars="200"/>
        <w:rPr>
          <w:color w:val="auto"/>
          <w:highlight w:val="none"/>
        </w:rPr>
      </w:pPr>
      <w:r>
        <w:rPr>
          <w:color w:val="auto"/>
          <w:highlight w:val="none"/>
        </w:rPr>
        <w:t>6. 承包人承诺按合同约定承担工程的实施、完成及缺陷修复。</w:t>
      </w:r>
    </w:p>
    <w:p w14:paraId="4C88153E">
      <w:pPr>
        <w:spacing w:line="400" w:lineRule="exact"/>
        <w:ind w:firstLine="420" w:firstLineChars="200"/>
        <w:rPr>
          <w:color w:val="auto"/>
          <w:highlight w:val="none"/>
        </w:rPr>
      </w:pPr>
      <w:r>
        <w:rPr>
          <w:color w:val="auto"/>
          <w:highlight w:val="none"/>
        </w:rPr>
        <w:t>7. 发包人承诺按合同约定的条件、时间和方式向承包人支付合同价款。</w:t>
      </w:r>
    </w:p>
    <w:p w14:paraId="4F945A9B">
      <w:pPr>
        <w:spacing w:line="400" w:lineRule="exact"/>
        <w:ind w:firstLine="420" w:firstLineChars="200"/>
        <w:rPr>
          <w:color w:val="auto"/>
          <w:highlight w:val="none"/>
        </w:rPr>
      </w:pPr>
      <w:r>
        <w:rPr>
          <w:color w:val="auto"/>
          <w:highlight w:val="none"/>
        </w:rPr>
        <w:t>8. 承包人</w:t>
      </w:r>
      <w:r>
        <w:rPr>
          <w:rFonts w:hint="eastAsia"/>
          <w:color w:val="auto"/>
          <w:highlight w:val="none"/>
        </w:rPr>
        <w:t>承诺执行</w:t>
      </w:r>
      <w:r>
        <w:rPr>
          <w:color w:val="auto"/>
          <w:highlight w:val="none"/>
        </w:rPr>
        <w:t>监理人开工</w:t>
      </w:r>
      <w:r>
        <w:rPr>
          <w:rFonts w:hint="eastAsia"/>
          <w:color w:val="auto"/>
          <w:highlight w:val="none"/>
        </w:rPr>
        <w:t>通知</w:t>
      </w:r>
      <w:r>
        <w:rPr>
          <w:color w:val="auto"/>
          <w:highlight w:val="none"/>
        </w:rPr>
        <w:t>，</w:t>
      </w:r>
      <w:r>
        <w:rPr>
          <w:rFonts w:hint="eastAsia"/>
          <w:color w:val="auto"/>
          <w:highlight w:val="none"/>
        </w:rPr>
        <w:t>计划</w:t>
      </w:r>
      <w:r>
        <w:rPr>
          <w:color w:val="auto"/>
          <w:highlight w:val="none"/>
        </w:rPr>
        <w:t>工期为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天</w:t>
      </w:r>
      <w:r>
        <w:rPr>
          <w:color w:val="auto"/>
          <w:highlight w:val="none"/>
        </w:rPr>
        <w:t>。</w:t>
      </w:r>
    </w:p>
    <w:p w14:paraId="413F06E5">
      <w:pPr>
        <w:spacing w:line="400" w:lineRule="exact"/>
        <w:ind w:firstLine="420" w:firstLineChars="200"/>
        <w:rPr>
          <w:color w:val="auto"/>
          <w:highlight w:val="none"/>
        </w:rPr>
      </w:pPr>
      <w:r>
        <w:rPr>
          <w:color w:val="auto"/>
          <w:highlight w:val="none"/>
        </w:rPr>
        <w:t>9. 本协议书一式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份，</w:t>
      </w:r>
      <w:r>
        <w:rPr>
          <w:rFonts w:hint="eastAsia"/>
          <w:color w:val="auto"/>
          <w:highlight w:val="none"/>
        </w:rPr>
        <w:t>其中正本</w:t>
      </w:r>
      <w:r>
        <w:rPr>
          <w:rFonts w:hint="eastAsia"/>
          <w:color w:val="auto"/>
          <w:highlight w:val="none"/>
          <w:u w:val="single"/>
        </w:rPr>
        <w:t xml:space="preserve">       </w:t>
      </w:r>
      <w:r>
        <w:rPr>
          <w:rFonts w:hint="eastAsia"/>
          <w:color w:val="auto"/>
          <w:highlight w:val="none"/>
        </w:rPr>
        <w:t>份，</w:t>
      </w:r>
      <w:r>
        <w:rPr>
          <w:color w:val="auto"/>
          <w:highlight w:val="none"/>
        </w:rPr>
        <w:t>合同双方各执一份。</w:t>
      </w:r>
      <w:r>
        <w:rPr>
          <w:rFonts w:hint="eastAsia"/>
          <w:color w:val="auto"/>
          <w:highlight w:val="none"/>
        </w:rPr>
        <w:t>副本</w:t>
      </w:r>
      <w:r>
        <w:rPr>
          <w:rFonts w:hint="eastAsia"/>
          <w:color w:val="auto"/>
          <w:highlight w:val="none"/>
          <w:u w:val="single"/>
        </w:rPr>
        <w:t xml:space="preserve">      </w:t>
      </w:r>
      <w:r>
        <w:rPr>
          <w:rFonts w:hint="eastAsia"/>
          <w:color w:val="auto"/>
          <w:highlight w:val="none"/>
        </w:rPr>
        <w:t>份，合同双方各执</w:t>
      </w:r>
      <w:r>
        <w:rPr>
          <w:rFonts w:hint="eastAsia"/>
          <w:color w:val="auto"/>
          <w:highlight w:val="none"/>
          <w:u w:val="single"/>
        </w:rPr>
        <w:t xml:space="preserve">        </w:t>
      </w:r>
      <w:r>
        <w:rPr>
          <w:rFonts w:hint="eastAsia"/>
          <w:color w:val="auto"/>
          <w:highlight w:val="none"/>
        </w:rPr>
        <w:t>份。</w:t>
      </w:r>
    </w:p>
    <w:p w14:paraId="22E9DAFE">
      <w:pPr>
        <w:spacing w:line="400" w:lineRule="exact"/>
        <w:ind w:firstLine="420" w:firstLineChars="200"/>
        <w:rPr>
          <w:color w:val="auto"/>
          <w:highlight w:val="none"/>
        </w:rPr>
      </w:pPr>
      <w:r>
        <w:rPr>
          <w:rFonts w:hint="eastAsia"/>
          <w:color w:val="auto"/>
          <w:highlight w:val="none"/>
        </w:rPr>
        <w:t>10. 本合同经双方法定代表人签字并加盖本单位公章后生效。</w:t>
      </w:r>
    </w:p>
    <w:p w14:paraId="2723DA2F">
      <w:pPr>
        <w:spacing w:line="400" w:lineRule="exact"/>
        <w:ind w:firstLine="420" w:firstLineChars="200"/>
        <w:rPr>
          <w:color w:val="auto"/>
          <w:highlight w:val="none"/>
        </w:rPr>
      </w:pPr>
      <w:bookmarkStart w:id="71" w:name="_Toc168476290"/>
      <w:bookmarkStart w:id="72" w:name="_Toc144974830"/>
      <w:bookmarkStart w:id="73" w:name="_Toc168475887"/>
      <w:r>
        <w:rPr>
          <w:color w:val="auto"/>
          <w:highlight w:val="none"/>
        </w:rPr>
        <w:t>1</w:t>
      </w:r>
      <w:r>
        <w:rPr>
          <w:rFonts w:hint="eastAsia"/>
          <w:color w:val="auto"/>
          <w:highlight w:val="none"/>
        </w:rPr>
        <w:t>1</w:t>
      </w:r>
      <w:r>
        <w:rPr>
          <w:color w:val="auto"/>
          <w:highlight w:val="none"/>
        </w:rPr>
        <w:t>. 合同未尽事宜，双方另行签订补充协议。补充协议是合同的组成部分。</w:t>
      </w:r>
      <w:bookmarkEnd w:id="71"/>
      <w:bookmarkEnd w:id="72"/>
      <w:bookmarkEnd w:id="73"/>
    </w:p>
    <w:p w14:paraId="4F0CE8D4">
      <w:pPr>
        <w:spacing w:line="400" w:lineRule="exact"/>
        <w:ind w:firstLine="420" w:firstLineChars="200"/>
        <w:rPr>
          <w:color w:val="auto"/>
          <w:highlight w:val="none"/>
        </w:rPr>
      </w:pPr>
    </w:p>
    <w:p w14:paraId="520F7381">
      <w:pPr>
        <w:spacing w:line="400" w:lineRule="exact"/>
        <w:ind w:firstLine="420" w:firstLineChars="200"/>
        <w:rPr>
          <w:color w:val="auto"/>
          <w:highlight w:val="none"/>
        </w:rPr>
      </w:pPr>
      <w:r>
        <w:rPr>
          <w:color w:val="auto"/>
          <w:highlight w:val="none"/>
        </w:rPr>
        <w:t>发包人：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（盖单位章）</w:t>
      </w:r>
      <w:r>
        <w:rPr>
          <w:rFonts w:hint="eastAsia"/>
          <w:color w:val="auto"/>
          <w:highlight w:val="none"/>
        </w:rPr>
        <w:t xml:space="preserve">     </w:t>
      </w:r>
      <w:r>
        <w:rPr>
          <w:color w:val="auto"/>
          <w:highlight w:val="none"/>
        </w:rPr>
        <w:t>承包人：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6A1D4FFA">
      <w:pPr>
        <w:spacing w:line="400" w:lineRule="exact"/>
        <w:ind w:firstLine="420" w:firstLineChars="200"/>
        <w:rPr>
          <w:color w:val="auto"/>
          <w:highlight w:val="none"/>
        </w:rPr>
      </w:pPr>
      <w:r>
        <w:rPr>
          <w:color w:val="auto"/>
          <w:highlight w:val="none"/>
        </w:rPr>
        <w:t>法定代表人</w:t>
      </w:r>
      <w:r>
        <w:rPr>
          <w:color w:val="auto"/>
          <w:highlight w:val="none"/>
        </w:rPr>
        <w:tab/>
      </w:r>
      <w:r>
        <w:rPr>
          <w:rFonts w:hint="eastAsia"/>
          <w:color w:val="auto"/>
          <w:highlight w:val="none"/>
        </w:rPr>
        <w:t xml:space="preserve">                             </w:t>
      </w:r>
      <w:r>
        <w:rPr>
          <w:color w:val="auto"/>
          <w:highlight w:val="none"/>
        </w:rPr>
        <w:t>法定代表人</w:t>
      </w:r>
    </w:p>
    <w:p w14:paraId="41A083FC">
      <w:pPr>
        <w:spacing w:line="400" w:lineRule="exact"/>
        <w:ind w:firstLine="420" w:firstLineChars="200"/>
        <w:rPr>
          <w:color w:val="auto"/>
          <w:highlight w:val="none"/>
        </w:rPr>
      </w:pPr>
      <w:r>
        <w:rPr>
          <w:rFonts w:hint="eastAsia"/>
          <w:color w:val="auto"/>
          <w:highlight w:val="none"/>
        </w:rPr>
        <w:t>或委托代理人：</w:t>
      </w:r>
      <w:r>
        <w:rPr>
          <w:rFonts w:hint="eastAsia"/>
          <w:color w:val="auto"/>
          <w:highlight w:val="none"/>
          <w:u w:val="single"/>
        </w:rPr>
        <w:t xml:space="preserve">           </w:t>
      </w:r>
      <w:r>
        <w:rPr>
          <w:color w:val="auto"/>
          <w:highlight w:val="none"/>
          <w:u w:val="single"/>
        </w:rPr>
        <w:t xml:space="preserve"> </w:t>
      </w:r>
      <w:r>
        <w:rPr>
          <w:color w:val="auto"/>
          <w:highlight w:val="none"/>
        </w:rPr>
        <w:t>（签字）</w:t>
      </w:r>
      <w:r>
        <w:rPr>
          <w:rFonts w:hint="eastAsia"/>
          <w:color w:val="auto"/>
          <w:highlight w:val="none"/>
        </w:rPr>
        <w:t xml:space="preserve">       或委托代理人：</w:t>
      </w:r>
      <w:r>
        <w:rPr>
          <w:rFonts w:hint="eastAsia"/>
          <w:color w:val="auto"/>
          <w:highlight w:val="none"/>
          <w:u w:val="single"/>
        </w:rPr>
        <w:t xml:space="preserve">           </w:t>
      </w:r>
      <w:r>
        <w:rPr>
          <w:color w:val="auto"/>
          <w:highlight w:val="none"/>
          <w:u w:val="single"/>
        </w:rPr>
        <w:t xml:space="preserve"> </w:t>
      </w:r>
      <w:r>
        <w:rPr>
          <w:color w:val="auto"/>
          <w:highlight w:val="none"/>
        </w:rPr>
        <w:t>（签字）</w:t>
      </w:r>
    </w:p>
    <w:p w14:paraId="56A616C1">
      <w:pPr>
        <w:spacing w:line="400" w:lineRule="exact"/>
        <w:ind w:firstLine="420" w:firstLineChars="200"/>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月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日</w:t>
      </w:r>
      <w:r>
        <w:rPr>
          <w:rFonts w:hint="eastAsia"/>
          <w:color w:val="auto"/>
          <w:highlight w:val="non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月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14:paraId="6367B2D2">
      <w:pPr>
        <w:spacing w:line="360" w:lineRule="exact"/>
        <w:ind w:firstLine="420" w:firstLineChars="200"/>
        <w:rPr>
          <w:color w:val="auto"/>
          <w:highlight w:val="none"/>
        </w:rPr>
      </w:pPr>
    </w:p>
    <w:p w14:paraId="2201040C">
      <w:pPr>
        <w:spacing w:line="360" w:lineRule="exact"/>
        <w:ind w:firstLine="420" w:firstLineChars="200"/>
        <w:rPr>
          <w:color w:val="auto"/>
          <w:highlight w:val="none"/>
        </w:rPr>
      </w:pPr>
    </w:p>
    <w:p w14:paraId="17B01922">
      <w:pPr>
        <w:spacing w:line="360" w:lineRule="exact"/>
        <w:ind w:firstLine="420" w:firstLineChars="200"/>
        <w:rPr>
          <w:color w:val="auto"/>
          <w:highlight w:val="none"/>
        </w:rPr>
      </w:pPr>
    </w:p>
    <w:p w14:paraId="584184EF">
      <w:pPr>
        <w:spacing w:line="360" w:lineRule="exact"/>
        <w:ind w:firstLine="420" w:firstLineChars="200"/>
        <w:rPr>
          <w:color w:val="auto"/>
          <w:highlight w:val="none"/>
        </w:rPr>
      </w:pPr>
    </w:p>
    <w:p w14:paraId="051BC794">
      <w:pPr>
        <w:spacing w:line="360" w:lineRule="exact"/>
        <w:ind w:firstLine="420" w:firstLineChars="200"/>
        <w:rPr>
          <w:color w:val="auto"/>
          <w:highlight w:val="none"/>
        </w:rPr>
      </w:pPr>
    </w:p>
    <w:p w14:paraId="5FE839A2">
      <w:pPr>
        <w:spacing w:line="360" w:lineRule="exact"/>
        <w:ind w:firstLine="420" w:firstLineChars="200"/>
        <w:rPr>
          <w:color w:val="auto"/>
          <w:highlight w:val="none"/>
        </w:rPr>
      </w:pPr>
    </w:p>
    <w:p w14:paraId="4D06FEA2">
      <w:pPr>
        <w:spacing w:line="360" w:lineRule="exact"/>
        <w:ind w:firstLine="422" w:firstLineChars="200"/>
        <w:rPr>
          <w:b/>
          <w:color w:val="auto"/>
          <w:highlight w:val="none"/>
        </w:rPr>
      </w:pPr>
      <w:bookmarkStart w:id="74" w:name="_Toc277756914"/>
      <w:bookmarkStart w:id="75" w:name="_Toc239477934"/>
      <w:bookmarkStart w:id="76" w:name="_Toc368311503"/>
      <w:bookmarkStart w:id="77" w:name="_Toc222033899"/>
      <w:bookmarkStart w:id="78" w:name="_Toc222032717"/>
      <w:bookmarkStart w:id="79" w:name="_Toc221951653"/>
      <w:bookmarkStart w:id="80" w:name="_Toc222029548"/>
      <w:bookmarkStart w:id="81" w:name="_Toc222031050"/>
      <w:bookmarkStart w:id="82" w:name="_Toc229305407"/>
      <w:r>
        <w:rPr>
          <w:rFonts w:hint="eastAsia"/>
          <w:b/>
          <w:color w:val="auto"/>
          <w:highlight w:val="none"/>
        </w:rPr>
        <w:t>附件二：工程建设项目廉政责任书</w:t>
      </w:r>
    </w:p>
    <w:p w14:paraId="33C8C70B">
      <w:pPr>
        <w:spacing w:line="360" w:lineRule="exact"/>
        <w:ind w:firstLine="420" w:firstLineChars="200"/>
        <w:rPr>
          <w:color w:val="auto"/>
          <w:highlight w:val="none"/>
        </w:rPr>
      </w:pPr>
    </w:p>
    <w:p w14:paraId="3506A2E9">
      <w:pPr>
        <w:spacing w:line="400" w:lineRule="exact"/>
        <w:jc w:val="center"/>
        <w:rPr>
          <w:rFonts w:eastAsia="黑体"/>
          <w:color w:val="auto"/>
          <w:sz w:val="27"/>
          <w:szCs w:val="27"/>
          <w:highlight w:val="none"/>
        </w:rPr>
      </w:pPr>
      <w:r>
        <w:rPr>
          <w:rFonts w:hint="eastAsia" w:eastAsia="黑体"/>
          <w:color w:val="auto"/>
          <w:sz w:val="27"/>
          <w:szCs w:val="27"/>
          <w:highlight w:val="none"/>
        </w:rPr>
        <w:t xml:space="preserve"> 工程建设项目廉政责任书</w:t>
      </w:r>
      <w:bookmarkEnd w:id="74"/>
      <w:bookmarkEnd w:id="75"/>
      <w:bookmarkEnd w:id="76"/>
    </w:p>
    <w:p w14:paraId="001131C1">
      <w:pPr>
        <w:spacing w:line="360" w:lineRule="exact"/>
        <w:ind w:firstLine="420" w:firstLineChars="200"/>
        <w:rPr>
          <w:color w:val="auto"/>
          <w:highlight w:val="none"/>
        </w:rPr>
      </w:pPr>
    </w:p>
    <w:p w14:paraId="24B36A80">
      <w:pPr>
        <w:spacing w:line="400" w:lineRule="exact"/>
        <w:ind w:firstLine="420" w:firstLineChars="200"/>
        <w:rPr>
          <w:rFonts w:hint="eastAsia" w:eastAsia="宋体"/>
          <w:color w:val="auto"/>
          <w:highlight w:val="none"/>
          <w:u w:val="single"/>
          <w:lang w:eastAsia="zh-CN"/>
        </w:rPr>
      </w:pPr>
      <w:r>
        <w:rPr>
          <w:rFonts w:hint="eastAsia"/>
          <w:iCs/>
          <w:color w:val="auto"/>
          <w:highlight w:val="none"/>
        </w:rPr>
        <w:t>工程项目名称：</w:t>
      </w:r>
      <w:r>
        <w:rPr>
          <w:rFonts w:hint="eastAsia"/>
          <w:color w:val="auto"/>
          <w:highlight w:val="none"/>
          <w:u w:val="single"/>
          <w:lang w:eastAsia="zh-CN"/>
        </w:rPr>
        <w:t>椒江区梓杨河（山门村段）治理工程</w:t>
      </w:r>
    </w:p>
    <w:p w14:paraId="54618A79">
      <w:pPr>
        <w:spacing w:line="400" w:lineRule="exact"/>
        <w:ind w:firstLine="420" w:firstLineChars="200"/>
        <w:rPr>
          <w:rFonts w:hint="eastAsia" w:eastAsia="宋体"/>
          <w:color w:val="auto"/>
          <w:highlight w:val="none"/>
          <w:u w:val="single"/>
          <w:lang w:eastAsia="zh-CN"/>
        </w:rPr>
      </w:pPr>
      <w:r>
        <w:rPr>
          <w:rFonts w:hint="eastAsia"/>
          <w:iCs/>
          <w:color w:val="auto"/>
          <w:highlight w:val="none"/>
        </w:rPr>
        <w:t>工程项目地址：</w:t>
      </w:r>
      <w:r>
        <w:rPr>
          <w:rFonts w:hint="eastAsia"/>
          <w:color w:val="auto"/>
          <w:highlight w:val="none"/>
          <w:u w:val="single"/>
          <w:lang w:eastAsia="zh-CN"/>
        </w:rPr>
        <w:t>椒江区章安街道</w:t>
      </w:r>
    </w:p>
    <w:p w14:paraId="53BCEAC6">
      <w:pPr>
        <w:spacing w:line="400" w:lineRule="exact"/>
        <w:ind w:firstLine="420" w:firstLineChars="200"/>
        <w:rPr>
          <w:rFonts w:hint="eastAsia" w:eastAsia="宋体"/>
          <w:color w:val="auto"/>
          <w:highlight w:val="none"/>
          <w:u w:val="single"/>
          <w:lang w:eastAsia="zh-CN"/>
        </w:rPr>
      </w:pPr>
      <w:r>
        <w:rPr>
          <w:rFonts w:hint="eastAsia"/>
          <w:bCs/>
          <w:color w:val="auto"/>
          <w:highlight w:val="none"/>
        </w:rPr>
        <w:t>发包人</w:t>
      </w:r>
      <w:r>
        <w:rPr>
          <w:rFonts w:hint="eastAsia"/>
          <w:color w:val="auto"/>
          <w:highlight w:val="none"/>
        </w:rPr>
        <w:t>（甲方）</w:t>
      </w:r>
      <w:r>
        <w:rPr>
          <w:rFonts w:hint="eastAsia"/>
          <w:bCs/>
          <w:color w:val="auto"/>
          <w:highlight w:val="none"/>
        </w:rPr>
        <w:t>：</w:t>
      </w:r>
      <w:r>
        <w:rPr>
          <w:rFonts w:hint="eastAsia"/>
          <w:color w:val="auto"/>
          <w:highlight w:val="none"/>
          <w:u w:val="single"/>
          <w:lang w:eastAsia="zh-CN"/>
        </w:rPr>
        <w:t>台州市椒江区人民政府章安街道办事处</w:t>
      </w:r>
    </w:p>
    <w:p w14:paraId="78341A87">
      <w:pPr>
        <w:spacing w:line="400" w:lineRule="exact"/>
        <w:ind w:firstLine="420" w:firstLineChars="200"/>
        <w:rPr>
          <w:color w:val="auto"/>
          <w:highlight w:val="none"/>
        </w:rPr>
      </w:pPr>
      <w:r>
        <w:rPr>
          <w:rFonts w:hint="eastAsia"/>
          <w:bCs/>
          <w:color w:val="auto"/>
          <w:highlight w:val="none"/>
        </w:rPr>
        <w:t>承包人</w:t>
      </w:r>
      <w:r>
        <w:rPr>
          <w:rFonts w:hint="eastAsia"/>
          <w:color w:val="auto"/>
          <w:highlight w:val="none"/>
        </w:rPr>
        <w:t>（乙方）</w:t>
      </w:r>
      <w:r>
        <w:rPr>
          <w:rFonts w:hint="eastAsia"/>
          <w:bCs/>
          <w:color w:val="auto"/>
          <w:highlight w:val="none"/>
        </w:rPr>
        <w:t>：</w:t>
      </w:r>
      <w:r>
        <w:rPr>
          <w:rFonts w:hint="eastAsia"/>
          <w:bCs/>
          <w:color w:val="auto"/>
          <w:highlight w:val="none"/>
          <w:u w:val="single"/>
        </w:rPr>
        <w:t xml:space="preserve">                          </w:t>
      </w:r>
    </w:p>
    <w:p w14:paraId="052F46EE">
      <w:pPr>
        <w:spacing w:line="400" w:lineRule="exact"/>
        <w:ind w:firstLine="420" w:firstLineChars="200"/>
        <w:rPr>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F012620">
      <w:pPr>
        <w:spacing w:line="400" w:lineRule="exact"/>
        <w:ind w:firstLine="420" w:firstLineChars="200"/>
        <w:rPr>
          <w:color w:val="auto"/>
          <w:highlight w:val="none"/>
        </w:rPr>
      </w:pPr>
      <w:r>
        <w:rPr>
          <w:rFonts w:hint="eastAsia"/>
          <w:color w:val="auto"/>
          <w:highlight w:val="none"/>
        </w:rPr>
        <w:t>　　第一条 甲乙双方的责任</w:t>
      </w:r>
    </w:p>
    <w:p w14:paraId="59B9DF3A">
      <w:pPr>
        <w:spacing w:line="400" w:lineRule="exact"/>
        <w:ind w:firstLine="420" w:firstLineChars="200"/>
        <w:rPr>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14:paraId="424355F5">
      <w:pPr>
        <w:spacing w:line="400" w:lineRule="exact"/>
        <w:ind w:firstLine="420" w:firstLineChars="200"/>
        <w:rPr>
          <w:color w:val="auto"/>
          <w:highlight w:val="none"/>
        </w:rPr>
      </w:pPr>
      <w:r>
        <w:rPr>
          <w:rFonts w:hint="eastAsia"/>
          <w:color w:val="auto"/>
          <w:highlight w:val="none"/>
        </w:rPr>
        <w:t>　　（二）严格执行建设工程项目承发包合同文件，自觉按合同办事。</w:t>
      </w:r>
    </w:p>
    <w:p w14:paraId="3646A834">
      <w:pPr>
        <w:spacing w:line="400" w:lineRule="exact"/>
        <w:ind w:firstLine="420" w:firstLineChars="200"/>
        <w:rPr>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14:paraId="1297548B">
      <w:pPr>
        <w:spacing w:line="400" w:lineRule="exact"/>
        <w:ind w:firstLine="420" w:firstLineChars="200"/>
        <w:rPr>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14:paraId="1A1FF52F">
      <w:pPr>
        <w:spacing w:line="400" w:lineRule="exact"/>
        <w:ind w:firstLine="420" w:firstLineChars="200"/>
        <w:rPr>
          <w:color w:val="auto"/>
          <w:highlight w:val="none"/>
        </w:rPr>
      </w:pPr>
      <w:r>
        <w:rPr>
          <w:rFonts w:hint="eastAsia"/>
          <w:color w:val="auto"/>
          <w:highlight w:val="none"/>
        </w:rPr>
        <w:t>　　第二条 甲方的责任</w:t>
      </w:r>
    </w:p>
    <w:p w14:paraId="0959A5F1">
      <w:pPr>
        <w:spacing w:line="400" w:lineRule="exact"/>
        <w:ind w:firstLine="420" w:firstLineChars="200"/>
        <w:rPr>
          <w:color w:val="auto"/>
          <w:highlight w:val="none"/>
        </w:rPr>
      </w:pPr>
      <w:r>
        <w:rPr>
          <w:rFonts w:hint="eastAsia"/>
          <w:color w:val="auto"/>
          <w:highlight w:val="none"/>
        </w:rPr>
        <w:t>　　甲方的领导和从事该建设工程项目的工作人员，在工程建设的事前、事中、事后应遵守以下规定：</w:t>
      </w:r>
    </w:p>
    <w:p w14:paraId="549D2A58">
      <w:pPr>
        <w:spacing w:line="400" w:lineRule="exact"/>
        <w:ind w:firstLine="420" w:firstLineChars="200"/>
        <w:rPr>
          <w:color w:val="auto"/>
          <w:highlight w:val="none"/>
        </w:rPr>
      </w:pPr>
      <w:r>
        <w:rPr>
          <w:rFonts w:hint="eastAsia"/>
          <w:color w:val="auto"/>
          <w:highlight w:val="none"/>
        </w:rPr>
        <w:t>　　（一）不准向乙方和相关单位索要或接受回扣、礼金、有价证券、贵重物品和好处费、感谢费等。</w:t>
      </w:r>
    </w:p>
    <w:p w14:paraId="75B14DD8">
      <w:pPr>
        <w:spacing w:line="400" w:lineRule="exact"/>
        <w:ind w:firstLine="420" w:firstLineChars="200"/>
        <w:rPr>
          <w:color w:val="auto"/>
          <w:highlight w:val="none"/>
        </w:rPr>
      </w:pPr>
      <w:r>
        <w:rPr>
          <w:rFonts w:hint="eastAsia"/>
          <w:color w:val="auto"/>
          <w:highlight w:val="none"/>
        </w:rPr>
        <w:t>　　（二）不准在乙方和相关单位报销任何应由甲方或个人支付的费用。</w:t>
      </w:r>
    </w:p>
    <w:p w14:paraId="1098CE25">
      <w:pPr>
        <w:spacing w:line="400" w:lineRule="exact"/>
        <w:ind w:firstLine="420" w:firstLineChars="200"/>
        <w:rPr>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14:paraId="360F2A74">
      <w:pPr>
        <w:spacing w:line="400" w:lineRule="exact"/>
        <w:ind w:firstLine="420" w:firstLineChars="200"/>
        <w:rPr>
          <w:color w:val="auto"/>
          <w:highlight w:val="none"/>
        </w:rPr>
      </w:pPr>
      <w:r>
        <w:rPr>
          <w:rFonts w:hint="eastAsia"/>
          <w:color w:val="auto"/>
          <w:highlight w:val="none"/>
        </w:rPr>
        <w:t>　　（四）不准参加有可能影响公正执行公务的乙方和相关单位的宴请和健身、娱乐等活动。</w:t>
      </w:r>
    </w:p>
    <w:p w14:paraId="04D8ACA1">
      <w:pPr>
        <w:spacing w:line="400" w:lineRule="exact"/>
        <w:ind w:firstLine="420" w:firstLineChars="200"/>
        <w:rPr>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1725851">
      <w:pPr>
        <w:spacing w:line="400" w:lineRule="exact"/>
        <w:ind w:firstLine="420" w:firstLineChars="200"/>
        <w:rPr>
          <w:color w:val="auto"/>
          <w:highlight w:val="none"/>
        </w:rPr>
      </w:pPr>
      <w:r>
        <w:rPr>
          <w:rFonts w:hint="eastAsia"/>
          <w:color w:val="auto"/>
          <w:highlight w:val="none"/>
        </w:rPr>
        <w:t>　　第三条 乙方的责任</w:t>
      </w:r>
    </w:p>
    <w:p w14:paraId="2A610AAA">
      <w:pPr>
        <w:spacing w:line="400" w:lineRule="exact"/>
        <w:ind w:firstLine="420" w:firstLineChars="200"/>
        <w:rPr>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14:paraId="749F141D">
      <w:pPr>
        <w:spacing w:line="400" w:lineRule="exact"/>
        <w:ind w:firstLine="420" w:firstLineChars="200"/>
        <w:rPr>
          <w:color w:val="auto"/>
          <w:highlight w:val="none"/>
        </w:rPr>
      </w:pPr>
      <w:r>
        <w:rPr>
          <w:rFonts w:hint="eastAsia"/>
          <w:color w:val="auto"/>
          <w:highlight w:val="none"/>
        </w:rPr>
        <w:t>　　（一）不准以任何理由向甲方、相关单位及其工作人员索要、接受或赠送礼金、有价证券、贵重物品和回扣、好处费、感谢费等。</w:t>
      </w:r>
    </w:p>
    <w:p w14:paraId="486A79EB">
      <w:pPr>
        <w:spacing w:line="400" w:lineRule="exact"/>
        <w:ind w:firstLine="420" w:firstLineChars="200"/>
        <w:rPr>
          <w:color w:val="auto"/>
          <w:highlight w:val="none"/>
        </w:rPr>
      </w:pPr>
      <w:r>
        <w:rPr>
          <w:rFonts w:hint="eastAsia"/>
          <w:color w:val="auto"/>
          <w:highlight w:val="none"/>
        </w:rPr>
        <w:t>　　（二）不准以任何理由为甲方和相关单位报销应由对方或个人支付的费用。</w:t>
      </w:r>
    </w:p>
    <w:p w14:paraId="2668D22C">
      <w:pPr>
        <w:spacing w:line="400" w:lineRule="exact"/>
        <w:ind w:firstLine="420" w:firstLineChars="200"/>
        <w:rPr>
          <w:color w:val="auto"/>
          <w:highlight w:val="none"/>
        </w:rPr>
      </w:pPr>
      <w:r>
        <w:rPr>
          <w:rFonts w:hint="eastAsia"/>
          <w:color w:val="auto"/>
          <w:highlight w:val="none"/>
        </w:rPr>
        <w:t>　　（三）不准接受或暗示为甲方、相关单位或个人装修住房、婚丧嫁娶、配偶子女的工作安排以及出国（境）、旅游等提供方便。</w:t>
      </w:r>
    </w:p>
    <w:p w14:paraId="03CE2CB8">
      <w:pPr>
        <w:spacing w:line="400" w:lineRule="exact"/>
        <w:ind w:firstLine="420" w:firstLineChars="200"/>
        <w:rPr>
          <w:color w:val="auto"/>
          <w:highlight w:val="none"/>
        </w:rPr>
      </w:pPr>
      <w:r>
        <w:rPr>
          <w:rFonts w:hint="eastAsia"/>
          <w:color w:val="auto"/>
          <w:highlight w:val="none"/>
        </w:rPr>
        <w:t>　　（四）不准以任何理由为甲方、相关单位或个人组织有可能影响公正执行公务的宴请、健身、娱乐等活动。</w:t>
      </w:r>
    </w:p>
    <w:p w14:paraId="6236A3A3">
      <w:pPr>
        <w:spacing w:line="400" w:lineRule="exact"/>
        <w:ind w:firstLine="420" w:firstLineChars="200"/>
        <w:rPr>
          <w:color w:val="auto"/>
          <w:highlight w:val="none"/>
        </w:rPr>
      </w:pPr>
      <w:r>
        <w:rPr>
          <w:rFonts w:hint="eastAsia"/>
          <w:color w:val="auto"/>
          <w:highlight w:val="none"/>
        </w:rPr>
        <w:t>　　第四条 违约责任</w:t>
      </w:r>
    </w:p>
    <w:p w14:paraId="2755C6C5">
      <w:pPr>
        <w:spacing w:line="400" w:lineRule="exact"/>
        <w:ind w:firstLine="420" w:firstLineChars="200"/>
        <w:rPr>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B9B106C">
      <w:pPr>
        <w:spacing w:line="400" w:lineRule="exact"/>
        <w:ind w:firstLine="420" w:firstLineChars="200"/>
        <w:rPr>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3312ECD">
      <w:pPr>
        <w:spacing w:line="400" w:lineRule="exact"/>
        <w:ind w:firstLine="420" w:firstLineChars="200"/>
        <w:rPr>
          <w:color w:val="auto"/>
          <w:highlight w:val="none"/>
        </w:rPr>
      </w:pPr>
      <w:r>
        <w:rPr>
          <w:rFonts w:hint="eastAsia"/>
          <w:color w:val="auto"/>
          <w:highlight w:val="none"/>
        </w:rPr>
        <w:t>　　第五条 本责任书作为工程施工合同的附件，与工程施工合同具有同等法律效力。经双方签署后立即生效。</w:t>
      </w:r>
    </w:p>
    <w:p w14:paraId="0542250C">
      <w:pPr>
        <w:spacing w:line="400" w:lineRule="exact"/>
        <w:ind w:firstLine="420" w:firstLineChars="200"/>
        <w:rPr>
          <w:color w:val="auto"/>
          <w:highlight w:val="none"/>
        </w:rPr>
      </w:pPr>
      <w:r>
        <w:rPr>
          <w:rFonts w:hint="eastAsia"/>
          <w:color w:val="auto"/>
          <w:highlight w:val="none"/>
        </w:rPr>
        <w:t>　　第六条 本责任书的有效期为双方签署之日起至该工程项目竣工验收合格时止。</w:t>
      </w:r>
    </w:p>
    <w:p w14:paraId="111DE80F">
      <w:pPr>
        <w:spacing w:line="400" w:lineRule="exact"/>
        <w:ind w:firstLine="420" w:firstLineChars="200"/>
        <w:rPr>
          <w:color w:val="auto"/>
          <w:highlight w:val="none"/>
        </w:rPr>
      </w:pPr>
      <w:r>
        <w:rPr>
          <w:rFonts w:hint="eastAsia"/>
          <w:color w:val="auto"/>
          <w:highlight w:val="none"/>
        </w:rPr>
        <w:t>　　第七条 本责任书一式四份，由甲乙双方各执一份，送交甲乙双方的监督单位各一份。</w:t>
      </w:r>
    </w:p>
    <w:p w14:paraId="5F09B1E3">
      <w:pPr>
        <w:spacing w:line="400" w:lineRule="exact"/>
        <w:ind w:firstLine="420" w:firstLineChars="200"/>
        <w:rPr>
          <w:color w:val="auto"/>
          <w:highlight w:val="none"/>
        </w:rPr>
      </w:pPr>
    </w:p>
    <w:p w14:paraId="473F2B97">
      <w:pPr>
        <w:spacing w:line="400" w:lineRule="exact"/>
        <w:ind w:firstLine="420" w:firstLineChars="200"/>
        <w:rPr>
          <w:color w:val="auto"/>
          <w:highlight w:val="none"/>
        </w:rPr>
      </w:pPr>
    </w:p>
    <w:p w14:paraId="4170C85C">
      <w:pPr>
        <w:spacing w:line="400" w:lineRule="exact"/>
        <w:ind w:firstLine="420" w:firstLineChars="200"/>
        <w:rPr>
          <w:color w:val="auto"/>
          <w:highlight w:val="none"/>
        </w:rPr>
      </w:pPr>
    </w:p>
    <w:p w14:paraId="4CF6B5B8">
      <w:pPr>
        <w:spacing w:line="400" w:lineRule="exact"/>
        <w:ind w:firstLine="420" w:firstLineChars="200"/>
        <w:rPr>
          <w:color w:val="auto"/>
          <w:highlight w:val="none"/>
        </w:rPr>
      </w:pPr>
    </w:p>
    <w:p w14:paraId="4553AD88">
      <w:pPr>
        <w:spacing w:line="400" w:lineRule="exact"/>
        <w:ind w:firstLine="420" w:firstLineChars="200"/>
        <w:rPr>
          <w:color w:val="auto"/>
          <w:highlight w:val="none"/>
        </w:rPr>
      </w:pPr>
      <w:r>
        <w:rPr>
          <w:rFonts w:hint="eastAsia"/>
          <w:color w:val="auto"/>
          <w:highlight w:val="none"/>
        </w:rPr>
        <w:t>甲方单位：（盖章）                          乙方单位：（盖章）</w:t>
      </w:r>
    </w:p>
    <w:p w14:paraId="249CFAE1">
      <w:pPr>
        <w:spacing w:line="400" w:lineRule="exact"/>
        <w:ind w:firstLine="420" w:firstLineChars="200"/>
        <w:rPr>
          <w:color w:val="auto"/>
          <w:highlight w:val="none"/>
        </w:rPr>
      </w:pPr>
      <w:r>
        <w:rPr>
          <w:rFonts w:hint="eastAsia"/>
          <w:color w:val="auto"/>
          <w:highlight w:val="none"/>
        </w:rPr>
        <w:t xml:space="preserve">法定代表人或委托代理人：（签字）            法定代表人或委托代理人：（签字）    </w:t>
      </w:r>
    </w:p>
    <w:p w14:paraId="0DF2E320">
      <w:pPr>
        <w:spacing w:line="400" w:lineRule="exact"/>
        <w:ind w:firstLine="420" w:firstLineChars="200"/>
        <w:rPr>
          <w:color w:val="auto"/>
          <w:highlight w:val="none"/>
        </w:rPr>
      </w:pPr>
      <w:r>
        <w:rPr>
          <w:rFonts w:hint="eastAsia"/>
          <w:color w:val="auto"/>
          <w:highlight w:val="none"/>
        </w:rPr>
        <w:t>地址：                                     地址：</w:t>
      </w:r>
    </w:p>
    <w:p w14:paraId="469BE787">
      <w:pPr>
        <w:spacing w:line="400" w:lineRule="exact"/>
        <w:ind w:firstLine="420" w:firstLineChars="200"/>
        <w:rPr>
          <w:color w:val="auto"/>
          <w:highlight w:val="none"/>
        </w:rPr>
      </w:pPr>
      <w:r>
        <w:rPr>
          <w:rFonts w:hint="eastAsia"/>
          <w:color w:val="auto"/>
          <w:highlight w:val="none"/>
        </w:rPr>
        <w:t>电话：                                     电话：</w:t>
      </w:r>
    </w:p>
    <w:p w14:paraId="66950035">
      <w:pPr>
        <w:spacing w:line="360" w:lineRule="exact"/>
        <w:ind w:firstLine="420" w:firstLineChars="200"/>
        <w:rPr>
          <w:color w:val="auto"/>
          <w:highlight w:val="none"/>
        </w:rPr>
      </w:pPr>
    </w:p>
    <w:bookmarkEnd w:id="77"/>
    <w:bookmarkEnd w:id="78"/>
    <w:bookmarkEnd w:id="79"/>
    <w:bookmarkEnd w:id="80"/>
    <w:bookmarkEnd w:id="81"/>
    <w:bookmarkEnd w:id="82"/>
    <w:p w14:paraId="709BFD6D">
      <w:pPr>
        <w:spacing w:line="360" w:lineRule="exact"/>
        <w:ind w:firstLine="420" w:firstLineChars="200"/>
        <w:rPr>
          <w:color w:val="auto"/>
          <w:highlight w:val="none"/>
        </w:rPr>
      </w:pPr>
      <w:bookmarkStart w:id="83" w:name="_Toc222033904"/>
      <w:bookmarkStart w:id="84" w:name="_Toc221951883"/>
      <w:bookmarkStart w:id="85" w:name="_Toc222031055"/>
      <w:bookmarkStart w:id="86" w:name="_Toc222029553"/>
      <w:bookmarkStart w:id="87" w:name="_Toc222032722"/>
      <w:r>
        <w:rPr>
          <w:rFonts w:hint="eastAsia"/>
          <w:color w:val="auto"/>
          <w:highlight w:val="none"/>
        </w:rPr>
        <w:t xml:space="preserve"> </w:t>
      </w:r>
    </w:p>
    <w:bookmarkEnd w:id="83"/>
    <w:bookmarkEnd w:id="84"/>
    <w:bookmarkEnd w:id="85"/>
    <w:bookmarkEnd w:id="86"/>
    <w:bookmarkEnd w:id="87"/>
    <w:p w14:paraId="2326BC1B">
      <w:pPr>
        <w:spacing w:line="360" w:lineRule="exact"/>
        <w:ind w:firstLine="422" w:firstLineChars="200"/>
        <w:rPr>
          <w:b/>
          <w:bCs/>
          <w:color w:val="auto"/>
          <w:highlight w:val="none"/>
        </w:rPr>
      </w:pPr>
    </w:p>
    <w:p w14:paraId="3C90435D">
      <w:pPr>
        <w:pStyle w:val="4"/>
        <w:spacing w:line="360" w:lineRule="exact"/>
        <w:ind w:firstLine="600" w:firstLineChars="200"/>
        <w:jc w:val="center"/>
        <w:rPr>
          <w:b w:val="0"/>
          <w:color w:val="auto"/>
          <w:sz w:val="30"/>
          <w:szCs w:val="30"/>
          <w:highlight w:val="none"/>
        </w:rPr>
      </w:pPr>
      <w:r>
        <w:rPr>
          <w:b w:val="0"/>
          <w:color w:val="auto"/>
          <w:sz w:val="30"/>
          <w:szCs w:val="30"/>
          <w:highlight w:val="none"/>
        </w:rPr>
        <w:br w:type="page"/>
      </w:r>
      <w:r>
        <w:rPr>
          <w:b w:val="0"/>
          <w:color w:val="auto"/>
          <w:sz w:val="30"/>
          <w:szCs w:val="30"/>
          <w:highlight w:val="none"/>
        </w:rPr>
        <w:t>工程质量保修书</w:t>
      </w:r>
    </w:p>
    <w:p w14:paraId="4AB03326">
      <w:pPr>
        <w:spacing w:line="360" w:lineRule="exact"/>
        <w:ind w:firstLine="422" w:firstLineChars="200"/>
        <w:rPr>
          <w:b/>
          <w:bCs/>
          <w:color w:val="auto"/>
          <w:highlight w:val="none"/>
        </w:rPr>
      </w:pPr>
    </w:p>
    <w:p w14:paraId="45624328">
      <w:pPr>
        <w:spacing w:line="400" w:lineRule="exact"/>
        <w:ind w:firstLine="422" w:firstLineChars="200"/>
        <w:rPr>
          <w:rFonts w:hint="eastAsia" w:eastAsia="宋体"/>
          <w:color w:val="auto"/>
          <w:highlight w:val="none"/>
          <w:u w:val="single"/>
          <w:lang w:eastAsia="zh-CN"/>
        </w:rPr>
      </w:pPr>
      <w:r>
        <w:rPr>
          <w:rFonts w:hint="eastAsia"/>
          <w:b/>
          <w:bCs/>
          <w:color w:val="auto"/>
          <w:highlight w:val="none"/>
        </w:rPr>
        <w:t>发包人（全称）</w:t>
      </w:r>
      <w:r>
        <w:rPr>
          <w:rFonts w:hint="eastAsia"/>
          <w:bCs/>
          <w:color w:val="auto"/>
          <w:highlight w:val="none"/>
        </w:rPr>
        <w:t>：</w:t>
      </w:r>
      <w:r>
        <w:rPr>
          <w:rFonts w:hint="eastAsia"/>
          <w:bCs/>
          <w:color w:val="auto"/>
          <w:highlight w:val="none"/>
          <w:u w:val="single"/>
          <w:lang w:eastAsia="zh-CN"/>
        </w:rPr>
        <w:t>台州市椒江区人民政府章安街道办事处</w:t>
      </w:r>
    </w:p>
    <w:p w14:paraId="322DC7B0">
      <w:pPr>
        <w:spacing w:line="400" w:lineRule="exact"/>
        <w:ind w:firstLine="422" w:firstLineChars="200"/>
        <w:rPr>
          <w:b/>
          <w:color w:val="auto"/>
          <w:highlight w:val="none"/>
          <w:u w:val="single"/>
        </w:rPr>
      </w:pPr>
      <w:r>
        <w:rPr>
          <w:rFonts w:hint="eastAsia"/>
          <w:b/>
          <w:bCs/>
          <w:color w:val="auto"/>
          <w:highlight w:val="none"/>
        </w:rPr>
        <w:t>承包人（全称）：</w:t>
      </w:r>
      <w:r>
        <w:rPr>
          <w:rFonts w:hint="eastAsia"/>
          <w:b/>
          <w:color w:val="auto"/>
          <w:highlight w:val="none"/>
          <w:u w:val="single"/>
        </w:rPr>
        <w:t xml:space="preserve">                                    </w:t>
      </w:r>
    </w:p>
    <w:p w14:paraId="71254381">
      <w:pPr>
        <w:spacing w:line="400" w:lineRule="exact"/>
        <w:ind w:firstLine="422" w:firstLineChars="200"/>
        <w:rPr>
          <w:b/>
          <w:color w:val="auto"/>
          <w:highlight w:val="none"/>
        </w:rPr>
      </w:pPr>
      <w:r>
        <w:rPr>
          <w:rFonts w:hint="eastAsia"/>
          <w:b/>
          <w:color w:val="auto"/>
          <w:highlight w:val="none"/>
        </w:rPr>
        <w:t>为保证</w:t>
      </w:r>
      <w:r>
        <w:rPr>
          <w:rFonts w:hint="eastAsia"/>
          <w:b/>
          <w:color w:val="auto"/>
          <w:highlight w:val="none"/>
          <w:u w:val="single"/>
          <w:lang w:eastAsia="zh-CN"/>
        </w:rPr>
        <w:t>椒江区梓杨河（山门村段）治理工程</w:t>
      </w:r>
      <w:r>
        <w:rPr>
          <w:rFonts w:hint="eastAsia"/>
          <w:b/>
          <w:color w:val="auto"/>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14:paraId="244BEA50">
      <w:pPr>
        <w:spacing w:line="400" w:lineRule="exact"/>
        <w:ind w:firstLine="422" w:firstLineChars="200"/>
        <w:rPr>
          <w:b/>
          <w:color w:val="auto"/>
          <w:highlight w:val="none"/>
        </w:rPr>
      </w:pPr>
      <w:r>
        <w:rPr>
          <w:rFonts w:hint="eastAsia"/>
          <w:b/>
          <w:color w:val="auto"/>
          <w:highlight w:val="none"/>
        </w:rPr>
        <w:t>一．工程质量缺陷保修范围和内容</w:t>
      </w:r>
    </w:p>
    <w:p w14:paraId="59EFF90B">
      <w:pPr>
        <w:spacing w:line="400" w:lineRule="exact"/>
        <w:ind w:firstLine="420" w:firstLineChars="200"/>
        <w:rPr>
          <w:bCs/>
          <w:color w:val="auto"/>
          <w:highlight w:val="none"/>
          <w:u w:val="single"/>
        </w:rPr>
      </w:pPr>
      <w:r>
        <w:rPr>
          <w:rFonts w:hint="eastAsia"/>
          <w:bCs/>
          <w:color w:val="auto"/>
          <w:highlight w:val="none"/>
        </w:rPr>
        <w:t>质量缺陷保修范围包括本项目所有工程。</w:t>
      </w:r>
    </w:p>
    <w:p w14:paraId="08C97335">
      <w:pPr>
        <w:spacing w:line="400" w:lineRule="exact"/>
        <w:ind w:firstLine="422" w:firstLineChars="200"/>
        <w:rPr>
          <w:b/>
          <w:color w:val="auto"/>
          <w:highlight w:val="none"/>
        </w:rPr>
      </w:pPr>
      <w:r>
        <w:rPr>
          <w:rFonts w:hint="eastAsia"/>
          <w:b/>
          <w:color w:val="auto"/>
          <w:highlight w:val="none"/>
        </w:rPr>
        <w:t>二．质量保修期</w:t>
      </w:r>
    </w:p>
    <w:p w14:paraId="2BE1458C">
      <w:pPr>
        <w:spacing w:line="400" w:lineRule="exact"/>
        <w:ind w:firstLine="420" w:firstLineChars="200"/>
        <w:rPr>
          <w:bCs/>
          <w:color w:val="auto"/>
          <w:highlight w:val="none"/>
        </w:rPr>
      </w:pPr>
      <w:r>
        <w:rPr>
          <w:rFonts w:hint="eastAsia"/>
          <w:bCs/>
          <w:color w:val="auto"/>
          <w:highlight w:val="none"/>
        </w:rPr>
        <w:t>质量保修期从工程实际竣工之日算起。单位或单项竣工验收的工程，按单位或单项工程分别计算质量保修期。双方约定本工程质量保修期如下：</w:t>
      </w:r>
    </w:p>
    <w:p w14:paraId="0174DBFE">
      <w:pPr>
        <w:spacing w:line="400" w:lineRule="exact"/>
        <w:ind w:firstLine="420" w:firstLineChars="200"/>
        <w:rPr>
          <w:bCs/>
          <w:color w:val="auto"/>
          <w:highlight w:val="none"/>
        </w:rPr>
      </w:pPr>
      <w:r>
        <w:rPr>
          <w:rFonts w:hint="eastAsia"/>
          <w:bCs/>
          <w:color w:val="auto"/>
          <w:highlight w:val="none"/>
        </w:rPr>
        <w:t>1、地基基础工程、主体结构工程为设计文件规定的合理使用年限；</w:t>
      </w:r>
    </w:p>
    <w:p w14:paraId="6A5ADD3D">
      <w:pPr>
        <w:spacing w:line="400" w:lineRule="exact"/>
        <w:ind w:firstLine="420" w:firstLineChars="200"/>
        <w:rPr>
          <w:bCs/>
          <w:color w:val="auto"/>
          <w:highlight w:val="none"/>
        </w:rPr>
      </w:pPr>
      <w:r>
        <w:rPr>
          <w:rFonts w:hint="eastAsia"/>
          <w:bCs/>
          <w:color w:val="auto"/>
          <w:highlight w:val="none"/>
        </w:rPr>
        <w:t>2、屋面防水工程、有防水要求的卫生间、房间和外墙面的防渗漏工程为</w:t>
      </w:r>
      <w:r>
        <w:rPr>
          <w:rFonts w:hint="eastAsia"/>
          <w:bCs/>
          <w:color w:val="auto"/>
          <w:highlight w:val="none"/>
          <w:u w:val="single"/>
        </w:rPr>
        <w:t xml:space="preserve"> 5 </w:t>
      </w:r>
      <w:r>
        <w:rPr>
          <w:rFonts w:hint="eastAsia"/>
          <w:bCs/>
          <w:color w:val="auto"/>
          <w:highlight w:val="none"/>
        </w:rPr>
        <w:t>年；</w:t>
      </w:r>
    </w:p>
    <w:p w14:paraId="7BE08CA4">
      <w:pPr>
        <w:spacing w:line="400" w:lineRule="exact"/>
        <w:ind w:firstLine="420" w:firstLineChars="200"/>
        <w:rPr>
          <w:bCs/>
          <w:color w:val="auto"/>
          <w:highlight w:val="none"/>
        </w:rPr>
      </w:pPr>
      <w:r>
        <w:rPr>
          <w:rFonts w:hint="eastAsia"/>
          <w:bCs/>
          <w:color w:val="auto"/>
          <w:highlight w:val="none"/>
        </w:rPr>
        <w:t>3、给排水管道、电气管线、设备安装工程为</w:t>
      </w:r>
      <w:r>
        <w:rPr>
          <w:rFonts w:hint="eastAsia"/>
          <w:bCs/>
          <w:color w:val="auto"/>
          <w:highlight w:val="none"/>
          <w:u w:val="single"/>
        </w:rPr>
        <w:t xml:space="preserve"> 2 </w:t>
      </w:r>
      <w:r>
        <w:rPr>
          <w:rFonts w:hint="eastAsia"/>
          <w:bCs/>
          <w:color w:val="auto"/>
          <w:highlight w:val="none"/>
        </w:rPr>
        <w:t>年；</w:t>
      </w:r>
    </w:p>
    <w:p w14:paraId="0195B947">
      <w:pPr>
        <w:spacing w:line="400" w:lineRule="exact"/>
        <w:ind w:firstLine="420" w:firstLineChars="200"/>
        <w:rPr>
          <w:bCs/>
          <w:color w:val="auto"/>
          <w:highlight w:val="none"/>
        </w:rPr>
      </w:pPr>
      <w:r>
        <w:rPr>
          <w:rFonts w:hint="eastAsia"/>
          <w:bCs/>
          <w:color w:val="auto"/>
          <w:highlight w:val="none"/>
        </w:rPr>
        <w:t>4、供热和供冷系统工程为</w:t>
      </w:r>
      <w:r>
        <w:rPr>
          <w:rFonts w:hint="eastAsia"/>
          <w:bCs/>
          <w:color w:val="auto"/>
          <w:highlight w:val="none"/>
          <w:u w:val="single"/>
        </w:rPr>
        <w:t xml:space="preserve"> 2</w:t>
      </w:r>
      <w:r>
        <w:rPr>
          <w:rFonts w:hint="eastAsia"/>
          <w:bCs/>
          <w:color w:val="auto"/>
          <w:highlight w:val="none"/>
        </w:rPr>
        <w:t>个采暖期、供冷期；</w:t>
      </w:r>
    </w:p>
    <w:p w14:paraId="753874EF">
      <w:pPr>
        <w:spacing w:line="400" w:lineRule="exact"/>
        <w:ind w:firstLine="420" w:firstLineChars="200"/>
        <w:rPr>
          <w:bCs/>
          <w:color w:val="auto"/>
          <w:highlight w:val="none"/>
        </w:rPr>
      </w:pPr>
      <w:r>
        <w:rPr>
          <w:rFonts w:hint="eastAsia"/>
          <w:bCs/>
          <w:color w:val="auto"/>
          <w:highlight w:val="none"/>
        </w:rPr>
        <w:t>5、装饰装修工程为</w:t>
      </w:r>
      <w:r>
        <w:rPr>
          <w:rFonts w:hint="eastAsia"/>
          <w:bCs/>
          <w:color w:val="auto"/>
          <w:highlight w:val="none"/>
          <w:u w:val="single"/>
        </w:rPr>
        <w:t xml:space="preserve"> 2 </w:t>
      </w:r>
      <w:r>
        <w:rPr>
          <w:rFonts w:hint="eastAsia"/>
          <w:bCs/>
          <w:color w:val="auto"/>
          <w:highlight w:val="none"/>
        </w:rPr>
        <w:t>年；</w:t>
      </w:r>
    </w:p>
    <w:p w14:paraId="37419739">
      <w:pPr>
        <w:spacing w:line="400" w:lineRule="exact"/>
        <w:ind w:firstLine="420" w:firstLineChars="200"/>
        <w:rPr>
          <w:bCs/>
          <w:color w:val="auto"/>
          <w:highlight w:val="none"/>
        </w:rPr>
      </w:pPr>
      <w:r>
        <w:rPr>
          <w:rFonts w:hint="eastAsia"/>
          <w:bCs/>
          <w:color w:val="auto"/>
          <w:highlight w:val="none"/>
        </w:rPr>
        <w:t>6、给排水设施、道路等市政公用工程为</w:t>
      </w:r>
      <w:r>
        <w:rPr>
          <w:rFonts w:hint="eastAsia"/>
          <w:bCs/>
          <w:color w:val="auto"/>
          <w:highlight w:val="none"/>
          <w:u w:val="single"/>
        </w:rPr>
        <w:t xml:space="preserve">  1  </w:t>
      </w:r>
      <w:r>
        <w:rPr>
          <w:rFonts w:hint="eastAsia"/>
          <w:bCs/>
          <w:color w:val="auto"/>
          <w:highlight w:val="none"/>
        </w:rPr>
        <w:t>年；</w:t>
      </w:r>
    </w:p>
    <w:p w14:paraId="154822CA">
      <w:pPr>
        <w:spacing w:line="400" w:lineRule="exact"/>
        <w:ind w:firstLine="420" w:firstLineChars="200"/>
        <w:rPr>
          <w:b/>
          <w:color w:val="auto"/>
          <w:highlight w:val="none"/>
        </w:rPr>
      </w:pPr>
      <w:r>
        <w:rPr>
          <w:rFonts w:hint="eastAsia"/>
          <w:bCs/>
          <w:color w:val="auto"/>
          <w:highlight w:val="none"/>
        </w:rPr>
        <w:t>7、其他项目保修期约定：</w:t>
      </w:r>
      <w:r>
        <w:rPr>
          <w:rFonts w:hint="eastAsia"/>
          <w:bCs/>
          <w:color w:val="auto"/>
          <w:highlight w:val="none"/>
          <w:u w:val="single"/>
        </w:rPr>
        <w:t>本工程所有范围质量保修期约定为</w:t>
      </w:r>
      <w:r>
        <w:rPr>
          <w:rFonts w:hint="eastAsia"/>
          <w:bCs/>
          <w:color w:val="auto"/>
          <w:highlight w:val="none"/>
          <w:u w:val="single"/>
          <w:lang w:eastAsia="zh-CN"/>
        </w:rPr>
        <w:t>一</w:t>
      </w:r>
      <w:r>
        <w:rPr>
          <w:rFonts w:hint="eastAsia"/>
          <w:bCs/>
          <w:color w:val="auto"/>
          <w:highlight w:val="none"/>
          <w:u w:val="single"/>
        </w:rPr>
        <w:t>年</w:t>
      </w:r>
      <w:r>
        <w:rPr>
          <w:rFonts w:hint="eastAsia"/>
          <w:b/>
          <w:color w:val="auto"/>
          <w:highlight w:val="none"/>
        </w:rPr>
        <w:t xml:space="preserve">                                           </w:t>
      </w:r>
    </w:p>
    <w:p w14:paraId="7FF6A1D1">
      <w:pPr>
        <w:spacing w:line="400" w:lineRule="exact"/>
        <w:ind w:firstLine="422" w:firstLineChars="200"/>
        <w:rPr>
          <w:b/>
          <w:color w:val="auto"/>
          <w:highlight w:val="none"/>
        </w:rPr>
      </w:pPr>
      <w:r>
        <w:rPr>
          <w:rFonts w:hint="eastAsia"/>
          <w:b/>
          <w:color w:val="auto"/>
          <w:highlight w:val="none"/>
        </w:rPr>
        <w:t>三．质量保修责任</w:t>
      </w:r>
    </w:p>
    <w:p w14:paraId="75A86F57">
      <w:pPr>
        <w:spacing w:line="400" w:lineRule="exact"/>
        <w:ind w:firstLine="420" w:firstLineChars="200"/>
        <w:rPr>
          <w:bCs/>
          <w:color w:val="auto"/>
          <w:highlight w:val="none"/>
        </w:rPr>
      </w:pPr>
      <w:r>
        <w:rPr>
          <w:rFonts w:hint="eastAsia"/>
          <w:bCs/>
          <w:color w:val="auto"/>
          <w:highlight w:val="none"/>
        </w:rPr>
        <w:t>1、属于保修范围和内容的项目，承包人应在接到修理通知之日后7天内派人修理。承包人不在约定期限内派人修理，发包人可委托其他人员修理，保修费用从质量保修金内扣除。</w:t>
      </w:r>
    </w:p>
    <w:p w14:paraId="62000D86">
      <w:pPr>
        <w:spacing w:line="400" w:lineRule="exact"/>
        <w:ind w:firstLine="420" w:firstLineChars="200"/>
        <w:rPr>
          <w:bCs/>
          <w:color w:val="auto"/>
          <w:highlight w:val="none"/>
        </w:rPr>
      </w:pPr>
      <w:r>
        <w:rPr>
          <w:rFonts w:hint="eastAsia"/>
          <w:bCs/>
          <w:color w:val="auto"/>
          <w:highlight w:val="none"/>
        </w:rPr>
        <w:t>2．发生须紧急抢修事故（如上水跑水、暖气漏水漏气、燃气漏气等），承包人接到事故通知后，应立即到达事故现场抢修。非承包人施工质量引起的事故，抢修费用由发包人承担。</w:t>
      </w:r>
    </w:p>
    <w:p w14:paraId="6AEDAE5D">
      <w:pPr>
        <w:spacing w:line="400" w:lineRule="exact"/>
        <w:ind w:firstLine="420" w:firstLineChars="200"/>
        <w:rPr>
          <w:bCs/>
          <w:color w:val="auto"/>
          <w:highlight w:val="none"/>
        </w:rPr>
      </w:pPr>
      <w:r>
        <w:rPr>
          <w:rFonts w:hint="eastAsia"/>
          <w:bCs/>
          <w:color w:val="auto"/>
          <w:highlight w:val="none"/>
        </w:rPr>
        <w:t>3．在国家规定的工程合理使用期限内，承包人确保地基基础工程和主体结构的质量。因承包人原因致使工程在合理使用期限内造成人身和财产损害的，承包人应承担损害赔偿责任。</w:t>
      </w:r>
    </w:p>
    <w:p w14:paraId="6AE29506">
      <w:pPr>
        <w:spacing w:line="400" w:lineRule="exact"/>
        <w:ind w:firstLine="422" w:firstLineChars="200"/>
        <w:rPr>
          <w:b/>
          <w:color w:val="auto"/>
          <w:highlight w:val="none"/>
        </w:rPr>
      </w:pPr>
      <w:r>
        <w:rPr>
          <w:rFonts w:hint="eastAsia"/>
          <w:b/>
          <w:color w:val="auto"/>
          <w:highlight w:val="none"/>
        </w:rPr>
        <w:t>四．质量保证金的支付</w:t>
      </w:r>
    </w:p>
    <w:p w14:paraId="7DA6E9AF">
      <w:pPr>
        <w:spacing w:line="400" w:lineRule="exact"/>
        <w:ind w:firstLine="420" w:firstLineChars="200"/>
        <w:rPr>
          <w:bCs/>
          <w:color w:val="auto"/>
          <w:highlight w:val="none"/>
        </w:rPr>
      </w:pPr>
      <w:r>
        <w:rPr>
          <w:rFonts w:hint="eastAsia"/>
          <w:bCs/>
          <w:color w:val="auto"/>
          <w:highlight w:val="none"/>
        </w:rPr>
        <w:t xml:space="preserve">工程质量保证金按施工结算价款的 </w:t>
      </w:r>
      <w:r>
        <w:rPr>
          <w:rFonts w:hint="eastAsia"/>
          <w:bCs/>
          <w:color w:val="auto"/>
          <w:highlight w:val="none"/>
          <w:u w:val="single"/>
        </w:rPr>
        <w:t xml:space="preserve">  1.5  </w:t>
      </w:r>
      <w:r>
        <w:rPr>
          <w:rFonts w:hint="eastAsia"/>
          <w:bCs/>
          <w:color w:val="auto"/>
          <w:highlight w:val="none"/>
        </w:rPr>
        <w:t xml:space="preserve"> %计取。</w:t>
      </w:r>
    </w:p>
    <w:p w14:paraId="2E642D99">
      <w:pPr>
        <w:spacing w:line="400" w:lineRule="exact"/>
        <w:ind w:firstLine="420" w:firstLineChars="200"/>
        <w:rPr>
          <w:bCs/>
          <w:color w:val="auto"/>
          <w:highlight w:val="none"/>
        </w:rPr>
      </w:pPr>
      <w:r>
        <w:rPr>
          <w:rFonts w:hint="eastAsia"/>
          <w:bCs/>
          <w:color w:val="auto"/>
          <w:highlight w:val="none"/>
        </w:rPr>
        <w:t>本工程双方约定承包人向发包人支付工程质量保证金金额为：</w:t>
      </w:r>
    </w:p>
    <w:p w14:paraId="1591893B">
      <w:pPr>
        <w:spacing w:line="400" w:lineRule="exact"/>
        <w:ind w:firstLine="420" w:firstLineChars="200"/>
        <w:rPr>
          <w:bCs/>
          <w:color w:val="auto"/>
          <w:highlight w:val="none"/>
        </w:rPr>
      </w:pPr>
      <w:r>
        <w:rPr>
          <w:rFonts w:hint="eastAsia"/>
          <w:bCs/>
          <w:color w:val="auto"/>
          <w:highlight w:val="none"/>
        </w:rPr>
        <w:t>（大写）：</w:t>
      </w:r>
      <w:r>
        <w:rPr>
          <w:rFonts w:hint="eastAsia"/>
          <w:bCs/>
          <w:color w:val="auto"/>
          <w:highlight w:val="none"/>
          <w:u w:val="single"/>
        </w:rPr>
        <w:t xml:space="preserve">                                                    </w:t>
      </w:r>
      <w:r>
        <w:rPr>
          <w:rFonts w:hint="eastAsia"/>
          <w:bCs/>
          <w:color w:val="auto"/>
          <w:highlight w:val="none"/>
        </w:rPr>
        <w:t>（人民币）</w:t>
      </w:r>
    </w:p>
    <w:p w14:paraId="2F60A3A3">
      <w:pPr>
        <w:spacing w:line="400" w:lineRule="exact"/>
        <w:ind w:firstLine="420" w:firstLineChars="200"/>
        <w:rPr>
          <w:bCs/>
          <w:color w:val="auto"/>
          <w:highlight w:val="none"/>
        </w:rPr>
      </w:pPr>
      <w:r>
        <w:rPr>
          <w:rFonts w:hint="eastAsia"/>
          <w:bCs/>
          <w:color w:val="auto"/>
          <w:highlight w:val="none"/>
        </w:rPr>
        <w:t>（小写）：</w:t>
      </w:r>
      <w:r>
        <w:rPr>
          <w:rFonts w:hint="eastAsia"/>
          <w:bCs/>
          <w:color w:val="auto"/>
          <w:highlight w:val="none"/>
          <w:u w:val="single"/>
        </w:rPr>
        <w:t xml:space="preserve">                                                    </w:t>
      </w:r>
      <w:r>
        <w:rPr>
          <w:rFonts w:hint="eastAsia"/>
          <w:bCs/>
          <w:color w:val="auto"/>
          <w:highlight w:val="none"/>
        </w:rPr>
        <w:t>（人民币）</w:t>
      </w:r>
    </w:p>
    <w:p w14:paraId="74682612">
      <w:pPr>
        <w:spacing w:line="400" w:lineRule="exact"/>
        <w:ind w:firstLine="420" w:firstLineChars="200"/>
        <w:rPr>
          <w:color w:val="auto"/>
          <w:highlight w:val="none"/>
        </w:rPr>
      </w:pPr>
      <w:r>
        <w:rPr>
          <w:rFonts w:hint="eastAsia"/>
          <w:bCs/>
          <w:color w:val="auto"/>
          <w:highlight w:val="none"/>
        </w:rPr>
        <w:t>质量保修金银行利率为：</w:t>
      </w:r>
      <w:r>
        <w:rPr>
          <w:rFonts w:hint="eastAsia"/>
          <w:color w:val="auto"/>
          <w:highlight w:val="none"/>
          <w:u w:val="single"/>
        </w:rPr>
        <w:t xml:space="preserve">                                       </w:t>
      </w:r>
    </w:p>
    <w:p w14:paraId="58C1E947">
      <w:pPr>
        <w:spacing w:line="400" w:lineRule="exact"/>
        <w:ind w:firstLine="422" w:firstLineChars="200"/>
        <w:rPr>
          <w:b/>
          <w:color w:val="auto"/>
          <w:highlight w:val="none"/>
        </w:rPr>
      </w:pPr>
      <w:r>
        <w:rPr>
          <w:rFonts w:hint="eastAsia"/>
          <w:b/>
          <w:color w:val="auto"/>
          <w:highlight w:val="none"/>
        </w:rPr>
        <w:t>五．质量保证金的预留和返还</w:t>
      </w:r>
    </w:p>
    <w:p w14:paraId="08A94FB9">
      <w:pPr>
        <w:spacing w:line="400" w:lineRule="exact"/>
        <w:ind w:firstLine="420" w:firstLineChars="200"/>
        <w:rPr>
          <w:bCs/>
          <w:color w:val="auto"/>
          <w:highlight w:val="none"/>
        </w:rPr>
      </w:pPr>
      <w:r>
        <w:rPr>
          <w:rFonts w:hint="eastAsia"/>
          <w:bCs/>
          <w:color w:val="auto"/>
          <w:highlight w:val="none"/>
        </w:rPr>
        <w:t>本工程竣工结算后，发包人按照合同约定向承包人支付工程结算价款并预留保修金。承包人可按下列第</w:t>
      </w:r>
      <w:r>
        <w:rPr>
          <w:rFonts w:hint="eastAsia"/>
          <w:bCs/>
          <w:color w:val="auto"/>
          <w:highlight w:val="none"/>
          <w:u w:val="single"/>
        </w:rPr>
        <w:t xml:space="preserve">  3  </w:t>
      </w:r>
      <w:r>
        <w:rPr>
          <w:rFonts w:hint="eastAsia"/>
          <w:bCs/>
          <w:color w:val="auto"/>
          <w:highlight w:val="none"/>
        </w:rPr>
        <w:t>种情况向发包人申请返还保修金。</w:t>
      </w:r>
    </w:p>
    <w:p w14:paraId="567453CC">
      <w:pPr>
        <w:spacing w:line="400" w:lineRule="exact"/>
        <w:ind w:firstLine="420" w:firstLineChars="200"/>
        <w:rPr>
          <w:bCs/>
          <w:color w:val="auto"/>
          <w:highlight w:val="none"/>
        </w:rPr>
      </w:pPr>
      <w:r>
        <w:rPr>
          <w:rFonts w:hint="eastAsia"/>
          <w:bCs/>
          <w:color w:val="auto"/>
          <w:highlight w:val="none"/>
        </w:rPr>
        <w:t>1．建筑工程：工程实际竣工验收合格后满两年可申请返还全部保修金。</w:t>
      </w:r>
    </w:p>
    <w:p w14:paraId="60FC43D7">
      <w:pPr>
        <w:spacing w:line="400" w:lineRule="exact"/>
        <w:ind w:firstLine="420" w:firstLineChars="200"/>
        <w:rPr>
          <w:bCs/>
          <w:color w:val="auto"/>
          <w:highlight w:val="none"/>
        </w:rPr>
      </w:pPr>
      <w:r>
        <w:rPr>
          <w:rFonts w:hint="eastAsia"/>
          <w:bCs/>
          <w:color w:val="auto"/>
          <w:highlight w:val="none"/>
        </w:rPr>
        <w:t>2．市政工程：工程实际竣工验收合格后满一年可申请返还全部保修金。</w:t>
      </w:r>
    </w:p>
    <w:p w14:paraId="708527D1">
      <w:pPr>
        <w:spacing w:line="400" w:lineRule="exact"/>
        <w:ind w:firstLine="420" w:firstLineChars="200"/>
        <w:rPr>
          <w:bCs/>
          <w:color w:val="auto"/>
          <w:highlight w:val="none"/>
          <w:u w:val="single"/>
        </w:rPr>
      </w:pPr>
      <w:r>
        <w:rPr>
          <w:rFonts w:hint="eastAsia"/>
          <w:bCs/>
          <w:color w:val="auto"/>
          <w:highlight w:val="none"/>
        </w:rPr>
        <w:t>3：其它：</w:t>
      </w:r>
      <w:r>
        <w:rPr>
          <w:rFonts w:hint="eastAsia"/>
          <w:bCs/>
          <w:color w:val="auto"/>
          <w:highlight w:val="none"/>
          <w:u w:val="single"/>
        </w:rPr>
        <w:t>工程实际竣工验收合格后满</w:t>
      </w:r>
      <w:r>
        <w:rPr>
          <w:rFonts w:hint="eastAsia"/>
          <w:bCs/>
          <w:color w:val="auto"/>
          <w:highlight w:val="none"/>
          <w:u w:val="single"/>
          <w:lang w:eastAsia="zh-CN"/>
        </w:rPr>
        <w:t>一</w:t>
      </w:r>
      <w:r>
        <w:rPr>
          <w:rFonts w:hint="eastAsia"/>
          <w:bCs/>
          <w:color w:val="auto"/>
          <w:highlight w:val="none"/>
          <w:u w:val="single"/>
        </w:rPr>
        <w:t>年可申请返还全部保修金。</w:t>
      </w:r>
    </w:p>
    <w:p w14:paraId="6B1BE3F1">
      <w:pPr>
        <w:spacing w:line="400" w:lineRule="exact"/>
        <w:ind w:firstLine="420" w:firstLineChars="200"/>
        <w:rPr>
          <w:bCs/>
          <w:color w:val="auto"/>
          <w:highlight w:val="none"/>
        </w:rPr>
      </w:pPr>
      <w:r>
        <w:rPr>
          <w:rFonts w:hint="eastAsia"/>
          <w:bCs/>
          <w:color w:val="auto"/>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bCs/>
          <w:color w:val="auto"/>
          <w:highlight w:val="none"/>
          <w:u w:val="single"/>
        </w:rPr>
        <w:t xml:space="preserve">                </w:t>
      </w:r>
      <w:r>
        <w:rPr>
          <w:rFonts w:hint="eastAsia"/>
          <w:bCs/>
          <w:color w:val="auto"/>
          <w:highlight w:val="none"/>
        </w:rPr>
        <w:t>（人民币）</w:t>
      </w:r>
      <w:r>
        <w:rPr>
          <w:bCs/>
          <w:color w:val="auto"/>
          <w:highlight w:val="none"/>
        </w:rPr>
        <w:t>。发包人在接到承包人</w:t>
      </w:r>
      <w:r>
        <w:rPr>
          <w:rFonts w:hint="eastAsia"/>
          <w:bCs/>
          <w:color w:val="auto"/>
          <w:highlight w:val="none"/>
        </w:rPr>
        <w:t>分时段</w:t>
      </w:r>
      <w:r>
        <w:rPr>
          <w:bCs/>
          <w:color w:val="auto"/>
          <w:highlight w:val="none"/>
        </w:rPr>
        <w:t>返还质量保证金申请后14日内不予答复，经催告后14日内仍不予答复，视同认可承包人返还质量保证金申请。</w:t>
      </w:r>
    </w:p>
    <w:p w14:paraId="08ED70BF">
      <w:pPr>
        <w:spacing w:line="400" w:lineRule="exact"/>
        <w:ind w:firstLine="422" w:firstLineChars="200"/>
        <w:rPr>
          <w:b/>
          <w:color w:val="auto"/>
          <w:highlight w:val="none"/>
        </w:rPr>
      </w:pPr>
      <w:r>
        <w:rPr>
          <w:rFonts w:hint="eastAsia"/>
          <w:b/>
          <w:color w:val="auto"/>
          <w:highlight w:val="none"/>
        </w:rPr>
        <w:t>六．</w:t>
      </w:r>
      <w:r>
        <w:rPr>
          <w:b/>
          <w:color w:val="auto"/>
          <w:highlight w:val="none"/>
        </w:rPr>
        <w:t>争议</w:t>
      </w:r>
    </w:p>
    <w:p w14:paraId="274FAA6F">
      <w:pPr>
        <w:spacing w:line="400" w:lineRule="exact"/>
        <w:ind w:firstLine="420" w:firstLineChars="200"/>
        <w:rPr>
          <w:bCs/>
          <w:color w:val="auto"/>
          <w:highlight w:val="none"/>
        </w:rPr>
      </w:pPr>
      <w:r>
        <w:rPr>
          <w:bCs/>
          <w:color w:val="auto"/>
          <w:highlight w:val="none"/>
        </w:rPr>
        <w:t>发包人和</w:t>
      </w:r>
      <w:r>
        <w:rPr>
          <w:rFonts w:hint="eastAsia"/>
          <w:bCs/>
          <w:color w:val="auto"/>
          <w:highlight w:val="none"/>
        </w:rPr>
        <w:t>承</w:t>
      </w:r>
      <w:r>
        <w:rPr>
          <w:bCs/>
          <w:color w:val="auto"/>
          <w:highlight w:val="none"/>
        </w:rPr>
        <w:t>包人对</w:t>
      </w:r>
      <w:r>
        <w:rPr>
          <w:rFonts w:hint="eastAsia"/>
          <w:bCs/>
          <w:color w:val="auto"/>
          <w:highlight w:val="none"/>
        </w:rPr>
        <w:t>质量保证金</w:t>
      </w:r>
      <w:r>
        <w:rPr>
          <w:bCs/>
          <w:color w:val="auto"/>
          <w:highlight w:val="none"/>
        </w:rPr>
        <w:t>预留、返还以及工程维修质量、费用有争议，</w:t>
      </w:r>
      <w:r>
        <w:rPr>
          <w:rFonts w:hint="eastAsia"/>
          <w:bCs/>
          <w:color w:val="auto"/>
          <w:highlight w:val="none"/>
        </w:rPr>
        <w:t>协商达不成一致时，按本合同约</w:t>
      </w:r>
      <w:r>
        <w:rPr>
          <w:bCs/>
          <w:color w:val="auto"/>
          <w:highlight w:val="none"/>
        </w:rPr>
        <w:t>定的争议解决处理。</w:t>
      </w:r>
    </w:p>
    <w:p w14:paraId="239FF5A3">
      <w:pPr>
        <w:spacing w:line="400" w:lineRule="exact"/>
        <w:ind w:firstLine="422" w:firstLineChars="200"/>
        <w:rPr>
          <w:b/>
          <w:color w:val="auto"/>
          <w:highlight w:val="none"/>
        </w:rPr>
      </w:pPr>
      <w:r>
        <w:rPr>
          <w:rFonts w:hint="eastAsia"/>
          <w:b/>
          <w:color w:val="auto"/>
          <w:highlight w:val="none"/>
        </w:rPr>
        <w:t>七．其他</w:t>
      </w:r>
    </w:p>
    <w:p w14:paraId="79134854">
      <w:pPr>
        <w:spacing w:line="400" w:lineRule="exact"/>
        <w:ind w:firstLine="420" w:firstLineChars="200"/>
        <w:rPr>
          <w:bCs/>
          <w:color w:val="auto"/>
          <w:highlight w:val="none"/>
          <w:u w:val="single"/>
        </w:rPr>
      </w:pPr>
      <w:r>
        <w:rPr>
          <w:rFonts w:hint="eastAsia"/>
          <w:bCs/>
          <w:color w:val="auto"/>
          <w:highlight w:val="none"/>
        </w:rPr>
        <w:t>双方约定的其他工程质量缺陷保修事项：</w:t>
      </w:r>
      <w:r>
        <w:rPr>
          <w:rFonts w:hint="eastAsia"/>
          <w:bCs/>
          <w:color w:val="auto"/>
          <w:highlight w:val="none"/>
          <w:u w:val="single"/>
        </w:rPr>
        <w:t xml:space="preserve">                                         </w:t>
      </w:r>
    </w:p>
    <w:p w14:paraId="6B90291A">
      <w:pPr>
        <w:spacing w:line="400" w:lineRule="exact"/>
        <w:ind w:firstLine="420" w:firstLineChars="200"/>
        <w:rPr>
          <w:color w:val="auto"/>
          <w:highlight w:val="none"/>
          <w:u w:val="single"/>
        </w:rPr>
      </w:pPr>
      <w:r>
        <w:rPr>
          <w:rFonts w:hint="eastAsia"/>
          <w:color w:val="auto"/>
          <w:highlight w:val="none"/>
          <w:u w:val="single"/>
        </w:rPr>
        <w:t xml:space="preserve">                                                                           </w:t>
      </w:r>
    </w:p>
    <w:p w14:paraId="46C242BC">
      <w:pPr>
        <w:spacing w:line="400" w:lineRule="exact"/>
        <w:ind w:firstLine="420" w:firstLineChars="200"/>
        <w:rPr>
          <w:color w:val="auto"/>
          <w:highlight w:val="none"/>
          <w:u w:val="single"/>
        </w:rPr>
      </w:pPr>
      <w:r>
        <w:rPr>
          <w:rFonts w:hint="eastAsia"/>
          <w:color w:val="auto"/>
          <w:highlight w:val="none"/>
          <w:u w:val="single"/>
        </w:rPr>
        <w:t xml:space="preserve">                                                                              </w:t>
      </w:r>
    </w:p>
    <w:p w14:paraId="044B122B">
      <w:pPr>
        <w:spacing w:line="400" w:lineRule="exact"/>
        <w:ind w:firstLine="420" w:firstLineChars="200"/>
        <w:rPr>
          <w:bCs/>
          <w:color w:val="auto"/>
          <w:highlight w:val="none"/>
        </w:rPr>
      </w:pPr>
      <w:r>
        <w:rPr>
          <w:rFonts w:hint="eastAsia"/>
          <w:color w:val="auto"/>
          <w:highlight w:val="none"/>
        </w:rPr>
        <w:t xml:space="preserve">    </w:t>
      </w:r>
      <w:r>
        <w:rPr>
          <w:rFonts w:hint="eastAsia"/>
          <w:bCs/>
          <w:color w:val="auto"/>
          <w:highlight w:val="none"/>
        </w:rPr>
        <w:t>本工程质量保修书作为施工合同附件，由施工合同发包人承包人双方共同签署。</w:t>
      </w:r>
    </w:p>
    <w:p w14:paraId="31E49C98">
      <w:pPr>
        <w:spacing w:line="360" w:lineRule="exact"/>
        <w:ind w:firstLine="420" w:firstLineChars="200"/>
        <w:rPr>
          <w:bCs/>
          <w:color w:val="auto"/>
          <w:highlight w:val="none"/>
        </w:rPr>
      </w:pPr>
    </w:p>
    <w:p w14:paraId="3E7B9281">
      <w:pPr>
        <w:spacing w:line="360" w:lineRule="exact"/>
        <w:ind w:firstLine="420" w:firstLineChars="200"/>
        <w:rPr>
          <w:bCs/>
          <w:color w:val="auto"/>
          <w:highlight w:val="none"/>
        </w:rPr>
      </w:pPr>
    </w:p>
    <w:p w14:paraId="2366DDA7">
      <w:pPr>
        <w:spacing w:line="360" w:lineRule="exact"/>
        <w:ind w:firstLine="420" w:firstLineChars="200"/>
        <w:rPr>
          <w:bCs/>
          <w:color w:val="auto"/>
          <w:highlight w:val="none"/>
        </w:rPr>
      </w:pPr>
    </w:p>
    <w:p w14:paraId="57030BDE">
      <w:pPr>
        <w:spacing w:line="360" w:lineRule="exact"/>
        <w:ind w:firstLine="420" w:firstLineChars="200"/>
        <w:rPr>
          <w:bCs/>
          <w:color w:val="auto"/>
          <w:highlight w:val="none"/>
        </w:rPr>
      </w:pPr>
      <w:r>
        <w:rPr>
          <w:rFonts w:hint="eastAsia"/>
          <w:bCs/>
          <w:color w:val="auto"/>
          <w:highlight w:val="none"/>
        </w:rPr>
        <w:t>发包人（公章或合同专用章）：             承包人（公章或合同专用章）：</w:t>
      </w:r>
    </w:p>
    <w:p w14:paraId="5F828F62">
      <w:pPr>
        <w:spacing w:line="360" w:lineRule="exact"/>
        <w:ind w:firstLine="420" w:firstLineChars="200"/>
        <w:rPr>
          <w:bCs/>
          <w:color w:val="auto"/>
          <w:highlight w:val="none"/>
        </w:rPr>
      </w:pPr>
    </w:p>
    <w:p w14:paraId="545FED0D">
      <w:pPr>
        <w:spacing w:line="360" w:lineRule="exact"/>
        <w:ind w:firstLine="420" w:firstLineChars="200"/>
        <w:rPr>
          <w:bCs/>
          <w:color w:val="auto"/>
          <w:highlight w:val="none"/>
        </w:rPr>
      </w:pPr>
      <w:r>
        <w:rPr>
          <w:rFonts w:hint="eastAsia"/>
          <w:bCs/>
          <w:color w:val="auto"/>
          <w:highlight w:val="none"/>
        </w:rPr>
        <w:t>法定代表人或委托代理人（签字）：         法定代表人或委托代理人（签字）：</w:t>
      </w:r>
    </w:p>
    <w:p w14:paraId="6ABE34F7">
      <w:pPr>
        <w:spacing w:line="360" w:lineRule="exact"/>
        <w:ind w:firstLine="420" w:firstLineChars="200"/>
        <w:rPr>
          <w:bCs/>
          <w:color w:val="auto"/>
          <w:highlight w:val="none"/>
        </w:rPr>
      </w:pPr>
    </w:p>
    <w:p w14:paraId="6D8876AC">
      <w:pPr>
        <w:pStyle w:val="4"/>
        <w:snapToGrid w:val="0"/>
        <w:spacing w:line="480" w:lineRule="auto"/>
        <w:rPr>
          <w:rStyle w:val="35"/>
          <w:rFonts w:ascii="宋体" w:hAnsi="宋体" w:eastAsia="宋体"/>
          <w:b w:val="0"/>
          <w:color w:val="auto"/>
          <w:highlight w:val="none"/>
        </w:rPr>
      </w:pPr>
      <w:r>
        <w:rPr>
          <w:rFonts w:hint="eastAsia"/>
          <w:b w:val="0"/>
          <w:bCs w:val="0"/>
          <w:color w:val="auto"/>
          <w:sz w:val="24"/>
          <w:szCs w:val="24"/>
          <w:highlight w:val="none"/>
          <w:u w:val="single"/>
        </w:rPr>
        <w:t xml:space="preserve">       </w:t>
      </w:r>
      <w:r>
        <w:rPr>
          <w:rFonts w:hint="eastAsia"/>
          <w:b w:val="0"/>
          <w:bCs w:val="0"/>
          <w:color w:val="auto"/>
          <w:sz w:val="24"/>
          <w:szCs w:val="24"/>
          <w:highlight w:val="none"/>
        </w:rPr>
        <w:t>年</w:t>
      </w:r>
      <w:r>
        <w:rPr>
          <w:rFonts w:hint="eastAsia"/>
          <w:b w:val="0"/>
          <w:bCs w:val="0"/>
          <w:color w:val="auto"/>
          <w:sz w:val="24"/>
          <w:szCs w:val="24"/>
          <w:highlight w:val="none"/>
          <w:u w:val="single"/>
        </w:rPr>
        <w:t xml:space="preserve">      </w:t>
      </w:r>
      <w:r>
        <w:rPr>
          <w:rFonts w:hint="eastAsia"/>
          <w:b w:val="0"/>
          <w:bCs w:val="0"/>
          <w:color w:val="auto"/>
          <w:sz w:val="24"/>
          <w:szCs w:val="24"/>
          <w:highlight w:val="none"/>
        </w:rPr>
        <w:t>月</w:t>
      </w:r>
      <w:r>
        <w:rPr>
          <w:rFonts w:hint="eastAsia"/>
          <w:b w:val="0"/>
          <w:bCs w:val="0"/>
          <w:color w:val="auto"/>
          <w:sz w:val="24"/>
          <w:szCs w:val="24"/>
          <w:highlight w:val="none"/>
          <w:u w:val="single"/>
        </w:rPr>
        <w:t xml:space="preserve">      </w:t>
      </w:r>
      <w:r>
        <w:rPr>
          <w:rFonts w:hint="eastAsia"/>
          <w:b w:val="0"/>
          <w:bCs w:val="0"/>
          <w:color w:val="auto"/>
          <w:sz w:val="24"/>
          <w:szCs w:val="24"/>
          <w:highlight w:val="none"/>
        </w:rPr>
        <w:t xml:space="preserve">日                </w:t>
      </w:r>
      <w:r>
        <w:rPr>
          <w:rFonts w:hint="eastAsia"/>
          <w:b w:val="0"/>
          <w:bCs w:val="0"/>
          <w:color w:val="auto"/>
          <w:sz w:val="24"/>
          <w:szCs w:val="24"/>
          <w:highlight w:val="none"/>
          <w:u w:val="single"/>
        </w:rPr>
        <w:t xml:space="preserve">         </w:t>
      </w:r>
      <w:r>
        <w:rPr>
          <w:rFonts w:hint="eastAsia"/>
          <w:b w:val="0"/>
          <w:bCs w:val="0"/>
          <w:color w:val="auto"/>
          <w:sz w:val="24"/>
          <w:szCs w:val="24"/>
          <w:highlight w:val="none"/>
        </w:rPr>
        <w:t>年</w:t>
      </w:r>
      <w:r>
        <w:rPr>
          <w:rFonts w:hint="eastAsia"/>
          <w:b w:val="0"/>
          <w:bCs w:val="0"/>
          <w:color w:val="auto"/>
          <w:sz w:val="24"/>
          <w:szCs w:val="24"/>
          <w:highlight w:val="none"/>
          <w:u w:val="single"/>
        </w:rPr>
        <w:t xml:space="preserve">      </w:t>
      </w:r>
      <w:r>
        <w:rPr>
          <w:rFonts w:hint="eastAsia"/>
          <w:b w:val="0"/>
          <w:bCs w:val="0"/>
          <w:color w:val="auto"/>
          <w:sz w:val="24"/>
          <w:szCs w:val="24"/>
          <w:highlight w:val="none"/>
        </w:rPr>
        <w:t>月</w:t>
      </w:r>
      <w:r>
        <w:rPr>
          <w:rFonts w:hint="eastAsia"/>
          <w:b w:val="0"/>
          <w:bCs w:val="0"/>
          <w:color w:val="auto"/>
          <w:sz w:val="24"/>
          <w:szCs w:val="24"/>
          <w:highlight w:val="none"/>
          <w:u w:val="single"/>
        </w:rPr>
        <w:t xml:space="preserve">      </w:t>
      </w:r>
      <w:r>
        <w:rPr>
          <w:rFonts w:hint="eastAsia"/>
          <w:b w:val="0"/>
          <w:bCs w:val="0"/>
          <w:color w:val="auto"/>
          <w:sz w:val="24"/>
          <w:szCs w:val="24"/>
          <w:highlight w:val="none"/>
        </w:rPr>
        <w:t>日</w:t>
      </w:r>
      <w:bookmarkEnd w:id="43"/>
      <w:bookmarkEnd w:id="44"/>
      <w:bookmarkEnd w:id="45"/>
      <w:bookmarkEnd w:id="46"/>
      <w:bookmarkEnd w:id="47"/>
      <w:bookmarkEnd w:id="48"/>
      <w:bookmarkEnd w:id="49"/>
      <w:bookmarkEnd w:id="50"/>
      <w:bookmarkEnd w:id="51"/>
      <w:r>
        <w:rPr>
          <w:color w:val="auto"/>
          <w:szCs w:val="24"/>
          <w:highlight w:val="none"/>
        </w:rPr>
        <w:br w:type="page"/>
      </w:r>
      <w:bookmarkStart w:id="88" w:name="_Toc426321899"/>
      <w:r>
        <w:rPr>
          <w:rStyle w:val="35"/>
          <w:rFonts w:ascii="宋体" w:hAnsi="宋体" w:eastAsia="宋体"/>
          <w:b w:val="0"/>
          <w:color w:val="auto"/>
          <w:highlight w:val="none"/>
        </w:rPr>
        <w:t>附件</w:t>
      </w:r>
      <w:r>
        <w:rPr>
          <w:rStyle w:val="35"/>
          <w:rFonts w:hint="eastAsia" w:ascii="宋体" w:hAnsi="宋体" w:eastAsia="宋体"/>
          <w:b w:val="0"/>
          <w:color w:val="auto"/>
          <w:highlight w:val="none"/>
        </w:rPr>
        <w:t>三</w:t>
      </w:r>
      <w:r>
        <w:rPr>
          <w:rStyle w:val="35"/>
          <w:rFonts w:ascii="宋体" w:hAnsi="宋体" w:eastAsia="宋体"/>
          <w:b w:val="0"/>
          <w:color w:val="auto"/>
          <w:highlight w:val="none"/>
        </w:rPr>
        <w:t xml:space="preserve">  安全生产协议书</w:t>
      </w:r>
      <w:bookmarkEnd w:id="88"/>
    </w:p>
    <w:p w14:paraId="4C774FB6">
      <w:pPr>
        <w:pStyle w:val="14"/>
        <w:adjustRightInd w:val="0"/>
        <w:snapToGrid w:val="0"/>
        <w:spacing w:line="480" w:lineRule="auto"/>
        <w:ind w:firstLine="240"/>
        <w:jc w:val="center"/>
        <w:rPr>
          <w:rFonts w:ascii="Times New Roman" w:hAnsi="Times New Roman"/>
          <w:b/>
          <w:bCs/>
          <w:snapToGrid w:val="0"/>
          <w:color w:val="auto"/>
          <w:kern w:val="0"/>
          <w:sz w:val="24"/>
          <w:highlight w:val="none"/>
        </w:rPr>
      </w:pPr>
      <w:r>
        <w:rPr>
          <w:rFonts w:ascii="Times New Roman" w:hAnsi="Times New Roman"/>
          <w:snapToGrid w:val="0"/>
          <w:color w:val="auto"/>
          <w:kern w:val="0"/>
          <w:sz w:val="24"/>
          <w:highlight w:val="none"/>
        </w:rPr>
        <w:t>（本格式为安全生产协议书标准格式，投标人不需填写）</w:t>
      </w:r>
    </w:p>
    <w:p w14:paraId="7A71E753">
      <w:pPr>
        <w:snapToGrid w:val="0"/>
        <w:spacing w:line="480" w:lineRule="auto"/>
        <w:jc w:val="center"/>
        <w:rPr>
          <w:b/>
          <w:snapToGrid w:val="0"/>
          <w:color w:val="auto"/>
          <w:highlight w:val="none"/>
        </w:rPr>
      </w:pPr>
      <w:r>
        <w:rPr>
          <w:b/>
          <w:snapToGrid w:val="0"/>
          <w:color w:val="auto"/>
          <w:highlight w:val="none"/>
        </w:rPr>
        <w:t>安全生产协议书（格式）</w:t>
      </w:r>
    </w:p>
    <w:p w14:paraId="0095FFDD">
      <w:pPr>
        <w:snapToGrid w:val="0"/>
        <w:spacing w:line="480" w:lineRule="auto"/>
        <w:ind w:firstLine="420" w:firstLineChars="200"/>
        <w:rPr>
          <w:snapToGrid w:val="0"/>
          <w:color w:val="auto"/>
          <w:szCs w:val="21"/>
          <w:highlight w:val="none"/>
        </w:rPr>
      </w:pPr>
      <w:r>
        <w:rPr>
          <w:snapToGrid w:val="0"/>
          <w:color w:val="auto"/>
          <w:szCs w:val="21"/>
          <w:highlight w:val="none"/>
        </w:rPr>
        <w:t>为在</w:t>
      </w:r>
      <w:r>
        <w:rPr>
          <w:snapToGrid w:val="0"/>
          <w:color w:val="auto"/>
          <w:szCs w:val="21"/>
          <w:highlight w:val="none"/>
          <w:u w:val="single"/>
        </w:rPr>
        <w:t xml:space="preserve">       </w:t>
      </w:r>
      <w:r>
        <w:rPr>
          <w:snapToGrid w:val="0"/>
          <w:color w:val="auto"/>
          <w:szCs w:val="21"/>
          <w:highlight w:val="none"/>
        </w:rPr>
        <w:t>施工合同的实施过程中创造安全、高效的施工环境，切实搞好本项目的安全管理工作，本项目的</w:t>
      </w:r>
      <w:r>
        <w:rPr>
          <w:rFonts w:hint="eastAsia"/>
          <w:snapToGrid w:val="0"/>
          <w:color w:val="auto"/>
          <w:szCs w:val="21"/>
          <w:highlight w:val="none"/>
        </w:rPr>
        <w:t>业主</w:t>
      </w:r>
      <w:r>
        <w:rPr>
          <w:b/>
          <w:bCs/>
          <w:snapToGrid w:val="0"/>
          <w:color w:val="auto"/>
          <w:szCs w:val="21"/>
          <w:highlight w:val="none"/>
          <w:u w:val="single"/>
        </w:rPr>
        <w:t xml:space="preserve"> </w:t>
      </w:r>
      <w:r>
        <w:rPr>
          <w:snapToGrid w:val="0"/>
          <w:color w:val="auto"/>
          <w:szCs w:val="21"/>
          <w:highlight w:val="none"/>
          <w:u w:val="single"/>
        </w:rPr>
        <w:t xml:space="preserve">     </w:t>
      </w:r>
      <w:r>
        <w:rPr>
          <w:snapToGrid w:val="0"/>
          <w:color w:val="auto"/>
          <w:szCs w:val="21"/>
          <w:highlight w:val="none"/>
        </w:rPr>
        <w:t>（以下简称</w:t>
      </w:r>
      <w:r>
        <w:rPr>
          <w:rFonts w:hint="eastAsia"/>
          <w:snapToGrid w:val="0"/>
          <w:color w:val="auto"/>
          <w:szCs w:val="21"/>
          <w:highlight w:val="none"/>
        </w:rPr>
        <w:t>“</w:t>
      </w:r>
      <w:r>
        <w:rPr>
          <w:snapToGrid w:val="0"/>
          <w:color w:val="auto"/>
          <w:szCs w:val="21"/>
          <w:highlight w:val="none"/>
        </w:rPr>
        <w:t>甲方</w:t>
      </w:r>
      <w:r>
        <w:rPr>
          <w:rFonts w:hint="eastAsia"/>
          <w:snapToGrid w:val="0"/>
          <w:color w:val="auto"/>
          <w:szCs w:val="21"/>
          <w:highlight w:val="none"/>
        </w:rPr>
        <w:t>”</w:t>
      </w:r>
      <w:r>
        <w:rPr>
          <w:snapToGrid w:val="0"/>
          <w:color w:val="auto"/>
          <w:szCs w:val="21"/>
          <w:highlight w:val="none"/>
        </w:rPr>
        <w:t>）与承包人</w:t>
      </w:r>
      <w:r>
        <w:rPr>
          <w:rFonts w:hint="eastAsia"/>
          <w:bCs/>
          <w:snapToGrid w:val="0"/>
          <w:color w:val="auto"/>
          <w:szCs w:val="21"/>
          <w:highlight w:val="none"/>
          <w:u w:val="single"/>
        </w:rPr>
        <w:t xml:space="preserve">      </w:t>
      </w:r>
      <w:r>
        <w:rPr>
          <w:snapToGrid w:val="0"/>
          <w:color w:val="auto"/>
          <w:szCs w:val="21"/>
          <w:highlight w:val="none"/>
        </w:rPr>
        <w:t>（以下简称</w:t>
      </w:r>
      <w:r>
        <w:rPr>
          <w:rFonts w:hint="eastAsia"/>
          <w:snapToGrid w:val="0"/>
          <w:color w:val="auto"/>
          <w:szCs w:val="21"/>
          <w:highlight w:val="none"/>
        </w:rPr>
        <w:t>“</w:t>
      </w:r>
      <w:r>
        <w:rPr>
          <w:snapToGrid w:val="0"/>
          <w:color w:val="auto"/>
          <w:szCs w:val="21"/>
          <w:highlight w:val="none"/>
        </w:rPr>
        <w:t>乙方</w:t>
      </w:r>
      <w:r>
        <w:rPr>
          <w:rFonts w:hint="eastAsia"/>
          <w:snapToGrid w:val="0"/>
          <w:color w:val="auto"/>
          <w:szCs w:val="21"/>
          <w:highlight w:val="none"/>
        </w:rPr>
        <w:t>”</w:t>
      </w:r>
      <w:r>
        <w:rPr>
          <w:snapToGrid w:val="0"/>
          <w:color w:val="auto"/>
          <w:szCs w:val="21"/>
          <w:highlight w:val="none"/>
        </w:rPr>
        <w:t>），特此签订安全生产协议书。</w:t>
      </w:r>
    </w:p>
    <w:p w14:paraId="26F0B424">
      <w:pPr>
        <w:snapToGrid w:val="0"/>
        <w:spacing w:line="480" w:lineRule="auto"/>
        <w:ind w:firstLine="422" w:firstLineChars="200"/>
        <w:rPr>
          <w:snapToGrid w:val="0"/>
          <w:color w:val="auto"/>
          <w:szCs w:val="21"/>
          <w:highlight w:val="none"/>
        </w:rPr>
      </w:pPr>
      <w:r>
        <w:rPr>
          <w:b/>
          <w:snapToGrid w:val="0"/>
          <w:color w:val="auto"/>
          <w:szCs w:val="21"/>
          <w:highlight w:val="none"/>
        </w:rPr>
        <w:t>一</w:t>
      </w:r>
      <w:r>
        <w:rPr>
          <w:rFonts w:hint="eastAsia"/>
          <w:b/>
          <w:snapToGrid w:val="0"/>
          <w:color w:val="auto"/>
          <w:szCs w:val="21"/>
          <w:highlight w:val="none"/>
        </w:rPr>
        <w:t>、</w:t>
      </w:r>
      <w:r>
        <w:rPr>
          <w:b/>
          <w:snapToGrid w:val="0"/>
          <w:color w:val="auto"/>
          <w:szCs w:val="21"/>
          <w:highlight w:val="none"/>
        </w:rPr>
        <w:t>甲方职责</w:t>
      </w:r>
    </w:p>
    <w:p w14:paraId="2D0210DA">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（一）严格遵守国家有关安全生产的法律法规，认真执行工程承包合同中的有关安全要求。</w:t>
      </w:r>
    </w:p>
    <w:p w14:paraId="7B099EEC">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（二）按照“安全第一、预防为主、综合治理”和坚持“管生产必须管安全”的原则进行安全生产管理，做到生产与安全工作同时计划、布置、检查、总结和评比。</w:t>
      </w:r>
    </w:p>
    <w:p w14:paraId="6C448CEC">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（三）重要的安全设施必须坚持与主体工程“三同时”的原则，即：同时设计、审批；同时施工，同时验收，投入使用。</w:t>
      </w:r>
    </w:p>
    <w:p w14:paraId="0EF1B4BC">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（四）定期召开安全生产调度会，及时传达中央及地方有关安全生产的精神。</w:t>
      </w:r>
    </w:p>
    <w:p w14:paraId="6E66BF1B">
      <w:pPr>
        <w:snapToGrid w:val="0"/>
        <w:spacing w:line="480" w:lineRule="auto"/>
        <w:ind w:firstLine="420" w:firstLineChars="200"/>
        <w:rPr>
          <w:snapToGrid w:val="0"/>
          <w:color w:val="auto"/>
          <w:spacing w:val="-8"/>
          <w:szCs w:val="21"/>
          <w:highlight w:val="none"/>
        </w:rPr>
      </w:pPr>
      <w:r>
        <w:rPr>
          <w:rFonts w:hint="eastAsia" w:ascii="宋体" w:hAnsi="宋体"/>
          <w:color w:val="auto"/>
          <w:szCs w:val="21"/>
          <w:highlight w:val="none"/>
        </w:rPr>
        <w:t>（五）组织对乙方施工现场安全生产检查，监督乙方及时处理发现的各种安全隐患。</w:t>
      </w:r>
    </w:p>
    <w:p w14:paraId="35C4979E">
      <w:pPr>
        <w:snapToGrid w:val="0"/>
        <w:spacing w:line="480" w:lineRule="auto"/>
        <w:ind w:left="482"/>
        <w:rPr>
          <w:b/>
          <w:snapToGrid w:val="0"/>
          <w:color w:val="auto"/>
          <w:szCs w:val="21"/>
          <w:highlight w:val="none"/>
        </w:rPr>
      </w:pPr>
      <w:r>
        <w:rPr>
          <w:b/>
          <w:snapToGrid w:val="0"/>
          <w:color w:val="auto"/>
          <w:szCs w:val="21"/>
          <w:highlight w:val="none"/>
        </w:rPr>
        <w:t>二</w:t>
      </w:r>
      <w:r>
        <w:rPr>
          <w:rFonts w:hint="eastAsia"/>
          <w:b/>
          <w:snapToGrid w:val="0"/>
          <w:color w:val="auto"/>
          <w:szCs w:val="21"/>
          <w:highlight w:val="none"/>
        </w:rPr>
        <w:t>、</w:t>
      </w:r>
      <w:r>
        <w:rPr>
          <w:b/>
          <w:snapToGrid w:val="0"/>
          <w:color w:val="auto"/>
          <w:szCs w:val="21"/>
          <w:highlight w:val="none"/>
        </w:rPr>
        <w:t>乙方职责</w:t>
      </w:r>
    </w:p>
    <w:p w14:paraId="2D1FD745">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（一）严格遵守国家有关安全生产的法律法规、有关安全生产的规定，认真执行工程承包合同中的有关安全要求。</w:t>
      </w:r>
    </w:p>
    <w:p w14:paraId="0ADB5169">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CBCEEA1">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项目专职安全员，专职负责所有员工的安全和治安保卫工作及预防事故的发生。安全机构人员，有权按有关规定发布指令，并采取保护性措施防止事故发生。</w:t>
      </w:r>
    </w:p>
    <w:p w14:paraId="68AE016D">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（四）乙方在任何时侯都应采取各种合理的预防措施，防止其员工发生任何违法、违禁、暴力或妨碍治安的行为。</w:t>
      </w:r>
    </w:p>
    <w:p w14:paraId="2E2C4277">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5A43AD1">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3064FD39">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（七）操作人员上岗，必须按规定穿戴防护用品。施工负责人和安全检查员应随时检查劳动防护用品的穿戴情况，不按规定穿戴防护用品的人员不得上岗。</w:t>
      </w:r>
    </w:p>
    <w:p w14:paraId="26819769">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（八）所有施工机具设备和高空作业的设备均应定期检查，并有项目专职安全员的签字记录，保证其处于完好状态；不合格的机具、设备和劳动保护用品严禁使用。</w:t>
      </w:r>
    </w:p>
    <w:p w14:paraId="37E6E3C1">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（九）所有施工中采用新技术、新工艺、新设备、新材料时，必须制定相应的安全技术措施，施工现场必须具有相关的安全标志牌。</w:t>
      </w:r>
    </w:p>
    <w:p w14:paraId="20265AD3">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62F3C7E5">
      <w:pPr>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十一）为确保承包人安全投入，项目实施过程中，监理工程师及业主根据安全设施完成情况，经验收合格后，据实支付。月计划中应说明下月安全生产措施费投入计划，经监理批复后实施。乙方必须服从甲方及监理对现场安全生产的管理。</w:t>
      </w:r>
    </w:p>
    <w:p w14:paraId="17E04FEC">
      <w:pPr>
        <w:snapToGrid w:val="0"/>
        <w:spacing w:line="480" w:lineRule="auto"/>
        <w:ind w:firstLine="480"/>
        <w:rPr>
          <w:rFonts w:ascii="宋体" w:hAnsi="宋体"/>
          <w:b/>
          <w:color w:val="auto"/>
          <w:szCs w:val="21"/>
          <w:highlight w:val="none"/>
        </w:rPr>
      </w:pPr>
      <w:r>
        <w:rPr>
          <w:rFonts w:hint="eastAsia" w:ascii="宋体" w:hAnsi="宋体"/>
          <w:b/>
          <w:color w:val="auto"/>
          <w:szCs w:val="21"/>
          <w:highlight w:val="none"/>
        </w:rPr>
        <w:t>第三条 违约责任</w:t>
      </w:r>
    </w:p>
    <w:p w14:paraId="569F8990">
      <w:pPr>
        <w:snapToGrid w:val="0"/>
        <w:spacing w:line="480" w:lineRule="auto"/>
        <w:ind w:firstLine="480"/>
        <w:rPr>
          <w:rFonts w:ascii="宋体" w:hAnsi="宋体"/>
          <w:color w:val="auto"/>
          <w:szCs w:val="21"/>
          <w:highlight w:val="none"/>
        </w:rPr>
      </w:pPr>
      <w:r>
        <w:rPr>
          <w:rFonts w:hint="eastAsia" w:ascii="宋体" w:hAnsi="宋体"/>
          <w:color w:val="auto"/>
          <w:szCs w:val="21"/>
          <w:highlight w:val="none"/>
        </w:rPr>
        <w:t>如因甲方或乙方违约造成安全事故，将依法追究责任。</w:t>
      </w:r>
    </w:p>
    <w:p w14:paraId="57FEE7A9">
      <w:pPr>
        <w:snapToGrid w:val="0"/>
        <w:spacing w:line="480" w:lineRule="auto"/>
        <w:ind w:firstLine="420" w:firstLineChars="200"/>
        <w:rPr>
          <w:snapToGrid w:val="0"/>
          <w:color w:val="auto"/>
          <w:szCs w:val="21"/>
          <w:highlight w:val="none"/>
        </w:rPr>
      </w:pPr>
      <w:r>
        <w:rPr>
          <w:rFonts w:hint="eastAsia" w:ascii="宋体" w:hAnsi="宋体"/>
          <w:color w:val="auto"/>
          <w:szCs w:val="21"/>
          <w:highlight w:val="none"/>
        </w:rPr>
        <w:t>本合同</w:t>
      </w:r>
      <w:r>
        <w:rPr>
          <w:rFonts w:hint="eastAsia"/>
          <w:snapToGrid w:val="0"/>
          <w:color w:val="auto"/>
          <w:szCs w:val="21"/>
          <w:highlight w:val="none"/>
        </w:rPr>
        <w:t>壹</w:t>
      </w:r>
      <w:r>
        <w:rPr>
          <w:snapToGrid w:val="0"/>
          <w:color w:val="auto"/>
          <w:szCs w:val="21"/>
          <w:highlight w:val="none"/>
        </w:rPr>
        <w:t>式</w:t>
      </w:r>
      <w:r>
        <w:rPr>
          <w:rFonts w:hint="eastAsia"/>
          <w:b/>
          <w:snapToGrid w:val="0"/>
          <w:color w:val="auto"/>
          <w:szCs w:val="21"/>
          <w:highlight w:val="none"/>
          <w:u w:val="single"/>
        </w:rPr>
        <w:t xml:space="preserve"> </w:t>
      </w:r>
      <w:r>
        <w:rPr>
          <w:rFonts w:hint="eastAsia"/>
          <w:b/>
          <w:snapToGrid w:val="0"/>
          <w:color w:val="auto"/>
          <w:szCs w:val="21"/>
          <w:highlight w:val="none"/>
          <w:u w:val="single"/>
          <w:lang w:eastAsia="zh-CN"/>
        </w:rPr>
        <w:t>捌</w:t>
      </w:r>
      <w:r>
        <w:rPr>
          <w:rFonts w:hint="eastAsia"/>
          <w:b/>
          <w:snapToGrid w:val="0"/>
          <w:color w:val="auto"/>
          <w:szCs w:val="21"/>
          <w:highlight w:val="none"/>
          <w:u w:val="single"/>
        </w:rPr>
        <w:t xml:space="preserve"> </w:t>
      </w:r>
      <w:r>
        <w:rPr>
          <w:snapToGrid w:val="0"/>
          <w:color w:val="auto"/>
          <w:szCs w:val="21"/>
          <w:highlight w:val="none"/>
        </w:rPr>
        <w:t>份，</w:t>
      </w:r>
      <w:r>
        <w:rPr>
          <w:color w:val="auto"/>
          <w:szCs w:val="21"/>
          <w:highlight w:val="none"/>
        </w:rPr>
        <w:t>其中正本</w:t>
      </w:r>
      <w:r>
        <w:rPr>
          <w:rFonts w:hint="eastAsia"/>
          <w:b/>
          <w:color w:val="auto"/>
          <w:szCs w:val="21"/>
          <w:highlight w:val="none"/>
          <w:u w:val="single"/>
          <w:lang w:eastAsia="zh-CN"/>
        </w:rPr>
        <w:t>肆</w:t>
      </w:r>
      <w:r>
        <w:rPr>
          <w:color w:val="auto"/>
          <w:szCs w:val="21"/>
          <w:highlight w:val="none"/>
        </w:rPr>
        <w:t>份，双方各执</w:t>
      </w:r>
      <w:r>
        <w:rPr>
          <w:rFonts w:hint="eastAsia"/>
          <w:b/>
          <w:color w:val="auto"/>
          <w:szCs w:val="21"/>
          <w:highlight w:val="none"/>
          <w:u w:val="single"/>
          <w:lang w:eastAsia="zh-CN"/>
        </w:rPr>
        <w:t>贰</w:t>
      </w:r>
      <w:r>
        <w:rPr>
          <w:color w:val="auto"/>
          <w:szCs w:val="21"/>
          <w:highlight w:val="none"/>
        </w:rPr>
        <w:t>份，副本</w:t>
      </w:r>
      <w:r>
        <w:rPr>
          <w:rFonts w:hint="eastAsia"/>
          <w:b/>
          <w:color w:val="auto"/>
          <w:szCs w:val="21"/>
          <w:highlight w:val="none"/>
          <w:u w:val="single"/>
        </w:rPr>
        <w:t xml:space="preserve"> </w:t>
      </w:r>
      <w:r>
        <w:rPr>
          <w:rFonts w:hint="eastAsia"/>
          <w:b/>
          <w:color w:val="auto"/>
          <w:szCs w:val="21"/>
          <w:highlight w:val="none"/>
          <w:u w:val="single"/>
          <w:lang w:eastAsia="zh-CN"/>
        </w:rPr>
        <w:t>肆</w:t>
      </w:r>
      <w:r>
        <w:rPr>
          <w:rFonts w:hint="eastAsia"/>
          <w:b/>
          <w:color w:val="auto"/>
          <w:szCs w:val="21"/>
          <w:highlight w:val="none"/>
          <w:u w:val="single"/>
        </w:rPr>
        <w:t xml:space="preserve"> </w:t>
      </w:r>
      <w:r>
        <w:rPr>
          <w:color w:val="auto"/>
          <w:szCs w:val="21"/>
          <w:highlight w:val="none"/>
        </w:rPr>
        <w:t>份，</w:t>
      </w:r>
      <w:r>
        <w:rPr>
          <w:rFonts w:hint="eastAsia"/>
          <w:color w:val="auto"/>
          <w:szCs w:val="21"/>
          <w:highlight w:val="none"/>
        </w:rPr>
        <w:t>甲</w:t>
      </w:r>
      <w:r>
        <w:rPr>
          <w:color w:val="auto"/>
          <w:szCs w:val="21"/>
          <w:highlight w:val="none"/>
        </w:rPr>
        <w:t>方</w:t>
      </w:r>
      <w:r>
        <w:rPr>
          <w:rFonts w:hint="eastAsia"/>
          <w:color w:val="auto"/>
          <w:szCs w:val="21"/>
          <w:highlight w:val="none"/>
        </w:rPr>
        <w:t>执</w:t>
      </w:r>
      <w:r>
        <w:rPr>
          <w:rFonts w:hint="eastAsia"/>
          <w:b/>
          <w:color w:val="auto"/>
          <w:szCs w:val="21"/>
          <w:highlight w:val="none"/>
          <w:u w:val="single"/>
        </w:rPr>
        <w:t xml:space="preserve"> </w:t>
      </w:r>
      <w:r>
        <w:rPr>
          <w:rFonts w:hint="eastAsia"/>
          <w:b/>
          <w:color w:val="auto"/>
          <w:szCs w:val="21"/>
          <w:highlight w:val="none"/>
          <w:u w:val="single"/>
          <w:lang w:eastAsia="zh-CN"/>
        </w:rPr>
        <w:t>贰</w:t>
      </w:r>
      <w:r>
        <w:rPr>
          <w:rFonts w:hint="eastAsia"/>
          <w:b/>
          <w:color w:val="auto"/>
          <w:szCs w:val="21"/>
          <w:highlight w:val="none"/>
          <w:u w:val="single"/>
        </w:rPr>
        <w:t xml:space="preserve"> </w:t>
      </w:r>
      <w:r>
        <w:rPr>
          <w:rFonts w:hint="eastAsia"/>
          <w:color w:val="auto"/>
          <w:szCs w:val="21"/>
          <w:highlight w:val="none"/>
        </w:rPr>
        <w:t>份，乙方</w:t>
      </w:r>
      <w:r>
        <w:rPr>
          <w:color w:val="auto"/>
          <w:szCs w:val="21"/>
          <w:highlight w:val="none"/>
        </w:rPr>
        <w:t>执</w:t>
      </w:r>
      <w:r>
        <w:rPr>
          <w:rFonts w:hint="eastAsia"/>
          <w:b/>
          <w:color w:val="auto"/>
          <w:szCs w:val="21"/>
          <w:highlight w:val="none"/>
          <w:u w:val="single"/>
        </w:rPr>
        <w:t xml:space="preserve"> </w:t>
      </w:r>
      <w:r>
        <w:rPr>
          <w:rFonts w:hint="eastAsia"/>
          <w:b/>
          <w:color w:val="auto"/>
          <w:szCs w:val="21"/>
          <w:highlight w:val="none"/>
          <w:u w:val="single"/>
          <w:lang w:eastAsia="zh-CN"/>
        </w:rPr>
        <w:t>贰</w:t>
      </w:r>
      <w:r>
        <w:rPr>
          <w:rFonts w:hint="eastAsia"/>
          <w:b/>
          <w:color w:val="auto"/>
          <w:szCs w:val="21"/>
          <w:highlight w:val="none"/>
          <w:u w:val="single"/>
        </w:rPr>
        <w:t xml:space="preserve"> </w:t>
      </w:r>
      <w:r>
        <w:rPr>
          <w:color w:val="auto"/>
          <w:szCs w:val="21"/>
          <w:highlight w:val="none"/>
        </w:rPr>
        <w:t>份</w:t>
      </w:r>
      <w:r>
        <w:rPr>
          <w:snapToGrid w:val="0"/>
          <w:color w:val="auto"/>
          <w:szCs w:val="21"/>
          <w:highlight w:val="none"/>
        </w:rPr>
        <w:t>。</w:t>
      </w:r>
      <w:r>
        <w:rPr>
          <w:rFonts w:hint="eastAsia" w:ascii="宋体" w:hAnsi="宋体"/>
          <w:color w:val="auto"/>
          <w:szCs w:val="21"/>
          <w:highlight w:val="none"/>
        </w:rPr>
        <w:t>由双方法定代表人或其授权的代理人签署与加盖单位公章后生效，全部工程竣工验收后失效。</w:t>
      </w:r>
    </w:p>
    <w:p w14:paraId="4FE4E479">
      <w:pPr>
        <w:snapToGrid w:val="0"/>
        <w:spacing w:line="360" w:lineRule="auto"/>
        <w:rPr>
          <w:snapToGrid w:val="0"/>
          <w:color w:val="auto"/>
          <w:highlight w:val="none"/>
        </w:rPr>
      </w:pPr>
      <w:r>
        <w:rPr>
          <w:snapToGrid w:val="0"/>
          <w:color w:val="auto"/>
          <w:highlight w:val="none"/>
        </w:rPr>
        <w:t xml:space="preserve"> </w:t>
      </w:r>
    </w:p>
    <w:tbl>
      <w:tblPr>
        <w:tblStyle w:val="23"/>
        <w:tblW w:w="0" w:type="auto"/>
        <w:jc w:val="center"/>
        <w:tblLayout w:type="fixed"/>
        <w:tblCellMar>
          <w:top w:w="0" w:type="dxa"/>
          <w:left w:w="108" w:type="dxa"/>
          <w:bottom w:w="0" w:type="dxa"/>
          <w:right w:w="108" w:type="dxa"/>
        </w:tblCellMar>
      </w:tblPr>
      <w:tblGrid>
        <w:gridCol w:w="1473"/>
        <w:gridCol w:w="2730"/>
        <w:gridCol w:w="1470"/>
        <w:gridCol w:w="3738"/>
      </w:tblGrid>
      <w:tr w14:paraId="04F5C3BB">
        <w:tblPrEx>
          <w:tblCellMar>
            <w:top w:w="0" w:type="dxa"/>
            <w:left w:w="108" w:type="dxa"/>
            <w:bottom w:w="0" w:type="dxa"/>
            <w:right w:w="108" w:type="dxa"/>
          </w:tblCellMar>
        </w:tblPrEx>
        <w:trPr>
          <w:trHeight w:val="567" w:hRule="atLeast"/>
          <w:jc w:val="center"/>
        </w:trPr>
        <w:tc>
          <w:tcPr>
            <w:tcW w:w="1473" w:type="dxa"/>
            <w:noWrap w:val="0"/>
            <w:vAlign w:val="center"/>
          </w:tcPr>
          <w:p w14:paraId="4935FDC5">
            <w:pPr>
              <w:snapToGrid w:val="0"/>
              <w:rPr>
                <w:rFonts w:ascii="宋体" w:hAnsi="宋体"/>
                <w:snapToGrid w:val="0"/>
                <w:color w:val="auto"/>
                <w:szCs w:val="21"/>
                <w:highlight w:val="none"/>
              </w:rPr>
            </w:pPr>
            <w:r>
              <w:rPr>
                <w:rFonts w:hint="eastAsia" w:ascii="宋体" w:hAnsi="宋体"/>
                <w:snapToGrid w:val="0"/>
                <w:color w:val="auto"/>
                <w:szCs w:val="21"/>
                <w:highlight w:val="none"/>
              </w:rPr>
              <w:t>甲      方：</w:t>
            </w:r>
          </w:p>
        </w:tc>
        <w:tc>
          <w:tcPr>
            <w:tcW w:w="2730" w:type="dxa"/>
            <w:noWrap w:val="0"/>
            <w:vAlign w:val="center"/>
          </w:tcPr>
          <w:p w14:paraId="2EE833E1">
            <w:pPr>
              <w:snapToGrid w:val="0"/>
              <w:jc w:val="center"/>
              <w:rPr>
                <w:rFonts w:ascii="宋体" w:hAnsi="宋体"/>
                <w:b/>
                <w:snapToGrid w:val="0"/>
                <w:color w:val="auto"/>
                <w:szCs w:val="21"/>
                <w:highlight w:val="none"/>
                <w:u w:val="single"/>
              </w:rPr>
            </w:pPr>
          </w:p>
          <w:p w14:paraId="39778B6F">
            <w:pPr>
              <w:snapToGrid w:val="0"/>
              <w:jc w:val="center"/>
              <w:rPr>
                <w:rFonts w:ascii="宋体" w:hAnsi="宋体"/>
                <w:b/>
                <w:snapToGrid w:val="0"/>
                <w:color w:val="auto"/>
                <w:szCs w:val="21"/>
                <w:highlight w:val="none"/>
                <w:u w:val="single"/>
              </w:rPr>
            </w:pPr>
          </w:p>
          <w:p w14:paraId="046BFC65">
            <w:pPr>
              <w:snapToGrid w:val="0"/>
              <w:jc w:val="center"/>
              <w:rPr>
                <w:rFonts w:ascii="宋体" w:hAnsi="宋体"/>
                <w:snapToGrid w:val="0"/>
                <w:color w:val="auto"/>
                <w:szCs w:val="21"/>
                <w:highlight w:val="none"/>
              </w:rPr>
            </w:pPr>
            <w:r>
              <w:rPr>
                <w:rFonts w:hint="eastAsia" w:ascii="宋体" w:hAnsi="宋体"/>
                <w:snapToGrid w:val="0"/>
                <w:color w:val="auto"/>
                <w:szCs w:val="21"/>
                <w:highlight w:val="none"/>
              </w:rPr>
              <w:t>（公章）</w:t>
            </w:r>
          </w:p>
        </w:tc>
        <w:tc>
          <w:tcPr>
            <w:tcW w:w="1470" w:type="dxa"/>
            <w:noWrap w:val="0"/>
            <w:vAlign w:val="center"/>
          </w:tcPr>
          <w:p w14:paraId="5E7EE136">
            <w:pPr>
              <w:snapToGrid w:val="0"/>
              <w:rPr>
                <w:rFonts w:ascii="宋体" w:hAnsi="宋体"/>
                <w:snapToGrid w:val="0"/>
                <w:color w:val="auto"/>
                <w:szCs w:val="21"/>
                <w:highlight w:val="none"/>
              </w:rPr>
            </w:pPr>
            <w:r>
              <w:rPr>
                <w:rFonts w:hint="eastAsia" w:ascii="宋体" w:hAnsi="宋体"/>
                <w:snapToGrid w:val="0"/>
                <w:color w:val="auto"/>
                <w:szCs w:val="21"/>
                <w:highlight w:val="none"/>
              </w:rPr>
              <w:t>乙      方：</w:t>
            </w:r>
          </w:p>
        </w:tc>
        <w:tc>
          <w:tcPr>
            <w:tcW w:w="3738" w:type="dxa"/>
            <w:noWrap w:val="0"/>
            <w:vAlign w:val="center"/>
          </w:tcPr>
          <w:p w14:paraId="74EC1E7A">
            <w:pPr>
              <w:snapToGrid w:val="0"/>
              <w:jc w:val="center"/>
              <w:rPr>
                <w:b/>
                <w:color w:val="auto"/>
                <w:szCs w:val="21"/>
                <w:highlight w:val="none"/>
              </w:rPr>
            </w:pPr>
          </w:p>
          <w:p w14:paraId="14DA5415">
            <w:pPr>
              <w:snapToGrid w:val="0"/>
              <w:jc w:val="center"/>
              <w:rPr>
                <w:rFonts w:ascii="宋体" w:hAnsi="宋体"/>
                <w:b/>
                <w:snapToGrid w:val="0"/>
                <w:color w:val="auto"/>
                <w:szCs w:val="21"/>
                <w:highlight w:val="none"/>
                <w:u w:val="single"/>
              </w:rPr>
            </w:pPr>
            <w:r>
              <w:rPr>
                <w:rFonts w:hint="eastAsia"/>
                <w:b/>
                <w:color w:val="auto"/>
                <w:szCs w:val="21"/>
                <w:highlight w:val="none"/>
              </w:rPr>
              <w:t xml:space="preserve">  </w:t>
            </w:r>
            <w:r>
              <w:rPr>
                <w:rFonts w:hint="eastAsia" w:ascii="宋体" w:hAnsi="宋体"/>
                <w:snapToGrid w:val="0"/>
                <w:color w:val="auto"/>
                <w:szCs w:val="21"/>
                <w:highlight w:val="none"/>
              </w:rPr>
              <w:t>（公章）</w:t>
            </w:r>
          </w:p>
        </w:tc>
      </w:tr>
      <w:tr w14:paraId="7ECA2A72">
        <w:tblPrEx>
          <w:tblCellMar>
            <w:top w:w="0" w:type="dxa"/>
            <w:left w:w="108" w:type="dxa"/>
            <w:bottom w:w="0" w:type="dxa"/>
            <w:right w:w="108" w:type="dxa"/>
          </w:tblCellMar>
        </w:tblPrEx>
        <w:trPr>
          <w:trHeight w:val="567" w:hRule="atLeast"/>
          <w:jc w:val="center"/>
        </w:trPr>
        <w:tc>
          <w:tcPr>
            <w:tcW w:w="1473" w:type="dxa"/>
            <w:noWrap w:val="0"/>
            <w:vAlign w:val="center"/>
          </w:tcPr>
          <w:p w14:paraId="3902CC2A">
            <w:pPr>
              <w:snapToGrid w:val="0"/>
              <w:rPr>
                <w:rFonts w:ascii="宋体" w:hAnsi="宋体"/>
                <w:snapToGrid w:val="0"/>
                <w:color w:val="auto"/>
                <w:szCs w:val="21"/>
                <w:highlight w:val="none"/>
              </w:rPr>
            </w:pPr>
            <w:r>
              <w:rPr>
                <w:rFonts w:hint="eastAsia" w:ascii="宋体" w:hAnsi="宋体"/>
                <w:snapToGrid w:val="0"/>
                <w:color w:val="auto"/>
                <w:szCs w:val="21"/>
                <w:highlight w:val="none"/>
              </w:rPr>
              <w:t>法定代表人：</w:t>
            </w:r>
          </w:p>
        </w:tc>
        <w:tc>
          <w:tcPr>
            <w:tcW w:w="2730" w:type="dxa"/>
            <w:noWrap w:val="0"/>
            <w:vAlign w:val="center"/>
          </w:tcPr>
          <w:p w14:paraId="3CA94453">
            <w:pPr>
              <w:snapToGrid w:val="0"/>
              <w:jc w:val="center"/>
              <w:rPr>
                <w:rFonts w:ascii="宋体" w:hAnsi="宋体"/>
                <w:snapToGrid w:val="0"/>
                <w:color w:val="auto"/>
                <w:szCs w:val="21"/>
                <w:highlight w:val="none"/>
              </w:rPr>
            </w:pPr>
          </w:p>
          <w:p w14:paraId="55E5E771">
            <w:pPr>
              <w:snapToGrid w:val="0"/>
              <w:jc w:val="center"/>
              <w:rPr>
                <w:rFonts w:ascii="宋体" w:hAnsi="宋体"/>
                <w:snapToGrid w:val="0"/>
                <w:color w:val="auto"/>
                <w:szCs w:val="21"/>
                <w:highlight w:val="none"/>
              </w:rPr>
            </w:pPr>
          </w:p>
          <w:p w14:paraId="3DEB9DAF">
            <w:pPr>
              <w:snapToGrid w:val="0"/>
              <w:jc w:val="center"/>
              <w:rPr>
                <w:rFonts w:ascii="宋体" w:hAnsi="宋体"/>
                <w:snapToGrid w:val="0"/>
                <w:color w:val="auto"/>
                <w:szCs w:val="21"/>
                <w:highlight w:val="none"/>
              </w:rPr>
            </w:pPr>
          </w:p>
          <w:p w14:paraId="7017A07B">
            <w:pPr>
              <w:snapToGrid w:val="0"/>
              <w:jc w:val="center"/>
              <w:rPr>
                <w:rFonts w:ascii="宋体" w:hAnsi="宋体"/>
                <w:snapToGrid w:val="0"/>
                <w:color w:val="auto"/>
                <w:szCs w:val="21"/>
                <w:highlight w:val="none"/>
              </w:rPr>
            </w:pPr>
          </w:p>
        </w:tc>
        <w:tc>
          <w:tcPr>
            <w:tcW w:w="1470" w:type="dxa"/>
            <w:noWrap w:val="0"/>
            <w:vAlign w:val="center"/>
          </w:tcPr>
          <w:p w14:paraId="245A9B4A">
            <w:pPr>
              <w:snapToGrid w:val="0"/>
              <w:rPr>
                <w:rFonts w:ascii="宋体" w:hAnsi="宋体"/>
                <w:snapToGrid w:val="0"/>
                <w:color w:val="auto"/>
                <w:szCs w:val="21"/>
                <w:highlight w:val="none"/>
              </w:rPr>
            </w:pPr>
            <w:r>
              <w:rPr>
                <w:rFonts w:hint="eastAsia" w:ascii="宋体" w:hAnsi="宋体"/>
                <w:snapToGrid w:val="0"/>
                <w:color w:val="auto"/>
                <w:szCs w:val="21"/>
                <w:highlight w:val="none"/>
              </w:rPr>
              <w:t>法定代表人：</w:t>
            </w:r>
          </w:p>
        </w:tc>
        <w:tc>
          <w:tcPr>
            <w:tcW w:w="3738" w:type="dxa"/>
            <w:noWrap w:val="0"/>
            <w:vAlign w:val="center"/>
          </w:tcPr>
          <w:p w14:paraId="534A1D05">
            <w:pPr>
              <w:snapToGrid w:val="0"/>
              <w:jc w:val="center"/>
              <w:rPr>
                <w:rFonts w:ascii="宋体" w:hAnsi="宋体"/>
                <w:snapToGrid w:val="0"/>
                <w:color w:val="auto"/>
                <w:szCs w:val="21"/>
                <w:highlight w:val="none"/>
              </w:rPr>
            </w:pPr>
          </w:p>
          <w:p w14:paraId="3569FCB8">
            <w:pPr>
              <w:snapToGrid w:val="0"/>
              <w:jc w:val="center"/>
              <w:rPr>
                <w:rFonts w:ascii="宋体" w:hAnsi="宋体"/>
                <w:snapToGrid w:val="0"/>
                <w:color w:val="auto"/>
                <w:szCs w:val="21"/>
                <w:highlight w:val="none"/>
              </w:rPr>
            </w:pPr>
          </w:p>
          <w:p w14:paraId="3BD86C0F">
            <w:pPr>
              <w:snapToGrid w:val="0"/>
              <w:jc w:val="center"/>
              <w:rPr>
                <w:rFonts w:ascii="宋体" w:hAnsi="宋体"/>
                <w:snapToGrid w:val="0"/>
                <w:color w:val="auto"/>
                <w:szCs w:val="21"/>
                <w:highlight w:val="none"/>
              </w:rPr>
            </w:pPr>
          </w:p>
          <w:p w14:paraId="3849AF38">
            <w:pPr>
              <w:snapToGrid w:val="0"/>
              <w:jc w:val="center"/>
              <w:rPr>
                <w:rFonts w:ascii="宋体" w:hAnsi="宋体"/>
                <w:snapToGrid w:val="0"/>
                <w:color w:val="auto"/>
                <w:szCs w:val="21"/>
                <w:highlight w:val="none"/>
              </w:rPr>
            </w:pPr>
          </w:p>
        </w:tc>
      </w:tr>
      <w:tr w14:paraId="25726D9D">
        <w:tblPrEx>
          <w:tblCellMar>
            <w:top w:w="0" w:type="dxa"/>
            <w:left w:w="108" w:type="dxa"/>
            <w:bottom w:w="0" w:type="dxa"/>
            <w:right w:w="108" w:type="dxa"/>
          </w:tblCellMar>
        </w:tblPrEx>
        <w:trPr>
          <w:trHeight w:val="567" w:hRule="atLeast"/>
          <w:jc w:val="center"/>
        </w:trPr>
        <w:tc>
          <w:tcPr>
            <w:tcW w:w="1473" w:type="dxa"/>
            <w:noWrap w:val="0"/>
            <w:vAlign w:val="center"/>
          </w:tcPr>
          <w:p w14:paraId="1F58109B">
            <w:pPr>
              <w:snapToGrid w:val="0"/>
              <w:rPr>
                <w:rFonts w:ascii="宋体" w:hAnsi="宋体"/>
                <w:snapToGrid w:val="0"/>
                <w:color w:val="auto"/>
                <w:szCs w:val="21"/>
                <w:highlight w:val="none"/>
              </w:rPr>
            </w:pPr>
            <w:r>
              <w:rPr>
                <w:rFonts w:hint="eastAsia" w:ascii="宋体" w:hAnsi="宋体"/>
                <w:snapToGrid w:val="0"/>
                <w:color w:val="auto"/>
                <w:szCs w:val="21"/>
                <w:highlight w:val="none"/>
              </w:rPr>
              <w:t>授权代理人：</w:t>
            </w:r>
          </w:p>
          <w:p w14:paraId="098270D7">
            <w:pPr>
              <w:snapToGrid w:val="0"/>
              <w:rPr>
                <w:rFonts w:ascii="宋体" w:hAnsi="宋体"/>
                <w:snapToGrid w:val="0"/>
                <w:color w:val="auto"/>
                <w:szCs w:val="21"/>
                <w:highlight w:val="none"/>
              </w:rPr>
            </w:pPr>
          </w:p>
          <w:p w14:paraId="1BBDF7C0">
            <w:pPr>
              <w:snapToGrid w:val="0"/>
              <w:rPr>
                <w:rFonts w:ascii="宋体" w:hAnsi="宋体"/>
                <w:snapToGrid w:val="0"/>
                <w:color w:val="auto"/>
                <w:szCs w:val="21"/>
                <w:highlight w:val="none"/>
              </w:rPr>
            </w:pPr>
            <w:r>
              <w:rPr>
                <w:rFonts w:hint="eastAsia" w:ascii="宋体" w:hAnsi="宋体"/>
                <w:snapToGrid w:val="0"/>
                <w:color w:val="auto"/>
                <w:szCs w:val="21"/>
                <w:highlight w:val="none"/>
              </w:rPr>
              <w:t>联  系  人：</w:t>
            </w:r>
          </w:p>
        </w:tc>
        <w:tc>
          <w:tcPr>
            <w:tcW w:w="2730" w:type="dxa"/>
            <w:noWrap w:val="0"/>
            <w:vAlign w:val="center"/>
          </w:tcPr>
          <w:p w14:paraId="5F729FA4">
            <w:pPr>
              <w:snapToGrid w:val="0"/>
              <w:rPr>
                <w:rFonts w:ascii="宋体" w:hAnsi="宋体"/>
                <w:snapToGrid w:val="0"/>
                <w:color w:val="auto"/>
                <w:szCs w:val="21"/>
                <w:highlight w:val="none"/>
              </w:rPr>
            </w:pPr>
          </w:p>
        </w:tc>
        <w:tc>
          <w:tcPr>
            <w:tcW w:w="1470" w:type="dxa"/>
            <w:noWrap w:val="0"/>
            <w:vAlign w:val="center"/>
          </w:tcPr>
          <w:p w14:paraId="3804DDF0">
            <w:pPr>
              <w:snapToGrid w:val="0"/>
              <w:rPr>
                <w:rFonts w:ascii="宋体" w:hAnsi="宋体"/>
                <w:snapToGrid w:val="0"/>
                <w:color w:val="auto"/>
                <w:szCs w:val="21"/>
                <w:highlight w:val="none"/>
              </w:rPr>
            </w:pPr>
            <w:r>
              <w:rPr>
                <w:rFonts w:hint="eastAsia" w:ascii="宋体" w:hAnsi="宋体"/>
                <w:snapToGrid w:val="0"/>
                <w:color w:val="auto"/>
                <w:szCs w:val="21"/>
                <w:highlight w:val="none"/>
              </w:rPr>
              <w:t>授权代理人：</w:t>
            </w:r>
          </w:p>
          <w:p w14:paraId="5C0229D7">
            <w:pPr>
              <w:snapToGrid w:val="0"/>
              <w:rPr>
                <w:rFonts w:ascii="宋体" w:hAnsi="宋体"/>
                <w:snapToGrid w:val="0"/>
                <w:color w:val="auto"/>
                <w:szCs w:val="21"/>
                <w:highlight w:val="none"/>
              </w:rPr>
            </w:pPr>
          </w:p>
          <w:p w14:paraId="3086E4C2">
            <w:pPr>
              <w:snapToGrid w:val="0"/>
              <w:rPr>
                <w:rFonts w:ascii="宋体" w:hAnsi="宋体"/>
                <w:snapToGrid w:val="0"/>
                <w:color w:val="auto"/>
                <w:szCs w:val="21"/>
                <w:highlight w:val="none"/>
              </w:rPr>
            </w:pPr>
            <w:r>
              <w:rPr>
                <w:rFonts w:hint="eastAsia" w:ascii="宋体" w:hAnsi="宋体"/>
                <w:snapToGrid w:val="0"/>
                <w:color w:val="auto"/>
                <w:szCs w:val="21"/>
                <w:highlight w:val="none"/>
              </w:rPr>
              <w:t>联  系  人：</w:t>
            </w:r>
          </w:p>
        </w:tc>
        <w:tc>
          <w:tcPr>
            <w:tcW w:w="3738" w:type="dxa"/>
            <w:noWrap w:val="0"/>
            <w:vAlign w:val="center"/>
          </w:tcPr>
          <w:p w14:paraId="15A32797">
            <w:pPr>
              <w:snapToGrid w:val="0"/>
              <w:rPr>
                <w:rFonts w:ascii="宋体" w:hAnsi="宋体"/>
                <w:snapToGrid w:val="0"/>
                <w:color w:val="auto"/>
                <w:szCs w:val="21"/>
                <w:highlight w:val="none"/>
              </w:rPr>
            </w:pPr>
          </w:p>
        </w:tc>
      </w:tr>
      <w:tr w14:paraId="55888FCC">
        <w:tblPrEx>
          <w:tblCellMar>
            <w:top w:w="0" w:type="dxa"/>
            <w:left w:w="108" w:type="dxa"/>
            <w:bottom w:w="0" w:type="dxa"/>
            <w:right w:w="108" w:type="dxa"/>
          </w:tblCellMar>
        </w:tblPrEx>
        <w:trPr>
          <w:trHeight w:val="567" w:hRule="atLeast"/>
          <w:jc w:val="center"/>
        </w:trPr>
        <w:tc>
          <w:tcPr>
            <w:tcW w:w="1473" w:type="dxa"/>
            <w:noWrap w:val="0"/>
            <w:vAlign w:val="center"/>
          </w:tcPr>
          <w:p w14:paraId="5CB61DEB">
            <w:pPr>
              <w:snapToGrid w:val="0"/>
              <w:rPr>
                <w:rFonts w:ascii="宋体" w:hAnsi="宋体"/>
                <w:snapToGrid w:val="0"/>
                <w:color w:val="auto"/>
                <w:szCs w:val="21"/>
                <w:highlight w:val="none"/>
              </w:rPr>
            </w:pPr>
            <w:r>
              <w:rPr>
                <w:rFonts w:hint="eastAsia" w:ascii="宋体" w:hAnsi="宋体"/>
                <w:snapToGrid w:val="0"/>
                <w:color w:val="auto"/>
                <w:szCs w:val="21"/>
                <w:highlight w:val="none"/>
              </w:rPr>
              <w:t>地</w:t>
            </w:r>
            <w:r>
              <w:rPr>
                <w:rFonts w:ascii="宋体" w:hAnsi="宋体"/>
                <w:snapToGrid w:val="0"/>
                <w:color w:val="auto"/>
                <w:szCs w:val="21"/>
                <w:highlight w:val="none"/>
              </w:rPr>
              <w:t xml:space="preserve">      </w:t>
            </w:r>
            <w:r>
              <w:rPr>
                <w:rFonts w:hint="eastAsia" w:ascii="宋体" w:hAnsi="宋体"/>
                <w:snapToGrid w:val="0"/>
                <w:color w:val="auto"/>
                <w:szCs w:val="21"/>
                <w:highlight w:val="none"/>
              </w:rPr>
              <w:t>址：</w:t>
            </w:r>
          </w:p>
        </w:tc>
        <w:tc>
          <w:tcPr>
            <w:tcW w:w="2730" w:type="dxa"/>
            <w:noWrap w:val="0"/>
            <w:vAlign w:val="center"/>
          </w:tcPr>
          <w:p w14:paraId="60132ED8">
            <w:pPr>
              <w:snapToGrid w:val="0"/>
              <w:jc w:val="center"/>
              <w:rPr>
                <w:rFonts w:ascii="宋体" w:hAnsi="宋体"/>
                <w:snapToGrid w:val="0"/>
                <w:color w:val="auto"/>
                <w:szCs w:val="21"/>
                <w:highlight w:val="none"/>
              </w:rPr>
            </w:pPr>
          </w:p>
        </w:tc>
        <w:tc>
          <w:tcPr>
            <w:tcW w:w="1470" w:type="dxa"/>
            <w:noWrap w:val="0"/>
            <w:vAlign w:val="center"/>
          </w:tcPr>
          <w:p w14:paraId="19CE701D">
            <w:pPr>
              <w:snapToGrid w:val="0"/>
              <w:rPr>
                <w:rFonts w:ascii="宋体" w:hAnsi="宋体"/>
                <w:snapToGrid w:val="0"/>
                <w:color w:val="auto"/>
                <w:szCs w:val="21"/>
                <w:highlight w:val="none"/>
              </w:rPr>
            </w:pPr>
            <w:r>
              <w:rPr>
                <w:rFonts w:hint="eastAsia" w:ascii="宋体" w:hAnsi="宋体"/>
                <w:snapToGrid w:val="0"/>
                <w:color w:val="auto"/>
                <w:szCs w:val="21"/>
                <w:highlight w:val="none"/>
              </w:rPr>
              <w:t>地</w:t>
            </w:r>
            <w:r>
              <w:rPr>
                <w:rFonts w:ascii="宋体" w:hAnsi="宋体"/>
                <w:snapToGrid w:val="0"/>
                <w:color w:val="auto"/>
                <w:szCs w:val="21"/>
                <w:highlight w:val="none"/>
              </w:rPr>
              <w:t xml:space="preserve">      </w:t>
            </w:r>
            <w:r>
              <w:rPr>
                <w:rFonts w:hint="eastAsia" w:ascii="宋体" w:hAnsi="宋体"/>
                <w:snapToGrid w:val="0"/>
                <w:color w:val="auto"/>
                <w:szCs w:val="21"/>
                <w:highlight w:val="none"/>
              </w:rPr>
              <w:t>址：</w:t>
            </w:r>
          </w:p>
        </w:tc>
        <w:tc>
          <w:tcPr>
            <w:tcW w:w="3738" w:type="dxa"/>
            <w:noWrap w:val="0"/>
            <w:vAlign w:val="center"/>
          </w:tcPr>
          <w:p w14:paraId="4C92B311">
            <w:pPr>
              <w:snapToGrid w:val="0"/>
              <w:jc w:val="center"/>
              <w:rPr>
                <w:snapToGrid w:val="0"/>
                <w:color w:val="auto"/>
                <w:szCs w:val="21"/>
                <w:highlight w:val="none"/>
              </w:rPr>
            </w:pPr>
          </w:p>
        </w:tc>
      </w:tr>
      <w:tr w14:paraId="431C5A6A">
        <w:tblPrEx>
          <w:tblCellMar>
            <w:top w:w="0" w:type="dxa"/>
            <w:left w:w="108" w:type="dxa"/>
            <w:bottom w:w="0" w:type="dxa"/>
            <w:right w:w="108" w:type="dxa"/>
          </w:tblCellMar>
        </w:tblPrEx>
        <w:trPr>
          <w:trHeight w:val="567" w:hRule="atLeast"/>
          <w:jc w:val="center"/>
        </w:trPr>
        <w:tc>
          <w:tcPr>
            <w:tcW w:w="1473" w:type="dxa"/>
            <w:noWrap w:val="0"/>
            <w:vAlign w:val="center"/>
          </w:tcPr>
          <w:p w14:paraId="52E1A81F">
            <w:pPr>
              <w:snapToGrid w:val="0"/>
              <w:rPr>
                <w:rFonts w:ascii="宋体" w:hAnsi="宋体"/>
                <w:snapToGrid w:val="0"/>
                <w:color w:val="auto"/>
                <w:szCs w:val="21"/>
                <w:highlight w:val="none"/>
              </w:rPr>
            </w:pPr>
            <w:r>
              <w:rPr>
                <w:rFonts w:hint="eastAsia" w:ascii="宋体" w:hAnsi="宋体"/>
                <w:snapToGrid w:val="0"/>
                <w:color w:val="auto"/>
                <w:szCs w:val="21"/>
                <w:highlight w:val="none"/>
              </w:rPr>
              <w:t>电</w:t>
            </w:r>
            <w:r>
              <w:rPr>
                <w:rFonts w:ascii="宋体" w:hAnsi="宋体"/>
                <w:snapToGrid w:val="0"/>
                <w:color w:val="auto"/>
                <w:szCs w:val="21"/>
                <w:highlight w:val="none"/>
              </w:rPr>
              <w:t xml:space="preserve">      </w:t>
            </w:r>
            <w:r>
              <w:rPr>
                <w:rFonts w:hint="eastAsia" w:ascii="宋体" w:hAnsi="宋体"/>
                <w:snapToGrid w:val="0"/>
                <w:color w:val="auto"/>
                <w:szCs w:val="21"/>
                <w:highlight w:val="none"/>
              </w:rPr>
              <w:t>话：</w:t>
            </w:r>
          </w:p>
        </w:tc>
        <w:tc>
          <w:tcPr>
            <w:tcW w:w="2730" w:type="dxa"/>
            <w:noWrap w:val="0"/>
            <w:vAlign w:val="center"/>
          </w:tcPr>
          <w:p w14:paraId="7DEFD9F5">
            <w:pPr>
              <w:snapToGrid w:val="0"/>
              <w:jc w:val="center"/>
              <w:rPr>
                <w:rFonts w:ascii="宋体" w:hAnsi="宋体"/>
                <w:snapToGrid w:val="0"/>
                <w:color w:val="auto"/>
                <w:szCs w:val="21"/>
                <w:highlight w:val="none"/>
              </w:rPr>
            </w:pPr>
          </w:p>
        </w:tc>
        <w:tc>
          <w:tcPr>
            <w:tcW w:w="1470" w:type="dxa"/>
            <w:noWrap w:val="0"/>
            <w:vAlign w:val="center"/>
          </w:tcPr>
          <w:p w14:paraId="3FCCE1A6">
            <w:pPr>
              <w:snapToGrid w:val="0"/>
              <w:rPr>
                <w:rFonts w:ascii="宋体" w:hAnsi="宋体"/>
                <w:snapToGrid w:val="0"/>
                <w:color w:val="auto"/>
                <w:szCs w:val="21"/>
                <w:highlight w:val="none"/>
              </w:rPr>
            </w:pPr>
            <w:r>
              <w:rPr>
                <w:rFonts w:hint="eastAsia" w:ascii="宋体" w:hAnsi="宋体"/>
                <w:snapToGrid w:val="0"/>
                <w:color w:val="auto"/>
                <w:szCs w:val="21"/>
                <w:highlight w:val="none"/>
              </w:rPr>
              <w:t>电</w:t>
            </w:r>
            <w:r>
              <w:rPr>
                <w:rFonts w:ascii="宋体" w:hAnsi="宋体"/>
                <w:snapToGrid w:val="0"/>
                <w:color w:val="auto"/>
                <w:szCs w:val="21"/>
                <w:highlight w:val="none"/>
              </w:rPr>
              <w:t xml:space="preserve">      </w:t>
            </w:r>
            <w:r>
              <w:rPr>
                <w:rFonts w:hint="eastAsia" w:ascii="宋体" w:hAnsi="宋体"/>
                <w:snapToGrid w:val="0"/>
                <w:color w:val="auto"/>
                <w:szCs w:val="21"/>
                <w:highlight w:val="none"/>
              </w:rPr>
              <w:t>话：</w:t>
            </w:r>
          </w:p>
        </w:tc>
        <w:tc>
          <w:tcPr>
            <w:tcW w:w="3738" w:type="dxa"/>
            <w:noWrap w:val="0"/>
            <w:vAlign w:val="center"/>
          </w:tcPr>
          <w:p w14:paraId="545D0B88">
            <w:pPr>
              <w:snapToGrid w:val="0"/>
              <w:jc w:val="center"/>
              <w:rPr>
                <w:snapToGrid w:val="0"/>
                <w:color w:val="auto"/>
                <w:szCs w:val="21"/>
                <w:highlight w:val="none"/>
              </w:rPr>
            </w:pPr>
          </w:p>
        </w:tc>
      </w:tr>
      <w:tr w14:paraId="3D21FC08">
        <w:tblPrEx>
          <w:tblCellMar>
            <w:top w:w="0" w:type="dxa"/>
            <w:left w:w="108" w:type="dxa"/>
            <w:bottom w:w="0" w:type="dxa"/>
            <w:right w:w="108" w:type="dxa"/>
          </w:tblCellMar>
        </w:tblPrEx>
        <w:trPr>
          <w:trHeight w:val="567" w:hRule="atLeast"/>
          <w:jc w:val="center"/>
        </w:trPr>
        <w:tc>
          <w:tcPr>
            <w:tcW w:w="1473" w:type="dxa"/>
            <w:noWrap w:val="0"/>
            <w:vAlign w:val="center"/>
          </w:tcPr>
          <w:p w14:paraId="78BF94BB">
            <w:pPr>
              <w:snapToGrid w:val="0"/>
              <w:rPr>
                <w:rFonts w:ascii="宋体" w:hAnsi="宋体"/>
                <w:snapToGrid w:val="0"/>
                <w:color w:val="auto"/>
                <w:szCs w:val="21"/>
                <w:highlight w:val="none"/>
              </w:rPr>
            </w:pPr>
            <w:r>
              <w:rPr>
                <w:rFonts w:hint="eastAsia" w:ascii="宋体" w:hAnsi="宋体"/>
                <w:snapToGrid w:val="0"/>
                <w:color w:val="auto"/>
                <w:szCs w:val="21"/>
                <w:highlight w:val="none"/>
              </w:rPr>
              <w:t>传</w:t>
            </w:r>
            <w:r>
              <w:rPr>
                <w:rFonts w:ascii="宋体" w:hAnsi="宋体"/>
                <w:snapToGrid w:val="0"/>
                <w:color w:val="auto"/>
                <w:szCs w:val="21"/>
                <w:highlight w:val="none"/>
              </w:rPr>
              <w:t xml:space="preserve">      </w:t>
            </w:r>
            <w:r>
              <w:rPr>
                <w:rFonts w:hint="eastAsia" w:ascii="宋体" w:hAnsi="宋体"/>
                <w:snapToGrid w:val="0"/>
                <w:color w:val="auto"/>
                <w:szCs w:val="21"/>
                <w:highlight w:val="none"/>
              </w:rPr>
              <w:t>真：</w:t>
            </w:r>
          </w:p>
        </w:tc>
        <w:tc>
          <w:tcPr>
            <w:tcW w:w="2730" w:type="dxa"/>
            <w:noWrap w:val="0"/>
            <w:vAlign w:val="center"/>
          </w:tcPr>
          <w:p w14:paraId="391C7482">
            <w:pPr>
              <w:snapToGrid w:val="0"/>
              <w:jc w:val="center"/>
              <w:rPr>
                <w:rFonts w:ascii="宋体" w:hAnsi="宋体"/>
                <w:snapToGrid w:val="0"/>
                <w:color w:val="auto"/>
                <w:szCs w:val="21"/>
                <w:highlight w:val="none"/>
              </w:rPr>
            </w:pPr>
          </w:p>
        </w:tc>
        <w:tc>
          <w:tcPr>
            <w:tcW w:w="1470" w:type="dxa"/>
            <w:noWrap w:val="0"/>
            <w:vAlign w:val="center"/>
          </w:tcPr>
          <w:p w14:paraId="5AF9C522">
            <w:pPr>
              <w:snapToGrid w:val="0"/>
              <w:rPr>
                <w:rFonts w:ascii="宋体" w:hAnsi="宋体"/>
                <w:snapToGrid w:val="0"/>
                <w:color w:val="auto"/>
                <w:szCs w:val="21"/>
                <w:highlight w:val="none"/>
              </w:rPr>
            </w:pPr>
            <w:r>
              <w:rPr>
                <w:rFonts w:hint="eastAsia" w:ascii="宋体" w:hAnsi="宋体"/>
                <w:snapToGrid w:val="0"/>
                <w:color w:val="auto"/>
                <w:szCs w:val="21"/>
                <w:highlight w:val="none"/>
              </w:rPr>
              <w:t>传</w:t>
            </w:r>
            <w:r>
              <w:rPr>
                <w:rFonts w:ascii="宋体" w:hAnsi="宋体"/>
                <w:snapToGrid w:val="0"/>
                <w:color w:val="auto"/>
                <w:szCs w:val="21"/>
                <w:highlight w:val="none"/>
              </w:rPr>
              <w:t xml:space="preserve">      </w:t>
            </w:r>
            <w:r>
              <w:rPr>
                <w:rFonts w:hint="eastAsia" w:ascii="宋体" w:hAnsi="宋体"/>
                <w:snapToGrid w:val="0"/>
                <w:color w:val="auto"/>
                <w:szCs w:val="21"/>
                <w:highlight w:val="none"/>
              </w:rPr>
              <w:t>真：</w:t>
            </w:r>
          </w:p>
        </w:tc>
        <w:tc>
          <w:tcPr>
            <w:tcW w:w="3738" w:type="dxa"/>
            <w:noWrap w:val="0"/>
            <w:vAlign w:val="center"/>
          </w:tcPr>
          <w:p w14:paraId="67BC06D1">
            <w:pPr>
              <w:snapToGrid w:val="0"/>
              <w:jc w:val="center"/>
              <w:rPr>
                <w:snapToGrid w:val="0"/>
                <w:color w:val="auto"/>
                <w:szCs w:val="21"/>
                <w:highlight w:val="none"/>
              </w:rPr>
            </w:pPr>
          </w:p>
        </w:tc>
      </w:tr>
      <w:tr w14:paraId="18E939E0">
        <w:tblPrEx>
          <w:tblCellMar>
            <w:top w:w="0" w:type="dxa"/>
            <w:left w:w="108" w:type="dxa"/>
            <w:bottom w:w="0" w:type="dxa"/>
            <w:right w:w="108" w:type="dxa"/>
          </w:tblCellMar>
        </w:tblPrEx>
        <w:trPr>
          <w:trHeight w:val="567" w:hRule="atLeast"/>
          <w:jc w:val="center"/>
        </w:trPr>
        <w:tc>
          <w:tcPr>
            <w:tcW w:w="1473" w:type="dxa"/>
            <w:noWrap w:val="0"/>
            <w:vAlign w:val="center"/>
          </w:tcPr>
          <w:p w14:paraId="5430604F">
            <w:pPr>
              <w:snapToGrid w:val="0"/>
              <w:rPr>
                <w:rFonts w:ascii="宋体" w:hAnsi="宋体"/>
                <w:snapToGrid w:val="0"/>
                <w:color w:val="auto"/>
                <w:szCs w:val="21"/>
                <w:highlight w:val="none"/>
              </w:rPr>
            </w:pPr>
            <w:r>
              <w:rPr>
                <w:rFonts w:hint="eastAsia" w:ascii="宋体" w:hAnsi="宋体"/>
                <w:snapToGrid w:val="0"/>
                <w:color w:val="auto"/>
                <w:szCs w:val="21"/>
                <w:highlight w:val="none"/>
              </w:rPr>
              <w:t>邮</w:t>
            </w:r>
            <w:r>
              <w:rPr>
                <w:rFonts w:ascii="宋体" w:hAnsi="宋体"/>
                <w:snapToGrid w:val="0"/>
                <w:color w:val="auto"/>
                <w:szCs w:val="21"/>
                <w:highlight w:val="none"/>
              </w:rPr>
              <w:t xml:space="preserve">      </w:t>
            </w:r>
            <w:r>
              <w:rPr>
                <w:rFonts w:hint="eastAsia" w:ascii="宋体" w:hAnsi="宋体"/>
                <w:snapToGrid w:val="0"/>
                <w:color w:val="auto"/>
                <w:szCs w:val="21"/>
                <w:highlight w:val="none"/>
              </w:rPr>
              <w:t>编：</w:t>
            </w:r>
          </w:p>
        </w:tc>
        <w:tc>
          <w:tcPr>
            <w:tcW w:w="2730" w:type="dxa"/>
            <w:noWrap w:val="0"/>
            <w:vAlign w:val="center"/>
          </w:tcPr>
          <w:p w14:paraId="39FCD338">
            <w:pPr>
              <w:snapToGrid w:val="0"/>
              <w:jc w:val="center"/>
              <w:rPr>
                <w:rFonts w:ascii="宋体" w:hAnsi="宋体"/>
                <w:snapToGrid w:val="0"/>
                <w:color w:val="auto"/>
                <w:szCs w:val="21"/>
                <w:highlight w:val="none"/>
              </w:rPr>
            </w:pPr>
          </w:p>
        </w:tc>
        <w:tc>
          <w:tcPr>
            <w:tcW w:w="1470" w:type="dxa"/>
            <w:noWrap w:val="0"/>
            <w:vAlign w:val="center"/>
          </w:tcPr>
          <w:p w14:paraId="0DB64BE2">
            <w:pPr>
              <w:snapToGrid w:val="0"/>
              <w:rPr>
                <w:rFonts w:ascii="宋体" w:hAnsi="宋体"/>
                <w:snapToGrid w:val="0"/>
                <w:color w:val="auto"/>
                <w:szCs w:val="21"/>
                <w:highlight w:val="none"/>
              </w:rPr>
            </w:pPr>
            <w:r>
              <w:rPr>
                <w:rFonts w:hint="eastAsia" w:ascii="宋体" w:hAnsi="宋体"/>
                <w:snapToGrid w:val="0"/>
                <w:color w:val="auto"/>
                <w:szCs w:val="21"/>
                <w:highlight w:val="none"/>
              </w:rPr>
              <w:t>邮</w:t>
            </w:r>
            <w:r>
              <w:rPr>
                <w:rFonts w:ascii="宋体" w:hAnsi="宋体"/>
                <w:snapToGrid w:val="0"/>
                <w:color w:val="auto"/>
                <w:szCs w:val="21"/>
                <w:highlight w:val="none"/>
              </w:rPr>
              <w:t xml:space="preserve">      </w:t>
            </w:r>
            <w:r>
              <w:rPr>
                <w:rFonts w:hint="eastAsia" w:ascii="宋体" w:hAnsi="宋体"/>
                <w:snapToGrid w:val="0"/>
                <w:color w:val="auto"/>
                <w:szCs w:val="21"/>
                <w:highlight w:val="none"/>
              </w:rPr>
              <w:t>编：</w:t>
            </w:r>
          </w:p>
        </w:tc>
        <w:tc>
          <w:tcPr>
            <w:tcW w:w="3738" w:type="dxa"/>
            <w:noWrap w:val="0"/>
            <w:vAlign w:val="center"/>
          </w:tcPr>
          <w:p w14:paraId="4D699FF0">
            <w:pPr>
              <w:snapToGrid w:val="0"/>
              <w:jc w:val="center"/>
              <w:rPr>
                <w:snapToGrid w:val="0"/>
                <w:color w:val="auto"/>
                <w:szCs w:val="21"/>
                <w:highlight w:val="none"/>
              </w:rPr>
            </w:pPr>
          </w:p>
        </w:tc>
      </w:tr>
    </w:tbl>
    <w:p w14:paraId="696C2DE4">
      <w:pPr>
        <w:spacing w:line="360" w:lineRule="exact"/>
        <w:rPr>
          <w:rFonts w:hint="eastAsia" w:hAnsi="宋体"/>
          <w:color w:val="auto"/>
          <w:sz w:val="24"/>
          <w:highlight w:val="none"/>
        </w:rPr>
      </w:pPr>
      <w:r>
        <w:rPr>
          <w:rFonts w:hint="eastAsia" w:hAnsi="宋体"/>
          <w:color w:val="auto"/>
          <w:sz w:val="24"/>
          <w:highlight w:val="none"/>
        </w:rPr>
        <w:t xml:space="preserve">签订日期: </w:t>
      </w:r>
    </w:p>
    <w:p w14:paraId="1DC241A7">
      <w:pPr>
        <w:snapToGrid w:val="0"/>
        <w:spacing w:line="360" w:lineRule="auto"/>
        <w:rPr>
          <w:rFonts w:asciiTheme="minorEastAsia" w:hAnsiTheme="minorEastAsia" w:eastAsiaTheme="minorEastAsia"/>
          <w:snapToGrid w:val="0"/>
          <w:color w:val="auto"/>
          <w:sz w:val="24"/>
          <w:highlight w:val="none"/>
        </w:rPr>
      </w:pPr>
    </w:p>
    <w:p w14:paraId="2A678620">
      <w:pPr>
        <w:spacing w:line="360" w:lineRule="auto"/>
        <w:jc w:val="center"/>
        <w:outlineLvl w:val="0"/>
        <w:rPr>
          <w:rFonts w:asciiTheme="minorEastAsia" w:hAnsiTheme="minorEastAsia" w:eastAsiaTheme="minorEastAsia"/>
          <w:b/>
          <w:color w:val="auto"/>
          <w:sz w:val="36"/>
          <w:szCs w:val="36"/>
          <w:highlight w:val="none"/>
        </w:rPr>
      </w:pPr>
      <w:r>
        <w:rPr>
          <w:rFonts w:asciiTheme="minorEastAsia" w:hAnsiTheme="minorEastAsia" w:eastAsiaTheme="minorEastAsia"/>
          <w:color w:val="auto"/>
          <w:sz w:val="24"/>
          <w:highlight w:val="none"/>
        </w:rPr>
        <w:br w:type="page"/>
      </w:r>
      <w:bookmarkStart w:id="89" w:name="_Toc15456"/>
      <w:r>
        <w:rPr>
          <w:rFonts w:hint="eastAsia" w:asciiTheme="minorEastAsia" w:hAnsiTheme="minorEastAsia" w:eastAsiaTheme="minorEastAsia"/>
          <w:b/>
          <w:color w:val="auto"/>
          <w:sz w:val="36"/>
          <w:szCs w:val="36"/>
          <w:highlight w:val="none"/>
        </w:rPr>
        <w:t>第六章 响应文件格式</w:t>
      </w:r>
      <w:bookmarkEnd w:id="52"/>
      <w:bookmarkEnd w:id="89"/>
    </w:p>
    <w:p w14:paraId="3D29F5C0">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0EA096FC">
      <w:pPr>
        <w:spacing w:line="360" w:lineRule="auto"/>
        <w:rPr>
          <w:rFonts w:asciiTheme="minorEastAsia" w:hAnsiTheme="minorEastAsia" w:eastAsiaTheme="minorEastAsia"/>
          <w:b/>
          <w:color w:val="auto"/>
          <w:sz w:val="30"/>
          <w:szCs w:val="30"/>
          <w:highlight w:val="none"/>
        </w:rPr>
      </w:pPr>
    </w:p>
    <w:p w14:paraId="4D20E322">
      <w:pPr>
        <w:jc w:val="center"/>
        <w:rPr>
          <w:color w:val="auto"/>
          <w:sz w:val="52"/>
          <w:szCs w:val="52"/>
          <w:highlight w:val="none"/>
        </w:rPr>
      </w:pPr>
      <w:bookmarkStart w:id="90" w:name="_Toc19093_WPSOffice_Level1"/>
      <w:bookmarkStart w:id="91" w:name="_Toc32372_WPSOffice_Level1"/>
      <w:bookmarkStart w:id="92" w:name="_Toc4956_WPSOffice_Level1"/>
      <w:r>
        <w:rPr>
          <w:rFonts w:hint="eastAsia"/>
          <w:color w:val="auto"/>
          <w:sz w:val="52"/>
          <w:szCs w:val="52"/>
          <w:highlight w:val="none"/>
        </w:rPr>
        <w:t>项目名称</w:t>
      </w:r>
      <w:bookmarkEnd w:id="90"/>
      <w:bookmarkEnd w:id="91"/>
      <w:bookmarkEnd w:id="92"/>
    </w:p>
    <w:p w14:paraId="2EA88FC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DA42EA7">
      <w:pPr>
        <w:pStyle w:val="7"/>
        <w:rPr>
          <w:color w:val="auto"/>
          <w:highlight w:val="none"/>
        </w:rPr>
      </w:pPr>
    </w:p>
    <w:p w14:paraId="42F9B058">
      <w:pPr>
        <w:jc w:val="center"/>
        <w:rPr>
          <w:color w:val="auto"/>
          <w:sz w:val="84"/>
          <w:szCs w:val="84"/>
          <w:highlight w:val="none"/>
          <w:lang w:val="zh-CN"/>
        </w:rPr>
      </w:pPr>
      <w:r>
        <w:rPr>
          <w:rFonts w:hint="eastAsia"/>
          <w:color w:val="auto"/>
          <w:sz w:val="84"/>
          <w:szCs w:val="84"/>
          <w:highlight w:val="none"/>
          <w:lang w:val="zh-CN"/>
        </w:rPr>
        <w:t>磋</w:t>
      </w:r>
    </w:p>
    <w:p w14:paraId="325E1458">
      <w:pPr>
        <w:jc w:val="center"/>
        <w:rPr>
          <w:color w:val="auto"/>
          <w:sz w:val="84"/>
          <w:szCs w:val="84"/>
          <w:highlight w:val="none"/>
          <w:lang w:val="zh-CN"/>
        </w:rPr>
      </w:pPr>
      <w:r>
        <w:rPr>
          <w:rFonts w:hint="eastAsia"/>
          <w:color w:val="auto"/>
          <w:sz w:val="84"/>
          <w:szCs w:val="84"/>
          <w:highlight w:val="none"/>
          <w:lang w:val="zh-CN"/>
        </w:rPr>
        <w:t>商</w:t>
      </w:r>
    </w:p>
    <w:p w14:paraId="5301C92A">
      <w:pPr>
        <w:jc w:val="center"/>
        <w:rPr>
          <w:color w:val="auto"/>
          <w:sz w:val="84"/>
          <w:szCs w:val="84"/>
          <w:highlight w:val="none"/>
          <w:lang w:val="zh-CN"/>
        </w:rPr>
      </w:pPr>
      <w:r>
        <w:rPr>
          <w:rFonts w:hint="eastAsia"/>
          <w:color w:val="auto"/>
          <w:sz w:val="84"/>
          <w:szCs w:val="84"/>
          <w:highlight w:val="none"/>
          <w:lang w:val="zh-CN"/>
        </w:rPr>
        <w:t>响</w:t>
      </w:r>
    </w:p>
    <w:p w14:paraId="715EFEE2">
      <w:pPr>
        <w:jc w:val="center"/>
        <w:rPr>
          <w:color w:val="auto"/>
          <w:sz w:val="84"/>
          <w:szCs w:val="84"/>
          <w:highlight w:val="none"/>
          <w:lang w:val="zh-CN"/>
        </w:rPr>
      </w:pPr>
      <w:r>
        <w:rPr>
          <w:rFonts w:hint="eastAsia"/>
          <w:color w:val="auto"/>
          <w:sz w:val="84"/>
          <w:szCs w:val="84"/>
          <w:highlight w:val="none"/>
          <w:lang w:val="zh-CN"/>
        </w:rPr>
        <w:t>应</w:t>
      </w:r>
    </w:p>
    <w:p w14:paraId="67DFD4D7">
      <w:pPr>
        <w:jc w:val="center"/>
        <w:rPr>
          <w:color w:val="auto"/>
          <w:sz w:val="84"/>
          <w:szCs w:val="84"/>
          <w:highlight w:val="none"/>
        </w:rPr>
      </w:pPr>
      <w:r>
        <w:rPr>
          <w:rFonts w:hint="eastAsia"/>
          <w:color w:val="auto"/>
          <w:sz w:val="84"/>
          <w:szCs w:val="84"/>
          <w:highlight w:val="none"/>
          <w:lang w:val="zh-CN"/>
        </w:rPr>
        <w:t>文</w:t>
      </w:r>
    </w:p>
    <w:p w14:paraId="3BED67FB">
      <w:pPr>
        <w:jc w:val="center"/>
        <w:rPr>
          <w:color w:val="auto"/>
          <w:sz w:val="84"/>
          <w:szCs w:val="84"/>
          <w:highlight w:val="none"/>
          <w:lang w:val="zh-CN"/>
        </w:rPr>
      </w:pPr>
      <w:r>
        <w:rPr>
          <w:rFonts w:hint="eastAsia"/>
          <w:color w:val="auto"/>
          <w:sz w:val="84"/>
          <w:szCs w:val="84"/>
          <w:highlight w:val="none"/>
          <w:lang w:val="zh-CN"/>
        </w:rPr>
        <w:t>件</w:t>
      </w:r>
    </w:p>
    <w:p w14:paraId="41C39520">
      <w:pPr>
        <w:pStyle w:val="7"/>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0D602C7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供应商全称（电子印章）：</w:t>
      </w:r>
    </w:p>
    <w:p w14:paraId="707E7EF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59F6CE2">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027B839">
      <w:pPr>
        <w:spacing w:line="360" w:lineRule="auto"/>
        <w:ind w:right="532" w:firstLine="562" w:firstLineChars="200"/>
        <w:rPr>
          <w:rFonts w:ascii="宋体" w:hAnsi="宋体"/>
          <w:b/>
          <w:color w:val="auto"/>
          <w:sz w:val="28"/>
          <w:highlight w:val="none"/>
        </w:rPr>
      </w:pPr>
      <w:r>
        <w:rPr>
          <w:rFonts w:hint="eastAsia" w:ascii="宋体" w:hAnsi="宋体"/>
          <w:b/>
          <w:color w:val="auto"/>
          <w:sz w:val="28"/>
          <w:highlight w:val="none"/>
        </w:rPr>
        <w:t>附件2</w:t>
      </w:r>
    </w:p>
    <w:p w14:paraId="41E8E89C">
      <w:pPr>
        <w:adjustRightInd w:val="0"/>
        <w:snapToGrid w:val="0"/>
        <w:spacing w:line="312" w:lineRule="auto"/>
        <w:ind w:right="480"/>
        <w:jc w:val="center"/>
        <w:rPr>
          <w:rFonts w:ascii="宋体" w:hAnsi="宋体"/>
          <w:b/>
          <w:color w:val="auto"/>
          <w:kern w:val="0"/>
          <w:sz w:val="32"/>
          <w:szCs w:val="32"/>
          <w:highlight w:val="none"/>
          <w:lang w:val="zh-CN"/>
        </w:rPr>
      </w:pPr>
      <w:bookmarkStart w:id="93" w:name="_Toc30723_WPSOffice_Level1"/>
      <w:bookmarkStart w:id="94" w:name="_Toc31708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93"/>
      <w:bookmarkEnd w:id="94"/>
    </w:p>
    <w:p w14:paraId="716C340B">
      <w:pPr>
        <w:snapToGrid w:val="0"/>
        <w:spacing w:before="120" w:beforeLines="50" w:after="50" w:line="312" w:lineRule="auto"/>
        <w:rPr>
          <w:rFonts w:ascii="宋体" w:hAnsi="宋体" w:cs="宋体"/>
          <w:color w:val="auto"/>
          <w:kern w:val="0"/>
          <w:sz w:val="22"/>
          <w:szCs w:val="22"/>
          <w:highlight w:val="none"/>
        </w:rPr>
      </w:pPr>
      <w:r>
        <w:rPr>
          <w:rFonts w:hint="eastAsia" w:ascii="宋体" w:hAnsi="宋体" w:cstheme="minorBidi"/>
          <w:color w:val="auto"/>
          <w:sz w:val="22"/>
          <w:szCs w:val="22"/>
          <w:highlight w:val="none"/>
          <w:u w:val="single"/>
        </w:rPr>
        <w:t>××</w:t>
      </w:r>
      <w:r>
        <w:rPr>
          <w:rFonts w:hint="eastAsia" w:ascii="宋体" w:hAnsi="宋体" w:cs="宋体"/>
          <w:color w:val="auto"/>
          <w:kern w:val="0"/>
          <w:sz w:val="22"/>
          <w:szCs w:val="22"/>
          <w:highlight w:val="none"/>
        </w:rPr>
        <w:t>（采购代理机构名称）：</w:t>
      </w:r>
    </w:p>
    <w:p w14:paraId="65D4C065">
      <w:pPr>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u w:val="single"/>
        </w:rPr>
        <w:t>（供应商名称）</w:t>
      </w:r>
      <w:r>
        <w:rPr>
          <w:rFonts w:hint="eastAsia" w:ascii="宋体" w:hAnsi="宋体" w:cs="宋体"/>
          <w:color w:val="auto"/>
          <w:kern w:val="0"/>
          <w:sz w:val="22"/>
          <w:szCs w:val="22"/>
          <w:highlight w:val="none"/>
        </w:rPr>
        <w:t>系中华人民共和国合法企业，经营地址。</w:t>
      </w:r>
    </w:p>
    <w:p w14:paraId="41B03416">
      <w:pPr>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w:t>
      </w:r>
      <w:r>
        <w:rPr>
          <w:rFonts w:hint="eastAsia" w:ascii="宋体" w:hAnsi="宋体" w:cs="宋体"/>
          <w:color w:val="auto"/>
          <w:kern w:val="0"/>
          <w:sz w:val="22"/>
          <w:szCs w:val="22"/>
          <w:highlight w:val="none"/>
          <w:u w:val="single"/>
        </w:rPr>
        <w:t xml:space="preserve"> 姓名 </w:t>
      </w: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供应商名称 </w:t>
      </w:r>
      <w:r>
        <w:rPr>
          <w:rFonts w:hint="eastAsia" w:ascii="宋体" w:hAnsi="宋体" w:cs="宋体"/>
          <w:color w:val="auto"/>
          <w:kern w:val="0"/>
          <w:sz w:val="22"/>
          <w:szCs w:val="22"/>
          <w:highlight w:val="none"/>
        </w:rPr>
        <w:t>）的法定代表人，我公司自愿参加贵方组织的（</w:t>
      </w:r>
      <w:r>
        <w:rPr>
          <w:rFonts w:hint="eastAsia" w:ascii="宋体" w:hAnsi="宋体" w:cs="宋体"/>
          <w:color w:val="auto"/>
          <w:kern w:val="0"/>
          <w:sz w:val="22"/>
          <w:szCs w:val="22"/>
          <w:highlight w:val="none"/>
          <w:u w:val="single"/>
        </w:rPr>
        <w:t>采购项目名称</w:t>
      </w:r>
      <w:r>
        <w:rPr>
          <w:rFonts w:hint="eastAsia" w:ascii="宋体" w:hAnsi="宋体" w:cs="宋体"/>
          <w:color w:val="auto"/>
          <w:kern w:val="0"/>
          <w:sz w:val="22"/>
          <w:szCs w:val="22"/>
          <w:highlight w:val="none"/>
        </w:rPr>
        <w:t>）（编号为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）的竞争性磋商，为此，我公司就本次响应有关事项郑重声明如下：</w:t>
      </w:r>
    </w:p>
    <w:p w14:paraId="55213DC6">
      <w:pPr>
        <w:numPr>
          <w:ilvl w:val="0"/>
          <w:numId w:val="11"/>
        </w:numPr>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14:paraId="10C20AD6">
      <w:pPr>
        <w:numPr>
          <w:ilvl w:val="0"/>
          <w:numId w:val="11"/>
        </w:numPr>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我公司在参与响应前已详细审查了采购文件和所有相关资料，我方完全知悉并认为此采购文件没有倾向性，也没有存在排斥潜在响应供应商的内容，我方对采购文件的所有内容没有任何异议，不申请澄清和质疑。</w:t>
      </w:r>
    </w:p>
    <w:p w14:paraId="0F822E57">
      <w:pPr>
        <w:numPr>
          <w:ilvl w:val="0"/>
          <w:numId w:val="11"/>
        </w:numPr>
        <w:snapToGrid w:val="0"/>
        <w:spacing w:line="360" w:lineRule="auto"/>
        <w:ind w:firstLine="440" w:firstLineChars="200"/>
        <w:rPr>
          <w:rFonts w:ascii="宋体" w:hAnsi="宋体"/>
          <w:color w:val="auto"/>
          <w:sz w:val="22"/>
          <w:szCs w:val="22"/>
          <w:highlight w:val="none"/>
        </w:rPr>
      </w:pPr>
      <w:r>
        <w:rPr>
          <w:rFonts w:hint="eastAsia" w:ascii="宋体" w:hAnsi="宋体" w:cs="宋体"/>
          <w:color w:val="auto"/>
          <w:kern w:val="0"/>
          <w:sz w:val="22"/>
          <w:szCs w:val="22"/>
          <w:highlight w:val="none"/>
        </w:rPr>
        <w:t>我</w:t>
      </w:r>
      <w:r>
        <w:rPr>
          <w:rFonts w:hint="eastAsia" w:ascii="宋体" w:hAnsi="宋体" w:cs="宋体"/>
          <w:color w:val="auto"/>
          <w:kern w:val="0"/>
          <w:sz w:val="22"/>
          <w:szCs w:val="22"/>
          <w:highlight w:val="none"/>
          <w:lang w:val="zh-CN"/>
        </w:rPr>
        <w:t>公司</w:t>
      </w:r>
      <w:r>
        <w:rPr>
          <w:rFonts w:hint="eastAsia" w:ascii="宋体" w:hAnsi="宋体" w:cs="宋体"/>
          <w:color w:val="auto"/>
          <w:kern w:val="0"/>
          <w:sz w:val="22"/>
          <w:szCs w:val="22"/>
          <w:highlight w:val="none"/>
        </w:rPr>
        <w:t>不是采购人的附属机构；</w:t>
      </w:r>
      <w:r>
        <w:rPr>
          <w:rFonts w:hint="eastAsia" w:ascii="宋体" w:hAnsi="宋体"/>
          <w:color w:val="auto"/>
          <w:sz w:val="22"/>
          <w:szCs w:val="22"/>
          <w:highlight w:val="none"/>
        </w:rPr>
        <w:t>在获知本项目采购信息后，与采购人聘请的为此项目提供咨询服务的公司及其附属机构没有任何联系。</w:t>
      </w:r>
    </w:p>
    <w:p w14:paraId="11A5ED40">
      <w:pPr>
        <w:snapToGrid w:val="0"/>
        <w:spacing w:line="360" w:lineRule="auto"/>
        <w:ind w:firstLine="440" w:firstLineChars="200"/>
        <w:rPr>
          <w:rFonts w:ascii="宋体" w:hAnsi="宋体"/>
          <w:color w:val="auto"/>
          <w:kern w:val="0"/>
          <w:sz w:val="22"/>
          <w:szCs w:val="22"/>
          <w:highlight w:val="none"/>
          <w:lang w:val="af-ZA"/>
        </w:rPr>
      </w:pPr>
      <w:r>
        <w:rPr>
          <w:rFonts w:hint="eastAsia" w:ascii="宋体" w:hAnsi="宋体"/>
          <w:color w:val="auto"/>
          <w:sz w:val="22"/>
          <w:szCs w:val="22"/>
          <w:highlight w:val="none"/>
        </w:rPr>
        <w:t>4、</w:t>
      </w:r>
      <w:r>
        <w:rPr>
          <w:rFonts w:hint="eastAsia" w:ascii="宋体" w:hAnsi="宋体" w:cs="宋体"/>
          <w:color w:val="auto"/>
          <w:kern w:val="0"/>
          <w:sz w:val="22"/>
          <w:szCs w:val="22"/>
          <w:highlight w:val="none"/>
        </w:rPr>
        <w:t>我</w:t>
      </w:r>
      <w:r>
        <w:rPr>
          <w:rFonts w:hint="eastAsia" w:ascii="宋体" w:hAnsi="宋体" w:cs="仿宋_GB2312"/>
          <w:color w:val="auto"/>
          <w:kern w:val="0"/>
          <w:sz w:val="22"/>
          <w:szCs w:val="22"/>
          <w:highlight w:val="none"/>
          <w:lang w:val="zh-CN"/>
        </w:rPr>
        <w:t>公司</w:t>
      </w:r>
      <w:r>
        <w:rPr>
          <w:rFonts w:hint="eastAsia" w:ascii="宋体" w:hAnsi="宋体" w:cs="宋体"/>
          <w:color w:val="auto"/>
          <w:kern w:val="0"/>
          <w:sz w:val="22"/>
          <w:szCs w:val="22"/>
          <w:highlight w:val="none"/>
        </w:rPr>
        <w:t>保证，</w:t>
      </w:r>
      <w:r>
        <w:rPr>
          <w:rFonts w:hint="eastAsia" w:ascii="宋体" w:hAnsi="宋体"/>
          <w:color w:val="auto"/>
          <w:kern w:val="0"/>
          <w:sz w:val="22"/>
          <w:szCs w:val="22"/>
          <w:highlight w:val="none"/>
          <w:lang w:val="af-ZA"/>
        </w:rPr>
        <w:t>采购人在中华人民共和国境内使用</w:t>
      </w:r>
      <w:r>
        <w:rPr>
          <w:rFonts w:hint="eastAsia" w:ascii="宋体" w:hAnsi="宋体" w:cs="宋体"/>
          <w:color w:val="auto"/>
          <w:kern w:val="0"/>
          <w:sz w:val="22"/>
          <w:szCs w:val="22"/>
          <w:highlight w:val="none"/>
        </w:rPr>
        <w:t>我</w:t>
      </w:r>
      <w:r>
        <w:rPr>
          <w:rFonts w:hint="eastAsia" w:ascii="宋体" w:hAnsi="宋体" w:cs="仿宋_GB2312"/>
          <w:color w:val="auto"/>
          <w:kern w:val="0"/>
          <w:sz w:val="22"/>
          <w:szCs w:val="22"/>
          <w:highlight w:val="none"/>
          <w:lang w:val="zh-CN"/>
        </w:rPr>
        <w:t>公司</w:t>
      </w:r>
      <w:r>
        <w:rPr>
          <w:rFonts w:hint="eastAsia" w:ascii="宋体" w:hAnsi="宋体"/>
          <w:color w:val="auto"/>
          <w:kern w:val="0"/>
          <w:sz w:val="22"/>
          <w:szCs w:val="22"/>
          <w:highlight w:val="none"/>
          <w:lang w:val="af-ZA"/>
        </w:rPr>
        <w:t>响应货物、资料、技术、服务或其任何一部分时，享有不受限制的无偿使用权，如有第三方向采购人提出侵犯其专利权、商标权或其它知识产权的主张，该责任由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2"/>
          <w:szCs w:val="22"/>
          <w:highlight w:val="none"/>
          <w:lang w:val="af-ZA"/>
        </w:rPr>
        <w:t>我方</w:t>
      </w:r>
      <w:r>
        <w:rPr>
          <w:rFonts w:hint="eastAsia" w:ascii="宋体" w:hAnsi="宋体"/>
          <w:color w:val="auto"/>
          <w:kern w:val="0"/>
          <w:sz w:val="22"/>
          <w:szCs w:val="22"/>
          <w:highlight w:val="none"/>
          <w:lang w:val="af-ZA"/>
        </w:rPr>
        <w:t>承担。</w:t>
      </w:r>
      <w:r>
        <w:rPr>
          <w:rFonts w:hint="eastAsia" w:ascii="宋体" w:hAnsi="宋体" w:cs="宋体"/>
          <w:color w:val="auto"/>
          <w:kern w:val="0"/>
          <w:sz w:val="22"/>
          <w:szCs w:val="22"/>
          <w:highlight w:val="none"/>
          <w:lang w:val="af-ZA"/>
        </w:rPr>
        <w:t>我方的</w:t>
      </w:r>
      <w:r>
        <w:rPr>
          <w:rFonts w:hint="eastAsia" w:ascii="宋体" w:hAnsi="宋体"/>
          <w:color w:val="auto"/>
          <w:kern w:val="0"/>
          <w:sz w:val="22"/>
          <w:szCs w:val="22"/>
          <w:highlight w:val="none"/>
          <w:lang w:val="af-ZA"/>
        </w:rPr>
        <w:t>响应报价</w:t>
      </w:r>
      <w:r>
        <w:rPr>
          <w:rFonts w:hint="eastAsia" w:ascii="宋体" w:hAnsi="宋体" w:cs="宋体"/>
          <w:color w:val="auto"/>
          <w:kern w:val="0"/>
          <w:sz w:val="22"/>
          <w:szCs w:val="22"/>
          <w:highlight w:val="none"/>
          <w:lang w:val="af-ZA"/>
        </w:rPr>
        <w:t>已</w:t>
      </w:r>
      <w:r>
        <w:rPr>
          <w:rFonts w:hint="eastAsia" w:ascii="宋体" w:hAnsi="宋体"/>
          <w:color w:val="auto"/>
          <w:kern w:val="0"/>
          <w:sz w:val="22"/>
          <w:szCs w:val="22"/>
          <w:highlight w:val="none"/>
          <w:lang w:val="af-ZA"/>
        </w:rPr>
        <w:t>包含所有应向所有权人支付的专利权、商标权或其它知识产权的一切相关费用。</w:t>
      </w:r>
    </w:p>
    <w:p w14:paraId="3D40EAC3">
      <w:pPr>
        <w:snapToGrid w:val="0"/>
        <w:spacing w:line="360" w:lineRule="auto"/>
        <w:ind w:firstLine="440" w:firstLineChars="200"/>
        <w:rPr>
          <w:rFonts w:ascii="仿宋_GB2312" w:hAnsi="仿宋_GB2312" w:eastAsia="仿宋_GB2312" w:cs="仿宋_GB2312"/>
          <w:color w:val="auto"/>
          <w:sz w:val="22"/>
          <w:szCs w:val="22"/>
          <w:highlight w:val="none"/>
        </w:rPr>
      </w:pPr>
      <w:r>
        <w:rPr>
          <w:rFonts w:hint="eastAsia" w:ascii="宋体" w:hAnsi="宋体" w:cs="宋体"/>
          <w:color w:val="auto"/>
          <w:kern w:val="0"/>
          <w:sz w:val="22"/>
          <w:szCs w:val="22"/>
          <w:highlight w:val="none"/>
          <w:lang w:val="af-ZA"/>
        </w:rPr>
        <w:t>5、我</w:t>
      </w:r>
      <w:r>
        <w:rPr>
          <w:rFonts w:hint="eastAsia" w:ascii="宋体" w:hAnsi="宋体" w:cs="宋体"/>
          <w:color w:val="auto"/>
          <w:kern w:val="0"/>
          <w:sz w:val="22"/>
          <w:szCs w:val="22"/>
          <w:highlight w:val="none"/>
          <w:lang w:val="zh-CN"/>
        </w:rPr>
        <w:t>公司</w:t>
      </w:r>
      <w:r>
        <w:rPr>
          <w:rFonts w:hint="eastAsia" w:ascii="宋体" w:hAnsi="宋体" w:cs="宋体"/>
          <w:color w:val="auto"/>
          <w:kern w:val="0"/>
          <w:sz w:val="22"/>
          <w:szCs w:val="22"/>
          <w:highlight w:val="none"/>
          <w:lang w:val="af-ZA"/>
        </w:rPr>
        <w:t>严格履行政府采购合同，</w:t>
      </w:r>
      <w:r>
        <w:rPr>
          <w:rFonts w:hint="eastAsia" w:ascii="宋体" w:hAnsi="宋体" w:cs="宋体"/>
          <w:color w:val="auto"/>
          <w:kern w:val="0"/>
          <w:sz w:val="22"/>
          <w:szCs w:val="22"/>
          <w:highlight w:val="none"/>
        </w:rPr>
        <w:t>除在响应文件中明确拒绝之外，均接受磋商文件中的全部条件，</w:t>
      </w:r>
      <w:r>
        <w:rPr>
          <w:rFonts w:hint="eastAsia" w:ascii="宋体" w:hAnsi="宋体" w:cs="宋体"/>
          <w:color w:val="auto"/>
          <w:kern w:val="0"/>
          <w:sz w:val="22"/>
          <w:szCs w:val="22"/>
          <w:highlight w:val="none"/>
          <w:lang w:val="af-ZA"/>
        </w:rPr>
        <w:t>不降低合同约定的产品质量和服务，不擅自变更、中止、终止合同，或拒绝履行合同义务；</w:t>
      </w:r>
    </w:p>
    <w:p w14:paraId="12F28EDA">
      <w:pPr>
        <w:snapToGrid w:val="0"/>
        <w:spacing w:line="360" w:lineRule="auto"/>
        <w:ind w:firstLine="440" w:firstLineChars="200"/>
        <w:rPr>
          <w:rFonts w:ascii="宋体" w:hAnsi="宋体" w:cs="仿宋_GB2312"/>
          <w:color w:val="auto"/>
          <w:kern w:val="0"/>
          <w:sz w:val="22"/>
          <w:szCs w:val="22"/>
          <w:highlight w:val="none"/>
        </w:rPr>
      </w:pPr>
      <w:r>
        <w:rPr>
          <w:rFonts w:hint="eastAsia" w:ascii="宋体" w:hAnsi="宋体"/>
          <w:color w:val="auto"/>
          <w:sz w:val="22"/>
          <w:szCs w:val="22"/>
          <w:highlight w:val="none"/>
        </w:rPr>
        <w:t>6、以上事项如有虚假或隐瞒，我</w:t>
      </w:r>
      <w:r>
        <w:rPr>
          <w:rFonts w:hint="eastAsia" w:ascii="宋体" w:hAnsi="宋体" w:cs="仿宋_GB2312"/>
          <w:color w:val="auto"/>
          <w:kern w:val="0"/>
          <w:sz w:val="22"/>
          <w:szCs w:val="22"/>
          <w:highlight w:val="none"/>
          <w:lang w:val="zh-CN"/>
        </w:rPr>
        <w:t>公司</w:t>
      </w:r>
      <w:r>
        <w:rPr>
          <w:rFonts w:hint="eastAsia" w:ascii="宋体" w:hAnsi="宋体"/>
          <w:color w:val="auto"/>
          <w:sz w:val="22"/>
          <w:szCs w:val="22"/>
          <w:highlight w:val="none"/>
        </w:rPr>
        <w:t>愿意承担一切后果，并不再寻求任何旨在减轻或免除法律责任的辩解。</w:t>
      </w:r>
    </w:p>
    <w:p w14:paraId="78D927F8">
      <w:pPr>
        <w:adjustRightInd w:val="0"/>
        <w:snapToGrid w:val="0"/>
        <w:spacing w:line="360" w:lineRule="auto"/>
        <w:ind w:firstLine="4290" w:firstLineChars="1950"/>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 xml:space="preserve">    供应商名称(电子印章)：</w:t>
      </w:r>
    </w:p>
    <w:p w14:paraId="400FAC71">
      <w:pPr>
        <w:adjustRightInd w:val="0"/>
        <w:snapToGrid w:val="0"/>
        <w:spacing w:line="360" w:lineRule="auto"/>
        <w:ind w:left="4861" w:leftChars="114" w:hanging="4622" w:hangingChars="2101"/>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 xml:space="preserve">                                     法定代表人或授权委托人签字或电子印章：                                       日期：</w:t>
      </w:r>
      <w:r>
        <w:rPr>
          <w:rFonts w:hint="eastAsia" w:ascii="宋体" w:hAnsi="宋体" w:cstheme="minorBidi"/>
          <w:color w:val="auto"/>
          <w:sz w:val="22"/>
          <w:szCs w:val="22"/>
          <w:highlight w:val="none"/>
        </w:rPr>
        <w:t>××</w:t>
      </w:r>
      <w:r>
        <w:rPr>
          <w:rFonts w:hint="eastAsia" w:ascii="宋体" w:hAnsi="宋体" w:cs="仿宋_GB2312"/>
          <w:color w:val="auto"/>
          <w:kern w:val="0"/>
          <w:sz w:val="22"/>
          <w:szCs w:val="22"/>
          <w:highlight w:val="none"/>
          <w:lang w:val="zh-CN"/>
        </w:rPr>
        <w:t xml:space="preserve">年 </w:t>
      </w:r>
      <w:r>
        <w:rPr>
          <w:rFonts w:hint="eastAsia" w:ascii="宋体" w:hAnsi="宋体" w:cstheme="minorBidi"/>
          <w:color w:val="auto"/>
          <w:sz w:val="22"/>
          <w:szCs w:val="22"/>
          <w:highlight w:val="none"/>
        </w:rPr>
        <w:t>××</w:t>
      </w:r>
      <w:r>
        <w:rPr>
          <w:rFonts w:hint="eastAsia" w:ascii="宋体" w:hAnsi="宋体" w:cs="仿宋_GB2312"/>
          <w:color w:val="auto"/>
          <w:kern w:val="0"/>
          <w:sz w:val="22"/>
          <w:szCs w:val="22"/>
          <w:highlight w:val="none"/>
          <w:lang w:val="zh-CN"/>
        </w:rPr>
        <w:t xml:space="preserve"> 月 </w:t>
      </w:r>
      <w:r>
        <w:rPr>
          <w:rFonts w:hint="eastAsia" w:ascii="宋体" w:hAnsi="宋体" w:cstheme="minorBidi"/>
          <w:color w:val="auto"/>
          <w:sz w:val="22"/>
          <w:szCs w:val="22"/>
          <w:highlight w:val="none"/>
        </w:rPr>
        <w:t>××</w:t>
      </w:r>
      <w:r>
        <w:rPr>
          <w:rFonts w:hint="eastAsia" w:ascii="宋体" w:hAnsi="宋体" w:cs="仿宋_GB2312"/>
          <w:color w:val="auto"/>
          <w:kern w:val="0"/>
          <w:sz w:val="22"/>
          <w:szCs w:val="22"/>
          <w:highlight w:val="none"/>
          <w:lang w:val="zh-CN"/>
        </w:rPr>
        <w:t xml:space="preserve"> 日</w:t>
      </w:r>
    </w:p>
    <w:p w14:paraId="175A6F5C">
      <w:pPr>
        <w:adjustRightInd w:val="0"/>
        <w:snapToGrid w:val="0"/>
        <w:spacing w:line="360" w:lineRule="auto"/>
        <w:ind w:right="480"/>
        <w:rPr>
          <w:rFonts w:hint="eastAsia" w:ascii="宋体" w:hAnsi="宋体"/>
          <w:b/>
          <w:color w:val="auto"/>
          <w:sz w:val="24"/>
          <w:szCs w:val="22"/>
          <w:highlight w:val="none"/>
        </w:rPr>
        <w:sectPr>
          <w:pgSz w:w="11906" w:h="16838"/>
          <w:pgMar w:top="1440" w:right="1800" w:bottom="1440" w:left="1800" w:header="851" w:footer="992" w:gutter="0"/>
          <w:cols w:space="720" w:num="1"/>
          <w:docGrid w:type="lines" w:linePitch="312" w:charSpace="0"/>
        </w:sectPr>
      </w:pPr>
    </w:p>
    <w:p w14:paraId="7E7FBD91">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5019F7C2">
      <w:pPr>
        <w:spacing w:line="360" w:lineRule="auto"/>
        <w:ind w:firstLine="321" w:firstLineChars="100"/>
        <w:jc w:val="center"/>
        <w:rPr>
          <w:rFonts w:hAnsi="宋体"/>
          <w:b/>
          <w:color w:val="auto"/>
          <w:sz w:val="32"/>
          <w:szCs w:val="32"/>
          <w:highlight w:val="none"/>
          <w:u w:val="single"/>
        </w:rPr>
      </w:pPr>
      <w:bookmarkStart w:id="95" w:name="_Toc6870_WPSOffice_Level1"/>
      <w:bookmarkStart w:id="96"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95"/>
      <w:bookmarkEnd w:id="96"/>
    </w:p>
    <w:p w14:paraId="58EA458A">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（采购代理机构名称）：</w:t>
      </w:r>
    </w:p>
    <w:p w14:paraId="3F782803">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14:paraId="7076D754">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B423EBC">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474327E">
      <w:pPr>
        <w:spacing w:line="360" w:lineRule="auto"/>
        <w:rPr>
          <w:color w:val="auto"/>
          <w:sz w:val="24"/>
          <w:highlight w:val="none"/>
        </w:rPr>
      </w:pPr>
    </w:p>
    <w:p w14:paraId="73DB8E39">
      <w:pPr>
        <w:spacing w:line="360" w:lineRule="auto"/>
        <w:rPr>
          <w:color w:val="auto"/>
          <w:sz w:val="24"/>
          <w:highlight w:val="none"/>
        </w:rPr>
      </w:pPr>
      <w:r>
        <w:rPr>
          <w:rFonts w:hint="eastAsia" w:ascii="宋体"/>
          <w:color w:val="auto"/>
          <w:sz w:val="24"/>
          <w:highlight w:val="none"/>
        </w:rPr>
        <w:t>法定代表人签字或盖章：</w:t>
      </w:r>
    </w:p>
    <w:p w14:paraId="61911D67">
      <w:pPr>
        <w:spacing w:line="360" w:lineRule="auto"/>
        <w:rPr>
          <w:color w:val="auto"/>
          <w:sz w:val="24"/>
          <w:highlight w:val="none"/>
        </w:rPr>
      </w:pPr>
      <w:r>
        <w:rPr>
          <w:rFonts w:hint="eastAsia" w:ascii="宋体"/>
          <w:color w:val="auto"/>
          <w:sz w:val="24"/>
          <w:highlight w:val="none"/>
        </w:rPr>
        <w:t>供应商全称（电子印章）：                              日期：</w:t>
      </w:r>
    </w:p>
    <w:p w14:paraId="1056EA8D">
      <w:pPr>
        <w:spacing w:line="360" w:lineRule="auto"/>
        <w:rPr>
          <w:color w:val="auto"/>
          <w:sz w:val="24"/>
          <w:highlight w:val="none"/>
        </w:rPr>
      </w:pPr>
    </w:p>
    <w:p w14:paraId="026CBF45">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09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2B2524B">
            <w:pPr>
              <w:spacing w:line="360" w:lineRule="auto"/>
              <w:rPr>
                <w:rFonts w:ascii="宋体"/>
                <w:b/>
                <w:color w:val="auto"/>
                <w:sz w:val="24"/>
                <w:highlight w:val="none"/>
              </w:rPr>
            </w:pPr>
          </w:p>
          <w:p w14:paraId="1929DEB4">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14:paraId="7BD2A61F">
      <w:pPr>
        <w:spacing w:line="360" w:lineRule="auto"/>
        <w:rPr>
          <w:color w:val="auto"/>
          <w:sz w:val="24"/>
          <w:highlight w:val="none"/>
        </w:rPr>
      </w:pPr>
      <w:r>
        <w:rPr>
          <w:rFonts w:hint="eastAsia" w:ascii="宋体"/>
          <w:color w:val="auto"/>
          <w:sz w:val="24"/>
          <w:highlight w:val="none"/>
        </w:rPr>
        <w:t xml:space="preserve">法定代表人姓名：                                 </w:t>
      </w:r>
    </w:p>
    <w:p w14:paraId="02FC1D80">
      <w:pPr>
        <w:spacing w:line="360" w:lineRule="auto"/>
        <w:rPr>
          <w:color w:val="auto"/>
          <w:sz w:val="24"/>
          <w:highlight w:val="none"/>
        </w:rPr>
      </w:pPr>
      <w:r>
        <w:rPr>
          <w:rFonts w:hint="eastAsia" w:ascii="宋体"/>
          <w:color w:val="auto"/>
          <w:sz w:val="24"/>
          <w:highlight w:val="none"/>
        </w:rPr>
        <w:t>传真：</w:t>
      </w:r>
    </w:p>
    <w:p w14:paraId="755E17D1">
      <w:pPr>
        <w:spacing w:line="360" w:lineRule="auto"/>
        <w:rPr>
          <w:rFonts w:ascii="宋体"/>
          <w:color w:val="auto"/>
          <w:sz w:val="24"/>
          <w:highlight w:val="none"/>
        </w:rPr>
      </w:pPr>
      <w:r>
        <w:rPr>
          <w:rFonts w:hint="eastAsia" w:ascii="宋体"/>
          <w:color w:val="auto"/>
          <w:sz w:val="24"/>
          <w:highlight w:val="none"/>
        </w:rPr>
        <w:t>电话：</w:t>
      </w:r>
    </w:p>
    <w:p w14:paraId="26534A5F">
      <w:pPr>
        <w:spacing w:line="360" w:lineRule="auto"/>
        <w:rPr>
          <w:color w:val="auto"/>
          <w:sz w:val="24"/>
          <w:highlight w:val="none"/>
        </w:rPr>
      </w:pPr>
      <w:r>
        <w:rPr>
          <w:rFonts w:hint="eastAsia" w:ascii="宋体"/>
          <w:color w:val="auto"/>
          <w:sz w:val="24"/>
          <w:highlight w:val="none"/>
        </w:rPr>
        <w:t>详细通讯地址：</w:t>
      </w:r>
    </w:p>
    <w:p w14:paraId="5588F073">
      <w:pPr>
        <w:spacing w:line="360" w:lineRule="auto"/>
        <w:rPr>
          <w:rFonts w:ascii="宋体"/>
          <w:color w:val="auto"/>
          <w:sz w:val="24"/>
          <w:highlight w:val="none"/>
        </w:rPr>
      </w:pPr>
      <w:r>
        <w:rPr>
          <w:rFonts w:hint="eastAsia" w:ascii="宋体"/>
          <w:color w:val="auto"/>
          <w:sz w:val="24"/>
          <w:highlight w:val="none"/>
        </w:rPr>
        <w:t>邮政编码：</w:t>
      </w:r>
    </w:p>
    <w:p w14:paraId="2AFA5243">
      <w:pPr>
        <w:spacing w:line="360" w:lineRule="auto"/>
        <w:rPr>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6C6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16DE8D5">
            <w:pPr>
              <w:spacing w:line="360" w:lineRule="auto"/>
              <w:rPr>
                <w:rFonts w:ascii="宋体"/>
                <w:b/>
                <w:color w:val="auto"/>
                <w:sz w:val="24"/>
                <w:highlight w:val="none"/>
              </w:rPr>
            </w:pPr>
          </w:p>
          <w:p w14:paraId="2137956A">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14:paraId="79943EA1">
      <w:pPr>
        <w:spacing w:line="360" w:lineRule="auto"/>
        <w:rPr>
          <w:rFonts w:ascii="宋体"/>
          <w:color w:val="auto"/>
          <w:sz w:val="24"/>
          <w:highlight w:val="none"/>
        </w:rPr>
      </w:pPr>
      <w:r>
        <w:rPr>
          <w:rFonts w:hint="eastAsia" w:ascii="宋体"/>
          <w:color w:val="auto"/>
          <w:sz w:val="24"/>
          <w:highlight w:val="none"/>
        </w:rPr>
        <w:t xml:space="preserve">全权代表姓名：       </w:t>
      </w:r>
    </w:p>
    <w:p w14:paraId="4228DF90">
      <w:pPr>
        <w:spacing w:line="360" w:lineRule="auto"/>
        <w:rPr>
          <w:color w:val="auto"/>
          <w:sz w:val="24"/>
          <w:highlight w:val="none"/>
        </w:rPr>
      </w:pPr>
      <w:r>
        <w:rPr>
          <w:rFonts w:hint="eastAsia" w:ascii="宋体"/>
          <w:color w:val="auto"/>
          <w:sz w:val="24"/>
          <w:highlight w:val="none"/>
        </w:rPr>
        <w:t xml:space="preserve">职务：                           </w:t>
      </w:r>
    </w:p>
    <w:p w14:paraId="5D7B008A">
      <w:pPr>
        <w:spacing w:line="360" w:lineRule="auto"/>
        <w:rPr>
          <w:color w:val="auto"/>
          <w:sz w:val="24"/>
          <w:highlight w:val="none"/>
        </w:rPr>
      </w:pPr>
      <w:r>
        <w:rPr>
          <w:rFonts w:hint="eastAsia" w:ascii="宋体"/>
          <w:color w:val="auto"/>
          <w:sz w:val="24"/>
          <w:highlight w:val="none"/>
        </w:rPr>
        <w:t>传真：</w:t>
      </w:r>
    </w:p>
    <w:p w14:paraId="122C4836">
      <w:pPr>
        <w:spacing w:line="360" w:lineRule="auto"/>
        <w:rPr>
          <w:rFonts w:ascii="宋体"/>
          <w:color w:val="auto"/>
          <w:sz w:val="24"/>
          <w:highlight w:val="none"/>
        </w:rPr>
      </w:pPr>
      <w:r>
        <w:rPr>
          <w:rFonts w:hint="eastAsia" w:ascii="宋体"/>
          <w:color w:val="auto"/>
          <w:sz w:val="24"/>
          <w:highlight w:val="none"/>
        </w:rPr>
        <w:t>电话：</w:t>
      </w:r>
    </w:p>
    <w:p w14:paraId="5D897ECB">
      <w:pPr>
        <w:spacing w:line="360" w:lineRule="auto"/>
        <w:rPr>
          <w:color w:val="auto"/>
          <w:sz w:val="24"/>
          <w:highlight w:val="none"/>
        </w:rPr>
      </w:pPr>
      <w:r>
        <w:rPr>
          <w:rFonts w:hint="eastAsia" w:ascii="宋体"/>
          <w:color w:val="auto"/>
          <w:sz w:val="24"/>
          <w:highlight w:val="none"/>
        </w:rPr>
        <w:t>详细通讯地址：</w:t>
      </w:r>
    </w:p>
    <w:p w14:paraId="7A87EE72">
      <w:pPr>
        <w:spacing w:line="360" w:lineRule="auto"/>
        <w:rPr>
          <w:rFonts w:ascii="宋体"/>
          <w:color w:val="auto"/>
          <w:sz w:val="24"/>
          <w:highlight w:val="none"/>
        </w:rPr>
      </w:pPr>
      <w:r>
        <w:rPr>
          <w:rFonts w:hint="eastAsia" w:ascii="宋体"/>
          <w:color w:val="auto"/>
          <w:sz w:val="24"/>
          <w:highlight w:val="none"/>
        </w:rPr>
        <w:t>邮政编码：</w:t>
      </w:r>
    </w:p>
    <w:p w14:paraId="7FCA16E0">
      <w:pPr>
        <w:rPr>
          <w:rFonts w:ascii="宋体" w:hAnsi="宋体"/>
          <w:b/>
          <w:color w:val="auto"/>
          <w:sz w:val="28"/>
          <w:highlight w:val="none"/>
        </w:rPr>
      </w:pPr>
      <w:r>
        <w:rPr>
          <w:rFonts w:hint="eastAsia" w:ascii="宋体" w:hAnsi="宋体"/>
          <w:b/>
          <w:color w:val="auto"/>
          <w:sz w:val="28"/>
          <w:highlight w:val="none"/>
        </w:rPr>
        <w:br w:type="page"/>
      </w:r>
    </w:p>
    <w:p w14:paraId="6B3EDC78">
      <w:pPr>
        <w:spacing w:after="240" w:afterLines="100" w:line="480" w:lineRule="auto"/>
        <w:jc w:val="left"/>
        <w:rPr>
          <w:b/>
          <w:color w:val="auto"/>
          <w:sz w:val="28"/>
          <w:highlight w:val="none"/>
        </w:rPr>
      </w:pPr>
      <w:bookmarkStart w:id="97" w:name="_Toc351_WPSOffice_Level1"/>
      <w:bookmarkStart w:id="98" w:name="_Toc20519_WPSOffice_Level1"/>
      <w:r>
        <w:rPr>
          <w:rFonts w:hint="eastAsia"/>
          <w:b/>
          <w:color w:val="auto"/>
          <w:sz w:val="28"/>
          <w:highlight w:val="none"/>
        </w:rPr>
        <w:t>附件4</w:t>
      </w:r>
      <w:bookmarkStart w:id="99" w:name="_Toc51489575"/>
    </w:p>
    <w:bookmarkEnd w:id="99"/>
    <w:p w14:paraId="3B4AA3DD">
      <w:pPr>
        <w:spacing w:after="240" w:afterLines="100" w:line="480" w:lineRule="auto"/>
        <w:jc w:val="center"/>
        <w:rPr>
          <w:rFonts w:ascii="宋体" w:hAnsi="宋体" w:cs="宋体"/>
          <w:color w:val="auto"/>
          <w:sz w:val="28"/>
          <w:szCs w:val="28"/>
          <w:highlight w:val="none"/>
        </w:rPr>
      </w:pPr>
      <w:r>
        <w:rPr>
          <w:rFonts w:hint="eastAsia" w:ascii="宋体" w:hAnsi="宋体" w:cs="宋体"/>
          <w:b/>
          <w:bCs/>
          <w:color w:val="auto"/>
          <w:kern w:val="0"/>
          <w:sz w:val="32"/>
          <w:szCs w:val="32"/>
          <w:highlight w:val="none"/>
          <w:lang w:val="zh-CN"/>
        </w:rPr>
        <w:t>符合参与政府采购活动的资格条件、具备良好的商业信誉和健全的财务会计制度并且没有税收缴纳、社会保障等方面的失信记录的承诺函</w:t>
      </w:r>
    </w:p>
    <w:p w14:paraId="16483FCE">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（采购人）</w:t>
      </w:r>
    </w:p>
    <w:p w14:paraId="47154EAA">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14:paraId="726E215D">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1.我公司符合参与政府采购活动的资格条件，不存在税收缴纳、社会保障等方面的失信记录。</w:t>
      </w:r>
    </w:p>
    <w:p w14:paraId="7B3E3010">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2.我公司具有良好的商业信誉和健全的财务会计制度。</w:t>
      </w:r>
    </w:p>
    <w:p w14:paraId="15704F21">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14:paraId="683AC5FE">
      <w:pPr>
        <w:snapToGrid w:val="0"/>
        <w:spacing w:line="480" w:lineRule="auto"/>
        <w:ind w:firstLine="480" w:firstLineChars="200"/>
        <w:jc w:val="left"/>
        <w:rPr>
          <w:rFonts w:ascii="宋体" w:hAnsi="宋体" w:cs="宋体"/>
          <w:color w:val="auto"/>
          <w:sz w:val="24"/>
          <w:highlight w:val="none"/>
        </w:rPr>
      </w:pPr>
    </w:p>
    <w:p w14:paraId="7CF68BAB">
      <w:pPr>
        <w:spacing w:line="360" w:lineRule="auto"/>
        <w:ind w:firstLine="424" w:firstLineChars="177"/>
        <w:rPr>
          <w:rFonts w:ascii="宋体" w:hAnsi="宋体"/>
          <w:color w:val="auto"/>
          <w:sz w:val="24"/>
          <w:highlight w:val="none"/>
        </w:rPr>
      </w:pPr>
    </w:p>
    <w:p w14:paraId="537A9CE7">
      <w:pPr>
        <w:spacing w:line="360" w:lineRule="auto"/>
        <w:ind w:firstLine="424" w:firstLineChars="177"/>
        <w:rPr>
          <w:rFonts w:ascii="宋体" w:hAnsi="宋体"/>
          <w:color w:val="auto"/>
          <w:sz w:val="24"/>
          <w:highlight w:val="none"/>
        </w:rPr>
      </w:pPr>
    </w:p>
    <w:p w14:paraId="5A0EBCF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3588D513">
      <w:pPr>
        <w:spacing w:line="360" w:lineRule="auto"/>
        <w:ind w:left="420"/>
        <w:rPr>
          <w:rFonts w:ascii="宋体" w:hAnsi="宋体"/>
          <w:color w:val="auto"/>
          <w:sz w:val="24"/>
          <w:highlight w:val="none"/>
        </w:rPr>
      </w:pPr>
    </w:p>
    <w:p w14:paraId="4786AF44">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AB1D109">
      <w:pPr>
        <w:spacing w:line="360" w:lineRule="auto"/>
        <w:rPr>
          <w:rFonts w:ascii="宋体" w:hAnsi="宋体"/>
          <w:color w:val="auto"/>
          <w:sz w:val="24"/>
          <w:highlight w:val="none"/>
        </w:rPr>
      </w:pPr>
    </w:p>
    <w:p w14:paraId="767FAA56">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64D4266D">
      <w:pPr>
        <w:widowControl/>
        <w:jc w:val="left"/>
        <w:rPr>
          <w:b/>
          <w:bCs/>
          <w:color w:val="auto"/>
          <w:sz w:val="32"/>
          <w:szCs w:val="32"/>
          <w:highlight w:val="none"/>
          <w:lang w:val="zh-CN"/>
        </w:rPr>
      </w:pPr>
    </w:p>
    <w:p w14:paraId="2AA49F73">
      <w:pPr>
        <w:widowControl/>
        <w:jc w:val="left"/>
        <w:rPr>
          <w:rFonts w:ascii="宋体" w:hAnsi="Courier New"/>
          <w:b/>
          <w:bCs/>
          <w:color w:val="auto"/>
          <w:sz w:val="24"/>
          <w:szCs w:val="20"/>
          <w:highlight w:val="none"/>
          <w:lang w:val="zh-CN"/>
        </w:rPr>
      </w:pPr>
    </w:p>
    <w:p w14:paraId="580136F1">
      <w:pPr>
        <w:widowControl/>
        <w:jc w:val="left"/>
        <w:rPr>
          <w:rFonts w:ascii="宋体" w:hAnsi="宋体"/>
          <w:b/>
          <w:color w:val="auto"/>
          <w:sz w:val="24"/>
          <w:szCs w:val="20"/>
          <w:highlight w:val="none"/>
        </w:rPr>
      </w:pPr>
      <w:r>
        <w:rPr>
          <w:rFonts w:hAnsi="宋体"/>
          <w:b/>
          <w:color w:val="auto"/>
          <w:sz w:val="24"/>
          <w:highlight w:val="none"/>
        </w:rPr>
        <w:br w:type="page"/>
      </w:r>
    </w:p>
    <w:p w14:paraId="52E3773F">
      <w:pPr>
        <w:ind w:left="25" w:leftChars="-150" w:right="-296" w:rightChars="-141" w:hanging="340" w:hangingChars="121"/>
        <w:jc w:val="left"/>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64B1CB26">
      <w:pPr>
        <w:pStyle w:val="38"/>
        <w:shd w:val="clear" w:color="auto" w:fill="FFFFFF"/>
        <w:spacing w:before="0" w:beforeAutospacing="0" w:after="0" w:afterAutospacing="0" w:line="360" w:lineRule="auto"/>
        <w:rPr>
          <w:b/>
          <w:color w:val="auto"/>
          <w:sz w:val="28"/>
          <w:highlight w:val="none"/>
        </w:rPr>
      </w:pPr>
    </w:p>
    <w:p w14:paraId="6B6E82CE">
      <w:pPr>
        <w:spacing w:after="240" w:afterLines="100"/>
        <w:jc w:val="center"/>
        <w:rPr>
          <w:rFonts w:ascii="宋体" w:hAnsi="宋体" w:cs="仿宋_GB2312"/>
          <w:b/>
          <w:bCs/>
          <w:color w:val="auto"/>
          <w:kern w:val="0"/>
          <w:sz w:val="24"/>
          <w:highlight w:val="none"/>
          <w:lang w:val="zh-CN"/>
        </w:rPr>
      </w:pPr>
    </w:p>
    <w:p w14:paraId="56CF65E8">
      <w:pPr>
        <w:spacing w:after="240"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5EADFDCC">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（采购人）</w:t>
      </w:r>
    </w:p>
    <w:p w14:paraId="19AE7043">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lang w:eastAsia="zh-CN"/>
        </w:rPr>
        <w:t>椒江区梓杨河（山门村段）治理工程</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ZJXCX-2024-101号</w:t>
      </w:r>
      <w:r>
        <w:rPr>
          <w:rFonts w:hint="eastAsia" w:ascii="宋体" w:hAnsi="宋体" w:cs="仿宋_GB2312"/>
          <w:bCs/>
          <w:color w:val="auto"/>
          <w:kern w:val="0"/>
          <w:sz w:val="24"/>
          <w:highlight w:val="none"/>
          <w:lang w:val="zh-CN"/>
        </w:rPr>
        <w:t>）竞争性磋商，我方在完全理解本项目采购的技术要求、商务条款及其他内容后，决定参与该项目</w:t>
      </w:r>
      <w:r>
        <w:rPr>
          <w:rFonts w:hint="eastAsia" w:ascii="宋体" w:hAnsi="宋体"/>
          <w:color w:val="auto"/>
          <w:sz w:val="24"/>
          <w:highlight w:val="none"/>
        </w:rPr>
        <w:t>的响应活动。并承诺，如成交，我方将提供足够的设备和专业技术能力保证本合同履行。</w:t>
      </w:r>
    </w:p>
    <w:p w14:paraId="5ACEB0E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本公司安全生产条件及相关管理人员（包括A类人员、拟派的项目负责人和施工现场专职安全生产管理人员）安全生产任职资格符合相关规定。</w:t>
      </w:r>
    </w:p>
    <w:p w14:paraId="7AC71ED9">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F0953E7">
      <w:pPr>
        <w:spacing w:line="360" w:lineRule="auto"/>
        <w:ind w:firstLine="424" w:firstLineChars="177"/>
        <w:rPr>
          <w:rFonts w:ascii="宋体" w:hAnsi="宋体"/>
          <w:color w:val="auto"/>
          <w:sz w:val="24"/>
          <w:highlight w:val="none"/>
        </w:rPr>
      </w:pPr>
    </w:p>
    <w:p w14:paraId="7948F974">
      <w:pPr>
        <w:spacing w:line="360" w:lineRule="auto"/>
        <w:ind w:firstLine="424" w:firstLineChars="177"/>
        <w:rPr>
          <w:rFonts w:ascii="宋体" w:hAnsi="宋体"/>
          <w:color w:val="auto"/>
          <w:sz w:val="24"/>
          <w:highlight w:val="none"/>
        </w:rPr>
      </w:pPr>
    </w:p>
    <w:p w14:paraId="1922F686">
      <w:pPr>
        <w:spacing w:line="360" w:lineRule="auto"/>
        <w:ind w:firstLine="424" w:firstLineChars="177"/>
        <w:rPr>
          <w:rFonts w:ascii="宋体" w:hAnsi="宋体"/>
          <w:color w:val="auto"/>
          <w:sz w:val="24"/>
          <w:highlight w:val="none"/>
        </w:rPr>
      </w:pPr>
    </w:p>
    <w:p w14:paraId="3F915FDE">
      <w:pPr>
        <w:spacing w:line="360" w:lineRule="auto"/>
        <w:ind w:firstLine="424" w:firstLineChars="177"/>
        <w:rPr>
          <w:rFonts w:ascii="宋体" w:hAnsi="宋体"/>
          <w:color w:val="auto"/>
          <w:sz w:val="24"/>
          <w:highlight w:val="none"/>
        </w:rPr>
      </w:pPr>
    </w:p>
    <w:p w14:paraId="4732858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5E0D1301">
      <w:pPr>
        <w:spacing w:line="360" w:lineRule="auto"/>
        <w:ind w:left="420"/>
        <w:rPr>
          <w:rFonts w:ascii="宋体" w:hAnsi="宋体"/>
          <w:color w:val="auto"/>
          <w:sz w:val="24"/>
          <w:highlight w:val="none"/>
        </w:rPr>
      </w:pPr>
    </w:p>
    <w:p w14:paraId="71557C9C">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5D7DE694">
      <w:pPr>
        <w:spacing w:line="360" w:lineRule="auto"/>
        <w:rPr>
          <w:rFonts w:ascii="宋体" w:hAnsi="宋体"/>
          <w:color w:val="auto"/>
          <w:sz w:val="24"/>
          <w:highlight w:val="none"/>
        </w:rPr>
      </w:pPr>
    </w:p>
    <w:p w14:paraId="73687CAA">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1F6D0C1">
      <w:pPr>
        <w:widowControl/>
        <w:jc w:val="left"/>
        <w:rPr>
          <w:b/>
          <w:bCs/>
          <w:color w:val="auto"/>
          <w:sz w:val="32"/>
          <w:szCs w:val="32"/>
          <w:highlight w:val="none"/>
          <w:lang w:val="zh-CN"/>
        </w:rPr>
      </w:pPr>
    </w:p>
    <w:p w14:paraId="264BCE96">
      <w:pPr>
        <w:pStyle w:val="38"/>
        <w:shd w:val="clear" w:color="auto" w:fill="FFFFFF"/>
        <w:spacing w:before="0" w:beforeAutospacing="0" w:after="0" w:afterAutospacing="0" w:line="360" w:lineRule="auto"/>
        <w:rPr>
          <w:rFonts w:ascii="宋体" w:hAnsi="宋体"/>
          <w:b/>
          <w:color w:val="auto"/>
          <w:sz w:val="28"/>
          <w:highlight w:val="none"/>
        </w:rPr>
      </w:pPr>
    </w:p>
    <w:p w14:paraId="04D878E3">
      <w:pPr>
        <w:pStyle w:val="38"/>
        <w:shd w:val="clear" w:color="auto" w:fill="FFFFFF"/>
        <w:spacing w:before="0" w:beforeAutospacing="0" w:after="0" w:afterAutospacing="0" w:line="360" w:lineRule="auto"/>
        <w:rPr>
          <w:rFonts w:ascii="宋体" w:hAnsi="宋体"/>
          <w:b/>
          <w:color w:val="auto"/>
          <w:sz w:val="28"/>
          <w:highlight w:val="none"/>
        </w:rPr>
      </w:pPr>
    </w:p>
    <w:p w14:paraId="45898124">
      <w:pPr>
        <w:pStyle w:val="38"/>
        <w:shd w:val="clear" w:color="auto" w:fill="FFFFFF"/>
        <w:spacing w:before="0" w:beforeAutospacing="0" w:after="0" w:afterAutospacing="0" w:line="360" w:lineRule="auto"/>
        <w:rPr>
          <w:rFonts w:ascii="宋体" w:hAnsi="宋体"/>
          <w:b/>
          <w:color w:val="auto"/>
          <w:sz w:val="28"/>
          <w:highlight w:val="none"/>
        </w:rPr>
      </w:pPr>
    </w:p>
    <w:p w14:paraId="2C9BF816">
      <w:pPr>
        <w:pStyle w:val="38"/>
        <w:shd w:val="clear" w:color="auto" w:fill="FFFFFF"/>
        <w:spacing w:before="0" w:beforeAutospacing="0" w:after="0" w:afterAutospacing="0" w:line="360" w:lineRule="auto"/>
        <w:rPr>
          <w:rFonts w:ascii="宋体" w:hAnsi="宋体"/>
          <w:b/>
          <w:color w:val="auto"/>
          <w:sz w:val="28"/>
          <w:highlight w:val="none"/>
        </w:rPr>
      </w:pPr>
    </w:p>
    <w:p w14:paraId="582D4517">
      <w:pPr>
        <w:pStyle w:val="38"/>
        <w:shd w:val="clear" w:color="auto" w:fill="FFFFFF"/>
        <w:spacing w:before="0" w:beforeAutospacing="0" w:after="0" w:afterAutospacing="0" w:line="360" w:lineRule="auto"/>
        <w:rPr>
          <w:rFonts w:ascii="宋体" w:hAnsi="宋体"/>
          <w:b/>
          <w:color w:val="auto"/>
          <w:sz w:val="28"/>
          <w:highlight w:val="none"/>
        </w:rPr>
      </w:pPr>
    </w:p>
    <w:p w14:paraId="25451DFB">
      <w:pPr>
        <w:pStyle w:val="38"/>
        <w:shd w:val="clear" w:color="auto" w:fill="FFFFFF"/>
        <w:spacing w:before="0" w:beforeAutospacing="0" w:after="0" w:afterAutospacing="0" w:line="360" w:lineRule="auto"/>
        <w:rPr>
          <w:rFonts w:ascii="宋体" w:hAnsi="宋体"/>
          <w:b/>
          <w:color w:val="auto"/>
          <w:sz w:val="28"/>
          <w:highlight w:val="none"/>
        </w:rPr>
      </w:pPr>
    </w:p>
    <w:p w14:paraId="63A065B7">
      <w:pPr>
        <w:pStyle w:val="38"/>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6</w:t>
      </w:r>
    </w:p>
    <w:p w14:paraId="007FFB13">
      <w:pPr>
        <w:adjustRightInd w:val="0"/>
        <w:snapToGrid w:val="0"/>
        <w:spacing w:line="360" w:lineRule="auto"/>
        <w:ind w:right="480"/>
        <w:rPr>
          <w:rFonts w:ascii="宋体" w:hAnsi="宋体"/>
          <w:b/>
          <w:color w:val="auto"/>
          <w:sz w:val="28"/>
          <w:highlight w:val="none"/>
        </w:rPr>
      </w:pPr>
    </w:p>
    <w:p w14:paraId="2A003A78">
      <w:pPr>
        <w:ind w:left="74" w:leftChars="-150" w:right="-296" w:rightChars="-141" w:hanging="389" w:hangingChars="121"/>
        <w:jc w:val="center"/>
        <w:rPr>
          <w:rFonts w:ascii="宋体" w:hAnsi="宋体"/>
          <w:b/>
          <w:bCs/>
          <w:color w:val="auto"/>
          <w:sz w:val="32"/>
          <w:szCs w:val="32"/>
          <w:highlight w:val="none"/>
        </w:rPr>
      </w:pPr>
      <w:r>
        <w:rPr>
          <w:rFonts w:hint="eastAsia" w:ascii="宋体" w:hAnsi="宋体"/>
          <w:b/>
          <w:bCs/>
          <w:color w:val="auto"/>
          <w:sz w:val="32"/>
          <w:szCs w:val="32"/>
          <w:highlight w:val="none"/>
        </w:rPr>
        <w:t>投标人没有失信记录承诺函</w:t>
      </w:r>
    </w:p>
    <w:p w14:paraId="29A25D81">
      <w:pPr>
        <w:spacing w:line="6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olor w:val="auto"/>
          <w:sz w:val="24"/>
          <w:highlight w:val="none"/>
          <w:u w:val="single"/>
          <w:lang w:eastAsia="zh-CN"/>
        </w:rPr>
        <w:t>台州市椒江区人民政府章安街道办事处</w:t>
      </w:r>
    </w:p>
    <w:p w14:paraId="14E36D94">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我公司参加</w:t>
      </w:r>
      <w:r>
        <w:rPr>
          <w:rFonts w:hint="eastAsia" w:ascii="宋体" w:hAnsi="宋体" w:cs="宋体"/>
          <w:color w:val="auto"/>
          <w:sz w:val="24"/>
          <w:highlight w:val="none"/>
          <w:u w:val="single"/>
          <w:lang w:eastAsia="zh-CN"/>
        </w:rPr>
        <w:t>椒江区梓杨河（山门村段）治理工程</w:t>
      </w:r>
      <w:r>
        <w:rPr>
          <w:rFonts w:hint="eastAsia" w:ascii="宋体" w:hAnsi="宋体" w:cs="宋体"/>
          <w:color w:val="auto"/>
          <w:sz w:val="24"/>
          <w:highlight w:val="none"/>
        </w:rPr>
        <w:t>（编号为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）的投标活动，作如下承诺：</w:t>
      </w:r>
    </w:p>
    <w:p w14:paraId="219CFFA6">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没有重大违法（失信）记录，重大违法（失信）记录是指供应商因违法经营受到刑事处罚或者责令停产停业、吊销许可证或者执照、较大数额罚款等行政处罚。</w:t>
      </w:r>
    </w:p>
    <w:p w14:paraId="49A15928">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2A2CFCAE">
      <w:pPr>
        <w:spacing w:line="600" w:lineRule="exact"/>
        <w:ind w:firstLine="456" w:firstLineChars="200"/>
        <w:jc w:val="left"/>
        <w:rPr>
          <w:rFonts w:hint="eastAsia" w:ascii="宋体" w:hAnsi="宋体" w:cs="宋体"/>
          <w:color w:val="auto"/>
          <w:sz w:val="24"/>
          <w:highlight w:val="none"/>
        </w:rPr>
      </w:pPr>
      <w:r>
        <w:rPr>
          <w:rFonts w:hint="eastAsia" w:ascii="宋体" w:hAnsi="宋体" w:cs="宋体"/>
          <w:color w:val="auto"/>
          <w:spacing w:val="-6"/>
          <w:sz w:val="24"/>
          <w:highlight w:val="none"/>
        </w:rPr>
        <w:t>特此声明。</w:t>
      </w:r>
    </w:p>
    <w:p w14:paraId="57B5782F">
      <w:pPr>
        <w:spacing w:line="600" w:lineRule="exact"/>
        <w:ind w:firstLine="480" w:firstLineChars="200"/>
        <w:jc w:val="left"/>
        <w:rPr>
          <w:rFonts w:hint="eastAsia" w:ascii="宋体" w:hAnsi="宋体" w:cs="宋体"/>
          <w:color w:val="auto"/>
          <w:sz w:val="24"/>
          <w:highlight w:val="none"/>
          <w:lang w:val="zh-CN"/>
        </w:rPr>
      </w:pPr>
    </w:p>
    <w:p w14:paraId="5585D7F5">
      <w:pPr>
        <w:spacing w:line="360" w:lineRule="auto"/>
        <w:rPr>
          <w:rFonts w:hint="eastAsia" w:ascii="宋体" w:hAnsi="宋体"/>
          <w:b/>
          <w:color w:val="auto"/>
          <w:sz w:val="24"/>
          <w:highlight w:val="none"/>
        </w:rPr>
      </w:pPr>
      <w:r>
        <w:rPr>
          <w:rFonts w:hint="eastAsia" w:ascii="宋体" w:hAnsi="宋体"/>
          <w:color w:val="auto"/>
          <w:sz w:val="24"/>
          <w:highlight w:val="none"/>
        </w:rPr>
        <w:t>采购供应商名称（盖章）：</w:t>
      </w:r>
      <w:r>
        <w:rPr>
          <w:rFonts w:hint="eastAsia" w:ascii="宋体" w:hAnsi="宋体"/>
          <w:color w:val="auto"/>
          <w:sz w:val="24"/>
          <w:highlight w:val="none"/>
          <w:u w:val="single"/>
        </w:rPr>
        <w:t xml:space="preserve">                      </w:t>
      </w:r>
    </w:p>
    <w:p w14:paraId="7448C633">
      <w:pPr>
        <w:spacing w:line="320" w:lineRule="exact"/>
        <w:ind w:left="420"/>
        <w:rPr>
          <w:rFonts w:hint="eastAsia" w:ascii="宋体" w:hAnsi="宋体"/>
          <w:color w:val="auto"/>
          <w:sz w:val="24"/>
          <w:highlight w:val="none"/>
        </w:rPr>
      </w:pPr>
      <w:r>
        <w:rPr>
          <w:rFonts w:hint="eastAsia" w:ascii="宋体" w:hAnsi="宋体"/>
          <w:color w:val="auto"/>
          <w:sz w:val="24"/>
          <w:highlight w:val="none"/>
        </w:rPr>
        <w:t xml:space="preserve"> </w:t>
      </w:r>
    </w:p>
    <w:p w14:paraId="1170C5DA">
      <w:pPr>
        <w:spacing w:line="320" w:lineRule="exact"/>
        <w:rPr>
          <w:rFonts w:hint="eastAsia" w:ascii="宋体" w:hAnsi="宋体"/>
          <w:color w:val="auto"/>
          <w:sz w:val="24"/>
          <w:highlight w:val="none"/>
          <w:u w:val="singl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14:paraId="7A5952C6">
      <w:pPr>
        <w:pStyle w:val="7"/>
        <w:ind w:firstLine="0"/>
        <w:rPr>
          <w:rFonts w:hint="eastAsia"/>
          <w:color w:val="auto"/>
          <w:highlight w:val="none"/>
        </w:rPr>
      </w:pPr>
    </w:p>
    <w:p w14:paraId="40D33F37">
      <w:pPr>
        <w:pStyle w:val="38"/>
        <w:shd w:val="clear" w:color="auto" w:fill="FFFFFF"/>
        <w:spacing w:before="0" w:beforeAutospacing="0" w:after="0" w:afterAutospacing="0" w:line="360" w:lineRule="auto"/>
        <w:rPr>
          <w:rFonts w:hint="eastAsia" w:ascii="宋体" w:hAnsi="宋体"/>
          <w:color w:val="auto"/>
          <w:sz w:val="24"/>
          <w:highlight w:val="none"/>
          <w:u w:val="single"/>
        </w:rPr>
        <w:sectPr>
          <w:pgSz w:w="11906" w:h="16838"/>
          <w:pgMar w:top="1276" w:right="1418" w:bottom="1440" w:left="1418" w:header="851" w:footer="851" w:gutter="0"/>
          <w:cols w:space="720" w:num="1"/>
          <w:docGrid w:linePitch="312" w:charSpace="0"/>
        </w:sect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78CF6B51">
      <w:pPr>
        <w:pStyle w:val="38"/>
        <w:shd w:val="clear" w:color="auto" w:fill="FFFFFF"/>
        <w:spacing w:before="0" w:beforeAutospacing="0" w:after="0" w:afterAutospacing="0" w:line="360" w:lineRule="auto"/>
        <w:rPr>
          <w:rFonts w:hint="eastAsia"/>
          <w:b/>
          <w:color w:val="auto"/>
          <w:sz w:val="28"/>
          <w:highlight w:val="none"/>
        </w:rPr>
        <w:sectPr>
          <w:footerReference r:id="rId13" w:type="default"/>
          <w:type w:val="continuous"/>
          <w:pgSz w:w="11906" w:h="16838"/>
          <w:pgMar w:top="1440" w:right="1418" w:bottom="1440" w:left="1418" w:header="851" w:footer="851" w:gutter="0"/>
          <w:cols w:space="720" w:num="1"/>
          <w:docGrid w:linePitch="312" w:charSpace="0"/>
        </w:sectPr>
      </w:pPr>
      <w:bookmarkStart w:id="100" w:name="_Toc32170"/>
    </w:p>
    <w:p w14:paraId="38464C40">
      <w:pPr>
        <w:pStyle w:val="38"/>
        <w:shd w:val="clear" w:color="auto" w:fill="FFFFFF"/>
        <w:spacing w:before="0" w:beforeAutospacing="0" w:after="0" w:afterAutospacing="0" w:line="360" w:lineRule="auto"/>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36A5AB04">
      <w:pPr>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项目负责人无在建工程承诺函</w:t>
      </w:r>
      <w:bookmarkEnd w:id="100"/>
    </w:p>
    <w:p w14:paraId="0B1B3FC7">
      <w:pPr>
        <w:autoSpaceDE w:val="0"/>
        <w:autoSpaceDN w:val="0"/>
        <w:adjustRightInd w:val="0"/>
        <w:snapToGrid w:val="0"/>
        <w:spacing w:line="360" w:lineRule="auto"/>
        <w:textAlignment w:val="baseline"/>
        <w:rPr>
          <w:rFonts w:ascii="宋体" w:hAnsi="宋体" w:cs="宋体"/>
          <w:snapToGrid w:val="0"/>
          <w:color w:val="auto"/>
          <w:kern w:val="0"/>
          <w:sz w:val="24"/>
          <w:highlight w:val="none"/>
          <w:u w:val="single"/>
        </w:rPr>
      </w:pPr>
    </w:p>
    <w:p w14:paraId="7A22DC5C">
      <w:pPr>
        <w:autoSpaceDE w:val="0"/>
        <w:autoSpaceDN w:val="0"/>
        <w:adjustRightInd w:val="0"/>
        <w:snapToGrid w:val="0"/>
        <w:spacing w:line="360" w:lineRule="auto"/>
        <w:ind w:firstLine="480" w:firstLineChars="200"/>
        <w:textAlignment w:val="baseline"/>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u w:val="single"/>
        </w:rPr>
        <w:t>××（代理机构/采购代理机构名称）</w:t>
      </w:r>
      <w:r>
        <w:rPr>
          <w:rFonts w:hint="eastAsia" w:ascii="宋体" w:hAnsi="宋体" w:cs="宋体"/>
          <w:snapToGrid w:val="0"/>
          <w:color w:val="auto"/>
          <w:kern w:val="0"/>
          <w:sz w:val="24"/>
          <w:highlight w:val="none"/>
        </w:rPr>
        <w:t>：</w:t>
      </w:r>
    </w:p>
    <w:p w14:paraId="43709CF5">
      <w:pPr>
        <w:autoSpaceDE w:val="0"/>
        <w:autoSpaceDN w:val="0"/>
        <w:adjustRightInd w:val="0"/>
        <w:snapToGrid w:val="0"/>
        <w:spacing w:line="360" w:lineRule="auto"/>
        <w:ind w:firstLine="48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snapToGrid w:val="0"/>
          <w:color w:val="auto"/>
          <w:kern w:val="0"/>
          <w:sz w:val="24"/>
          <w:highlight w:val="none"/>
        </w:rPr>
        <w:t>郑重承诺：本项目的项目负责人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（姓名），身份证号：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未在其它工程担任项目负责人</w:t>
      </w:r>
      <w:r>
        <w:rPr>
          <w:rFonts w:hint="eastAsia" w:ascii="宋体" w:hAnsi="宋体" w:cs="宋体"/>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eastAsia="zh-CN"/>
        </w:rPr>
        <w:t>如有第二章供应商须知</w:t>
      </w:r>
      <w:r>
        <w:rPr>
          <w:rFonts w:hint="eastAsia" w:ascii="宋体" w:hAnsi="宋体" w:cs="宋体"/>
          <w:b/>
          <w:bCs/>
          <w:snapToGrid w:val="0"/>
          <w:color w:val="auto"/>
          <w:kern w:val="0"/>
          <w:sz w:val="24"/>
          <w:szCs w:val="24"/>
          <w:highlight w:val="none"/>
          <w:lang w:val="en-US" w:eastAsia="zh-CN"/>
        </w:rPr>
        <w:t>二、说明</w:t>
      </w:r>
      <w:r>
        <w:rPr>
          <w:rFonts w:hint="eastAsia" w:ascii="宋体" w:hAnsi="宋体" w:cs="宋体"/>
          <w:b/>
          <w:bCs/>
          <w:snapToGrid w:val="0"/>
          <w:color w:val="auto"/>
          <w:kern w:val="0"/>
          <w:sz w:val="24"/>
          <w:szCs w:val="24"/>
          <w:highlight w:val="none"/>
          <w:lang w:eastAsia="zh-CN"/>
        </w:rPr>
        <w:t>第（</w:t>
      </w:r>
      <w:r>
        <w:rPr>
          <w:rFonts w:hint="eastAsia" w:ascii="宋体" w:hAnsi="宋体" w:cs="宋体"/>
          <w:b/>
          <w:bCs/>
          <w:snapToGrid w:val="0"/>
          <w:color w:val="auto"/>
          <w:kern w:val="0"/>
          <w:sz w:val="24"/>
          <w:szCs w:val="24"/>
          <w:highlight w:val="none"/>
          <w:lang w:val="en-US" w:eastAsia="zh-CN"/>
        </w:rPr>
        <w:t>七</w:t>
      </w:r>
      <w:r>
        <w:rPr>
          <w:rFonts w:hint="eastAsia" w:ascii="宋体" w:hAnsi="宋体" w:cs="宋体"/>
          <w:b/>
          <w:bCs/>
          <w:snapToGrid w:val="0"/>
          <w:color w:val="auto"/>
          <w:kern w:val="0"/>
          <w:sz w:val="24"/>
          <w:szCs w:val="24"/>
          <w:highlight w:val="none"/>
          <w:lang w:eastAsia="zh-CN"/>
        </w:rPr>
        <w:t>）条特别说明第</w:t>
      </w:r>
      <w:r>
        <w:rPr>
          <w:rFonts w:hint="eastAsia" w:ascii="宋体" w:hAnsi="宋体" w:cs="宋体"/>
          <w:b/>
          <w:bCs/>
          <w:snapToGrid w:val="0"/>
          <w:color w:val="auto"/>
          <w:kern w:val="0"/>
          <w:sz w:val="24"/>
          <w:szCs w:val="24"/>
          <w:highlight w:val="none"/>
          <w:lang w:val="en-US" w:eastAsia="zh-CN"/>
        </w:rPr>
        <w:t>11点1）2）3</w:t>
      </w:r>
      <w:r>
        <w:rPr>
          <w:rFonts w:hint="eastAsia" w:ascii="宋体" w:hAnsi="宋体" w:cs="宋体"/>
          <w:b/>
          <w:bCs/>
          <w:snapToGrid w:val="0"/>
          <w:color w:val="auto"/>
          <w:kern w:val="0"/>
          <w:sz w:val="24"/>
          <w:szCs w:val="24"/>
          <w:highlight w:val="none"/>
          <w:lang w:eastAsia="zh-CN"/>
        </w:rPr>
        <w:t>）小点情形的，在</w:t>
      </w:r>
      <w:r>
        <w:rPr>
          <w:rFonts w:hint="eastAsia" w:ascii="宋体" w:hAnsi="宋体" w:eastAsia="宋体" w:cs="宋体"/>
          <w:b/>
          <w:bCs/>
          <w:snapToGrid w:val="0"/>
          <w:color w:val="auto"/>
          <w:kern w:val="0"/>
          <w:sz w:val="24"/>
          <w:szCs w:val="24"/>
          <w:highlight w:val="none"/>
        </w:rPr>
        <w:t>资格证明文件</w:t>
      </w:r>
      <w:r>
        <w:rPr>
          <w:rFonts w:hint="eastAsia" w:ascii="宋体" w:hAnsi="宋体" w:cs="宋体"/>
          <w:b/>
          <w:bCs/>
          <w:snapToGrid w:val="0"/>
          <w:color w:val="auto"/>
          <w:kern w:val="0"/>
          <w:sz w:val="24"/>
          <w:szCs w:val="24"/>
          <w:highlight w:val="none"/>
          <w:lang w:eastAsia="zh-CN"/>
        </w:rPr>
        <w:t>中提供相关证明材料）</w:t>
      </w:r>
      <w:r>
        <w:rPr>
          <w:rFonts w:hint="eastAsia" w:ascii="宋体" w:hAnsi="宋体" w:cs="宋体"/>
          <w:snapToGrid w:val="0"/>
          <w:color w:val="auto"/>
          <w:kern w:val="0"/>
          <w:sz w:val="24"/>
          <w:highlight w:val="none"/>
        </w:rPr>
        <w:t>。如有不实</w:t>
      </w:r>
      <w:r>
        <w:rPr>
          <w:rFonts w:hint="eastAsia" w:ascii="宋体" w:hAnsi="宋体" w:cs="宋体"/>
          <w:color w:val="auto"/>
          <w:kern w:val="0"/>
          <w:sz w:val="24"/>
          <w:highlight w:val="none"/>
        </w:rPr>
        <w:t>，愿意被取消中标资格</w:t>
      </w:r>
      <w:r>
        <w:rPr>
          <w:rFonts w:hint="eastAsia" w:ascii="宋体" w:hAnsi="宋体" w:cs="宋体"/>
          <w:bCs/>
          <w:color w:val="auto"/>
          <w:kern w:val="0"/>
          <w:sz w:val="24"/>
          <w:highlight w:val="none"/>
        </w:rPr>
        <w:t>，并</w:t>
      </w:r>
      <w:r>
        <w:rPr>
          <w:rFonts w:hint="eastAsia" w:ascii="宋体" w:hAnsi="宋体" w:cs="宋体"/>
          <w:color w:val="auto"/>
          <w:kern w:val="0"/>
          <w:sz w:val="24"/>
          <w:highlight w:val="none"/>
        </w:rPr>
        <w:t>愿承担一切责任。</w:t>
      </w:r>
    </w:p>
    <w:p w14:paraId="305DCEA0">
      <w:pPr>
        <w:pStyle w:val="22"/>
        <w:tabs>
          <w:tab w:val="left" w:pos="720"/>
          <w:tab w:val="left" w:pos="1260"/>
          <w:tab w:val="left" w:pos="2160"/>
          <w:tab w:val="left" w:pos="2880"/>
          <w:tab w:val="left" w:pos="3600"/>
          <w:tab w:val="left" w:pos="4320"/>
          <w:tab w:val="left" w:pos="5040"/>
          <w:tab w:val="left" w:pos="5760"/>
        </w:tabs>
        <w:spacing w:after="0" w:line="360" w:lineRule="auto"/>
        <w:ind w:left="0" w:leftChars="0" w:firstLine="480"/>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CF6F572">
      <w:pPr>
        <w:spacing w:line="360" w:lineRule="auto"/>
        <w:rPr>
          <w:rFonts w:hint="eastAsia" w:ascii="宋体" w:hAnsi="宋体"/>
          <w:b/>
          <w:color w:val="auto"/>
          <w:sz w:val="28"/>
          <w:highlight w:val="none"/>
        </w:rPr>
      </w:pPr>
    </w:p>
    <w:p w14:paraId="79E21328">
      <w:pPr>
        <w:spacing w:line="360" w:lineRule="auto"/>
        <w:rPr>
          <w:rFonts w:hint="eastAsia" w:ascii="宋体" w:hAnsi="宋体"/>
          <w:b/>
          <w:color w:val="auto"/>
          <w:sz w:val="28"/>
          <w:highlight w:val="none"/>
        </w:rPr>
      </w:pPr>
    </w:p>
    <w:p w14:paraId="2EAC12A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7024691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44F47E12">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641B9325">
      <w:pPr>
        <w:widowControl/>
        <w:jc w:val="left"/>
        <w:rPr>
          <w:rFonts w:ascii="宋体" w:hAnsi="宋体"/>
          <w:b/>
          <w:color w:val="auto"/>
          <w:sz w:val="28"/>
          <w:highlight w:val="none"/>
        </w:rPr>
      </w:pPr>
    </w:p>
    <w:bookmarkEnd w:id="97"/>
    <w:bookmarkEnd w:id="98"/>
    <w:p w14:paraId="42CAECB7">
      <w:pPr>
        <w:rPr>
          <w:rFonts w:ascii="宋体" w:hAnsi="宋体" w:cs="仿宋_GB2312"/>
          <w:b/>
          <w:bCs/>
          <w:color w:val="auto"/>
          <w:kern w:val="0"/>
          <w:sz w:val="24"/>
          <w:highlight w:val="none"/>
          <w:lang w:val="zh-CN"/>
        </w:rPr>
      </w:pPr>
      <w:r>
        <w:rPr>
          <w:rFonts w:ascii="宋体" w:hAnsi="宋体" w:cs="仿宋_GB2312"/>
          <w:b/>
          <w:bCs/>
          <w:color w:val="auto"/>
          <w:kern w:val="0"/>
          <w:sz w:val="24"/>
          <w:highlight w:val="none"/>
          <w:lang w:val="zh-CN"/>
        </w:rPr>
        <w:br w:type="page"/>
      </w:r>
    </w:p>
    <w:p w14:paraId="52B00FCB">
      <w:pPr>
        <w:pStyle w:val="38"/>
        <w:shd w:val="clear" w:color="auto" w:fill="FFFFFF"/>
        <w:spacing w:before="0" w:beforeAutospacing="0" w:after="0" w:afterAutospacing="0" w:line="360" w:lineRule="auto"/>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8</w:t>
      </w:r>
    </w:p>
    <w:p w14:paraId="04DC03F2">
      <w:pPr>
        <w:widowControl/>
        <w:jc w:val="center"/>
        <w:rPr>
          <w:b/>
          <w:color w:val="auto"/>
          <w:kern w:val="0"/>
          <w:sz w:val="36"/>
          <w:szCs w:val="36"/>
          <w:highlight w:val="none"/>
        </w:rPr>
      </w:pPr>
      <w:r>
        <w:rPr>
          <w:b/>
          <w:color w:val="auto"/>
          <w:kern w:val="0"/>
          <w:sz w:val="36"/>
          <w:szCs w:val="36"/>
          <w:highlight w:val="none"/>
        </w:rPr>
        <w:t>中小企业声明函（</w:t>
      </w:r>
      <w:r>
        <w:rPr>
          <w:rFonts w:hint="eastAsia"/>
          <w:b/>
          <w:color w:val="auto"/>
          <w:kern w:val="0"/>
          <w:sz w:val="36"/>
          <w:szCs w:val="36"/>
          <w:highlight w:val="none"/>
        </w:rPr>
        <w:t>工程</w:t>
      </w:r>
      <w:r>
        <w:rPr>
          <w:b/>
          <w:color w:val="auto"/>
          <w:kern w:val="0"/>
          <w:sz w:val="36"/>
          <w:szCs w:val="36"/>
          <w:highlight w:val="none"/>
        </w:rPr>
        <w:t>）</w:t>
      </w:r>
    </w:p>
    <w:p w14:paraId="180E796F">
      <w:pPr>
        <w:widowControl/>
        <w:spacing w:line="360" w:lineRule="auto"/>
        <w:ind w:firstLine="480" w:firstLineChars="200"/>
        <w:jc w:val="left"/>
        <w:rPr>
          <w:color w:val="auto"/>
          <w:kern w:val="0"/>
          <w:sz w:val="24"/>
          <w:highlight w:val="none"/>
        </w:rPr>
      </w:pPr>
    </w:p>
    <w:p w14:paraId="3DFF6FB3">
      <w:pPr>
        <w:widowControl/>
        <w:spacing w:line="360" w:lineRule="auto"/>
        <w:ind w:firstLine="480" w:firstLineChars="200"/>
        <w:jc w:val="left"/>
        <w:rPr>
          <w:color w:val="auto"/>
          <w:sz w:val="24"/>
          <w:highlight w:val="none"/>
        </w:rPr>
      </w:pPr>
      <w:r>
        <w:rPr>
          <w:color w:val="auto"/>
          <w:kern w:val="0"/>
          <w:sz w:val="24"/>
          <w:highlight w:val="none"/>
        </w:rPr>
        <w:t>本公司郑重声明，根据《政府采购促进中小企业发展管理办法》（财库﹝2020﹞46 号）的规定，本公司参加参加</w:t>
      </w:r>
      <w:r>
        <w:rPr>
          <w:rFonts w:hint="eastAsia"/>
          <w:color w:val="auto"/>
          <w:kern w:val="0"/>
          <w:sz w:val="24"/>
          <w:highlight w:val="none"/>
          <w:u w:val="single"/>
          <w:lang w:eastAsia="zh-CN"/>
        </w:rPr>
        <w:t>台州市椒江区人民政府章安街道办事处</w:t>
      </w:r>
      <w:r>
        <w:rPr>
          <w:color w:val="auto"/>
          <w:kern w:val="0"/>
          <w:sz w:val="24"/>
          <w:highlight w:val="none"/>
        </w:rPr>
        <w:t>的</w:t>
      </w:r>
      <w:r>
        <w:rPr>
          <w:rFonts w:hint="eastAsia"/>
          <w:color w:val="auto"/>
          <w:kern w:val="0"/>
          <w:sz w:val="24"/>
          <w:highlight w:val="none"/>
          <w:u w:val="single"/>
          <w:lang w:eastAsia="zh-CN"/>
        </w:rPr>
        <w:t>椒江区梓杨河（山门村段）治理工程</w:t>
      </w:r>
      <w:r>
        <w:rPr>
          <w:color w:val="auto"/>
          <w:kern w:val="0"/>
          <w:sz w:val="24"/>
          <w:highlight w:val="none"/>
        </w:rPr>
        <w:t>活动，全部由符合政策要求的中小企业承接。相关企业（含联合体中的中小企业、签订分包意向协议的中小企业）的具体情况如下：</w:t>
      </w:r>
    </w:p>
    <w:p w14:paraId="099802BA">
      <w:pPr>
        <w:widowControl/>
        <w:spacing w:line="360" w:lineRule="auto"/>
        <w:ind w:firstLine="480" w:firstLineChars="200"/>
        <w:jc w:val="left"/>
        <w:rPr>
          <w:color w:val="auto"/>
          <w:sz w:val="24"/>
          <w:highlight w:val="none"/>
        </w:rPr>
      </w:pPr>
      <w:r>
        <w:rPr>
          <w:color w:val="auto"/>
          <w:kern w:val="0"/>
          <w:sz w:val="24"/>
          <w:highlight w:val="none"/>
        </w:rPr>
        <w:t xml:space="preserve">1. </w:t>
      </w:r>
      <w:r>
        <w:rPr>
          <w:rFonts w:hint="eastAsia"/>
          <w:color w:val="auto"/>
          <w:kern w:val="0"/>
          <w:sz w:val="24"/>
          <w:highlight w:val="none"/>
          <w:u w:val="single"/>
          <w:lang w:eastAsia="zh-CN"/>
        </w:rPr>
        <w:t>椒江区梓杨河（山门村段）治理工程</w:t>
      </w:r>
      <w:r>
        <w:rPr>
          <w:color w:val="auto"/>
          <w:kern w:val="0"/>
          <w:sz w:val="24"/>
          <w:highlight w:val="none"/>
        </w:rPr>
        <w:t>，属于</w:t>
      </w:r>
      <w:r>
        <w:rPr>
          <w:rFonts w:hint="eastAsia"/>
          <w:color w:val="auto"/>
          <w:kern w:val="0"/>
          <w:sz w:val="24"/>
          <w:highlight w:val="none"/>
          <w:u w:val="single"/>
        </w:rPr>
        <w:t>建筑业</w:t>
      </w:r>
      <w:r>
        <w:rPr>
          <w:color w:val="auto"/>
          <w:kern w:val="0"/>
          <w:sz w:val="24"/>
          <w:highlight w:val="none"/>
        </w:rPr>
        <w:t>；承建（承接）企业为</w:t>
      </w:r>
      <w:r>
        <w:rPr>
          <w:i/>
          <w:color w:val="auto"/>
          <w:kern w:val="0"/>
          <w:sz w:val="24"/>
          <w:highlight w:val="none"/>
          <w:u w:val="single"/>
        </w:rPr>
        <w:t>（企业名称）</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i/>
          <w:color w:val="auto"/>
          <w:kern w:val="0"/>
          <w:sz w:val="24"/>
          <w:highlight w:val="none"/>
          <w:u w:val="single"/>
        </w:rPr>
        <w:t>（中型企业、 小型企业、微型企业）</w:t>
      </w:r>
      <w:r>
        <w:rPr>
          <w:color w:val="auto"/>
          <w:kern w:val="0"/>
          <w:sz w:val="24"/>
          <w:highlight w:val="none"/>
        </w:rPr>
        <w:t>；</w:t>
      </w:r>
    </w:p>
    <w:p w14:paraId="44F6B99A">
      <w:pPr>
        <w:widowControl/>
        <w:spacing w:line="360" w:lineRule="auto"/>
        <w:ind w:firstLine="480" w:firstLineChars="200"/>
        <w:jc w:val="left"/>
        <w:rPr>
          <w:color w:val="auto"/>
          <w:sz w:val="24"/>
          <w:highlight w:val="none"/>
        </w:rPr>
      </w:pPr>
      <w:r>
        <w:rPr>
          <w:color w:val="auto"/>
          <w:kern w:val="0"/>
          <w:sz w:val="24"/>
          <w:highlight w:val="none"/>
        </w:rPr>
        <w:t>……</w:t>
      </w:r>
    </w:p>
    <w:p w14:paraId="0207C410">
      <w:pPr>
        <w:widowControl/>
        <w:spacing w:line="360" w:lineRule="auto"/>
        <w:ind w:firstLine="480" w:firstLineChars="20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02B27653">
      <w:pPr>
        <w:widowControl/>
        <w:spacing w:line="360" w:lineRule="auto"/>
        <w:ind w:firstLine="480" w:firstLineChars="200"/>
        <w:jc w:val="left"/>
        <w:rPr>
          <w:color w:val="auto"/>
          <w:kern w:val="0"/>
          <w:sz w:val="24"/>
          <w:highlight w:val="none"/>
        </w:rPr>
      </w:pPr>
      <w:r>
        <w:rPr>
          <w:color w:val="auto"/>
          <w:kern w:val="0"/>
          <w:sz w:val="24"/>
          <w:highlight w:val="none"/>
        </w:rPr>
        <w:t xml:space="preserve">本企业对上述声明内容的真实性负责。如有虚假，将依法承担相应责任。 </w:t>
      </w:r>
    </w:p>
    <w:p w14:paraId="6C97296C">
      <w:pPr>
        <w:ind w:firstLine="420"/>
        <w:rPr>
          <w:color w:val="auto"/>
          <w:kern w:val="0"/>
          <w:szCs w:val="21"/>
          <w:highlight w:val="none"/>
        </w:rPr>
      </w:pPr>
      <w:r>
        <w:rPr>
          <w:color w:val="auto"/>
          <w:kern w:val="0"/>
          <w:szCs w:val="21"/>
          <w:highlight w:val="none"/>
        </w:rPr>
        <w:t>注：从业人员、营业收入、资产总额填报上一年度数据，无上一年度数据的新成立企业可不填报。</w:t>
      </w:r>
    </w:p>
    <w:p w14:paraId="1C06AB86">
      <w:pPr>
        <w:ind w:firstLine="420"/>
        <w:rPr>
          <w:color w:val="auto"/>
          <w:sz w:val="24"/>
          <w:highlight w:val="none"/>
        </w:rPr>
      </w:pPr>
    </w:p>
    <w:p w14:paraId="41442AB4">
      <w:pPr>
        <w:widowControl/>
        <w:spacing w:line="360" w:lineRule="auto"/>
        <w:jc w:val="center"/>
        <w:rPr>
          <w:color w:val="auto"/>
          <w:kern w:val="0"/>
          <w:sz w:val="24"/>
          <w:highlight w:val="none"/>
        </w:rPr>
      </w:pPr>
    </w:p>
    <w:p w14:paraId="2AC73B19">
      <w:pPr>
        <w:widowControl/>
        <w:spacing w:line="360" w:lineRule="auto"/>
        <w:jc w:val="center"/>
        <w:rPr>
          <w:color w:val="auto"/>
          <w:sz w:val="24"/>
          <w:highlight w:val="none"/>
        </w:rPr>
      </w:pPr>
      <w:r>
        <w:rPr>
          <w:color w:val="auto"/>
          <w:kern w:val="0"/>
          <w:sz w:val="24"/>
          <w:highlight w:val="none"/>
        </w:rPr>
        <w:t xml:space="preserve">                                企业名称（盖章）： </w:t>
      </w:r>
    </w:p>
    <w:p w14:paraId="7DDB7B68">
      <w:pPr>
        <w:widowControl/>
        <w:spacing w:line="360" w:lineRule="auto"/>
        <w:jc w:val="center"/>
        <w:rPr>
          <w:color w:val="auto"/>
          <w:sz w:val="24"/>
          <w:highlight w:val="none"/>
        </w:rPr>
      </w:pPr>
      <w:r>
        <w:rPr>
          <w:color w:val="auto"/>
          <w:kern w:val="0"/>
          <w:sz w:val="24"/>
          <w:highlight w:val="none"/>
        </w:rPr>
        <w:t xml:space="preserve">                     日 期：</w:t>
      </w:r>
    </w:p>
    <w:p w14:paraId="1A5E41F1">
      <w:pPr>
        <w:pStyle w:val="7"/>
        <w:spacing w:line="360" w:lineRule="auto"/>
        <w:jc w:val="left"/>
        <w:rPr>
          <w:rFonts w:hint="eastAsia" w:ascii="宋体" w:hAnsi="宋体"/>
          <w:color w:val="auto"/>
          <w:sz w:val="24"/>
          <w:highlight w:val="none"/>
          <w:u w:val="single"/>
        </w:rPr>
      </w:pPr>
    </w:p>
    <w:p w14:paraId="10BC910A">
      <w:pPr>
        <w:rPr>
          <w:color w:val="auto"/>
          <w:highlight w:val="none"/>
        </w:rPr>
      </w:pPr>
    </w:p>
    <w:p w14:paraId="5CA1FAE6">
      <w:pPr>
        <w:rPr>
          <w:color w:val="auto"/>
          <w:highlight w:val="none"/>
        </w:rPr>
      </w:pPr>
    </w:p>
    <w:p w14:paraId="73851F8B">
      <w:pPr>
        <w:rPr>
          <w:color w:val="auto"/>
          <w:highlight w:val="none"/>
        </w:rPr>
      </w:pPr>
    </w:p>
    <w:p w14:paraId="2D30DD97">
      <w:pPr>
        <w:rPr>
          <w:color w:val="auto"/>
          <w:highlight w:val="none"/>
        </w:rPr>
      </w:pPr>
    </w:p>
    <w:p w14:paraId="6E039695">
      <w:pPr>
        <w:rPr>
          <w:color w:val="auto"/>
          <w:highlight w:val="none"/>
        </w:rPr>
      </w:pPr>
    </w:p>
    <w:p w14:paraId="05D6C819">
      <w:pPr>
        <w:rPr>
          <w:color w:val="auto"/>
          <w:highlight w:val="none"/>
        </w:rPr>
      </w:pPr>
    </w:p>
    <w:p w14:paraId="40B9B8E2">
      <w:pPr>
        <w:pStyle w:val="7"/>
        <w:spacing w:line="360" w:lineRule="auto"/>
        <w:jc w:val="left"/>
        <w:rPr>
          <w:rFonts w:ascii="宋体" w:hAnsi="宋体"/>
          <w:color w:val="auto"/>
          <w:szCs w:val="21"/>
          <w:highlight w:val="none"/>
        </w:rPr>
      </w:pPr>
      <w:r>
        <w:rPr>
          <w:rFonts w:hint="eastAsia" w:ascii="宋体" w:hAnsi="宋体"/>
          <w:color w:val="auto"/>
          <w:szCs w:val="21"/>
          <w:highlight w:val="none"/>
        </w:rPr>
        <w:t>注：根据《关于印发中小企业划型标准规定的通知》（工信部联企业〔2011〕300号），本项目属于</w:t>
      </w:r>
      <w:r>
        <w:rPr>
          <w:rFonts w:hint="eastAsia" w:ascii="宋体" w:hAnsi="宋体"/>
          <w:b/>
          <w:color w:val="auto"/>
          <w:szCs w:val="21"/>
          <w:highlight w:val="none"/>
        </w:rPr>
        <w:t>建筑业</w:t>
      </w:r>
      <w:r>
        <w:rPr>
          <w:rFonts w:hint="eastAsia" w:ascii="宋体" w:hAnsi="宋体"/>
          <w:color w:val="auto"/>
          <w:szCs w:val="21"/>
          <w:highlight w:val="none"/>
        </w:rPr>
        <w:t>。</w:t>
      </w:r>
    </w:p>
    <w:p w14:paraId="1ECA7F86">
      <w:pPr>
        <w:rPr>
          <w:rFonts w:hint="eastAsia"/>
          <w:color w:val="auto"/>
          <w:highlight w:val="none"/>
        </w:rPr>
      </w:pPr>
      <w:r>
        <w:rPr>
          <w:rFonts w:hint="eastAsia" w:ascii="宋体" w:hAnsi="宋体"/>
          <w:color w:val="auto"/>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b/>
          <w:color w:val="auto"/>
          <w:szCs w:val="21"/>
          <w:highlight w:val="none"/>
        </w:rPr>
        <w:t>（请各投标供应商根据此划分标准如实填报）</w:t>
      </w:r>
    </w:p>
    <w:p w14:paraId="1BD87621">
      <w:pPr>
        <w:rPr>
          <w:rFonts w:hint="eastAsia" w:ascii="宋体" w:hAnsi="宋体"/>
          <w:b/>
          <w:color w:val="auto"/>
          <w:sz w:val="32"/>
          <w:szCs w:val="32"/>
          <w:highlight w:val="none"/>
          <w:lang w:val="en-GB"/>
        </w:rPr>
      </w:pPr>
      <w:r>
        <w:rPr>
          <w:rFonts w:hint="eastAsia" w:ascii="宋体" w:hAnsi="宋体"/>
          <w:b/>
          <w:color w:val="auto"/>
          <w:sz w:val="32"/>
          <w:szCs w:val="32"/>
          <w:highlight w:val="none"/>
          <w:lang w:val="en-GB"/>
        </w:rPr>
        <w:br w:type="page"/>
      </w:r>
    </w:p>
    <w:p w14:paraId="7598BB23">
      <w:pPr>
        <w:pStyle w:val="38"/>
        <w:shd w:val="clear" w:color="auto" w:fill="FFFFFF"/>
        <w:spacing w:before="0" w:beforeAutospacing="0" w:after="0" w:afterAutospacing="0" w:line="360" w:lineRule="auto"/>
        <w:rPr>
          <w:rFonts w:hint="default"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9</w:t>
      </w:r>
    </w:p>
    <w:p w14:paraId="2505F02A">
      <w:pPr>
        <w:pStyle w:val="39"/>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14:paraId="08ED2C6F">
      <w:pPr>
        <w:pStyle w:val="15"/>
        <w:ind w:left="5250"/>
        <w:rPr>
          <w:color w:val="auto"/>
          <w:sz w:val="24"/>
          <w:szCs w:val="24"/>
          <w:highlight w:val="none"/>
          <w:lang w:val="en-GB"/>
        </w:rPr>
      </w:pPr>
    </w:p>
    <w:p w14:paraId="52BE3680">
      <w:pPr>
        <w:spacing w:line="360" w:lineRule="auto"/>
        <w:ind w:firstLine="504" w:firstLineChars="200"/>
        <w:rPr>
          <w:rFonts w:ascii="宋体"/>
          <w:color w:val="auto"/>
          <w:spacing w:val="6"/>
          <w:sz w:val="24"/>
          <w:highlight w:val="none"/>
        </w:rPr>
      </w:pPr>
      <w:r>
        <w:rPr>
          <w:rFonts w:hint="eastAsia" w:ascii="宋体" w:hAnsi="宋体"/>
          <w:color w:val="auto"/>
          <w:spacing w:val="6"/>
          <w:sz w:val="24"/>
          <w:highlight w:val="none"/>
        </w:rPr>
        <w:t>本单位郑重声明，根据《财政部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ascii="宋体" w:hAnsi="宋体"/>
          <w:color w:val="auto"/>
          <w:spacing w:val="6"/>
          <w:sz w:val="24"/>
          <w:highlight w:val="none"/>
        </w:rPr>
        <w:t>2017</w:t>
      </w:r>
      <w:r>
        <w:rPr>
          <w:rFonts w:hint="eastAsia" w:ascii="宋体" w:hAnsi="宋体"/>
          <w:color w:val="auto"/>
          <w:spacing w:val="6"/>
          <w:sz w:val="24"/>
          <w:highlight w:val="none"/>
        </w:rPr>
        <w:t>〕</w:t>
      </w:r>
      <w:r>
        <w:rPr>
          <w:rFonts w:ascii="宋体" w:hAnsi="宋体"/>
          <w:color w:val="auto"/>
          <w:spacing w:val="6"/>
          <w:sz w:val="24"/>
          <w:highlight w:val="none"/>
        </w:rPr>
        <w:t xml:space="preserve"> 141</w:t>
      </w:r>
      <w:r>
        <w:rPr>
          <w:rFonts w:hint="eastAsia" w:ascii="宋体" w:hAnsi="宋体"/>
          <w:color w:val="auto"/>
          <w:spacing w:val="6"/>
          <w:sz w:val="24"/>
          <w:highlight w:val="none"/>
        </w:rPr>
        <w:t>号）的规定，本单位为符合条件的残疾人福利性单位，且本单位参加单位的项目采购活动提供本单位制造的货物（由本单位承担工程</w:t>
      </w:r>
      <w:r>
        <w:rPr>
          <w:rFonts w:ascii="宋体" w:hAnsi="宋体"/>
          <w:color w:val="auto"/>
          <w:spacing w:val="6"/>
          <w:sz w:val="24"/>
          <w:highlight w:val="none"/>
        </w:rPr>
        <w:t>/</w:t>
      </w:r>
      <w:r>
        <w:rPr>
          <w:rFonts w:hint="eastAsia" w:ascii="宋体" w:hAnsi="宋体"/>
          <w:color w:val="auto"/>
          <w:spacing w:val="6"/>
          <w:sz w:val="24"/>
          <w:highlight w:val="none"/>
        </w:rPr>
        <w:t>提供服务），或者提供其他残疾人福利性单位制造的货物（不包括使用非残疾人福利性单位注册商标的货物）。</w:t>
      </w:r>
    </w:p>
    <w:p w14:paraId="5D4025C4">
      <w:pPr>
        <w:spacing w:line="360" w:lineRule="auto"/>
        <w:ind w:firstLine="504" w:firstLineChars="200"/>
        <w:rPr>
          <w:rFonts w:asci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13829A7">
      <w:pPr>
        <w:tabs>
          <w:tab w:val="left" w:pos="4860"/>
        </w:tabs>
        <w:spacing w:line="588" w:lineRule="exact"/>
        <w:ind w:right="1560" w:firstLine="504" w:firstLineChars="200"/>
        <w:jc w:val="center"/>
        <w:rPr>
          <w:rFonts w:hint="eastAsia" w:ascii="宋体" w:hAnsi="宋体" w:cs="宋体"/>
          <w:color w:val="auto"/>
          <w:spacing w:val="6"/>
          <w:sz w:val="24"/>
          <w:highlight w:val="none"/>
        </w:rPr>
      </w:pPr>
    </w:p>
    <w:p w14:paraId="11580118">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682A01D3">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6BBAA80F">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14:paraId="3245AC9A">
      <w:pPr>
        <w:widowControl/>
        <w:jc w:val="left"/>
        <w:rPr>
          <w:rFonts w:ascii="宋体" w:hAnsi="宋体"/>
          <w:b/>
          <w:color w:val="auto"/>
          <w:sz w:val="28"/>
          <w:highlight w:val="none"/>
        </w:rPr>
      </w:pPr>
      <w:r>
        <w:rPr>
          <w:rFonts w:ascii="宋体" w:hAnsi="宋体"/>
          <w:b/>
          <w:color w:val="auto"/>
          <w:sz w:val="28"/>
          <w:highlight w:val="none"/>
        </w:rPr>
        <w:br w:type="page"/>
      </w:r>
    </w:p>
    <w:p w14:paraId="134727BC">
      <w:pPr>
        <w:widowControl/>
        <w:jc w:val="left"/>
        <w:rPr>
          <w:rFonts w:ascii="宋体" w:hAnsi="宋体"/>
          <w:color w:val="auto"/>
          <w:spacing w:val="40"/>
          <w:sz w:val="52"/>
          <w:szCs w:val="5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r>
        <w:rPr>
          <w:rFonts w:hint="eastAsia" w:ascii="宋体" w:hAnsi="宋体"/>
          <w:b/>
          <w:color w:val="auto"/>
          <w:sz w:val="28"/>
          <w:highlight w:val="none"/>
        </w:rPr>
        <w:t>：</w:t>
      </w:r>
    </w:p>
    <w:p w14:paraId="064F8AF7">
      <w:pPr>
        <w:widowControl/>
        <w:jc w:val="center"/>
        <w:rPr>
          <w:rFonts w:ascii="宋体" w:hAnsi="宋体"/>
          <w:b/>
          <w:color w:val="auto"/>
          <w:sz w:val="28"/>
          <w:highlight w:val="none"/>
        </w:rPr>
      </w:pPr>
      <w:r>
        <w:rPr>
          <w:rFonts w:ascii="宋体" w:hAnsi="宋体"/>
          <w:b/>
          <w:color w:val="auto"/>
          <w:sz w:val="28"/>
          <w:highlight w:val="none"/>
        </w:rPr>
        <w:t>评分索引表</w:t>
      </w:r>
    </w:p>
    <w:tbl>
      <w:tblPr>
        <w:tblStyle w:val="23"/>
        <w:tblW w:w="107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8445"/>
        <w:gridCol w:w="750"/>
        <w:gridCol w:w="750"/>
      </w:tblGrid>
      <w:tr w14:paraId="25039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827" w:type="dxa"/>
            <w:shd w:val="pct20" w:color="auto" w:fill="auto"/>
            <w:vAlign w:val="center"/>
          </w:tcPr>
          <w:p w14:paraId="2406EF6C">
            <w:pPr>
              <w:widowControl/>
              <w:jc w:val="center"/>
              <w:rPr>
                <w:rFonts w:ascii="宋体" w:hAnsi="宋体"/>
                <w:b/>
                <w:color w:val="auto"/>
                <w:szCs w:val="21"/>
                <w:highlight w:val="none"/>
              </w:rPr>
            </w:pPr>
            <w:r>
              <w:rPr>
                <w:rFonts w:hint="eastAsia" w:ascii="宋体" w:hAnsi="宋体"/>
                <w:b/>
                <w:color w:val="auto"/>
                <w:szCs w:val="21"/>
                <w:highlight w:val="none"/>
              </w:rPr>
              <w:t>评分</w:t>
            </w:r>
          </w:p>
          <w:p w14:paraId="4581158E">
            <w:pPr>
              <w:widowControl/>
              <w:jc w:val="center"/>
              <w:rPr>
                <w:rFonts w:ascii="宋体" w:hAnsi="宋体" w:cs="Arial"/>
                <w:b/>
                <w:bCs/>
                <w:color w:val="auto"/>
                <w:szCs w:val="21"/>
                <w:highlight w:val="none"/>
              </w:rPr>
            </w:pPr>
            <w:r>
              <w:rPr>
                <w:rFonts w:hint="eastAsia" w:ascii="宋体" w:hAnsi="宋体"/>
                <w:b/>
                <w:color w:val="auto"/>
                <w:szCs w:val="21"/>
                <w:highlight w:val="none"/>
              </w:rPr>
              <w:t>项目</w:t>
            </w:r>
          </w:p>
        </w:tc>
        <w:tc>
          <w:tcPr>
            <w:tcW w:w="8445" w:type="dxa"/>
            <w:shd w:val="pct20" w:color="auto" w:fill="auto"/>
            <w:vAlign w:val="center"/>
          </w:tcPr>
          <w:p w14:paraId="256C0918">
            <w:pPr>
              <w:widowControl/>
              <w:jc w:val="center"/>
              <w:rPr>
                <w:rFonts w:ascii="宋体" w:hAnsi="宋体"/>
                <w:b/>
                <w:color w:val="auto"/>
                <w:szCs w:val="21"/>
                <w:highlight w:val="none"/>
              </w:rPr>
            </w:pPr>
            <w:r>
              <w:rPr>
                <w:rFonts w:hint="eastAsia" w:ascii="宋体" w:hAnsi="宋体"/>
                <w:b/>
                <w:color w:val="auto"/>
                <w:szCs w:val="21"/>
                <w:highlight w:val="none"/>
              </w:rPr>
              <w:t>评分细则</w:t>
            </w:r>
          </w:p>
        </w:tc>
        <w:tc>
          <w:tcPr>
            <w:tcW w:w="750" w:type="dxa"/>
            <w:shd w:val="pct20" w:color="auto" w:fill="auto"/>
            <w:vAlign w:val="center"/>
          </w:tcPr>
          <w:p w14:paraId="764EE373">
            <w:pPr>
              <w:widowControl/>
              <w:jc w:val="center"/>
              <w:rPr>
                <w:rFonts w:ascii="宋体" w:hAnsi="宋体" w:cs="Arial"/>
                <w:b/>
                <w:bCs/>
                <w:color w:val="auto"/>
                <w:szCs w:val="21"/>
                <w:highlight w:val="none"/>
              </w:rPr>
            </w:pPr>
            <w:r>
              <w:rPr>
                <w:rFonts w:hint="eastAsia" w:ascii="宋体" w:hAnsi="宋体" w:cs="Arial"/>
                <w:b/>
                <w:bCs/>
                <w:color w:val="auto"/>
                <w:szCs w:val="21"/>
                <w:highlight w:val="none"/>
              </w:rPr>
              <w:t>自评分</w:t>
            </w:r>
          </w:p>
        </w:tc>
        <w:tc>
          <w:tcPr>
            <w:tcW w:w="750" w:type="dxa"/>
            <w:shd w:val="pct20" w:color="auto" w:fill="auto"/>
            <w:vAlign w:val="center"/>
          </w:tcPr>
          <w:p w14:paraId="7A10A04D">
            <w:pPr>
              <w:widowControl/>
              <w:jc w:val="center"/>
              <w:rPr>
                <w:rFonts w:ascii="宋体" w:hAnsi="宋体" w:cs="Arial"/>
                <w:b/>
                <w:bCs/>
                <w:color w:val="auto"/>
                <w:szCs w:val="21"/>
                <w:highlight w:val="none"/>
              </w:rPr>
            </w:pPr>
            <w:r>
              <w:rPr>
                <w:rFonts w:hint="eastAsia" w:ascii="宋体" w:hAnsi="宋体" w:cs="Arial"/>
                <w:b/>
                <w:bCs/>
                <w:color w:val="auto"/>
                <w:szCs w:val="21"/>
                <w:highlight w:val="none"/>
              </w:rPr>
              <w:t>页码</w:t>
            </w:r>
          </w:p>
        </w:tc>
      </w:tr>
      <w:tr w14:paraId="7C6A9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827" w:type="dxa"/>
            <w:tcBorders>
              <w:top w:val="single" w:color="auto" w:sz="4" w:space="0"/>
            </w:tcBorders>
            <w:vAlign w:val="center"/>
          </w:tcPr>
          <w:p w14:paraId="56689051">
            <w:pPr>
              <w:widowControl/>
              <w:jc w:val="center"/>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类似业绩</w:t>
            </w:r>
          </w:p>
        </w:tc>
        <w:tc>
          <w:tcPr>
            <w:tcW w:w="8445" w:type="dxa"/>
            <w:vAlign w:val="center"/>
          </w:tcPr>
          <w:p w14:paraId="584B4235">
            <w:pPr>
              <w:tabs>
                <w:tab w:val="center" w:pos="3289"/>
              </w:tabs>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客观分：</w:t>
            </w:r>
          </w:p>
          <w:p w14:paraId="5CDD29B3">
            <w:pPr>
              <w:adjustRightInd w:val="0"/>
              <w:snapToGrid w:val="0"/>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val="en-US" w:eastAsia="zh-CN"/>
              </w:rPr>
              <w:t>2021</w:t>
            </w:r>
            <w:r>
              <w:rPr>
                <w:rFonts w:hint="eastAsia" w:ascii="宋体" w:hAnsi="宋体" w:eastAsia="宋体" w:cs="宋体"/>
                <w:color w:val="auto"/>
                <w:sz w:val="22"/>
                <w:szCs w:val="22"/>
                <w:highlight w:val="none"/>
              </w:rPr>
              <w:t>年1月以来（以合同签订时间为准）具有</w:t>
            </w:r>
            <w:r>
              <w:rPr>
                <w:rFonts w:hint="eastAsia" w:ascii="宋体" w:hAnsi="宋体" w:eastAsia="宋体" w:cs="宋体"/>
                <w:color w:val="auto"/>
                <w:sz w:val="22"/>
                <w:szCs w:val="22"/>
                <w:highlight w:val="none"/>
                <w:lang w:val="en-US" w:eastAsia="zh-CN"/>
              </w:rPr>
              <w:t>类似水利工程项目</w:t>
            </w:r>
            <w:r>
              <w:rPr>
                <w:rFonts w:hint="eastAsia" w:ascii="宋体" w:hAnsi="宋体" w:eastAsia="宋体" w:cs="宋体"/>
                <w:color w:val="auto"/>
                <w:sz w:val="22"/>
                <w:szCs w:val="22"/>
                <w:highlight w:val="none"/>
              </w:rPr>
              <w:t>施工业绩的，每项得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分。提供合同扫描件，</w:t>
            </w:r>
            <w:r>
              <w:rPr>
                <w:rFonts w:hint="eastAsia" w:ascii="宋体" w:hAnsi="宋体" w:eastAsia="宋体" w:cs="宋体"/>
                <w:color w:val="auto"/>
                <w:sz w:val="22"/>
                <w:szCs w:val="22"/>
                <w:highlight w:val="none"/>
                <w:lang w:val="zh-CN"/>
              </w:rPr>
              <w:t>未提供不得分</w:t>
            </w:r>
            <w:r>
              <w:rPr>
                <w:rFonts w:hint="eastAsia" w:ascii="宋体" w:hAnsi="宋体" w:eastAsia="宋体" w:cs="宋体"/>
                <w:color w:val="auto"/>
                <w:sz w:val="22"/>
                <w:szCs w:val="22"/>
                <w:highlight w:val="none"/>
              </w:rPr>
              <w:t>。</w:t>
            </w:r>
          </w:p>
        </w:tc>
        <w:tc>
          <w:tcPr>
            <w:tcW w:w="750" w:type="dxa"/>
            <w:vAlign w:val="center"/>
          </w:tcPr>
          <w:p w14:paraId="5CACFE69">
            <w:pPr>
              <w:widowControl/>
              <w:jc w:val="center"/>
              <w:rPr>
                <w:rFonts w:hint="eastAsia" w:ascii="宋体" w:hAnsi="宋体" w:eastAsia="宋体" w:cs="宋体"/>
                <w:color w:val="auto"/>
                <w:szCs w:val="21"/>
                <w:highlight w:val="none"/>
                <w:lang w:val="en-US" w:eastAsia="zh-CN"/>
              </w:rPr>
            </w:pPr>
          </w:p>
        </w:tc>
        <w:tc>
          <w:tcPr>
            <w:tcW w:w="750" w:type="dxa"/>
            <w:vAlign w:val="center"/>
          </w:tcPr>
          <w:p w14:paraId="34E9A971">
            <w:pPr>
              <w:widowControl/>
              <w:adjustRightInd w:val="0"/>
              <w:snapToGrid w:val="0"/>
              <w:jc w:val="center"/>
              <w:rPr>
                <w:rFonts w:ascii="宋体" w:hAnsi="宋体" w:cs="宋体"/>
                <w:color w:val="auto"/>
                <w:szCs w:val="21"/>
                <w:highlight w:val="none"/>
              </w:rPr>
            </w:pPr>
          </w:p>
        </w:tc>
      </w:tr>
      <w:tr w14:paraId="1FB6F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27" w:type="dxa"/>
            <w:tcBorders>
              <w:top w:val="single" w:color="auto" w:sz="4" w:space="0"/>
            </w:tcBorders>
            <w:vAlign w:val="center"/>
          </w:tcPr>
          <w:p w14:paraId="0DB9B602">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项目团队实力</w:t>
            </w:r>
          </w:p>
        </w:tc>
        <w:tc>
          <w:tcPr>
            <w:tcW w:w="8445" w:type="dxa"/>
            <w:vAlign w:val="center"/>
          </w:tcPr>
          <w:p w14:paraId="77CC059B">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客观分：</w:t>
            </w:r>
          </w:p>
          <w:p w14:paraId="768F303E">
            <w:pPr>
              <w:numPr>
                <w:ilvl w:val="0"/>
                <w:numId w:val="9"/>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项目负责人具有水利工程专业</w:t>
            </w:r>
            <w:r>
              <w:rPr>
                <w:rFonts w:hint="eastAsia" w:ascii="宋体" w:hAnsi="宋体" w:eastAsia="宋体" w:cs="宋体"/>
                <w:color w:val="auto"/>
                <w:sz w:val="22"/>
                <w:szCs w:val="22"/>
                <w:highlight w:val="none"/>
                <w:lang w:val="en-US" w:eastAsia="zh-CN"/>
              </w:rPr>
              <w:t>中级</w:t>
            </w:r>
            <w:r>
              <w:rPr>
                <w:rFonts w:hint="eastAsia" w:ascii="宋体" w:hAnsi="宋体" w:eastAsia="宋体" w:cs="宋体"/>
                <w:color w:val="auto"/>
                <w:sz w:val="22"/>
                <w:szCs w:val="22"/>
                <w:highlight w:val="none"/>
              </w:rPr>
              <w:t>工程师及以上职称的，得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分，其他不得分。</w:t>
            </w:r>
          </w:p>
          <w:p w14:paraId="647DC545">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2.技术负责人具有水利工程专业</w:t>
            </w:r>
            <w:r>
              <w:rPr>
                <w:rFonts w:hint="eastAsia" w:ascii="宋体" w:hAnsi="宋体" w:eastAsia="宋体" w:cs="宋体"/>
                <w:color w:val="auto"/>
                <w:sz w:val="22"/>
                <w:szCs w:val="22"/>
                <w:highlight w:val="none"/>
                <w:lang w:val="en-US" w:eastAsia="zh-CN"/>
              </w:rPr>
              <w:t>中级</w:t>
            </w:r>
            <w:r>
              <w:rPr>
                <w:rFonts w:hint="eastAsia" w:ascii="宋体" w:hAnsi="宋体" w:eastAsia="宋体" w:cs="宋体"/>
                <w:color w:val="auto"/>
                <w:sz w:val="22"/>
                <w:szCs w:val="22"/>
                <w:highlight w:val="none"/>
              </w:rPr>
              <w:t>工程师及以上职称的，得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分，其他不得分。</w:t>
            </w:r>
          </w:p>
          <w:p w14:paraId="03FA0740">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项目管理（或实施）人员（除项目负责人外）中</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水利工程专业</w:t>
            </w:r>
            <w:r>
              <w:rPr>
                <w:rFonts w:hint="eastAsia" w:ascii="宋体" w:hAnsi="宋体" w:eastAsia="宋体" w:cs="宋体"/>
                <w:color w:val="auto"/>
                <w:sz w:val="22"/>
                <w:szCs w:val="22"/>
                <w:highlight w:val="none"/>
                <w:lang w:val="en-US" w:eastAsia="zh-CN"/>
              </w:rPr>
              <w:t>一级造价工程师的得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水利工程专业</w:t>
            </w:r>
            <w:r>
              <w:rPr>
                <w:rFonts w:hint="eastAsia" w:ascii="宋体" w:hAnsi="宋体" w:eastAsia="宋体" w:cs="宋体"/>
                <w:color w:val="auto"/>
                <w:sz w:val="22"/>
                <w:szCs w:val="22"/>
                <w:highlight w:val="none"/>
                <w:lang w:val="en-US" w:eastAsia="zh-CN"/>
              </w:rPr>
              <w:t>二级造价工程师的得1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4C02537C">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项目管理（或实施）人员（除项目负责人外）</w:t>
            </w:r>
            <w:r>
              <w:rPr>
                <w:rFonts w:hint="eastAsia" w:ascii="宋体" w:hAnsi="宋体" w:eastAsia="宋体" w:cs="宋体"/>
                <w:color w:val="auto"/>
                <w:sz w:val="22"/>
                <w:szCs w:val="22"/>
                <w:highlight w:val="none"/>
                <w:lang w:eastAsia="zh-CN"/>
              </w:rPr>
              <w:t>配备施工员的得</w:t>
            </w:r>
            <w:r>
              <w:rPr>
                <w:rFonts w:hint="eastAsia" w:ascii="宋体" w:hAnsi="宋体" w:eastAsia="宋体" w:cs="宋体"/>
                <w:color w:val="auto"/>
                <w:sz w:val="22"/>
                <w:szCs w:val="22"/>
                <w:highlight w:val="none"/>
                <w:lang w:val="en-US" w:eastAsia="zh-CN"/>
              </w:rPr>
              <w:t>1分，其他不得分。</w:t>
            </w:r>
          </w:p>
          <w:p w14:paraId="67A90282">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项目管理（或实施）人员（除项目负责人外）</w:t>
            </w:r>
            <w:r>
              <w:rPr>
                <w:rFonts w:hint="eastAsia" w:ascii="宋体" w:hAnsi="宋体" w:eastAsia="宋体" w:cs="宋体"/>
                <w:color w:val="auto"/>
                <w:sz w:val="22"/>
                <w:szCs w:val="22"/>
                <w:highlight w:val="none"/>
                <w:lang w:eastAsia="zh-CN"/>
              </w:rPr>
              <w:t>配备质检员的得</w:t>
            </w:r>
            <w:r>
              <w:rPr>
                <w:rFonts w:hint="eastAsia" w:ascii="宋体" w:hAnsi="宋体" w:eastAsia="宋体" w:cs="宋体"/>
                <w:color w:val="auto"/>
                <w:sz w:val="22"/>
                <w:szCs w:val="22"/>
                <w:highlight w:val="none"/>
                <w:lang w:val="en-US" w:eastAsia="zh-CN"/>
              </w:rPr>
              <w:t>1分，其他不得分。</w:t>
            </w:r>
          </w:p>
          <w:p w14:paraId="43559FB3">
            <w:pPr>
              <w:numPr>
                <w:ilvl w:val="0"/>
                <w:numId w:val="0"/>
              </w:num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项目管理（或实施）人</w:t>
            </w:r>
            <w:r>
              <w:rPr>
                <w:rFonts w:hint="eastAsia" w:ascii="宋体" w:hAnsi="宋体" w:eastAsia="宋体" w:cs="宋体"/>
                <w:color w:val="auto"/>
                <w:sz w:val="22"/>
                <w:szCs w:val="22"/>
                <w:highlight w:val="none"/>
                <w:u w:val="none"/>
              </w:rPr>
              <w:t>员（除项目负责人外）</w:t>
            </w:r>
            <w:r>
              <w:rPr>
                <w:rFonts w:hint="eastAsia" w:ascii="宋体" w:hAnsi="宋体" w:eastAsia="宋体" w:cs="宋体"/>
                <w:color w:val="auto"/>
                <w:sz w:val="22"/>
                <w:szCs w:val="22"/>
                <w:highlight w:val="none"/>
                <w:u w:val="none"/>
                <w:lang w:eastAsia="zh-CN"/>
              </w:rPr>
              <w:t>配备</w:t>
            </w:r>
            <w:r>
              <w:rPr>
                <w:rFonts w:hint="eastAsia" w:ascii="宋体" w:hAnsi="宋体" w:cs="宋体"/>
                <w:color w:val="auto"/>
                <w:sz w:val="22"/>
                <w:szCs w:val="22"/>
                <w:highlight w:val="none"/>
                <w:u w:val="none"/>
                <w:lang w:eastAsia="zh-CN"/>
              </w:rPr>
              <w:t>安全员的得</w:t>
            </w:r>
            <w:r>
              <w:rPr>
                <w:rFonts w:hint="eastAsia" w:ascii="宋体" w:hAnsi="宋体" w:cs="宋体"/>
                <w:color w:val="auto"/>
                <w:sz w:val="22"/>
                <w:szCs w:val="22"/>
                <w:highlight w:val="none"/>
                <w:u w:val="none"/>
                <w:lang w:val="en-US" w:eastAsia="zh-CN"/>
              </w:rPr>
              <w:t>1分，其他不得分。</w:t>
            </w:r>
          </w:p>
          <w:p w14:paraId="798CCD1B">
            <w:pPr>
              <w:adjustRightInd w:val="0"/>
              <w:snapToGrid w:val="0"/>
              <w:rPr>
                <w:rFonts w:hint="eastAsia" w:ascii="宋体"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2"/>
                <w:szCs w:val="22"/>
                <w:highlight w:val="none"/>
              </w:rPr>
              <w:t>注：一人多</w:t>
            </w:r>
            <w:r>
              <w:rPr>
                <w:rFonts w:hint="eastAsia" w:ascii="宋体" w:hAnsi="宋体" w:cs="宋体"/>
                <w:b/>
                <w:bCs/>
                <w:color w:val="auto"/>
                <w:sz w:val="22"/>
                <w:szCs w:val="22"/>
                <w:highlight w:val="none"/>
                <w:lang w:eastAsia="zh-CN"/>
              </w:rPr>
              <w:t>职</w:t>
            </w:r>
            <w:r>
              <w:rPr>
                <w:rFonts w:hint="eastAsia" w:ascii="宋体" w:hAnsi="宋体" w:eastAsia="宋体" w:cs="宋体"/>
                <w:b/>
                <w:bCs/>
                <w:color w:val="auto"/>
                <w:sz w:val="22"/>
                <w:szCs w:val="22"/>
                <w:highlight w:val="none"/>
              </w:rPr>
              <w:t>仅计分一次</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需提供有效证书及供应商为</w:t>
            </w:r>
            <w:r>
              <w:rPr>
                <w:rFonts w:hint="eastAsia" w:ascii="宋体" w:hAnsi="宋体" w:eastAsia="宋体" w:cs="宋体"/>
                <w:b/>
                <w:bCs/>
                <w:color w:val="auto"/>
                <w:sz w:val="22"/>
                <w:szCs w:val="22"/>
                <w:highlight w:val="none"/>
                <w:lang w:val="zh-CN" w:eastAsia="zh-CN"/>
              </w:rPr>
              <w:t>其缴纳近期的社保</w:t>
            </w:r>
            <w:r>
              <w:rPr>
                <w:rFonts w:hint="eastAsia" w:ascii="宋体" w:hAnsi="宋体" w:eastAsia="宋体" w:cs="宋体"/>
                <w:b/>
                <w:bCs/>
                <w:color w:val="auto"/>
                <w:sz w:val="22"/>
                <w:szCs w:val="22"/>
                <w:highlight w:val="none"/>
              </w:rPr>
              <w:t>证明（须为加盖社保部门印章的证明文件）影印件或扫描件，否则不得分。</w:t>
            </w:r>
          </w:p>
        </w:tc>
        <w:tc>
          <w:tcPr>
            <w:tcW w:w="750" w:type="dxa"/>
            <w:vAlign w:val="center"/>
          </w:tcPr>
          <w:p w14:paraId="1FD7A96E">
            <w:pPr>
              <w:adjustRightInd w:val="0"/>
              <w:snapToGrid w:val="0"/>
              <w:jc w:val="center"/>
              <w:rPr>
                <w:rFonts w:hint="eastAsia" w:ascii="宋体" w:hAnsi="宋体" w:eastAsia="宋体" w:cs="宋体"/>
                <w:color w:val="auto"/>
                <w:szCs w:val="21"/>
                <w:highlight w:val="none"/>
                <w:lang w:val="en-US" w:eastAsia="zh-CN"/>
              </w:rPr>
            </w:pPr>
          </w:p>
        </w:tc>
        <w:tc>
          <w:tcPr>
            <w:tcW w:w="750" w:type="dxa"/>
            <w:vAlign w:val="center"/>
          </w:tcPr>
          <w:p w14:paraId="0E00369B">
            <w:pPr>
              <w:adjustRightInd w:val="0"/>
              <w:snapToGrid w:val="0"/>
              <w:jc w:val="center"/>
              <w:rPr>
                <w:rFonts w:ascii="宋体" w:hAnsi="宋体" w:cs="宋体"/>
                <w:color w:val="auto"/>
                <w:szCs w:val="21"/>
                <w:highlight w:val="none"/>
              </w:rPr>
            </w:pPr>
          </w:p>
        </w:tc>
      </w:tr>
      <w:tr w14:paraId="4658F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827" w:type="dxa"/>
            <w:tcBorders>
              <w:bottom w:val="single" w:color="auto" w:sz="4" w:space="0"/>
            </w:tcBorders>
            <w:vAlign w:val="center"/>
          </w:tcPr>
          <w:p w14:paraId="16344EBC">
            <w:pPr>
              <w:adjustRightInd w:val="0"/>
              <w:snapToGrid w:val="0"/>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施工进度保证措施</w:t>
            </w:r>
          </w:p>
        </w:tc>
        <w:tc>
          <w:tcPr>
            <w:tcW w:w="8445" w:type="dxa"/>
            <w:vAlign w:val="center"/>
          </w:tcPr>
          <w:p w14:paraId="18EFE0E6">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2392D84C">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根据提供的施工进度计划、关键节点和线路的保证措施及承诺是否具有针对性和可行性，</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打分。</w:t>
            </w:r>
          </w:p>
          <w:p w14:paraId="5DB096F1">
            <w:pPr>
              <w:numPr>
                <w:ilvl w:val="0"/>
                <w:numId w:val="10"/>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施工进度计划、关键节点和线路设置合理，工程进度保证措施可行性强的得</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14:paraId="293440A1">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施工进度计划、关键节点和线路设置</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合理，工程进度保证措施可行性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9DF8543">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施工进度计划、关键节点和线路设置较普通，工程进度保证措施可行性差的得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BB40D4B">
            <w:pPr>
              <w:adjustRightInd w:val="0"/>
              <w:snapToGrid w:val="0"/>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未提供该项内容不得分。</w:t>
            </w:r>
          </w:p>
        </w:tc>
        <w:tc>
          <w:tcPr>
            <w:tcW w:w="750" w:type="dxa"/>
            <w:vAlign w:val="center"/>
          </w:tcPr>
          <w:p w14:paraId="29419A44">
            <w:pPr>
              <w:jc w:val="center"/>
              <w:rPr>
                <w:rFonts w:ascii="宋体" w:hAnsi="宋体" w:cs="宋体"/>
                <w:color w:val="auto"/>
                <w:szCs w:val="21"/>
                <w:highlight w:val="none"/>
              </w:rPr>
            </w:pPr>
          </w:p>
        </w:tc>
        <w:tc>
          <w:tcPr>
            <w:tcW w:w="750" w:type="dxa"/>
            <w:vAlign w:val="center"/>
          </w:tcPr>
          <w:p w14:paraId="3B114AEA">
            <w:pPr>
              <w:jc w:val="center"/>
              <w:rPr>
                <w:rFonts w:ascii="宋体" w:hAnsi="宋体" w:cs="宋体"/>
                <w:color w:val="auto"/>
                <w:szCs w:val="21"/>
                <w:highlight w:val="none"/>
              </w:rPr>
            </w:pPr>
          </w:p>
        </w:tc>
      </w:tr>
      <w:tr w14:paraId="4DA8C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827" w:type="dxa"/>
            <w:tcBorders>
              <w:bottom w:val="single" w:color="auto" w:sz="4" w:space="0"/>
            </w:tcBorders>
            <w:vAlign w:val="center"/>
          </w:tcPr>
          <w:p w14:paraId="6B361A17">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安全文明施工保证措施</w:t>
            </w:r>
          </w:p>
        </w:tc>
        <w:tc>
          <w:tcPr>
            <w:tcW w:w="8445" w:type="dxa"/>
            <w:vAlign w:val="center"/>
          </w:tcPr>
          <w:p w14:paraId="09A51DBD">
            <w:pPr>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02292B8C">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根据符合施工现场实际情况进行打分。</w:t>
            </w:r>
          </w:p>
          <w:p w14:paraId="5C85916E">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（1）根据实际情况制定安全文明施工保证计划全面周到、完整，关键地点、工序、环节控制保障措施得力，责任人具体的</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2B8A174C">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（2）根据实际情况制定安全文明施工保证计划比较全面周到、完整，关键地点、工序、环节控制保障措施比较得力，责任人基本到位的</w:t>
            </w:r>
            <w:r>
              <w:rPr>
                <w:rFonts w:hint="eastAsia" w:ascii="宋体" w:hAnsi="宋体" w:eastAsia="宋体" w:cs="宋体"/>
                <w:color w:val="auto"/>
                <w:sz w:val="22"/>
                <w:szCs w:val="22"/>
                <w:highlight w:val="none"/>
                <w:lang w:val="zh-CN" w:eastAsia="zh-CN"/>
              </w:rPr>
              <w:t>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4797D462">
            <w:pPr>
              <w:numPr>
                <w:ilvl w:val="0"/>
                <w:numId w:val="0"/>
              </w:num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）根据实际情况制定安全文明施工保证计划不全面不周到、不完整，或关键地点、工序、环节控制保障措施未制订，或责任人未明确的</w:t>
            </w:r>
            <w:r>
              <w:rPr>
                <w:rFonts w:hint="eastAsia" w:ascii="宋体" w:hAnsi="宋体" w:eastAsia="宋体" w:cs="宋体"/>
                <w:color w:val="auto"/>
                <w:sz w:val="22"/>
                <w:szCs w:val="22"/>
                <w:highlight w:val="none"/>
                <w:lang w:val="zh-CN"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zh-CN"/>
              </w:rPr>
              <w:t>；</w:t>
            </w:r>
          </w:p>
          <w:p w14:paraId="66B62E9C">
            <w:pPr>
              <w:numPr>
                <w:ilvl w:val="0"/>
                <w:numId w:val="0"/>
              </w:numPr>
              <w:adjustRightInd w:val="0"/>
              <w:snapToGrid w:val="0"/>
              <w:ind w:left="0" w:leftChars="0" w:firstLine="0" w:firstLineChars="0"/>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）缺项的得0分。</w:t>
            </w:r>
          </w:p>
        </w:tc>
        <w:tc>
          <w:tcPr>
            <w:tcW w:w="750" w:type="dxa"/>
            <w:vAlign w:val="center"/>
          </w:tcPr>
          <w:p w14:paraId="04A9F107">
            <w:pPr>
              <w:jc w:val="center"/>
              <w:rPr>
                <w:rFonts w:ascii="宋体" w:hAnsi="宋体" w:cs="宋体"/>
                <w:color w:val="auto"/>
                <w:szCs w:val="21"/>
                <w:highlight w:val="none"/>
              </w:rPr>
            </w:pPr>
          </w:p>
        </w:tc>
        <w:tc>
          <w:tcPr>
            <w:tcW w:w="750" w:type="dxa"/>
            <w:vAlign w:val="center"/>
          </w:tcPr>
          <w:p w14:paraId="458B9DF7">
            <w:pPr>
              <w:jc w:val="center"/>
              <w:rPr>
                <w:rFonts w:ascii="宋体" w:hAnsi="宋体" w:cs="宋体"/>
                <w:color w:val="auto"/>
                <w:szCs w:val="21"/>
                <w:highlight w:val="none"/>
              </w:rPr>
            </w:pPr>
          </w:p>
        </w:tc>
      </w:tr>
      <w:tr w14:paraId="02CC8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827" w:type="dxa"/>
            <w:tcBorders>
              <w:bottom w:val="single" w:color="auto" w:sz="4" w:space="0"/>
            </w:tcBorders>
            <w:vAlign w:val="center"/>
          </w:tcPr>
          <w:p w14:paraId="28635177">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针对本项目的重难点分析</w:t>
            </w:r>
          </w:p>
        </w:tc>
        <w:tc>
          <w:tcPr>
            <w:tcW w:w="8445" w:type="dxa"/>
            <w:vAlign w:val="center"/>
          </w:tcPr>
          <w:p w14:paraId="597EA4E6">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325E3391">
            <w:pPr>
              <w:adjustRightInd w:val="0"/>
              <w:snapToGri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投标人根据本项目的采购需求，重点、难点分析是否全面、阐述合理、条理清晰、符合现状措施等，由评委进行评价。</w:t>
            </w:r>
          </w:p>
          <w:p w14:paraId="6919078D">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）重点、难点分析全面、到位、合理、准确的得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179D3AA8">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）重点、难点分析基本全面、到位、合理、准确的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0716C4C0">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）重点、难点分析有缺陷的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220EEAB7">
            <w:pPr>
              <w:adjustRightInd w:val="0"/>
              <w:snapToGrid w:val="0"/>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缺项的得0分。</w:t>
            </w:r>
          </w:p>
        </w:tc>
        <w:tc>
          <w:tcPr>
            <w:tcW w:w="750" w:type="dxa"/>
            <w:vAlign w:val="center"/>
          </w:tcPr>
          <w:p w14:paraId="30D8B710">
            <w:pPr>
              <w:jc w:val="center"/>
              <w:rPr>
                <w:rFonts w:ascii="宋体" w:hAnsi="宋体" w:cs="宋体"/>
                <w:color w:val="auto"/>
                <w:szCs w:val="21"/>
                <w:highlight w:val="none"/>
              </w:rPr>
            </w:pPr>
          </w:p>
        </w:tc>
        <w:tc>
          <w:tcPr>
            <w:tcW w:w="750" w:type="dxa"/>
            <w:vAlign w:val="center"/>
          </w:tcPr>
          <w:p w14:paraId="0DF3D8B1">
            <w:pPr>
              <w:jc w:val="center"/>
              <w:rPr>
                <w:rFonts w:ascii="宋体" w:hAnsi="宋体" w:cs="宋体"/>
                <w:color w:val="auto"/>
                <w:szCs w:val="21"/>
                <w:highlight w:val="none"/>
              </w:rPr>
            </w:pPr>
          </w:p>
        </w:tc>
      </w:tr>
      <w:tr w14:paraId="0A9F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27" w:type="dxa"/>
            <w:tcBorders>
              <w:bottom w:val="single" w:color="auto" w:sz="4" w:space="0"/>
            </w:tcBorders>
            <w:vAlign w:val="center"/>
          </w:tcPr>
          <w:p w14:paraId="07BD51FC">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项目施工质量保证</w:t>
            </w:r>
            <w:r>
              <w:rPr>
                <w:rFonts w:hint="eastAsia" w:ascii="宋体" w:hAnsi="宋体"/>
                <w:color w:val="auto"/>
                <w:szCs w:val="21"/>
                <w:highlight w:val="none"/>
                <w:lang w:eastAsia="zh-CN"/>
              </w:rPr>
              <w:t>措施</w:t>
            </w:r>
          </w:p>
        </w:tc>
        <w:tc>
          <w:tcPr>
            <w:tcW w:w="8445" w:type="dxa"/>
            <w:vAlign w:val="center"/>
          </w:tcPr>
          <w:p w14:paraId="41A5D657">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针对项目实施过程中的质量保证措施进行打分。</w:t>
            </w:r>
          </w:p>
          <w:p w14:paraId="1DC31AD5">
            <w:pPr>
              <w:adjustRightInd w:val="0"/>
              <w:snapToGrid w:val="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措施方案科学合理，可行性强的得10分；</w:t>
            </w:r>
          </w:p>
          <w:p w14:paraId="579F8449">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措施方案科学较合理，可行性一般的得6分；</w:t>
            </w:r>
          </w:p>
          <w:p w14:paraId="2348F0C7">
            <w:pPr>
              <w:adjustRightInd w:val="0"/>
              <w:snapToGrid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olor w:val="auto"/>
                <w:szCs w:val="21"/>
                <w:highlight w:val="none"/>
              </w:rPr>
              <w:t>施工质量保证</w:t>
            </w:r>
            <w:r>
              <w:rPr>
                <w:rFonts w:hint="eastAsia" w:ascii="宋体" w:hAnsi="宋体" w:cs="宋体"/>
                <w:color w:val="auto"/>
                <w:sz w:val="22"/>
                <w:szCs w:val="22"/>
                <w:highlight w:val="none"/>
                <w:lang w:val="en-US" w:eastAsia="zh-CN"/>
              </w:rPr>
              <w:t>措施方案科学合理性、可行性较差的得3分；</w:t>
            </w:r>
          </w:p>
          <w:p w14:paraId="2FCE67E4">
            <w:pPr>
              <w:adjustRightInd w:val="0"/>
              <w:snapToGrid w:val="0"/>
              <w:rPr>
                <w:rFonts w:hint="default" w:ascii="宋体" w:hAnsi="宋体" w:eastAsia="宋体" w:cs="Times New Roman"/>
                <w:bCs/>
                <w:color w:val="auto"/>
                <w:kern w:val="2"/>
                <w:sz w:val="21"/>
                <w:szCs w:val="21"/>
                <w:highlight w:val="none"/>
                <w:lang w:val="en-US" w:eastAsia="zh-CN" w:bidi="ar-SA"/>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未提及此项得0分。</w:t>
            </w:r>
          </w:p>
        </w:tc>
        <w:tc>
          <w:tcPr>
            <w:tcW w:w="750" w:type="dxa"/>
            <w:vAlign w:val="center"/>
          </w:tcPr>
          <w:p w14:paraId="35487130">
            <w:pPr>
              <w:jc w:val="center"/>
              <w:rPr>
                <w:rFonts w:ascii="宋体" w:hAnsi="宋体" w:cs="宋体"/>
                <w:color w:val="auto"/>
                <w:szCs w:val="21"/>
                <w:highlight w:val="none"/>
              </w:rPr>
            </w:pPr>
          </w:p>
        </w:tc>
        <w:tc>
          <w:tcPr>
            <w:tcW w:w="750" w:type="dxa"/>
            <w:vAlign w:val="center"/>
          </w:tcPr>
          <w:p w14:paraId="7E3CF6D2">
            <w:pPr>
              <w:jc w:val="center"/>
              <w:rPr>
                <w:rFonts w:ascii="宋体" w:hAnsi="宋体" w:cs="宋体"/>
                <w:color w:val="auto"/>
                <w:szCs w:val="21"/>
                <w:highlight w:val="none"/>
              </w:rPr>
            </w:pPr>
          </w:p>
        </w:tc>
      </w:tr>
      <w:tr w14:paraId="45D1D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27" w:type="dxa"/>
            <w:tcBorders>
              <w:bottom w:val="single" w:color="auto" w:sz="4" w:space="0"/>
            </w:tcBorders>
            <w:vAlign w:val="center"/>
          </w:tcPr>
          <w:p w14:paraId="7FF051F4">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应急预案</w:t>
            </w:r>
          </w:p>
        </w:tc>
        <w:tc>
          <w:tcPr>
            <w:tcW w:w="8445" w:type="dxa"/>
            <w:vAlign w:val="center"/>
          </w:tcPr>
          <w:p w14:paraId="198AF34A">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主观分：</w:t>
            </w:r>
          </w:p>
          <w:p w14:paraId="125E99FB">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针对项目实施过程中可能遇到的紧急事件、异常处理等应急预案和对应的解决措施情况进行打分。</w:t>
            </w:r>
          </w:p>
          <w:p w14:paraId="0A8A2D8D">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1.提出应急措施科学可行、具有针对性的得</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分；</w:t>
            </w:r>
          </w:p>
          <w:p w14:paraId="003B6743">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2.提出应急措施科学可行、针对性一般的得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7C98E5D2">
            <w:pPr>
              <w:adjustRightInd w:val="0"/>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3.提出应急措施科学可行、针对性较差的得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560E123F">
            <w:pPr>
              <w:adjustRightInd w:val="0"/>
              <w:snapToGrid w:val="0"/>
              <w:rPr>
                <w:rFonts w:ascii="宋体" w:hAnsi="宋体" w:eastAsia="宋体" w:cs="宋体"/>
                <w:b/>
                <w:color w:val="auto"/>
                <w:kern w:val="2"/>
                <w:sz w:val="21"/>
                <w:szCs w:val="21"/>
                <w:highlight w:val="none"/>
                <w:lang w:val="en-US" w:eastAsia="zh-CN" w:bidi="ar-SA"/>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.未提及此项得0分。</w:t>
            </w:r>
          </w:p>
        </w:tc>
        <w:tc>
          <w:tcPr>
            <w:tcW w:w="750" w:type="dxa"/>
            <w:vAlign w:val="center"/>
          </w:tcPr>
          <w:p w14:paraId="2696D4AB">
            <w:pPr>
              <w:jc w:val="center"/>
              <w:rPr>
                <w:rFonts w:ascii="宋体" w:hAnsi="宋体" w:cs="宋体"/>
                <w:color w:val="auto"/>
                <w:szCs w:val="21"/>
                <w:highlight w:val="none"/>
              </w:rPr>
            </w:pPr>
          </w:p>
        </w:tc>
        <w:tc>
          <w:tcPr>
            <w:tcW w:w="750" w:type="dxa"/>
            <w:vAlign w:val="center"/>
          </w:tcPr>
          <w:p w14:paraId="0420ECF4">
            <w:pPr>
              <w:jc w:val="center"/>
              <w:rPr>
                <w:rFonts w:ascii="宋体" w:hAnsi="宋体" w:cs="宋体"/>
                <w:color w:val="auto"/>
                <w:szCs w:val="21"/>
                <w:highlight w:val="none"/>
              </w:rPr>
            </w:pPr>
          </w:p>
        </w:tc>
      </w:tr>
    </w:tbl>
    <w:p w14:paraId="50ECBBC5">
      <w:pPr>
        <w:widowControl/>
        <w:jc w:val="left"/>
        <w:rPr>
          <w:rFonts w:ascii="宋体" w:hAnsi="宋体"/>
          <w:b/>
          <w:color w:val="auto"/>
          <w:sz w:val="28"/>
          <w:highlight w:val="none"/>
        </w:rPr>
      </w:pPr>
    </w:p>
    <w:p w14:paraId="68A44C21">
      <w:pPr>
        <w:widowControl/>
        <w:jc w:val="left"/>
        <w:rPr>
          <w:rFonts w:ascii="宋体" w:hAnsi="宋体"/>
          <w:b/>
          <w:color w:val="auto"/>
          <w:sz w:val="28"/>
          <w:highlight w:val="none"/>
        </w:rPr>
      </w:pPr>
      <w:r>
        <w:rPr>
          <w:rFonts w:ascii="宋体" w:hAnsi="宋体"/>
          <w:b/>
          <w:color w:val="auto"/>
          <w:sz w:val="28"/>
          <w:highlight w:val="none"/>
        </w:rPr>
        <w:br w:type="page"/>
      </w:r>
    </w:p>
    <w:p w14:paraId="68B7E03F">
      <w:pPr>
        <w:widowControl/>
        <w:jc w:val="left"/>
        <w:rPr>
          <w:rFonts w:ascii="宋体" w:hAnsi="宋体"/>
          <w:color w:val="auto"/>
          <w:spacing w:val="40"/>
          <w:sz w:val="52"/>
          <w:szCs w:val="52"/>
          <w:highlight w:val="none"/>
        </w:rPr>
      </w:pPr>
      <w:bookmarkStart w:id="101" w:name="_Toc20653"/>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rPr>
        <w:t>：</w:t>
      </w:r>
    </w:p>
    <w:p w14:paraId="60C232D7">
      <w:pPr>
        <w:adjustRightInd w:val="0"/>
        <w:snapToGrid w:val="0"/>
        <w:spacing w:line="312" w:lineRule="auto"/>
        <w:ind w:right="480"/>
        <w:jc w:val="center"/>
        <w:rPr>
          <w:rFonts w:ascii="宋体" w:hAnsi="宋体"/>
          <w:b/>
          <w:color w:val="auto"/>
          <w:kern w:val="0"/>
          <w:sz w:val="32"/>
          <w:szCs w:val="32"/>
          <w:highlight w:val="none"/>
        </w:rPr>
      </w:pPr>
      <w:r>
        <w:rPr>
          <w:rFonts w:hint="eastAsia" w:ascii="宋体" w:hAnsi="宋体"/>
          <w:b/>
          <w:color w:val="auto"/>
          <w:kern w:val="0"/>
          <w:sz w:val="32"/>
          <w:szCs w:val="32"/>
          <w:highlight w:val="none"/>
        </w:rPr>
        <w:t>投 标 函</w:t>
      </w:r>
      <w:bookmarkEnd w:id="101"/>
    </w:p>
    <w:p w14:paraId="52710FF1">
      <w:pPr>
        <w:snapToGrid w:val="0"/>
        <w:spacing w:line="40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s="宋体"/>
          <w:color w:val="auto"/>
          <w:kern w:val="0"/>
          <w:sz w:val="24"/>
          <w:highlight w:val="none"/>
        </w:rPr>
        <w:t>（采购代理机构名称）：</w:t>
      </w:r>
    </w:p>
    <w:p w14:paraId="076A486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）的磋商，并</w:t>
      </w:r>
      <w:r>
        <w:rPr>
          <w:rFonts w:ascii="宋体" w:hAnsi="宋体"/>
          <w:color w:val="auto"/>
          <w:sz w:val="24"/>
          <w:highlight w:val="none"/>
        </w:rPr>
        <w:t>按</w:t>
      </w:r>
      <w:r>
        <w:rPr>
          <w:rFonts w:hint="eastAsia" w:ascii="宋体" w:hAnsi="宋体"/>
          <w:color w:val="auto"/>
          <w:sz w:val="24"/>
          <w:highlight w:val="none"/>
        </w:rPr>
        <w:t>磋商文件</w:t>
      </w:r>
      <w:r>
        <w:rPr>
          <w:rFonts w:ascii="宋体" w:hAnsi="宋体"/>
          <w:color w:val="auto"/>
          <w:sz w:val="24"/>
          <w:highlight w:val="none"/>
        </w:rPr>
        <w:t>的要求</w:t>
      </w:r>
      <w:r>
        <w:rPr>
          <w:rFonts w:hint="eastAsia" w:ascii="宋体" w:hAnsi="宋体"/>
          <w:color w:val="auto"/>
          <w:sz w:val="24"/>
          <w:highlight w:val="none"/>
        </w:rPr>
        <w:t>提交磋商响应文件。</w:t>
      </w:r>
    </w:p>
    <w:p w14:paraId="5BDA636D">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.我方完全理解并接受磋商文件（包括更正文件）的各项规定和要求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2E752389">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69D41826">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4.我方向贵方提交的所有响应文件、资料（包括所有证明材料等）都是准确、真实、合规的，如有虚假或隐瞒，我方愿意承担一切后果。</w:t>
      </w:r>
    </w:p>
    <w:p w14:paraId="59CBEE86">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.本次磋商有效期自磋商截止之日起 90天</w:t>
      </w:r>
      <w:r>
        <w:rPr>
          <w:rFonts w:ascii="宋体" w:hAnsi="宋体"/>
          <w:color w:val="auto"/>
          <w:sz w:val="24"/>
          <w:highlight w:val="none"/>
        </w:rPr>
        <w:t>内</w:t>
      </w:r>
      <w:r>
        <w:rPr>
          <w:rFonts w:hint="eastAsia" w:ascii="宋体" w:hAnsi="宋体"/>
          <w:color w:val="auto"/>
          <w:sz w:val="24"/>
          <w:highlight w:val="none"/>
        </w:rPr>
        <w:t>有效。</w:t>
      </w:r>
    </w:p>
    <w:p w14:paraId="36FC07D0">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7B76F5AB">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50E65AE4">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5274FB7E">
      <w:pPr>
        <w:snapToGrid w:val="0"/>
        <w:spacing w:line="400" w:lineRule="exact"/>
        <w:ind w:firstLine="361" w:firstLineChars="150"/>
        <w:rPr>
          <w:rFonts w:ascii="宋体" w:hAnsi="宋体"/>
          <w:b/>
          <w:bCs/>
          <w:color w:val="auto"/>
          <w:sz w:val="24"/>
          <w:highlight w:val="none"/>
          <w:u w:val="single"/>
          <w:shd w:val="pct10" w:color="auto" w:fill="FFFFFF"/>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14:paraId="01E817AC">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003111CD">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联系手机：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2634E58">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14:paraId="157D3DBB">
      <w:pPr>
        <w:snapToGrid w:val="0"/>
        <w:spacing w:line="400" w:lineRule="exact"/>
        <w:ind w:firstLine="361" w:firstLineChars="150"/>
        <w:rPr>
          <w:rFonts w:ascii="宋体" w:hAnsi="宋体"/>
          <w:b/>
          <w:bCs/>
          <w:color w:val="auto"/>
          <w:sz w:val="24"/>
          <w:highlight w:val="none"/>
        </w:rPr>
      </w:pPr>
      <w:r>
        <w:rPr>
          <w:rFonts w:hint="eastAsia" w:ascii="宋体" w:hAnsi="宋体"/>
          <w:b/>
          <w:bCs/>
          <w:color w:val="auto"/>
          <w:sz w:val="24"/>
          <w:highlight w:val="none"/>
        </w:rPr>
        <w:t>为了方便磋商小组在必要时对供应商进行询标，请供应商填写以下响应文件编制人信息，以便及时、准确进行询标，响应文件编制人信息可不限于1人。</w:t>
      </w:r>
    </w:p>
    <w:p w14:paraId="596437A5">
      <w:pPr>
        <w:snapToGrid w:val="0"/>
        <w:spacing w:line="40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14:paraId="3B803C1E">
      <w:pPr>
        <w:snapToGrid w:val="0"/>
        <w:spacing w:line="40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法定代表人（签字或盖章）：</w:t>
      </w:r>
    </w:p>
    <w:p w14:paraId="04C99A17">
      <w:pPr>
        <w:snapToGrid w:val="0"/>
        <w:spacing w:line="40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被授权人（签字）:</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u w:val="single"/>
        </w:rPr>
        <w:t xml:space="preserve">     </w:t>
      </w:r>
    </w:p>
    <w:p w14:paraId="7335F56C">
      <w:pPr>
        <w:snapToGrid w:val="0"/>
        <w:spacing w:line="400" w:lineRule="exact"/>
        <w:jc w:val="left"/>
        <w:rPr>
          <w:rFonts w:ascii="宋体" w:hAnsi="宋体"/>
          <w:color w:val="auto"/>
          <w:sz w:val="24"/>
          <w:highlight w:val="none"/>
        </w:rPr>
      </w:pPr>
    </w:p>
    <w:p w14:paraId="5AE5722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7E837E2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4806C25">
      <w:pPr>
        <w:pStyle w:val="38"/>
        <w:shd w:val="clear" w:color="auto" w:fill="FFFFFF"/>
        <w:spacing w:before="0" w:beforeAutospacing="0" w:after="0" w:afterAutospacing="0" w:line="360" w:lineRule="auto"/>
        <w:ind w:firstLine="424" w:firstLineChars="177"/>
        <w:rPr>
          <w:rFonts w:hint="eastAsia" w:ascii="宋体" w:hAnsi="宋体"/>
          <w:b/>
          <w:color w:val="auto"/>
          <w:sz w:val="28"/>
          <w:highlight w:val="none"/>
        </w:rPr>
        <w:sectPr>
          <w:pgSz w:w="11906" w:h="16838"/>
          <w:pgMar w:top="1440" w:right="1418" w:bottom="1440" w:left="1418" w:header="851" w:footer="851" w:gutter="0"/>
          <w:cols w:space="720" w:num="1"/>
          <w:docGrid w:linePitch="312" w:charSpace="0"/>
        </w:sectPr>
      </w:pPr>
      <w:r>
        <w:rPr>
          <w:rFonts w:hint="eastAsia"/>
          <w:color w:val="auto"/>
          <w:highlight w:val="none"/>
        </w:rPr>
        <w:t>日        期：</w:t>
      </w:r>
    </w:p>
    <w:p w14:paraId="31005657">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59ADD500">
      <w:pPr>
        <w:pStyle w:val="38"/>
        <w:shd w:val="clear" w:color="auto" w:fill="FFFFFF"/>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6CB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4FF05AF9">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14:paraId="6A2077E5">
            <w:pPr>
              <w:pStyle w:val="38"/>
              <w:shd w:val="clear" w:color="auto" w:fill="FFFFFF"/>
              <w:adjustRightInd w:val="0"/>
              <w:snapToGrid w:val="0"/>
              <w:ind w:left="-105" w:leftChars="-50" w:right="-105" w:rightChars="-50"/>
              <w:jc w:val="center"/>
              <w:rPr>
                <w:bCs/>
                <w:color w:val="auto"/>
                <w:sz w:val="18"/>
                <w:szCs w:val="18"/>
                <w:highlight w:val="none"/>
              </w:rPr>
            </w:pPr>
          </w:p>
        </w:tc>
        <w:tc>
          <w:tcPr>
            <w:tcW w:w="2001" w:type="dxa"/>
            <w:gridSpan w:val="3"/>
            <w:vAlign w:val="center"/>
          </w:tcPr>
          <w:p w14:paraId="304D404B">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14:paraId="49DA3289">
            <w:pPr>
              <w:pStyle w:val="38"/>
              <w:shd w:val="clear" w:color="auto" w:fill="FFFFFF"/>
              <w:adjustRightInd w:val="0"/>
              <w:snapToGrid w:val="0"/>
              <w:ind w:left="-105" w:leftChars="-50" w:right="-105" w:rightChars="-50"/>
              <w:jc w:val="center"/>
              <w:rPr>
                <w:bCs/>
                <w:color w:val="auto"/>
                <w:sz w:val="18"/>
                <w:szCs w:val="18"/>
                <w:highlight w:val="none"/>
              </w:rPr>
            </w:pPr>
          </w:p>
        </w:tc>
      </w:tr>
      <w:tr w14:paraId="680A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690FF92A">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14:paraId="65599BDB">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1E913D0A">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14:paraId="5F9BB887">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6556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53C08F0B">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14:paraId="0931385B">
            <w:pPr>
              <w:pStyle w:val="38"/>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14:paraId="45550CD0">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14:paraId="67D58D29">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14:paraId="041F69D5">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10633602">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14:paraId="0E77FD26">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137B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2F09AAE4">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14:paraId="7D228DA3">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14:paraId="77A22A7F">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14:paraId="491B68D3">
            <w:pPr>
              <w:pStyle w:val="38"/>
              <w:shd w:val="clear" w:color="auto" w:fill="FFFFFF"/>
              <w:adjustRightInd w:val="0"/>
              <w:snapToGrid w:val="0"/>
              <w:ind w:right="-105" w:rightChars="-50"/>
              <w:rPr>
                <w:bCs/>
                <w:color w:val="auto"/>
                <w:spacing w:val="16"/>
                <w:sz w:val="18"/>
                <w:szCs w:val="18"/>
                <w:highlight w:val="none"/>
              </w:rPr>
            </w:pPr>
          </w:p>
        </w:tc>
        <w:tc>
          <w:tcPr>
            <w:tcW w:w="2001" w:type="dxa"/>
            <w:gridSpan w:val="3"/>
            <w:vMerge w:val="restart"/>
            <w:vAlign w:val="center"/>
          </w:tcPr>
          <w:p w14:paraId="6CBDE550">
            <w:pPr>
              <w:pStyle w:val="38"/>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14:paraId="789A2F39">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1AA8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0C32F6C7">
            <w:pPr>
              <w:pStyle w:val="38"/>
              <w:shd w:val="clear" w:color="auto" w:fill="FFFFFF"/>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14:paraId="16B7EE77">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14:paraId="29B55D7B">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14:paraId="6457E92F">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14:paraId="5BF039D7">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14:paraId="2560B3A5">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11B7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6AAE270B">
            <w:pPr>
              <w:pStyle w:val="38"/>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14:paraId="27FBC1FE">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14:paraId="34735E02">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14:paraId="73BA3D4F">
            <w:pPr>
              <w:pStyle w:val="38"/>
              <w:shd w:val="clear" w:color="auto" w:fill="FFFFFF"/>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14:paraId="208F2D23">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14:paraId="6B567ACD">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14:paraId="2C5E7615">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14:paraId="06B9F3E2">
            <w:pPr>
              <w:pStyle w:val="38"/>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14:paraId="6DD6F9B8">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14:paraId="517BFCD5">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14:paraId="12F99384">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4D8B1DC6">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14:paraId="3BE6A48A">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14:paraId="7107F794">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6B27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7820809E">
            <w:pPr>
              <w:pStyle w:val="38"/>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14:paraId="2B0EEC6D">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14:paraId="0AFBC671">
            <w:pPr>
              <w:pStyle w:val="38"/>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14:paraId="17F9F4DF">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14:paraId="4A5197D7">
            <w:pPr>
              <w:pStyle w:val="38"/>
              <w:shd w:val="clear" w:color="auto" w:fill="FFFFFF"/>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14:paraId="7336EEB1">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14:paraId="3F4415B3">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14:paraId="1A3ACC4A">
            <w:pPr>
              <w:pStyle w:val="38"/>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14:paraId="74A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581D9CBD">
            <w:pPr>
              <w:pStyle w:val="38"/>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14:paraId="7A7EC0A2">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14:paraId="7F933534">
            <w:pPr>
              <w:pStyle w:val="38"/>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14:paraId="25E5970D">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14:paraId="36C003F6">
            <w:pPr>
              <w:widowControl/>
              <w:adjustRightInd w:val="0"/>
              <w:snapToGrid w:val="0"/>
              <w:ind w:left="-105" w:leftChars="-50" w:right="-105" w:rightChars="-50"/>
              <w:jc w:val="center"/>
              <w:rPr>
                <w:rFonts w:ascii="宋体" w:hAnsi="宋体" w:cs="宋体"/>
                <w:bCs/>
                <w:color w:val="auto"/>
                <w:kern w:val="0"/>
                <w:sz w:val="18"/>
                <w:szCs w:val="18"/>
                <w:highlight w:val="none"/>
              </w:rPr>
            </w:pPr>
          </w:p>
          <w:p w14:paraId="35E68E0E">
            <w:pPr>
              <w:pStyle w:val="38"/>
              <w:shd w:val="clear" w:color="auto" w:fill="FFFFFF"/>
              <w:adjustRightInd w:val="0"/>
              <w:snapToGrid w:val="0"/>
              <w:ind w:left="-105" w:leftChars="-50" w:right="-105" w:rightChars="-50"/>
              <w:jc w:val="center"/>
              <w:rPr>
                <w:bCs/>
                <w:color w:val="auto"/>
                <w:sz w:val="18"/>
                <w:szCs w:val="18"/>
                <w:highlight w:val="none"/>
              </w:rPr>
            </w:pPr>
          </w:p>
        </w:tc>
        <w:tc>
          <w:tcPr>
            <w:tcW w:w="1218" w:type="dxa"/>
            <w:vAlign w:val="center"/>
          </w:tcPr>
          <w:p w14:paraId="62A6942F">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14:paraId="58A75C17">
            <w:pPr>
              <w:pStyle w:val="38"/>
              <w:shd w:val="clear" w:color="auto" w:fill="FFFFFF"/>
              <w:adjustRightInd w:val="0"/>
              <w:snapToGrid w:val="0"/>
              <w:ind w:left="-105" w:leftChars="-50" w:right="-105" w:rightChars="-50"/>
              <w:jc w:val="center"/>
              <w:rPr>
                <w:bCs/>
                <w:color w:val="auto"/>
                <w:sz w:val="18"/>
                <w:szCs w:val="18"/>
                <w:highlight w:val="none"/>
              </w:rPr>
            </w:pPr>
          </w:p>
        </w:tc>
      </w:tr>
      <w:tr w14:paraId="0A4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61E58002">
            <w:pPr>
              <w:pStyle w:val="38"/>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14:paraId="5A88AEBF">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14:paraId="319030F6">
            <w:pPr>
              <w:pStyle w:val="38"/>
              <w:shd w:val="clear" w:color="auto" w:fill="FFFFFF"/>
              <w:adjustRightInd w:val="0"/>
              <w:snapToGrid w:val="0"/>
              <w:ind w:left="-105" w:leftChars="-50" w:right="-105" w:rightChars="-50"/>
              <w:jc w:val="center"/>
              <w:rPr>
                <w:bCs/>
                <w:color w:val="auto"/>
                <w:sz w:val="18"/>
                <w:szCs w:val="18"/>
                <w:highlight w:val="none"/>
              </w:rPr>
            </w:pPr>
          </w:p>
        </w:tc>
      </w:tr>
      <w:tr w14:paraId="6565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539B83CB">
            <w:pPr>
              <w:pStyle w:val="38"/>
              <w:shd w:val="clear" w:color="auto" w:fill="FFFFFF"/>
              <w:adjustRightInd w:val="0"/>
              <w:snapToGrid w:val="0"/>
              <w:ind w:left="-105" w:leftChars="-50" w:right="-105" w:rightChars="-50"/>
              <w:jc w:val="center"/>
              <w:rPr>
                <w:bCs/>
                <w:color w:val="auto"/>
                <w:sz w:val="18"/>
                <w:szCs w:val="18"/>
                <w:highlight w:val="none"/>
              </w:rPr>
            </w:pPr>
          </w:p>
        </w:tc>
        <w:tc>
          <w:tcPr>
            <w:tcW w:w="8131" w:type="dxa"/>
            <w:gridSpan w:val="11"/>
            <w:vAlign w:val="center"/>
          </w:tcPr>
          <w:p w14:paraId="5DA5651D">
            <w:pPr>
              <w:pStyle w:val="38"/>
              <w:shd w:val="clear" w:color="auto" w:fill="FFFFFF"/>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14:paraId="7C6A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26A99029">
            <w:pPr>
              <w:pStyle w:val="38"/>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14:paraId="30C76871">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14:paraId="0150731C">
            <w:pPr>
              <w:pStyle w:val="38"/>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14:paraId="5DAB2F83">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14:paraId="43B48CB6">
            <w:pPr>
              <w:pStyle w:val="38"/>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14:paraId="36F26101">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14:paraId="456143A9">
            <w:pPr>
              <w:pStyle w:val="38"/>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14:paraId="14EB28B9">
            <w:pPr>
              <w:pStyle w:val="38"/>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14:paraId="1275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0A65F30E">
            <w:pPr>
              <w:pStyle w:val="38"/>
              <w:shd w:val="clear" w:color="auto" w:fill="FFFFFF"/>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14:paraId="5B00EA5E">
            <w:pPr>
              <w:pStyle w:val="38"/>
              <w:shd w:val="clear" w:color="auto" w:fill="FFFFFF"/>
              <w:adjustRightInd w:val="0"/>
              <w:snapToGrid w:val="0"/>
              <w:ind w:left="-105" w:leftChars="-50" w:right="-105" w:rightChars="-50"/>
              <w:jc w:val="center"/>
              <w:rPr>
                <w:bCs/>
                <w:color w:val="auto"/>
                <w:sz w:val="18"/>
                <w:szCs w:val="18"/>
                <w:highlight w:val="none"/>
              </w:rPr>
            </w:pPr>
          </w:p>
        </w:tc>
        <w:tc>
          <w:tcPr>
            <w:tcW w:w="1333" w:type="dxa"/>
            <w:gridSpan w:val="3"/>
            <w:vAlign w:val="center"/>
          </w:tcPr>
          <w:p w14:paraId="7702380D">
            <w:pPr>
              <w:pStyle w:val="38"/>
              <w:shd w:val="clear" w:color="auto" w:fill="FFFFFF"/>
              <w:adjustRightInd w:val="0"/>
              <w:snapToGrid w:val="0"/>
              <w:ind w:left="-105" w:leftChars="-50" w:right="-105" w:rightChars="-50"/>
              <w:jc w:val="center"/>
              <w:rPr>
                <w:bCs/>
                <w:color w:val="auto"/>
                <w:sz w:val="18"/>
                <w:szCs w:val="18"/>
                <w:highlight w:val="none"/>
              </w:rPr>
            </w:pPr>
          </w:p>
        </w:tc>
        <w:tc>
          <w:tcPr>
            <w:tcW w:w="1418" w:type="dxa"/>
            <w:gridSpan w:val="2"/>
            <w:vAlign w:val="center"/>
          </w:tcPr>
          <w:p w14:paraId="7C391411">
            <w:pPr>
              <w:pStyle w:val="38"/>
              <w:shd w:val="clear" w:color="auto" w:fill="FFFFFF"/>
              <w:adjustRightInd w:val="0"/>
              <w:snapToGrid w:val="0"/>
              <w:ind w:left="-105" w:leftChars="-50" w:right="-105" w:rightChars="-50"/>
              <w:jc w:val="center"/>
              <w:rPr>
                <w:bCs/>
                <w:color w:val="auto"/>
                <w:sz w:val="18"/>
                <w:szCs w:val="18"/>
                <w:highlight w:val="none"/>
              </w:rPr>
            </w:pPr>
          </w:p>
        </w:tc>
        <w:tc>
          <w:tcPr>
            <w:tcW w:w="1276" w:type="dxa"/>
            <w:vAlign w:val="center"/>
          </w:tcPr>
          <w:p w14:paraId="3BDE06E6">
            <w:pPr>
              <w:pStyle w:val="38"/>
              <w:shd w:val="clear" w:color="auto" w:fill="FFFFFF"/>
              <w:adjustRightInd w:val="0"/>
              <w:snapToGrid w:val="0"/>
              <w:ind w:left="-105" w:leftChars="-50" w:right="-105" w:rightChars="-50"/>
              <w:jc w:val="center"/>
              <w:rPr>
                <w:bCs/>
                <w:color w:val="auto"/>
                <w:sz w:val="18"/>
                <w:szCs w:val="18"/>
                <w:highlight w:val="none"/>
              </w:rPr>
            </w:pPr>
          </w:p>
        </w:tc>
        <w:tc>
          <w:tcPr>
            <w:tcW w:w="2551" w:type="dxa"/>
            <w:gridSpan w:val="3"/>
            <w:vAlign w:val="center"/>
          </w:tcPr>
          <w:p w14:paraId="0C197162">
            <w:pPr>
              <w:pStyle w:val="38"/>
              <w:shd w:val="clear" w:color="auto" w:fill="FFFFFF"/>
              <w:adjustRightInd w:val="0"/>
              <w:snapToGrid w:val="0"/>
              <w:ind w:left="-105" w:leftChars="-50" w:right="-105" w:rightChars="-50"/>
              <w:jc w:val="center"/>
              <w:rPr>
                <w:bCs/>
                <w:color w:val="auto"/>
                <w:sz w:val="18"/>
                <w:szCs w:val="18"/>
                <w:highlight w:val="none"/>
              </w:rPr>
            </w:pPr>
          </w:p>
        </w:tc>
      </w:tr>
      <w:tr w14:paraId="3F22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25B9F513">
            <w:pPr>
              <w:pStyle w:val="38"/>
              <w:shd w:val="clear" w:color="auto" w:fill="FFFFFF"/>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14:paraId="0A3A8090">
            <w:pPr>
              <w:pStyle w:val="38"/>
              <w:shd w:val="clear" w:color="auto" w:fill="FFFFFF"/>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14:paraId="3C5D05F4">
            <w:pPr>
              <w:pStyle w:val="38"/>
              <w:shd w:val="clear" w:color="auto" w:fill="FFFFFF"/>
              <w:adjustRightInd w:val="0"/>
              <w:snapToGrid w:val="0"/>
              <w:ind w:left="-105" w:leftChars="-50" w:right="-105" w:rightChars="-50"/>
              <w:jc w:val="center"/>
              <w:rPr>
                <w:bCs/>
                <w:color w:val="auto"/>
                <w:spacing w:val="16"/>
                <w:sz w:val="18"/>
                <w:szCs w:val="18"/>
                <w:highlight w:val="none"/>
              </w:rPr>
            </w:pPr>
          </w:p>
        </w:tc>
      </w:tr>
      <w:tr w14:paraId="3CDA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4223F6B7">
            <w:pPr>
              <w:pStyle w:val="38"/>
              <w:shd w:val="clear" w:color="auto" w:fill="FFFFFF"/>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14:paraId="71AAD7AA">
            <w:pPr>
              <w:pStyle w:val="38"/>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14:paraId="4BE71E86">
            <w:pPr>
              <w:pStyle w:val="38"/>
              <w:shd w:val="clear" w:color="auto" w:fill="FFFFFF"/>
              <w:adjustRightInd w:val="0"/>
              <w:snapToGrid w:val="0"/>
              <w:ind w:left="-105" w:leftChars="-50" w:right="-105" w:rightChars="-50"/>
              <w:jc w:val="center"/>
              <w:rPr>
                <w:bCs/>
                <w:color w:val="auto"/>
                <w:spacing w:val="16"/>
                <w:sz w:val="18"/>
                <w:szCs w:val="18"/>
                <w:highlight w:val="none"/>
              </w:rPr>
            </w:pPr>
          </w:p>
        </w:tc>
      </w:tr>
    </w:tbl>
    <w:p w14:paraId="5F34CCE9">
      <w:pPr>
        <w:pStyle w:val="41"/>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5F0B79F3">
      <w:pPr>
        <w:spacing w:line="360" w:lineRule="auto"/>
        <w:ind w:firstLine="424" w:firstLineChars="177"/>
        <w:rPr>
          <w:rFonts w:ascii="宋体" w:hAnsi="宋体"/>
          <w:color w:val="auto"/>
          <w:sz w:val="24"/>
          <w:highlight w:val="none"/>
        </w:rPr>
      </w:pPr>
    </w:p>
    <w:p w14:paraId="1085957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F5D3675">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4B748E63">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1EB92D63">
      <w:pPr>
        <w:widowControl/>
        <w:jc w:val="left"/>
        <w:rPr>
          <w:rFonts w:ascii="宋体" w:hAnsi="宋体"/>
          <w:b/>
          <w:color w:val="auto"/>
          <w:sz w:val="28"/>
          <w:highlight w:val="none"/>
        </w:rPr>
      </w:pPr>
      <w:r>
        <w:rPr>
          <w:rFonts w:ascii="宋体" w:hAnsi="宋体"/>
          <w:b/>
          <w:color w:val="auto"/>
          <w:sz w:val="28"/>
          <w:highlight w:val="none"/>
        </w:rPr>
        <w:br w:type="page"/>
      </w:r>
    </w:p>
    <w:p w14:paraId="5CB1CDEB">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49E3FD87">
      <w:pPr>
        <w:pStyle w:val="41"/>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证书、证明材料一览表</w:t>
      </w:r>
    </w:p>
    <w:p w14:paraId="09068474">
      <w:pPr>
        <w:pStyle w:val="41"/>
        <w:spacing w:line="360" w:lineRule="auto"/>
        <w:ind w:firstLine="560"/>
        <w:jc w:val="center"/>
        <w:rPr>
          <w:rFonts w:ascii="宋体" w:hAnsi="宋体" w:cs="Arial"/>
          <w:color w:val="auto"/>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794"/>
        <w:gridCol w:w="2260"/>
        <w:gridCol w:w="2047"/>
      </w:tblGrid>
      <w:tr w14:paraId="16D791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31" w:type="dxa"/>
            <w:tcBorders>
              <w:top w:val="single" w:color="auto" w:sz="4" w:space="0"/>
              <w:left w:val="single" w:color="auto" w:sz="4" w:space="0"/>
              <w:bottom w:val="single" w:color="auto" w:sz="4" w:space="0"/>
            </w:tcBorders>
            <w:vAlign w:val="center"/>
          </w:tcPr>
          <w:p w14:paraId="0FF38BB3">
            <w:pPr>
              <w:pStyle w:val="41"/>
              <w:jc w:val="center"/>
              <w:rPr>
                <w:rFonts w:ascii="宋体" w:hAnsi="宋体" w:cs="Arial"/>
                <w:b/>
                <w:bCs/>
                <w:color w:val="auto"/>
                <w:sz w:val="24"/>
                <w:highlight w:val="none"/>
              </w:rPr>
            </w:pPr>
            <w:r>
              <w:rPr>
                <w:rFonts w:hint="eastAsia" w:ascii="宋体" w:hAnsi="宋体" w:cs="Arial"/>
                <w:b/>
                <w:bCs/>
                <w:color w:val="auto"/>
                <w:sz w:val="24"/>
                <w:highlight w:val="none"/>
              </w:rPr>
              <w:t>证书、证明材料名称</w:t>
            </w:r>
          </w:p>
        </w:tc>
        <w:tc>
          <w:tcPr>
            <w:tcW w:w="1794" w:type="dxa"/>
            <w:tcBorders>
              <w:top w:val="single" w:color="auto" w:sz="4" w:space="0"/>
              <w:bottom w:val="single" w:color="auto" w:sz="4" w:space="0"/>
            </w:tcBorders>
            <w:vAlign w:val="center"/>
          </w:tcPr>
          <w:p w14:paraId="3C01E6B1">
            <w:pPr>
              <w:pStyle w:val="41"/>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vAlign w:val="center"/>
          </w:tcPr>
          <w:p w14:paraId="712519CE">
            <w:pPr>
              <w:pStyle w:val="41"/>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14:paraId="3D2D1253">
            <w:pPr>
              <w:pStyle w:val="41"/>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5E4FCD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tcBorders>
          </w:tcPr>
          <w:p w14:paraId="055E87E9">
            <w:pPr>
              <w:pStyle w:val="41"/>
              <w:spacing w:line="360" w:lineRule="auto"/>
              <w:ind w:firstLine="420"/>
              <w:jc w:val="center"/>
              <w:rPr>
                <w:rFonts w:ascii="宋体" w:hAnsi="宋体" w:cs="Arial"/>
                <w:color w:val="auto"/>
                <w:szCs w:val="21"/>
                <w:highlight w:val="none"/>
              </w:rPr>
            </w:pPr>
          </w:p>
        </w:tc>
        <w:tc>
          <w:tcPr>
            <w:tcW w:w="1794" w:type="dxa"/>
            <w:tcBorders>
              <w:top w:val="single" w:color="auto" w:sz="4" w:space="0"/>
            </w:tcBorders>
          </w:tcPr>
          <w:p w14:paraId="10A912E7">
            <w:pPr>
              <w:pStyle w:val="41"/>
              <w:spacing w:line="360" w:lineRule="auto"/>
              <w:ind w:firstLine="420"/>
              <w:jc w:val="center"/>
              <w:rPr>
                <w:rFonts w:ascii="宋体" w:hAnsi="宋体" w:cs="Arial"/>
                <w:color w:val="auto"/>
                <w:szCs w:val="21"/>
                <w:highlight w:val="none"/>
              </w:rPr>
            </w:pPr>
          </w:p>
        </w:tc>
        <w:tc>
          <w:tcPr>
            <w:tcW w:w="2260" w:type="dxa"/>
            <w:tcBorders>
              <w:top w:val="single" w:color="auto" w:sz="4" w:space="0"/>
            </w:tcBorders>
          </w:tcPr>
          <w:p w14:paraId="7B4EB0F9">
            <w:pPr>
              <w:pStyle w:val="41"/>
              <w:spacing w:line="360" w:lineRule="auto"/>
              <w:ind w:firstLine="420"/>
              <w:jc w:val="center"/>
              <w:rPr>
                <w:rFonts w:ascii="宋体" w:hAnsi="宋体" w:cs="Arial"/>
                <w:color w:val="auto"/>
                <w:szCs w:val="21"/>
                <w:highlight w:val="none"/>
              </w:rPr>
            </w:pPr>
          </w:p>
        </w:tc>
        <w:tc>
          <w:tcPr>
            <w:tcW w:w="2047" w:type="dxa"/>
            <w:tcBorders>
              <w:top w:val="single" w:color="auto" w:sz="4" w:space="0"/>
              <w:right w:val="single" w:color="auto" w:sz="4" w:space="0"/>
            </w:tcBorders>
          </w:tcPr>
          <w:p w14:paraId="0B9FA0D7">
            <w:pPr>
              <w:pStyle w:val="41"/>
              <w:spacing w:line="360" w:lineRule="auto"/>
              <w:ind w:firstLine="420"/>
              <w:jc w:val="center"/>
              <w:rPr>
                <w:rFonts w:ascii="宋体" w:hAnsi="宋体" w:cs="Arial"/>
                <w:color w:val="auto"/>
                <w:szCs w:val="21"/>
                <w:highlight w:val="none"/>
              </w:rPr>
            </w:pPr>
          </w:p>
        </w:tc>
      </w:tr>
      <w:tr w14:paraId="265D9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14:paraId="3B524FD8">
            <w:pPr>
              <w:pStyle w:val="41"/>
              <w:spacing w:line="360" w:lineRule="auto"/>
              <w:ind w:firstLine="420"/>
              <w:jc w:val="center"/>
              <w:rPr>
                <w:rFonts w:ascii="宋体" w:hAnsi="宋体" w:cs="Arial"/>
                <w:color w:val="auto"/>
                <w:szCs w:val="21"/>
                <w:highlight w:val="none"/>
              </w:rPr>
            </w:pPr>
          </w:p>
        </w:tc>
        <w:tc>
          <w:tcPr>
            <w:tcW w:w="1794" w:type="dxa"/>
          </w:tcPr>
          <w:p w14:paraId="4253B188">
            <w:pPr>
              <w:pStyle w:val="41"/>
              <w:spacing w:line="360" w:lineRule="auto"/>
              <w:ind w:firstLine="420"/>
              <w:jc w:val="center"/>
              <w:rPr>
                <w:rFonts w:ascii="宋体" w:hAnsi="宋体" w:cs="Arial"/>
                <w:color w:val="auto"/>
                <w:szCs w:val="21"/>
                <w:highlight w:val="none"/>
              </w:rPr>
            </w:pPr>
          </w:p>
        </w:tc>
        <w:tc>
          <w:tcPr>
            <w:tcW w:w="2260" w:type="dxa"/>
          </w:tcPr>
          <w:p w14:paraId="65366A70">
            <w:pPr>
              <w:pStyle w:val="41"/>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14:paraId="05AA383C">
            <w:pPr>
              <w:pStyle w:val="41"/>
              <w:spacing w:line="360" w:lineRule="auto"/>
              <w:ind w:firstLine="420"/>
              <w:jc w:val="center"/>
              <w:rPr>
                <w:rFonts w:ascii="宋体" w:hAnsi="宋体" w:cs="Arial"/>
                <w:color w:val="auto"/>
                <w:szCs w:val="21"/>
                <w:highlight w:val="none"/>
              </w:rPr>
            </w:pPr>
          </w:p>
        </w:tc>
      </w:tr>
      <w:tr w14:paraId="16D00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14:paraId="25F037A3">
            <w:pPr>
              <w:pStyle w:val="41"/>
              <w:spacing w:line="360" w:lineRule="auto"/>
              <w:ind w:firstLine="420"/>
              <w:jc w:val="center"/>
              <w:rPr>
                <w:rFonts w:ascii="宋体" w:hAnsi="宋体" w:cs="Arial"/>
                <w:color w:val="auto"/>
                <w:szCs w:val="21"/>
                <w:highlight w:val="none"/>
              </w:rPr>
            </w:pPr>
          </w:p>
        </w:tc>
        <w:tc>
          <w:tcPr>
            <w:tcW w:w="1794" w:type="dxa"/>
          </w:tcPr>
          <w:p w14:paraId="590ADCE2">
            <w:pPr>
              <w:pStyle w:val="41"/>
              <w:spacing w:line="360" w:lineRule="auto"/>
              <w:ind w:firstLine="420"/>
              <w:jc w:val="center"/>
              <w:rPr>
                <w:rFonts w:ascii="宋体" w:hAnsi="宋体" w:cs="Arial"/>
                <w:color w:val="auto"/>
                <w:szCs w:val="21"/>
                <w:highlight w:val="none"/>
              </w:rPr>
            </w:pPr>
          </w:p>
        </w:tc>
        <w:tc>
          <w:tcPr>
            <w:tcW w:w="2260" w:type="dxa"/>
          </w:tcPr>
          <w:p w14:paraId="17424C0A">
            <w:pPr>
              <w:pStyle w:val="41"/>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14:paraId="7493677F">
            <w:pPr>
              <w:pStyle w:val="41"/>
              <w:spacing w:line="360" w:lineRule="auto"/>
              <w:ind w:firstLine="420"/>
              <w:jc w:val="center"/>
              <w:rPr>
                <w:rFonts w:ascii="宋体" w:hAnsi="宋体" w:cs="Arial"/>
                <w:color w:val="auto"/>
                <w:szCs w:val="21"/>
                <w:highlight w:val="none"/>
              </w:rPr>
            </w:pPr>
          </w:p>
        </w:tc>
      </w:tr>
      <w:tr w14:paraId="16202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14:paraId="48C59829">
            <w:pPr>
              <w:pStyle w:val="41"/>
              <w:spacing w:line="360" w:lineRule="auto"/>
              <w:ind w:firstLine="420"/>
              <w:jc w:val="center"/>
              <w:rPr>
                <w:rFonts w:ascii="宋体" w:hAnsi="宋体" w:cs="Arial"/>
                <w:color w:val="auto"/>
                <w:szCs w:val="21"/>
                <w:highlight w:val="none"/>
              </w:rPr>
            </w:pPr>
          </w:p>
        </w:tc>
        <w:tc>
          <w:tcPr>
            <w:tcW w:w="1794" w:type="dxa"/>
          </w:tcPr>
          <w:p w14:paraId="05969962">
            <w:pPr>
              <w:pStyle w:val="41"/>
              <w:spacing w:line="360" w:lineRule="auto"/>
              <w:ind w:firstLine="420"/>
              <w:jc w:val="center"/>
              <w:rPr>
                <w:rFonts w:ascii="宋体" w:hAnsi="宋体" w:cs="Arial"/>
                <w:color w:val="auto"/>
                <w:szCs w:val="21"/>
                <w:highlight w:val="none"/>
              </w:rPr>
            </w:pPr>
          </w:p>
        </w:tc>
        <w:tc>
          <w:tcPr>
            <w:tcW w:w="2260" w:type="dxa"/>
          </w:tcPr>
          <w:p w14:paraId="48773920">
            <w:pPr>
              <w:pStyle w:val="41"/>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14:paraId="0F77F25E">
            <w:pPr>
              <w:pStyle w:val="41"/>
              <w:spacing w:line="360" w:lineRule="auto"/>
              <w:ind w:firstLine="420"/>
              <w:jc w:val="center"/>
              <w:rPr>
                <w:rFonts w:ascii="宋体" w:hAnsi="宋体" w:cs="Arial"/>
                <w:color w:val="auto"/>
                <w:szCs w:val="21"/>
                <w:highlight w:val="none"/>
              </w:rPr>
            </w:pPr>
          </w:p>
        </w:tc>
      </w:tr>
      <w:tr w14:paraId="46AF2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14:paraId="604A8909">
            <w:pPr>
              <w:pStyle w:val="41"/>
              <w:spacing w:line="360" w:lineRule="auto"/>
              <w:ind w:firstLine="420"/>
              <w:jc w:val="center"/>
              <w:rPr>
                <w:rFonts w:ascii="宋体" w:hAnsi="宋体" w:cs="Arial"/>
                <w:color w:val="auto"/>
                <w:szCs w:val="21"/>
                <w:highlight w:val="none"/>
              </w:rPr>
            </w:pPr>
          </w:p>
        </w:tc>
        <w:tc>
          <w:tcPr>
            <w:tcW w:w="1794" w:type="dxa"/>
          </w:tcPr>
          <w:p w14:paraId="6654645D">
            <w:pPr>
              <w:pStyle w:val="41"/>
              <w:spacing w:line="360" w:lineRule="auto"/>
              <w:ind w:firstLine="420"/>
              <w:jc w:val="center"/>
              <w:rPr>
                <w:rFonts w:ascii="宋体" w:hAnsi="宋体" w:cs="Arial"/>
                <w:color w:val="auto"/>
                <w:szCs w:val="21"/>
                <w:highlight w:val="none"/>
              </w:rPr>
            </w:pPr>
          </w:p>
        </w:tc>
        <w:tc>
          <w:tcPr>
            <w:tcW w:w="2260" w:type="dxa"/>
          </w:tcPr>
          <w:p w14:paraId="5D73BE25">
            <w:pPr>
              <w:pStyle w:val="41"/>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14:paraId="6BC2D4BA">
            <w:pPr>
              <w:pStyle w:val="41"/>
              <w:spacing w:line="360" w:lineRule="auto"/>
              <w:ind w:firstLine="420"/>
              <w:jc w:val="center"/>
              <w:rPr>
                <w:rFonts w:ascii="宋体" w:hAnsi="宋体" w:cs="Arial"/>
                <w:color w:val="auto"/>
                <w:szCs w:val="21"/>
                <w:highlight w:val="none"/>
              </w:rPr>
            </w:pPr>
          </w:p>
        </w:tc>
      </w:tr>
      <w:tr w14:paraId="6A243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14:paraId="3BAA3BE8">
            <w:pPr>
              <w:pStyle w:val="41"/>
              <w:spacing w:line="360" w:lineRule="auto"/>
              <w:ind w:firstLine="420"/>
              <w:jc w:val="center"/>
              <w:rPr>
                <w:rFonts w:ascii="宋体" w:hAnsi="宋体" w:cs="Arial"/>
                <w:color w:val="auto"/>
                <w:szCs w:val="21"/>
                <w:highlight w:val="none"/>
              </w:rPr>
            </w:pPr>
          </w:p>
        </w:tc>
        <w:tc>
          <w:tcPr>
            <w:tcW w:w="1794" w:type="dxa"/>
          </w:tcPr>
          <w:p w14:paraId="49159270">
            <w:pPr>
              <w:pStyle w:val="41"/>
              <w:spacing w:line="360" w:lineRule="auto"/>
              <w:ind w:firstLine="420"/>
              <w:jc w:val="center"/>
              <w:rPr>
                <w:rFonts w:ascii="宋体" w:hAnsi="宋体" w:cs="Arial"/>
                <w:color w:val="auto"/>
                <w:szCs w:val="21"/>
                <w:highlight w:val="none"/>
              </w:rPr>
            </w:pPr>
          </w:p>
        </w:tc>
        <w:tc>
          <w:tcPr>
            <w:tcW w:w="2260" w:type="dxa"/>
          </w:tcPr>
          <w:p w14:paraId="595B9824">
            <w:pPr>
              <w:pStyle w:val="41"/>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14:paraId="64A8318C">
            <w:pPr>
              <w:pStyle w:val="41"/>
              <w:spacing w:line="360" w:lineRule="auto"/>
              <w:ind w:firstLine="420"/>
              <w:jc w:val="center"/>
              <w:rPr>
                <w:rFonts w:ascii="宋体" w:hAnsi="宋体" w:cs="Arial"/>
                <w:color w:val="auto"/>
                <w:szCs w:val="21"/>
                <w:highlight w:val="none"/>
              </w:rPr>
            </w:pPr>
          </w:p>
        </w:tc>
      </w:tr>
      <w:tr w14:paraId="516945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bottom w:val="single" w:color="auto" w:sz="4" w:space="0"/>
            </w:tcBorders>
          </w:tcPr>
          <w:p w14:paraId="538D169B">
            <w:pPr>
              <w:pStyle w:val="41"/>
              <w:spacing w:line="360" w:lineRule="auto"/>
              <w:ind w:firstLine="420"/>
              <w:jc w:val="center"/>
              <w:rPr>
                <w:rFonts w:ascii="宋体" w:hAnsi="宋体" w:cs="Arial"/>
                <w:color w:val="auto"/>
                <w:szCs w:val="21"/>
                <w:highlight w:val="none"/>
              </w:rPr>
            </w:pPr>
          </w:p>
        </w:tc>
        <w:tc>
          <w:tcPr>
            <w:tcW w:w="1794" w:type="dxa"/>
            <w:tcBorders>
              <w:bottom w:val="single" w:color="auto" w:sz="4" w:space="0"/>
            </w:tcBorders>
          </w:tcPr>
          <w:p w14:paraId="26F13D12">
            <w:pPr>
              <w:pStyle w:val="41"/>
              <w:spacing w:line="360" w:lineRule="auto"/>
              <w:ind w:firstLine="420"/>
              <w:jc w:val="center"/>
              <w:rPr>
                <w:rFonts w:ascii="宋体" w:hAnsi="宋体" w:cs="Arial"/>
                <w:color w:val="auto"/>
                <w:szCs w:val="21"/>
                <w:highlight w:val="none"/>
              </w:rPr>
            </w:pPr>
          </w:p>
        </w:tc>
        <w:tc>
          <w:tcPr>
            <w:tcW w:w="2260" w:type="dxa"/>
            <w:tcBorders>
              <w:bottom w:val="single" w:color="auto" w:sz="4" w:space="0"/>
            </w:tcBorders>
          </w:tcPr>
          <w:p w14:paraId="7F02CE21">
            <w:pPr>
              <w:pStyle w:val="41"/>
              <w:spacing w:line="360" w:lineRule="auto"/>
              <w:ind w:firstLine="420"/>
              <w:jc w:val="center"/>
              <w:rPr>
                <w:rFonts w:ascii="宋体" w:hAnsi="宋体" w:cs="Arial"/>
                <w:color w:val="auto"/>
                <w:szCs w:val="21"/>
                <w:highlight w:val="none"/>
              </w:rPr>
            </w:pPr>
          </w:p>
        </w:tc>
        <w:tc>
          <w:tcPr>
            <w:tcW w:w="2047" w:type="dxa"/>
            <w:tcBorders>
              <w:bottom w:val="single" w:color="auto" w:sz="4" w:space="0"/>
              <w:right w:val="single" w:color="auto" w:sz="4" w:space="0"/>
            </w:tcBorders>
          </w:tcPr>
          <w:p w14:paraId="19F6F63A">
            <w:pPr>
              <w:pStyle w:val="41"/>
              <w:spacing w:line="360" w:lineRule="auto"/>
              <w:ind w:firstLine="420"/>
              <w:jc w:val="center"/>
              <w:rPr>
                <w:rFonts w:ascii="宋体" w:hAnsi="宋体" w:cs="Arial"/>
                <w:color w:val="auto"/>
                <w:szCs w:val="21"/>
                <w:highlight w:val="none"/>
              </w:rPr>
            </w:pPr>
          </w:p>
        </w:tc>
      </w:tr>
    </w:tbl>
    <w:p w14:paraId="7A0DA705">
      <w:pPr>
        <w:pStyle w:val="41"/>
        <w:tabs>
          <w:tab w:val="left" w:pos="1050"/>
        </w:tabs>
        <w:spacing w:line="360" w:lineRule="auto"/>
        <w:ind w:firstLine="480"/>
        <w:rPr>
          <w:rFonts w:ascii="仿宋_GB2312" w:hAnsi="宋体" w:eastAsia="仿宋_GB2312"/>
          <w:color w:val="auto"/>
          <w:sz w:val="24"/>
          <w:highlight w:val="none"/>
        </w:rPr>
      </w:pPr>
    </w:p>
    <w:p w14:paraId="1943F925">
      <w:pPr>
        <w:pStyle w:val="41"/>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p>
    <w:p w14:paraId="70E61C77">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1.填写供应商获得资质、认证或企业荣誉证书等。</w:t>
      </w:r>
    </w:p>
    <w:p w14:paraId="7C8743A4">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2.请提供本表所列的证书、材料复印件。</w:t>
      </w:r>
    </w:p>
    <w:p w14:paraId="51424F29">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3.在填写时，如本表格不适合供应商的实际情况，可根据本表格式自行划表填写。</w:t>
      </w:r>
    </w:p>
    <w:p w14:paraId="38BB7B6E">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4.本表如跨页需每页加盖供应商公章。</w:t>
      </w:r>
    </w:p>
    <w:p w14:paraId="0261D8EB">
      <w:pPr>
        <w:pStyle w:val="41"/>
        <w:tabs>
          <w:tab w:val="left" w:pos="1050"/>
        </w:tabs>
        <w:spacing w:line="360" w:lineRule="auto"/>
        <w:ind w:firstLine="424" w:firstLineChars="202"/>
        <w:rPr>
          <w:rFonts w:ascii="宋体" w:hAnsi="宋体"/>
          <w:color w:val="auto"/>
          <w:szCs w:val="21"/>
          <w:highlight w:val="none"/>
        </w:rPr>
      </w:pPr>
    </w:p>
    <w:p w14:paraId="4611D77C">
      <w:pPr>
        <w:spacing w:line="480" w:lineRule="exact"/>
        <w:ind w:firstLine="435"/>
        <w:rPr>
          <w:rFonts w:ascii="宋体" w:hAnsi="宋体"/>
          <w:b/>
          <w:color w:val="auto"/>
          <w:sz w:val="28"/>
          <w:szCs w:val="28"/>
          <w:highlight w:val="none"/>
        </w:rPr>
      </w:pPr>
    </w:p>
    <w:p w14:paraId="206A8B7E">
      <w:pPr>
        <w:spacing w:line="480" w:lineRule="exact"/>
        <w:ind w:firstLine="435"/>
        <w:rPr>
          <w:rFonts w:ascii="宋体" w:hAnsi="宋体"/>
          <w:b/>
          <w:color w:val="auto"/>
          <w:sz w:val="28"/>
          <w:szCs w:val="28"/>
          <w:highlight w:val="none"/>
        </w:rPr>
      </w:pPr>
    </w:p>
    <w:p w14:paraId="1BB6074D">
      <w:pPr>
        <w:spacing w:line="480" w:lineRule="exact"/>
        <w:ind w:firstLine="435"/>
        <w:rPr>
          <w:rFonts w:ascii="宋体" w:hAnsi="宋体"/>
          <w:b/>
          <w:color w:val="auto"/>
          <w:sz w:val="28"/>
          <w:szCs w:val="28"/>
          <w:highlight w:val="none"/>
        </w:rPr>
      </w:pPr>
    </w:p>
    <w:p w14:paraId="3DA5356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1B548C62">
      <w:pPr>
        <w:spacing w:line="360" w:lineRule="auto"/>
        <w:ind w:left="420"/>
        <w:rPr>
          <w:rFonts w:ascii="宋体" w:hAnsi="宋体"/>
          <w:color w:val="auto"/>
          <w:sz w:val="24"/>
          <w:highlight w:val="none"/>
        </w:rPr>
      </w:pPr>
    </w:p>
    <w:p w14:paraId="615B2E30">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62ED4C21">
      <w:pPr>
        <w:spacing w:line="360" w:lineRule="auto"/>
        <w:rPr>
          <w:rFonts w:ascii="宋体" w:hAnsi="宋体"/>
          <w:color w:val="auto"/>
          <w:sz w:val="24"/>
          <w:highlight w:val="none"/>
        </w:rPr>
      </w:pPr>
    </w:p>
    <w:p w14:paraId="6F90DA3D">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5ABB6DDB">
      <w:pPr>
        <w:spacing w:line="480" w:lineRule="exact"/>
        <w:ind w:left="480"/>
        <w:rPr>
          <w:rFonts w:ascii="宋体" w:hAnsi="宋体"/>
          <w:b/>
          <w:color w:val="auto"/>
          <w:sz w:val="28"/>
          <w:szCs w:val="28"/>
          <w:highlight w:val="none"/>
        </w:rPr>
      </w:pPr>
    </w:p>
    <w:p w14:paraId="54B56B0F">
      <w:pPr>
        <w:pStyle w:val="22"/>
        <w:rPr>
          <w:color w:val="auto"/>
          <w:highlight w:val="none"/>
        </w:rPr>
      </w:pPr>
    </w:p>
    <w:p w14:paraId="528FDFEA">
      <w:pPr>
        <w:pStyle w:val="38"/>
        <w:shd w:val="clear" w:color="auto" w:fill="FFFFFF"/>
        <w:spacing w:before="0" w:beforeAutospacing="0" w:after="0" w:afterAutospacing="0" w:line="360" w:lineRule="auto"/>
        <w:ind w:firstLine="465" w:firstLineChars="177"/>
        <w:rPr>
          <w:b/>
          <w:bCs/>
          <w:color w:val="auto"/>
          <w:spacing w:val="11"/>
          <w:highlight w:val="none"/>
        </w:rPr>
      </w:pPr>
    </w:p>
    <w:p w14:paraId="2AC01D04">
      <w:pPr>
        <w:spacing w:line="480" w:lineRule="exact"/>
        <w:ind w:left="480"/>
        <w:rPr>
          <w:rFonts w:ascii="宋体" w:hAnsi="宋体"/>
          <w:b/>
          <w:color w:val="auto"/>
          <w:sz w:val="36"/>
          <w:szCs w:val="36"/>
          <w:highlight w:val="none"/>
        </w:rPr>
      </w:pPr>
    </w:p>
    <w:p w14:paraId="11C15A23">
      <w:pPr>
        <w:widowControl/>
        <w:jc w:val="left"/>
        <w:rPr>
          <w:rFonts w:ascii="宋体" w:hAnsi="宋体"/>
          <w:b/>
          <w:color w:val="auto"/>
          <w:sz w:val="28"/>
          <w:highlight w:val="none"/>
        </w:rPr>
      </w:pPr>
      <w:bookmarkStart w:id="102" w:name="_Toc20569_WPSOffice_Level1"/>
      <w:bookmarkStart w:id="103" w:name="_Toc23671_WPSOffice_Level1"/>
      <w:r>
        <w:rPr>
          <w:rFonts w:hint="eastAsia" w:ascii="宋体" w:hAnsi="宋体"/>
          <w:b/>
          <w:color w:val="auto"/>
          <w:sz w:val="28"/>
          <w:highlight w:val="none"/>
        </w:rPr>
        <w:t>附件1</w:t>
      </w:r>
      <w:r>
        <w:rPr>
          <w:rFonts w:hint="eastAsia" w:ascii="宋体" w:hAnsi="宋体"/>
          <w:b/>
          <w:color w:val="auto"/>
          <w:sz w:val="28"/>
          <w:highlight w:val="none"/>
          <w:lang w:val="en-US" w:eastAsia="zh-CN"/>
        </w:rPr>
        <w:t>4</w:t>
      </w:r>
      <w:r>
        <w:rPr>
          <w:rFonts w:hint="eastAsia" w:ascii="宋体" w:hAnsi="宋体"/>
          <w:b/>
          <w:color w:val="auto"/>
          <w:sz w:val="28"/>
          <w:highlight w:val="none"/>
        </w:rPr>
        <w:t xml:space="preserve">    </w:t>
      </w:r>
    </w:p>
    <w:p w14:paraId="4C52BBFE">
      <w:pPr>
        <w:snapToGrid w:val="0"/>
        <w:spacing w:before="120"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项目组成员一览表</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567"/>
        <w:gridCol w:w="1276"/>
        <w:gridCol w:w="992"/>
        <w:gridCol w:w="1134"/>
        <w:gridCol w:w="1417"/>
        <w:gridCol w:w="1134"/>
        <w:gridCol w:w="1843"/>
      </w:tblGrid>
      <w:tr w14:paraId="5F1A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vAlign w:val="center"/>
          </w:tcPr>
          <w:p w14:paraId="18934C72">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67" w:type="dxa"/>
            <w:tcBorders>
              <w:top w:val="single" w:color="auto" w:sz="4" w:space="0"/>
              <w:left w:val="single" w:color="auto" w:sz="4" w:space="0"/>
              <w:bottom w:val="single" w:color="auto" w:sz="4" w:space="0"/>
              <w:right w:val="single" w:color="auto" w:sz="4" w:space="0"/>
            </w:tcBorders>
            <w:vAlign w:val="center"/>
          </w:tcPr>
          <w:p w14:paraId="58972128">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19226492">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在本项目中拟任职务</w:t>
            </w:r>
          </w:p>
        </w:tc>
        <w:tc>
          <w:tcPr>
            <w:tcW w:w="992" w:type="dxa"/>
            <w:tcBorders>
              <w:top w:val="single" w:color="auto" w:sz="4" w:space="0"/>
              <w:left w:val="single" w:color="auto" w:sz="4" w:space="0"/>
              <w:bottom w:val="single" w:color="auto" w:sz="4" w:space="0"/>
              <w:right w:val="single" w:color="auto" w:sz="4" w:space="0"/>
            </w:tcBorders>
            <w:vAlign w:val="center"/>
          </w:tcPr>
          <w:p w14:paraId="6793E3B6">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学历</w:t>
            </w:r>
          </w:p>
        </w:tc>
        <w:tc>
          <w:tcPr>
            <w:tcW w:w="1134" w:type="dxa"/>
            <w:tcBorders>
              <w:top w:val="single" w:color="auto" w:sz="4" w:space="0"/>
              <w:left w:val="single" w:color="auto" w:sz="4" w:space="0"/>
              <w:bottom w:val="single" w:color="auto" w:sz="4" w:space="0"/>
              <w:right w:val="single" w:color="auto" w:sz="4" w:space="0"/>
            </w:tcBorders>
            <w:vAlign w:val="center"/>
          </w:tcPr>
          <w:p w14:paraId="2F563CFA">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417" w:type="dxa"/>
            <w:tcBorders>
              <w:top w:val="single" w:color="auto" w:sz="4" w:space="0"/>
              <w:left w:val="single" w:color="auto" w:sz="4" w:space="0"/>
              <w:bottom w:val="single" w:color="auto" w:sz="4" w:space="0"/>
              <w:right w:val="single" w:color="auto" w:sz="4" w:space="0"/>
            </w:tcBorders>
            <w:vAlign w:val="center"/>
          </w:tcPr>
          <w:p w14:paraId="2F90CE4E">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0510128E">
            <w:pPr>
              <w:snapToGrid w:val="0"/>
              <w:spacing w:before="120" w:beforeLines="50" w:after="5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14:paraId="7221992B">
            <w:pPr>
              <w:snapToGrid w:val="0"/>
              <w:spacing w:before="120" w:beforeLines="50" w:after="50"/>
              <w:jc w:val="center"/>
              <w:rPr>
                <w:rFonts w:ascii="宋体" w:hAnsi="宋体"/>
                <w:b/>
                <w:bCs/>
                <w:color w:val="auto"/>
                <w:sz w:val="24"/>
                <w:szCs w:val="20"/>
                <w:highlight w:val="none"/>
              </w:rPr>
            </w:pPr>
            <w:r>
              <w:rPr>
                <w:rFonts w:hint="eastAsia" w:ascii="宋体" w:hAnsi="宋体"/>
                <w:b/>
                <w:color w:val="auto"/>
                <w:sz w:val="24"/>
                <w:highlight w:val="none"/>
              </w:rPr>
              <w:t>备注</w:t>
            </w:r>
          </w:p>
        </w:tc>
      </w:tr>
      <w:tr w14:paraId="24D6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53428EF">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op w:val="single" w:color="auto" w:sz="4" w:space="0"/>
              <w:left w:val="single" w:color="auto" w:sz="4" w:space="0"/>
              <w:bottom w:val="single" w:color="auto" w:sz="4" w:space="0"/>
              <w:right w:val="single" w:color="auto" w:sz="4" w:space="0"/>
            </w:tcBorders>
          </w:tcPr>
          <w:p w14:paraId="6762A156">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tcPr>
          <w:p w14:paraId="0251D7C7">
            <w:pPr>
              <w:snapToGrid w:val="0"/>
              <w:spacing w:before="120" w:beforeLines="50" w:after="50"/>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14:paraId="5C56BAA0">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6318F94B">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14:paraId="38CE109C">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209CD5F6">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14:paraId="500CD229">
            <w:pPr>
              <w:snapToGrid w:val="0"/>
              <w:spacing w:before="120" w:beforeLines="50" w:after="50"/>
              <w:rPr>
                <w:rFonts w:ascii="宋体" w:hAnsi="宋体"/>
                <w:color w:val="auto"/>
                <w:sz w:val="18"/>
                <w:szCs w:val="18"/>
                <w:highlight w:val="none"/>
              </w:rPr>
            </w:pPr>
          </w:p>
        </w:tc>
      </w:tr>
      <w:tr w14:paraId="07BB3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BB126ED">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op w:val="single" w:color="auto" w:sz="4" w:space="0"/>
              <w:left w:val="single" w:color="auto" w:sz="4" w:space="0"/>
              <w:bottom w:val="single" w:color="auto" w:sz="4" w:space="0"/>
              <w:right w:val="single" w:color="auto" w:sz="4" w:space="0"/>
            </w:tcBorders>
          </w:tcPr>
          <w:p w14:paraId="2D83C49C">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337A31C">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14:paraId="1AF3D4E5">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67B8FED0">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14:paraId="269E8BF3">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4995E501">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14:paraId="49A9E197">
            <w:pPr>
              <w:snapToGrid w:val="0"/>
              <w:spacing w:before="120" w:beforeLines="50" w:after="50"/>
              <w:rPr>
                <w:rFonts w:ascii="宋体" w:hAnsi="宋体"/>
                <w:color w:val="auto"/>
                <w:sz w:val="18"/>
                <w:szCs w:val="18"/>
                <w:highlight w:val="none"/>
              </w:rPr>
            </w:pPr>
          </w:p>
        </w:tc>
      </w:tr>
      <w:tr w14:paraId="3199D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3BF3163B">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3</w:t>
            </w:r>
          </w:p>
        </w:tc>
        <w:tc>
          <w:tcPr>
            <w:tcW w:w="567" w:type="dxa"/>
            <w:tcBorders>
              <w:top w:val="single" w:color="auto" w:sz="4" w:space="0"/>
              <w:left w:val="single" w:color="auto" w:sz="4" w:space="0"/>
              <w:bottom w:val="single" w:color="auto" w:sz="4" w:space="0"/>
              <w:right w:val="single" w:color="auto" w:sz="4" w:space="0"/>
            </w:tcBorders>
          </w:tcPr>
          <w:p w14:paraId="01DE479E">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7E176ED">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14:paraId="53D2BA41">
            <w:pPr>
              <w:pStyle w:val="15"/>
              <w:snapToGrid w:val="0"/>
              <w:spacing w:before="120" w:beforeLines="50" w:after="50"/>
              <w:ind w:left="525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7C3F72C8">
            <w:pPr>
              <w:pStyle w:val="15"/>
              <w:snapToGrid w:val="0"/>
              <w:spacing w:before="120" w:beforeLines="50" w:after="50"/>
              <w:ind w:left="5250" w:firstLine="36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14:paraId="731B24F8">
            <w:pPr>
              <w:pStyle w:val="15"/>
              <w:ind w:left="5250" w:leftChars="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52A89627">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14:paraId="1B65B0C2">
            <w:pPr>
              <w:snapToGrid w:val="0"/>
              <w:spacing w:before="120" w:beforeLines="50" w:after="50"/>
              <w:rPr>
                <w:rFonts w:ascii="宋体" w:hAnsi="宋体"/>
                <w:color w:val="auto"/>
                <w:sz w:val="18"/>
                <w:szCs w:val="18"/>
                <w:highlight w:val="none"/>
              </w:rPr>
            </w:pPr>
          </w:p>
        </w:tc>
      </w:tr>
      <w:tr w14:paraId="3B2A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A9CB921">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4</w:t>
            </w:r>
          </w:p>
        </w:tc>
        <w:tc>
          <w:tcPr>
            <w:tcW w:w="567" w:type="dxa"/>
            <w:tcBorders>
              <w:top w:val="single" w:color="auto" w:sz="4" w:space="0"/>
              <w:left w:val="single" w:color="auto" w:sz="4" w:space="0"/>
              <w:bottom w:val="single" w:color="auto" w:sz="4" w:space="0"/>
              <w:right w:val="single" w:color="auto" w:sz="4" w:space="0"/>
            </w:tcBorders>
          </w:tcPr>
          <w:p w14:paraId="07D66C41">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DFDF4FE">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14:paraId="606A81B0">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4007D6D1">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14:paraId="2887D1D9">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14:paraId="790E45E7">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14:paraId="07B95847">
            <w:pPr>
              <w:snapToGrid w:val="0"/>
              <w:spacing w:before="120" w:beforeLines="50" w:after="50"/>
              <w:rPr>
                <w:rFonts w:ascii="宋体" w:hAnsi="宋体"/>
                <w:color w:val="auto"/>
                <w:sz w:val="18"/>
                <w:szCs w:val="18"/>
                <w:highlight w:val="none"/>
              </w:rPr>
            </w:pPr>
          </w:p>
        </w:tc>
      </w:tr>
      <w:tr w14:paraId="60F52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3884788">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14:paraId="667677EC">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FBFDD59">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14:paraId="726DE501">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100B056">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C5FC797">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AD99F6F">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7F04CF">
            <w:pPr>
              <w:snapToGrid w:val="0"/>
              <w:spacing w:before="120" w:beforeLines="50" w:after="50"/>
              <w:rPr>
                <w:rFonts w:ascii="宋体" w:hAnsi="宋体"/>
                <w:color w:val="auto"/>
                <w:sz w:val="24"/>
                <w:szCs w:val="20"/>
                <w:highlight w:val="none"/>
              </w:rPr>
            </w:pPr>
          </w:p>
        </w:tc>
      </w:tr>
      <w:tr w14:paraId="4A604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2FFFDE1">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14:paraId="0DE0DB3F">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79A699F">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14:paraId="2E859B39">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28455863">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5668D04">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24578136">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C00BB53">
            <w:pPr>
              <w:snapToGrid w:val="0"/>
              <w:spacing w:before="120" w:beforeLines="50" w:after="50"/>
              <w:rPr>
                <w:rFonts w:ascii="宋体" w:hAnsi="宋体"/>
                <w:color w:val="auto"/>
                <w:sz w:val="24"/>
                <w:szCs w:val="20"/>
                <w:highlight w:val="none"/>
              </w:rPr>
            </w:pPr>
          </w:p>
        </w:tc>
      </w:tr>
    </w:tbl>
    <w:p w14:paraId="3749DE72">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FDF1DF4">
      <w:pPr>
        <w:spacing w:line="360" w:lineRule="auto"/>
        <w:ind w:left="437"/>
        <w:rPr>
          <w:rFonts w:ascii="宋体" w:hAnsi="宋体"/>
          <w:color w:val="auto"/>
          <w:szCs w:val="21"/>
          <w:highlight w:val="none"/>
        </w:rPr>
      </w:pPr>
      <w:r>
        <w:rPr>
          <w:rFonts w:hint="eastAsia" w:ascii="宋体" w:hAnsi="宋体"/>
          <w:color w:val="auto"/>
          <w:szCs w:val="21"/>
          <w:highlight w:val="none"/>
        </w:rPr>
        <w:t>1.本表格条目允许供应商根据项目实际需要修改；</w:t>
      </w:r>
    </w:p>
    <w:p w14:paraId="2F0AD8FC">
      <w:pPr>
        <w:pStyle w:val="43"/>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2.附人员相关证书、证明材料等的复印件；</w:t>
      </w:r>
    </w:p>
    <w:p w14:paraId="4E5C9458">
      <w:pPr>
        <w:pStyle w:val="43"/>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3.社保部门出具的响应截止日期前</w:t>
      </w:r>
      <w:r>
        <w:rPr>
          <w:rFonts w:hint="eastAsia" w:ascii="宋体" w:hAnsi="宋体"/>
          <w:color w:val="auto"/>
          <w:szCs w:val="21"/>
          <w:highlight w:val="none"/>
          <w:lang w:eastAsia="zh-CN"/>
        </w:rPr>
        <w:t>近期</w:t>
      </w:r>
      <w:r>
        <w:rPr>
          <w:rFonts w:hint="eastAsia" w:ascii="宋体" w:hAnsi="宋体"/>
          <w:color w:val="auto"/>
          <w:szCs w:val="21"/>
          <w:highlight w:val="none"/>
        </w:rPr>
        <w:t>在响应单位的社会保险费用缴纳证明。</w:t>
      </w:r>
    </w:p>
    <w:p w14:paraId="15F25B61">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4.本表如跨页需每页加盖响应供应商电子印章。</w:t>
      </w:r>
    </w:p>
    <w:p w14:paraId="12CF9CCE">
      <w:pPr>
        <w:spacing w:line="480" w:lineRule="exact"/>
        <w:ind w:firstLine="435"/>
        <w:rPr>
          <w:rFonts w:ascii="宋体" w:hAnsi="宋体"/>
          <w:color w:val="auto"/>
          <w:sz w:val="24"/>
          <w:highlight w:val="none"/>
        </w:rPr>
      </w:pPr>
    </w:p>
    <w:p w14:paraId="4E994B17">
      <w:pPr>
        <w:spacing w:line="360" w:lineRule="auto"/>
        <w:ind w:firstLine="424" w:firstLineChars="177"/>
        <w:rPr>
          <w:rFonts w:ascii="宋体" w:hAnsi="宋体"/>
          <w:color w:val="auto"/>
          <w:sz w:val="24"/>
          <w:highlight w:val="none"/>
        </w:rPr>
      </w:pPr>
    </w:p>
    <w:p w14:paraId="49DC888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9FD8C93">
      <w:pPr>
        <w:spacing w:line="360" w:lineRule="auto"/>
        <w:ind w:left="420"/>
        <w:rPr>
          <w:rFonts w:ascii="宋体" w:hAnsi="宋体"/>
          <w:color w:val="auto"/>
          <w:sz w:val="24"/>
          <w:highlight w:val="none"/>
        </w:rPr>
      </w:pPr>
    </w:p>
    <w:p w14:paraId="3103D4C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1B87A523">
      <w:pPr>
        <w:spacing w:line="360" w:lineRule="auto"/>
        <w:rPr>
          <w:rFonts w:ascii="宋体" w:hAnsi="宋体"/>
          <w:color w:val="auto"/>
          <w:sz w:val="24"/>
          <w:highlight w:val="none"/>
        </w:rPr>
      </w:pPr>
    </w:p>
    <w:p w14:paraId="60F8D487">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61046D66">
      <w:pPr>
        <w:widowControl/>
        <w:jc w:val="left"/>
        <w:rPr>
          <w:rFonts w:ascii="宋体" w:hAnsi="宋体"/>
          <w:b/>
          <w:color w:val="auto"/>
          <w:sz w:val="28"/>
          <w:highlight w:val="none"/>
        </w:rPr>
      </w:pPr>
      <w:r>
        <w:rPr>
          <w:rFonts w:ascii="宋体" w:hAnsi="宋体"/>
          <w:b/>
          <w:color w:val="auto"/>
          <w:sz w:val="28"/>
          <w:highlight w:val="none"/>
        </w:rPr>
        <w:br w:type="page"/>
      </w:r>
    </w:p>
    <w:bookmarkEnd w:id="102"/>
    <w:bookmarkEnd w:id="103"/>
    <w:p w14:paraId="083AF9ED">
      <w:pPr>
        <w:pStyle w:val="42"/>
        <w:spacing w:line="360" w:lineRule="auto"/>
        <w:jc w:val="left"/>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 xml:space="preserve">  </w:t>
      </w:r>
    </w:p>
    <w:p w14:paraId="3C32AB85">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tbl>
      <w:tblPr>
        <w:tblStyle w:val="23"/>
        <w:tblW w:w="88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2009"/>
        <w:gridCol w:w="1293"/>
        <w:gridCol w:w="860"/>
        <w:gridCol w:w="2589"/>
        <w:gridCol w:w="1580"/>
      </w:tblGrid>
      <w:tr w14:paraId="7657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535" w:type="dxa"/>
            <w:tcBorders>
              <w:top w:val="single" w:color="auto" w:sz="6" w:space="0"/>
              <w:left w:val="single" w:color="auto" w:sz="6" w:space="0"/>
              <w:bottom w:val="single" w:color="auto" w:sz="6" w:space="0"/>
              <w:right w:val="single" w:color="auto" w:sz="6" w:space="0"/>
            </w:tcBorders>
            <w:vAlign w:val="center"/>
          </w:tcPr>
          <w:p w14:paraId="0FB92332">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009" w:type="dxa"/>
            <w:tcBorders>
              <w:top w:val="single" w:color="auto" w:sz="6" w:space="0"/>
              <w:left w:val="single" w:color="auto" w:sz="6" w:space="0"/>
              <w:bottom w:val="single" w:color="auto" w:sz="6" w:space="0"/>
              <w:right w:val="single" w:color="auto" w:sz="6" w:space="0"/>
            </w:tcBorders>
            <w:vAlign w:val="center"/>
          </w:tcPr>
          <w:p w14:paraId="7C6EC0C0">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93" w:type="dxa"/>
            <w:tcBorders>
              <w:top w:val="single" w:color="auto" w:sz="6" w:space="0"/>
              <w:left w:val="single" w:color="auto" w:sz="6" w:space="0"/>
              <w:bottom w:val="single" w:color="auto" w:sz="6" w:space="0"/>
              <w:right w:val="single" w:color="auto" w:sz="6" w:space="0"/>
            </w:tcBorders>
            <w:vAlign w:val="center"/>
          </w:tcPr>
          <w:p w14:paraId="6AE3FDE0">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860" w:type="dxa"/>
            <w:tcBorders>
              <w:top w:val="single" w:color="auto" w:sz="6" w:space="0"/>
              <w:left w:val="single" w:color="auto" w:sz="6" w:space="0"/>
              <w:bottom w:val="single" w:color="auto" w:sz="6" w:space="0"/>
              <w:right w:val="single" w:color="auto" w:sz="6" w:space="0"/>
            </w:tcBorders>
            <w:vAlign w:val="center"/>
          </w:tcPr>
          <w:p w14:paraId="588C9F45">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589" w:type="dxa"/>
            <w:tcBorders>
              <w:top w:val="single" w:color="auto" w:sz="6" w:space="0"/>
              <w:left w:val="single" w:color="auto" w:sz="6" w:space="0"/>
              <w:bottom w:val="single" w:color="auto" w:sz="6" w:space="0"/>
              <w:right w:val="single" w:color="auto" w:sz="6" w:space="0"/>
            </w:tcBorders>
            <w:vAlign w:val="center"/>
          </w:tcPr>
          <w:p w14:paraId="0817EC57">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c>
          <w:tcPr>
            <w:tcW w:w="1580" w:type="dxa"/>
            <w:tcBorders>
              <w:top w:val="single" w:color="auto" w:sz="6" w:space="0"/>
              <w:left w:val="single" w:color="auto" w:sz="6" w:space="0"/>
              <w:bottom w:val="single" w:color="auto" w:sz="6" w:space="0"/>
              <w:right w:val="single" w:color="auto" w:sz="6" w:space="0"/>
            </w:tcBorders>
            <w:vAlign w:val="center"/>
          </w:tcPr>
          <w:p w14:paraId="3D025ECF">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项目负责人</w:t>
            </w:r>
          </w:p>
        </w:tc>
      </w:tr>
      <w:tr w14:paraId="77342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35" w:type="dxa"/>
            <w:tcBorders>
              <w:top w:val="single" w:color="auto" w:sz="6" w:space="0"/>
              <w:left w:val="single" w:color="auto" w:sz="6" w:space="0"/>
              <w:bottom w:val="single" w:color="auto" w:sz="6" w:space="0"/>
              <w:right w:val="single" w:color="auto" w:sz="6" w:space="0"/>
            </w:tcBorders>
          </w:tcPr>
          <w:p w14:paraId="4FFD6227">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2009" w:type="dxa"/>
            <w:tcBorders>
              <w:top w:val="single" w:color="auto" w:sz="6" w:space="0"/>
              <w:left w:val="single" w:color="auto" w:sz="6" w:space="0"/>
              <w:bottom w:val="single" w:color="auto" w:sz="6" w:space="0"/>
              <w:right w:val="single" w:color="auto" w:sz="6" w:space="0"/>
            </w:tcBorders>
          </w:tcPr>
          <w:p w14:paraId="02358A46">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499C2A4">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5C76956E">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1EE84A1A">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09BDB86F">
            <w:pPr>
              <w:pStyle w:val="42"/>
              <w:spacing w:line="360" w:lineRule="auto"/>
              <w:rPr>
                <w:rFonts w:ascii="宋体" w:hAnsi="宋体" w:cs="Arial"/>
                <w:color w:val="auto"/>
                <w:sz w:val="24"/>
                <w:highlight w:val="none"/>
              </w:rPr>
            </w:pPr>
          </w:p>
        </w:tc>
      </w:tr>
      <w:tr w14:paraId="7952A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535" w:type="dxa"/>
            <w:tcBorders>
              <w:top w:val="single" w:color="auto" w:sz="6" w:space="0"/>
              <w:left w:val="single" w:color="auto" w:sz="6" w:space="0"/>
              <w:bottom w:val="single" w:color="auto" w:sz="6" w:space="0"/>
              <w:right w:val="single" w:color="auto" w:sz="6" w:space="0"/>
            </w:tcBorders>
          </w:tcPr>
          <w:p w14:paraId="035DFC4F">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2009" w:type="dxa"/>
            <w:tcBorders>
              <w:top w:val="single" w:color="auto" w:sz="6" w:space="0"/>
              <w:left w:val="single" w:color="auto" w:sz="6" w:space="0"/>
              <w:bottom w:val="single" w:color="auto" w:sz="6" w:space="0"/>
              <w:right w:val="single" w:color="auto" w:sz="6" w:space="0"/>
            </w:tcBorders>
          </w:tcPr>
          <w:p w14:paraId="339D9052">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8E1078E">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035EA3FA">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75558F69">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3F3EFFE6">
            <w:pPr>
              <w:pStyle w:val="42"/>
              <w:spacing w:line="360" w:lineRule="auto"/>
              <w:rPr>
                <w:rFonts w:ascii="宋体" w:hAnsi="宋体" w:cs="Arial"/>
                <w:color w:val="auto"/>
                <w:sz w:val="24"/>
                <w:highlight w:val="none"/>
              </w:rPr>
            </w:pPr>
          </w:p>
        </w:tc>
      </w:tr>
      <w:tr w14:paraId="5110E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35" w:type="dxa"/>
            <w:tcBorders>
              <w:top w:val="single" w:color="auto" w:sz="6" w:space="0"/>
              <w:left w:val="single" w:color="auto" w:sz="6" w:space="0"/>
              <w:bottom w:val="single" w:color="auto" w:sz="6" w:space="0"/>
              <w:right w:val="single" w:color="auto" w:sz="6" w:space="0"/>
            </w:tcBorders>
          </w:tcPr>
          <w:p w14:paraId="761EE495">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2009" w:type="dxa"/>
            <w:tcBorders>
              <w:top w:val="single" w:color="auto" w:sz="6" w:space="0"/>
              <w:left w:val="single" w:color="auto" w:sz="6" w:space="0"/>
              <w:bottom w:val="single" w:color="auto" w:sz="6" w:space="0"/>
              <w:right w:val="single" w:color="auto" w:sz="6" w:space="0"/>
            </w:tcBorders>
          </w:tcPr>
          <w:p w14:paraId="26D884E2">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4759916">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5EEC96DC">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0C10B2C5">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23A92A6A">
            <w:pPr>
              <w:pStyle w:val="42"/>
              <w:spacing w:line="360" w:lineRule="auto"/>
              <w:rPr>
                <w:rFonts w:ascii="宋体" w:hAnsi="宋体" w:cs="Arial"/>
                <w:color w:val="auto"/>
                <w:sz w:val="24"/>
                <w:highlight w:val="none"/>
              </w:rPr>
            </w:pPr>
          </w:p>
        </w:tc>
      </w:tr>
      <w:tr w14:paraId="0F956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5" w:type="dxa"/>
            <w:tcBorders>
              <w:top w:val="single" w:color="auto" w:sz="6" w:space="0"/>
              <w:left w:val="single" w:color="auto" w:sz="6" w:space="0"/>
              <w:bottom w:val="single" w:color="auto" w:sz="6" w:space="0"/>
              <w:right w:val="single" w:color="auto" w:sz="6" w:space="0"/>
            </w:tcBorders>
          </w:tcPr>
          <w:p w14:paraId="02DD96EB">
            <w:pPr>
              <w:pStyle w:val="42"/>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2009" w:type="dxa"/>
            <w:tcBorders>
              <w:top w:val="single" w:color="auto" w:sz="6" w:space="0"/>
              <w:left w:val="single" w:color="auto" w:sz="6" w:space="0"/>
              <w:bottom w:val="single" w:color="auto" w:sz="6" w:space="0"/>
              <w:right w:val="single" w:color="auto" w:sz="6" w:space="0"/>
            </w:tcBorders>
          </w:tcPr>
          <w:p w14:paraId="070B4642">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444021A">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67E86BD2">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7DD602CA">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0E1D7627">
            <w:pPr>
              <w:pStyle w:val="42"/>
              <w:spacing w:line="360" w:lineRule="auto"/>
              <w:rPr>
                <w:rFonts w:ascii="宋体" w:hAnsi="宋体" w:cs="Arial"/>
                <w:color w:val="auto"/>
                <w:sz w:val="24"/>
                <w:highlight w:val="none"/>
              </w:rPr>
            </w:pPr>
          </w:p>
        </w:tc>
      </w:tr>
      <w:tr w14:paraId="5F7AB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5" w:type="dxa"/>
            <w:tcBorders>
              <w:top w:val="single" w:color="auto" w:sz="6" w:space="0"/>
              <w:left w:val="single" w:color="auto" w:sz="6" w:space="0"/>
              <w:bottom w:val="single" w:color="auto" w:sz="6" w:space="0"/>
              <w:right w:val="single" w:color="auto" w:sz="6" w:space="0"/>
            </w:tcBorders>
          </w:tcPr>
          <w:p w14:paraId="36DBA111">
            <w:pPr>
              <w:pStyle w:val="42"/>
              <w:spacing w:line="360" w:lineRule="auto"/>
              <w:rPr>
                <w:rFonts w:ascii="宋体" w:hAnsi="宋体" w:cs="Arial"/>
                <w:color w:val="auto"/>
                <w:sz w:val="24"/>
                <w:highlight w:val="none"/>
              </w:rPr>
            </w:pPr>
          </w:p>
        </w:tc>
        <w:tc>
          <w:tcPr>
            <w:tcW w:w="2009" w:type="dxa"/>
            <w:tcBorders>
              <w:top w:val="single" w:color="auto" w:sz="6" w:space="0"/>
              <w:left w:val="single" w:color="auto" w:sz="6" w:space="0"/>
              <w:bottom w:val="single" w:color="auto" w:sz="6" w:space="0"/>
              <w:right w:val="single" w:color="auto" w:sz="6" w:space="0"/>
            </w:tcBorders>
          </w:tcPr>
          <w:p w14:paraId="038D33E0">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668AA6">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0E19A3D1">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28382F54">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27EA355B">
            <w:pPr>
              <w:pStyle w:val="42"/>
              <w:spacing w:line="360" w:lineRule="auto"/>
              <w:rPr>
                <w:rFonts w:ascii="宋体" w:hAnsi="宋体" w:cs="Arial"/>
                <w:color w:val="auto"/>
                <w:sz w:val="24"/>
                <w:highlight w:val="none"/>
              </w:rPr>
            </w:pPr>
          </w:p>
        </w:tc>
      </w:tr>
      <w:tr w14:paraId="0E6A7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5" w:type="dxa"/>
            <w:tcBorders>
              <w:top w:val="single" w:color="auto" w:sz="6" w:space="0"/>
              <w:left w:val="single" w:color="auto" w:sz="6" w:space="0"/>
              <w:bottom w:val="single" w:color="auto" w:sz="6" w:space="0"/>
              <w:right w:val="single" w:color="auto" w:sz="6" w:space="0"/>
            </w:tcBorders>
          </w:tcPr>
          <w:p w14:paraId="69F628BC">
            <w:pPr>
              <w:pStyle w:val="42"/>
              <w:spacing w:line="360" w:lineRule="auto"/>
              <w:rPr>
                <w:rFonts w:ascii="宋体" w:hAnsi="宋体" w:cs="Arial"/>
                <w:color w:val="auto"/>
                <w:sz w:val="24"/>
                <w:highlight w:val="none"/>
              </w:rPr>
            </w:pPr>
          </w:p>
        </w:tc>
        <w:tc>
          <w:tcPr>
            <w:tcW w:w="2009" w:type="dxa"/>
            <w:tcBorders>
              <w:top w:val="single" w:color="auto" w:sz="6" w:space="0"/>
              <w:left w:val="single" w:color="auto" w:sz="6" w:space="0"/>
              <w:bottom w:val="single" w:color="auto" w:sz="6" w:space="0"/>
              <w:right w:val="single" w:color="auto" w:sz="6" w:space="0"/>
            </w:tcBorders>
          </w:tcPr>
          <w:p w14:paraId="7C5B953F">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F5E878">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6" w:space="0"/>
              <w:right w:val="single" w:color="auto" w:sz="6" w:space="0"/>
            </w:tcBorders>
          </w:tcPr>
          <w:p w14:paraId="53EA8FEB">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6" w:space="0"/>
              <w:right w:val="single" w:color="auto" w:sz="6" w:space="0"/>
            </w:tcBorders>
          </w:tcPr>
          <w:p w14:paraId="0AAEAD9B">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6" w:space="0"/>
              <w:right w:val="single" w:color="auto" w:sz="6" w:space="0"/>
            </w:tcBorders>
          </w:tcPr>
          <w:p w14:paraId="19B7AA15">
            <w:pPr>
              <w:pStyle w:val="42"/>
              <w:spacing w:line="360" w:lineRule="auto"/>
              <w:rPr>
                <w:rFonts w:ascii="宋体" w:hAnsi="宋体" w:cs="Arial"/>
                <w:color w:val="auto"/>
                <w:sz w:val="24"/>
                <w:highlight w:val="none"/>
              </w:rPr>
            </w:pPr>
          </w:p>
        </w:tc>
      </w:tr>
      <w:tr w14:paraId="4E7E8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35" w:type="dxa"/>
            <w:tcBorders>
              <w:top w:val="single" w:color="auto" w:sz="6" w:space="0"/>
              <w:left w:val="single" w:color="auto" w:sz="6" w:space="0"/>
              <w:bottom w:val="single" w:color="auto" w:sz="4" w:space="0"/>
              <w:right w:val="single" w:color="auto" w:sz="6" w:space="0"/>
            </w:tcBorders>
          </w:tcPr>
          <w:p w14:paraId="6AB0507C">
            <w:pPr>
              <w:pStyle w:val="42"/>
              <w:spacing w:line="360" w:lineRule="auto"/>
              <w:rPr>
                <w:rFonts w:ascii="宋体" w:hAnsi="宋体" w:cs="Arial"/>
                <w:color w:val="auto"/>
                <w:sz w:val="24"/>
                <w:highlight w:val="none"/>
              </w:rPr>
            </w:pPr>
          </w:p>
        </w:tc>
        <w:tc>
          <w:tcPr>
            <w:tcW w:w="2009" w:type="dxa"/>
            <w:tcBorders>
              <w:top w:val="single" w:color="auto" w:sz="6" w:space="0"/>
              <w:left w:val="single" w:color="auto" w:sz="6" w:space="0"/>
              <w:bottom w:val="single" w:color="auto" w:sz="4" w:space="0"/>
              <w:right w:val="single" w:color="auto" w:sz="6" w:space="0"/>
            </w:tcBorders>
          </w:tcPr>
          <w:p w14:paraId="45963C5D">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4" w:space="0"/>
              <w:right w:val="single" w:color="auto" w:sz="6" w:space="0"/>
            </w:tcBorders>
          </w:tcPr>
          <w:p w14:paraId="794734DD">
            <w:pPr>
              <w:pStyle w:val="42"/>
              <w:spacing w:line="360" w:lineRule="auto"/>
              <w:rPr>
                <w:rFonts w:ascii="宋体" w:hAnsi="宋体" w:cs="Arial"/>
                <w:color w:val="auto"/>
                <w:sz w:val="24"/>
                <w:highlight w:val="none"/>
              </w:rPr>
            </w:pPr>
          </w:p>
        </w:tc>
        <w:tc>
          <w:tcPr>
            <w:tcW w:w="860" w:type="dxa"/>
            <w:tcBorders>
              <w:top w:val="single" w:color="auto" w:sz="6" w:space="0"/>
              <w:left w:val="single" w:color="auto" w:sz="6" w:space="0"/>
              <w:bottom w:val="single" w:color="auto" w:sz="4" w:space="0"/>
              <w:right w:val="single" w:color="auto" w:sz="6" w:space="0"/>
            </w:tcBorders>
          </w:tcPr>
          <w:p w14:paraId="6686C400">
            <w:pPr>
              <w:pStyle w:val="42"/>
              <w:spacing w:line="360" w:lineRule="auto"/>
              <w:rPr>
                <w:rFonts w:ascii="宋体" w:hAnsi="宋体" w:cs="Arial"/>
                <w:color w:val="auto"/>
                <w:sz w:val="24"/>
                <w:highlight w:val="none"/>
              </w:rPr>
            </w:pPr>
          </w:p>
        </w:tc>
        <w:tc>
          <w:tcPr>
            <w:tcW w:w="2589" w:type="dxa"/>
            <w:tcBorders>
              <w:top w:val="single" w:color="auto" w:sz="6" w:space="0"/>
              <w:left w:val="single" w:color="auto" w:sz="6" w:space="0"/>
              <w:bottom w:val="single" w:color="auto" w:sz="4" w:space="0"/>
              <w:right w:val="single" w:color="auto" w:sz="6" w:space="0"/>
            </w:tcBorders>
          </w:tcPr>
          <w:p w14:paraId="28D3FC4C">
            <w:pPr>
              <w:pStyle w:val="42"/>
              <w:spacing w:line="360" w:lineRule="auto"/>
              <w:rPr>
                <w:rFonts w:ascii="宋体" w:hAnsi="宋体" w:cs="Arial"/>
                <w:color w:val="auto"/>
                <w:sz w:val="24"/>
                <w:highlight w:val="none"/>
              </w:rPr>
            </w:pPr>
          </w:p>
        </w:tc>
        <w:tc>
          <w:tcPr>
            <w:tcW w:w="1580" w:type="dxa"/>
            <w:tcBorders>
              <w:top w:val="single" w:color="auto" w:sz="6" w:space="0"/>
              <w:left w:val="single" w:color="auto" w:sz="6" w:space="0"/>
              <w:bottom w:val="single" w:color="auto" w:sz="4" w:space="0"/>
              <w:right w:val="single" w:color="auto" w:sz="6" w:space="0"/>
            </w:tcBorders>
          </w:tcPr>
          <w:p w14:paraId="2621F21A">
            <w:pPr>
              <w:pStyle w:val="42"/>
              <w:spacing w:line="360" w:lineRule="auto"/>
              <w:rPr>
                <w:rFonts w:ascii="宋体" w:hAnsi="宋体" w:cs="Arial"/>
                <w:color w:val="auto"/>
                <w:sz w:val="24"/>
                <w:highlight w:val="none"/>
              </w:rPr>
            </w:pPr>
          </w:p>
        </w:tc>
      </w:tr>
      <w:tr w14:paraId="7C818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35" w:type="dxa"/>
            <w:tcBorders>
              <w:top w:val="single" w:color="auto" w:sz="4" w:space="0"/>
              <w:left w:val="single" w:color="auto" w:sz="6" w:space="0"/>
              <w:bottom w:val="single" w:color="auto" w:sz="4" w:space="0"/>
              <w:right w:val="single" w:color="auto" w:sz="6" w:space="0"/>
            </w:tcBorders>
          </w:tcPr>
          <w:p w14:paraId="463C11B2">
            <w:pPr>
              <w:pStyle w:val="42"/>
              <w:spacing w:line="360" w:lineRule="auto"/>
              <w:rPr>
                <w:rFonts w:ascii="宋体" w:hAnsi="宋体" w:cs="Arial"/>
                <w:color w:val="auto"/>
                <w:sz w:val="24"/>
                <w:highlight w:val="none"/>
              </w:rPr>
            </w:pPr>
          </w:p>
        </w:tc>
        <w:tc>
          <w:tcPr>
            <w:tcW w:w="2009" w:type="dxa"/>
            <w:tcBorders>
              <w:top w:val="single" w:color="auto" w:sz="4" w:space="0"/>
              <w:left w:val="single" w:color="auto" w:sz="6" w:space="0"/>
              <w:bottom w:val="single" w:color="auto" w:sz="4" w:space="0"/>
              <w:right w:val="single" w:color="auto" w:sz="6" w:space="0"/>
            </w:tcBorders>
          </w:tcPr>
          <w:p w14:paraId="24D29E3F">
            <w:pPr>
              <w:pStyle w:val="42"/>
              <w:spacing w:line="360" w:lineRule="auto"/>
              <w:rPr>
                <w:rFonts w:ascii="宋体" w:hAnsi="宋体" w:cs="Arial"/>
                <w:color w:val="auto"/>
                <w:sz w:val="24"/>
                <w:highlight w:val="none"/>
              </w:rPr>
            </w:pPr>
          </w:p>
        </w:tc>
        <w:tc>
          <w:tcPr>
            <w:tcW w:w="1293" w:type="dxa"/>
            <w:tcBorders>
              <w:top w:val="single" w:color="auto" w:sz="4" w:space="0"/>
              <w:left w:val="single" w:color="auto" w:sz="6" w:space="0"/>
              <w:bottom w:val="single" w:color="auto" w:sz="4" w:space="0"/>
              <w:right w:val="single" w:color="auto" w:sz="6" w:space="0"/>
            </w:tcBorders>
          </w:tcPr>
          <w:p w14:paraId="6EAD94DA">
            <w:pPr>
              <w:pStyle w:val="42"/>
              <w:spacing w:line="360" w:lineRule="auto"/>
              <w:rPr>
                <w:rFonts w:ascii="宋体" w:hAnsi="宋体" w:cs="Arial"/>
                <w:color w:val="auto"/>
                <w:sz w:val="24"/>
                <w:highlight w:val="none"/>
              </w:rPr>
            </w:pPr>
          </w:p>
        </w:tc>
        <w:tc>
          <w:tcPr>
            <w:tcW w:w="860" w:type="dxa"/>
            <w:tcBorders>
              <w:top w:val="single" w:color="auto" w:sz="4" w:space="0"/>
              <w:left w:val="single" w:color="auto" w:sz="6" w:space="0"/>
              <w:bottom w:val="single" w:color="auto" w:sz="4" w:space="0"/>
              <w:right w:val="single" w:color="auto" w:sz="6" w:space="0"/>
            </w:tcBorders>
          </w:tcPr>
          <w:p w14:paraId="2BCCFB98">
            <w:pPr>
              <w:pStyle w:val="42"/>
              <w:spacing w:line="360" w:lineRule="auto"/>
              <w:rPr>
                <w:rFonts w:ascii="宋体" w:hAnsi="宋体" w:cs="Arial"/>
                <w:color w:val="auto"/>
                <w:sz w:val="24"/>
                <w:highlight w:val="none"/>
              </w:rPr>
            </w:pPr>
          </w:p>
        </w:tc>
        <w:tc>
          <w:tcPr>
            <w:tcW w:w="2589" w:type="dxa"/>
            <w:tcBorders>
              <w:top w:val="single" w:color="auto" w:sz="4" w:space="0"/>
              <w:left w:val="single" w:color="auto" w:sz="6" w:space="0"/>
              <w:bottom w:val="single" w:color="auto" w:sz="4" w:space="0"/>
              <w:right w:val="single" w:color="auto" w:sz="6" w:space="0"/>
            </w:tcBorders>
          </w:tcPr>
          <w:p w14:paraId="1111C5C6">
            <w:pPr>
              <w:pStyle w:val="42"/>
              <w:spacing w:line="360" w:lineRule="auto"/>
              <w:rPr>
                <w:rFonts w:ascii="宋体" w:hAnsi="宋体" w:cs="Arial"/>
                <w:color w:val="auto"/>
                <w:sz w:val="24"/>
                <w:highlight w:val="none"/>
              </w:rPr>
            </w:pPr>
          </w:p>
        </w:tc>
        <w:tc>
          <w:tcPr>
            <w:tcW w:w="1580" w:type="dxa"/>
            <w:tcBorders>
              <w:top w:val="single" w:color="auto" w:sz="4" w:space="0"/>
              <w:left w:val="single" w:color="auto" w:sz="6" w:space="0"/>
              <w:bottom w:val="single" w:color="auto" w:sz="4" w:space="0"/>
              <w:right w:val="single" w:color="auto" w:sz="6" w:space="0"/>
            </w:tcBorders>
          </w:tcPr>
          <w:p w14:paraId="52A81430">
            <w:pPr>
              <w:pStyle w:val="42"/>
              <w:spacing w:line="360" w:lineRule="auto"/>
              <w:rPr>
                <w:rFonts w:ascii="宋体" w:hAnsi="宋体" w:cs="Arial"/>
                <w:color w:val="auto"/>
                <w:sz w:val="24"/>
                <w:highlight w:val="none"/>
              </w:rPr>
            </w:pPr>
          </w:p>
        </w:tc>
      </w:tr>
      <w:tr w14:paraId="4010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35" w:type="dxa"/>
            <w:tcBorders>
              <w:top w:val="single" w:color="auto" w:sz="4" w:space="0"/>
              <w:left w:val="single" w:color="auto" w:sz="6" w:space="0"/>
              <w:bottom w:val="single" w:color="auto" w:sz="4" w:space="0"/>
              <w:right w:val="single" w:color="auto" w:sz="6" w:space="0"/>
            </w:tcBorders>
          </w:tcPr>
          <w:p w14:paraId="346A3D5B">
            <w:pPr>
              <w:pStyle w:val="42"/>
              <w:spacing w:line="360" w:lineRule="auto"/>
              <w:rPr>
                <w:rFonts w:ascii="宋体" w:hAnsi="宋体" w:cs="Arial"/>
                <w:color w:val="auto"/>
                <w:sz w:val="24"/>
                <w:highlight w:val="none"/>
              </w:rPr>
            </w:pPr>
          </w:p>
        </w:tc>
        <w:tc>
          <w:tcPr>
            <w:tcW w:w="2009" w:type="dxa"/>
            <w:tcBorders>
              <w:top w:val="single" w:color="auto" w:sz="4" w:space="0"/>
              <w:left w:val="single" w:color="auto" w:sz="6" w:space="0"/>
              <w:bottom w:val="single" w:color="auto" w:sz="4" w:space="0"/>
              <w:right w:val="single" w:color="auto" w:sz="6" w:space="0"/>
            </w:tcBorders>
          </w:tcPr>
          <w:p w14:paraId="51972DA3">
            <w:pPr>
              <w:pStyle w:val="42"/>
              <w:spacing w:line="360" w:lineRule="auto"/>
              <w:rPr>
                <w:rFonts w:ascii="宋体" w:hAnsi="宋体" w:cs="Arial"/>
                <w:color w:val="auto"/>
                <w:sz w:val="24"/>
                <w:highlight w:val="none"/>
              </w:rPr>
            </w:pPr>
          </w:p>
        </w:tc>
        <w:tc>
          <w:tcPr>
            <w:tcW w:w="1293" w:type="dxa"/>
            <w:tcBorders>
              <w:top w:val="single" w:color="auto" w:sz="4" w:space="0"/>
              <w:left w:val="single" w:color="auto" w:sz="6" w:space="0"/>
              <w:bottom w:val="single" w:color="auto" w:sz="4" w:space="0"/>
              <w:right w:val="single" w:color="auto" w:sz="6" w:space="0"/>
            </w:tcBorders>
          </w:tcPr>
          <w:p w14:paraId="6BCAFB2A">
            <w:pPr>
              <w:pStyle w:val="42"/>
              <w:spacing w:line="360" w:lineRule="auto"/>
              <w:rPr>
                <w:rFonts w:ascii="宋体" w:hAnsi="宋体" w:cs="Arial"/>
                <w:color w:val="auto"/>
                <w:sz w:val="24"/>
                <w:highlight w:val="none"/>
              </w:rPr>
            </w:pPr>
          </w:p>
        </w:tc>
        <w:tc>
          <w:tcPr>
            <w:tcW w:w="860" w:type="dxa"/>
            <w:tcBorders>
              <w:top w:val="single" w:color="auto" w:sz="4" w:space="0"/>
              <w:left w:val="single" w:color="auto" w:sz="6" w:space="0"/>
              <w:bottom w:val="single" w:color="auto" w:sz="4" w:space="0"/>
              <w:right w:val="single" w:color="auto" w:sz="6" w:space="0"/>
            </w:tcBorders>
          </w:tcPr>
          <w:p w14:paraId="2AA75EA7">
            <w:pPr>
              <w:pStyle w:val="42"/>
              <w:spacing w:line="360" w:lineRule="auto"/>
              <w:rPr>
                <w:rFonts w:ascii="宋体" w:hAnsi="宋体" w:cs="Arial"/>
                <w:color w:val="auto"/>
                <w:sz w:val="24"/>
                <w:highlight w:val="none"/>
              </w:rPr>
            </w:pPr>
          </w:p>
        </w:tc>
        <w:tc>
          <w:tcPr>
            <w:tcW w:w="2589" w:type="dxa"/>
            <w:tcBorders>
              <w:top w:val="single" w:color="auto" w:sz="4" w:space="0"/>
              <w:left w:val="single" w:color="auto" w:sz="6" w:space="0"/>
              <w:bottom w:val="single" w:color="auto" w:sz="4" w:space="0"/>
              <w:right w:val="single" w:color="auto" w:sz="6" w:space="0"/>
            </w:tcBorders>
          </w:tcPr>
          <w:p w14:paraId="2193E3D8">
            <w:pPr>
              <w:pStyle w:val="42"/>
              <w:spacing w:line="360" w:lineRule="auto"/>
              <w:rPr>
                <w:rFonts w:ascii="宋体" w:hAnsi="宋体" w:cs="Arial"/>
                <w:color w:val="auto"/>
                <w:sz w:val="24"/>
                <w:highlight w:val="none"/>
              </w:rPr>
            </w:pPr>
          </w:p>
        </w:tc>
        <w:tc>
          <w:tcPr>
            <w:tcW w:w="1580" w:type="dxa"/>
            <w:tcBorders>
              <w:top w:val="single" w:color="auto" w:sz="4" w:space="0"/>
              <w:left w:val="single" w:color="auto" w:sz="6" w:space="0"/>
              <w:bottom w:val="single" w:color="auto" w:sz="4" w:space="0"/>
              <w:right w:val="single" w:color="auto" w:sz="6" w:space="0"/>
            </w:tcBorders>
          </w:tcPr>
          <w:p w14:paraId="175F4E5E">
            <w:pPr>
              <w:pStyle w:val="42"/>
              <w:spacing w:line="360" w:lineRule="auto"/>
              <w:rPr>
                <w:rFonts w:ascii="宋体" w:hAnsi="宋体" w:cs="Arial"/>
                <w:color w:val="auto"/>
                <w:sz w:val="24"/>
                <w:highlight w:val="none"/>
              </w:rPr>
            </w:pPr>
          </w:p>
        </w:tc>
      </w:tr>
      <w:tr w14:paraId="31FC0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35" w:type="dxa"/>
            <w:tcBorders>
              <w:top w:val="single" w:color="auto" w:sz="4" w:space="0"/>
              <w:left w:val="single" w:color="auto" w:sz="6" w:space="0"/>
              <w:bottom w:val="single" w:color="auto" w:sz="6" w:space="0"/>
              <w:right w:val="single" w:color="auto" w:sz="6" w:space="0"/>
            </w:tcBorders>
          </w:tcPr>
          <w:p w14:paraId="7B43DC48">
            <w:pPr>
              <w:pStyle w:val="42"/>
              <w:spacing w:line="360" w:lineRule="auto"/>
              <w:rPr>
                <w:rFonts w:ascii="宋体" w:hAnsi="宋体" w:cs="Arial"/>
                <w:color w:val="auto"/>
                <w:sz w:val="24"/>
                <w:highlight w:val="none"/>
              </w:rPr>
            </w:pPr>
          </w:p>
        </w:tc>
        <w:tc>
          <w:tcPr>
            <w:tcW w:w="2009" w:type="dxa"/>
            <w:tcBorders>
              <w:top w:val="single" w:color="auto" w:sz="4" w:space="0"/>
              <w:left w:val="single" w:color="auto" w:sz="6" w:space="0"/>
              <w:bottom w:val="single" w:color="auto" w:sz="6" w:space="0"/>
              <w:right w:val="single" w:color="auto" w:sz="6" w:space="0"/>
            </w:tcBorders>
          </w:tcPr>
          <w:p w14:paraId="668F5836">
            <w:pPr>
              <w:pStyle w:val="42"/>
              <w:spacing w:line="360" w:lineRule="auto"/>
              <w:rPr>
                <w:rFonts w:ascii="宋体" w:hAnsi="宋体" w:cs="Arial"/>
                <w:color w:val="auto"/>
                <w:sz w:val="24"/>
                <w:highlight w:val="none"/>
              </w:rPr>
            </w:pPr>
          </w:p>
        </w:tc>
        <w:tc>
          <w:tcPr>
            <w:tcW w:w="1293" w:type="dxa"/>
            <w:tcBorders>
              <w:top w:val="single" w:color="auto" w:sz="4" w:space="0"/>
              <w:left w:val="single" w:color="auto" w:sz="6" w:space="0"/>
              <w:bottom w:val="single" w:color="auto" w:sz="6" w:space="0"/>
              <w:right w:val="single" w:color="auto" w:sz="6" w:space="0"/>
            </w:tcBorders>
          </w:tcPr>
          <w:p w14:paraId="60344119">
            <w:pPr>
              <w:pStyle w:val="42"/>
              <w:spacing w:line="360" w:lineRule="auto"/>
              <w:rPr>
                <w:rFonts w:ascii="宋体" w:hAnsi="宋体" w:cs="Arial"/>
                <w:color w:val="auto"/>
                <w:sz w:val="24"/>
                <w:highlight w:val="none"/>
              </w:rPr>
            </w:pPr>
          </w:p>
        </w:tc>
        <w:tc>
          <w:tcPr>
            <w:tcW w:w="860" w:type="dxa"/>
            <w:tcBorders>
              <w:top w:val="single" w:color="auto" w:sz="4" w:space="0"/>
              <w:left w:val="single" w:color="auto" w:sz="6" w:space="0"/>
              <w:bottom w:val="single" w:color="auto" w:sz="6" w:space="0"/>
              <w:right w:val="single" w:color="auto" w:sz="6" w:space="0"/>
            </w:tcBorders>
          </w:tcPr>
          <w:p w14:paraId="5FFBD810">
            <w:pPr>
              <w:pStyle w:val="42"/>
              <w:spacing w:line="360" w:lineRule="auto"/>
              <w:rPr>
                <w:rFonts w:ascii="宋体" w:hAnsi="宋体" w:cs="Arial"/>
                <w:color w:val="auto"/>
                <w:sz w:val="24"/>
                <w:highlight w:val="none"/>
              </w:rPr>
            </w:pPr>
          </w:p>
        </w:tc>
        <w:tc>
          <w:tcPr>
            <w:tcW w:w="2589" w:type="dxa"/>
            <w:tcBorders>
              <w:top w:val="single" w:color="auto" w:sz="4" w:space="0"/>
              <w:left w:val="single" w:color="auto" w:sz="6" w:space="0"/>
              <w:bottom w:val="single" w:color="auto" w:sz="6" w:space="0"/>
              <w:right w:val="single" w:color="auto" w:sz="6" w:space="0"/>
            </w:tcBorders>
          </w:tcPr>
          <w:p w14:paraId="2AAB5F74">
            <w:pPr>
              <w:pStyle w:val="42"/>
              <w:spacing w:line="360" w:lineRule="auto"/>
              <w:rPr>
                <w:rFonts w:ascii="宋体" w:hAnsi="宋体" w:cs="Arial"/>
                <w:color w:val="auto"/>
                <w:sz w:val="24"/>
                <w:highlight w:val="none"/>
              </w:rPr>
            </w:pPr>
          </w:p>
        </w:tc>
        <w:tc>
          <w:tcPr>
            <w:tcW w:w="1580" w:type="dxa"/>
            <w:tcBorders>
              <w:top w:val="single" w:color="auto" w:sz="4" w:space="0"/>
              <w:left w:val="single" w:color="auto" w:sz="6" w:space="0"/>
              <w:bottom w:val="single" w:color="auto" w:sz="6" w:space="0"/>
              <w:right w:val="single" w:color="auto" w:sz="6" w:space="0"/>
            </w:tcBorders>
          </w:tcPr>
          <w:p w14:paraId="737AA7CF">
            <w:pPr>
              <w:pStyle w:val="42"/>
              <w:spacing w:line="360" w:lineRule="auto"/>
              <w:rPr>
                <w:rFonts w:ascii="宋体" w:hAnsi="宋体" w:cs="Arial"/>
                <w:color w:val="auto"/>
                <w:sz w:val="24"/>
                <w:highlight w:val="none"/>
              </w:rPr>
            </w:pPr>
          </w:p>
        </w:tc>
      </w:tr>
    </w:tbl>
    <w:p w14:paraId="239258BF">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61E0CB61">
      <w:pPr>
        <w:autoSpaceDE w:val="0"/>
        <w:autoSpaceDN w:val="0"/>
        <w:adjustRightInd w:val="0"/>
        <w:spacing w:before="120"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w:t>
      </w:r>
      <w:r>
        <w:rPr>
          <w:rFonts w:hint="eastAsia" w:ascii="宋体" w:hAnsi="宋体" w:cs="Arial"/>
          <w:color w:val="auto"/>
          <w:szCs w:val="21"/>
          <w:highlight w:val="none"/>
        </w:rPr>
        <w:t>按“第四章评分标准”相关评审细则要求提供</w:t>
      </w:r>
      <w:r>
        <w:rPr>
          <w:rFonts w:ascii="宋体" w:hAnsi="宋体" w:cs="Arial"/>
          <w:color w:val="auto"/>
          <w:szCs w:val="21"/>
          <w:highlight w:val="none"/>
        </w:rPr>
        <w:t>）</w:t>
      </w:r>
      <w:r>
        <w:rPr>
          <w:rFonts w:hint="eastAsia" w:ascii="宋体" w:hAnsi="宋体" w:cs="Arial"/>
          <w:color w:val="auto"/>
          <w:szCs w:val="21"/>
          <w:highlight w:val="none"/>
        </w:rPr>
        <w:t>。</w:t>
      </w:r>
    </w:p>
    <w:p w14:paraId="61641334">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2.磋商供应商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CEA4F9B">
      <w:pPr>
        <w:spacing w:line="320" w:lineRule="exact"/>
        <w:ind w:left="420"/>
        <w:rPr>
          <w:rFonts w:ascii="宋体" w:hAnsi="宋体"/>
          <w:color w:val="auto"/>
          <w:szCs w:val="21"/>
          <w:highlight w:val="none"/>
        </w:rPr>
      </w:pPr>
      <w:r>
        <w:rPr>
          <w:rFonts w:hint="eastAsia" w:ascii="宋体" w:hAnsi="宋体" w:cs="Arial"/>
          <w:color w:val="auto"/>
          <w:szCs w:val="21"/>
          <w:highlight w:val="none"/>
        </w:rPr>
        <w:t>3.</w:t>
      </w:r>
      <w:r>
        <w:rPr>
          <w:rFonts w:hint="eastAsia" w:ascii="宋体" w:hAnsi="宋体"/>
          <w:color w:val="auto"/>
          <w:szCs w:val="21"/>
          <w:highlight w:val="none"/>
        </w:rPr>
        <w:t xml:space="preserve"> 本表如跨页，需每页加盖磋商供应商电子公章。</w:t>
      </w:r>
    </w:p>
    <w:p w14:paraId="095010DE">
      <w:pPr>
        <w:spacing w:line="320" w:lineRule="exact"/>
        <w:ind w:left="420"/>
        <w:rPr>
          <w:rFonts w:ascii="宋体" w:hAnsi="宋体"/>
          <w:color w:val="auto"/>
          <w:szCs w:val="21"/>
          <w:highlight w:val="none"/>
        </w:rPr>
      </w:pPr>
    </w:p>
    <w:p w14:paraId="2A63A46B">
      <w:pPr>
        <w:spacing w:line="360" w:lineRule="auto"/>
        <w:ind w:left="420"/>
        <w:rPr>
          <w:rFonts w:ascii="宋体" w:hAnsi="宋体"/>
          <w:color w:val="auto"/>
          <w:sz w:val="24"/>
          <w:highlight w:val="none"/>
        </w:rPr>
      </w:pPr>
    </w:p>
    <w:p w14:paraId="58EE607D">
      <w:pPr>
        <w:spacing w:line="480" w:lineRule="exact"/>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14:paraId="51A01E9F">
      <w:pPr>
        <w:spacing w:line="480" w:lineRule="exact"/>
        <w:ind w:left="420"/>
        <w:rPr>
          <w:rFonts w:ascii="宋体" w:hAnsi="宋体"/>
          <w:color w:val="auto"/>
          <w:sz w:val="24"/>
          <w:highlight w:val="none"/>
          <w:u w:val="single"/>
        </w:rPr>
      </w:pPr>
    </w:p>
    <w:p w14:paraId="496AF5E4">
      <w:pPr>
        <w:spacing w:line="480" w:lineRule="exact"/>
        <w:ind w:firstLine="435"/>
        <w:rPr>
          <w:rFonts w:ascii="宋体" w:hAnsi="宋体"/>
          <w:color w:val="auto"/>
          <w:sz w:val="24"/>
          <w:highlight w:val="none"/>
          <w:u w:val="single"/>
        </w:rPr>
      </w:pPr>
      <w:r>
        <w:rPr>
          <w:rFonts w:hint="eastAsia" w:ascii="宋体" w:hAnsi="宋体"/>
          <w:color w:val="auto"/>
          <w:sz w:val="24"/>
          <w:highlight w:val="none"/>
        </w:rPr>
        <w:t>磋商供应商法定代表人或授权代表（签字或盖章）：</w:t>
      </w:r>
      <w:r>
        <w:rPr>
          <w:rFonts w:hint="eastAsia" w:ascii="宋体" w:hAnsi="宋体"/>
          <w:color w:val="auto"/>
          <w:sz w:val="24"/>
          <w:highlight w:val="none"/>
          <w:u w:val="single"/>
        </w:rPr>
        <w:t xml:space="preserve">                         </w:t>
      </w:r>
    </w:p>
    <w:p w14:paraId="4105D7D1">
      <w:pPr>
        <w:spacing w:line="480" w:lineRule="exact"/>
        <w:ind w:firstLine="435"/>
        <w:rPr>
          <w:rFonts w:ascii="宋体" w:hAnsi="宋体"/>
          <w:color w:val="auto"/>
          <w:sz w:val="24"/>
          <w:highlight w:val="none"/>
          <w:u w:val="single"/>
        </w:rPr>
      </w:pPr>
    </w:p>
    <w:p w14:paraId="76951A94">
      <w:pPr>
        <w:spacing w:line="480" w:lineRule="exact"/>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12DC76B6">
      <w:pPr>
        <w:widowControl/>
        <w:jc w:val="left"/>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 xml:space="preserve">  附件</w:t>
      </w:r>
      <w:r>
        <w:rPr>
          <w:rFonts w:hint="eastAsia" w:ascii="宋体" w:hAnsi="宋体"/>
          <w:b/>
          <w:color w:val="auto"/>
          <w:sz w:val="28"/>
          <w:highlight w:val="none"/>
          <w:lang w:val="en-US" w:eastAsia="zh-CN"/>
        </w:rPr>
        <w:t>16</w:t>
      </w:r>
      <w:r>
        <w:rPr>
          <w:rFonts w:hint="eastAsia" w:ascii="宋体" w:hAnsi="宋体"/>
          <w:b/>
          <w:color w:val="auto"/>
          <w:sz w:val="28"/>
          <w:highlight w:val="none"/>
        </w:rPr>
        <w:t xml:space="preserve">     </w:t>
      </w:r>
    </w:p>
    <w:p w14:paraId="2D1E4627">
      <w:pPr>
        <w:spacing w:line="480" w:lineRule="exact"/>
        <w:ind w:left="480"/>
        <w:jc w:val="center"/>
        <w:rPr>
          <w:rFonts w:ascii="宋体" w:hAnsi="宋体"/>
          <w:b/>
          <w:color w:val="auto"/>
          <w:sz w:val="24"/>
          <w:highlight w:val="none"/>
        </w:rPr>
      </w:pPr>
      <w:r>
        <w:rPr>
          <w:rFonts w:hint="eastAsia" w:ascii="宋体" w:hAnsi="宋体"/>
          <w:b/>
          <w:color w:val="auto"/>
          <w:sz w:val="30"/>
          <w:highlight w:val="none"/>
        </w:rPr>
        <w:t>首次报价一览表</w:t>
      </w:r>
      <w:r>
        <w:rPr>
          <w:rFonts w:hint="eastAsia" w:ascii="宋体" w:hAnsi="宋体"/>
          <w:b/>
          <w:color w:val="auto"/>
          <w:sz w:val="24"/>
          <w:highlight w:val="none"/>
        </w:rPr>
        <w:t xml:space="preserve"> </w:t>
      </w:r>
    </w:p>
    <w:p w14:paraId="6183EAAB">
      <w:pPr>
        <w:spacing w:line="480" w:lineRule="exact"/>
        <w:ind w:left="480"/>
        <w:rPr>
          <w:rFonts w:ascii="宋体" w:hAnsi="宋体"/>
          <w:b/>
          <w:color w:val="auto"/>
          <w:sz w:val="30"/>
          <w:highlight w:val="none"/>
        </w:rPr>
      </w:pPr>
    </w:p>
    <w:p w14:paraId="5474C4FC">
      <w:pPr>
        <w:spacing w:line="480" w:lineRule="exact"/>
        <w:jc w:val="center"/>
        <w:rPr>
          <w:rFonts w:ascii="宋体" w:hAnsi="宋体"/>
          <w:color w:val="auto"/>
          <w:highlight w:val="none"/>
        </w:rPr>
      </w:pPr>
      <w:r>
        <w:rPr>
          <w:rFonts w:hint="eastAsia" w:ascii="宋体" w:hAnsi="宋体"/>
          <w:color w:val="auto"/>
          <w:sz w:val="24"/>
          <w:highlight w:val="none"/>
        </w:rPr>
        <w:t xml:space="preserve">                                                                                       </w:t>
      </w:r>
    </w:p>
    <w:p w14:paraId="1A3E4707">
      <w:pPr>
        <w:pStyle w:val="44"/>
        <w:spacing w:line="360" w:lineRule="auto"/>
        <w:ind w:right="480"/>
        <w:jc w:val="left"/>
        <w:rPr>
          <w:rFonts w:ascii="宋体" w:hAnsi="宋体"/>
          <w:color w:val="auto"/>
          <w:sz w:val="24"/>
          <w:highlight w:val="none"/>
        </w:rPr>
      </w:pPr>
      <w:r>
        <w:rPr>
          <w:rFonts w:hint="eastAsia" w:ascii="宋体" w:hAnsi="宋体"/>
          <w:color w:val="auto"/>
          <w:sz w:val="24"/>
          <w:highlight w:val="none"/>
        </w:rPr>
        <w:t xml:space="preserve">  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C4E9505">
      <w:pPr>
        <w:spacing w:line="360" w:lineRule="auto"/>
        <w:ind w:firstLine="240" w:firstLineChars="10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5954"/>
      </w:tblGrid>
      <w:tr w14:paraId="7E1E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trPr>
        <w:tc>
          <w:tcPr>
            <w:tcW w:w="3332" w:type="dxa"/>
            <w:tcBorders>
              <w:top w:val="single" w:color="auto" w:sz="4" w:space="0"/>
              <w:left w:val="single" w:color="auto" w:sz="4" w:space="0"/>
              <w:bottom w:val="single" w:color="auto" w:sz="4" w:space="0"/>
              <w:right w:val="single" w:color="auto" w:sz="4" w:space="0"/>
            </w:tcBorders>
            <w:vAlign w:val="center"/>
          </w:tcPr>
          <w:p w14:paraId="3D208782">
            <w:pPr>
              <w:tabs>
                <w:tab w:val="left" w:pos="8280"/>
              </w:tabs>
              <w:autoSpaceDE w:val="0"/>
              <w:autoSpaceDN w:val="0"/>
              <w:adjustRightInd w:val="0"/>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6E82B437">
            <w:pPr>
              <w:tabs>
                <w:tab w:val="left" w:pos="8280"/>
              </w:tabs>
              <w:autoSpaceDE w:val="0"/>
              <w:autoSpaceDN w:val="0"/>
              <w:adjustRightInd w:val="0"/>
              <w:spacing w:line="360" w:lineRule="auto"/>
              <w:ind w:right="23"/>
              <w:jc w:val="center"/>
              <w:rPr>
                <w:rFonts w:ascii="宋体" w:hAnsi="宋体"/>
                <w:b/>
                <w:color w:val="auto"/>
                <w:sz w:val="24"/>
                <w:highlight w:val="none"/>
              </w:rPr>
            </w:pPr>
            <w:r>
              <w:rPr>
                <w:rFonts w:hint="eastAsia" w:ascii="宋体" w:hAnsi="宋体"/>
                <w:b/>
                <w:color w:val="auto"/>
                <w:sz w:val="24"/>
                <w:highlight w:val="none"/>
              </w:rPr>
              <w:t>总报价（人民币）</w:t>
            </w:r>
          </w:p>
        </w:tc>
      </w:tr>
      <w:tr w14:paraId="01A5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3332" w:type="dxa"/>
            <w:tcBorders>
              <w:top w:val="single" w:color="auto" w:sz="4" w:space="0"/>
              <w:left w:val="single" w:color="auto" w:sz="4" w:space="0"/>
              <w:bottom w:val="single" w:color="auto" w:sz="4" w:space="0"/>
              <w:right w:val="single" w:color="auto" w:sz="4" w:space="0"/>
            </w:tcBorders>
            <w:vAlign w:val="center"/>
          </w:tcPr>
          <w:p w14:paraId="15C058E6">
            <w:pPr>
              <w:tabs>
                <w:tab w:val="left" w:pos="8280"/>
              </w:tabs>
              <w:autoSpaceDE w:val="0"/>
              <w:autoSpaceDN w:val="0"/>
              <w:adjustRightInd w:val="0"/>
              <w:spacing w:line="360" w:lineRule="auto"/>
              <w:ind w:right="25"/>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椒江区梓杨河（山门村段）治理工程</w:t>
            </w:r>
          </w:p>
        </w:tc>
        <w:tc>
          <w:tcPr>
            <w:tcW w:w="5954" w:type="dxa"/>
            <w:tcBorders>
              <w:top w:val="single" w:color="auto" w:sz="4" w:space="0"/>
              <w:left w:val="single" w:color="auto" w:sz="4" w:space="0"/>
              <w:bottom w:val="single" w:color="auto" w:sz="4" w:space="0"/>
              <w:right w:val="single" w:color="auto" w:sz="4" w:space="0"/>
            </w:tcBorders>
            <w:vAlign w:val="center"/>
          </w:tcPr>
          <w:p w14:paraId="5FF40E7E">
            <w:pPr>
              <w:tabs>
                <w:tab w:val="left" w:pos="8280"/>
              </w:tabs>
              <w:autoSpaceDE w:val="0"/>
              <w:autoSpaceDN w:val="0"/>
              <w:adjustRightInd w:val="0"/>
              <w:spacing w:line="360" w:lineRule="auto"/>
              <w:ind w:right="25" w:firstLine="361" w:firstLineChars="150"/>
              <w:rPr>
                <w:rFonts w:ascii="宋体" w:hAnsi="宋体"/>
                <w:b/>
                <w:color w:val="auto"/>
                <w:sz w:val="24"/>
                <w:highlight w:val="none"/>
              </w:rPr>
            </w:pPr>
            <w:r>
              <w:rPr>
                <w:rFonts w:hint="eastAsia" w:ascii="宋体" w:hAnsi="宋体"/>
                <w:b/>
                <w:color w:val="auto"/>
                <w:sz w:val="24"/>
                <w:highlight w:val="none"/>
              </w:rPr>
              <w:t xml:space="preserve">大写：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p w14:paraId="6004E466">
            <w:pPr>
              <w:tabs>
                <w:tab w:val="left" w:pos="8280"/>
              </w:tabs>
              <w:autoSpaceDE w:val="0"/>
              <w:autoSpaceDN w:val="0"/>
              <w:adjustRightInd w:val="0"/>
              <w:spacing w:line="360" w:lineRule="auto"/>
              <w:ind w:right="23" w:firstLine="361" w:firstLineChars="150"/>
              <w:rPr>
                <w:rFonts w:ascii="宋体" w:hAnsi="宋体"/>
                <w:b/>
                <w:color w:val="auto"/>
                <w:sz w:val="24"/>
                <w:highlight w:val="none"/>
              </w:rPr>
            </w:pPr>
            <w:r>
              <w:rPr>
                <w:rFonts w:hint="eastAsia" w:ascii="宋体" w:hAnsi="宋体"/>
                <w:b/>
                <w:color w:val="auto"/>
                <w:sz w:val="24"/>
                <w:highlight w:val="none"/>
              </w:rPr>
              <w:t xml:space="preserve">小写：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tc>
      </w:tr>
    </w:tbl>
    <w:p w14:paraId="60B9E1A8">
      <w:pPr>
        <w:spacing w:line="480" w:lineRule="exact"/>
        <w:rPr>
          <w:rFonts w:ascii="宋体" w:hAnsi="宋体"/>
          <w:b/>
          <w:color w:val="auto"/>
          <w:szCs w:val="21"/>
          <w:highlight w:val="none"/>
        </w:rPr>
      </w:pPr>
      <w:r>
        <w:rPr>
          <w:rFonts w:hint="eastAsia" w:ascii="宋体" w:hAnsi="宋体"/>
          <w:b/>
          <w:color w:val="auto"/>
          <w:szCs w:val="21"/>
          <w:highlight w:val="none"/>
        </w:rPr>
        <w:t>说明：</w:t>
      </w:r>
    </w:p>
    <w:p w14:paraId="0DFB952B">
      <w:pPr>
        <w:spacing w:line="480" w:lineRule="exact"/>
        <w:ind w:firstLine="315" w:firstLineChars="150"/>
        <w:rPr>
          <w:rFonts w:ascii="宋体" w:hAnsi="宋体"/>
          <w:color w:val="auto"/>
          <w:szCs w:val="21"/>
          <w:highlight w:val="none"/>
        </w:rPr>
      </w:pPr>
      <w:r>
        <w:rPr>
          <w:rFonts w:hint="eastAsia" w:ascii="宋体" w:hAnsi="宋体"/>
          <w:color w:val="auto"/>
          <w:szCs w:val="21"/>
          <w:highlight w:val="none"/>
        </w:rPr>
        <w:t>1.报价应包含完成本合同内容的全部费用。</w:t>
      </w:r>
    </w:p>
    <w:p w14:paraId="4858F61D">
      <w:pPr>
        <w:spacing w:line="480" w:lineRule="exact"/>
        <w:ind w:firstLine="315" w:firstLineChars="150"/>
        <w:rPr>
          <w:rFonts w:ascii="宋体" w:hAnsi="宋体"/>
          <w:color w:val="auto"/>
          <w:szCs w:val="21"/>
          <w:highlight w:val="none"/>
        </w:rPr>
      </w:pPr>
    </w:p>
    <w:p w14:paraId="3155DF0D">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供应商名称（电子印章）：</w:t>
      </w:r>
    </w:p>
    <w:p w14:paraId="174DBB28">
      <w:pPr>
        <w:spacing w:line="360" w:lineRule="auto"/>
        <w:ind w:left="420"/>
        <w:rPr>
          <w:rFonts w:ascii="宋体" w:hAnsi="宋体"/>
          <w:color w:val="auto"/>
          <w:sz w:val="24"/>
          <w:highlight w:val="none"/>
        </w:rPr>
      </w:pPr>
    </w:p>
    <w:p w14:paraId="7BE23CE8">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30170B9">
      <w:pPr>
        <w:spacing w:line="360" w:lineRule="auto"/>
        <w:rPr>
          <w:rFonts w:ascii="宋体" w:hAnsi="宋体"/>
          <w:color w:val="auto"/>
          <w:sz w:val="24"/>
          <w:highlight w:val="none"/>
        </w:rPr>
      </w:pPr>
    </w:p>
    <w:p w14:paraId="38378921">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2082CCB7">
      <w:pPr>
        <w:spacing w:line="480" w:lineRule="exact"/>
        <w:ind w:firstLine="435"/>
        <w:rPr>
          <w:rFonts w:ascii="宋体" w:hAnsi="宋体"/>
          <w:color w:val="auto"/>
          <w:sz w:val="24"/>
          <w:highlight w:val="none"/>
        </w:rPr>
      </w:pPr>
    </w:p>
    <w:p w14:paraId="2B5DE4ED">
      <w:pPr>
        <w:pStyle w:val="22"/>
        <w:rPr>
          <w:color w:val="auto"/>
          <w:highlight w:val="none"/>
        </w:rPr>
      </w:pPr>
      <w:r>
        <w:rPr>
          <w:rFonts w:ascii="宋体" w:hAnsi="宋体"/>
          <w:b/>
          <w:color w:val="auto"/>
          <w:sz w:val="28"/>
          <w:highlight w:val="none"/>
        </w:rPr>
        <w:br w:type="page"/>
      </w:r>
    </w:p>
    <w:p w14:paraId="7E720634">
      <w:pPr>
        <w:snapToGrid w:val="0"/>
        <w:spacing w:before="120"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7</w:t>
      </w:r>
    </w:p>
    <w:p w14:paraId="4C40AE9B">
      <w:pPr>
        <w:pStyle w:val="45"/>
        <w:snapToGrid w:val="0"/>
        <w:spacing w:after="156" w:line="480" w:lineRule="exact"/>
        <w:ind w:firstLine="422" w:firstLineChars="200"/>
        <w:rPr>
          <w:rFonts w:hint="default" w:ascii="仿宋" w:hAnsi="仿宋"/>
          <w:b/>
          <w:color w:val="auto"/>
          <w:szCs w:val="24"/>
          <w:highlight w:val="none"/>
          <w:lang w:val="en-GB"/>
        </w:rPr>
      </w:pPr>
      <w:r>
        <w:rPr>
          <w:rFonts w:ascii="仿宋" w:hAnsi="仿宋"/>
          <w:b/>
          <w:color w:val="auto"/>
          <w:szCs w:val="24"/>
          <w:highlight w:val="none"/>
        </w:rPr>
        <w:t>(参加本项目采购活动的供应商须填写“政府采购活动现场确认声明书”，并在开标后30分钟内将扫描件发送至代理机构邮箱</w:t>
      </w:r>
      <w:r>
        <w:rPr>
          <w:rFonts w:hint="eastAsia" w:ascii="仿宋" w:hAnsi="仿宋"/>
          <w:b/>
          <w:color w:val="auto"/>
          <w:szCs w:val="24"/>
          <w:highlight w:val="none"/>
          <w:lang w:val="en-US" w:eastAsia="zh-CN"/>
        </w:rPr>
        <w:t>zjtzxcx@163.com</w:t>
      </w:r>
      <w:r>
        <w:rPr>
          <w:rFonts w:ascii="仿宋" w:hAnsi="仿宋"/>
          <w:b/>
          <w:color w:val="auto"/>
          <w:szCs w:val="24"/>
          <w:highlight w:val="none"/>
        </w:rPr>
        <w:t>)</w:t>
      </w:r>
    </w:p>
    <w:p w14:paraId="6A3C1F3F">
      <w:pPr>
        <w:pStyle w:val="45"/>
        <w:snapToGrid w:val="0"/>
        <w:spacing w:after="156" w:line="480" w:lineRule="exact"/>
        <w:jc w:val="center"/>
        <w:rPr>
          <w:rFonts w:hint="default" w:ascii="方正小标宋简体" w:hAnsi="方正小标宋简体" w:eastAsia="方正小标宋简体" w:cs="方正小标宋简体"/>
          <w:b/>
          <w:color w:val="auto"/>
          <w:sz w:val="32"/>
          <w:szCs w:val="32"/>
          <w:highlight w:val="none"/>
        </w:rPr>
      </w:pPr>
      <w:r>
        <w:rPr>
          <w:rFonts w:ascii="方正小标宋简体" w:hAnsi="方正小标宋简体" w:eastAsia="方正小标宋简体" w:cs="方正小标宋简体"/>
          <w:b/>
          <w:color w:val="auto"/>
          <w:sz w:val="32"/>
          <w:szCs w:val="32"/>
          <w:highlight w:val="none"/>
        </w:rPr>
        <w:t>政府采购活动现场确认声明书</w:t>
      </w:r>
    </w:p>
    <w:p w14:paraId="700FA431">
      <w:pPr>
        <w:pStyle w:val="45"/>
        <w:snapToGrid w:val="0"/>
        <w:spacing w:after="156" w:line="360" w:lineRule="exact"/>
        <w:jc w:val="both"/>
        <w:rPr>
          <w:rFonts w:hint="default"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kern w:val="0"/>
          <w:szCs w:val="21"/>
          <w:highlight w:val="none"/>
          <w:u w:val="single"/>
          <w:lang w:val="en-US" w:eastAsia="zh-CN"/>
        </w:rPr>
        <w:t xml:space="preserve">                        </w:t>
      </w:r>
      <w:r>
        <w:rPr>
          <w:rFonts w:asciiTheme="minorEastAsia" w:hAnsiTheme="minorEastAsia" w:eastAsiaTheme="minorEastAsia"/>
          <w:color w:val="auto"/>
          <w:kern w:val="0"/>
          <w:szCs w:val="21"/>
          <w:highlight w:val="none"/>
        </w:rPr>
        <w:t>（采购组织机构名称）：</w:t>
      </w:r>
    </w:p>
    <w:p w14:paraId="08F3A60F">
      <w:pPr>
        <w:pStyle w:val="45"/>
        <w:snapToGrid w:val="0"/>
        <w:spacing w:after="156" w:line="360" w:lineRule="exact"/>
        <w:ind w:firstLine="444" w:firstLineChars="200"/>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本人经由</w:t>
      </w:r>
      <w:r>
        <w:rPr>
          <w:rFonts w:asciiTheme="minorEastAsia" w:hAnsiTheme="minorEastAsia" w:eastAsiaTheme="minorEastAsia"/>
          <w:color w:val="auto"/>
          <w:spacing w:val="6"/>
          <w:szCs w:val="21"/>
          <w:highlight w:val="none"/>
          <w:u w:val="single"/>
        </w:rPr>
        <w:t xml:space="preserve">                  （单位）</w:t>
      </w:r>
      <w:r>
        <w:rPr>
          <w:rFonts w:asciiTheme="minorEastAsia" w:hAnsiTheme="minorEastAsia" w:eastAsiaTheme="minorEastAsia"/>
          <w:color w:val="auto"/>
          <w:spacing w:val="6"/>
          <w:szCs w:val="21"/>
          <w:highlight w:val="none"/>
        </w:rPr>
        <w:t>负责人</w:t>
      </w:r>
      <w:r>
        <w:rPr>
          <w:rFonts w:asciiTheme="minorEastAsia" w:hAnsiTheme="minorEastAsia" w:eastAsiaTheme="minorEastAsia"/>
          <w:color w:val="auto"/>
          <w:spacing w:val="6"/>
          <w:szCs w:val="21"/>
          <w:highlight w:val="none"/>
          <w:u w:val="single"/>
        </w:rPr>
        <w:t xml:space="preserve">        （姓名）</w:t>
      </w:r>
      <w:r>
        <w:rPr>
          <w:rFonts w:asciiTheme="minorEastAsia" w:hAnsiTheme="minorEastAsia" w:eastAsiaTheme="minorEastAsia"/>
          <w:color w:val="auto"/>
          <w:spacing w:val="6"/>
          <w:szCs w:val="21"/>
          <w:highlight w:val="none"/>
        </w:rPr>
        <w:t xml:space="preserve">合法授权参加（编号：）政府采购活动，经与本单位法人代表（负责人）联系确认，现就有关公平竞争事项郑重声明如下： </w:t>
      </w:r>
    </w:p>
    <w:p w14:paraId="1D82A9BC">
      <w:pPr>
        <w:pStyle w:val="46"/>
        <w:widowControl/>
        <w:numPr>
          <w:ilvl w:val="0"/>
          <w:numId w:val="12"/>
        </w:numPr>
        <w:snapToGrid w:val="0"/>
        <w:spacing w:line="36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本单位与采购人之间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7803D515">
      <w:pPr>
        <w:pStyle w:val="46"/>
        <w:widowControl/>
        <w:snapToGrid w:val="0"/>
        <w:spacing w:line="36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4F565456">
      <w:pPr>
        <w:pStyle w:val="46"/>
        <w:widowControl/>
        <w:snapToGrid w:val="0"/>
        <w:spacing w:line="36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 xml:space="preserve">（如有，请如实说明）                 </w:t>
      </w:r>
      <w:r>
        <w:rPr>
          <w:rFonts w:asciiTheme="minorEastAsia" w:hAnsiTheme="minorEastAsia" w:eastAsiaTheme="minorEastAsia"/>
          <w:color w:val="auto"/>
          <w:kern w:val="0"/>
          <w:szCs w:val="21"/>
          <w:highlight w:val="none"/>
        </w:rPr>
        <w:t>。</w:t>
      </w:r>
    </w:p>
    <w:p w14:paraId="5B6D4E85">
      <w:pPr>
        <w:pStyle w:val="46"/>
        <w:widowControl/>
        <w:snapToGrid w:val="0"/>
        <w:spacing w:line="36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 xml:space="preserve">  二、</w:t>
      </w:r>
      <w:r>
        <w:rPr>
          <w:rFonts w:asciiTheme="minorEastAsia" w:hAnsiTheme="minorEastAsia" w:eastAsiaTheme="minorEastAsia"/>
          <w:color w:val="auto"/>
          <w:kern w:val="0"/>
          <w:szCs w:val="21"/>
          <w:highlight w:val="none"/>
        </w:rPr>
        <w:t xml:space="preserve">现已清楚知道参加本项目采购活动的其他所有供应商名称，本单位 </w:t>
      </w:r>
      <w:r>
        <w:rPr>
          <w:rFonts w:cs="宋体" w:asciiTheme="minorEastAsia" w:hAnsiTheme="minorEastAsia" w:eastAsiaTheme="minorEastAsia"/>
          <w:color w:val="auto"/>
          <w:kern w:val="0"/>
          <w:szCs w:val="21"/>
          <w:highlight w:val="none"/>
        </w:rPr>
        <w:t>□与其他所有供应商之间均</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（供应商名称）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315447B4">
      <w:pPr>
        <w:pStyle w:val="45"/>
        <w:snapToGrid w:val="0"/>
        <w:spacing w:after="156" w:line="36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A.法定代表人或负责人或实际控制人是同一人</w:t>
      </w:r>
    </w:p>
    <w:p w14:paraId="6FB2BA3F">
      <w:pPr>
        <w:pStyle w:val="45"/>
        <w:snapToGrid w:val="0"/>
        <w:spacing w:after="156" w:line="36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B.法定代表人或负责人或实际控制人是夫妻关系</w:t>
      </w:r>
    </w:p>
    <w:p w14:paraId="6716D862">
      <w:pPr>
        <w:pStyle w:val="45"/>
        <w:snapToGrid w:val="0"/>
        <w:spacing w:after="156" w:line="36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C.法定代表人或负责人或实际控制人是直系血亲关系</w:t>
      </w:r>
    </w:p>
    <w:p w14:paraId="7DBADA24">
      <w:pPr>
        <w:pStyle w:val="45"/>
        <w:snapToGrid w:val="0"/>
        <w:spacing w:after="156" w:line="36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D.法定代表人或负责人或实际控制人存在三代以内旁系血亲关系</w:t>
      </w:r>
    </w:p>
    <w:p w14:paraId="3164894A">
      <w:pPr>
        <w:pStyle w:val="45"/>
        <w:snapToGrid w:val="0"/>
        <w:spacing w:after="156" w:line="36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E.法定代表人或负责人或实际控制人存在近姻亲关系</w:t>
      </w:r>
    </w:p>
    <w:p w14:paraId="72FBBC64">
      <w:pPr>
        <w:pStyle w:val="45"/>
        <w:snapToGrid w:val="0"/>
        <w:spacing w:after="156" w:line="36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F.法定代表人或负责人或实际控制人存在股份控制或实际控制关系</w:t>
      </w:r>
    </w:p>
    <w:p w14:paraId="12BA81ED">
      <w:pPr>
        <w:pStyle w:val="45"/>
        <w:snapToGrid w:val="0"/>
        <w:spacing w:after="156" w:line="360" w:lineRule="exact"/>
        <w:ind w:firstLine="210" w:firstLineChars="100"/>
        <w:jc w:val="both"/>
        <w:rPr>
          <w:rFonts w:hint="default" w:asciiTheme="minorEastAsia" w:hAnsiTheme="minorEastAsia" w:eastAsiaTheme="minorEastAsia"/>
          <w:color w:val="auto"/>
          <w:kern w:val="0"/>
          <w:szCs w:val="21"/>
          <w:highlight w:val="none"/>
        </w:rPr>
      </w:pPr>
      <w:bookmarkStart w:id="104" w:name="_Toc20814"/>
      <w:r>
        <w:rPr>
          <w:rFonts w:asciiTheme="minorEastAsia" w:hAnsiTheme="minorEastAsia" w:eastAsiaTheme="minorEastAsia"/>
          <w:color w:val="auto"/>
          <w:kern w:val="0"/>
          <w:szCs w:val="21"/>
          <w:highlight w:val="none"/>
        </w:rPr>
        <w:t>G.存在共同直接或间接投资设立子公司、联营企业和合营企业情况</w:t>
      </w:r>
      <w:bookmarkEnd w:id="104"/>
    </w:p>
    <w:p w14:paraId="710915A7">
      <w:pPr>
        <w:pStyle w:val="45"/>
        <w:snapToGrid w:val="0"/>
        <w:spacing w:after="156" w:line="360" w:lineRule="exact"/>
        <w:jc w:val="both"/>
        <w:rPr>
          <w:rFonts w:hint="default"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 xml:space="preserve">  H.存在分级代理或代销关系、同一生产制造商关系、</w:t>
      </w:r>
      <w:r>
        <w:rPr>
          <w:rFonts w:asciiTheme="minorEastAsia" w:hAnsiTheme="minorEastAsia" w:eastAsiaTheme="minorEastAsia"/>
          <w:color w:val="auto"/>
          <w:szCs w:val="21"/>
          <w:highlight w:val="none"/>
        </w:rPr>
        <w:t>管理关系、重要业务（占主营业务收入50%以上）或重要财务往来关系（如融资）等其他实质性控制关系</w:t>
      </w:r>
    </w:p>
    <w:p w14:paraId="243052B2">
      <w:pPr>
        <w:pStyle w:val="45"/>
        <w:snapToGrid w:val="0"/>
        <w:spacing w:after="156" w:line="36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zCs w:val="21"/>
          <w:highlight w:val="none"/>
        </w:rPr>
        <w:t xml:space="preserve">  I</w:t>
      </w:r>
      <w:r>
        <w:rPr>
          <w:rFonts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其他利害关系情况</w:t>
      </w:r>
      <w:r>
        <w:rPr>
          <w:rFonts w:asciiTheme="minorEastAsia" w:hAnsiTheme="minorEastAsia" w:eastAsiaTheme="minorEastAsia"/>
          <w:color w:val="auto"/>
          <w:kern w:val="0"/>
          <w:szCs w:val="21"/>
          <w:highlight w:val="none"/>
        </w:rPr>
        <w:t>。</w:t>
      </w:r>
    </w:p>
    <w:p w14:paraId="03DBBDE0">
      <w:pPr>
        <w:pStyle w:val="46"/>
        <w:widowControl/>
        <w:numPr>
          <w:ilvl w:val="0"/>
          <w:numId w:val="13"/>
        </w:numPr>
        <w:snapToGrid w:val="0"/>
        <w:spacing w:line="36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4F4DC34F">
      <w:pPr>
        <w:pStyle w:val="46"/>
        <w:widowControl/>
        <w:numPr>
          <w:ilvl w:val="0"/>
          <w:numId w:val="13"/>
        </w:numPr>
        <w:snapToGrid w:val="0"/>
        <w:spacing w:line="36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w:t>
      </w:r>
      <w:r>
        <w:rPr>
          <w:rFonts w:asciiTheme="minorEastAsia" w:hAnsiTheme="minorEastAsia" w:eastAsiaTheme="minorEastAsia"/>
          <w:color w:val="auto"/>
          <w:kern w:val="0"/>
          <w:szCs w:val="21"/>
          <w:highlight w:val="none"/>
          <w:u w:val="single"/>
        </w:rPr>
        <w:t xml:space="preserve">           </w:t>
      </w:r>
      <w:r>
        <w:rPr>
          <w:rFonts w:asciiTheme="minorEastAsia" w:hAnsiTheme="minorEastAsia" w:eastAsiaTheme="minorEastAsia"/>
          <w:color w:val="auto"/>
          <w:kern w:val="0"/>
          <w:szCs w:val="21"/>
          <w:highlight w:val="none"/>
        </w:rPr>
        <w:t>供应商之间存在或可能存在上述第二条第项利害关系。</w:t>
      </w:r>
    </w:p>
    <w:p w14:paraId="4A9943E9">
      <w:pPr>
        <w:pStyle w:val="45"/>
        <w:snapToGrid w:val="0"/>
        <w:spacing w:after="156" w:line="360" w:lineRule="exact"/>
        <w:ind w:firstLine="420" w:firstLineChars="200"/>
        <w:jc w:val="both"/>
        <w:rPr>
          <w:rFonts w:hint="default"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p>
    <w:p w14:paraId="355A5081">
      <w:pPr>
        <w:pStyle w:val="45"/>
        <w:snapToGrid w:val="0"/>
        <w:spacing w:after="156" w:line="360" w:lineRule="exact"/>
        <w:ind w:firstLine="420" w:firstLineChars="200"/>
        <w:jc w:val="right"/>
        <w:rPr>
          <w:rFonts w:hint="default"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（供应商代表签字或盖章）                         </w:t>
      </w:r>
    </w:p>
    <w:p w14:paraId="0456C616">
      <w:pPr>
        <w:jc w:val="right"/>
        <w:rPr>
          <w:color w:val="auto"/>
          <w:highlight w:val="none"/>
        </w:rPr>
      </w:pPr>
      <w:r>
        <w:rPr>
          <w:rFonts w:asciiTheme="minorEastAsia" w:hAnsiTheme="minorEastAsia" w:eastAsiaTheme="minorEastAsia"/>
          <w:color w:val="auto"/>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1A44">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905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74E8F">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5D74E8F">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28D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16F6">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A14898">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DA14898">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BD56">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581711">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2581711">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56A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F01E6B">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BF01E6B">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83CF">
    <w:pPr>
      <w:spacing w:line="20" w:lineRule="atLeast"/>
      <w:ind w:left="1980" w:hanging="1620" w:hangingChars="900"/>
      <w:jc w:val="right"/>
      <w:rPr>
        <w:rFonts w:hint="eastAsia" w:ascii="宋体" w:hAnsi="宋体" w:eastAsia="宋体" w:cs="宋体"/>
        <w:sz w:val="18"/>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39C9">
    <w:pPr>
      <w:spacing w:line="20" w:lineRule="atLeast"/>
    </w:pPr>
    <w:r>
      <w:rPr>
        <w:rFonts w:hint="eastAsia"/>
        <w:b/>
        <w:color w:val="000000" w:themeColor="text1"/>
        <w:kern w:val="0"/>
        <w:sz w:val="18"/>
        <w:u w:val="single"/>
        <w14:textFill>
          <w14:solidFill>
            <w14:schemeClr w14:val="tx1"/>
          </w14:solidFill>
        </w14:textFill>
      </w:rPr>
      <w:t xml:space="preserve">椒江区政府采购竞争性磋商文件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996D">
    <w:pPr>
      <w:pStyle w:val="17"/>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EC6F">
    <w:pPr>
      <w:spacing w:line="20" w:lineRule="atLeast"/>
    </w:pPr>
    <w:r>
      <w:rPr>
        <w:rFonts w:hint="eastAsia"/>
        <w:b/>
        <w:color w:val="000000" w:themeColor="text1"/>
        <w:kern w:val="0"/>
        <w:sz w:val="18"/>
        <w:u w:val="single"/>
        <w14:textFill>
          <w14:solidFill>
            <w14:schemeClr w14:val="tx1"/>
          </w14:solidFill>
        </w14:textFill>
      </w:rPr>
      <w:t xml:space="preserve">椒江区政府采购竞争性磋商文件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lang w:val="en-US" w:eastAsia="zh-CN"/>
        <w14:textFill>
          <w14:solidFill>
            <w14:schemeClr w14:val="tx1"/>
          </w14:solidFill>
        </w14:textFill>
      </w:rPr>
      <w:t xml:space="preserve"> </w:t>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8228">
    <w:pPr>
      <w:spacing w:line="20" w:lineRule="atLeast"/>
    </w:pPr>
    <w:r>
      <w:rPr>
        <w:rFonts w:hint="eastAsia"/>
        <w:b/>
        <w:color w:val="000000" w:themeColor="text1"/>
        <w:kern w:val="0"/>
        <w:sz w:val="18"/>
        <w:u w:val="single"/>
        <w14:textFill>
          <w14:solidFill>
            <w14:schemeClr w14:val="tx1"/>
          </w14:solidFill>
        </w14:textFill>
      </w:rPr>
      <w:t xml:space="preserve">椒江区政府采购竞争性磋商文件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64</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14:paraId="6D0E789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3C44B"/>
    <w:multiLevelType w:val="singleLevel"/>
    <w:tmpl w:val="9123C44B"/>
    <w:lvl w:ilvl="0" w:tentative="0">
      <w:start w:val="1"/>
      <w:numFmt w:val="decimal"/>
      <w:suff w:val="nothing"/>
      <w:lvlText w:val="（%1）"/>
      <w:lvlJc w:val="left"/>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02A4FA7F"/>
    <w:multiLevelType w:val="singleLevel"/>
    <w:tmpl w:val="02A4FA7F"/>
    <w:lvl w:ilvl="0" w:tentative="0">
      <w:start w:val="1"/>
      <w:numFmt w:val="decimal"/>
      <w:pStyle w:val="6"/>
      <w:lvlText w:val="%1."/>
      <w:lvlJc w:val="left"/>
      <w:pPr>
        <w:tabs>
          <w:tab w:val="left" w:pos="360"/>
        </w:tabs>
        <w:ind w:left="360" w:hanging="360"/>
      </w:pPr>
    </w:lvl>
  </w:abstractNum>
  <w:abstractNum w:abstractNumId="3">
    <w:nsid w:val="10513862"/>
    <w:multiLevelType w:val="singleLevel"/>
    <w:tmpl w:val="10513862"/>
    <w:lvl w:ilvl="0" w:tentative="0">
      <w:start w:val="1"/>
      <w:numFmt w:val="chineseCounting"/>
      <w:suff w:val="nothing"/>
      <w:lvlText w:val="%1、"/>
      <w:lvlJc w:val="left"/>
      <w:rPr>
        <w:rFonts w:hint="eastAsia"/>
      </w:rPr>
    </w:lvl>
  </w:abstractNum>
  <w:abstractNum w:abstractNumId="4">
    <w:nsid w:val="2D602DAC"/>
    <w:multiLevelType w:val="singleLevel"/>
    <w:tmpl w:val="2D602DAC"/>
    <w:lvl w:ilvl="0" w:tentative="0">
      <w:start w:val="1"/>
      <w:numFmt w:val="decimal"/>
      <w:lvlText w:val="%1."/>
      <w:lvlJc w:val="left"/>
      <w:pPr>
        <w:tabs>
          <w:tab w:val="left" w:pos="312"/>
        </w:tabs>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969F691"/>
    <w:multiLevelType w:val="singleLevel"/>
    <w:tmpl w:val="4969F691"/>
    <w:lvl w:ilvl="0" w:tentative="0">
      <w:start w:val="2"/>
      <w:numFmt w:val="decimal"/>
      <w:suff w:val="nothing"/>
      <w:lvlText w:val="（%1）"/>
      <w:lvlJc w:val="left"/>
    </w:lvl>
  </w:abstractNum>
  <w:abstractNum w:abstractNumId="7">
    <w:nsid w:val="4DD96DB5"/>
    <w:multiLevelType w:val="singleLevel"/>
    <w:tmpl w:val="4DD96DB5"/>
    <w:lvl w:ilvl="0" w:tentative="0">
      <w:start w:val="2"/>
      <w:numFmt w:val="chineseCounting"/>
      <w:suff w:val="nothing"/>
      <w:lvlText w:val="%1、"/>
      <w:lvlJc w:val="left"/>
      <w:rPr>
        <w:rFonts w:hint="eastAsia"/>
      </w:rPr>
    </w:lvl>
  </w:abstractNum>
  <w:abstractNum w:abstractNumId="8">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D16336F"/>
    <w:multiLevelType w:val="singleLevel"/>
    <w:tmpl w:val="7D16336F"/>
    <w:lvl w:ilvl="0" w:tentative="0">
      <w:start w:val="1"/>
      <w:numFmt w:val="decimal"/>
      <w:suff w:val="nothing"/>
      <w:lvlText w:val="（%1）"/>
      <w:lvlJc w:val="left"/>
    </w:lvl>
  </w:abstractNum>
  <w:num w:numId="1">
    <w:abstractNumId w:val="2"/>
  </w:num>
  <w:num w:numId="2">
    <w:abstractNumId w:val="11"/>
  </w:num>
  <w:num w:numId="3">
    <w:abstractNumId w:val="5"/>
  </w:num>
  <w:num w:numId="4">
    <w:abstractNumId w:val="3"/>
  </w:num>
  <w:num w:numId="5">
    <w:abstractNumId w:val="0"/>
  </w:num>
  <w:num w:numId="6">
    <w:abstractNumId w:val="8"/>
  </w:num>
  <w:num w:numId="7">
    <w:abstractNumId w:val="6"/>
  </w:num>
  <w:num w:numId="8">
    <w:abstractNumId w:val="7"/>
  </w:num>
  <w:num w:numId="9">
    <w:abstractNumId w:val="4"/>
  </w:num>
  <w:num w:numId="10">
    <w:abstractNumId w:val="1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2Q4YzE1OWY4NzA1YzYzNzlkYzNlYWVjYTkyM2IifQ=="/>
  </w:docVars>
  <w:rsids>
    <w:rsidRoot w:val="39B260A8"/>
    <w:rsid w:val="00EB50B3"/>
    <w:rsid w:val="037F2DC1"/>
    <w:rsid w:val="060D7B42"/>
    <w:rsid w:val="079C0106"/>
    <w:rsid w:val="095C5E93"/>
    <w:rsid w:val="0DA53E2B"/>
    <w:rsid w:val="120945EA"/>
    <w:rsid w:val="149739F7"/>
    <w:rsid w:val="1539200A"/>
    <w:rsid w:val="17B65676"/>
    <w:rsid w:val="190F0738"/>
    <w:rsid w:val="1A8C0A02"/>
    <w:rsid w:val="1BFA6248"/>
    <w:rsid w:val="1C4041D8"/>
    <w:rsid w:val="1D181B85"/>
    <w:rsid w:val="1EEE7042"/>
    <w:rsid w:val="22C628B1"/>
    <w:rsid w:val="2D2F2CFF"/>
    <w:rsid w:val="2ECE02F6"/>
    <w:rsid w:val="2F546A4D"/>
    <w:rsid w:val="30924D2D"/>
    <w:rsid w:val="32D84DBF"/>
    <w:rsid w:val="33613E2E"/>
    <w:rsid w:val="33BA1C49"/>
    <w:rsid w:val="344551C5"/>
    <w:rsid w:val="34682657"/>
    <w:rsid w:val="34CD781B"/>
    <w:rsid w:val="367E2601"/>
    <w:rsid w:val="36AA33F6"/>
    <w:rsid w:val="37ED3055"/>
    <w:rsid w:val="39B260A8"/>
    <w:rsid w:val="3AB468CB"/>
    <w:rsid w:val="3E35213F"/>
    <w:rsid w:val="453C05A1"/>
    <w:rsid w:val="453E2EF6"/>
    <w:rsid w:val="4AB627BF"/>
    <w:rsid w:val="4B9761E7"/>
    <w:rsid w:val="4BBC0F1E"/>
    <w:rsid w:val="4D7560B4"/>
    <w:rsid w:val="4F820AE6"/>
    <w:rsid w:val="5354676C"/>
    <w:rsid w:val="57C51C3F"/>
    <w:rsid w:val="58961E66"/>
    <w:rsid w:val="59944DBA"/>
    <w:rsid w:val="59B819A6"/>
    <w:rsid w:val="5BD51504"/>
    <w:rsid w:val="62C90F25"/>
    <w:rsid w:val="6C2C6080"/>
    <w:rsid w:val="6CF745D3"/>
    <w:rsid w:val="6D8F4B19"/>
    <w:rsid w:val="710B6BAC"/>
    <w:rsid w:val="71860CF3"/>
    <w:rsid w:val="73CA68AB"/>
    <w:rsid w:val="755A71C5"/>
    <w:rsid w:val="78207576"/>
    <w:rsid w:val="78947A57"/>
    <w:rsid w:val="7CDE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link w:val="52"/>
    <w:qFormat/>
    <w:uiPriority w:val="0"/>
    <w:pPr>
      <w:keepNext/>
      <w:keepLines/>
      <w:spacing w:before="260" w:after="260" w:line="416" w:lineRule="auto"/>
      <w:outlineLvl w:val="2"/>
    </w:pPr>
    <w:rPr>
      <w:rFonts w:ascii="Calibri" w:hAnsi="Calibri"/>
      <w:b/>
      <w:bCs/>
      <w:sz w:val="32"/>
      <w:szCs w:val="32"/>
    </w:rPr>
  </w:style>
  <w:style w:type="paragraph" w:styleId="4">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autoRedefine/>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99"/>
    <w:pPr>
      <w:jc w:val="left"/>
    </w:pPr>
  </w:style>
  <w:style w:type="paragraph" w:styleId="9">
    <w:name w:val="Body Text"/>
    <w:basedOn w:val="1"/>
    <w:next w:val="10"/>
    <w:autoRedefine/>
    <w:qFormat/>
    <w:uiPriority w:val="0"/>
    <w:pPr>
      <w:spacing w:line="360" w:lineRule="exact"/>
    </w:pPr>
    <w:rPr>
      <w:sz w:val="24"/>
    </w:rPr>
  </w:style>
  <w:style w:type="paragraph" w:styleId="10">
    <w:name w:val="Body Text First Indent"/>
    <w:basedOn w:val="9"/>
    <w:next w:val="11"/>
    <w:autoRedefine/>
    <w:qFormat/>
    <w:uiPriority w:val="99"/>
    <w:pPr>
      <w:ind w:firstLine="200" w:firstLineChars="200"/>
    </w:pPr>
  </w:style>
  <w:style w:type="paragraph" w:styleId="11">
    <w:name w:val="toc 6"/>
    <w:basedOn w:val="1"/>
    <w:next w:val="1"/>
    <w:qFormat/>
    <w:uiPriority w:val="39"/>
    <w:pPr>
      <w:widowControl/>
      <w:ind w:left="1000"/>
      <w:jc w:val="left"/>
    </w:pPr>
    <w:rPr>
      <w:kern w:val="0"/>
      <w:sz w:val="18"/>
      <w:szCs w:val="20"/>
    </w:rPr>
  </w:style>
  <w:style w:type="paragraph" w:styleId="12">
    <w:name w:val="Body Text Indent"/>
    <w:basedOn w:val="1"/>
    <w:next w:val="1"/>
    <w:autoRedefine/>
    <w:qFormat/>
    <w:uiPriority w:val="0"/>
    <w:pPr>
      <w:spacing w:after="120"/>
      <w:ind w:left="420" w:leftChars="200"/>
    </w:pPr>
  </w:style>
  <w:style w:type="paragraph" w:styleId="13">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Plain Text"/>
    <w:basedOn w:val="1"/>
    <w:autoRedefine/>
    <w:qFormat/>
    <w:uiPriority w:val="0"/>
    <w:rPr>
      <w:rFonts w:ascii="宋体" w:hAnsi="Courier New" w:cstheme="minorBidi"/>
    </w:rPr>
  </w:style>
  <w:style w:type="paragraph" w:styleId="15">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next w:val="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Quote1"/>
    <w:next w:val="1"/>
    <w:autoRedefine/>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19">
    <w:name w:val="toc 1"/>
    <w:basedOn w:val="1"/>
    <w:next w:val="1"/>
    <w:autoRedefine/>
    <w:qFormat/>
    <w:uiPriority w:val="39"/>
  </w:style>
  <w:style w:type="paragraph" w:styleId="20">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textAlignment w:val="baseline"/>
      <w:outlineLvl w:val="0"/>
    </w:pPr>
    <w:rPr>
      <w:b/>
      <w:kern w:val="0"/>
      <w:sz w:val="32"/>
      <w:szCs w:val="20"/>
    </w:rPr>
  </w:style>
  <w:style w:type="paragraph" w:styleId="22">
    <w:name w:val="Body Text First Indent 2"/>
    <w:basedOn w:val="12"/>
    <w:next w:val="1"/>
    <w:autoRedefine/>
    <w:qFormat/>
    <w:uiPriority w:val="0"/>
    <w:pPr>
      <w:ind w:firstLine="420"/>
    </w:pPr>
  </w:style>
  <w:style w:type="table" w:styleId="24">
    <w:name w:val="Table Grid"/>
    <w:basedOn w:val="2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99"/>
    <w:rPr>
      <w:b/>
    </w:rPr>
  </w:style>
  <w:style w:type="character" w:styleId="27">
    <w:name w:val="Hyperlink"/>
    <w:autoRedefine/>
    <w:qFormat/>
    <w:uiPriority w:val="99"/>
    <w:rPr>
      <w:color w:val="0000FF"/>
      <w:u w:val="single"/>
    </w:rPr>
  </w:style>
  <w:style w:type="paragraph" w:customStyle="1" w:styleId="2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签发人"/>
    <w:basedOn w:val="1"/>
    <w:autoRedefine/>
    <w:qFormat/>
    <w:uiPriority w:val="0"/>
    <w:rPr>
      <w:rFonts w:eastAsia="楷体"/>
      <w:sz w:val="32"/>
    </w:rPr>
  </w:style>
  <w:style w:type="paragraph" w:styleId="30">
    <w:name w:val="List Paragraph"/>
    <w:basedOn w:val="1"/>
    <w:autoRedefine/>
    <w:qFormat/>
    <w:uiPriority w:val="34"/>
    <w:pPr>
      <w:ind w:firstLine="420" w:firstLineChars="200"/>
    </w:pPr>
    <w:rPr>
      <w:rFonts w:ascii="Calibri" w:hAnsi="Calibri"/>
      <w:szCs w:val="22"/>
    </w:rPr>
  </w:style>
  <w:style w:type="paragraph" w:customStyle="1" w:styleId="31">
    <w:name w:val="列出段落2"/>
    <w:basedOn w:val="1"/>
    <w:autoRedefine/>
    <w:qFormat/>
    <w:uiPriority w:val="0"/>
    <w:pPr>
      <w:ind w:firstLine="420" w:firstLineChars="200"/>
    </w:pPr>
    <w:rPr>
      <w:rFonts w:ascii="Calibri" w:hAnsi="Calibri" w:eastAsia="楷体_GB2312"/>
      <w:szCs w:val="22"/>
    </w:rPr>
  </w:style>
  <w:style w:type="paragraph" w:customStyle="1" w:styleId="3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3">
    <w:name w:val="4、正文"/>
    <w:basedOn w:val="1"/>
    <w:autoRedefine/>
    <w:qFormat/>
    <w:uiPriority w:val="99"/>
    <w:pPr>
      <w:ind w:firstLine="200" w:firstLineChars="200"/>
    </w:pPr>
    <w:rPr>
      <w:rFonts w:ascii="宋体"/>
      <w:sz w:val="24"/>
      <w:szCs w:val="28"/>
    </w:rPr>
  </w:style>
  <w:style w:type="paragraph" w:customStyle="1" w:styleId="34">
    <w:name w:val="Table Paragraph"/>
    <w:basedOn w:val="1"/>
    <w:autoRedefine/>
    <w:qFormat/>
    <w:uiPriority w:val="1"/>
    <w:rPr>
      <w:rFonts w:ascii="宋体" w:hAnsi="宋体" w:cs="宋体"/>
    </w:rPr>
  </w:style>
  <w:style w:type="character" w:customStyle="1" w:styleId="35">
    <w:name w:val="标题 4 Char Char Char Char"/>
    <w:autoRedefine/>
    <w:qFormat/>
    <w:uiPriority w:val="0"/>
    <w:rPr>
      <w:rFonts w:eastAsia="楷体_GB2312"/>
      <w:b/>
      <w:snapToGrid w:val="0"/>
      <w:sz w:val="24"/>
      <w:lang w:val="en-US" w:eastAsia="zh-CN" w:bidi="ar-SA"/>
    </w:rPr>
  </w:style>
  <w:style w:type="paragraph" w:customStyle="1" w:styleId="36">
    <w:name w:val="WW-正文缩进"/>
    <w:basedOn w:val="1"/>
    <w:autoRedefine/>
    <w:qFormat/>
    <w:uiPriority w:val="0"/>
    <w:pPr>
      <w:suppressAutoHyphens/>
      <w:autoSpaceDE w:val="0"/>
      <w:ind w:firstLine="488"/>
      <w:textAlignment w:val="baseline"/>
    </w:pPr>
    <w:rPr>
      <w:kern w:val="0"/>
      <w:sz w:val="24"/>
      <w:szCs w:val="20"/>
    </w:rPr>
  </w:style>
  <w:style w:type="paragraph" w:customStyle="1" w:styleId="37">
    <w:name w:val="A正文"/>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ok"/>
    <w:basedOn w:val="1"/>
    <w:autoRedefine/>
    <w:qFormat/>
    <w:uiPriority w:val="0"/>
    <w:pPr>
      <w:widowControl/>
      <w:spacing w:line="360" w:lineRule="auto"/>
      <w:ind w:firstLine="200" w:firstLineChars="200"/>
      <w:jc w:val="left"/>
    </w:pPr>
    <w:rPr>
      <w:rFonts w:hint="eastAsia" w:ascii="宋体"/>
      <w:kern w:val="0"/>
      <w:sz w:val="24"/>
      <w:szCs w:val="20"/>
    </w:rPr>
  </w:style>
  <w:style w:type="paragraph" w:customStyle="1" w:styleId="4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Normal]"/>
    <w:autoRedefine/>
    <w:qFormat/>
    <w:uiPriority w:val="0"/>
    <w:rPr>
      <w:rFonts w:ascii="宋体" w:hAnsi="宋体" w:eastAsia="宋体" w:cs="Times New Roman"/>
      <w:sz w:val="24"/>
      <w:szCs w:val="22"/>
      <w:lang w:val="zh-CN" w:eastAsia="zh-CN" w:bidi="ar-SA"/>
    </w:rPr>
  </w:style>
  <w:style w:type="paragraph" w:customStyle="1" w:styleId="4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标题 4_0_0"/>
    <w:basedOn w:val="48"/>
    <w:next w:val="50"/>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5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首行缩进2字符"/>
    <w:basedOn w:val="1"/>
    <w:qFormat/>
    <w:uiPriority w:val="0"/>
    <w:pPr>
      <w:widowControl/>
      <w:adjustRightInd w:val="0"/>
    </w:pPr>
  </w:style>
  <w:style w:type="character" w:customStyle="1" w:styleId="52">
    <w:name w:val="标题 3 Char"/>
    <w:basedOn w:val="25"/>
    <w:link w:val="3"/>
    <w:qFormat/>
    <w:uiPriority w:val="0"/>
    <w:rPr>
      <w:rFonts w:ascii="Calibri" w:hAnsi="Calibri"/>
      <w:b/>
      <w:bCs/>
      <w:sz w:val="32"/>
      <w:szCs w:val="32"/>
    </w:rPr>
  </w:style>
  <w:style w:type="paragraph" w:customStyle="1" w:styleId="53">
    <w:name w:val="目录 21"/>
    <w:basedOn w:val="1"/>
    <w:next w:val="1"/>
    <w:qFormat/>
    <w:uiPriority w:val="0"/>
    <w:pPr>
      <w:spacing w:line="360" w:lineRule="auto"/>
      <w:ind w:left="210" w:leftChars="100" w:firstLine="472" w:firstLineChars="196"/>
      <w:jc w:val="left"/>
    </w:pPr>
    <w:rPr>
      <w:rFonts w:ascii="楷体_GB2312" w:hAnsi="楷体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19178</Words>
  <Characters>19667</Characters>
  <Lines>0</Lines>
  <Paragraphs>0</Paragraphs>
  <TotalTime>6</TotalTime>
  <ScaleCrop>false</ScaleCrop>
  <LinksUpToDate>false</LinksUpToDate>
  <CharactersWithSpaces>19804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2024-01-11T01:19:00Z</dcterms:created>
  <dc:creator>浪子</dc:creator>
  <cp:lastModifiedBy>大白大白～</cp:lastModifiedBy>
  <dcterms:modified xsi:type="dcterms:W3CDTF">2024-12-17T08:18:11Z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41C53DE6E366498EA2C94993CBD71412_13</vt:lpwstr>
  </property>
</Properties>
</file>