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9C63AC">
      <w:pPr>
        <w:autoSpaceDE w:val="0"/>
        <w:autoSpaceDN w:val="0"/>
        <w:spacing w:line="500" w:lineRule="atLeast"/>
        <w:jc w:val="center"/>
        <w:textAlignment w:val="bottom"/>
        <w:rPr>
          <w:rFonts w:ascii="宋体" w:hAnsi="宋体" w:cs="宋体"/>
          <w:b/>
          <w:bCs/>
          <w:color w:val="auto"/>
          <w:spacing w:val="120"/>
          <w:sz w:val="72"/>
          <w:szCs w:val="72"/>
          <w:highlight w:val="none"/>
        </w:rPr>
      </w:pPr>
    </w:p>
    <w:p w14:paraId="025FE7FD">
      <w:pPr>
        <w:autoSpaceDE w:val="0"/>
        <w:autoSpaceDN w:val="0"/>
        <w:spacing w:line="500" w:lineRule="atLeast"/>
        <w:jc w:val="distribute"/>
        <w:textAlignment w:val="bottom"/>
        <w:rPr>
          <w:rFonts w:ascii="宋体" w:hAnsi="宋体" w:cs="宋体"/>
          <w:b/>
          <w:bCs/>
          <w:color w:val="auto"/>
          <w:sz w:val="72"/>
          <w:szCs w:val="72"/>
          <w:highlight w:val="none"/>
        </w:rPr>
      </w:pPr>
      <w:r>
        <w:rPr>
          <w:rFonts w:hint="eastAsia" w:ascii="宋体" w:hAnsi="宋体" w:cs="宋体"/>
          <w:b/>
          <w:bCs/>
          <w:color w:val="auto"/>
          <w:sz w:val="72"/>
          <w:szCs w:val="72"/>
          <w:highlight w:val="none"/>
        </w:rPr>
        <w:t>温州市政府采购</w:t>
      </w:r>
    </w:p>
    <w:p w14:paraId="185903BC">
      <w:pPr>
        <w:spacing w:line="400" w:lineRule="atLeast"/>
        <w:rPr>
          <w:rFonts w:ascii="宋体" w:hAnsi="宋体" w:cs="宋体"/>
          <w:b/>
          <w:color w:val="auto"/>
          <w:sz w:val="52"/>
          <w:highlight w:val="none"/>
        </w:rPr>
      </w:pPr>
    </w:p>
    <w:p w14:paraId="30E884AE">
      <w:pPr>
        <w:spacing w:line="400" w:lineRule="atLeast"/>
        <w:jc w:val="center"/>
        <w:rPr>
          <w:rFonts w:ascii="宋体" w:hAnsi="宋体" w:cs="宋体"/>
          <w:b/>
          <w:color w:val="auto"/>
          <w:sz w:val="52"/>
          <w:highlight w:val="none"/>
        </w:rPr>
      </w:pPr>
      <w:bookmarkStart w:id="226" w:name="_GoBack"/>
      <w:bookmarkEnd w:id="226"/>
    </w:p>
    <w:p w14:paraId="7EBEF4E7">
      <w:pPr>
        <w:spacing w:line="400" w:lineRule="atLeast"/>
        <w:jc w:val="center"/>
        <w:rPr>
          <w:rFonts w:ascii="宋体" w:hAnsi="宋体" w:cs="宋体"/>
          <w:b/>
          <w:color w:val="auto"/>
          <w:sz w:val="52"/>
          <w:highlight w:val="none"/>
        </w:rPr>
      </w:pPr>
    </w:p>
    <w:p w14:paraId="3AD15BE1">
      <w:pPr>
        <w:spacing w:line="400" w:lineRule="atLeast"/>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竞争性磋商文件</w:t>
      </w:r>
    </w:p>
    <w:p w14:paraId="6D19908B">
      <w:pPr>
        <w:spacing w:line="400" w:lineRule="atLeast"/>
        <w:jc w:val="center"/>
        <w:rPr>
          <w:rFonts w:ascii="宋体" w:hAnsi="宋体" w:cs="宋体"/>
          <w:b/>
          <w:color w:val="auto"/>
          <w:sz w:val="32"/>
          <w:highlight w:val="none"/>
        </w:rPr>
      </w:pPr>
    </w:p>
    <w:p w14:paraId="7674784F">
      <w:pPr>
        <w:spacing w:line="400" w:lineRule="exact"/>
        <w:jc w:val="center"/>
        <w:rPr>
          <w:rFonts w:ascii="宋体" w:hAnsi="宋体" w:cs="宋体"/>
          <w:b/>
          <w:bCs/>
          <w:color w:val="auto"/>
          <w:sz w:val="32"/>
          <w:szCs w:val="32"/>
          <w:highlight w:val="none"/>
        </w:rPr>
      </w:pPr>
    </w:p>
    <w:p w14:paraId="4B026AFE">
      <w:pPr>
        <w:tabs>
          <w:tab w:val="left" w:pos="2850"/>
        </w:tabs>
        <w:rPr>
          <w:rFonts w:ascii="宋体" w:hAnsi="宋体" w:cs="宋体"/>
          <w:b/>
          <w:bCs/>
          <w:color w:val="auto"/>
          <w:sz w:val="24"/>
          <w:highlight w:val="none"/>
        </w:rPr>
      </w:pPr>
      <w:r>
        <w:rPr>
          <w:rFonts w:hint="eastAsia" w:ascii="宋体" w:hAnsi="宋体" w:cs="宋体"/>
          <w:b/>
          <w:bCs/>
          <w:color w:val="auto"/>
          <w:sz w:val="24"/>
          <w:highlight w:val="none"/>
        </w:rPr>
        <w:tab/>
      </w:r>
    </w:p>
    <w:p w14:paraId="3959C764">
      <w:pPr>
        <w:jc w:val="center"/>
        <w:rPr>
          <w:rFonts w:ascii="宋体" w:hAnsi="宋体" w:cs="宋体"/>
          <w:b/>
          <w:bCs/>
          <w:color w:val="auto"/>
          <w:sz w:val="24"/>
          <w:highlight w:val="none"/>
        </w:rPr>
      </w:pPr>
    </w:p>
    <w:p w14:paraId="5ABEEBF6">
      <w:pPr>
        <w:jc w:val="center"/>
        <w:rPr>
          <w:rFonts w:ascii="宋体" w:hAnsi="宋体" w:cs="宋体"/>
          <w:b/>
          <w:bCs/>
          <w:color w:val="auto"/>
          <w:sz w:val="24"/>
          <w:highlight w:val="none"/>
        </w:rPr>
      </w:pPr>
    </w:p>
    <w:p w14:paraId="055DFDF9">
      <w:pPr>
        <w:jc w:val="center"/>
        <w:rPr>
          <w:rFonts w:ascii="宋体" w:hAnsi="宋体" w:cs="宋体"/>
          <w:b/>
          <w:bCs/>
          <w:color w:val="auto"/>
          <w:sz w:val="24"/>
          <w:highlight w:val="none"/>
        </w:rPr>
      </w:pPr>
    </w:p>
    <w:p w14:paraId="375297D2">
      <w:pPr>
        <w:tabs>
          <w:tab w:val="left" w:pos="4860"/>
        </w:tabs>
        <w:spacing w:line="600" w:lineRule="exact"/>
        <w:ind w:left="0" w:leftChars="0" w:right="1143" w:firstLine="1262" w:firstLineChars="331"/>
        <w:jc w:val="left"/>
        <w:rPr>
          <w:rFonts w:hint="eastAsia" w:ascii="宋体" w:hAnsi="宋体" w:eastAsia="宋体" w:cs="宋体"/>
          <w:b/>
          <w:color w:val="auto"/>
          <w:sz w:val="30"/>
          <w:szCs w:val="30"/>
          <w:highlight w:val="none"/>
          <w:lang w:eastAsia="zh-CN"/>
        </w:rPr>
      </w:pPr>
      <w:r>
        <w:rPr>
          <w:rFonts w:hint="eastAsia" w:ascii="宋体" w:hAnsi="宋体" w:cs="宋体"/>
          <w:b/>
          <w:color w:val="auto"/>
          <w:spacing w:val="40"/>
          <w:sz w:val="30"/>
          <w:szCs w:val="30"/>
          <w:highlight w:val="none"/>
        </w:rPr>
        <w:t>采购编号</w:t>
      </w:r>
      <w:r>
        <w:rPr>
          <w:rFonts w:hint="eastAsia" w:ascii="宋体" w:hAnsi="宋体" w:cs="宋体"/>
          <w:b/>
          <w:color w:val="auto"/>
          <w:sz w:val="30"/>
          <w:szCs w:val="30"/>
          <w:highlight w:val="none"/>
        </w:rPr>
        <w:t>：</w:t>
      </w:r>
      <w:r>
        <w:rPr>
          <w:rFonts w:hint="eastAsia" w:ascii="宋体" w:hAnsi="宋体" w:cs="宋体"/>
          <w:b/>
          <w:color w:val="auto"/>
          <w:sz w:val="30"/>
          <w:szCs w:val="30"/>
          <w:highlight w:val="none"/>
          <w:lang w:eastAsia="zh-CN"/>
        </w:rPr>
        <w:t>HCZX-H2024019</w:t>
      </w:r>
    </w:p>
    <w:p w14:paraId="6A7C9377">
      <w:pPr>
        <w:tabs>
          <w:tab w:val="left" w:pos="4253"/>
        </w:tabs>
        <w:spacing w:line="600" w:lineRule="exact"/>
        <w:ind w:left="3162" w:leftChars="600" w:right="-1" w:hanging="1902" w:hangingChars="499"/>
        <w:jc w:val="left"/>
        <w:rPr>
          <w:rFonts w:hint="eastAsia" w:ascii="宋体" w:hAnsi="宋体" w:eastAsia="宋体" w:cs="宋体"/>
          <w:b/>
          <w:color w:val="auto"/>
          <w:sz w:val="30"/>
          <w:szCs w:val="30"/>
          <w:highlight w:val="none"/>
          <w:lang w:eastAsia="zh-CN"/>
        </w:rPr>
      </w:pPr>
      <w:r>
        <w:rPr>
          <w:rFonts w:hint="eastAsia" w:ascii="宋体" w:hAnsi="宋体" w:cs="宋体"/>
          <w:b/>
          <w:color w:val="auto"/>
          <w:spacing w:val="40"/>
          <w:sz w:val="30"/>
          <w:szCs w:val="30"/>
          <w:highlight w:val="none"/>
        </w:rPr>
        <w:t>项目名称</w:t>
      </w:r>
      <w:r>
        <w:rPr>
          <w:rFonts w:hint="eastAsia" w:ascii="宋体" w:hAnsi="宋体" w:cs="宋体"/>
          <w:b/>
          <w:color w:val="auto"/>
          <w:sz w:val="30"/>
          <w:szCs w:val="30"/>
          <w:highlight w:val="none"/>
        </w:rPr>
        <w:t>：</w:t>
      </w:r>
      <w:r>
        <w:rPr>
          <w:rFonts w:hint="eastAsia" w:ascii="宋体" w:hAnsi="宋体" w:cs="宋体"/>
          <w:b/>
          <w:color w:val="auto"/>
          <w:sz w:val="30"/>
          <w:szCs w:val="30"/>
          <w:highlight w:val="none"/>
          <w:lang w:eastAsia="zh-CN"/>
        </w:rPr>
        <w:t>2024年鹿城区松台街道食堂劳务外包服务</w:t>
      </w:r>
    </w:p>
    <w:p w14:paraId="3C3E55A2">
      <w:pPr>
        <w:tabs>
          <w:tab w:val="left" w:pos="4253"/>
        </w:tabs>
        <w:spacing w:line="600" w:lineRule="exact"/>
        <w:ind w:left="0" w:leftChars="0" w:right="1143" w:firstLine="1262" w:firstLineChars="331"/>
        <w:jc w:val="left"/>
        <w:rPr>
          <w:rFonts w:ascii="宋体" w:hAnsi="宋体" w:cs="宋体"/>
          <w:b/>
          <w:color w:val="auto"/>
          <w:spacing w:val="40"/>
          <w:sz w:val="30"/>
          <w:szCs w:val="30"/>
          <w:highlight w:val="none"/>
        </w:rPr>
      </w:pPr>
      <w:r>
        <w:rPr>
          <w:rFonts w:hint="eastAsia" w:ascii="宋体" w:hAnsi="宋体" w:cs="宋体"/>
          <w:b/>
          <w:color w:val="auto"/>
          <w:spacing w:val="40"/>
          <w:sz w:val="30"/>
          <w:szCs w:val="30"/>
          <w:highlight w:val="none"/>
        </w:rPr>
        <w:t>采购方式</w:t>
      </w:r>
      <w:r>
        <w:rPr>
          <w:rFonts w:hint="eastAsia" w:ascii="宋体" w:hAnsi="宋体" w:cs="宋体"/>
          <w:b/>
          <w:color w:val="auto"/>
          <w:sz w:val="30"/>
          <w:szCs w:val="30"/>
          <w:highlight w:val="none"/>
        </w:rPr>
        <w:t>：竞 争 性 磋 商</w:t>
      </w:r>
    </w:p>
    <w:p w14:paraId="7B6FDD41">
      <w:pPr>
        <w:jc w:val="center"/>
        <w:rPr>
          <w:rFonts w:ascii="宋体" w:hAnsi="宋体" w:cs="宋体"/>
          <w:b/>
          <w:bCs/>
          <w:color w:val="auto"/>
          <w:sz w:val="24"/>
          <w:highlight w:val="none"/>
        </w:rPr>
      </w:pPr>
    </w:p>
    <w:p w14:paraId="4F7EC8B7">
      <w:pPr>
        <w:jc w:val="center"/>
        <w:rPr>
          <w:rFonts w:ascii="宋体" w:hAnsi="宋体" w:cs="宋体"/>
          <w:b/>
          <w:bCs/>
          <w:color w:val="auto"/>
          <w:sz w:val="24"/>
          <w:highlight w:val="none"/>
        </w:rPr>
      </w:pPr>
    </w:p>
    <w:p w14:paraId="0497AB0B">
      <w:pPr>
        <w:widowControl/>
        <w:spacing w:before="60" w:after="60" w:line="360" w:lineRule="exact"/>
        <w:ind w:right="60"/>
        <w:jc w:val="left"/>
        <w:rPr>
          <w:rFonts w:ascii="宋体" w:hAnsi="宋体" w:cs="宋体"/>
          <w:b/>
          <w:bCs/>
          <w:color w:val="auto"/>
          <w:sz w:val="24"/>
          <w:highlight w:val="none"/>
        </w:rPr>
      </w:pPr>
    </w:p>
    <w:p w14:paraId="4FA9F8CA">
      <w:pPr>
        <w:jc w:val="center"/>
        <w:rPr>
          <w:rFonts w:ascii="宋体" w:hAnsi="宋体" w:cs="宋体"/>
          <w:b/>
          <w:bCs/>
          <w:color w:val="auto"/>
          <w:sz w:val="24"/>
          <w:highlight w:val="none"/>
        </w:rPr>
      </w:pPr>
    </w:p>
    <w:p w14:paraId="11E25FCA">
      <w:pPr>
        <w:jc w:val="center"/>
        <w:rPr>
          <w:rFonts w:ascii="宋体" w:hAnsi="宋体" w:cs="宋体"/>
          <w:b/>
          <w:bCs/>
          <w:color w:val="auto"/>
          <w:sz w:val="24"/>
          <w:highlight w:val="none"/>
        </w:rPr>
      </w:pPr>
    </w:p>
    <w:p w14:paraId="0412D36E">
      <w:pPr>
        <w:tabs>
          <w:tab w:val="left" w:pos="5640"/>
        </w:tabs>
        <w:jc w:val="center"/>
        <w:rPr>
          <w:rFonts w:ascii="宋体" w:hAnsi="宋体" w:cs="宋体"/>
          <w:b/>
          <w:bCs/>
          <w:color w:val="auto"/>
          <w:sz w:val="24"/>
          <w:highlight w:val="none"/>
        </w:rPr>
      </w:pPr>
    </w:p>
    <w:p w14:paraId="7440A646">
      <w:pPr>
        <w:tabs>
          <w:tab w:val="left" w:pos="5640"/>
        </w:tabs>
        <w:jc w:val="center"/>
        <w:rPr>
          <w:rFonts w:ascii="宋体" w:hAnsi="宋体" w:cs="宋体"/>
          <w:b/>
          <w:bCs/>
          <w:color w:val="auto"/>
          <w:sz w:val="24"/>
          <w:highlight w:val="none"/>
        </w:rPr>
      </w:pPr>
    </w:p>
    <w:p w14:paraId="413D2A51">
      <w:pPr>
        <w:spacing w:line="600" w:lineRule="exact"/>
        <w:ind w:firstLine="1440" w:firstLineChars="478"/>
        <w:rPr>
          <w:rFonts w:hint="eastAsia" w:ascii="宋体" w:hAnsi="宋体" w:eastAsia="宋体" w:cs="宋体"/>
          <w:b/>
          <w:color w:val="auto"/>
          <w:spacing w:val="40"/>
          <w:sz w:val="30"/>
          <w:szCs w:val="30"/>
          <w:highlight w:val="none"/>
          <w:lang w:eastAsia="zh-CN"/>
        </w:rPr>
      </w:pPr>
      <w:r>
        <w:rPr>
          <w:rFonts w:hint="eastAsia" w:ascii="宋体" w:hAnsi="宋体" w:cs="宋体"/>
          <w:b/>
          <w:color w:val="auto"/>
          <w:sz w:val="30"/>
          <w:szCs w:val="30"/>
          <w:highlight w:val="none"/>
        </w:rPr>
        <w:t>采  购  人：</w:t>
      </w:r>
      <w:r>
        <w:rPr>
          <w:rFonts w:hint="eastAsia" w:ascii="宋体" w:hAnsi="宋体" w:cs="宋体"/>
          <w:b/>
          <w:color w:val="auto"/>
          <w:spacing w:val="12"/>
          <w:sz w:val="30"/>
          <w:szCs w:val="30"/>
          <w:highlight w:val="none"/>
          <w:lang w:eastAsia="zh-CN"/>
        </w:rPr>
        <w:t xml:space="preserve">温州市鹿城区人民政府松台街道办事处 </w:t>
      </w:r>
    </w:p>
    <w:p w14:paraId="04AF42AC">
      <w:pPr>
        <w:spacing w:line="600" w:lineRule="exact"/>
        <w:ind w:firstLine="1437" w:firstLineChars="377"/>
        <w:rPr>
          <w:rFonts w:hint="eastAsia" w:ascii="宋体" w:hAnsi="宋体" w:eastAsia="宋体" w:cs="宋体"/>
          <w:b/>
          <w:color w:val="auto"/>
          <w:spacing w:val="12"/>
          <w:sz w:val="30"/>
          <w:szCs w:val="30"/>
          <w:highlight w:val="none"/>
          <w:lang w:eastAsia="zh-CN"/>
        </w:rPr>
      </w:pPr>
      <w:r>
        <w:rPr>
          <w:rFonts w:hint="eastAsia" w:ascii="宋体" w:hAnsi="宋体" w:cs="宋体"/>
          <w:b/>
          <w:color w:val="auto"/>
          <w:spacing w:val="40"/>
          <w:sz w:val="30"/>
          <w:szCs w:val="30"/>
          <w:highlight w:val="none"/>
        </w:rPr>
        <w:t>采购代理</w:t>
      </w:r>
      <w:r>
        <w:rPr>
          <w:rFonts w:hint="eastAsia" w:ascii="宋体" w:hAnsi="宋体" w:cs="宋体"/>
          <w:b/>
          <w:color w:val="auto"/>
          <w:sz w:val="30"/>
          <w:szCs w:val="30"/>
          <w:highlight w:val="none"/>
        </w:rPr>
        <w:t>：</w:t>
      </w:r>
      <w:r>
        <w:rPr>
          <w:rFonts w:hint="eastAsia" w:ascii="宋体" w:hAnsi="宋体" w:cs="宋体"/>
          <w:b/>
          <w:color w:val="auto"/>
          <w:spacing w:val="12"/>
          <w:sz w:val="30"/>
          <w:szCs w:val="30"/>
          <w:highlight w:val="none"/>
          <w:lang w:eastAsia="zh-CN"/>
        </w:rPr>
        <w:t>华诚工程咨询集团有限公司</w:t>
      </w:r>
    </w:p>
    <w:p w14:paraId="02133FB6">
      <w:pPr>
        <w:spacing w:line="600" w:lineRule="exact"/>
        <w:jc w:val="center"/>
        <w:rPr>
          <w:rFonts w:ascii="宋体" w:hAnsi="宋体" w:cs="宋体"/>
          <w:b/>
          <w:color w:val="auto"/>
          <w:spacing w:val="40"/>
          <w:sz w:val="30"/>
          <w:szCs w:val="30"/>
          <w:highlight w:val="none"/>
        </w:rPr>
      </w:pPr>
    </w:p>
    <w:p w14:paraId="4FC18B17">
      <w:pPr>
        <w:spacing w:line="600" w:lineRule="exact"/>
        <w:jc w:val="center"/>
        <w:rPr>
          <w:rFonts w:ascii="宋体" w:hAnsi="宋体" w:cs="宋体"/>
          <w:b/>
          <w:color w:val="auto"/>
          <w:spacing w:val="40"/>
          <w:sz w:val="30"/>
          <w:szCs w:val="30"/>
          <w:highlight w:val="none"/>
        </w:rPr>
      </w:pPr>
      <w:r>
        <w:rPr>
          <w:rFonts w:hint="eastAsia" w:ascii="宋体" w:hAnsi="宋体" w:cs="宋体"/>
          <w:b/>
          <w:color w:val="auto"/>
          <w:spacing w:val="40"/>
          <w:sz w:val="30"/>
          <w:szCs w:val="30"/>
          <w:highlight w:val="none"/>
        </w:rPr>
        <w:t>二〇二</w:t>
      </w:r>
      <w:r>
        <w:rPr>
          <w:rFonts w:hint="eastAsia" w:ascii="宋体" w:hAnsi="宋体" w:cs="宋体"/>
          <w:b/>
          <w:color w:val="auto"/>
          <w:spacing w:val="40"/>
          <w:sz w:val="30"/>
          <w:szCs w:val="30"/>
          <w:highlight w:val="none"/>
          <w:lang w:val="en-US" w:eastAsia="zh-CN"/>
        </w:rPr>
        <w:t>四</w:t>
      </w:r>
      <w:r>
        <w:rPr>
          <w:rFonts w:hint="eastAsia" w:ascii="宋体" w:hAnsi="宋体" w:cs="宋体"/>
          <w:b/>
          <w:color w:val="auto"/>
          <w:spacing w:val="40"/>
          <w:sz w:val="30"/>
          <w:szCs w:val="30"/>
          <w:highlight w:val="none"/>
        </w:rPr>
        <w:t>年</w:t>
      </w:r>
      <w:r>
        <w:rPr>
          <w:rFonts w:hint="eastAsia" w:ascii="宋体" w:hAnsi="宋体" w:cs="宋体"/>
          <w:b/>
          <w:color w:val="auto"/>
          <w:spacing w:val="40"/>
          <w:sz w:val="30"/>
          <w:szCs w:val="30"/>
          <w:highlight w:val="none"/>
          <w:lang w:val="en-US" w:eastAsia="zh-CN"/>
        </w:rPr>
        <w:t>十</w:t>
      </w:r>
      <w:r>
        <w:rPr>
          <w:rFonts w:hint="eastAsia" w:ascii="宋体" w:hAnsi="宋体" w:cs="宋体"/>
          <w:b/>
          <w:color w:val="auto"/>
          <w:spacing w:val="40"/>
          <w:sz w:val="30"/>
          <w:szCs w:val="30"/>
          <w:highlight w:val="none"/>
        </w:rPr>
        <w:t>月</w:t>
      </w:r>
    </w:p>
    <w:p w14:paraId="0EB6A668">
      <w:pPr>
        <w:spacing w:line="600" w:lineRule="exact"/>
        <w:jc w:val="center"/>
        <w:rPr>
          <w:rFonts w:ascii="宋体" w:hAnsi="宋体" w:cs="宋体"/>
          <w:b/>
          <w:bCs/>
          <w:color w:val="auto"/>
          <w:sz w:val="36"/>
          <w:szCs w:val="36"/>
          <w:highlight w:val="none"/>
        </w:rPr>
        <w:sectPr>
          <w:footerReference r:id="rId7" w:type="first"/>
          <w:headerReference r:id="rId3" w:type="default"/>
          <w:footerReference r:id="rId5" w:type="default"/>
          <w:headerReference r:id="rId4" w:type="even"/>
          <w:footerReference r:id="rId6" w:type="even"/>
          <w:pgSz w:w="11906" w:h="16838"/>
          <w:pgMar w:top="1134" w:right="1134" w:bottom="1134" w:left="1134" w:header="851" w:footer="992" w:gutter="0"/>
          <w:pgBorders>
            <w:top w:val="none" w:sz="0" w:space="0"/>
            <w:left w:val="none" w:sz="0" w:space="0"/>
            <w:bottom w:val="none" w:sz="0" w:space="0"/>
            <w:right w:val="none" w:sz="0" w:space="0"/>
          </w:pgBorders>
          <w:cols w:space="720" w:num="1"/>
          <w:titlePg/>
          <w:docGrid w:linePitch="312" w:charSpace="0"/>
        </w:sectPr>
      </w:pPr>
    </w:p>
    <w:p w14:paraId="5BFDA141">
      <w:pPr>
        <w:spacing w:line="600" w:lineRule="exact"/>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    录</w:t>
      </w:r>
    </w:p>
    <w:p w14:paraId="573D5FDE">
      <w:pPr>
        <w:spacing w:line="600" w:lineRule="exact"/>
        <w:jc w:val="center"/>
        <w:rPr>
          <w:rFonts w:ascii="宋体" w:hAnsi="宋体" w:cs="宋体"/>
          <w:b/>
          <w:bCs/>
          <w:color w:val="auto"/>
          <w:sz w:val="32"/>
          <w:szCs w:val="32"/>
          <w:highlight w:val="none"/>
        </w:rPr>
      </w:pPr>
    </w:p>
    <w:p w14:paraId="3EA5436E">
      <w:pPr>
        <w:pStyle w:val="30"/>
        <w:tabs>
          <w:tab w:val="right" w:leader="dot" w:pos="9638"/>
          <w:tab w:val="clear" w:pos="9628"/>
        </w:tabs>
        <w:rPr>
          <w:rFonts w:ascii="宋体" w:hAnsi="宋体" w:eastAsia="宋体" w:cs="宋体"/>
          <w:color w:val="auto"/>
          <w:sz w:val="22"/>
          <w:szCs w:val="22"/>
          <w:highlight w:val="none"/>
        </w:rPr>
      </w:pPr>
      <w:r>
        <w:rPr>
          <w:rFonts w:hint="eastAsia" w:ascii="宋体" w:hAnsi="宋体" w:eastAsia="宋体" w:cs="宋体"/>
          <w:b/>
          <w:bCs w:val="0"/>
          <w:color w:val="auto"/>
          <w:sz w:val="22"/>
          <w:szCs w:val="22"/>
          <w:highlight w:val="none"/>
        </w:rPr>
        <w:fldChar w:fldCharType="begin"/>
      </w:r>
      <w:r>
        <w:rPr>
          <w:rFonts w:hint="eastAsia" w:ascii="宋体" w:hAnsi="宋体" w:eastAsia="宋体" w:cs="宋体"/>
          <w:b/>
          <w:bCs w:val="0"/>
          <w:color w:val="auto"/>
          <w:sz w:val="22"/>
          <w:szCs w:val="22"/>
          <w:highlight w:val="none"/>
        </w:rPr>
        <w:instrText xml:space="preserve"> TOC \o "1-3" \h \z \u </w:instrText>
      </w:r>
      <w:r>
        <w:rPr>
          <w:rFonts w:hint="eastAsia" w:ascii="宋体" w:hAnsi="宋体" w:eastAsia="宋体" w:cs="宋体"/>
          <w:b/>
          <w:bCs w:val="0"/>
          <w:color w:val="auto"/>
          <w:sz w:val="22"/>
          <w:szCs w:val="22"/>
          <w:highlight w:val="none"/>
        </w:rPr>
        <w:fldChar w:fldCharType="separate"/>
      </w:r>
      <w:r>
        <w:rPr>
          <w:color w:val="auto"/>
          <w:highlight w:val="none"/>
        </w:rPr>
        <w:fldChar w:fldCharType="begin"/>
      </w:r>
      <w:r>
        <w:rPr>
          <w:color w:val="auto"/>
          <w:highlight w:val="none"/>
        </w:rPr>
        <w:instrText xml:space="preserve"> HYPERLINK \l "_Toc17034" </w:instrText>
      </w:r>
      <w:r>
        <w:rPr>
          <w:color w:val="auto"/>
          <w:highlight w:val="none"/>
        </w:rPr>
        <w:fldChar w:fldCharType="separate"/>
      </w:r>
      <w:r>
        <w:rPr>
          <w:rFonts w:hint="eastAsia" w:ascii="宋体" w:hAnsi="宋体" w:eastAsia="宋体" w:cs="宋体"/>
          <w:color w:val="auto"/>
          <w:sz w:val="22"/>
          <w:szCs w:val="22"/>
          <w:highlight w:val="none"/>
          <w:lang w:eastAsia="zh-CN"/>
        </w:rPr>
        <w:t>华诚工程咨询集团有限公司</w:t>
      </w:r>
      <w:r>
        <w:rPr>
          <w:rFonts w:hint="eastAsia" w:ascii="宋体" w:hAnsi="宋体" w:eastAsia="宋体" w:cs="宋体"/>
          <w:color w:val="auto"/>
          <w:sz w:val="22"/>
          <w:szCs w:val="22"/>
          <w:highlight w:val="none"/>
        </w:rPr>
        <w:t>关于</w:t>
      </w:r>
      <w:r>
        <w:rPr>
          <w:rFonts w:hint="eastAsia" w:ascii="宋体" w:hAnsi="宋体" w:eastAsia="宋体" w:cs="宋体"/>
          <w:color w:val="auto"/>
          <w:sz w:val="22"/>
          <w:szCs w:val="22"/>
          <w:highlight w:val="none"/>
          <w:lang w:eastAsia="zh-CN"/>
        </w:rPr>
        <w:t>2024年鹿城区松台街道食堂劳务外包服务</w:t>
      </w:r>
      <w:r>
        <w:rPr>
          <w:rFonts w:hint="eastAsia" w:ascii="宋体" w:hAnsi="宋体" w:eastAsia="宋体" w:cs="宋体"/>
          <w:color w:val="auto"/>
          <w:sz w:val="22"/>
          <w:szCs w:val="22"/>
          <w:highlight w:val="none"/>
        </w:rPr>
        <w:t>的竞争性磋商公告</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_Toc17034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13369806">
      <w:pPr>
        <w:pStyle w:val="30"/>
        <w:tabs>
          <w:tab w:val="right" w:leader="dot" w:pos="9638"/>
          <w:tab w:val="clear" w:pos="9628"/>
        </w:tabs>
        <w:rPr>
          <w:rFonts w:ascii="宋体" w:hAnsi="宋体" w:eastAsia="宋体" w:cs="宋体"/>
          <w:color w:val="auto"/>
          <w:sz w:val="22"/>
          <w:szCs w:val="22"/>
          <w:highlight w:val="none"/>
        </w:rPr>
      </w:pPr>
      <w:r>
        <w:rPr>
          <w:color w:val="auto"/>
          <w:highlight w:val="none"/>
        </w:rPr>
        <w:fldChar w:fldCharType="begin"/>
      </w:r>
      <w:r>
        <w:rPr>
          <w:color w:val="auto"/>
          <w:highlight w:val="none"/>
        </w:rPr>
        <w:instrText xml:space="preserve"> HYPERLINK \l "_Toc26377" </w:instrText>
      </w:r>
      <w:r>
        <w:rPr>
          <w:color w:val="auto"/>
          <w:highlight w:val="none"/>
        </w:rPr>
        <w:fldChar w:fldCharType="separate"/>
      </w:r>
      <w:r>
        <w:rPr>
          <w:rFonts w:hint="eastAsia" w:ascii="宋体" w:hAnsi="宋体" w:eastAsia="宋体" w:cs="宋体"/>
          <w:color w:val="auto"/>
          <w:sz w:val="22"/>
          <w:szCs w:val="22"/>
          <w:highlight w:val="none"/>
        </w:rPr>
        <w:t>第一部分    供应商须知</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_Toc26377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71D96132">
      <w:pPr>
        <w:pStyle w:val="30"/>
        <w:tabs>
          <w:tab w:val="right" w:leader="dot" w:pos="9638"/>
          <w:tab w:val="clear" w:pos="9628"/>
        </w:tabs>
        <w:rPr>
          <w:rFonts w:ascii="宋体" w:hAnsi="宋体" w:eastAsia="宋体" w:cs="宋体"/>
          <w:color w:val="auto"/>
          <w:sz w:val="22"/>
          <w:szCs w:val="22"/>
          <w:highlight w:val="none"/>
        </w:rPr>
      </w:pPr>
      <w:r>
        <w:rPr>
          <w:color w:val="auto"/>
          <w:highlight w:val="none"/>
        </w:rPr>
        <w:fldChar w:fldCharType="begin"/>
      </w:r>
      <w:r>
        <w:rPr>
          <w:color w:val="auto"/>
          <w:highlight w:val="none"/>
        </w:rPr>
        <w:instrText xml:space="preserve"> HYPERLINK \l "_Toc18758" </w:instrText>
      </w:r>
      <w:r>
        <w:rPr>
          <w:color w:val="auto"/>
          <w:highlight w:val="none"/>
        </w:rPr>
        <w:fldChar w:fldCharType="separate"/>
      </w:r>
      <w:r>
        <w:rPr>
          <w:rFonts w:hint="eastAsia" w:ascii="宋体" w:hAnsi="宋体" w:eastAsia="宋体" w:cs="宋体"/>
          <w:color w:val="auto"/>
          <w:sz w:val="22"/>
          <w:szCs w:val="22"/>
          <w:highlight w:val="none"/>
        </w:rPr>
        <w:t>一、  供应商须知前附表</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_Toc18758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2A7714A1">
      <w:pPr>
        <w:pStyle w:val="30"/>
        <w:tabs>
          <w:tab w:val="right" w:leader="dot" w:pos="9638"/>
          <w:tab w:val="clear" w:pos="9628"/>
        </w:tabs>
        <w:rPr>
          <w:rFonts w:ascii="宋体" w:hAnsi="宋体" w:eastAsia="宋体" w:cs="宋体"/>
          <w:color w:val="auto"/>
          <w:sz w:val="22"/>
          <w:szCs w:val="22"/>
          <w:highlight w:val="none"/>
        </w:rPr>
      </w:pPr>
      <w:r>
        <w:rPr>
          <w:color w:val="auto"/>
          <w:highlight w:val="none"/>
        </w:rPr>
        <w:fldChar w:fldCharType="begin"/>
      </w:r>
      <w:r>
        <w:rPr>
          <w:color w:val="auto"/>
          <w:highlight w:val="none"/>
        </w:rPr>
        <w:instrText xml:space="preserve"> HYPERLINK \l "_Toc12369" </w:instrText>
      </w:r>
      <w:r>
        <w:rPr>
          <w:color w:val="auto"/>
          <w:highlight w:val="none"/>
        </w:rPr>
        <w:fldChar w:fldCharType="separate"/>
      </w:r>
      <w:r>
        <w:rPr>
          <w:rFonts w:hint="eastAsia" w:ascii="宋体" w:hAnsi="宋体" w:eastAsia="宋体" w:cs="宋体"/>
          <w:color w:val="auto"/>
          <w:sz w:val="22"/>
          <w:szCs w:val="22"/>
          <w:highlight w:val="none"/>
        </w:rPr>
        <w:t>二、说明</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_Toc12369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10</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2242F3A1">
      <w:pPr>
        <w:pStyle w:val="30"/>
        <w:tabs>
          <w:tab w:val="right" w:leader="dot" w:pos="9638"/>
          <w:tab w:val="clear" w:pos="9628"/>
        </w:tabs>
        <w:rPr>
          <w:rFonts w:ascii="宋体" w:hAnsi="宋体" w:eastAsia="宋体" w:cs="宋体"/>
          <w:color w:val="auto"/>
          <w:sz w:val="22"/>
          <w:szCs w:val="22"/>
          <w:highlight w:val="none"/>
        </w:rPr>
      </w:pPr>
      <w:r>
        <w:rPr>
          <w:color w:val="auto"/>
          <w:highlight w:val="none"/>
        </w:rPr>
        <w:fldChar w:fldCharType="begin"/>
      </w:r>
      <w:r>
        <w:rPr>
          <w:color w:val="auto"/>
          <w:highlight w:val="none"/>
        </w:rPr>
        <w:instrText xml:space="preserve"> HYPERLINK \l "_Toc6942" </w:instrText>
      </w:r>
      <w:r>
        <w:rPr>
          <w:color w:val="auto"/>
          <w:highlight w:val="none"/>
        </w:rPr>
        <w:fldChar w:fldCharType="separate"/>
      </w:r>
      <w:r>
        <w:rPr>
          <w:rFonts w:hint="eastAsia" w:ascii="宋体" w:hAnsi="宋体" w:eastAsia="宋体" w:cs="宋体"/>
          <w:color w:val="auto"/>
          <w:sz w:val="22"/>
          <w:szCs w:val="22"/>
          <w:highlight w:val="none"/>
        </w:rPr>
        <w:t>三、 磋商文件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_Toc6942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11</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5D706C30">
      <w:pPr>
        <w:pStyle w:val="30"/>
        <w:tabs>
          <w:tab w:val="right" w:leader="dot" w:pos="9638"/>
          <w:tab w:val="clear" w:pos="9628"/>
        </w:tabs>
        <w:rPr>
          <w:rFonts w:ascii="宋体" w:hAnsi="宋体" w:eastAsia="宋体" w:cs="宋体"/>
          <w:color w:val="auto"/>
          <w:sz w:val="22"/>
          <w:szCs w:val="22"/>
          <w:highlight w:val="none"/>
        </w:rPr>
      </w:pPr>
      <w:r>
        <w:rPr>
          <w:color w:val="auto"/>
          <w:highlight w:val="none"/>
        </w:rPr>
        <w:fldChar w:fldCharType="begin"/>
      </w:r>
      <w:r>
        <w:rPr>
          <w:color w:val="auto"/>
          <w:highlight w:val="none"/>
        </w:rPr>
        <w:instrText xml:space="preserve"> HYPERLINK \l "_Toc24411" </w:instrText>
      </w:r>
      <w:r>
        <w:rPr>
          <w:color w:val="auto"/>
          <w:highlight w:val="none"/>
        </w:rPr>
        <w:fldChar w:fldCharType="separate"/>
      </w:r>
      <w:r>
        <w:rPr>
          <w:rFonts w:hint="eastAsia" w:ascii="宋体" w:hAnsi="宋体" w:eastAsia="宋体" w:cs="宋体"/>
          <w:color w:val="auto"/>
          <w:sz w:val="22"/>
          <w:szCs w:val="22"/>
          <w:highlight w:val="none"/>
        </w:rPr>
        <w:t>四、 磋商响应文件的编制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_Toc24411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11</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5313458A">
      <w:pPr>
        <w:pStyle w:val="30"/>
        <w:tabs>
          <w:tab w:val="right" w:leader="dot" w:pos="9638"/>
          <w:tab w:val="clear" w:pos="9628"/>
        </w:tabs>
        <w:rPr>
          <w:rFonts w:ascii="宋体" w:hAnsi="宋体" w:eastAsia="宋体" w:cs="宋体"/>
          <w:color w:val="auto"/>
          <w:sz w:val="22"/>
          <w:szCs w:val="22"/>
          <w:highlight w:val="none"/>
        </w:rPr>
      </w:pPr>
      <w:r>
        <w:rPr>
          <w:color w:val="auto"/>
          <w:highlight w:val="none"/>
        </w:rPr>
        <w:fldChar w:fldCharType="begin"/>
      </w:r>
      <w:r>
        <w:rPr>
          <w:color w:val="auto"/>
          <w:highlight w:val="none"/>
        </w:rPr>
        <w:instrText xml:space="preserve"> HYPERLINK \l "_Toc5988" </w:instrText>
      </w:r>
      <w:r>
        <w:rPr>
          <w:color w:val="auto"/>
          <w:highlight w:val="none"/>
        </w:rPr>
        <w:fldChar w:fldCharType="separate"/>
      </w:r>
      <w:r>
        <w:rPr>
          <w:rFonts w:hint="eastAsia" w:ascii="宋体" w:hAnsi="宋体" w:eastAsia="宋体" w:cs="宋体"/>
          <w:color w:val="auto"/>
          <w:sz w:val="22"/>
          <w:szCs w:val="22"/>
          <w:highlight w:val="none"/>
        </w:rPr>
        <w:t>五、 磋商响应文件的递交</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_Toc5988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14</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448BFEEB">
      <w:pPr>
        <w:pStyle w:val="30"/>
        <w:tabs>
          <w:tab w:val="right" w:leader="dot" w:pos="9638"/>
          <w:tab w:val="clear" w:pos="9628"/>
        </w:tabs>
        <w:rPr>
          <w:rFonts w:ascii="宋体" w:hAnsi="宋体" w:eastAsia="宋体" w:cs="宋体"/>
          <w:color w:val="auto"/>
          <w:sz w:val="22"/>
          <w:szCs w:val="22"/>
          <w:highlight w:val="none"/>
        </w:rPr>
      </w:pPr>
      <w:r>
        <w:rPr>
          <w:color w:val="auto"/>
          <w:highlight w:val="none"/>
        </w:rPr>
        <w:fldChar w:fldCharType="begin"/>
      </w:r>
      <w:r>
        <w:rPr>
          <w:color w:val="auto"/>
          <w:highlight w:val="none"/>
        </w:rPr>
        <w:instrText xml:space="preserve"> HYPERLINK \l "_Toc26870" </w:instrText>
      </w:r>
      <w:r>
        <w:rPr>
          <w:color w:val="auto"/>
          <w:highlight w:val="none"/>
        </w:rPr>
        <w:fldChar w:fldCharType="separate"/>
      </w:r>
      <w:r>
        <w:rPr>
          <w:rFonts w:hint="eastAsia" w:ascii="宋体" w:hAnsi="宋体" w:eastAsia="宋体" w:cs="宋体"/>
          <w:color w:val="auto"/>
          <w:sz w:val="22"/>
          <w:szCs w:val="22"/>
          <w:highlight w:val="none"/>
        </w:rPr>
        <w:t>六、 磋商和评审</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_Toc26870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15</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3E268A18">
      <w:pPr>
        <w:pStyle w:val="30"/>
        <w:tabs>
          <w:tab w:val="right" w:leader="dot" w:pos="9638"/>
          <w:tab w:val="clear" w:pos="9628"/>
        </w:tabs>
        <w:rPr>
          <w:rFonts w:ascii="宋体" w:hAnsi="宋体" w:eastAsia="宋体" w:cs="宋体"/>
          <w:color w:val="auto"/>
          <w:sz w:val="22"/>
          <w:szCs w:val="22"/>
          <w:highlight w:val="none"/>
        </w:rPr>
      </w:pPr>
      <w:r>
        <w:rPr>
          <w:color w:val="auto"/>
          <w:highlight w:val="none"/>
        </w:rPr>
        <w:fldChar w:fldCharType="begin"/>
      </w:r>
      <w:r>
        <w:rPr>
          <w:color w:val="auto"/>
          <w:highlight w:val="none"/>
        </w:rPr>
        <w:instrText xml:space="preserve"> HYPERLINK \l "_Toc12141" </w:instrText>
      </w:r>
      <w:r>
        <w:rPr>
          <w:color w:val="auto"/>
          <w:highlight w:val="none"/>
        </w:rPr>
        <w:fldChar w:fldCharType="separate"/>
      </w:r>
      <w:r>
        <w:rPr>
          <w:rFonts w:hint="eastAsia" w:ascii="宋体" w:hAnsi="宋体" w:eastAsia="宋体" w:cs="宋体"/>
          <w:color w:val="auto"/>
          <w:sz w:val="22"/>
          <w:szCs w:val="22"/>
          <w:highlight w:val="none"/>
        </w:rPr>
        <w:t>七、定标及授予合同</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_Toc12141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18</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23AFF31E">
      <w:pPr>
        <w:pStyle w:val="30"/>
        <w:tabs>
          <w:tab w:val="right" w:leader="dot" w:pos="9638"/>
          <w:tab w:val="clear" w:pos="9628"/>
        </w:tabs>
        <w:rPr>
          <w:rFonts w:ascii="宋体" w:hAnsi="宋体" w:eastAsia="宋体" w:cs="宋体"/>
          <w:color w:val="auto"/>
          <w:sz w:val="22"/>
          <w:szCs w:val="22"/>
          <w:highlight w:val="none"/>
        </w:rPr>
      </w:pPr>
      <w:r>
        <w:rPr>
          <w:color w:val="auto"/>
          <w:highlight w:val="none"/>
        </w:rPr>
        <w:fldChar w:fldCharType="begin"/>
      </w:r>
      <w:r>
        <w:rPr>
          <w:color w:val="auto"/>
          <w:highlight w:val="none"/>
        </w:rPr>
        <w:instrText xml:space="preserve"> HYPERLINK \l "_Toc29173" </w:instrText>
      </w:r>
      <w:r>
        <w:rPr>
          <w:color w:val="auto"/>
          <w:highlight w:val="none"/>
        </w:rPr>
        <w:fldChar w:fldCharType="separate"/>
      </w:r>
      <w:r>
        <w:rPr>
          <w:rFonts w:hint="eastAsia" w:ascii="宋体" w:hAnsi="宋体" w:eastAsia="宋体" w:cs="宋体"/>
          <w:color w:val="auto"/>
          <w:sz w:val="22"/>
          <w:szCs w:val="22"/>
          <w:highlight w:val="none"/>
        </w:rPr>
        <w:t>第二部分   采购内容及要求</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_Toc29173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21</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128A210E">
      <w:pPr>
        <w:pStyle w:val="30"/>
        <w:tabs>
          <w:tab w:val="right" w:leader="dot" w:pos="9638"/>
          <w:tab w:val="clear" w:pos="9628"/>
        </w:tabs>
        <w:rPr>
          <w:rFonts w:ascii="宋体" w:hAnsi="宋体" w:eastAsia="宋体" w:cs="宋体"/>
          <w:color w:val="auto"/>
          <w:sz w:val="22"/>
          <w:szCs w:val="22"/>
          <w:highlight w:val="none"/>
        </w:rPr>
      </w:pPr>
      <w:r>
        <w:rPr>
          <w:color w:val="auto"/>
          <w:highlight w:val="none"/>
        </w:rPr>
        <w:fldChar w:fldCharType="begin"/>
      </w:r>
      <w:r>
        <w:rPr>
          <w:color w:val="auto"/>
          <w:highlight w:val="none"/>
        </w:rPr>
        <w:instrText xml:space="preserve"> HYPERLINK \l "_Toc21056" </w:instrText>
      </w:r>
      <w:r>
        <w:rPr>
          <w:color w:val="auto"/>
          <w:highlight w:val="none"/>
        </w:rPr>
        <w:fldChar w:fldCharType="separate"/>
      </w:r>
      <w:r>
        <w:rPr>
          <w:rFonts w:hint="eastAsia" w:ascii="宋体" w:hAnsi="宋体" w:eastAsia="宋体" w:cs="宋体"/>
          <w:color w:val="auto"/>
          <w:sz w:val="22"/>
          <w:szCs w:val="22"/>
          <w:highlight w:val="none"/>
        </w:rPr>
        <w:t>第三部分   磋商原则及方法</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_Toc21056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6186B920">
      <w:pPr>
        <w:pStyle w:val="30"/>
        <w:tabs>
          <w:tab w:val="right" w:leader="dot" w:pos="9638"/>
          <w:tab w:val="clear" w:pos="9628"/>
        </w:tabs>
        <w:rPr>
          <w:rFonts w:ascii="宋体" w:hAnsi="宋体" w:eastAsia="宋体" w:cs="宋体"/>
          <w:color w:val="auto"/>
          <w:sz w:val="22"/>
          <w:szCs w:val="22"/>
          <w:highlight w:val="none"/>
        </w:rPr>
      </w:pPr>
      <w:r>
        <w:rPr>
          <w:color w:val="auto"/>
          <w:highlight w:val="none"/>
        </w:rPr>
        <w:fldChar w:fldCharType="begin"/>
      </w:r>
      <w:r>
        <w:rPr>
          <w:color w:val="auto"/>
          <w:highlight w:val="none"/>
        </w:rPr>
        <w:instrText xml:space="preserve"> HYPERLINK \l "_Toc4830" </w:instrText>
      </w:r>
      <w:r>
        <w:rPr>
          <w:color w:val="auto"/>
          <w:highlight w:val="none"/>
        </w:rPr>
        <w:fldChar w:fldCharType="separate"/>
      </w:r>
      <w:r>
        <w:rPr>
          <w:rFonts w:hint="eastAsia" w:ascii="宋体" w:hAnsi="宋体" w:eastAsia="宋体" w:cs="宋体"/>
          <w:color w:val="auto"/>
          <w:sz w:val="22"/>
          <w:szCs w:val="22"/>
          <w:highlight w:val="none"/>
        </w:rPr>
        <w:t>第四部分   合同格式</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_Toc4830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32</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3159004E">
      <w:pPr>
        <w:pStyle w:val="30"/>
        <w:tabs>
          <w:tab w:val="right" w:leader="dot" w:pos="9638"/>
          <w:tab w:val="clear" w:pos="9628"/>
        </w:tabs>
        <w:rPr>
          <w:rFonts w:ascii="宋体" w:hAnsi="宋体" w:eastAsia="宋体" w:cs="宋体"/>
          <w:color w:val="auto"/>
          <w:sz w:val="22"/>
          <w:szCs w:val="22"/>
          <w:highlight w:val="none"/>
        </w:rPr>
      </w:pPr>
      <w:r>
        <w:rPr>
          <w:color w:val="auto"/>
          <w:highlight w:val="none"/>
        </w:rPr>
        <w:fldChar w:fldCharType="begin"/>
      </w:r>
      <w:r>
        <w:rPr>
          <w:color w:val="auto"/>
          <w:highlight w:val="none"/>
        </w:rPr>
        <w:instrText xml:space="preserve"> HYPERLINK \l "_Toc27250" </w:instrText>
      </w:r>
      <w:r>
        <w:rPr>
          <w:color w:val="auto"/>
          <w:highlight w:val="none"/>
        </w:rPr>
        <w:fldChar w:fldCharType="separate"/>
      </w:r>
      <w:r>
        <w:rPr>
          <w:rFonts w:hint="eastAsia" w:ascii="宋体" w:hAnsi="宋体" w:eastAsia="宋体" w:cs="宋体"/>
          <w:color w:val="auto"/>
          <w:sz w:val="22"/>
          <w:szCs w:val="22"/>
          <w:highlight w:val="none"/>
        </w:rPr>
        <w:t>第五部分   附件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_Toc27250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42</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314C4578">
      <w:pPr>
        <w:tabs>
          <w:tab w:val="left" w:pos="7110"/>
        </w:tabs>
        <w:spacing w:line="480" w:lineRule="auto"/>
        <w:rPr>
          <w:rFonts w:ascii="宋体" w:hAnsi="宋体" w:cs="宋体"/>
          <w:b/>
          <w:bCs/>
          <w:color w:val="auto"/>
          <w:sz w:val="13"/>
          <w:szCs w:val="13"/>
          <w:highlight w:val="none"/>
        </w:rPr>
      </w:pPr>
      <w:r>
        <w:rPr>
          <w:rFonts w:hint="eastAsia" w:ascii="宋体" w:hAnsi="宋体" w:cs="宋体"/>
          <w:bCs/>
          <w:color w:val="auto"/>
          <w:sz w:val="22"/>
          <w:szCs w:val="22"/>
          <w:highlight w:val="none"/>
        </w:rPr>
        <w:fldChar w:fldCharType="end"/>
      </w:r>
      <w:r>
        <w:rPr>
          <w:rFonts w:hint="eastAsia" w:ascii="宋体" w:hAnsi="宋体" w:cs="宋体"/>
          <w:b/>
          <w:bCs/>
          <w:color w:val="auto"/>
          <w:sz w:val="13"/>
          <w:szCs w:val="13"/>
          <w:highlight w:val="none"/>
        </w:rPr>
        <w:tab/>
      </w:r>
    </w:p>
    <w:p w14:paraId="4E3BA008">
      <w:pPr>
        <w:tabs>
          <w:tab w:val="left" w:pos="7110"/>
        </w:tabs>
        <w:spacing w:line="480" w:lineRule="auto"/>
        <w:rPr>
          <w:rFonts w:ascii="宋体" w:hAnsi="宋体" w:cs="宋体"/>
          <w:b/>
          <w:bCs/>
          <w:color w:val="auto"/>
          <w:sz w:val="22"/>
          <w:szCs w:val="22"/>
          <w:highlight w:val="none"/>
        </w:rPr>
      </w:pPr>
      <w:r>
        <w:rPr>
          <w:rFonts w:hint="eastAsia" w:ascii="宋体" w:hAnsi="宋体" w:cs="宋体"/>
          <w:b/>
          <w:bCs/>
          <w:color w:val="auto"/>
          <w:sz w:val="22"/>
          <w:szCs w:val="22"/>
          <w:highlight w:val="none"/>
        </w:rPr>
        <w:t>注：磋商文件中部分</w:t>
      </w:r>
      <w:r>
        <w:rPr>
          <w:rFonts w:hint="eastAsia" w:ascii="宋体" w:hAnsi="宋体" w:cs="宋体"/>
          <w:b/>
          <w:bCs/>
          <w:color w:val="auto"/>
          <w:szCs w:val="21"/>
          <w:highlight w:val="none"/>
        </w:rPr>
        <w:t>加“▲”且</w:t>
      </w:r>
      <w:r>
        <w:rPr>
          <w:rFonts w:hint="eastAsia" w:ascii="宋体" w:hAnsi="宋体" w:cs="宋体"/>
          <w:b/>
          <w:bCs/>
          <w:color w:val="auto"/>
          <w:sz w:val="22"/>
          <w:szCs w:val="22"/>
          <w:highlight w:val="none"/>
        </w:rPr>
        <w:t>加下划线的条款，为本次采购的实质性要求和条件，着重提醒各磋商供应商注意，并认真查看磋商文件中的每一个条款及要求，因误读磋商文件而造成的后果，采购人概不负责。</w:t>
      </w:r>
    </w:p>
    <w:p w14:paraId="63CAD1EC">
      <w:pPr>
        <w:jc w:val="center"/>
        <w:rPr>
          <w:rFonts w:ascii="宋体" w:hAnsi="宋体" w:cs="宋体"/>
          <w:color w:val="auto"/>
          <w:sz w:val="18"/>
          <w:szCs w:val="18"/>
          <w:highlight w:val="none"/>
        </w:rPr>
      </w:pPr>
    </w:p>
    <w:p w14:paraId="13F3F600">
      <w:pPr>
        <w:pStyle w:val="5"/>
        <w:spacing w:before="120" w:after="120"/>
        <w:rPr>
          <w:rFonts w:ascii="宋体" w:hAnsi="宋体" w:eastAsia="宋体" w:cs="宋体"/>
          <w:b w:val="0"/>
          <w:bCs w:val="0"/>
          <w:color w:val="auto"/>
          <w:kern w:val="0"/>
          <w:sz w:val="30"/>
          <w:szCs w:val="30"/>
          <w:highlight w:val="none"/>
        </w:rPr>
      </w:pPr>
      <w:r>
        <w:rPr>
          <w:rFonts w:hint="eastAsia" w:ascii="宋体" w:hAnsi="宋体" w:eastAsia="宋体" w:cs="宋体"/>
          <w:color w:val="auto"/>
          <w:highlight w:val="none"/>
        </w:rPr>
        <w:br w:type="page"/>
      </w:r>
      <w:bookmarkStart w:id="0" w:name="_Toc17034"/>
      <w:bookmarkStart w:id="1" w:name="_Toc477287569"/>
      <w:bookmarkStart w:id="2" w:name="_Toc15028"/>
      <w:bookmarkStart w:id="3" w:name="_Toc434310670"/>
      <w:r>
        <w:rPr>
          <w:rFonts w:hint="eastAsia" w:ascii="宋体" w:hAnsi="宋体" w:eastAsia="宋体" w:cs="宋体"/>
          <w:color w:val="auto"/>
          <w:sz w:val="36"/>
          <w:szCs w:val="36"/>
          <w:highlight w:val="none"/>
          <w:lang w:eastAsia="zh-CN"/>
        </w:rPr>
        <w:t>华诚工程咨询集团有限公司</w:t>
      </w:r>
      <w:r>
        <w:rPr>
          <w:rFonts w:hint="eastAsia" w:ascii="宋体" w:hAnsi="宋体" w:eastAsia="宋体" w:cs="宋体"/>
          <w:color w:val="auto"/>
          <w:sz w:val="36"/>
          <w:szCs w:val="36"/>
          <w:highlight w:val="none"/>
        </w:rPr>
        <w:t>关于</w:t>
      </w:r>
      <w:r>
        <w:rPr>
          <w:rFonts w:hint="eastAsia" w:ascii="宋体" w:hAnsi="宋体" w:eastAsia="宋体" w:cs="宋体"/>
          <w:color w:val="auto"/>
          <w:sz w:val="36"/>
          <w:szCs w:val="36"/>
          <w:highlight w:val="none"/>
          <w:lang w:eastAsia="zh-CN"/>
        </w:rPr>
        <w:t>2024年鹿城区松台街道食堂劳务外包服务</w:t>
      </w:r>
      <w:r>
        <w:rPr>
          <w:rFonts w:hint="eastAsia" w:ascii="宋体" w:hAnsi="宋体" w:eastAsia="宋体" w:cs="宋体"/>
          <w:color w:val="auto"/>
          <w:sz w:val="36"/>
          <w:szCs w:val="36"/>
          <w:highlight w:val="none"/>
        </w:rPr>
        <w:t>的竞争性磋商公告</w:t>
      </w:r>
      <w:bookmarkEnd w:id="0"/>
      <w:bookmarkEnd w:id="1"/>
      <w:bookmarkEnd w:id="2"/>
      <w:bookmarkEnd w:id="3"/>
    </w:p>
    <w:p w14:paraId="116F988C">
      <w:pPr>
        <w:pBdr>
          <w:top w:val="single" w:color="auto" w:sz="4" w:space="1"/>
          <w:left w:val="single" w:color="auto" w:sz="4" w:space="4"/>
          <w:bottom w:val="single" w:color="auto" w:sz="4" w:space="1"/>
          <w:right w:val="single" w:color="auto" w:sz="4" w:space="4"/>
        </w:pBdr>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项目概况</w:t>
      </w:r>
    </w:p>
    <w:p w14:paraId="02B93B65">
      <w:pPr>
        <w:pBdr>
          <w:top w:val="single" w:color="auto" w:sz="4" w:space="1"/>
          <w:left w:val="single" w:color="auto" w:sz="4" w:space="4"/>
          <w:bottom w:val="single" w:color="auto" w:sz="4" w:space="1"/>
          <w:right w:val="single" w:color="auto" w:sz="4" w:space="4"/>
        </w:pBdr>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u w:val="single"/>
          <w:lang w:eastAsia="zh-CN"/>
        </w:rPr>
        <w:t>2024年鹿城区松台街道食堂劳务外包服务</w:t>
      </w:r>
      <w:r>
        <w:rPr>
          <w:rFonts w:hint="eastAsia" w:ascii="宋体" w:hAnsi="宋体" w:cs="宋体"/>
          <w:color w:val="auto"/>
          <w:sz w:val="22"/>
          <w:szCs w:val="22"/>
          <w:highlight w:val="none"/>
          <w:u w:val="single"/>
        </w:rPr>
        <w:t>项目的潜在供应商应在政采云平台（www.zcygov.cn）获取（下载）磋商文件，并于</w:t>
      </w:r>
      <w:r>
        <w:rPr>
          <w:rFonts w:hint="eastAsia" w:ascii="宋体" w:hAnsi="宋体" w:cs="宋体"/>
          <w:color w:val="auto"/>
          <w:sz w:val="22"/>
          <w:szCs w:val="22"/>
          <w:highlight w:val="none"/>
          <w:u w:val="single"/>
          <w:lang w:eastAsia="zh-CN"/>
        </w:rPr>
        <w:t xml:space="preserve">2024 </w:t>
      </w:r>
      <w:r>
        <w:rPr>
          <w:rFonts w:hint="eastAsia" w:ascii="宋体" w:hAnsi="宋体" w:cs="宋体"/>
          <w:color w:val="auto"/>
          <w:sz w:val="22"/>
          <w:szCs w:val="22"/>
          <w:highlight w:val="none"/>
          <w:u w:val="single"/>
        </w:rPr>
        <w:t>年</w:t>
      </w:r>
      <w:r>
        <w:rPr>
          <w:rFonts w:hint="eastAsia" w:ascii="宋体" w:hAnsi="宋体" w:cs="宋体"/>
          <w:color w:val="auto"/>
          <w:sz w:val="22"/>
          <w:szCs w:val="22"/>
          <w:highlight w:val="none"/>
          <w:u w:val="single"/>
          <w:lang w:val="en-US" w:eastAsia="zh-CN"/>
        </w:rPr>
        <w:t>10月23日</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14</w:t>
      </w:r>
      <w:r>
        <w:rPr>
          <w:rFonts w:hint="eastAsia" w:ascii="宋体" w:hAnsi="宋体" w:cs="宋体"/>
          <w:color w:val="auto"/>
          <w:sz w:val="22"/>
          <w:szCs w:val="22"/>
          <w:highlight w:val="none"/>
          <w:u w:val="single"/>
        </w:rPr>
        <w:t>:</w:t>
      </w:r>
      <w:r>
        <w:rPr>
          <w:rFonts w:hint="eastAsia" w:ascii="宋体" w:hAnsi="宋体" w:cs="宋体"/>
          <w:color w:val="auto"/>
          <w:sz w:val="22"/>
          <w:szCs w:val="22"/>
          <w:highlight w:val="none"/>
          <w:u w:val="single"/>
          <w:lang w:val="en-US" w:eastAsia="zh-CN"/>
        </w:rPr>
        <w:t>3</w:t>
      </w:r>
      <w:r>
        <w:rPr>
          <w:rFonts w:hint="eastAsia" w:ascii="宋体" w:hAnsi="宋体" w:cs="宋体"/>
          <w:color w:val="auto"/>
          <w:sz w:val="22"/>
          <w:szCs w:val="22"/>
          <w:highlight w:val="none"/>
          <w:u w:val="single"/>
        </w:rPr>
        <w:t>0（北京时间）前提交（上传）响应文件。</w:t>
      </w:r>
    </w:p>
    <w:p w14:paraId="3100ACE7">
      <w:pPr>
        <w:keepNext w:val="0"/>
        <w:keepLines w:val="0"/>
        <w:pageBreakBefore w:val="0"/>
        <w:widowControl/>
        <w:kinsoku/>
        <w:wordWrap/>
        <w:overflowPunct/>
        <w:topLinePunct w:val="0"/>
        <w:autoSpaceDE/>
        <w:autoSpaceDN/>
        <w:bidi w:val="0"/>
        <w:adjustRightInd/>
        <w:snapToGrid/>
        <w:spacing w:before="60" w:after="60" w:line="320" w:lineRule="exact"/>
        <w:ind w:left="60" w:right="62"/>
        <w:jc w:val="left"/>
        <w:textAlignment w:val="auto"/>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一、项目基本情况</w:t>
      </w:r>
    </w:p>
    <w:p w14:paraId="484E0523">
      <w:pPr>
        <w:keepNext w:val="0"/>
        <w:keepLines w:val="0"/>
        <w:pageBreakBefore w:val="0"/>
        <w:widowControl/>
        <w:kinsoku/>
        <w:wordWrap/>
        <w:overflowPunct/>
        <w:topLinePunct w:val="0"/>
        <w:autoSpaceDE/>
        <w:autoSpaceDN/>
        <w:bidi w:val="0"/>
        <w:adjustRightInd/>
        <w:snapToGrid/>
        <w:spacing w:before="60" w:after="60" w:line="320" w:lineRule="exact"/>
        <w:ind w:left="60" w:right="62"/>
        <w:jc w:val="left"/>
        <w:textAlignment w:val="auto"/>
        <w:rPr>
          <w:rFonts w:hint="eastAsia" w:ascii="宋体" w:hAnsi="宋体" w:eastAsia="宋体" w:cs="宋体"/>
          <w:bCs/>
          <w:color w:val="auto"/>
          <w:kern w:val="0"/>
          <w:sz w:val="22"/>
          <w:szCs w:val="22"/>
          <w:highlight w:val="none"/>
          <w:lang w:eastAsia="zh-CN"/>
        </w:rPr>
      </w:pPr>
      <w:r>
        <w:rPr>
          <w:rFonts w:hint="eastAsia" w:ascii="宋体" w:hAnsi="宋体" w:cs="宋体"/>
          <w:bCs/>
          <w:color w:val="auto"/>
          <w:kern w:val="0"/>
          <w:sz w:val="22"/>
          <w:szCs w:val="22"/>
          <w:highlight w:val="none"/>
        </w:rPr>
        <w:t xml:space="preserve">    项目编号：</w:t>
      </w:r>
      <w:r>
        <w:rPr>
          <w:rFonts w:hint="eastAsia" w:ascii="宋体" w:hAnsi="宋体" w:cs="宋体"/>
          <w:bCs/>
          <w:color w:val="auto"/>
          <w:kern w:val="0"/>
          <w:sz w:val="22"/>
          <w:szCs w:val="22"/>
          <w:highlight w:val="none"/>
          <w:lang w:eastAsia="zh-CN"/>
        </w:rPr>
        <w:t>HCZX-H2024019</w:t>
      </w:r>
    </w:p>
    <w:p w14:paraId="542D8C7F">
      <w:pPr>
        <w:keepNext w:val="0"/>
        <w:keepLines w:val="0"/>
        <w:pageBreakBefore w:val="0"/>
        <w:widowControl/>
        <w:kinsoku/>
        <w:wordWrap/>
        <w:overflowPunct/>
        <w:topLinePunct w:val="0"/>
        <w:autoSpaceDE/>
        <w:autoSpaceDN/>
        <w:bidi w:val="0"/>
        <w:adjustRightInd/>
        <w:snapToGrid/>
        <w:spacing w:before="60" w:after="60" w:line="320" w:lineRule="exact"/>
        <w:ind w:left="60" w:right="62"/>
        <w:jc w:val="left"/>
        <w:textAlignment w:val="auto"/>
        <w:rPr>
          <w:rFonts w:hint="eastAsia" w:ascii="宋体" w:hAnsi="宋体" w:eastAsia="宋体" w:cs="宋体"/>
          <w:bCs/>
          <w:color w:val="auto"/>
          <w:kern w:val="0"/>
          <w:sz w:val="22"/>
          <w:szCs w:val="22"/>
          <w:highlight w:val="none"/>
          <w:lang w:eastAsia="zh-CN"/>
        </w:rPr>
      </w:pPr>
      <w:r>
        <w:rPr>
          <w:rFonts w:hint="eastAsia" w:ascii="宋体" w:hAnsi="宋体" w:cs="宋体"/>
          <w:bCs/>
          <w:color w:val="auto"/>
          <w:kern w:val="0"/>
          <w:sz w:val="22"/>
          <w:szCs w:val="22"/>
          <w:highlight w:val="none"/>
        </w:rPr>
        <w:t xml:space="preserve">    项目名称：</w:t>
      </w:r>
      <w:r>
        <w:rPr>
          <w:rFonts w:hint="eastAsia" w:ascii="宋体" w:hAnsi="宋体" w:cs="宋体"/>
          <w:bCs/>
          <w:color w:val="auto"/>
          <w:kern w:val="0"/>
          <w:sz w:val="22"/>
          <w:szCs w:val="22"/>
          <w:highlight w:val="none"/>
          <w:lang w:eastAsia="zh-CN"/>
        </w:rPr>
        <w:t>2024年鹿城区松台街道食堂劳务外包服务</w:t>
      </w:r>
    </w:p>
    <w:p w14:paraId="281AEF5E">
      <w:pPr>
        <w:keepNext w:val="0"/>
        <w:keepLines w:val="0"/>
        <w:pageBreakBefore w:val="0"/>
        <w:widowControl/>
        <w:kinsoku/>
        <w:wordWrap/>
        <w:overflowPunct/>
        <w:topLinePunct w:val="0"/>
        <w:autoSpaceDE/>
        <w:autoSpaceDN/>
        <w:bidi w:val="0"/>
        <w:adjustRightInd/>
        <w:snapToGrid/>
        <w:spacing w:before="60" w:after="60" w:line="320" w:lineRule="exact"/>
        <w:ind w:left="60" w:right="62" w:firstLine="440"/>
        <w:jc w:val="left"/>
        <w:textAlignment w:val="auto"/>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 xml:space="preserve">采购方式：竞争性磋商 </w:t>
      </w:r>
    </w:p>
    <w:p w14:paraId="4665BC5A">
      <w:pPr>
        <w:keepNext w:val="0"/>
        <w:keepLines w:val="0"/>
        <w:pageBreakBefore w:val="0"/>
        <w:widowControl/>
        <w:kinsoku/>
        <w:wordWrap/>
        <w:overflowPunct/>
        <w:topLinePunct w:val="0"/>
        <w:autoSpaceDE/>
        <w:autoSpaceDN/>
        <w:bidi w:val="0"/>
        <w:adjustRightInd/>
        <w:snapToGrid/>
        <w:spacing w:before="60" w:after="60" w:line="320" w:lineRule="exact"/>
        <w:ind w:left="60" w:right="62" w:firstLine="440"/>
        <w:jc w:val="left"/>
        <w:textAlignment w:val="auto"/>
        <w:rPr>
          <w:rFonts w:hint="default" w:ascii="宋体" w:hAnsi="宋体" w:eastAsia="宋体" w:cs="宋体"/>
          <w:b w:val="0"/>
          <w:bCs/>
          <w:color w:val="auto"/>
          <w:kern w:val="0"/>
          <w:sz w:val="22"/>
          <w:szCs w:val="22"/>
          <w:highlight w:val="none"/>
          <w:lang w:val="en-US" w:eastAsia="zh-CN"/>
        </w:rPr>
      </w:pPr>
      <w:r>
        <w:rPr>
          <w:rFonts w:hint="eastAsia" w:ascii="宋体" w:hAnsi="宋体" w:eastAsia="宋体" w:cs="宋体"/>
          <w:b w:val="0"/>
          <w:bCs/>
          <w:color w:val="auto"/>
          <w:kern w:val="0"/>
          <w:sz w:val="22"/>
          <w:szCs w:val="22"/>
          <w:highlight w:val="none"/>
        </w:rPr>
        <w:t>预算金额（元）：</w:t>
      </w:r>
      <w:r>
        <w:rPr>
          <w:rFonts w:hint="eastAsia" w:ascii="宋体" w:hAnsi="宋体" w:cs="宋体"/>
          <w:b w:val="0"/>
          <w:bCs/>
          <w:color w:val="auto"/>
          <w:kern w:val="0"/>
          <w:sz w:val="22"/>
          <w:szCs w:val="22"/>
          <w:highlight w:val="none"/>
          <w:lang w:val="en-US" w:eastAsia="zh-CN"/>
        </w:rPr>
        <w:t>500000</w:t>
      </w:r>
    </w:p>
    <w:p w14:paraId="299E7A22">
      <w:pPr>
        <w:keepNext w:val="0"/>
        <w:keepLines w:val="0"/>
        <w:pageBreakBefore w:val="0"/>
        <w:widowControl/>
        <w:kinsoku/>
        <w:wordWrap/>
        <w:overflowPunct/>
        <w:topLinePunct w:val="0"/>
        <w:autoSpaceDE/>
        <w:autoSpaceDN/>
        <w:bidi w:val="0"/>
        <w:adjustRightInd/>
        <w:snapToGrid/>
        <w:spacing w:before="60" w:after="60" w:line="320" w:lineRule="exact"/>
        <w:ind w:left="60" w:right="62" w:firstLine="440" w:firstLineChars="200"/>
        <w:jc w:val="left"/>
        <w:textAlignment w:val="auto"/>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简要规格描述：</w:t>
      </w:r>
      <w:r>
        <w:rPr>
          <w:rFonts w:hint="eastAsia" w:ascii="宋体" w:hAnsi="宋体" w:cs="宋体"/>
          <w:bCs/>
          <w:color w:val="auto"/>
          <w:kern w:val="0"/>
          <w:sz w:val="22"/>
          <w:szCs w:val="22"/>
          <w:highlight w:val="none"/>
          <w:lang w:eastAsia="zh-CN"/>
        </w:rPr>
        <w:t>2024年鹿城区松台街道食堂劳务外包服务</w:t>
      </w:r>
      <w:r>
        <w:rPr>
          <w:rFonts w:hint="eastAsia" w:ascii="宋体" w:hAnsi="宋体" w:cs="宋体"/>
          <w:bCs/>
          <w:color w:val="auto"/>
          <w:kern w:val="0"/>
          <w:sz w:val="22"/>
          <w:szCs w:val="22"/>
          <w:highlight w:val="none"/>
        </w:rPr>
        <w:t xml:space="preserve">，具体采购内容及要求详见磋商文件相关部分 </w:t>
      </w:r>
    </w:p>
    <w:p w14:paraId="6A642513">
      <w:pPr>
        <w:keepNext w:val="0"/>
        <w:keepLines w:val="0"/>
        <w:pageBreakBefore w:val="0"/>
        <w:widowControl/>
        <w:kinsoku/>
        <w:wordWrap/>
        <w:overflowPunct/>
        <w:topLinePunct w:val="0"/>
        <w:autoSpaceDE/>
        <w:autoSpaceDN/>
        <w:bidi w:val="0"/>
        <w:adjustRightInd/>
        <w:snapToGrid/>
        <w:spacing w:before="60" w:after="60" w:line="320" w:lineRule="exact"/>
        <w:ind w:left="60" w:right="62"/>
        <w:jc w:val="left"/>
        <w:textAlignment w:val="auto"/>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 xml:space="preserve">    合同履约期限：</w:t>
      </w:r>
      <w:r>
        <w:rPr>
          <w:rFonts w:hint="eastAsia" w:ascii="宋体" w:hAnsi="宋体" w:eastAsia="宋体" w:cs="宋体"/>
          <w:color w:val="auto"/>
          <w:kern w:val="0"/>
          <w:sz w:val="22"/>
          <w:szCs w:val="22"/>
          <w:highlight w:val="none"/>
        </w:rPr>
        <w:t>服务期</w:t>
      </w:r>
      <w:r>
        <w:rPr>
          <w:rFonts w:hint="eastAsia" w:ascii="宋体" w:hAnsi="宋体" w:eastAsia="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rPr>
        <w:t>年</w:t>
      </w:r>
      <w:r>
        <w:rPr>
          <w:rFonts w:hint="eastAsia" w:ascii="宋体" w:hAnsi="宋体" w:cs="宋体"/>
          <w:color w:val="auto"/>
          <w:kern w:val="0"/>
          <w:sz w:val="22"/>
          <w:szCs w:val="22"/>
          <w:highlight w:val="none"/>
          <w:lang w:eastAsia="zh-CN"/>
        </w:rPr>
        <w:t>。</w:t>
      </w:r>
      <w:r>
        <w:rPr>
          <w:rFonts w:hint="eastAsia" w:ascii="宋体" w:hAnsi="宋体" w:cs="宋体"/>
          <w:bCs/>
          <w:color w:val="auto"/>
          <w:kern w:val="0"/>
          <w:sz w:val="22"/>
          <w:szCs w:val="22"/>
          <w:highlight w:val="none"/>
        </w:rPr>
        <w:t xml:space="preserve">   </w:t>
      </w:r>
    </w:p>
    <w:p w14:paraId="54588DFE">
      <w:pPr>
        <w:keepNext w:val="0"/>
        <w:keepLines w:val="0"/>
        <w:pageBreakBefore w:val="0"/>
        <w:widowControl/>
        <w:kinsoku/>
        <w:wordWrap/>
        <w:overflowPunct/>
        <w:topLinePunct w:val="0"/>
        <w:autoSpaceDE/>
        <w:autoSpaceDN/>
        <w:bidi w:val="0"/>
        <w:adjustRightInd/>
        <w:snapToGrid/>
        <w:spacing w:before="60" w:after="60" w:line="320" w:lineRule="exact"/>
        <w:ind w:left="60" w:right="62" w:firstLine="440" w:firstLineChars="200"/>
        <w:jc w:val="left"/>
        <w:textAlignment w:val="auto"/>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本项目（否）接受联合体投标。</w:t>
      </w:r>
    </w:p>
    <w:p w14:paraId="3BD0AD74">
      <w:pPr>
        <w:keepNext w:val="0"/>
        <w:keepLines w:val="0"/>
        <w:pageBreakBefore w:val="0"/>
        <w:widowControl/>
        <w:kinsoku/>
        <w:wordWrap/>
        <w:overflowPunct/>
        <w:topLinePunct w:val="0"/>
        <w:autoSpaceDE/>
        <w:autoSpaceDN/>
        <w:bidi w:val="0"/>
        <w:adjustRightInd/>
        <w:snapToGrid/>
        <w:spacing w:before="60" w:after="60" w:line="320" w:lineRule="exact"/>
        <w:ind w:left="60" w:right="62" w:firstLine="441"/>
        <w:jc w:val="left"/>
        <w:textAlignment w:val="auto"/>
        <w:rPr>
          <w:rFonts w:ascii="宋体" w:hAnsi="宋体" w:cs="宋体"/>
          <w:color w:val="auto"/>
          <w:kern w:val="0"/>
          <w:sz w:val="22"/>
          <w:szCs w:val="22"/>
          <w:highlight w:val="none"/>
        </w:rPr>
      </w:pPr>
      <w:r>
        <w:rPr>
          <w:rFonts w:hint="eastAsia" w:ascii="宋体" w:hAnsi="宋体" w:cs="宋体"/>
          <w:b/>
          <w:color w:val="auto"/>
          <w:kern w:val="0"/>
          <w:sz w:val="22"/>
          <w:szCs w:val="22"/>
          <w:highlight w:val="none"/>
        </w:rPr>
        <w:t>二、申请人的资格要求</w:t>
      </w:r>
    </w:p>
    <w:p w14:paraId="29E2D258">
      <w:pPr>
        <w:keepNext w:val="0"/>
        <w:keepLines w:val="0"/>
        <w:pageBreakBefore w:val="0"/>
        <w:widowControl/>
        <w:kinsoku/>
        <w:wordWrap/>
        <w:overflowPunct/>
        <w:topLinePunct w:val="0"/>
        <w:autoSpaceDE/>
        <w:autoSpaceDN/>
        <w:bidi w:val="0"/>
        <w:adjustRightInd/>
        <w:snapToGrid/>
        <w:spacing w:before="60" w:after="60" w:line="320" w:lineRule="exact"/>
        <w:ind w:left="708" w:leftChars="285" w:right="62" w:hanging="110" w:hangingChars="50"/>
        <w:jc w:val="left"/>
        <w:textAlignment w:val="auto"/>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1.满足《中华人民共和国政府采购法》第二十二条的规定；未被“信用中国”（www.creditchina.gov.cn)、中国政府采购网（www.ccgp.gov.cn）列入失信被执行人、重大税收违法案件当事人名单、政府采购严重违法失信行为记录名单。</w:t>
      </w:r>
    </w:p>
    <w:p w14:paraId="7EF896CE">
      <w:pPr>
        <w:keepNext w:val="0"/>
        <w:keepLines w:val="0"/>
        <w:pageBreakBefore w:val="0"/>
        <w:widowControl/>
        <w:kinsoku/>
        <w:wordWrap/>
        <w:overflowPunct/>
        <w:topLinePunct w:val="0"/>
        <w:autoSpaceDE/>
        <w:autoSpaceDN/>
        <w:bidi w:val="0"/>
        <w:adjustRightInd/>
        <w:snapToGrid/>
        <w:spacing w:before="60" w:after="60" w:line="320" w:lineRule="exact"/>
        <w:ind w:left="708" w:leftChars="285" w:right="62" w:hanging="110" w:hangingChars="50"/>
        <w:jc w:val="left"/>
        <w:textAlignment w:val="auto"/>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2.落实政府采购政策需满足的资格要求：本项目为专门面向中小企业采购的项目，供应商为中小企业/小微企业或监狱企业或残疾人福利企业；</w:t>
      </w:r>
    </w:p>
    <w:p w14:paraId="7B71931D">
      <w:pPr>
        <w:keepNext w:val="0"/>
        <w:keepLines w:val="0"/>
        <w:pageBreakBefore w:val="0"/>
        <w:widowControl/>
        <w:kinsoku/>
        <w:wordWrap/>
        <w:overflowPunct/>
        <w:topLinePunct w:val="0"/>
        <w:autoSpaceDE/>
        <w:autoSpaceDN/>
        <w:bidi w:val="0"/>
        <w:adjustRightInd/>
        <w:snapToGrid/>
        <w:spacing w:before="60" w:after="60" w:line="320" w:lineRule="exact"/>
        <w:ind w:left="708" w:leftChars="285" w:right="62" w:hanging="110" w:hangingChars="50"/>
        <w:jc w:val="left"/>
        <w:textAlignment w:val="auto"/>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3.本项目的特定资格要求：</w:t>
      </w:r>
      <w:r>
        <w:rPr>
          <w:rFonts w:hint="eastAsia" w:ascii="宋体" w:hAnsi="宋体" w:cs="宋体"/>
          <w:bCs/>
          <w:color w:val="auto"/>
          <w:kern w:val="0"/>
          <w:sz w:val="22"/>
          <w:szCs w:val="22"/>
          <w:highlight w:val="none"/>
          <w:lang w:val="en-US" w:eastAsia="zh-CN"/>
        </w:rPr>
        <w:t>无</w:t>
      </w:r>
      <w:r>
        <w:rPr>
          <w:rFonts w:hint="eastAsia" w:ascii="宋体" w:hAnsi="宋体" w:cs="宋体"/>
          <w:bCs/>
          <w:color w:val="auto"/>
          <w:kern w:val="0"/>
          <w:sz w:val="22"/>
          <w:szCs w:val="22"/>
          <w:highlight w:val="none"/>
        </w:rPr>
        <w:t>。</w:t>
      </w:r>
    </w:p>
    <w:p w14:paraId="0680D9EF">
      <w:pPr>
        <w:keepNext w:val="0"/>
        <w:keepLines w:val="0"/>
        <w:pageBreakBefore w:val="0"/>
        <w:widowControl/>
        <w:kinsoku/>
        <w:wordWrap/>
        <w:overflowPunct/>
        <w:topLinePunct w:val="0"/>
        <w:autoSpaceDE/>
        <w:autoSpaceDN/>
        <w:bidi w:val="0"/>
        <w:adjustRightInd/>
        <w:snapToGrid/>
        <w:spacing w:before="60" w:after="60" w:line="320" w:lineRule="exact"/>
        <w:ind w:left="60" w:right="62"/>
        <w:jc w:val="left"/>
        <w:textAlignment w:val="auto"/>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三、获取（下载）采购文件</w:t>
      </w:r>
    </w:p>
    <w:p w14:paraId="76BF83B0">
      <w:pPr>
        <w:keepNext w:val="0"/>
        <w:keepLines w:val="0"/>
        <w:pageBreakBefore w:val="0"/>
        <w:widowControl/>
        <w:kinsoku/>
        <w:wordWrap/>
        <w:overflowPunct/>
        <w:topLinePunct w:val="0"/>
        <w:autoSpaceDE/>
        <w:autoSpaceDN/>
        <w:bidi w:val="0"/>
        <w:adjustRightInd/>
        <w:snapToGrid/>
        <w:spacing w:before="60" w:after="60" w:line="320" w:lineRule="exact"/>
        <w:ind w:right="62" w:firstLine="440"/>
        <w:jc w:val="left"/>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1.时间：公告发布之日起至</w:t>
      </w:r>
      <w:r>
        <w:rPr>
          <w:rFonts w:hint="eastAsia" w:ascii="宋体" w:hAnsi="宋体" w:cs="宋体"/>
          <w:color w:val="auto"/>
          <w:kern w:val="0"/>
          <w:sz w:val="22"/>
          <w:szCs w:val="22"/>
          <w:highlight w:val="none"/>
          <w:lang w:eastAsia="zh-CN"/>
        </w:rPr>
        <w:t xml:space="preserve">2024 </w:t>
      </w:r>
      <w:r>
        <w:rPr>
          <w:rFonts w:hint="eastAsia" w:ascii="宋体" w:hAnsi="宋体" w:cs="宋体"/>
          <w:color w:val="auto"/>
          <w:kern w:val="0"/>
          <w:sz w:val="22"/>
          <w:szCs w:val="22"/>
          <w:highlight w:val="none"/>
        </w:rPr>
        <w:t>年</w:t>
      </w:r>
      <w:r>
        <w:rPr>
          <w:rFonts w:hint="eastAsia" w:ascii="宋体" w:hAnsi="宋体" w:cs="宋体"/>
          <w:color w:val="auto"/>
          <w:kern w:val="0"/>
          <w:sz w:val="22"/>
          <w:szCs w:val="22"/>
          <w:highlight w:val="none"/>
          <w:lang w:val="en-US" w:eastAsia="zh-CN"/>
        </w:rPr>
        <w:t>10月23日</w:t>
      </w:r>
      <w:r>
        <w:rPr>
          <w:rFonts w:hint="eastAsia" w:ascii="宋体" w:hAnsi="宋体" w:cs="宋体"/>
          <w:color w:val="auto"/>
          <w:kern w:val="0"/>
          <w:sz w:val="22"/>
          <w:szCs w:val="22"/>
          <w:highlight w:val="none"/>
        </w:rPr>
        <w:t xml:space="preserve"> ，每天上午00:00至12:00 ，下午12:00至23:59（北京时间，线上获取法定节假日均可，线下获取文件法定节假日除外）。</w:t>
      </w:r>
    </w:p>
    <w:p w14:paraId="2DA27F70">
      <w:pPr>
        <w:keepNext w:val="0"/>
        <w:keepLines w:val="0"/>
        <w:pageBreakBefore w:val="0"/>
        <w:widowControl/>
        <w:kinsoku/>
        <w:wordWrap/>
        <w:overflowPunct/>
        <w:topLinePunct w:val="0"/>
        <w:autoSpaceDE/>
        <w:autoSpaceDN/>
        <w:bidi w:val="0"/>
        <w:adjustRightInd/>
        <w:snapToGrid/>
        <w:spacing w:before="60" w:after="60" w:line="320" w:lineRule="exact"/>
        <w:ind w:right="62" w:firstLine="440"/>
        <w:jc w:val="left"/>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2.地点：在政采云平台（www.zcygov.cn）。</w:t>
      </w:r>
    </w:p>
    <w:p w14:paraId="1F91095C">
      <w:pPr>
        <w:keepNext w:val="0"/>
        <w:keepLines w:val="0"/>
        <w:pageBreakBefore w:val="0"/>
        <w:widowControl/>
        <w:kinsoku/>
        <w:wordWrap/>
        <w:overflowPunct/>
        <w:topLinePunct w:val="0"/>
        <w:autoSpaceDE/>
        <w:autoSpaceDN/>
        <w:bidi w:val="0"/>
        <w:adjustRightInd/>
        <w:snapToGrid/>
        <w:spacing w:before="60" w:after="60" w:line="320" w:lineRule="exact"/>
        <w:ind w:right="62" w:firstLine="440"/>
        <w:jc w:val="left"/>
        <w:textAlignment w:val="auto"/>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3.方式：供应商登录政采云平台https://www.zcygov.cn/在线申请获取采购文件（进入“项目采购”应用，在获取采购文件菜单中选择项目，申请获取采购文件） </w:t>
      </w:r>
      <w:r>
        <w:rPr>
          <w:rFonts w:hint="eastAsia" w:ascii="宋体" w:hAnsi="宋体" w:cs="宋体"/>
          <w:color w:val="auto"/>
          <w:sz w:val="22"/>
          <w:szCs w:val="22"/>
          <w:highlight w:val="none"/>
        </w:rPr>
        <w:t>。</w:t>
      </w:r>
    </w:p>
    <w:p w14:paraId="0D6CD29D">
      <w:pPr>
        <w:keepNext w:val="0"/>
        <w:keepLines w:val="0"/>
        <w:pageBreakBefore w:val="0"/>
        <w:widowControl/>
        <w:kinsoku/>
        <w:wordWrap/>
        <w:overflowPunct/>
        <w:topLinePunct w:val="0"/>
        <w:autoSpaceDE/>
        <w:autoSpaceDN/>
        <w:bidi w:val="0"/>
        <w:adjustRightInd/>
        <w:snapToGrid/>
        <w:spacing w:before="60" w:after="60" w:line="320" w:lineRule="exact"/>
        <w:ind w:right="62" w:firstLine="440"/>
        <w:jc w:val="left"/>
        <w:textAlignment w:val="auto"/>
        <w:rPr>
          <w:rFonts w:ascii="宋体" w:hAnsi="宋体" w:cs="宋体"/>
          <w:color w:val="auto"/>
          <w:sz w:val="22"/>
          <w:szCs w:val="22"/>
          <w:highlight w:val="none"/>
        </w:rPr>
      </w:pPr>
      <w:r>
        <w:rPr>
          <w:rFonts w:hint="eastAsia" w:ascii="宋体" w:hAnsi="宋体" w:cs="宋体"/>
          <w:b/>
          <w:color w:val="auto"/>
          <w:kern w:val="0"/>
          <w:sz w:val="22"/>
          <w:szCs w:val="22"/>
          <w:highlight w:val="none"/>
        </w:rPr>
        <w:t>供应商只有在“政采云平台”完成获取采购文件申请并下载了采购文件后才视作依法获取采购文件（法律法规所指的供应商获取采购文件时间以供应商完成获取采购文件申请后下载采购文件的时间为准）。未依法获取采购文件的潜在供应商对采购文件提起质疑投诉，不予受理。</w:t>
      </w:r>
    </w:p>
    <w:p w14:paraId="6B18456F">
      <w:pPr>
        <w:keepNext w:val="0"/>
        <w:keepLines w:val="0"/>
        <w:pageBreakBefore w:val="0"/>
        <w:widowControl/>
        <w:kinsoku/>
        <w:wordWrap/>
        <w:overflowPunct/>
        <w:topLinePunct w:val="0"/>
        <w:autoSpaceDE/>
        <w:autoSpaceDN/>
        <w:bidi w:val="0"/>
        <w:adjustRightInd/>
        <w:snapToGrid/>
        <w:spacing w:before="60" w:after="60" w:line="320" w:lineRule="exact"/>
        <w:ind w:right="62" w:firstLine="440"/>
        <w:jc w:val="left"/>
        <w:textAlignment w:val="auto"/>
        <w:rPr>
          <w:rFonts w:ascii="宋体" w:hAnsi="宋体" w:cs="宋体"/>
          <w:b/>
          <w:color w:val="auto"/>
          <w:kern w:val="0"/>
          <w:sz w:val="22"/>
          <w:szCs w:val="22"/>
          <w:highlight w:val="none"/>
        </w:rPr>
      </w:pPr>
      <w:r>
        <w:rPr>
          <w:rFonts w:hint="eastAsia" w:ascii="宋体" w:hAnsi="宋体" w:cs="宋体"/>
          <w:color w:val="auto"/>
          <w:kern w:val="0"/>
          <w:sz w:val="22"/>
          <w:szCs w:val="22"/>
          <w:highlight w:val="none"/>
        </w:rPr>
        <w:t>4．售价（元）：0</w:t>
      </w:r>
    </w:p>
    <w:p w14:paraId="7FDD3E29">
      <w:pPr>
        <w:keepNext w:val="0"/>
        <w:keepLines w:val="0"/>
        <w:pageBreakBefore w:val="0"/>
        <w:widowControl/>
        <w:kinsoku/>
        <w:wordWrap/>
        <w:overflowPunct/>
        <w:topLinePunct w:val="0"/>
        <w:autoSpaceDE/>
        <w:autoSpaceDN/>
        <w:bidi w:val="0"/>
        <w:adjustRightInd/>
        <w:snapToGrid/>
        <w:spacing w:before="60" w:after="60" w:line="320" w:lineRule="exact"/>
        <w:ind w:right="62"/>
        <w:jc w:val="left"/>
        <w:textAlignment w:val="auto"/>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四、响应文件提交（上传） </w:t>
      </w:r>
    </w:p>
    <w:p w14:paraId="6898B159">
      <w:pPr>
        <w:keepNext w:val="0"/>
        <w:keepLines w:val="0"/>
        <w:pageBreakBefore w:val="0"/>
        <w:widowControl/>
        <w:kinsoku/>
        <w:wordWrap/>
        <w:overflowPunct/>
        <w:topLinePunct w:val="0"/>
        <w:autoSpaceDE/>
        <w:autoSpaceDN/>
        <w:bidi w:val="0"/>
        <w:adjustRightInd/>
        <w:snapToGrid/>
        <w:spacing w:before="60" w:after="60" w:line="320" w:lineRule="exact"/>
        <w:ind w:right="62" w:firstLine="440"/>
        <w:jc w:val="left"/>
        <w:textAlignment w:val="auto"/>
        <w:rPr>
          <w:rFonts w:ascii="宋体" w:hAnsi="宋体" w:cs="宋体"/>
          <w:color w:val="auto"/>
          <w:sz w:val="22"/>
          <w:szCs w:val="22"/>
          <w:highlight w:val="none"/>
        </w:rPr>
      </w:pPr>
      <w:r>
        <w:rPr>
          <w:rFonts w:hint="eastAsia" w:ascii="宋体" w:hAnsi="宋体" w:cs="宋体"/>
          <w:color w:val="auto"/>
          <w:sz w:val="22"/>
          <w:szCs w:val="22"/>
          <w:highlight w:val="none"/>
        </w:rPr>
        <w:t>截止时间：</w:t>
      </w:r>
      <w:r>
        <w:rPr>
          <w:rFonts w:hint="eastAsia" w:ascii="宋体" w:hAnsi="宋体" w:cs="宋体"/>
          <w:color w:val="auto"/>
          <w:sz w:val="22"/>
          <w:szCs w:val="22"/>
          <w:highlight w:val="none"/>
          <w:lang w:eastAsia="zh-CN"/>
        </w:rPr>
        <w:t xml:space="preserve">2024 </w:t>
      </w:r>
      <w:r>
        <w:rPr>
          <w:rFonts w:hint="eastAsia" w:ascii="宋体" w:hAnsi="宋体" w:cs="宋体"/>
          <w:color w:val="auto"/>
          <w:sz w:val="22"/>
          <w:szCs w:val="22"/>
          <w:highlight w:val="none"/>
        </w:rPr>
        <w:t>年</w:t>
      </w:r>
      <w:r>
        <w:rPr>
          <w:rFonts w:hint="eastAsia" w:ascii="宋体" w:hAnsi="宋体" w:cs="宋体"/>
          <w:color w:val="auto"/>
          <w:sz w:val="22"/>
          <w:szCs w:val="22"/>
          <w:highlight w:val="none"/>
          <w:lang w:val="en-US" w:eastAsia="zh-CN"/>
        </w:rPr>
        <w:t>10月23日</w:t>
      </w: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lang w:val="en-US" w:eastAsia="zh-CN"/>
        </w:rPr>
        <w:t>14</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0（北京时间）</w:t>
      </w:r>
    </w:p>
    <w:p w14:paraId="61AEFA3D">
      <w:pPr>
        <w:keepNext w:val="0"/>
        <w:keepLines w:val="0"/>
        <w:pageBreakBefore w:val="0"/>
        <w:widowControl/>
        <w:kinsoku/>
        <w:wordWrap/>
        <w:overflowPunct/>
        <w:topLinePunct w:val="0"/>
        <w:autoSpaceDE/>
        <w:autoSpaceDN/>
        <w:bidi w:val="0"/>
        <w:adjustRightInd/>
        <w:snapToGrid/>
        <w:spacing w:before="60" w:after="60" w:line="320" w:lineRule="exact"/>
        <w:ind w:right="62" w:firstLine="440"/>
        <w:jc w:val="left"/>
        <w:textAlignment w:val="auto"/>
        <w:rPr>
          <w:rFonts w:ascii="宋体" w:hAnsi="宋体" w:cs="宋体"/>
          <w:color w:val="auto"/>
          <w:sz w:val="22"/>
          <w:szCs w:val="22"/>
          <w:highlight w:val="none"/>
        </w:rPr>
      </w:pPr>
      <w:r>
        <w:rPr>
          <w:rFonts w:hint="eastAsia" w:ascii="宋体" w:hAnsi="宋体" w:cs="宋体"/>
          <w:color w:val="auto"/>
          <w:sz w:val="22"/>
          <w:szCs w:val="22"/>
          <w:highlight w:val="none"/>
        </w:rPr>
        <w:t>地点（网址）：通过“政府采购云平台（www.zcygov.cn）”在线递交  </w:t>
      </w:r>
    </w:p>
    <w:p w14:paraId="1851434E">
      <w:pPr>
        <w:keepNext w:val="0"/>
        <w:keepLines w:val="0"/>
        <w:pageBreakBefore w:val="0"/>
        <w:widowControl/>
        <w:kinsoku/>
        <w:wordWrap/>
        <w:overflowPunct/>
        <w:topLinePunct w:val="0"/>
        <w:autoSpaceDE/>
        <w:autoSpaceDN/>
        <w:bidi w:val="0"/>
        <w:adjustRightInd/>
        <w:snapToGrid/>
        <w:spacing w:before="60" w:after="60" w:line="320" w:lineRule="exact"/>
        <w:ind w:right="62"/>
        <w:jc w:val="left"/>
        <w:textAlignment w:val="auto"/>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五、响应文件开启 </w:t>
      </w:r>
    </w:p>
    <w:p w14:paraId="1C6ED3D0">
      <w:pPr>
        <w:keepNext w:val="0"/>
        <w:keepLines w:val="0"/>
        <w:pageBreakBefore w:val="0"/>
        <w:widowControl/>
        <w:kinsoku/>
        <w:wordWrap/>
        <w:overflowPunct/>
        <w:topLinePunct w:val="0"/>
        <w:autoSpaceDE/>
        <w:autoSpaceDN/>
        <w:bidi w:val="0"/>
        <w:adjustRightInd/>
        <w:snapToGrid/>
        <w:spacing w:before="60" w:after="60" w:line="320" w:lineRule="exact"/>
        <w:ind w:right="62" w:firstLine="440"/>
        <w:jc w:val="left"/>
        <w:textAlignment w:val="auto"/>
        <w:rPr>
          <w:rFonts w:ascii="宋体" w:hAnsi="宋体" w:cs="宋体"/>
          <w:color w:val="auto"/>
          <w:sz w:val="22"/>
          <w:szCs w:val="22"/>
          <w:highlight w:val="none"/>
        </w:rPr>
      </w:pPr>
      <w:r>
        <w:rPr>
          <w:rFonts w:hint="eastAsia" w:ascii="宋体" w:hAnsi="宋体" w:cs="宋体"/>
          <w:color w:val="auto"/>
          <w:sz w:val="22"/>
          <w:szCs w:val="22"/>
          <w:highlight w:val="none"/>
        </w:rPr>
        <w:t>开启时间：</w:t>
      </w:r>
      <w:r>
        <w:rPr>
          <w:rFonts w:hint="eastAsia" w:ascii="宋体" w:hAnsi="宋体" w:cs="宋体"/>
          <w:color w:val="auto"/>
          <w:sz w:val="22"/>
          <w:szCs w:val="22"/>
          <w:highlight w:val="none"/>
          <w:lang w:eastAsia="zh-CN"/>
        </w:rPr>
        <w:t xml:space="preserve">2024 </w:t>
      </w:r>
      <w:r>
        <w:rPr>
          <w:rFonts w:hint="eastAsia" w:ascii="宋体" w:hAnsi="宋体" w:cs="宋体"/>
          <w:color w:val="auto"/>
          <w:sz w:val="22"/>
          <w:szCs w:val="22"/>
          <w:highlight w:val="none"/>
        </w:rPr>
        <w:t>年</w:t>
      </w:r>
      <w:r>
        <w:rPr>
          <w:rFonts w:hint="eastAsia" w:ascii="宋体" w:hAnsi="宋体" w:cs="宋体"/>
          <w:color w:val="auto"/>
          <w:sz w:val="22"/>
          <w:szCs w:val="22"/>
          <w:highlight w:val="none"/>
          <w:lang w:val="en-US" w:eastAsia="zh-CN"/>
        </w:rPr>
        <w:t>10月23日14</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0 （北京时间）</w:t>
      </w:r>
    </w:p>
    <w:p w14:paraId="34EB7D87">
      <w:pPr>
        <w:keepNext w:val="0"/>
        <w:keepLines w:val="0"/>
        <w:pageBreakBefore w:val="0"/>
        <w:widowControl/>
        <w:kinsoku/>
        <w:wordWrap/>
        <w:overflowPunct/>
        <w:topLinePunct w:val="0"/>
        <w:autoSpaceDE/>
        <w:autoSpaceDN/>
        <w:bidi w:val="0"/>
        <w:adjustRightInd/>
        <w:snapToGrid/>
        <w:spacing w:before="60" w:after="60" w:line="320" w:lineRule="exact"/>
        <w:ind w:right="62" w:firstLine="440"/>
        <w:jc w:val="left"/>
        <w:textAlignment w:val="auto"/>
        <w:rPr>
          <w:rFonts w:ascii="宋体" w:hAnsi="宋体" w:cs="宋体"/>
          <w:color w:val="auto"/>
          <w:sz w:val="22"/>
          <w:szCs w:val="22"/>
          <w:highlight w:val="none"/>
        </w:rPr>
      </w:pPr>
      <w:r>
        <w:rPr>
          <w:rFonts w:hint="eastAsia" w:ascii="宋体" w:hAnsi="宋体" w:cs="宋体"/>
          <w:color w:val="auto"/>
          <w:sz w:val="22"/>
          <w:szCs w:val="22"/>
          <w:highlight w:val="none"/>
        </w:rPr>
        <w:t>地点（网址）：通过“政府采购云平台（www.zcygov.cn）”在线开标 </w:t>
      </w:r>
    </w:p>
    <w:p w14:paraId="693BCB15">
      <w:pPr>
        <w:keepNext w:val="0"/>
        <w:keepLines w:val="0"/>
        <w:pageBreakBefore w:val="0"/>
        <w:widowControl/>
        <w:kinsoku/>
        <w:wordWrap/>
        <w:overflowPunct/>
        <w:topLinePunct w:val="0"/>
        <w:autoSpaceDE/>
        <w:autoSpaceDN/>
        <w:bidi w:val="0"/>
        <w:adjustRightInd/>
        <w:snapToGrid/>
        <w:spacing w:before="60" w:after="60" w:line="320" w:lineRule="exact"/>
        <w:ind w:right="62"/>
        <w:jc w:val="left"/>
        <w:textAlignment w:val="auto"/>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六、公告期限</w:t>
      </w:r>
    </w:p>
    <w:p w14:paraId="7D5B95A2">
      <w:pPr>
        <w:keepNext w:val="0"/>
        <w:keepLines w:val="0"/>
        <w:pageBreakBefore w:val="0"/>
        <w:widowControl/>
        <w:kinsoku/>
        <w:wordWrap/>
        <w:overflowPunct/>
        <w:topLinePunct w:val="0"/>
        <w:autoSpaceDE/>
        <w:autoSpaceDN/>
        <w:bidi w:val="0"/>
        <w:adjustRightInd/>
        <w:snapToGrid/>
        <w:spacing w:before="60" w:after="60" w:line="320" w:lineRule="exact"/>
        <w:ind w:left="61" w:leftChars="29" w:right="62" w:firstLine="323" w:firstLineChars="147"/>
        <w:jc w:val="left"/>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自本公告发布之日起3个工作日。</w:t>
      </w:r>
    </w:p>
    <w:p w14:paraId="2AE62897">
      <w:pPr>
        <w:keepNext w:val="0"/>
        <w:keepLines w:val="0"/>
        <w:pageBreakBefore w:val="0"/>
        <w:widowControl/>
        <w:kinsoku/>
        <w:wordWrap/>
        <w:overflowPunct/>
        <w:topLinePunct w:val="0"/>
        <w:autoSpaceDE/>
        <w:autoSpaceDN/>
        <w:bidi w:val="0"/>
        <w:adjustRightInd/>
        <w:snapToGrid/>
        <w:spacing w:before="60" w:after="60" w:line="320" w:lineRule="exact"/>
        <w:ind w:left="60" w:right="62"/>
        <w:jc w:val="left"/>
        <w:textAlignment w:val="auto"/>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七、其他补充事宜</w:t>
      </w:r>
    </w:p>
    <w:p w14:paraId="70139D8C">
      <w:pPr>
        <w:keepNext w:val="0"/>
        <w:keepLines w:val="0"/>
        <w:pageBreakBefore w:val="0"/>
        <w:widowControl/>
        <w:kinsoku/>
        <w:wordWrap/>
        <w:overflowPunct/>
        <w:topLinePunct w:val="0"/>
        <w:autoSpaceDE/>
        <w:autoSpaceDN/>
        <w:bidi w:val="0"/>
        <w:adjustRightInd/>
        <w:snapToGrid/>
        <w:spacing w:before="60" w:after="60" w:line="320" w:lineRule="exact"/>
        <w:ind w:left="61" w:leftChars="29" w:right="62" w:firstLine="323" w:firstLineChars="147"/>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D66B124">
      <w:pPr>
        <w:keepNext w:val="0"/>
        <w:keepLines w:val="0"/>
        <w:pageBreakBefore w:val="0"/>
        <w:widowControl/>
        <w:kinsoku/>
        <w:wordWrap/>
        <w:overflowPunct/>
        <w:topLinePunct w:val="0"/>
        <w:autoSpaceDE/>
        <w:autoSpaceDN/>
        <w:bidi w:val="0"/>
        <w:adjustRightInd/>
        <w:snapToGrid/>
        <w:spacing w:before="60" w:after="60" w:line="320" w:lineRule="exact"/>
        <w:ind w:left="61" w:leftChars="29" w:right="62" w:firstLine="323" w:firstLineChars="147"/>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46F12405">
      <w:pPr>
        <w:keepNext w:val="0"/>
        <w:keepLines w:val="0"/>
        <w:pageBreakBefore w:val="0"/>
        <w:widowControl/>
        <w:kinsoku/>
        <w:wordWrap/>
        <w:overflowPunct/>
        <w:topLinePunct w:val="0"/>
        <w:autoSpaceDE/>
        <w:autoSpaceDN/>
        <w:bidi w:val="0"/>
        <w:adjustRightInd/>
        <w:snapToGrid/>
        <w:spacing w:before="60" w:after="60" w:line="320" w:lineRule="exact"/>
        <w:ind w:left="61" w:leftChars="29" w:right="62" w:firstLine="323" w:firstLineChars="147"/>
        <w:jc w:val="left"/>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3</w:t>
      </w:r>
      <w:r>
        <w:rPr>
          <w:rFonts w:hint="eastAsia" w:ascii="宋体" w:hAnsi="宋体" w:cs="宋体"/>
          <w:color w:val="auto"/>
          <w:kern w:val="0"/>
          <w:sz w:val="22"/>
          <w:szCs w:val="22"/>
          <w:highlight w:val="none"/>
        </w:rPr>
        <w:t>.其他事项：</w:t>
      </w:r>
    </w:p>
    <w:p w14:paraId="72BD47B0">
      <w:pPr>
        <w:keepNext w:val="0"/>
        <w:keepLines w:val="0"/>
        <w:pageBreakBefore w:val="0"/>
        <w:widowControl/>
        <w:numPr>
          <w:ilvl w:val="0"/>
          <w:numId w:val="1"/>
        </w:numPr>
        <w:kinsoku/>
        <w:wordWrap/>
        <w:overflowPunct/>
        <w:topLinePunct w:val="0"/>
        <w:autoSpaceDE/>
        <w:autoSpaceDN/>
        <w:bidi w:val="0"/>
        <w:adjustRightInd/>
        <w:snapToGrid/>
        <w:spacing w:before="60" w:after="60" w:line="320" w:lineRule="exact"/>
        <w:ind w:right="62"/>
        <w:jc w:val="left"/>
        <w:textAlignment w:val="auto"/>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本项目通过“政采云平台（www.zcygov.cn）”实行在线投标响应（电子投标），供应商应按照本磋商文件和“政采云平台”的要求，编制并加密磋商响应文件。电子投标具体操作流程详见《供应商项目采购-电子招投标操作指南》，如遇技术问题详询400-881-7190。</w:t>
      </w:r>
    </w:p>
    <w:p w14:paraId="630FFEA8">
      <w:pPr>
        <w:keepNext w:val="0"/>
        <w:keepLines w:val="0"/>
        <w:pageBreakBefore w:val="0"/>
        <w:widowControl/>
        <w:numPr>
          <w:ilvl w:val="0"/>
          <w:numId w:val="1"/>
        </w:numPr>
        <w:kinsoku/>
        <w:wordWrap/>
        <w:overflowPunct/>
        <w:topLinePunct w:val="0"/>
        <w:autoSpaceDE/>
        <w:autoSpaceDN/>
        <w:bidi w:val="0"/>
        <w:adjustRightInd/>
        <w:snapToGrid/>
        <w:spacing w:before="60" w:after="60" w:line="320" w:lineRule="exact"/>
        <w:ind w:right="62"/>
        <w:jc w:val="left"/>
        <w:textAlignment w:val="auto"/>
        <w:rPr>
          <w:rFonts w:ascii="宋体" w:hAnsi="宋体" w:cs="宋体"/>
          <w:color w:val="auto"/>
          <w:kern w:val="0"/>
          <w:sz w:val="22"/>
          <w:szCs w:val="22"/>
          <w:highlight w:val="none"/>
        </w:rPr>
      </w:pPr>
      <w:r>
        <w:rPr>
          <w:rFonts w:hint="eastAsia" w:ascii="宋体" w:hAnsi="宋体" w:cs="宋体"/>
          <w:color w:val="auto"/>
          <w:highlight w:val="none"/>
          <w:lang w:val="zh-CN"/>
        </w:rPr>
        <w:t>为支持和促进中小企业发展</w:t>
      </w:r>
      <w:r>
        <w:rPr>
          <w:rFonts w:hint="eastAsia" w:ascii="宋体" w:hAnsi="宋体" w:cs="宋体"/>
          <w:color w:val="auto"/>
          <w:highlight w:val="none"/>
        </w:rPr>
        <w:t>，</w:t>
      </w:r>
      <w:r>
        <w:rPr>
          <w:rFonts w:hint="eastAsia" w:ascii="宋体" w:hAnsi="宋体" w:cs="宋体"/>
          <w:color w:val="auto"/>
          <w:highlight w:val="none"/>
          <w:lang w:val="zh-CN"/>
        </w:rPr>
        <w:t>进一步发挥政府采购政策功能</w:t>
      </w:r>
      <w:r>
        <w:rPr>
          <w:rFonts w:hint="eastAsia" w:ascii="宋体" w:hAnsi="宋体" w:cs="宋体"/>
          <w:color w:val="auto"/>
          <w:highlight w:val="none"/>
        </w:rPr>
        <w:t>，</w:t>
      </w:r>
      <w:r>
        <w:rPr>
          <w:rFonts w:hint="eastAsia" w:ascii="宋体" w:hAnsi="宋体" w:cs="宋体"/>
          <w:color w:val="auto"/>
          <w:highlight w:val="none"/>
          <w:lang w:val="zh-CN"/>
        </w:rPr>
        <w:t>温州市财政局出台了《温州市财政局关于温州市政府采购支持中小企业信用融资的通知》</w:t>
      </w:r>
      <w:r>
        <w:rPr>
          <w:rFonts w:hint="eastAsia" w:ascii="宋体" w:hAnsi="宋体" w:cs="宋体"/>
          <w:color w:val="auto"/>
          <w:highlight w:val="none"/>
        </w:rPr>
        <w:t>（</w:t>
      </w:r>
      <w:r>
        <w:rPr>
          <w:rFonts w:hint="eastAsia" w:ascii="宋体" w:hAnsi="宋体" w:cs="宋体"/>
          <w:color w:val="auto"/>
          <w:highlight w:val="none"/>
          <w:lang w:val="zh-CN"/>
        </w:rPr>
        <w:t>温财采〔</w:t>
      </w:r>
      <w:r>
        <w:rPr>
          <w:rFonts w:hint="eastAsia" w:ascii="宋体" w:hAnsi="宋体" w:cs="宋体"/>
          <w:color w:val="auto"/>
          <w:highlight w:val="none"/>
        </w:rPr>
        <w:t>2020</w:t>
      </w:r>
      <w:r>
        <w:rPr>
          <w:rFonts w:hint="eastAsia" w:ascii="宋体" w:hAnsi="宋体" w:cs="宋体"/>
          <w:color w:val="auto"/>
          <w:highlight w:val="none"/>
          <w:lang w:val="zh-CN"/>
        </w:rPr>
        <w:t>〕</w:t>
      </w:r>
      <w:r>
        <w:rPr>
          <w:rFonts w:hint="eastAsia" w:ascii="宋体" w:hAnsi="宋体" w:cs="宋体"/>
          <w:color w:val="auto"/>
          <w:highlight w:val="none"/>
        </w:rPr>
        <w:t>3</w:t>
      </w:r>
      <w:r>
        <w:rPr>
          <w:rFonts w:hint="eastAsia" w:ascii="宋体" w:hAnsi="宋体" w:cs="宋体"/>
          <w:color w:val="auto"/>
          <w:highlight w:val="none"/>
          <w:lang w:val="zh-CN"/>
        </w:rPr>
        <w:t>号</w:t>
      </w:r>
      <w:r>
        <w:rPr>
          <w:rFonts w:hint="eastAsia" w:ascii="宋体" w:hAnsi="宋体" w:cs="宋体"/>
          <w:color w:val="auto"/>
          <w:highlight w:val="none"/>
        </w:rPr>
        <w:t>），</w:t>
      </w:r>
      <w:r>
        <w:rPr>
          <w:rFonts w:hint="eastAsia" w:ascii="宋体" w:hAnsi="宋体" w:cs="宋体"/>
          <w:color w:val="auto"/>
          <w:highlight w:val="none"/>
          <w:lang w:val="zh-CN"/>
        </w:rPr>
        <w:t>供应商若有融资意向</w:t>
      </w:r>
      <w:r>
        <w:rPr>
          <w:rFonts w:hint="eastAsia" w:ascii="宋体" w:hAnsi="宋体" w:cs="宋体"/>
          <w:color w:val="auto"/>
          <w:highlight w:val="none"/>
        </w:rPr>
        <w:t>，</w:t>
      </w:r>
      <w:r>
        <w:rPr>
          <w:rFonts w:hint="eastAsia" w:ascii="宋体" w:hAnsi="宋体" w:cs="宋体"/>
          <w:color w:val="auto"/>
          <w:highlight w:val="none"/>
          <w:lang w:val="zh-CN"/>
        </w:rPr>
        <w:t>可直接登录</w:t>
      </w:r>
      <w:r>
        <w:rPr>
          <w:rFonts w:hint="eastAsia" w:ascii="宋体" w:hAnsi="宋体" w:cs="宋体"/>
          <w:color w:val="auto"/>
          <w:highlight w:val="none"/>
        </w:rPr>
        <w:t>http://jinrong.zcygov.cn，</w:t>
      </w:r>
      <w:r>
        <w:rPr>
          <w:rFonts w:hint="eastAsia" w:ascii="宋体" w:hAnsi="宋体" w:cs="宋体"/>
          <w:color w:val="auto"/>
          <w:highlight w:val="none"/>
          <w:lang w:val="zh-CN"/>
        </w:rPr>
        <w:t>查看信用融资政策文件及各相关银行服务方案</w:t>
      </w:r>
      <w:r>
        <w:rPr>
          <w:rFonts w:hint="eastAsia" w:ascii="宋体" w:hAnsi="宋体" w:cs="宋体"/>
          <w:color w:val="auto"/>
          <w:highlight w:val="none"/>
        </w:rPr>
        <w:t>，</w:t>
      </w:r>
      <w:r>
        <w:rPr>
          <w:rFonts w:hint="eastAsia" w:ascii="宋体" w:hAnsi="宋体" w:cs="宋体"/>
          <w:color w:val="auto"/>
          <w:highlight w:val="none"/>
          <w:lang w:val="zh-CN"/>
        </w:rPr>
        <w:t>也可直接向各银行咨询相关业务。</w:t>
      </w:r>
    </w:p>
    <w:p w14:paraId="461F1221">
      <w:pPr>
        <w:keepNext w:val="0"/>
        <w:keepLines w:val="0"/>
        <w:pageBreakBefore w:val="0"/>
        <w:widowControl/>
        <w:kinsoku/>
        <w:wordWrap/>
        <w:overflowPunct/>
        <w:topLinePunct w:val="0"/>
        <w:autoSpaceDE/>
        <w:autoSpaceDN/>
        <w:bidi w:val="0"/>
        <w:adjustRightInd/>
        <w:snapToGrid/>
        <w:spacing w:before="60" w:after="60" w:line="320" w:lineRule="exact"/>
        <w:ind w:left="60" w:right="62"/>
        <w:jc w:val="left"/>
        <w:textAlignment w:val="auto"/>
        <w:rPr>
          <w:rFonts w:ascii="宋体" w:hAnsi="宋体" w:cs="宋体"/>
          <w:color w:val="auto"/>
          <w:kern w:val="0"/>
          <w:sz w:val="22"/>
          <w:szCs w:val="22"/>
          <w:highlight w:val="none"/>
        </w:rPr>
      </w:pPr>
      <w:r>
        <w:rPr>
          <w:rFonts w:hint="eastAsia" w:ascii="宋体" w:hAnsi="宋体" w:cs="宋体"/>
          <w:b/>
          <w:color w:val="auto"/>
          <w:kern w:val="0"/>
          <w:sz w:val="22"/>
          <w:szCs w:val="22"/>
          <w:highlight w:val="none"/>
        </w:rPr>
        <w:t>八、凡</w:t>
      </w:r>
      <w:r>
        <w:rPr>
          <w:rFonts w:hint="eastAsia" w:ascii="宋体" w:hAnsi="宋体" w:cs="宋体"/>
          <w:b/>
          <w:bCs/>
          <w:color w:val="auto"/>
          <w:kern w:val="0"/>
          <w:sz w:val="22"/>
          <w:szCs w:val="22"/>
          <w:highlight w:val="none"/>
        </w:rPr>
        <w:t>对本次采购提出询问、质疑、投诉，请按以下方式联系</w:t>
      </w:r>
    </w:p>
    <w:p w14:paraId="3766FD0B">
      <w:pPr>
        <w:keepNext w:val="0"/>
        <w:keepLines w:val="0"/>
        <w:pageBreakBefore w:val="0"/>
        <w:widowControl/>
        <w:kinsoku/>
        <w:wordWrap/>
        <w:overflowPunct/>
        <w:topLinePunct w:val="0"/>
        <w:autoSpaceDE/>
        <w:autoSpaceDN/>
        <w:bidi w:val="0"/>
        <w:adjustRightInd/>
        <w:snapToGrid/>
        <w:spacing w:before="60" w:after="60" w:line="320" w:lineRule="exact"/>
        <w:ind w:right="62" w:firstLine="440"/>
        <w:jc w:val="left"/>
        <w:textAlignment w:val="auto"/>
        <w:rPr>
          <w:rFonts w:hint="eastAsia" w:ascii="宋体" w:hAnsi="宋体" w:cs="宋体"/>
          <w:color w:val="auto"/>
          <w:kern w:val="0"/>
          <w:sz w:val="22"/>
          <w:szCs w:val="22"/>
          <w:highlight w:val="none"/>
          <w:lang w:eastAsia="zh-CN"/>
        </w:rPr>
      </w:pPr>
      <w:r>
        <w:rPr>
          <w:rFonts w:hint="eastAsia" w:ascii="宋体" w:hAnsi="宋体" w:cs="宋体"/>
          <w:color w:val="auto"/>
          <w:kern w:val="0"/>
          <w:sz w:val="22"/>
          <w:szCs w:val="22"/>
          <w:highlight w:val="none"/>
        </w:rPr>
        <w:t>采购人：</w:t>
      </w:r>
      <w:r>
        <w:rPr>
          <w:rFonts w:hint="eastAsia" w:ascii="宋体" w:hAnsi="宋体" w:cs="宋体"/>
          <w:color w:val="auto"/>
          <w:kern w:val="0"/>
          <w:sz w:val="22"/>
          <w:szCs w:val="22"/>
          <w:highlight w:val="none"/>
          <w:lang w:eastAsia="zh-CN"/>
        </w:rPr>
        <w:t xml:space="preserve">温州市鹿城区人民政府松台街道办事处 </w:t>
      </w:r>
    </w:p>
    <w:p w14:paraId="29616B8C">
      <w:pPr>
        <w:widowControl/>
        <w:spacing w:before="60" w:after="60" w:line="360" w:lineRule="exact"/>
        <w:ind w:right="60" w:firstLine="44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地址：</w:t>
      </w:r>
      <w:r>
        <w:rPr>
          <w:rFonts w:hint="eastAsia" w:ascii="宋体" w:hAnsi="宋体" w:cs="宋体"/>
          <w:color w:val="auto"/>
          <w:kern w:val="0"/>
          <w:sz w:val="22"/>
          <w:szCs w:val="22"/>
          <w:highlight w:val="none"/>
          <w:lang w:eastAsia="zh-CN"/>
        </w:rPr>
        <w:t>温州市鹿城区雪山路75弄33号</w:t>
      </w:r>
    </w:p>
    <w:p w14:paraId="6254DEF6">
      <w:pPr>
        <w:widowControl/>
        <w:spacing w:before="60" w:after="60" w:line="360" w:lineRule="exact"/>
        <w:ind w:right="60" w:firstLine="440"/>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联系人：应</w:t>
      </w:r>
      <w:r>
        <w:rPr>
          <w:rFonts w:hint="eastAsia" w:ascii="宋体" w:hAnsi="宋体" w:cs="宋体"/>
          <w:color w:val="auto"/>
          <w:kern w:val="0"/>
          <w:sz w:val="22"/>
          <w:szCs w:val="22"/>
          <w:highlight w:val="none"/>
          <w:lang w:val="en-US" w:eastAsia="zh-CN"/>
        </w:rPr>
        <w:t>女士</w:t>
      </w:r>
    </w:p>
    <w:p w14:paraId="4227592E">
      <w:pPr>
        <w:widowControl/>
        <w:spacing w:before="60" w:after="60" w:line="360" w:lineRule="exact"/>
        <w:ind w:right="60" w:firstLine="440"/>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电话 / 传真：</w:t>
      </w:r>
      <w:r>
        <w:rPr>
          <w:rFonts w:hint="eastAsia" w:ascii="宋体" w:hAnsi="宋体" w:cs="宋体"/>
          <w:color w:val="auto"/>
          <w:kern w:val="0"/>
          <w:sz w:val="22"/>
          <w:szCs w:val="22"/>
          <w:highlight w:val="none"/>
          <w:lang w:eastAsia="zh-CN"/>
        </w:rPr>
        <w:t>13353319036、</w:t>
      </w:r>
      <w:r>
        <w:rPr>
          <w:rFonts w:hint="eastAsia" w:ascii="宋体" w:hAnsi="宋体" w:eastAsia="宋体" w:cs="宋体"/>
          <w:color w:val="auto"/>
          <w:kern w:val="0"/>
          <w:sz w:val="22"/>
          <w:szCs w:val="22"/>
          <w:highlight w:val="none"/>
        </w:rPr>
        <w:t>0577-</w:t>
      </w:r>
      <w:r>
        <w:rPr>
          <w:rFonts w:hint="eastAsia" w:ascii="宋体" w:hAnsi="宋体" w:cs="宋体"/>
          <w:color w:val="auto"/>
          <w:kern w:val="0"/>
          <w:sz w:val="22"/>
          <w:szCs w:val="22"/>
          <w:highlight w:val="none"/>
          <w:lang w:eastAsia="zh-CN"/>
        </w:rPr>
        <w:t>55565816</w:t>
      </w:r>
    </w:p>
    <w:p w14:paraId="41C77516">
      <w:pPr>
        <w:widowControl/>
        <w:spacing w:before="60" w:after="60" w:line="360" w:lineRule="exact"/>
        <w:ind w:right="60" w:firstLine="44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质疑联系人：应</w:t>
      </w:r>
      <w:r>
        <w:rPr>
          <w:rFonts w:hint="eastAsia" w:ascii="宋体" w:hAnsi="宋体" w:cs="宋体"/>
          <w:color w:val="auto"/>
          <w:kern w:val="0"/>
          <w:sz w:val="22"/>
          <w:szCs w:val="22"/>
          <w:highlight w:val="none"/>
          <w:lang w:val="en-US" w:eastAsia="zh-CN"/>
        </w:rPr>
        <w:t>女士</w:t>
      </w:r>
    </w:p>
    <w:p w14:paraId="66FAFD48">
      <w:pPr>
        <w:widowControl/>
        <w:spacing w:before="60" w:after="60" w:line="360" w:lineRule="exact"/>
        <w:ind w:right="60" w:firstLine="44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质疑联系方式：</w:t>
      </w:r>
      <w:r>
        <w:rPr>
          <w:rFonts w:hint="eastAsia" w:ascii="宋体" w:hAnsi="宋体" w:cs="宋体"/>
          <w:color w:val="auto"/>
          <w:kern w:val="0"/>
          <w:sz w:val="22"/>
          <w:szCs w:val="22"/>
          <w:highlight w:val="none"/>
          <w:lang w:eastAsia="zh-CN"/>
        </w:rPr>
        <w:t>13353319036</w:t>
      </w:r>
    </w:p>
    <w:p w14:paraId="10AB0228">
      <w:pPr>
        <w:keepNext w:val="0"/>
        <w:keepLines w:val="0"/>
        <w:pageBreakBefore w:val="0"/>
        <w:widowControl/>
        <w:kinsoku/>
        <w:wordWrap/>
        <w:overflowPunct/>
        <w:topLinePunct w:val="0"/>
        <w:autoSpaceDE/>
        <w:autoSpaceDN/>
        <w:bidi w:val="0"/>
        <w:adjustRightInd/>
        <w:snapToGrid/>
        <w:spacing w:before="60" w:after="60" w:line="320" w:lineRule="exact"/>
        <w:ind w:right="62" w:firstLine="440"/>
        <w:jc w:val="left"/>
        <w:textAlignment w:val="auto"/>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招标代理机构：</w:t>
      </w:r>
      <w:r>
        <w:rPr>
          <w:rFonts w:hint="eastAsia" w:ascii="宋体" w:hAnsi="宋体" w:cs="宋体"/>
          <w:color w:val="auto"/>
          <w:kern w:val="0"/>
          <w:sz w:val="22"/>
          <w:szCs w:val="22"/>
          <w:highlight w:val="none"/>
          <w:lang w:eastAsia="zh-CN"/>
        </w:rPr>
        <w:t>华诚工程咨询集团有限公司</w:t>
      </w:r>
    </w:p>
    <w:p w14:paraId="3E88B71D">
      <w:pPr>
        <w:keepNext w:val="0"/>
        <w:keepLines w:val="0"/>
        <w:pageBreakBefore w:val="0"/>
        <w:widowControl/>
        <w:kinsoku/>
        <w:wordWrap/>
        <w:overflowPunct/>
        <w:topLinePunct w:val="0"/>
        <w:autoSpaceDE/>
        <w:autoSpaceDN/>
        <w:bidi w:val="0"/>
        <w:adjustRightInd/>
        <w:snapToGrid/>
        <w:spacing w:before="60" w:after="60" w:line="320" w:lineRule="exact"/>
        <w:ind w:right="62" w:firstLine="440"/>
        <w:jc w:val="left"/>
        <w:textAlignment w:val="auto"/>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地址：</w:t>
      </w:r>
      <w:r>
        <w:rPr>
          <w:rFonts w:hint="eastAsia" w:ascii="宋体" w:hAnsi="宋体" w:cs="宋体"/>
          <w:color w:val="auto"/>
          <w:kern w:val="0"/>
          <w:sz w:val="22"/>
          <w:szCs w:val="22"/>
          <w:highlight w:val="none"/>
          <w:lang w:eastAsia="zh-CN"/>
        </w:rPr>
        <w:t>温州市洛河路18号C幢6楼</w:t>
      </w:r>
    </w:p>
    <w:p w14:paraId="034F7894">
      <w:pPr>
        <w:keepNext w:val="0"/>
        <w:keepLines w:val="0"/>
        <w:pageBreakBefore w:val="0"/>
        <w:widowControl/>
        <w:kinsoku/>
        <w:wordWrap/>
        <w:overflowPunct/>
        <w:topLinePunct w:val="0"/>
        <w:autoSpaceDE/>
        <w:autoSpaceDN/>
        <w:bidi w:val="0"/>
        <w:adjustRightInd/>
        <w:snapToGrid/>
        <w:spacing w:before="60" w:after="60" w:line="320" w:lineRule="exact"/>
        <w:ind w:right="62" w:firstLine="440"/>
        <w:jc w:val="left"/>
        <w:textAlignment w:val="auto"/>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联系人：</w:t>
      </w:r>
      <w:r>
        <w:rPr>
          <w:rFonts w:hint="eastAsia" w:ascii="宋体" w:hAnsi="宋体" w:cs="宋体"/>
          <w:color w:val="auto"/>
          <w:kern w:val="0"/>
          <w:sz w:val="22"/>
          <w:szCs w:val="22"/>
          <w:highlight w:val="none"/>
          <w:lang w:eastAsia="zh-CN"/>
        </w:rPr>
        <w:t>黄先生、冯女士</w:t>
      </w:r>
    </w:p>
    <w:p w14:paraId="6F71D1EC">
      <w:pPr>
        <w:keepNext w:val="0"/>
        <w:keepLines w:val="0"/>
        <w:pageBreakBefore w:val="0"/>
        <w:widowControl/>
        <w:kinsoku/>
        <w:wordWrap/>
        <w:overflowPunct/>
        <w:topLinePunct w:val="0"/>
        <w:autoSpaceDE/>
        <w:autoSpaceDN/>
        <w:bidi w:val="0"/>
        <w:adjustRightInd/>
        <w:snapToGrid/>
        <w:spacing w:before="60" w:after="60" w:line="320" w:lineRule="exact"/>
        <w:ind w:right="62" w:firstLine="440"/>
        <w:jc w:val="left"/>
        <w:textAlignment w:val="auto"/>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联系电话：</w:t>
      </w:r>
      <w:r>
        <w:rPr>
          <w:rFonts w:hint="eastAsia" w:ascii="宋体" w:hAnsi="宋体" w:cs="宋体"/>
          <w:color w:val="auto"/>
          <w:kern w:val="0"/>
          <w:sz w:val="22"/>
          <w:szCs w:val="22"/>
          <w:highlight w:val="none"/>
          <w:lang w:eastAsia="zh-CN"/>
        </w:rPr>
        <w:t>15067836449、13806697235</w:t>
      </w:r>
    </w:p>
    <w:p w14:paraId="14FECE36">
      <w:pPr>
        <w:keepNext w:val="0"/>
        <w:keepLines w:val="0"/>
        <w:pageBreakBefore w:val="0"/>
        <w:widowControl/>
        <w:kinsoku/>
        <w:wordWrap/>
        <w:overflowPunct/>
        <w:topLinePunct w:val="0"/>
        <w:autoSpaceDE/>
        <w:autoSpaceDN/>
        <w:bidi w:val="0"/>
        <w:adjustRightInd/>
        <w:snapToGrid/>
        <w:spacing w:before="60" w:after="60" w:line="320" w:lineRule="exact"/>
        <w:ind w:right="62" w:firstLine="440"/>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传真：0577-88557963</w:t>
      </w:r>
    </w:p>
    <w:p w14:paraId="449E602F">
      <w:pPr>
        <w:keepNext w:val="0"/>
        <w:keepLines w:val="0"/>
        <w:pageBreakBefore w:val="0"/>
        <w:widowControl/>
        <w:kinsoku/>
        <w:wordWrap/>
        <w:overflowPunct/>
        <w:topLinePunct w:val="0"/>
        <w:autoSpaceDE/>
        <w:autoSpaceDN/>
        <w:bidi w:val="0"/>
        <w:adjustRightInd/>
        <w:snapToGrid/>
        <w:spacing w:before="60" w:after="60" w:line="320" w:lineRule="exact"/>
        <w:ind w:right="62" w:firstLine="440"/>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质疑联系人：</w:t>
      </w:r>
      <w:r>
        <w:rPr>
          <w:rFonts w:hint="eastAsia" w:ascii="宋体" w:hAnsi="宋体" w:cs="宋体"/>
          <w:color w:val="auto"/>
          <w:kern w:val="0"/>
          <w:sz w:val="22"/>
          <w:szCs w:val="22"/>
          <w:highlight w:val="none"/>
          <w:lang w:val="en-US" w:eastAsia="zh-CN"/>
        </w:rPr>
        <w:t>冯女士</w:t>
      </w:r>
      <w:r>
        <w:rPr>
          <w:rFonts w:hint="eastAsia" w:ascii="宋体" w:hAnsi="宋体" w:cs="宋体"/>
          <w:color w:val="auto"/>
          <w:kern w:val="0"/>
          <w:sz w:val="22"/>
          <w:szCs w:val="22"/>
          <w:highlight w:val="none"/>
        </w:rPr>
        <w:t> </w:t>
      </w:r>
    </w:p>
    <w:p w14:paraId="626ABFA7">
      <w:pPr>
        <w:keepNext w:val="0"/>
        <w:keepLines w:val="0"/>
        <w:pageBreakBefore w:val="0"/>
        <w:widowControl/>
        <w:kinsoku/>
        <w:wordWrap/>
        <w:overflowPunct/>
        <w:topLinePunct w:val="0"/>
        <w:autoSpaceDE/>
        <w:autoSpaceDN/>
        <w:bidi w:val="0"/>
        <w:adjustRightInd/>
        <w:snapToGrid/>
        <w:spacing w:before="60" w:after="60" w:line="320" w:lineRule="exact"/>
        <w:ind w:right="62" w:firstLine="440"/>
        <w:jc w:val="left"/>
        <w:textAlignment w:val="auto"/>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质疑联系方式：</w:t>
      </w:r>
      <w:r>
        <w:rPr>
          <w:rFonts w:hint="eastAsia" w:ascii="宋体" w:hAnsi="宋体" w:cs="宋体"/>
          <w:color w:val="auto"/>
          <w:kern w:val="0"/>
          <w:sz w:val="22"/>
          <w:szCs w:val="22"/>
          <w:highlight w:val="none"/>
          <w:lang w:eastAsia="zh-CN"/>
        </w:rPr>
        <w:t>13806697235</w:t>
      </w:r>
    </w:p>
    <w:p w14:paraId="0C0FBBDF">
      <w:pPr>
        <w:keepNext w:val="0"/>
        <w:keepLines w:val="0"/>
        <w:pageBreakBefore w:val="0"/>
        <w:widowControl/>
        <w:kinsoku/>
        <w:wordWrap/>
        <w:overflowPunct/>
        <w:topLinePunct w:val="0"/>
        <w:autoSpaceDE/>
        <w:autoSpaceDN/>
        <w:bidi w:val="0"/>
        <w:adjustRightInd/>
        <w:snapToGrid/>
        <w:spacing w:before="60" w:after="60" w:line="320" w:lineRule="exact"/>
        <w:ind w:right="62" w:firstLine="440"/>
        <w:jc w:val="left"/>
        <w:textAlignment w:val="auto"/>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同级政府采购监管部门：</w:t>
      </w:r>
      <w:r>
        <w:rPr>
          <w:rFonts w:hint="eastAsia" w:ascii="宋体" w:hAnsi="宋体" w:cs="宋体"/>
          <w:color w:val="auto"/>
          <w:kern w:val="0"/>
          <w:sz w:val="22"/>
          <w:szCs w:val="22"/>
          <w:highlight w:val="none"/>
          <w:lang w:eastAsia="zh-CN"/>
        </w:rPr>
        <w:t>温州市鹿城区财政局</w:t>
      </w:r>
    </w:p>
    <w:p w14:paraId="2E6361D6">
      <w:pPr>
        <w:keepNext w:val="0"/>
        <w:keepLines w:val="0"/>
        <w:pageBreakBefore w:val="0"/>
        <w:widowControl/>
        <w:kinsoku/>
        <w:wordWrap/>
        <w:overflowPunct/>
        <w:topLinePunct w:val="0"/>
        <w:autoSpaceDE/>
        <w:autoSpaceDN/>
        <w:bidi w:val="0"/>
        <w:adjustRightInd/>
        <w:snapToGrid/>
        <w:spacing w:before="60" w:after="60" w:line="320" w:lineRule="exact"/>
        <w:ind w:right="62" w:firstLine="440"/>
        <w:jc w:val="left"/>
        <w:textAlignment w:val="auto"/>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地址：</w:t>
      </w:r>
      <w:r>
        <w:rPr>
          <w:rFonts w:hint="eastAsia" w:ascii="宋体" w:hAnsi="宋体" w:cs="宋体"/>
          <w:color w:val="auto"/>
          <w:kern w:val="0"/>
          <w:sz w:val="22"/>
          <w:szCs w:val="22"/>
          <w:highlight w:val="none"/>
          <w:lang w:eastAsia="zh-CN"/>
        </w:rPr>
        <w:t>浙江省温州市鹿城区江滨西路552号博林大厦2楼</w:t>
      </w:r>
    </w:p>
    <w:p w14:paraId="3E06F999">
      <w:pPr>
        <w:keepNext w:val="0"/>
        <w:keepLines w:val="0"/>
        <w:pageBreakBefore w:val="0"/>
        <w:widowControl/>
        <w:kinsoku/>
        <w:wordWrap/>
        <w:overflowPunct/>
        <w:topLinePunct w:val="0"/>
        <w:autoSpaceDE/>
        <w:autoSpaceDN/>
        <w:bidi w:val="0"/>
        <w:adjustRightInd/>
        <w:snapToGrid/>
        <w:spacing w:before="60" w:after="60" w:line="320" w:lineRule="exact"/>
        <w:ind w:right="62" w:firstLine="440"/>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联系人：</w:t>
      </w:r>
      <w:r>
        <w:rPr>
          <w:rFonts w:hint="eastAsia" w:ascii="宋体" w:hAnsi="宋体" w:eastAsia="宋体" w:cs="宋体"/>
          <w:color w:val="auto"/>
          <w:sz w:val="24"/>
          <w:highlight w:val="none"/>
          <w:lang w:val="en-US" w:eastAsia="zh-CN"/>
        </w:rPr>
        <w:t>黄女士</w:t>
      </w:r>
    </w:p>
    <w:p w14:paraId="49833951">
      <w:pPr>
        <w:keepNext w:val="0"/>
        <w:keepLines w:val="0"/>
        <w:pageBreakBefore w:val="0"/>
        <w:widowControl/>
        <w:kinsoku/>
        <w:wordWrap/>
        <w:overflowPunct/>
        <w:topLinePunct w:val="0"/>
        <w:autoSpaceDE/>
        <w:autoSpaceDN/>
        <w:bidi w:val="0"/>
        <w:adjustRightInd/>
        <w:snapToGrid/>
        <w:spacing w:before="60" w:after="60" w:line="320" w:lineRule="exact"/>
        <w:ind w:right="62" w:firstLine="440"/>
        <w:jc w:val="left"/>
        <w:textAlignment w:val="auto"/>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联系电话：</w:t>
      </w:r>
      <w:r>
        <w:rPr>
          <w:rFonts w:hint="eastAsia" w:ascii="宋体" w:hAnsi="宋体" w:cs="宋体"/>
          <w:color w:val="auto"/>
          <w:kern w:val="0"/>
          <w:sz w:val="22"/>
          <w:szCs w:val="22"/>
          <w:highlight w:val="none"/>
          <w:lang w:eastAsia="zh-CN"/>
        </w:rPr>
        <w:t>0577-88359173</w:t>
      </w:r>
    </w:p>
    <w:p w14:paraId="622415D4">
      <w:pPr>
        <w:widowControl/>
        <w:jc w:val="left"/>
        <w:rPr>
          <w:rFonts w:ascii="宋体" w:hAnsi="宋体" w:cs="宋体"/>
          <w:color w:val="auto"/>
          <w:sz w:val="22"/>
          <w:szCs w:val="22"/>
          <w:highlight w:val="none"/>
        </w:rPr>
      </w:pPr>
      <w:bookmarkStart w:id="4" w:name="_Toc221374621"/>
      <w:bookmarkStart w:id="5" w:name="_Toc221356881"/>
      <w:bookmarkStart w:id="6" w:name="_Toc245722276"/>
      <w:bookmarkStart w:id="7" w:name="_Toc262049413"/>
      <w:bookmarkStart w:id="8" w:name="_Toc239145349"/>
      <w:bookmarkStart w:id="9" w:name="_Toc246261260"/>
      <w:bookmarkStart w:id="10" w:name="_Toc221356946"/>
      <w:bookmarkStart w:id="11" w:name="_Toc221423614"/>
      <w:bookmarkStart w:id="12" w:name="_Toc249758707"/>
      <w:bookmarkStart w:id="13" w:name="_Toc262105498"/>
      <w:bookmarkStart w:id="14" w:name="_Toc245191309"/>
      <w:bookmarkStart w:id="15" w:name="_Toc222114874"/>
      <w:bookmarkStart w:id="16" w:name="_Toc223715993"/>
      <w:bookmarkStart w:id="17" w:name="_Toc249758859"/>
      <w:bookmarkStart w:id="18" w:name="_Toc241404197"/>
      <w:r>
        <w:rPr>
          <w:rFonts w:hint="eastAsia" w:ascii="宋体" w:hAnsi="宋体" w:cs="宋体"/>
          <w:color w:val="auto"/>
          <w:sz w:val="22"/>
          <w:szCs w:val="22"/>
          <w:highlight w:val="none"/>
        </w:rPr>
        <w:br w:type="page"/>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3B61F678">
      <w:pPr>
        <w:pStyle w:val="5"/>
        <w:spacing w:before="120" w:after="120"/>
        <w:rPr>
          <w:rFonts w:ascii="宋体" w:hAnsi="宋体" w:eastAsia="宋体" w:cs="宋体"/>
          <w:color w:val="auto"/>
          <w:sz w:val="36"/>
          <w:szCs w:val="36"/>
          <w:highlight w:val="none"/>
        </w:rPr>
      </w:pPr>
      <w:bookmarkStart w:id="19" w:name="_Toc241404198"/>
      <w:bookmarkStart w:id="20" w:name="_Toc262105499"/>
      <w:bookmarkStart w:id="21" w:name="_Toc221374622"/>
      <w:bookmarkStart w:id="22" w:name="_Toc262049414"/>
      <w:bookmarkStart w:id="23" w:name="_Toc249758708"/>
      <w:bookmarkStart w:id="24" w:name="_Toc221356882"/>
      <w:bookmarkStart w:id="25" w:name="_Toc245191310"/>
      <w:bookmarkStart w:id="26" w:name="_Toc221423615"/>
      <w:bookmarkStart w:id="27" w:name="_Toc249758860"/>
      <w:bookmarkStart w:id="28" w:name="_Toc246261261"/>
      <w:bookmarkStart w:id="29" w:name="_Toc222114875"/>
      <w:bookmarkStart w:id="30" w:name="_Toc26377"/>
      <w:bookmarkStart w:id="31" w:name="_Toc223715994"/>
      <w:bookmarkStart w:id="32" w:name="_Toc221356947"/>
      <w:bookmarkStart w:id="33" w:name="_Toc245722277"/>
      <w:bookmarkStart w:id="34" w:name="_Toc239145350"/>
      <w:r>
        <w:rPr>
          <w:rFonts w:hint="eastAsia" w:ascii="宋体" w:hAnsi="宋体" w:eastAsia="宋体" w:cs="宋体"/>
          <w:color w:val="auto"/>
          <w:sz w:val="36"/>
          <w:szCs w:val="36"/>
          <w:highlight w:val="none"/>
        </w:rPr>
        <w:t>第一部分    供应商须知</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28D01A91">
      <w:pPr>
        <w:pStyle w:val="5"/>
        <w:spacing w:before="120" w:after="120"/>
        <w:rPr>
          <w:rFonts w:ascii="宋体" w:hAnsi="宋体" w:eastAsia="宋体" w:cs="宋体"/>
          <w:color w:val="auto"/>
          <w:sz w:val="26"/>
          <w:szCs w:val="26"/>
          <w:highlight w:val="none"/>
        </w:rPr>
      </w:pPr>
      <w:bookmarkStart w:id="35" w:name="_Toc18758"/>
      <w:bookmarkStart w:id="36" w:name="_Toc222114876"/>
      <w:bookmarkStart w:id="37" w:name="_Toc245722278"/>
      <w:bookmarkStart w:id="38" w:name="_Toc221356948"/>
      <w:bookmarkStart w:id="39" w:name="_Toc239145351"/>
      <w:bookmarkStart w:id="40" w:name="_Toc249758861"/>
      <w:bookmarkStart w:id="41" w:name="_Toc221374623"/>
      <w:bookmarkStart w:id="42" w:name="_Toc249758709"/>
      <w:bookmarkStart w:id="43" w:name="_Toc221423616"/>
      <w:bookmarkStart w:id="44" w:name="_Toc246261262"/>
      <w:bookmarkStart w:id="45" w:name="_Toc262105500"/>
      <w:bookmarkStart w:id="46" w:name="_Toc241404199"/>
      <w:bookmarkStart w:id="47" w:name="_Toc245191311"/>
      <w:bookmarkStart w:id="48" w:name="_Toc223715995"/>
      <w:bookmarkStart w:id="49" w:name="_Toc221356883"/>
      <w:bookmarkStart w:id="50" w:name="_Toc262049415"/>
      <w:r>
        <w:rPr>
          <w:rFonts w:hint="eastAsia" w:ascii="宋体" w:hAnsi="宋体" w:eastAsia="宋体" w:cs="宋体"/>
          <w:color w:val="auto"/>
          <w:sz w:val="26"/>
          <w:szCs w:val="26"/>
          <w:highlight w:val="none"/>
        </w:rPr>
        <w:t xml:space="preserve">一、  </w:t>
      </w:r>
      <w:bookmarkStart w:id="51" w:name="_Toc27051"/>
      <w:r>
        <w:rPr>
          <w:rFonts w:hint="eastAsia" w:ascii="宋体" w:hAnsi="宋体" w:eastAsia="宋体" w:cs="宋体"/>
          <w:color w:val="auto"/>
          <w:sz w:val="26"/>
          <w:szCs w:val="26"/>
          <w:highlight w:val="none"/>
        </w:rPr>
        <w:t>供应商须知前附表</w:t>
      </w:r>
      <w:bookmarkEnd w:id="35"/>
      <w:bookmarkEnd w:id="51"/>
    </w:p>
    <w:tbl>
      <w:tblPr>
        <w:tblStyle w:val="39"/>
        <w:tblW w:w="4982" w:type="pct"/>
        <w:tblInd w:w="0" w:type="dxa"/>
        <w:tblLayout w:type="autofit"/>
        <w:tblCellMar>
          <w:top w:w="0" w:type="dxa"/>
          <w:left w:w="108" w:type="dxa"/>
          <w:bottom w:w="0" w:type="dxa"/>
          <w:right w:w="108" w:type="dxa"/>
        </w:tblCellMar>
      </w:tblPr>
      <w:tblGrid>
        <w:gridCol w:w="776"/>
        <w:gridCol w:w="1517"/>
        <w:gridCol w:w="7526"/>
      </w:tblGrid>
      <w:tr w14:paraId="41E929DC">
        <w:tblPrEx>
          <w:tblCellMar>
            <w:top w:w="0" w:type="dxa"/>
            <w:left w:w="108" w:type="dxa"/>
            <w:bottom w:w="0" w:type="dxa"/>
            <w:right w:w="108" w:type="dxa"/>
          </w:tblCellMar>
        </w:tblPrEx>
        <w:trPr>
          <w:trHeight w:val="567"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9C98CE6">
            <w:pPr>
              <w:autoSpaceDE w:val="0"/>
              <w:autoSpaceDN w:val="0"/>
              <w:adjustRightInd w:val="0"/>
              <w:spacing w:line="400" w:lineRule="exact"/>
              <w:jc w:val="cente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序号</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E6AFD07">
            <w:pPr>
              <w:autoSpaceDE w:val="0"/>
              <w:autoSpaceDN w:val="0"/>
              <w:adjustRightInd w:val="0"/>
              <w:spacing w:line="400" w:lineRule="exact"/>
              <w:jc w:val="cente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条款名称</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AD74CEA">
            <w:pPr>
              <w:autoSpaceDE w:val="0"/>
              <w:autoSpaceDN w:val="0"/>
              <w:adjustRightInd w:val="0"/>
              <w:spacing w:line="400" w:lineRule="exact"/>
              <w:jc w:val="cente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编列内容</w:t>
            </w:r>
          </w:p>
        </w:tc>
      </w:tr>
      <w:tr w14:paraId="0797ADEB">
        <w:tblPrEx>
          <w:tblCellMar>
            <w:top w:w="0" w:type="dxa"/>
            <w:left w:w="108" w:type="dxa"/>
            <w:bottom w:w="0" w:type="dxa"/>
            <w:right w:w="108" w:type="dxa"/>
          </w:tblCellMar>
        </w:tblPrEx>
        <w:trPr>
          <w:trHeight w:val="967"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40BB2C7">
            <w:pPr>
              <w:autoSpaceDE w:val="0"/>
              <w:autoSpaceDN w:val="0"/>
              <w:adjustRightInd w:val="0"/>
              <w:spacing w:line="400" w:lineRule="exact"/>
              <w:jc w:val="cente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1</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6697A61">
            <w:pPr>
              <w:autoSpaceDE w:val="0"/>
              <w:autoSpaceDN w:val="0"/>
              <w:adjustRightInd w:val="0"/>
              <w:spacing w:line="400" w:lineRule="exac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采购人</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E83E5E2">
            <w:pPr>
              <w:spacing w:line="400" w:lineRule="exact"/>
              <w:rPr>
                <w:rFonts w:hint="eastAsia" w:asciiTheme="minorEastAsia" w:hAnsiTheme="minorEastAsia" w:eastAsiaTheme="minorEastAsia" w:cstheme="minorEastAsia"/>
                <w:color w:val="auto"/>
                <w:kern w:val="0"/>
                <w:sz w:val="22"/>
                <w:szCs w:val="22"/>
                <w:highlight w:val="none"/>
                <w:lang w:eastAsia="zh-CN"/>
              </w:rPr>
            </w:pPr>
            <w:r>
              <w:rPr>
                <w:rFonts w:hint="eastAsia" w:asciiTheme="minorEastAsia" w:hAnsiTheme="minorEastAsia" w:eastAsiaTheme="minorEastAsia" w:cstheme="minorEastAsia"/>
                <w:color w:val="auto"/>
                <w:sz w:val="22"/>
                <w:szCs w:val="22"/>
                <w:highlight w:val="none"/>
              </w:rPr>
              <w:t>采购人：</w:t>
            </w:r>
            <w:r>
              <w:rPr>
                <w:rFonts w:hint="eastAsia" w:asciiTheme="minorEastAsia" w:hAnsiTheme="minorEastAsia" w:eastAsiaTheme="minorEastAsia" w:cstheme="minorEastAsia"/>
                <w:color w:val="auto"/>
                <w:kern w:val="0"/>
                <w:sz w:val="22"/>
                <w:szCs w:val="22"/>
                <w:highlight w:val="none"/>
                <w:lang w:eastAsia="zh-CN"/>
              </w:rPr>
              <w:t xml:space="preserve">温州市鹿城区人民政府松台街道办事处 </w:t>
            </w:r>
          </w:p>
          <w:p w14:paraId="5A0E796E">
            <w:pPr>
              <w:spacing w:line="400" w:lineRule="exact"/>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联系人： 应</w:t>
            </w:r>
            <w:r>
              <w:rPr>
                <w:rFonts w:hint="eastAsia" w:asciiTheme="minorEastAsia" w:hAnsiTheme="minorEastAsia" w:eastAsiaTheme="minorEastAsia" w:cstheme="minorEastAsia"/>
                <w:color w:val="auto"/>
                <w:kern w:val="0"/>
                <w:sz w:val="22"/>
                <w:szCs w:val="22"/>
                <w:highlight w:val="none"/>
                <w:lang w:val="en-US" w:eastAsia="zh-CN"/>
              </w:rPr>
              <w:t>女士</w:t>
            </w:r>
          </w:p>
          <w:p w14:paraId="5F33DC61">
            <w:pPr>
              <w:spacing w:line="400" w:lineRule="exact"/>
              <w:rPr>
                <w:rFonts w:hint="eastAsia" w:asciiTheme="minorEastAsia" w:hAnsiTheme="minorEastAsia" w:eastAsiaTheme="minorEastAsia" w:cstheme="minorEastAsia"/>
                <w:color w:val="auto"/>
                <w:kern w:val="0"/>
                <w:sz w:val="22"/>
                <w:szCs w:val="22"/>
                <w:highlight w:val="none"/>
                <w:lang w:eastAsia="zh-CN"/>
              </w:rPr>
            </w:pPr>
            <w:r>
              <w:rPr>
                <w:rFonts w:hint="eastAsia" w:asciiTheme="minorEastAsia" w:hAnsiTheme="minorEastAsia" w:eastAsiaTheme="minorEastAsia" w:cstheme="minorEastAsia"/>
                <w:color w:val="auto"/>
                <w:kern w:val="0"/>
                <w:sz w:val="22"/>
                <w:szCs w:val="22"/>
                <w:highlight w:val="none"/>
              </w:rPr>
              <w:t>电话 / 传真：</w:t>
            </w:r>
            <w:r>
              <w:rPr>
                <w:rFonts w:hint="eastAsia" w:asciiTheme="minorEastAsia" w:hAnsiTheme="minorEastAsia" w:eastAsiaTheme="minorEastAsia" w:cstheme="minorEastAsia"/>
                <w:color w:val="auto"/>
                <w:kern w:val="0"/>
                <w:sz w:val="22"/>
                <w:szCs w:val="22"/>
                <w:highlight w:val="none"/>
                <w:lang w:eastAsia="zh-CN"/>
              </w:rPr>
              <w:t>13353319036、</w:t>
            </w:r>
            <w:r>
              <w:rPr>
                <w:rFonts w:hint="eastAsia" w:asciiTheme="minorEastAsia" w:hAnsiTheme="minorEastAsia" w:eastAsiaTheme="minorEastAsia" w:cstheme="minorEastAsia"/>
                <w:color w:val="auto"/>
                <w:kern w:val="0"/>
                <w:sz w:val="22"/>
                <w:szCs w:val="22"/>
                <w:highlight w:val="none"/>
              </w:rPr>
              <w:t>0577-</w:t>
            </w:r>
            <w:r>
              <w:rPr>
                <w:rFonts w:hint="eastAsia" w:asciiTheme="minorEastAsia" w:hAnsiTheme="minorEastAsia" w:eastAsiaTheme="minorEastAsia" w:cstheme="minorEastAsia"/>
                <w:color w:val="auto"/>
                <w:kern w:val="0"/>
                <w:sz w:val="22"/>
                <w:szCs w:val="22"/>
                <w:highlight w:val="none"/>
                <w:lang w:eastAsia="zh-CN"/>
              </w:rPr>
              <w:t>55565816</w:t>
            </w:r>
          </w:p>
        </w:tc>
      </w:tr>
      <w:tr w14:paraId="7FC6AF0B">
        <w:tblPrEx>
          <w:tblCellMar>
            <w:top w:w="0" w:type="dxa"/>
            <w:left w:w="108" w:type="dxa"/>
            <w:bottom w:w="0" w:type="dxa"/>
            <w:right w:w="108" w:type="dxa"/>
          </w:tblCellMar>
        </w:tblPrEx>
        <w:trPr>
          <w:trHeight w:val="980"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978A455">
            <w:pPr>
              <w:autoSpaceDE w:val="0"/>
              <w:autoSpaceDN w:val="0"/>
              <w:adjustRightInd w:val="0"/>
              <w:spacing w:line="400" w:lineRule="exact"/>
              <w:jc w:val="cente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2</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E41883B">
            <w:pPr>
              <w:autoSpaceDE w:val="0"/>
              <w:autoSpaceDN w:val="0"/>
              <w:adjustRightInd w:val="0"/>
              <w:spacing w:line="400" w:lineRule="exac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采购代理机构</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DBB6279">
            <w:pPr>
              <w:spacing w:line="400" w:lineRule="exact"/>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采购代理机构名称：</w:t>
            </w:r>
            <w:r>
              <w:rPr>
                <w:rFonts w:hint="eastAsia" w:asciiTheme="minorEastAsia" w:hAnsiTheme="minorEastAsia" w:eastAsiaTheme="minorEastAsia" w:cstheme="minorEastAsia"/>
                <w:color w:val="auto"/>
                <w:sz w:val="22"/>
                <w:szCs w:val="22"/>
                <w:highlight w:val="none"/>
                <w:lang w:eastAsia="zh-CN"/>
              </w:rPr>
              <w:t>华诚工程咨询集团有限公司</w:t>
            </w:r>
          </w:p>
          <w:p w14:paraId="066D7C41">
            <w:pPr>
              <w:spacing w:line="40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地 址：</w:t>
            </w:r>
            <w:r>
              <w:rPr>
                <w:rFonts w:hint="eastAsia" w:asciiTheme="minorEastAsia" w:hAnsiTheme="minorEastAsia" w:eastAsiaTheme="minorEastAsia" w:cstheme="minorEastAsia"/>
                <w:color w:val="auto"/>
                <w:sz w:val="22"/>
                <w:szCs w:val="22"/>
                <w:highlight w:val="none"/>
                <w:lang w:eastAsia="zh-CN"/>
              </w:rPr>
              <w:t>温州市洛河路18号C幢6楼</w:t>
            </w:r>
          </w:p>
          <w:p w14:paraId="6CA4ED2D">
            <w:pPr>
              <w:spacing w:line="40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联系人：</w:t>
            </w:r>
            <w:r>
              <w:rPr>
                <w:rFonts w:hint="eastAsia" w:asciiTheme="minorEastAsia" w:hAnsiTheme="minorEastAsia" w:eastAsiaTheme="minorEastAsia" w:cstheme="minorEastAsia"/>
                <w:color w:val="auto"/>
                <w:sz w:val="22"/>
                <w:szCs w:val="22"/>
                <w:highlight w:val="none"/>
                <w:lang w:eastAsia="zh-CN"/>
              </w:rPr>
              <w:t>黄先生、冯女士</w:t>
            </w:r>
            <w:r>
              <w:rPr>
                <w:rFonts w:hint="eastAsia" w:asciiTheme="minorEastAsia" w:hAnsiTheme="minorEastAsia" w:eastAsiaTheme="minorEastAsia" w:cstheme="minorEastAsia"/>
                <w:color w:val="auto"/>
                <w:sz w:val="22"/>
                <w:szCs w:val="22"/>
                <w:highlight w:val="none"/>
              </w:rPr>
              <w:t xml:space="preserve">  </w:t>
            </w:r>
          </w:p>
          <w:p w14:paraId="41B6A1DB">
            <w:pPr>
              <w:spacing w:line="400" w:lineRule="exact"/>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联系电话：</w:t>
            </w:r>
            <w:r>
              <w:rPr>
                <w:rFonts w:hint="eastAsia" w:asciiTheme="minorEastAsia" w:hAnsiTheme="minorEastAsia" w:eastAsiaTheme="minorEastAsia" w:cstheme="minorEastAsia"/>
                <w:color w:val="auto"/>
                <w:sz w:val="22"/>
                <w:szCs w:val="22"/>
                <w:highlight w:val="none"/>
                <w:lang w:eastAsia="zh-CN"/>
              </w:rPr>
              <w:t>15067836449、13806697235</w:t>
            </w:r>
          </w:p>
        </w:tc>
      </w:tr>
      <w:tr w14:paraId="35A92263">
        <w:tblPrEx>
          <w:tblCellMar>
            <w:top w:w="0" w:type="dxa"/>
            <w:left w:w="108" w:type="dxa"/>
            <w:bottom w:w="0" w:type="dxa"/>
            <w:right w:w="108" w:type="dxa"/>
          </w:tblCellMar>
        </w:tblPrEx>
        <w:trPr>
          <w:trHeight w:val="750"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9FF79A1">
            <w:pPr>
              <w:autoSpaceDE w:val="0"/>
              <w:autoSpaceDN w:val="0"/>
              <w:adjustRightInd w:val="0"/>
              <w:spacing w:line="400" w:lineRule="exact"/>
              <w:jc w:val="cente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3</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5E4C279">
            <w:pPr>
              <w:autoSpaceDE w:val="0"/>
              <w:autoSpaceDN w:val="0"/>
              <w:adjustRightInd w:val="0"/>
              <w:spacing w:line="400" w:lineRule="exac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采购名称</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36896CA">
            <w:pPr>
              <w:spacing w:line="400" w:lineRule="exact"/>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项目名称：</w:t>
            </w:r>
            <w:r>
              <w:rPr>
                <w:rFonts w:hint="eastAsia" w:asciiTheme="minorEastAsia" w:hAnsiTheme="minorEastAsia" w:eastAsiaTheme="minorEastAsia" w:cstheme="minorEastAsia"/>
                <w:color w:val="auto"/>
                <w:sz w:val="22"/>
                <w:szCs w:val="22"/>
                <w:highlight w:val="none"/>
                <w:lang w:eastAsia="zh-CN"/>
              </w:rPr>
              <w:t>2024年鹿城区松台街道食堂劳务外包服务</w:t>
            </w:r>
          </w:p>
          <w:p w14:paraId="2E67A40E">
            <w:pPr>
              <w:spacing w:line="400" w:lineRule="exact"/>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磋商编号：</w:t>
            </w:r>
            <w:r>
              <w:rPr>
                <w:rFonts w:hint="eastAsia" w:asciiTheme="minorEastAsia" w:hAnsiTheme="minorEastAsia" w:eastAsiaTheme="minorEastAsia" w:cstheme="minorEastAsia"/>
                <w:color w:val="auto"/>
                <w:sz w:val="22"/>
                <w:szCs w:val="22"/>
                <w:highlight w:val="none"/>
                <w:lang w:eastAsia="zh-CN"/>
              </w:rPr>
              <w:t>HCZX-H2024019</w:t>
            </w:r>
          </w:p>
        </w:tc>
      </w:tr>
      <w:tr w14:paraId="2EC72B3E">
        <w:tblPrEx>
          <w:tblCellMar>
            <w:top w:w="0" w:type="dxa"/>
            <w:left w:w="108" w:type="dxa"/>
            <w:bottom w:w="0" w:type="dxa"/>
            <w:right w:w="108" w:type="dxa"/>
          </w:tblCellMar>
        </w:tblPrEx>
        <w:trPr>
          <w:trHeight w:val="750"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2A59470">
            <w:pPr>
              <w:autoSpaceDE w:val="0"/>
              <w:autoSpaceDN w:val="0"/>
              <w:adjustRightInd w:val="0"/>
              <w:spacing w:line="400" w:lineRule="exact"/>
              <w:jc w:val="cente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4</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89198E7">
            <w:pPr>
              <w:autoSpaceDE w:val="0"/>
              <w:autoSpaceDN w:val="0"/>
              <w:adjustRightInd w:val="0"/>
              <w:spacing w:line="400" w:lineRule="exac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采购内容</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E338BF6">
            <w:pPr>
              <w:autoSpaceDE w:val="0"/>
              <w:autoSpaceDN w:val="0"/>
              <w:adjustRightInd w:val="0"/>
              <w:spacing w:line="400" w:lineRule="exact"/>
              <w:ind w:right="-34"/>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具体内容及要求见竞争性磋商文件。</w:t>
            </w:r>
          </w:p>
        </w:tc>
      </w:tr>
      <w:tr w14:paraId="406DA323">
        <w:tblPrEx>
          <w:tblCellMar>
            <w:top w:w="0" w:type="dxa"/>
            <w:left w:w="108" w:type="dxa"/>
            <w:bottom w:w="0" w:type="dxa"/>
            <w:right w:w="108" w:type="dxa"/>
          </w:tblCellMar>
        </w:tblPrEx>
        <w:trPr>
          <w:trHeight w:val="673"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56678BC">
            <w:pPr>
              <w:autoSpaceDE w:val="0"/>
              <w:autoSpaceDN w:val="0"/>
              <w:adjustRightInd w:val="0"/>
              <w:spacing w:line="400" w:lineRule="exact"/>
              <w:jc w:val="cente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5</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C7CC1DB">
            <w:pPr>
              <w:spacing w:line="360" w:lineRule="exac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b/>
                <w:color w:val="auto"/>
                <w:kern w:val="0"/>
                <w:sz w:val="22"/>
                <w:szCs w:val="22"/>
                <w:highlight w:val="none"/>
              </w:rPr>
              <w:t>核心产品</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1500055">
            <w:pPr>
              <w:spacing w:line="360" w:lineRule="exact"/>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b/>
                <w:color w:val="auto"/>
                <w:kern w:val="0"/>
                <w:sz w:val="22"/>
                <w:szCs w:val="22"/>
                <w:highlight w:val="none"/>
              </w:rPr>
              <w:t>本项目为服务类采购，无核心产品。</w:t>
            </w:r>
          </w:p>
        </w:tc>
      </w:tr>
      <w:tr w14:paraId="28B762DD">
        <w:tblPrEx>
          <w:tblCellMar>
            <w:top w:w="0" w:type="dxa"/>
            <w:left w:w="108" w:type="dxa"/>
            <w:bottom w:w="0" w:type="dxa"/>
            <w:right w:w="108" w:type="dxa"/>
          </w:tblCellMar>
        </w:tblPrEx>
        <w:trPr>
          <w:trHeight w:val="1160"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C3AA622">
            <w:pPr>
              <w:autoSpaceDE w:val="0"/>
              <w:autoSpaceDN w:val="0"/>
              <w:adjustRightInd w:val="0"/>
              <w:spacing w:line="400" w:lineRule="exact"/>
              <w:jc w:val="cente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6</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0DDE7B7">
            <w:pPr>
              <w:autoSpaceDE w:val="0"/>
              <w:autoSpaceDN w:val="0"/>
              <w:adjustRightInd w:val="0"/>
              <w:spacing w:line="400" w:lineRule="exac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u w:val="single"/>
                <w:lang w:val="zh-CN"/>
              </w:rPr>
              <w:t>▲</w:t>
            </w:r>
            <w:r>
              <w:rPr>
                <w:rFonts w:hint="eastAsia" w:asciiTheme="minorEastAsia" w:hAnsiTheme="minorEastAsia" w:eastAsiaTheme="minorEastAsia" w:cstheme="minorEastAsia"/>
                <w:b/>
                <w:bCs/>
                <w:color w:val="auto"/>
                <w:kern w:val="0"/>
                <w:sz w:val="22"/>
                <w:szCs w:val="22"/>
                <w:highlight w:val="none"/>
                <w:u w:val="single"/>
              </w:rPr>
              <w:t>供应商</w:t>
            </w:r>
            <w:r>
              <w:rPr>
                <w:rFonts w:hint="eastAsia" w:asciiTheme="minorEastAsia" w:hAnsiTheme="minorEastAsia" w:eastAsiaTheme="minorEastAsia" w:cstheme="minorEastAsia"/>
                <w:b/>
                <w:bCs/>
                <w:color w:val="auto"/>
                <w:kern w:val="0"/>
                <w:sz w:val="22"/>
                <w:szCs w:val="22"/>
                <w:highlight w:val="none"/>
                <w:u w:val="single"/>
                <w:lang w:eastAsia="zh-CN"/>
              </w:rPr>
              <w:t>资</w:t>
            </w:r>
            <w:r>
              <w:rPr>
                <w:rFonts w:hint="eastAsia" w:asciiTheme="minorEastAsia" w:hAnsiTheme="minorEastAsia" w:eastAsiaTheme="minorEastAsia" w:cstheme="minorEastAsia"/>
                <w:b/>
                <w:bCs/>
                <w:color w:val="auto"/>
                <w:kern w:val="0"/>
                <w:sz w:val="22"/>
                <w:szCs w:val="22"/>
                <w:highlight w:val="none"/>
                <w:u w:val="single"/>
                <w:lang w:val="zh-CN"/>
              </w:rPr>
              <w:t>格要求</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78846C8">
            <w:pPr>
              <w:widowControl/>
              <w:spacing w:before="60" w:after="60" w:line="360" w:lineRule="exact"/>
              <w:ind w:right="60"/>
              <w:jc w:val="left"/>
              <w:rPr>
                <w:rFonts w:hint="eastAsia" w:asciiTheme="minorEastAsia" w:hAnsiTheme="minorEastAsia" w:eastAsiaTheme="minorEastAsia" w:cstheme="minorEastAsia"/>
                <w:bCs/>
                <w:color w:val="auto"/>
                <w:kern w:val="0"/>
                <w:sz w:val="22"/>
                <w:szCs w:val="22"/>
                <w:highlight w:val="none"/>
              </w:rPr>
            </w:pPr>
            <w:r>
              <w:rPr>
                <w:rFonts w:hint="eastAsia" w:asciiTheme="minorEastAsia" w:hAnsiTheme="minorEastAsia" w:eastAsiaTheme="minorEastAsia" w:cstheme="minorEastAsia"/>
                <w:bCs/>
                <w:color w:val="auto"/>
                <w:kern w:val="0"/>
                <w:sz w:val="22"/>
                <w:szCs w:val="22"/>
                <w:highlight w:val="none"/>
              </w:rPr>
              <w:t>详见磋商公告</w:t>
            </w:r>
          </w:p>
        </w:tc>
      </w:tr>
      <w:tr w14:paraId="43C673B1">
        <w:tblPrEx>
          <w:tblCellMar>
            <w:top w:w="0" w:type="dxa"/>
            <w:left w:w="108" w:type="dxa"/>
            <w:bottom w:w="0" w:type="dxa"/>
            <w:right w:w="108" w:type="dxa"/>
          </w:tblCellMar>
        </w:tblPrEx>
        <w:trPr>
          <w:trHeight w:val="73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ED4578C">
            <w:pPr>
              <w:autoSpaceDE w:val="0"/>
              <w:autoSpaceDN w:val="0"/>
              <w:adjustRightInd w:val="0"/>
              <w:spacing w:line="400" w:lineRule="exact"/>
              <w:jc w:val="cente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7</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E82AABE">
            <w:pPr>
              <w:autoSpaceDE w:val="0"/>
              <w:autoSpaceDN w:val="0"/>
              <w:adjustRightInd w:val="0"/>
              <w:spacing w:line="400" w:lineRule="exac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是否接受联合体磋商</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CA04E80">
            <w:pPr>
              <w:autoSpaceDE w:val="0"/>
              <w:autoSpaceDN w:val="0"/>
              <w:adjustRightInd w:val="0"/>
              <w:spacing w:line="400" w:lineRule="exac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b/>
                <w:snapToGrid w:val="0"/>
                <w:color w:val="auto"/>
                <w:sz w:val="22"/>
                <w:szCs w:val="22"/>
                <w:highlight w:val="none"/>
              </w:rPr>
              <w:sym w:font="Wingdings" w:char="F0FE"/>
            </w:r>
            <w:r>
              <w:rPr>
                <w:rFonts w:hint="eastAsia" w:asciiTheme="minorEastAsia" w:hAnsiTheme="minorEastAsia" w:eastAsiaTheme="minorEastAsia" w:cstheme="minorEastAsia"/>
                <w:color w:val="auto"/>
                <w:kern w:val="0"/>
                <w:sz w:val="22"/>
                <w:szCs w:val="22"/>
                <w:highlight w:val="none"/>
                <w:lang w:val="zh-CN"/>
              </w:rPr>
              <w:t>不接受</w:t>
            </w:r>
          </w:p>
          <w:p w14:paraId="1CA2D4B8">
            <w:pPr>
              <w:autoSpaceDE w:val="0"/>
              <w:autoSpaceDN w:val="0"/>
              <w:adjustRightInd w:val="0"/>
              <w:spacing w:line="400" w:lineRule="exac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□接受</w:t>
            </w:r>
          </w:p>
        </w:tc>
      </w:tr>
      <w:tr w14:paraId="4FE53A55">
        <w:tblPrEx>
          <w:tblCellMar>
            <w:top w:w="0" w:type="dxa"/>
            <w:left w:w="108" w:type="dxa"/>
            <w:bottom w:w="0" w:type="dxa"/>
            <w:right w:w="108" w:type="dxa"/>
          </w:tblCellMar>
        </w:tblPrEx>
        <w:trPr>
          <w:trHeight w:val="73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BE4407B">
            <w:pPr>
              <w:autoSpaceDE w:val="0"/>
              <w:autoSpaceDN w:val="0"/>
              <w:adjustRightInd w:val="0"/>
              <w:spacing w:line="400" w:lineRule="exact"/>
              <w:jc w:val="cente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8</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741F2BE">
            <w:pPr>
              <w:autoSpaceDE w:val="0"/>
              <w:autoSpaceDN w:val="0"/>
              <w:adjustRightInd w:val="0"/>
              <w:spacing w:line="400" w:lineRule="exac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踏勘现场</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589809D">
            <w:pPr>
              <w:autoSpaceDE w:val="0"/>
              <w:autoSpaceDN w:val="0"/>
              <w:adjustRightInd w:val="0"/>
              <w:spacing w:line="400" w:lineRule="exac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□组织</w:t>
            </w:r>
          </w:p>
          <w:p w14:paraId="64799B95">
            <w:pPr>
              <w:autoSpaceDE w:val="0"/>
              <w:autoSpaceDN w:val="0"/>
              <w:adjustRightInd w:val="0"/>
              <w:spacing w:line="400" w:lineRule="exac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b/>
                <w:snapToGrid w:val="0"/>
                <w:color w:val="auto"/>
                <w:sz w:val="22"/>
                <w:szCs w:val="22"/>
                <w:highlight w:val="none"/>
              </w:rPr>
              <w:sym w:font="Wingdings" w:char="F0FE"/>
            </w:r>
            <w:r>
              <w:rPr>
                <w:rFonts w:hint="eastAsia" w:asciiTheme="minorEastAsia" w:hAnsiTheme="minorEastAsia" w:eastAsiaTheme="minorEastAsia" w:cstheme="minorEastAsia"/>
                <w:color w:val="auto"/>
                <w:kern w:val="0"/>
                <w:sz w:val="22"/>
                <w:szCs w:val="22"/>
                <w:highlight w:val="none"/>
                <w:lang w:val="zh-CN"/>
              </w:rPr>
              <w:t>不组织</w:t>
            </w:r>
          </w:p>
        </w:tc>
      </w:tr>
      <w:tr w14:paraId="6DFE9A16">
        <w:tblPrEx>
          <w:tblCellMar>
            <w:top w:w="0" w:type="dxa"/>
            <w:left w:w="108" w:type="dxa"/>
            <w:bottom w:w="0" w:type="dxa"/>
            <w:right w:w="108" w:type="dxa"/>
          </w:tblCellMar>
        </w:tblPrEx>
        <w:trPr>
          <w:trHeight w:val="73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5E7F2B2">
            <w:pPr>
              <w:autoSpaceDE w:val="0"/>
              <w:autoSpaceDN w:val="0"/>
              <w:adjustRightInd w:val="0"/>
              <w:spacing w:line="400" w:lineRule="exact"/>
              <w:jc w:val="cente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9</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A7CEE88">
            <w:pPr>
              <w:autoSpaceDE w:val="0"/>
              <w:autoSpaceDN w:val="0"/>
              <w:adjustRightInd w:val="0"/>
              <w:spacing w:line="400" w:lineRule="exac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投标预备会</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CA4343E">
            <w:pPr>
              <w:autoSpaceDE w:val="0"/>
              <w:autoSpaceDN w:val="0"/>
              <w:adjustRightInd w:val="0"/>
              <w:spacing w:line="400" w:lineRule="exac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□召开</w:t>
            </w:r>
            <w:r>
              <w:rPr>
                <w:rFonts w:hint="eastAsia" w:asciiTheme="minorEastAsia" w:hAnsiTheme="minorEastAsia" w:eastAsiaTheme="minorEastAsia" w:cstheme="minorEastAsia"/>
                <w:b/>
                <w:snapToGrid w:val="0"/>
                <w:color w:val="auto"/>
                <w:sz w:val="22"/>
                <w:szCs w:val="22"/>
                <w:highlight w:val="none"/>
              </w:rPr>
              <w:sym w:font="Wingdings" w:char="F0FE"/>
            </w:r>
            <w:r>
              <w:rPr>
                <w:rFonts w:hint="eastAsia" w:asciiTheme="minorEastAsia" w:hAnsiTheme="minorEastAsia" w:eastAsiaTheme="minorEastAsia" w:cstheme="minorEastAsia"/>
                <w:color w:val="auto"/>
                <w:kern w:val="0"/>
                <w:sz w:val="22"/>
                <w:szCs w:val="22"/>
                <w:highlight w:val="none"/>
                <w:lang w:val="zh-CN"/>
              </w:rPr>
              <w:t>不召开</w:t>
            </w:r>
          </w:p>
        </w:tc>
      </w:tr>
      <w:tr w14:paraId="0E616C95">
        <w:tblPrEx>
          <w:tblCellMar>
            <w:top w:w="0" w:type="dxa"/>
            <w:left w:w="108" w:type="dxa"/>
            <w:bottom w:w="0" w:type="dxa"/>
            <w:right w:w="108" w:type="dxa"/>
          </w:tblCellMar>
        </w:tblPrEx>
        <w:trPr>
          <w:trHeight w:val="73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627A9BC">
            <w:pPr>
              <w:autoSpaceDE w:val="0"/>
              <w:autoSpaceDN w:val="0"/>
              <w:adjustRightInd w:val="0"/>
              <w:spacing w:line="400" w:lineRule="exact"/>
              <w:jc w:val="cente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10</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0EEEC4F">
            <w:pPr>
              <w:autoSpaceDE w:val="0"/>
              <w:autoSpaceDN w:val="0"/>
              <w:adjustRightInd w:val="0"/>
              <w:spacing w:line="400" w:lineRule="exac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磋商</w:t>
            </w:r>
            <w:r>
              <w:rPr>
                <w:rFonts w:hint="eastAsia" w:asciiTheme="minorEastAsia" w:hAnsiTheme="minorEastAsia" w:eastAsiaTheme="minorEastAsia" w:cstheme="minorEastAsia"/>
                <w:color w:val="auto"/>
                <w:kern w:val="0"/>
                <w:sz w:val="22"/>
                <w:szCs w:val="22"/>
                <w:highlight w:val="none"/>
              </w:rPr>
              <w:t>响应</w:t>
            </w:r>
            <w:r>
              <w:rPr>
                <w:rFonts w:hint="eastAsia" w:asciiTheme="minorEastAsia" w:hAnsiTheme="minorEastAsia" w:eastAsiaTheme="minorEastAsia" w:cstheme="minorEastAsia"/>
                <w:color w:val="auto"/>
                <w:kern w:val="0"/>
                <w:sz w:val="22"/>
                <w:szCs w:val="22"/>
                <w:highlight w:val="none"/>
                <w:lang w:val="zh-CN"/>
              </w:rPr>
              <w:t>截止时间</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154EB82">
            <w:pPr>
              <w:autoSpaceDE w:val="0"/>
              <w:autoSpaceDN w:val="0"/>
              <w:adjustRightInd w:val="0"/>
              <w:spacing w:line="400" w:lineRule="exact"/>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bCs/>
                <w:color w:val="auto"/>
                <w:kern w:val="0"/>
                <w:sz w:val="22"/>
                <w:szCs w:val="22"/>
                <w:highlight w:val="none"/>
              </w:rPr>
              <w:t>见竞争性磋商公告</w:t>
            </w:r>
          </w:p>
        </w:tc>
      </w:tr>
      <w:tr w14:paraId="6AB0D301">
        <w:tblPrEx>
          <w:tblCellMar>
            <w:top w:w="0" w:type="dxa"/>
            <w:left w:w="108" w:type="dxa"/>
            <w:bottom w:w="0" w:type="dxa"/>
            <w:right w:w="108" w:type="dxa"/>
          </w:tblCellMar>
        </w:tblPrEx>
        <w:trPr>
          <w:trHeight w:val="73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E5BB33A">
            <w:pPr>
              <w:autoSpaceDE w:val="0"/>
              <w:autoSpaceDN w:val="0"/>
              <w:adjustRightInd w:val="0"/>
              <w:spacing w:line="400" w:lineRule="exact"/>
              <w:jc w:val="cente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11</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9616E93">
            <w:pPr>
              <w:autoSpaceDE w:val="0"/>
              <w:autoSpaceDN w:val="0"/>
              <w:adjustRightInd w:val="0"/>
              <w:spacing w:line="400" w:lineRule="exac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分包</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2B01569">
            <w:pPr>
              <w:autoSpaceDE w:val="0"/>
              <w:autoSpaceDN w:val="0"/>
              <w:adjustRightInd w:val="0"/>
              <w:spacing w:line="400" w:lineRule="exac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□允许</w:t>
            </w:r>
            <w:r>
              <w:rPr>
                <w:rFonts w:hint="eastAsia" w:asciiTheme="minorEastAsia" w:hAnsiTheme="minorEastAsia" w:eastAsiaTheme="minorEastAsia" w:cstheme="minorEastAsia"/>
                <w:b/>
                <w:snapToGrid w:val="0"/>
                <w:color w:val="auto"/>
                <w:sz w:val="22"/>
                <w:szCs w:val="22"/>
                <w:highlight w:val="none"/>
              </w:rPr>
              <w:sym w:font="Wingdings" w:char="F0FE"/>
            </w:r>
            <w:r>
              <w:rPr>
                <w:rFonts w:hint="eastAsia" w:asciiTheme="minorEastAsia" w:hAnsiTheme="minorEastAsia" w:eastAsiaTheme="minorEastAsia" w:cstheme="minorEastAsia"/>
                <w:color w:val="auto"/>
                <w:kern w:val="0"/>
                <w:sz w:val="22"/>
                <w:szCs w:val="22"/>
                <w:highlight w:val="none"/>
                <w:lang w:val="zh-CN"/>
              </w:rPr>
              <w:t>不允许</w:t>
            </w:r>
          </w:p>
        </w:tc>
      </w:tr>
      <w:tr w14:paraId="20C5C94E">
        <w:tblPrEx>
          <w:tblCellMar>
            <w:top w:w="0" w:type="dxa"/>
            <w:left w:w="108" w:type="dxa"/>
            <w:bottom w:w="0" w:type="dxa"/>
            <w:right w:w="108" w:type="dxa"/>
          </w:tblCellMar>
        </w:tblPrEx>
        <w:trPr>
          <w:trHeight w:val="1080"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12791DE">
            <w:pPr>
              <w:autoSpaceDE w:val="0"/>
              <w:autoSpaceDN w:val="0"/>
              <w:adjustRightInd w:val="0"/>
              <w:spacing w:line="400" w:lineRule="exact"/>
              <w:jc w:val="cente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12</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B285986">
            <w:pPr>
              <w:autoSpaceDE w:val="0"/>
              <w:autoSpaceDN w:val="0"/>
              <w:adjustRightInd w:val="0"/>
              <w:spacing w:line="400" w:lineRule="exac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偏离</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CB46342">
            <w:pPr>
              <w:autoSpaceDE w:val="0"/>
              <w:autoSpaceDN w:val="0"/>
              <w:adjustRightInd w:val="0"/>
              <w:spacing w:line="400" w:lineRule="exac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偏差允许幅度及其处理方法：允许细微偏差，不允许重大偏差。由磋商小组判断，细微偏差要求供应商在评标结束前予以澄清、说明或补正，不接受要求进行的，</w:t>
            </w:r>
            <w:r>
              <w:rPr>
                <w:rFonts w:hint="eastAsia" w:asciiTheme="minorEastAsia" w:hAnsiTheme="minorEastAsia" w:eastAsiaTheme="minorEastAsia" w:cstheme="minorEastAsia"/>
                <w:color w:val="auto"/>
                <w:kern w:val="0"/>
                <w:sz w:val="22"/>
                <w:szCs w:val="22"/>
                <w:highlight w:val="none"/>
              </w:rPr>
              <w:t>磋商小组</w:t>
            </w:r>
            <w:r>
              <w:rPr>
                <w:rFonts w:hint="eastAsia" w:asciiTheme="minorEastAsia" w:hAnsiTheme="minorEastAsia" w:eastAsiaTheme="minorEastAsia" w:cstheme="minorEastAsia"/>
                <w:color w:val="auto"/>
                <w:kern w:val="0"/>
                <w:sz w:val="22"/>
                <w:szCs w:val="22"/>
                <w:highlight w:val="none"/>
                <w:lang w:val="zh-CN"/>
              </w:rPr>
              <w:t>有权做无效标处理，详见评标办法。</w:t>
            </w:r>
          </w:p>
        </w:tc>
      </w:tr>
      <w:tr w14:paraId="04386C3C">
        <w:tblPrEx>
          <w:tblCellMar>
            <w:top w:w="0" w:type="dxa"/>
            <w:left w:w="108" w:type="dxa"/>
            <w:bottom w:w="0" w:type="dxa"/>
            <w:right w:w="108" w:type="dxa"/>
          </w:tblCellMar>
        </w:tblPrEx>
        <w:trPr>
          <w:trHeight w:val="68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5CF0A84">
            <w:pPr>
              <w:autoSpaceDE w:val="0"/>
              <w:autoSpaceDN w:val="0"/>
              <w:adjustRightInd w:val="0"/>
              <w:spacing w:line="400" w:lineRule="exact"/>
              <w:jc w:val="cente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13</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2C5A850">
            <w:pPr>
              <w:autoSpaceDE w:val="0"/>
              <w:autoSpaceDN w:val="0"/>
              <w:adjustRightInd w:val="0"/>
              <w:spacing w:line="400" w:lineRule="exac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磋商有效期</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A1C01E6">
            <w:pPr>
              <w:autoSpaceDE w:val="0"/>
              <w:autoSpaceDN w:val="0"/>
              <w:adjustRightInd w:val="0"/>
              <w:spacing w:line="400" w:lineRule="exac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自磋商</w:t>
            </w:r>
            <w:r>
              <w:rPr>
                <w:rFonts w:hint="eastAsia" w:asciiTheme="minorEastAsia" w:hAnsiTheme="minorEastAsia" w:eastAsiaTheme="minorEastAsia" w:cstheme="minorEastAsia"/>
                <w:color w:val="auto"/>
                <w:kern w:val="0"/>
                <w:sz w:val="22"/>
                <w:szCs w:val="22"/>
                <w:highlight w:val="none"/>
              </w:rPr>
              <w:t>响应</w:t>
            </w:r>
            <w:r>
              <w:rPr>
                <w:rFonts w:hint="eastAsia" w:asciiTheme="minorEastAsia" w:hAnsiTheme="minorEastAsia" w:eastAsiaTheme="minorEastAsia" w:cstheme="minorEastAsia"/>
                <w:color w:val="auto"/>
                <w:kern w:val="0"/>
                <w:sz w:val="22"/>
                <w:szCs w:val="22"/>
                <w:highlight w:val="none"/>
                <w:lang w:val="zh-CN"/>
              </w:rPr>
              <w:t>截止时间起生效，有效期90天。</w:t>
            </w:r>
          </w:p>
        </w:tc>
      </w:tr>
      <w:tr w14:paraId="2D7E2FD3">
        <w:tblPrEx>
          <w:tblCellMar>
            <w:top w:w="0" w:type="dxa"/>
            <w:left w:w="108" w:type="dxa"/>
            <w:bottom w:w="0" w:type="dxa"/>
            <w:right w:w="108" w:type="dxa"/>
          </w:tblCellMar>
        </w:tblPrEx>
        <w:trPr>
          <w:trHeight w:val="846"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44D9810">
            <w:pPr>
              <w:autoSpaceDE w:val="0"/>
              <w:autoSpaceDN w:val="0"/>
              <w:adjustRightInd w:val="0"/>
              <w:spacing w:line="400" w:lineRule="exact"/>
              <w:jc w:val="cente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14</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51B3F62">
            <w:pPr>
              <w:autoSpaceDE w:val="0"/>
              <w:autoSpaceDN w:val="0"/>
              <w:adjustRightInd w:val="0"/>
              <w:spacing w:line="400" w:lineRule="exac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投标保证金</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31EE601">
            <w:pPr>
              <w:autoSpaceDE w:val="0"/>
              <w:autoSpaceDN w:val="0"/>
              <w:adjustRightInd w:val="0"/>
              <w:spacing w:line="400" w:lineRule="exact"/>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color w:val="auto"/>
                <w:sz w:val="22"/>
                <w:szCs w:val="22"/>
                <w:highlight w:val="none"/>
              </w:rPr>
              <w:t>无需提交</w:t>
            </w:r>
          </w:p>
        </w:tc>
      </w:tr>
      <w:tr w14:paraId="6DCDB704">
        <w:tblPrEx>
          <w:tblCellMar>
            <w:top w:w="0" w:type="dxa"/>
            <w:left w:w="108" w:type="dxa"/>
            <w:bottom w:w="0" w:type="dxa"/>
            <w:right w:w="108" w:type="dxa"/>
          </w:tblCellMar>
        </w:tblPrEx>
        <w:trPr>
          <w:trHeight w:val="79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A6CA55F">
            <w:pPr>
              <w:autoSpaceDE w:val="0"/>
              <w:autoSpaceDN w:val="0"/>
              <w:adjustRightInd w:val="0"/>
              <w:spacing w:line="400" w:lineRule="exact"/>
              <w:jc w:val="cente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15</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CDA71FD">
            <w:pPr>
              <w:autoSpaceDE w:val="0"/>
              <w:autoSpaceDN w:val="0"/>
              <w:adjustRightInd w:val="0"/>
              <w:spacing w:line="400" w:lineRule="exact"/>
              <w:rPr>
                <w:rFonts w:hint="eastAsia" w:asciiTheme="minorEastAsia" w:hAnsiTheme="minorEastAsia" w:eastAsiaTheme="minorEastAsia" w:cstheme="minorEastAsia"/>
                <w:b/>
                <w:bCs/>
                <w:color w:val="auto"/>
                <w:kern w:val="0"/>
                <w:sz w:val="22"/>
                <w:szCs w:val="22"/>
                <w:highlight w:val="none"/>
                <w:lang w:val="zh-CN"/>
              </w:rPr>
            </w:pPr>
            <w:r>
              <w:rPr>
                <w:rFonts w:hint="eastAsia" w:asciiTheme="minorEastAsia" w:hAnsiTheme="minorEastAsia" w:eastAsiaTheme="minorEastAsia" w:cstheme="minorEastAsia"/>
                <w:b/>
                <w:bCs/>
                <w:color w:val="auto"/>
                <w:kern w:val="0"/>
                <w:sz w:val="22"/>
                <w:szCs w:val="22"/>
                <w:highlight w:val="none"/>
              </w:rPr>
              <w:t>响应文件</w:t>
            </w:r>
            <w:r>
              <w:rPr>
                <w:rFonts w:hint="eastAsia" w:asciiTheme="minorEastAsia" w:hAnsiTheme="minorEastAsia" w:eastAsiaTheme="minorEastAsia" w:cstheme="minorEastAsia"/>
                <w:b/>
                <w:bCs/>
                <w:color w:val="auto"/>
                <w:kern w:val="0"/>
                <w:sz w:val="22"/>
                <w:szCs w:val="22"/>
                <w:highlight w:val="none"/>
                <w:lang w:val="zh-CN"/>
              </w:rPr>
              <w:t>的组成</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777AEF4">
            <w:pPr>
              <w:autoSpaceDE w:val="0"/>
              <w:autoSpaceDN w:val="0"/>
              <w:adjustRightInd w:val="0"/>
              <w:spacing w:line="400" w:lineRule="exact"/>
              <w:rPr>
                <w:rFonts w:hint="eastAsia" w:asciiTheme="minorEastAsia" w:hAnsiTheme="minorEastAsia" w:eastAsiaTheme="minorEastAsia" w:cstheme="minorEastAsia"/>
                <w:b/>
                <w:bCs/>
                <w:color w:val="auto"/>
                <w:kern w:val="0"/>
                <w:sz w:val="22"/>
                <w:szCs w:val="22"/>
                <w:highlight w:val="none"/>
                <w:lang w:val="zh-CN"/>
              </w:rPr>
            </w:pPr>
            <w:r>
              <w:rPr>
                <w:rFonts w:hint="eastAsia" w:asciiTheme="minorEastAsia" w:hAnsiTheme="minorEastAsia" w:eastAsiaTheme="minorEastAsia" w:cstheme="minorEastAsia"/>
                <w:b/>
                <w:bCs/>
                <w:color w:val="auto"/>
                <w:kern w:val="0"/>
                <w:sz w:val="22"/>
                <w:szCs w:val="22"/>
                <w:highlight w:val="none"/>
                <w:lang w:val="zh-CN"/>
              </w:rPr>
              <w:t>由“资格响应文件”、“</w:t>
            </w:r>
            <w:r>
              <w:rPr>
                <w:rFonts w:hint="eastAsia" w:asciiTheme="minorEastAsia" w:hAnsiTheme="minorEastAsia" w:eastAsiaTheme="minorEastAsia" w:cstheme="minorEastAsia"/>
                <w:b/>
                <w:bCs/>
                <w:color w:val="auto"/>
                <w:kern w:val="0"/>
                <w:sz w:val="22"/>
                <w:szCs w:val="22"/>
                <w:highlight w:val="none"/>
              </w:rPr>
              <w:t>商务技术响应文件</w:t>
            </w:r>
            <w:r>
              <w:rPr>
                <w:rFonts w:hint="eastAsia" w:asciiTheme="minorEastAsia" w:hAnsiTheme="minorEastAsia" w:eastAsiaTheme="minorEastAsia" w:cstheme="minorEastAsia"/>
                <w:b/>
                <w:bCs/>
                <w:color w:val="auto"/>
                <w:kern w:val="0"/>
                <w:sz w:val="22"/>
                <w:szCs w:val="22"/>
                <w:highlight w:val="none"/>
                <w:lang w:val="zh-CN"/>
              </w:rPr>
              <w:t>”和“报价响应文件”三个部分组成。</w:t>
            </w:r>
          </w:p>
        </w:tc>
      </w:tr>
      <w:tr w14:paraId="3ED0EE55">
        <w:tblPrEx>
          <w:tblCellMar>
            <w:top w:w="0" w:type="dxa"/>
            <w:left w:w="108" w:type="dxa"/>
            <w:bottom w:w="0" w:type="dxa"/>
            <w:right w:w="108" w:type="dxa"/>
          </w:tblCellMar>
        </w:tblPrEx>
        <w:trPr>
          <w:trHeight w:val="79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8638BA1">
            <w:pPr>
              <w:autoSpaceDE w:val="0"/>
              <w:autoSpaceDN w:val="0"/>
              <w:adjustRightInd w:val="0"/>
              <w:spacing w:line="400" w:lineRule="exact"/>
              <w:jc w:val="cente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16</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827CE36">
            <w:pPr>
              <w:autoSpaceDE w:val="0"/>
              <w:autoSpaceDN w:val="0"/>
              <w:adjustRightInd w:val="0"/>
              <w:spacing w:line="400" w:lineRule="exact"/>
              <w:rPr>
                <w:rFonts w:hint="eastAsia" w:asciiTheme="minorEastAsia" w:hAnsiTheme="minorEastAsia" w:eastAsiaTheme="minorEastAsia" w:cstheme="minorEastAsia"/>
                <w:b/>
                <w:bCs/>
                <w:color w:val="auto"/>
                <w:kern w:val="0"/>
                <w:sz w:val="22"/>
                <w:szCs w:val="22"/>
                <w:highlight w:val="none"/>
                <w:lang w:val="zh-CN"/>
              </w:rPr>
            </w:pPr>
            <w:r>
              <w:rPr>
                <w:rFonts w:hint="eastAsia" w:asciiTheme="minorEastAsia" w:hAnsiTheme="minorEastAsia" w:eastAsiaTheme="minorEastAsia" w:cstheme="minorEastAsia"/>
                <w:b/>
                <w:bCs/>
                <w:color w:val="auto"/>
                <w:kern w:val="0"/>
                <w:sz w:val="22"/>
                <w:szCs w:val="22"/>
                <w:highlight w:val="none"/>
              </w:rPr>
              <w:t>响应文件</w:t>
            </w:r>
            <w:r>
              <w:rPr>
                <w:rFonts w:hint="eastAsia" w:asciiTheme="minorEastAsia" w:hAnsiTheme="minorEastAsia" w:eastAsiaTheme="minorEastAsia" w:cstheme="minorEastAsia"/>
                <w:b/>
                <w:bCs/>
                <w:color w:val="auto"/>
                <w:kern w:val="0"/>
                <w:sz w:val="22"/>
                <w:szCs w:val="22"/>
                <w:highlight w:val="none"/>
                <w:lang w:val="zh-CN"/>
              </w:rPr>
              <w:t>的编制</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660163C">
            <w:pPr>
              <w:autoSpaceDE w:val="0"/>
              <w:autoSpaceDN w:val="0"/>
              <w:adjustRightInd w:val="0"/>
              <w:spacing w:line="400" w:lineRule="exact"/>
              <w:rPr>
                <w:rFonts w:hint="eastAsia" w:asciiTheme="minorEastAsia" w:hAnsiTheme="minorEastAsia" w:eastAsiaTheme="minorEastAsia" w:cstheme="minorEastAsia"/>
                <w:b/>
                <w:bCs/>
                <w:color w:val="auto"/>
                <w:kern w:val="0"/>
                <w:sz w:val="22"/>
                <w:szCs w:val="22"/>
                <w:highlight w:val="none"/>
                <w:lang w:val="zh-CN"/>
              </w:rPr>
            </w:pPr>
            <w:r>
              <w:rPr>
                <w:rFonts w:hint="eastAsia" w:asciiTheme="minorEastAsia" w:hAnsiTheme="minorEastAsia" w:eastAsiaTheme="minorEastAsia" w:cstheme="minorEastAsia"/>
                <w:b/>
                <w:bCs/>
                <w:color w:val="auto"/>
                <w:kern w:val="0"/>
                <w:sz w:val="22"/>
                <w:szCs w:val="22"/>
                <w:highlight w:val="none"/>
                <w:lang w:val="zh-CN"/>
              </w:rPr>
              <w:t>供应商应先安装“政采云</w:t>
            </w:r>
            <w:r>
              <w:rPr>
                <w:rFonts w:hint="eastAsia" w:asciiTheme="minorEastAsia" w:hAnsiTheme="minorEastAsia" w:eastAsiaTheme="minorEastAsia" w:cstheme="minorEastAsia"/>
                <w:b/>
                <w:bCs/>
                <w:color w:val="auto"/>
                <w:kern w:val="0"/>
                <w:sz w:val="22"/>
                <w:szCs w:val="22"/>
                <w:highlight w:val="none"/>
              </w:rPr>
              <w:t>投标</w:t>
            </w:r>
            <w:r>
              <w:rPr>
                <w:rFonts w:hint="eastAsia" w:asciiTheme="minorEastAsia" w:hAnsiTheme="minorEastAsia" w:eastAsiaTheme="minorEastAsia" w:cstheme="minorEastAsia"/>
                <w:b/>
                <w:bCs/>
                <w:color w:val="auto"/>
                <w:kern w:val="0"/>
                <w:sz w:val="22"/>
                <w:szCs w:val="22"/>
                <w:highlight w:val="none"/>
                <w:lang w:val="zh-CN"/>
              </w:rPr>
              <w:t>客户端”，并按照本</w:t>
            </w:r>
            <w:r>
              <w:rPr>
                <w:rFonts w:hint="eastAsia" w:asciiTheme="minorEastAsia" w:hAnsiTheme="minorEastAsia" w:eastAsiaTheme="minorEastAsia" w:cstheme="minorEastAsia"/>
                <w:b/>
                <w:bCs/>
                <w:color w:val="auto"/>
                <w:kern w:val="0"/>
                <w:sz w:val="22"/>
                <w:szCs w:val="22"/>
                <w:highlight w:val="none"/>
              </w:rPr>
              <w:t>竞争性磋商</w:t>
            </w:r>
            <w:r>
              <w:rPr>
                <w:rFonts w:hint="eastAsia" w:asciiTheme="minorEastAsia" w:hAnsiTheme="minorEastAsia" w:eastAsiaTheme="minorEastAsia" w:cstheme="minorEastAsia"/>
                <w:b/>
                <w:bCs/>
                <w:color w:val="auto"/>
                <w:kern w:val="0"/>
                <w:sz w:val="22"/>
                <w:szCs w:val="22"/>
                <w:highlight w:val="none"/>
                <w:lang w:val="zh-CN"/>
              </w:rPr>
              <w:t>文件和“《政府采购项目电子交易管理操作指南-供应商》”的要求，编制并加密</w:t>
            </w:r>
            <w:r>
              <w:rPr>
                <w:rFonts w:hint="eastAsia" w:asciiTheme="minorEastAsia" w:hAnsiTheme="minorEastAsia" w:eastAsiaTheme="minorEastAsia" w:cstheme="minorEastAsia"/>
                <w:b/>
                <w:bCs/>
                <w:color w:val="auto"/>
                <w:kern w:val="0"/>
                <w:sz w:val="22"/>
                <w:szCs w:val="22"/>
                <w:highlight w:val="none"/>
              </w:rPr>
              <w:t>响应</w:t>
            </w:r>
            <w:r>
              <w:rPr>
                <w:rFonts w:hint="eastAsia" w:asciiTheme="minorEastAsia" w:hAnsiTheme="minorEastAsia" w:eastAsiaTheme="minorEastAsia" w:cstheme="minorEastAsia"/>
                <w:b/>
                <w:bCs/>
                <w:color w:val="auto"/>
                <w:kern w:val="0"/>
                <w:sz w:val="22"/>
                <w:szCs w:val="22"/>
                <w:highlight w:val="none"/>
                <w:lang w:val="zh-CN"/>
              </w:rPr>
              <w:t>文件。</w:t>
            </w:r>
          </w:p>
        </w:tc>
      </w:tr>
      <w:tr w14:paraId="59223754">
        <w:tblPrEx>
          <w:tblCellMar>
            <w:top w:w="0" w:type="dxa"/>
            <w:left w:w="108" w:type="dxa"/>
            <w:bottom w:w="0" w:type="dxa"/>
            <w:right w:w="108" w:type="dxa"/>
          </w:tblCellMar>
        </w:tblPrEx>
        <w:trPr>
          <w:trHeight w:val="79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40F34FE">
            <w:pPr>
              <w:autoSpaceDE w:val="0"/>
              <w:autoSpaceDN w:val="0"/>
              <w:adjustRightInd w:val="0"/>
              <w:spacing w:line="400" w:lineRule="exact"/>
              <w:jc w:val="cente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17</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132CC44">
            <w:pPr>
              <w:autoSpaceDE w:val="0"/>
              <w:autoSpaceDN w:val="0"/>
              <w:adjustRightInd w:val="0"/>
              <w:spacing w:line="400" w:lineRule="exact"/>
              <w:rPr>
                <w:rFonts w:hint="eastAsia" w:asciiTheme="minorEastAsia" w:hAnsiTheme="minorEastAsia" w:eastAsiaTheme="minorEastAsia" w:cstheme="minorEastAsia"/>
                <w:b/>
                <w:bCs/>
                <w:color w:val="auto"/>
                <w:kern w:val="0"/>
                <w:sz w:val="22"/>
                <w:szCs w:val="22"/>
                <w:highlight w:val="none"/>
                <w:lang w:val="zh-CN"/>
              </w:rPr>
            </w:pPr>
            <w:r>
              <w:rPr>
                <w:rFonts w:hint="eastAsia" w:asciiTheme="minorEastAsia" w:hAnsiTheme="minorEastAsia" w:eastAsiaTheme="minorEastAsia" w:cstheme="minorEastAsia"/>
                <w:b/>
                <w:bCs/>
                <w:color w:val="auto"/>
                <w:kern w:val="0"/>
                <w:sz w:val="22"/>
                <w:szCs w:val="22"/>
                <w:highlight w:val="none"/>
                <w:lang w:val="zh-CN"/>
              </w:rPr>
              <w:t>签字或盖章要求</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B2760DE">
            <w:pPr>
              <w:autoSpaceDE w:val="0"/>
              <w:autoSpaceDN w:val="0"/>
              <w:adjustRightInd w:val="0"/>
              <w:spacing w:line="40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lang w:val="zh-CN"/>
              </w:rPr>
              <w:t>磋商响应文件的相应位置应加盖：电子签章。（或先制作word版打印，相应位置签字或盖章后再扫描上传）</w:t>
            </w:r>
          </w:p>
        </w:tc>
      </w:tr>
      <w:tr w14:paraId="7AC1A609">
        <w:tblPrEx>
          <w:tblCellMar>
            <w:top w:w="0" w:type="dxa"/>
            <w:left w:w="108" w:type="dxa"/>
            <w:bottom w:w="0" w:type="dxa"/>
            <w:right w:w="108" w:type="dxa"/>
          </w:tblCellMar>
        </w:tblPrEx>
        <w:trPr>
          <w:trHeight w:val="79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84884EC">
            <w:pPr>
              <w:autoSpaceDE w:val="0"/>
              <w:autoSpaceDN w:val="0"/>
              <w:adjustRightInd w:val="0"/>
              <w:spacing w:line="400" w:lineRule="exact"/>
              <w:jc w:val="cente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18</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555286D">
            <w:pPr>
              <w:autoSpaceDE w:val="0"/>
              <w:autoSpaceDN w:val="0"/>
              <w:adjustRightInd w:val="0"/>
              <w:spacing w:line="400" w:lineRule="exact"/>
              <w:rPr>
                <w:rFonts w:hint="eastAsia" w:asciiTheme="minorEastAsia" w:hAnsiTheme="minorEastAsia" w:eastAsiaTheme="minorEastAsia" w:cstheme="minorEastAsia"/>
                <w:b/>
                <w:bCs/>
                <w:color w:val="auto"/>
                <w:kern w:val="0"/>
                <w:sz w:val="22"/>
                <w:szCs w:val="22"/>
                <w:highlight w:val="none"/>
                <w:lang w:val="zh-CN"/>
              </w:rPr>
            </w:pPr>
            <w:r>
              <w:rPr>
                <w:rFonts w:hint="eastAsia" w:asciiTheme="minorEastAsia" w:hAnsiTheme="minorEastAsia" w:eastAsiaTheme="minorEastAsia" w:cstheme="minorEastAsia"/>
                <w:b/>
                <w:bCs/>
                <w:color w:val="auto"/>
                <w:kern w:val="0"/>
                <w:sz w:val="22"/>
                <w:szCs w:val="22"/>
                <w:highlight w:val="none"/>
              </w:rPr>
              <w:t>响应</w:t>
            </w:r>
            <w:r>
              <w:rPr>
                <w:rFonts w:hint="eastAsia" w:asciiTheme="minorEastAsia" w:hAnsiTheme="minorEastAsia" w:eastAsiaTheme="minorEastAsia" w:cstheme="minorEastAsia"/>
                <w:b/>
                <w:bCs/>
                <w:color w:val="auto"/>
                <w:kern w:val="0"/>
                <w:sz w:val="22"/>
                <w:szCs w:val="22"/>
                <w:highlight w:val="none"/>
                <w:lang w:val="zh-CN"/>
              </w:rPr>
              <w:t>文件形式、制作及组成</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0ECD53E">
            <w:pPr>
              <w:autoSpaceDE w:val="0"/>
              <w:autoSpaceDN w:val="0"/>
              <w:adjustRightInd w:val="0"/>
              <w:spacing w:line="400" w:lineRule="exac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本项目实行在线投标响应（电子投标）。</w:t>
            </w:r>
          </w:p>
          <w:p w14:paraId="75FC8580">
            <w:pPr>
              <w:autoSpaceDE w:val="0"/>
              <w:autoSpaceDN w:val="0"/>
              <w:adjustRightInd w:val="0"/>
              <w:spacing w:line="400" w:lineRule="exac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供应商须准备电子磋商响应文件（包括“电子加密磋商响应文件”和“备份磋商响应文件”两类，在磋商响应文件编制完成后同时生成）。</w:t>
            </w:r>
          </w:p>
          <w:p w14:paraId="30B27985">
            <w:pPr>
              <w:autoSpaceDE w:val="0"/>
              <w:autoSpaceDN w:val="0"/>
              <w:adjustRightInd w:val="0"/>
              <w:spacing w:line="400" w:lineRule="exac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（1）“电子加密磋商响应文件”（后缀格式为.jmbs）是指通过“政采云电子交易客户端”完成磋商响应文件编制后生成并加密的数据电文形式的磋商响应文件。</w:t>
            </w:r>
          </w:p>
          <w:p w14:paraId="3277B2E3">
            <w:pPr>
              <w:autoSpaceDE w:val="0"/>
              <w:autoSpaceDN w:val="0"/>
              <w:adjustRightInd w:val="0"/>
              <w:spacing w:line="400" w:lineRule="exac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（2）“备份磋商响应文件”（后缀格式为.bfbs）是指与“电子加密磋商响应文件”同时生成的数据电文形式的电子文件（备份标书），其他方式编制的备份磋商响应文件视为无效备份磋商响应文件。</w:t>
            </w:r>
          </w:p>
          <w:p w14:paraId="3EE401E7">
            <w:pPr>
              <w:autoSpaceDE w:val="0"/>
              <w:autoSpaceDN w:val="0"/>
              <w:adjustRightInd w:val="0"/>
              <w:spacing w:line="400" w:lineRule="exact"/>
              <w:rPr>
                <w:rFonts w:hint="eastAsia" w:asciiTheme="minorEastAsia" w:hAnsiTheme="minorEastAsia" w:eastAsiaTheme="minorEastAsia" w:cstheme="minorEastAsia"/>
                <w:b/>
                <w:bCs/>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以上两类磋商响应文件均由资格审查资料、商务技术文件、报价文件三部分组成。</w:t>
            </w:r>
          </w:p>
        </w:tc>
      </w:tr>
      <w:tr w14:paraId="033DC316">
        <w:tblPrEx>
          <w:tblCellMar>
            <w:top w:w="0" w:type="dxa"/>
            <w:left w:w="108" w:type="dxa"/>
            <w:bottom w:w="0" w:type="dxa"/>
            <w:right w:w="108" w:type="dxa"/>
          </w:tblCellMar>
        </w:tblPrEx>
        <w:trPr>
          <w:trHeight w:val="79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2422BA6">
            <w:pPr>
              <w:autoSpaceDE w:val="0"/>
              <w:autoSpaceDN w:val="0"/>
              <w:adjustRightInd w:val="0"/>
              <w:spacing w:line="400" w:lineRule="exact"/>
              <w:jc w:val="cente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19</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B35F923">
            <w:pPr>
              <w:autoSpaceDE w:val="0"/>
              <w:autoSpaceDN w:val="0"/>
              <w:adjustRightInd w:val="0"/>
              <w:spacing w:line="400" w:lineRule="exact"/>
              <w:rPr>
                <w:rFonts w:hint="eastAsia" w:asciiTheme="minorEastAsia" w:hAnsiTheme="minorEastAsia" w:eastAsiaTheme="minorEastAsia" w:cstheme="minorEastAsia"/>
                <w:b/>
                <w:bCs/>
                <w:color w:val="auto"/>
                <w:kern w:val="0"/>
                <w:sz w:val="22"/>
                <w:szCs w:val="22"/>
                <w:highlight w:val="none"/>
                <w:lang w:val="zh-CN"/>
              </w:rPr>
            </w:pPr>
            <w:r>
              <w:rPr>
                <w:rFonts w:hint="eastAsia" w:asciiTheme="minorEastAsia" w:hAnsiTheme="minorEastAsia" w:eastAsiaTheme="minorEastAsia" w:cstheme="minorEastAsia"/>
                <w:b/>
                <w:bCs/>
                <w:color w:val="auto"/>
                <w:kern w:val="0"/>
                <w:sz w:val="22"/>
                <w:szCs w:val="22"/>
                <w:highlight w:val="none"/>
              </w:rPr>
              <w:t>响应</w:t>
            </w:r>
            <w:r>
              <w:rPr>
                <w:rFonts w:hint="eastAsia" w:asciiTheme="minorEastAsia" w:hAnsiTheme="minorEastAsia" w:eastAsiaTheme="minorEastAsia" w:cstheme="minorEastAsia"/>
                <w:b/>
                <w:bCs/>
                <w:color w:val="auto"/>
                <w:kern w:val="0"/>
                <w:sz w:val="22"/>
                <w:szCs w:val="22"/>
                <w:highlight w:val="none"/>
                <w:lang w:val="zh-CN"/>
              </w:rPr>
              <w:t>文件的上传和递交</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655E829">
            <w:pPr>
              <w:pStyle w:val="50"/>
              <w:autoSpaceDE w:val="0"/>
              <w:autoSpaceDN w:val="0"/>
              <w:adjustRightInd w:val="0"/>
              <w:spacing w:line="400" w:lineRule="exact"/>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（1）“电子加密磋商响应文件”的上传、递交：</w:t>
            </w:r>
          </w:p>
          <w:p w14:paraId="740EFC48">
            <w:pPr>
              <w:pStyle w:val="50"/>
              <w:numPr>
                <w:ilvl w:val="0"/>
                <w:numId w:val="2"/>
              </w:numPr>
              <w:autoSpaceDE w:val="0"/>
              <w:autoSpaceDN w:val="0"/>
              <w:adjustRightInd w:val="0"/>
              <w:spacing w:line="400" w:lineRule="exact"/>
              <w:ind w:firstLine="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供应商应在磋商响应文件递交截止时间前将“电子加密磋商响应文件”成功上传递交至“政采云平台”，否则投标无效。</w:t>
            </w:r>
          </w:p>
          <w:p w14:paraId="01673553">
            <w:pPr>
              <w:pStyle w:val="50"/>
              <w:numPr>
                <w:ilvl w:val="0"/>
                <w:numId w:val="2"/>
              </w:numPr>
              <w:autoSpaceDE w:val="0"/>
              <w:autoSpaceDN w:val="0"/>
              <w:adjustRightInd w:val="0"/>
              <w:spacing w:line="400" w:lineRule="exact"/>
              <w:ind w:firstLine="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“电子加密磋商响应文件”成功上传递交后，供应商可自行打印磋商响应文件接收回执。</w:t>
            </w:r>
          </w:p>
          <w:p w14:paraId="46C44139">
            <w:pPr>
              <w:pStyle w:val="50"/>
              <w:autoSpaceDE w:val="0"/>
              <w:autoSpaceDN w:val="0"/>
              <w:adjustRightInd w:val="0"/>
              <w:spacing w:line="400" w:lineRule="exact"/>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（2）“备份磋商响应文件”的密封包装、递交：</w:t>
            </w:r>
          </w:p>
          <w:p w14:paraId="4918C7AD">
            <w:pPr>
              <w:pStyle w:val="50"/>
              <w:numPr>
                <w:ilvl w:val="0"/>
                <w:numId w:val="3"/>
              </w:numPr>
              <w:autoSpaceDE w:val="0"/>
              <w:autoSpaceDN w:val="0"/>
              <w:adjustRightInd w:val="0"/>
              <w:spacing w:line="400" w:lineRule="exact"/>
              <w:ind w:firstLine="0"/>
              <w:jc w:val="both"/>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供应商在“政采云平台”完成“电子加密磋商响应文件”的上传递交后，可以（建议）以电子邮件形式在提交磋商响应文件截止时间前传送至采购代理机构邮箱</w:t>
            </w:r>
            <w:r>
              <w:rPr>
                <w:rFonts w:hint="eastAsia" w:asciiTheme="minorEastAsia" w:hAnsiTheme="minorEastAsia" w:eastAsiaTheme="minorEastAsia" w:cstheme="minorEastAsia"/>
                <w:b/>
                <w:bCs/>
                <w:color w:val="auto"/>
                <w:sz w:val="22"/>
                <w:szCs w:val="22"/>
                <w:highlight w:val="none"/>
                <w:lang w:eastAsia="zh-CN"/>
              </w:rPr>
              <w:t>244726069@qq.com</w:t>
            </w:r>
            <w:r>
              <w:rPr>
                <w:rFonts w:hint="eastAsia" w:asciiTheme="minorEastAsia" w:hAnsiTheme="minorEastAsia" w:eastAsiaTheme="minorEastAsia" w:cstheme="minorEastAsia"/>
                <w:b/>
                <w:bCs/>
                <w:color w:val="auto"/>
                <w:sz w:val="22"/>
                <w:szCs w:val="22"/>
                <w:highlight w:val="none"/>
              </w:rPr>
              <w:t>。传送的备份标书需打包压缩并加密，加密密码由</w:t>
            </w:r>
            <w:r>
              <w:rPr>
                <w:rFonts w:hint="eastAsia" w:asciiTheme="minorEastAsia" w:hAnsiTheme="minorEastAsia" w:eastAsiaTheme="minorEastAsia" w:cstheme="minorEastAsia"/>
                <w:b/>
                <w:bCs/>
                <w:color w:val="auto"/>
                <w:sz w:val="22"/>
                <w:szCs w:val="22"/>
                <w:highlight w:val="none"/>
                <w:lang w:val="en-US"/>
              </w:rPr>
              <w:t>供应商</w:t>
            </w:r>
            <w:r>
              <w:rPr>
                <w:rFonts w:hint="eastAsia" w:asciiTheme="minorEastAsia" w:hAnsiTheme="minorEastAsia" w:eastAsiaTheme="minorEastAsia" w:cstheme="minorEastAsia"/>
                <w:b/>
                <w:bCs/>
                <w:color w:val="auto"/>
                <w:sz w:val="22"/>
                <w:szCs w:val="22"/>
                <w:highlight w:val="none"/>
              </w:rPr>
              <w:t>自行保管。</w:t>
            </w:r>
          </w:p>
          <w:p w14:paraId="2C6720EF">
            <w:pPr>
              <w:pStyle w:val="50"/>
              <w:numPr>
                <w:ilvl w:val="0"/>
                <w:numId w:val="3"/>
              </w:numPr>
              <w:autoSpaceDE w:val="0"/>
              <w:autoSpaceDN w:val="0"/>
              <w:adjustRightInd w:val="0"/>
              <w:spacing w:line="400" w:lineRule="exact"/>
              <w:ind w:firstLine="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通过“政采云平台”成功上传递交的“电子加密磋商响应文件”已按时解密的，“备份磋商响应文件”自动失效。磋商响应文件递交截止时间前，供应商仅递交了“备份磋商响应文件”的，投标无效。</w:t>
            </w:r>
          </w:p>
        </w:tc>
      </w:tr>
      <w:tr w14:paraId="632F4EDB">
        <w:tblPrEx>
          <w:tblCellMar>
            <w:top w:w="0" w:type="dxa"/>
            <w:left w:w="108" w:type="dxa"/>
            <w:bottom w:w="0" w:type="dxa"/>
            <w:right w:w="108" w:type="dxa"/>
          </w:tblCellMar>
        </w:tblPrEx>
        <w:trPr>
          <w:trHeight w:val="79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64EC748">
            <w:pPr>
              <w:autoSpaceDE w:val="0"/>
              <w:autoSpaceDN w:val="0"/>
              <w:adjustRightInd w:val="0"/>
              <w:spacing w:line="400" w:lineRule="exact"/>
              <w:jc w:val="cente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20</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040E949">
            <w:pPr>
              <w:autoSpaceDE w:val="0"/>
              <w:autoSpaceDN w:val="0"/>
              <w:adjustRightInd w:val="0"/>
              <w:spacing w:line="400" w:lineRule="exact"/>
              <w:rPr>
                <w:rFonts w:hint="eastAsia" w:asciiTheme="minorEastAsia" w:hAnsiTheme="minorEastAsia" w:eastAsiaTheme="minorEastAsia" w:cstheme="minorEastAsia"/>
                <w:b/>
                <w:bCs/>
                <w:color w:val="auto"/>
                <w:kern w:val="0"/>
                <w:sz w:val="22"/>
                <w:szCs w:val="22"/>
                <w:highlight w:val="none"/>
                <w:lang w:val="zh-CN"/>
              </w:rPr>
            </w:pPr>
            <w:r>
              <w:rPr>
                <w:rFonts w:hint="eastAsia" w:asciiTheme="minorEastAsia" w:hAnsiTheme="minorEastAsia" w:eastAsiaTheme="minorEastAsia" w:cstheme="minorEastAsia"/>
                <w:b/>
                <w:bCs/>
                <w:color w:val="auto"/>
                <w:kern w:val="0"/>
                <w:sz w:val="22"/>
                <w:szCs w:val="22"/>
                <w:highlight w:val="none"/>
                <w:lang w:val="zh-CN"/>
              </w:rPr>
              <w:t>电子响应文件的解密和异常情况处理</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E3A99EA">
            <w:pPr>
              <w:autoSpaceDE w:val="0"/>
              <w:autoSpaceDN w:val="0"/>
              <w:adjustRightInd w:val="0"/>
              <w:spacing w:line="400" w:lineRule="exact"/>
              <w:rPr>
                <w:rFonts w:hint="eastAsia" w:asciiTheme="minorEastAsia" w:hAnsiTheme="minorEastAsia" w:eastAsiaTheme="minorEastAsia" w:cstheme="minorEastAsia"/>
                <w:b/>
                <w:bCs/>
                <w:color w:val="auto"/>
                <w:kern w:val="0"/>
                <w:sz w:val="22"/>
                <w:szCs w:val="22"/>
                <w:highlight w:val="none"/>
                <w:lang w:val="zh-CN"/>
              </w:rPr>
            </w:pPr>
            <w:r>
              <w:rPr>
                <w:rFonts w:hint="eastAsia" w:asciiTheme="minorEastAsia" w:hAnsiTheme="minorEastAsia" w:eastAsiaTheme="minorEastAsia" w:cstheme="minorEastAsia"/>
                <w:b/>
                <w:bCs/>
                <w:color w:val="auto"/>
                <w:kern w:val="0"/>
                <w:sz w:val="22"/>
                <w:szCs w:val="22"/>
                <w:highlight w:val="none"/>
                <w:lang w:val="zh-CN"/>
              </w:rPr>
              <w:t>（1）磋商</w:t>
            </w:r>
            <w:r>
              <w:rPr>
                <w:rFonts w:hint="eastAsia" w:asciiTheme="minorEastAsia" w:hAnsiTheme="minorEastAsia" w:eastAsiaTheme="minorEastAsia" w:cstheme="minorEastAsia"/>
                <w:b/>
                <w:bCs/>
                <w:color w:val="auto"/>
                <w:kern w:val="0"/>
                <w:sz w:val="22"/>
                <w:szCs w:val="22"/>
                <w:highlight w:val="none"/>
              </w:rPr>
              <w:t>响应</w:t>
            </w:r>
            <w:r>
              <w:rPr>
                <w:rFonts w:hint="eastAsia" w:asciiTheme="minorEastAsia" w:hAnsiTheme="minorEastAsia" w:eastAsiaTheme="minorEastAsia" w:cstheme="minorEastAsia"/>
                <w:b/>
                <w:bCs/>
                <w:color w:val="auto"/>
                <w:kern w:val="0"/>
                <w:sz w:val="22"/>
                <w:szCs w:val="22"/>
                <w:highlight w:val="none"/>
                <w:lang w:val="zh-CN"/>
              </w:rPr>
              <w:t>截止时间后，采购组织机构将向各供应商发出解密通知，各供应商代表应当在接到解密通知后登录政采云平台，对电子响应文件进行在线解密（解密</w:t>
            </w:r>
            <w:r>
              <w:rPr>
                <w:rFonts w:hint="eastAsia" w:asciiTheme="minorEastAsia" w:hAnsiTheme="minorEastAsia" w:eastAsiaTheme="minorEastAsia" w:cstheme="minorEastAsia"/>
                <w:b/>
                <w:bCs/>
                <w:color w:val="auto"/>
                <w:kern w:val="0"/>
                <w:sz w:val="22"/>
                <w:szCs w:val="22"/>
                <w:highlight w:val="none"/>
              </w:rPr>
              <w:t>电子响应</w:t>
            </w:r>
            <w:r>
              <w:rPr>
                <w:rFonts w:hint="eastAsia" w:asciiTheme="minorEastAsia" w:hAnsiTheme="minorEastAsia" w:eastAsiaTheme="minorEastAsia" w:cstheme="minorEastAsia"/>
                <w:b/>
                <w:bCs/>
                <w:color w:val="auto"/>
                <w:kern w:val="0"/>
                <w:sz w:val="22"/>
                <w:szCs w:val="22"/>
                <w:highlight w:val="none"/>
                <w:lang w:val="zh-CN"/>
              </w:rPr>
              <w:t>文件必须插入CA），在线解密电子响应文件时间为接到解密通知后</w:t>
            </w:r>
            <w:r>
              <w:rPr>
                <w:rFonts w:hint="eastAsia" w:asciiTheme="minorEastAsia" w:hAnsiTheme="minorEastAsia" w:eastAsiaTheme="minorEastAsia" w:cstheme="minorEastAsia"/>
                <w:b/>
                <w:bCs/>
                <w:color w:val="auto"/>
                <w:kern w:val="0"/>
                <w:sz w:val="22"/>
                <w:szCs w:val="22"/>
                <w:highlight w:val="none"/>
              </w:rPr>
              <w:t>3</w:t>
            </w:r>
            <w:r>
              <w:rPr>
                <w:rFonts w:hint="eastAsia" w:asciiTheme="minorEastAsia" w:hAnsiTheme="minorEastAsia" w:eastAsiaTheme="minorEastAsia" w:cstheme="minorEastAsia"/>
                <w:b/>
                <w:bCs/>
                <w:color w:val="auto"/>
                <w:kern w:val="0"/>
                <w:sz w:val="22"/>
                <w:szCs w:val="22"/>
                <w:highlight w:val="none"/>
                <w:lang w:val="zh-CN"/>
              </w:rPr>
              <w:t>0分钟内。</w:t>
            </w:r>
          </w:p>
          <w:p w14:paraId="28B75C1C">
            <w:pPr>
              <w:autoSpaceDE w:val="0"/>
              <w:autoSpaceDN w:val="0"/>
              <w:adjustRightInd w:val="0"/>
              <w:spacing w:line="400" w:lineRule="exact"/>
              <w:rPr>
                <w:rFonts w:hint="eastAsia" w:asciiTheme="minorEastAsia" w:hAnsiTheme="minorEastAsia" w:eastAsiaTheme="minorEastAsia" w:cstheme="minorEastAsia"/>
                <w:b/>
                <w:bCs/>
                <w:color w:val="auto"/>
                <w:kern w:val="0"/>
                <w:sz w:val="22"/>
                <w:szCs w:val="22"/>
                <w:highlight w:val="none"/>
                <w:lang w:val="zh-CN"/>
              </w:rPr>
            </w:pPr>
            <w:r>
              <w:rPr>
                <w:rFonts w:hint="eastAsia" w:asciiTheme="minorEastAsia" w:hAnsiTheme="minorEastAsia" w:eastAsiaTheme="minorEastAsia" w:cstheme="minorEastAsia"/>
                <w:b/>
                <w:bCs/>
                <w:color w:val="auto"/>
                <w:kern w:val="0"/>
                <w:sz w:val="22"/>
                <w:szCs w:val="22"/>
                <w:highlight w:val="none"/>
                <w:lang w:val="zh-CN"/>
              </w:rPr>
              <w:t>（2）异常处理：如政采云上电子响应文件出现解密失败情况，供应商可根据自身意愿确认是否将备份标书压缩包的解密密码传送至采购代理机构邮箱244726069@qq.com,采购代理机构收到解密密码后通过【异常处理】的端口对供应商的备份响应文件进行上传（上传成功后，“电子</w:t>
            </w:r>
            <w:r>
              <w:rPr>
                <w:rFonts w:hint="eastAsia" w:asciiTheme="minorEastAsia" w:hAnsiTheme="minorEastAsia" w:eastAsiaTheme="minorEastAsia" w:cstheme="minorEastAsia"/>
                <w:b/>
                <w:bCs/>
                <w:color w:val="auto"/>
                <w:kern w:val="0"/>
                <w:sz w:val="22"/>
                <w:szCs w:val="22"/>
                <w:highlight w:val="none"/>
              </w:rPr>
              <w:t>响应</w:t>
            </w:r>
            <w:r>
              <w:rPr>
                <w:rFonts w:hint="eastAsia" w:asciiTheme="minorEastAsia" w:hAnsiTheme="minorEastAsia" w:eastAsiaTheme="minorEastAsia" w:cstheme="minorEastAsia"/>
                <w:b/>
                <w:bCs/>
                <w:color w:val="auto"/>
                <w:kern w:val="0"/>
                <w:sz w:val="22"/>
                <w:szCs w:val="22"/>
                <w:highlight w:val="none"/>
                <w:lang w:val="zh-CN"/>
              </w:rPr>
              <w:t>文件”自动失效），不能成功上传的视为</w:t>
            </w:r>
            <w:r>
              <w:rPr>
                <w:rFonts w:hint="eastAsia" w:asciiTheme="minorEastAsia" w:hAnsiTheme="minorEastAsia" w:eastAsiaTheme="minorEastAsia" w:cstheme="minorEastAsia"/>
                <w:b/>
                <w:bCs/>
                <w:color w:val="auto"/>
                <w:kern w:val="0"/>
                <w:sz w:val="22"/>
                <w:szCs w:val="22"/>
                <w:highlight w:val="none"/>
              </w:rPr>
              <w:t>响应</w:t>
            </w:r>
            <w:r>
              <w:rPr>
                <w:rFonts w:hint="eastAsia" w:asciiTheme="minorEastAsia" w:hAnsiTheme="minorEastAsia" w:eastAsiaTheme="minorEastAsia" w:cstheme="minorEastAsia"/>
                <w:b/>
                <w:bCs/>
                <w:color w:val="auto"/>
                <w:kern w:val="0"/>
                <w:sz w:val="22"/>
                <w:szCs w:val="22"/>
                <w:highlight w:val="none"/>
                <w:lang w:val="zh-CN"/>
              </w:rPr>
              <w:t>文件撤回）。</w:t>
            </w:r>
          </w:p>
          <w:p w14:paraId="5000E6E9">
            <w:pPr>
              <w:autoSpaceDE w:val="0"/>
              <w:autoSpaceDN w:val="0"/>
              <w:adjustRightInd w:val="0"/>
              <w:spacing w:line="400" w:lineRule="exact"/>
              <w:rPr>
                <w:rFonts w:hint="eastAsia" w:asciiTheme="minorEastAsia" w:hAnsiTheme="minorEastAsia" w:eastAsiaTheme="minorEastAsia" w:cstheme="minorEastAsia"/>
                <w:b/>
                <w:bCs/>
                <w:color w:val="auto"/>
                <w:kern w:val="0"/>
                <w:sz w:val="22"/>
                <w:szCs w:val="22"/>
                <w:highlight w:val="none"/>
                <w:lang w:val="zh-CN"/>
              </w:rPr>
            </w:pPr>
            <w:r>
              <w:rPr>
                <w:rFonts w:hint="eastAsia" w:asciiTheme="minorEastAsia" w:hAnsiTheme="minorEastAsia" w:eastAsiaTheme="minorEastAsia" w:cstheme="minorEastAsia"/>
                <w:b/>
                <w:bCs/>
                <w:color w:val="auto"/>
                <w:kern w:val="0"/>
                <w:sz w:val="22"/>
                <w:szCs w:val="22"/>
                <w:highlight w:val="none"/>
                <w:lang w:val="zh-CN"/>
              </w:rPr>
              <w:t>（</w:t>
            </w:r>
            <w:r>
              <w:rPr>
                <w:rFonts w:hint="eastAsia" w:asciiTheme="minorEastAsia" w:hAnsiTheme="minorEastAsia" w:eastAsiaTheme="minorEastAsia" w:cstheme="minorEastAsia"/>
                <w:b/>
                <w:bCs/>
                <w:color w:val="auto"/>
                <w:kern w:val="0"/>
                <w:sz w:val="22"/>
                <w:szCs w:val="22"/>
                <w:highlight w:val="none"/>
              </w:rPr>
              <w:t>3）响应</w:t>
            </w:r>
            <w:r>
              <w:rPr>
                <w:rFonts w:hint="eastAsia" w:asciiTheme="minorEastAsia" w:hAnsiTheme="minorEastAsia" w:eastAsiaTheme="minorEastAsia" w:cstheme="minorEastAsia"/>
                <w:b/>
                <w:bCs/>
                <w:color w:val="auto"/>
                <w:kern w:val="0"/>
                <w:sz w:val="22"/>
                <w:szCs w:val="22"/>
                <w:highlight w:val="none"/>
                <w:lang w:val="zh-CN"/>
              </w:rPr>
              <w:t>文件的启用，按先后顺序分别为电子响应文件、以电子邮件形式的备份响应文件，在下一顺位的</w:t>
            </w:r>
            <w:r>
              <w:rPr>
                <w:rFonts w:hint="eastAsia" w:asciiTheme="minorEastAsia" w:hAnsiTheme="minorEastAsia" w:eastAsiaTheme="minorEastAsia" w:cstheme="minorEastAsia"/>
                <w:b/>
                <w:bCs/>
                <w:color w:val="auto"/>
                <w:kern w:val="0"/>
                <w:sz w:val="22"/>
                <w:szCs w:val="22"/>
                <w:highlight w:val="none"/>
              </w:rPr>
              <w:t>响应</w:t>
            </w:r>
            <w:r>
              <w:rPr>
                <w:rFonts w:hint="eastAsia" w:asciiTheme="minorEastAsia" w:hAnsiTheme="minorEastAsia" w:eastAsiaTheme="minorEastAsia" w:cstheme="minorEastAsia"/>
                <w:b/>
                <w:bCs/>
                <w:color w:val="auto"/>
                <w:kern w:val="0"/>
                <w:sz w:val="22"/>
                <w:szCs w:val="22"/>
                <w:highlight w:val="none"/>
                <w:lang w:val="zh-CN"/>
              </w:rPr>
              <w:t>文件启用之后，前一顺位的</w:t>
            </w:r>
            <w:r>
              <w:rPr>
                <w:rFonts w:hint="eastAsia" w:asciiTheme="minorEastAsia" w:hAnsiTheme="minorEastAsia" w:eastAsiaTheme="minorEastAsia" w:cstheme="minorEastAsia"/>
                <w:b/>
                <w:bCs/>
                <w:color w:val="auto"/>
                <w:kern w:val="0"/>
                <w:sz w:val="22"/>
                <w:szCs w:val="22"/>
                <w:highlight w:val="none"/>
              </w:rPr>
              <w:t>响应</w:t>
            </w:r>
            <w:r>
              <w:rPr>
                <w:rFonts w:hint="eastAsia" w:asciiTheme="minorEastAsia" w:hAnsiTheme="minorEastAsia" w:eastAsiaTheme="minorEastAsia" w:cstheme="minorEastAsia"/>
                <w:b/>
                <w:bCs/>
                <w:color w:val="auto"/>
                <w:kern w:val="0"/>
                <w:sz w:val="22"/>
                <w:szCs w:val="22"/>
                <w:highlight w:val="none"/>
                <w:lang w:val="zh-CN"/>
              </w:rPr>
              <w:t>文件自动失效。</w:t>
            </w:r>
          </w:p>
        </w:tc>
      </w:tr>
      <w:tr w14:paraId="430B6A13">
        <w:tblPrEx>
          <w:tblCellMar>
            <w:top w:w="0" w:type="dxa"/>
            <w:left w:w="108" w:type="dxa"/>
            <w:bottom w:w="0" w:type="dxa"/>
            <w:right w:w="108" w:type="dxa"/>
          </w:tblCellMar>
        </w:tblPrEx>
        <w:trPr>
          <w:trHeight w:val="538"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2C19C7C">
            <w:pPr>
              <w:autoSpaceDE w:val="0"/>
              <w:autoSpaceDN w:val="0"/>
              <w:adjustRightInd w:val="0"/>
              <w:spacing w:line="400" w:lineRule="exact"/>
              <w:jc w:val="cente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21</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BB0D8A0">
            <w:pPr>
              <w:autoSpaceDE w:val="0"/>
              <w:autoSpaceDN w:val="0"/>
              <w:adjustRightInd w:val="0"/>
              <w:spacing w:line="400" w:lineRule="exact"/>
              <w:rPr>
                <w:rFonts w:hint="eastAsia" w:asciiTheme="minorEastAsia" w:hAnsiTheme="minorEastAsia" w:eastAsiaTheme="minorEastAsia" w:cstheme="minorEastAsia"/>
                <w:b/>
                <w:bCs/>
                <w:color w:val="auto"/>
                <w:kern w:val="0"/>
                <w:sz w:val="22"/>
                <w:szCs w:val="22"/>
                <w:highlight w:val="none"/>
                <w:lang w:val="zh-CN"/>
              </w:rPr>
            </w:pPr>
            <w:r>
              <w:rPr>
                <w:rFonts w:hint="eastAsia" w:asciiTheme="minorEastAsia" w:hAnsiTheme="minorEastAsia" w:eastAsiaTheme="minorEastAsia" w:cstheme="minorEastAsia"/>
                <w:b/>
                <w:bCs/>
                <w:color w:val="auto"/>
                <w:kern w:val="0"/>
                <w:sz w:val="22"/>
                <w:szCs w:val="22"/>
                <w:highlight w:val="none"/>
              </w:rPr>
              <w:t>政采云系统默认供应商自动放弃的情形</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536BB35">
            <w:pPr>
              <w:numPr>
                <w:ilvl w:val="0"/>
                <w:numId w:val="4"/>
              </w:numPr>
              <w:autoSpaceDE w:val="0"/>
              <w:autoSpaceDN w:val="0"/>
              <w:adjustRightInd w:val="0"/>
              <w:spacing w:line="400" w:lineRule="exact"/>
              <w:ind w:firstLine="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供应商未按规定上传电子响应文件的；</w:t>
            </w:r>
          </w:p>
          <w:p w14:paraId="30F1C70F">
            <w:pPr>
              <w:numPr>
                <w:ilvl w:val="0"/>
                <w:numId w:val="4"/>
              </w:numPr>
              <w:autoSpaceDE w:val="0"/>
              <w:autoSpaceDN w:val="0"/>
              <w:adjustRightInd w:val="0"/>
              <w:spacing w:line="400" w:lineRule="exact"/>
              <w:ind w:firstLine="0"/>
              <w:rPr>
                <w:rFonts w:hint="eastAsia" w:asciiTheme="minorEastAsia" w:hAnsiTheme="minorEastAsia" w:eastAsiaTheme="minorEastAsia" w:cstheme="minorEastAsia"/>
                <w:b/>
                <w:bCs/>
                <w:color w:val="auto"/>
                <w:kern w:val="0"/>
                <w:sz w:val="22"/>
                <w:szCs w:val="22"/>
                <w:highlight w:val="none"/>
                <w:lang w:val="zh-CN"/>
              </w:rPr>
            </w:pPr>
            <w:r>
              <w:rPr>
                <w:rFonts w:hint="eastAsia" w:asciiTheme="minorEastAsia" w:hAnsiTheme="minorEastAsia" w:eastAsiaTheme="minorEastAsia" w:cstheme="minorEastAsia"/>
                <w:b/>
                <w:bCs/>
                <w:color w:val="auto"/>
                <w:kern w:val="0"/>
                <w:sz w:val="22"/>
                <w:szCs w:val="22"/>
                <w:highlight w:val="none"/>
                <w:lang w:val="zh-CN"/>
              </w:rPr>
              <w:t>在解密期限内供应商电子响应文件解密失败，且经异常处理后政采云电子交易系统仍未能解决的。</w:t>
            </w:r>
          </w:p>
        </w:tc>
      </w:tr>
      <w:tr w14:paraId="3C3B878D">
        <w:tblPrEx>
          <w:tblCellMar>
            <w:top w:w="0" w:type="dxa"/>
            <w:left w:w="108" w:type="dxa"/>
            <w:bottom w:w="0" w:type="dxa"/>
            <w:right w:w="108" w:type="dxa"/>
          </w:tblCellMar>
        </w:tblPrEx>
        <w:trPr>
          <w:trHeight w:val="79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B9DBF2D">
            <w:pPr>
              <w:autoSpaceDE w:val="0"/>
              <w:autoSpaceDN w:val="0"/>
              <w:adjustRightInd w:val="0"/>
              <w:spacing w:line="400" w:lineRule="exact"/>
              <w:jc w:val="cente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rPr>
              <w:t>22</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5A53845">
            <w:pPr>
              <w:autoSpaceDE w:val="0"/>
              <w:autoSpaceDN w:val="0"/>
              <w:adjustRightInd w:val="0"/>
              <w:spacing w:line="400" w:lineRule="exac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开标时间</w:t>
            </w:r>
          </w:p>
          <w:p w14:paraId="03F91227">
            <w:pPr>
              <w:autoSpaceDE w:val="0"/>
              <w:autoSpaceDN w:val="0"/>
              <w:adjustRightInd w:val="0"/>
              <w:spacing w:line="400" w:lineRule="exac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和地点</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34ECFE3">
            <w:pPr>
              <w:spacing w:line="40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详见竞争性磋商公告</w:t>
            </w:r>
          </w:p>
          <w:p w14:paraId="62955BCD">
            <w:pPr>
              <w:pStyle w:val="3"/>
              <w:spacing w:line="400" w:lineRule="exact"/>
              <w:ind w:firstLine="420"/>
              <w:rPr>
                <w:rFonts w:hint="eastAsia"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color w:val="auto"/>
                <w:sz w:val="22"/>
                <w:szCs w:val="22"/>
                <w:highlight w:val="none"/>
                <w:lang w:val="zh-CN"/>
              </w:rPr>
              <w:t>注：本项目为电子招投标，相关的招投标流程（</w:t>
            </w:r>
            <w:r>
              <w:rPr>
                <w:rFonts w:hint="eastAsia" w:asciiTheme="minorEastAsia" w:hAnsiTheme="minorEastAsia" w:eastAsiaTheme="minorEastAsia" w:cstheme="minorEastAsia"/>
                <w:color w:val="auto"/>
                <w:sz w:val="22"/>
                <w:szCs w:val="22"/>
                <w:highlight w:val="none"/>
              </w:rPr>
              <w:t>磋商</w:t>
            </w:r>
            <w:r>
              <w:rPr>
                <w:rFonts w:hint="eastAsia" w:asciiTheme="minorEastAsia" w:hAnsiTheme="minorEastAsia" w:eastAsiaTheme="minorEastAsia" w:cstheme="minorEastAsia"/>
                <w:color w:val="auto"/>
                <w:sz w:val="22"/>
                <w:szCs w:val="22"/>
                <w:highlight w:val="none"/>
                <w:lang w:val="zh-CN"/>
              </w:rPr>
              <w:t>文件下载、电子</w:t>
            </w:r>
            <w:r>
              <w:rPr>
                <w:rFonts w:hint="eastAsia" w:asciiTheme="minorEastAsia" w:hAnsiTheme="minorEastAsia" w:eastAsiaTheme="minorEastAsia" w:cstheme="minorEastAsia"/>
                <w:color w:val="auto"/>
                <w:sz w:val="22"/>
                <w:szCs w:val="22"/>
                <w:highlight w:val="none"/>
              </w:rPr>
              <w:t>响应</w:t>
            </w:r>
            <w:r>
              <w:rPr>
                <w:rFonts w:hint="eastAsia" w:asciiTheme="minorEastAsia" w:hAnsiTheme="minorEastAsia" w:eastAsiaTheme="minorEastAsia" w:cstheme="minorEastAsia"/>
                <w:color w:val="auto"/>
                <w:sz w:val="22"/>
                <w:szCs w:val="22"/>
                <w:highlight w:val="none"/>
                <w:lang w:val="zh-CN"/>
              </w:rPr>
              <w:t>文件上传、</w:t>
            </w:r>
            <w:r>
              <w:rPr>
                <w:rFonts w:hint="eastAsia" w:asciiTheme="minorEastAsia" w:hAnsiTheme="minorEastAsia" w:eastAsiaTheme="minorEastAsia" w:cstheme="minorEastAsia"/>
                <w:color w:val="auto"/>
                <w:sz w:val="22"/>
                <w:szCs w:val="22"/>
                <w:highlight w:val="none"/>
              </w:rPr>
              <w:t>磋商</w:t>
            </w:r>
            <w:r>
              <w:rPr>
                <w:rFonts w:hint="eastAsia" w:asciiTheme="minorEastAsia" w:hAnsiTheme="minorEastAsia" w:eastAsiaTheme="minorEastAsia" w:cstheme="minorEastAsia"/>
                <w:color w:val="auto"/>
                <w:sz w:val="22"/>
                <w:szCs w:val="22"/>
                <w:highlight w:val="none"/>
                <w:lang w:val="zh-CN"/>
              </w:rPr>
              <w:t>等程序）均在浙江政府采购网“政府采购云平台”进行，</w:t>
            </w:r>
            <w:r>
              <w:rPr>
                <w:rFonts w:hint="eastAsia" w:asciiTheme="minorEastAsia" w:hAnsiTheme="minorEastAsia" w:eastAsiaTheme="minorEastAsia" w:cstheme="minorEastAsia"/>
                <w:color w:val="auto"/>
                <w:sz w:val="22"/>
                <w:szCs w:val="22"/>
                <w:highlight w:val="none"/>
              </w:rPr>
              <w:t>供应商</w:t>
            </w:r>
            <w:r>
              <w:rPr>
                <w:rFonts w:hint="eastAsia" w:asciiTheme="minorEastAsia" w:hAnsiTheme="minorEastAsia" w:eastAsiaTheme="minorEastAsia" w:cstheme="minorEastAsia"/>
                <w:color w:val="auto"/>
                <w:sz w:val="22"/>
                <w:szCs w:val="22"/>
                <w:highlight w:val="none"/>
                <w:lang w:val="zh-CN"/>
              </w:rPr>
              <w:t>不必前往现场进行</w:t>
            </w:r>
            <w:r>
              <w:rPr>
                <w:rFonts w:hint="eastAsia" w:asciiTheme="minorEastAsia" w:hAnsiTheme="minorEastAsia" w:eastAsiaTheme="minorEastAsia" w:cstheme="minorEastAsia"/>
                <w:color w:val="auto"/>
                <w:sz w:val="22"/>
                <w:szCs w:val="22"/>
                <w:highlight w:val="none"/>
              </w:rPr>
              <w:t>磋商</w:t>
            </w:r>
            <w:r>
              <w:rPr>
                <w:rFonts w:hint="eastAsia" w:asciiTheme="minorEastAsia" w:hAnsiTheme="minorEastAsia" w:eastAsiaTheme="minorEastAsia" w:cstheme="minorEastAsia"/>
                <w:color w:val="auto"/>
                <w:sz w:val="22"/>
                <w:szCs w:val="22"/>
                <w:highlight w:val="none"/>
                <w:lang w:val="zh-CN"/>
              </w:rPr>
              <w:t>活动等事宜</w:t>
            </w:r>
          </w:p>
        </w:tc>
      </w:tr>
      <w:tr w14:paraId="4784DE7D">
        <w:tblPrEx>
          <w:tblCellMar>
            <w:top w:w="0" w:type="dxa"/>
            <w:left w:w="108" w:type="dxa"/>
            <w:bottom w:w="0" w:type="dxa"/>
            <w:right w:w="108" w:type="dxa"/>
          </w:tblCellMar>
        </w:tblPrEx>
        <w:trPr>
          <w:trHeight w:val="79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DE3A6B3">
            <w:pPr>
              <w:spacing w:line="400" w:lineRule="exact"/>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23</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B147F5E">
            <w:pPr>
              <w:autoSpaceDE w:val="0"/>
              <w:autoSpaceDN w:val="0"/>
              <w:adjustRightInd w:val="0"/>
              <w:spacing w:line="400" w:lineRule="exac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rPr>
              <w:t>询标澄清</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C8A14F7">
            <w:pPr>
              <w:autoSpaceDE w:val="0"/>
              <w:autoSpaceDN w:val="0"/>
              <w:adjustRightInd w:val="0"/>
              <w:spacing w:line="400" w:lineRule="exact"/>
              <w:rPr>
                <w:rFonts w:hint="eastAsia"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color w:val="auto"/>
                <w:sz w:val="22"/>
                <w:szCs w:val="22"/>
                <w:highlight w:val="none"/>
                <w:lang w:val="zh-CN"/>
              </w:rPr>
              <w:t>（1）在</w:t>
            </w:r>
            <w:r>
              <w:rPr>
                <w:rFonts w:hint="eastAsia" w:asciiTheme="minorEastAsia" w:hAnsiTheme="minorEastAsia" w:eastAsiaTheme="minorEastAsia" w:cstheme="minorEastAsia"/>
                <w:color w:val="auto"/>
                <w:sz w:val="22"/>
                <w:szCs w:val="22"/>
                <w:highlight w:val="none"/>
              </w:rPr>
              <w:t>评标</w:t>
            </w:r>
            <w:r>
              <w:rPr>
                <w:rFonts w:hint="eastAsia" w:asciiTheme="minorEastAsia" w:hAnsiTheme="minorEastAsia" w:eastAsiaTheme="minorEastAsia" w:cstheme="minorEastAsia"/>
                <w:color w:val="auto"/>
                <w:sz w:val="22"/>
                <w:szCs w:val="22"/>
                <w:highlight w:val="none"/>
                <w:lang w:val="zh-CN"/>
              </w:rPr>
              <w:t>过程中，如磋商小组对供应商递交的电子响应文件存有疑问要求供应商进行澄清或根据评审需求需要与供应商进行投标的，将采用在政采云系统上向供应商发起询标函的方式进行。供应商须在“规定时间”内登录政采云系统根据标项回复询标函。</w:t>
            </w:r>
          </w:p>
          <w:p w14:paraId="0879D274">
            <w:pPr>
              <w:autoSpaceDE w:val="0"/>
              <w:autoSpaceDN w:val="0"/>
              <w:adjustRightInd w:val="0"/>
              <w:spacing w:line="400" w:lineRule="exact"/>
              <w:rPr>
                <w:rFonts w:hint="eastAsia"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color w:val="auto"/>
                <w:sz w:val="22"/>
                <w:szCs w:val="22"/>
                <w:highlight w:val="none"/>
                <w:lang w:val="zh-CN"/>
              </w:rPr>
              <w:t>（</w:t>
            </w:r>
            <w:r>
              <w:rPr>
                <w:rFonts w:hint="eastAsia" w:asciiTheme="minorEastAsia" w:hAnsiTheme="minorEastAsia" w:eastAsiaTheme="minorEastAsia" w:cstheme="minorEastAsia"/>
                <w:color w:val="auto"/>
                <w:sz w:val="22"/>
                <w:szCs w:val="22"/>
                <w:highlight w:val="none"/>
              </w:rPr>
              <w:t>2</w:t>
            </w:r>
            <w:r>
              <w:rPr>
                <w:rFonts w:hint="eastAsia" w:asciiTheme="minorEastAsia" w:hAnsiTheme="minorEastAsia" w:eastAsiaTheme="minorEastAsia" w:cstheme="minorEastAsia"/>
                <w:color w:val="auto"/>
                <w:sz w:val="22"/>
                <w:szCs w:val="22"/>
                <w:highlight w:val="none"/>
                <w:lang w:val="zh-CN"/>
              </w:rPr>
              <w:t>）</w:t>
            </w:r>
            <w:r>
              <w:rPr>
                <w:rFonts w:hint="eastAsia" w:asciiTheme="minorEastAsia" w:hAnsiTheme="minorEastAsia" w:eastAsiaTheme="minorEastAsia" w:cstheme="minorEastAsia"/>
                <w:color w:val="auto"/>
                <w:sz w:val="22"/>
                <w:szCs w:val="22"/>
                <w:highlight w:val="none"/>
              </w:rPr>
              <w:t>在评标</w:t>
            </w:r>
            <w:r>
              <w:rPr>
                <w:rFonts w:hint="eastAsia" w:asciiTheme="minorEastAsia" w:hAnsiTheme="minorEastAsia" w:eastAsiaTheme="minorEastAsia" w:cstheme="minorEastAsia"/>
                <w:color w:val="auto"/>
                <w:sz w:val="22"/>
                <w:szCs w:val="22"/>
                <w:highlight w:val="none"/>
                <w:lang w:val="zh-CN"/>
              </w:rPr>
              <w:t>过程中，建议各供应商代表应在电脑前及时在线关注评审动态，若因供应商自身原因导致其未能在规定时间内完成询标澄清或多轮报价事宜的，由此造成的后果由供应商自行承担。</w:t>
            </w:r>
          </w:p>
          <w:p w14:paraId="6D2119ED">
            <w:pPr>
              <w:pStyle w:val="3"/>
              <w:spacing w:line="400" w:lineRule="exact"/>
              <w:rPr>
                <w:rFonts w:hint="eastAsia"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color w:val="auto"/>
                <w:sz w:val="22"/>
                <w:szCs w:val="22"/>
                <w:highlight w:val="none"/>
                <w:lang w:val="zh-CN"/>
              </w:rPr>
              <w:t>（</w:t>
            </w:r>
            <w:r>
              <w:rPr>
                <w:rFonts w:hint="eastAsia" w:asciiTheme="minorEastAsia" w:hAnsiTheme="minorEastAsia" w:eastAsiaTheme="minorEastAsia" w:cstheme="minorEastAsia"/>
                <w:color w:val="auto"/>
                <w:sz w:val="22"/>
                <w:szCs w:val="22"/>
                <w:highlight w:val="none"/>
              </w:rPr>
              <w:t>3</w:t>
            </w:r>
            <w:r>
              <w:rPr>
                <w:rFonts w:hint="eastAsia" w:asciiTheme="minorEastAsia" w:hAnsiTheme="minorEastAsia" w:eastAsiaTheme="minorEastAsia" w:cstheme="minorEastAsia"/>
                <w:color w:val="auto"/>
                <w:sz w:val="22"/>
                <w:szCs w:val="22"/>
                <w:highlight w:val="none"/>
                <w:lang w:val="zh-CN"/>
              </w:rPr>
              <w:t>）</w:t>
            </w:r>
            <w:r>
              <w:rPr>
                <w:rFonts w:hint="eastAsia" w:asciiTheme="minorEastAsia" w:hAnsiTheme="minorEastAsia" w:eastAsiaTheme="minorEastAsia" w:cstheme="minorEastAsia"/>
                <w:b/>
                <w:bCs/>
                <w:color w:val="auto"/>
                <w:sz w:val="22"/>
                <w:szCs w:val="22"/>
                <w:highlight w:val="none"/>
                <w:lang w:val="zh-CN"/>
              </w:rPr>
              <w:t>本项目采购过程中，涉及的供应商联系方式（如手机号码、响应文件中预留的邮箱、供应商地址），均以供应商递交的电子响应文件中《法定代表人资格声明书》或《法定代表人授权委托书》上注明的联系方式为准。</w:t>
            </w:r>
          </w:p>
        </w:tc>
      </w:tr>
      <w:tr w14:paraId="69208E1D">
        <w:tblPrEx>
          <w:tblCellMar>
            <w:top w:w="0" w:type="dxa"/>
            <w:left w:w="108" w:type="dxa"/>
            <w:bottom w:w="0" w:type="dxa"/>
            <w:right w:w="108" w:type="dxa"/>
          </w:tblCellMar>
        </w:tblPrEx>
        <w:trPr>
          <w:trHeight w:val="90"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39C369D">
            <w:pPr>
              <w:spacing w:line="400" w:lineRule="exact"/>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24</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FFFAE41">
            <w:pPr>
              <w:spacing w:line="400" w:lineRule="exact"/>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磋商小组</w:t>
            </w:r>
          </w:p>
          <w:p w14:paraId="670A351B">
            <w:pPr>
              <w:spacing w:line="400" w:lineRule="exac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rPr>
              <w:t>的组建</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59D57B9">
            <w:pPr>
              <w:spacing w:line="400" w:lineRule="exac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bCs/>
                <w:color w:val="auto"/>
                <w:sz w:val="22"/>
                <w:szCs w:val="22"/>
                <w:highlight w:val="none"/>
              </w:rPr>
              <w:t>采购人按照《中华人民共和国政府采购法》等有关法律、法规的规定组建磋商小组，磋商小组由采购人代表和有关技术、经济等方面的专家组成，成员人数为3人（含）以上单数，除采购人代表外的专家将在评标专家库中随机抽取产生。</w:t>
            </w:r>
          </w:p>
        </w:tc>
      </w:tr>
      <w:tr w14:paraId="33F93B22">
        <w:tblPrEx>
          <w:tblCellMar>
            <w:top w:w="0" w:type="dxa"/>
            <w:left w:w="108" w:type="dxa"/>
            <w:bottom w:w="0" w:type="dxa"/>
            <w:right w:w="108" w:type="dxa"/>
          </w:tblCellMar>
        </w:tblPrEx>
        <w:trPr>
          <w:trHeight w:val="90"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2C8A8D6">
            <w:pPr>
              <w:spacing w:line="400" w:lineRule="exact"/>
              <w:jc w:val="cente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rPr>
              <w:t>25</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1597378">
            <w:pPr>
              <w:spacing w:line="400" w:lineRule="exac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rPr>
              <w:t>履约担保</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703DD81">
            <w:pPr>
              <w:spacing w:line="400" w:lineRule="exact"/>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fldChar w:fldCharType="begin"/>
            </w:r>
            <w:r>
              <w:rPr>
                <w:rFonts w:hint="eastAsia" w:asciiTheme="minorEastAsia" w:hAnsiTheme="minorEastAsia" w:eastAsiaTheme="minorEastAsia" w:cstheme="minorEastAsia"/>
                <w:color w:val="auto"/>
                <w:kern w:val="0"/>
                <w:sz w:val="22"/>
                <w:szCs w:val="22"/>
                <w:highlight w:val="none"/>
              </w:rPr>
              <w:instrText xml:space="preserve"> eq \o\ac(</w:instrText>
            </w:r>
            <w:r>
              <w:rPr>
                <w:rFonts w:hint="eastAsia" w:asciiTheme="minorEastAsia" w:hAnsiTheme="minorEastAsia" w:eastAsiaTheme="minorEastAsia" w:cstheme="minorEastAsia"/>
                <w:color w:val="auto"/>
                <w:kern w:val="0"/>
                <w:position w:val="-4"/>
                <w:sz w:val="22"/>
                <w:szCs w:val="22"/>
                <w:highlight w:val="none"/>
              </w:rPr>
              <w:instrText xml:space="preserve">□</w:instrText>
            </w:r>
            <w:r>
              <w:rPr>
                <w:rFonts w:hint="eastAsia" w:asciiTheme="minorEastAsia" w:hAnsiTheme="minorEastAsia" w:eastAsiaTheme="minorEastAsia" w:cstheme="minorEastAsia"/>
                <w:color w:val="auto"/>
                <w:kern w:val="0"/>
                <w:position w:val="-4"/>
                <w:sz w:val="22"/>
                <w:szCs w:val="22"/>
                <w:highlight w:val="none"/>
                <w:lang w:eastAsia="zh-CN"/>
              </w:rPr>
              <w:instrText xml:space="preserve">,</w:instrText>
            </w:r>
            <w:r>
              <w:rPr>
                <w:rFonts w:hint="eastAsia" w:asciiTheme="minorEastAsia" w:hAnsiTheme="minorEastAsia" w:eastAsiaTheme="minorEastAsia" w:cstheme="minorEastAsia"/>
                <w:color w:val="auto"/>
                <w:kern w:val="0"/>
                <w:position w:val="-1"/>
                <w:sz w:val="22"/>
                <w:szCs w:val="22"/>
                <w:highlight w:val="none"/>
                <w:lang w:eastAsia="zh-CN"/>
              </w:rPr>
              <w:instrText xml:space="preserve">√</w:instrText>
            </w:r>
            <w:r>
              <w:rPr>
                <w:rFonts w:hint="eastAsia" w:asciiTheme="minorEastAsia" w:hAnsiTheme="minorEastAsia" w:eastAsiaTheme="minorEastAsia" w:cstheme="minorEastAsia"/>
                <w:color w:val="auto"/>
                <w:kern w:val="0"/>
                <w:sz w:val="22"/>
                <w:szCs w:val="22"/>
                <w:highlight w:val="none"/>
              </w:rPr>
              <w:instrText xml:space="preserve">)</w:instrText>
            </w:r>
            <w:r>
              <w:rPr>
                <w:rFonts w:hint="eastAsia" w:asciiTheme="minorEastAsia" w:hAnsiTheme="minorEastAsia" w:eastAsiaTheme="minorEastAsia" w:cstheme="minorEastAsia"/>
                <w:color w:val="auto"/>
                <w:kern w:val="0"/>
                <w:sz w:val="22"/>
                <w:szCs w:val="22"/>
                <w:highlight w:val="none"/>
              </w:rPr>
              <w:fldChar w:fldCharType="end"/>
            </w:r>
            <w:r>
              <w:rPr>
                <w:rFonts w:hint="eastAsia" w:asciiTheme="minorEastAsia" w:hAnsiTheme="minorEastAsia" w:eastAsiaTheme="minorEastAsia" w:cstheme="minorEastAsia"/>
                <w:color w:val="auto"/>
                <w:kern w:val="0"/>
                <w:sz w:val="22"/>
                <w:szCs w:val="22"/>
                <w:highlight w:val="none"/>
              </w:rPr>
              <w:t>不需要</w:t>
            </w:r>
          </w:p>
          <w:p w14:paraId="584AC679">
            <w:pPr>
              <w:spacing w:line="400" w:lineRule="exact"/>
              <w:rPr>
                <w:rFonts w:hint="eastAsia" w:asciiTheme="minorEastAsia" w:hAnsiTheme="minorEastAsia" w:eastAsiaTheme="minorEastAsia" w:cstheme="minorEastAsia"/>
                <w:color w:val="auto"/>
                <w:kern w:val="0"/>
                <w:sz w:val="22"/>
                <w:szCs w:val="22"/>
                <w:highlight w:val="none"/>
                <w:lang w:val="en-US" w:eastAsia="zh-CN"/>
              </w:rPr>
            </w:pPr>
            <w:r>
              <w:rPr>
                <w:rFonts w:hint="eastAsia" w:asciiTheme="minorEastAsia" w:hAnsiTheme="minorEastAsia" w:eastAsiaTheme="minorEastAsia" w:cstheme="minorEastAsia"/>
                <w:color w:val="auto"/>
                <w:kern w:val="0"/>
                <w:sz w:val="22"/>
                <w:szCs w:val="22"/>
                <w:highlight w:val="none"/>
              </w:rPr>
              <w:fldChar w:fldCharType="begin"/>
            </w:r>
            <w:r>
              <w:rPr>
                <w:rFonts w:hint="eastAsia" w:asciiTheme="minorEastAsia" w:hAnsiTheme="minorEastAsia" w:eastAsiaTheme="minorEastAsia" w:cstheme="minorEastAsia"/>
                <w:color w:val="auto"/>
                <w:kern w:val="0"/>
                <w:sz w:val="22"/>
                <w:szCs w:val="22"/>
                <w:highlight w:val="none"/>
              </w:rPr>
              <w:instrText xml:space="preserve"> eq \o\ac(□)</w:instrText>
            </w:r>
            <w:r>
              <w:rPr>
                <w:rFonts w:hint="eastAsia" w:asciiTheme="minorEastAsia" w:hAnsiTheme="minorEastAsia" w:eastAsiaTheme="minorEastAsia" w:cstheme="minorEastAsia"/>
                <w:color w:val="auto"/>
                <w:kern w:val="0"/>
                <w:sz w:val="22"/>
                <w:szCs w:val="22"/>
                <w:highlight w:val="none"/>
              </w:rPr>
              <w:fldChar w:fldCharType="end"/>
            </w:r>
            <w:r>
              <w:rPr>
                <w:rFonts w:hint="eastAsia" w:asciiTheme="minorEastAsia" w:hAnsiTheme="minorEastAsia" w:eastAsiaTheme="minorEastAsia" w:cstheme="minorEastAsia"/>
                <w:color w:val="auto"/>
                <w:kern w:val="0"/>
                <w:sz w:val="22"/>
                <w:szCs w:val="22"/>
                <w:highlight w:val="none"/>
              </w:rPr>
              <w:t xml:space="preserve">需要 </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lang w:val="en-US" w:eastAsia="zh-CN"/>
              </w:rPr>
              <w:t>合同金额的1%</w:t>
            </w:r>
          </w:p>
        </w:tc>
      </w:tr>
      <w:tr w14:paraId="2F4D3334">
        <w:tblPrEx>
          <w:tblCellMar>
            <w:top w:w="0" w:type="dxa"/>
            <w:left w:w="108" w:type="dxa"/>
            <w:bottom w:w="0" w:type="dxa"/>
            <w:right w:w="108" w:type="dxa"/>
          </w:tblCellMar>
        </w:tblPrEx>
        <w:trPr>
          <w:trHeight w:val="554"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8A9D445">
            <w:pPr>
              <w:spacing w:line="400" w:lineRule="exact"/>
              <w:jc w:val="cente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rPr>
              <w:t>26</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82F1352">
            <w:pPr>
              <w:adjustRightInd w:val="0"/>
              <w:spacing w:line="400" w:lineRule="exact"/>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政府采购</w:t>
            </w:r>
          </w:p>
          <w:p w14:paraId="694BE04B">
            <w:pPr>
              <w:adjustRightInd w:val="0"/>
              <w:spacing w:line="400" w:lineRule="exact"/>
              <w:jc w:val="cente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sz w:val="22"/>
                <w:szCs w:val="22"/>
                <w:highlight w:val="none"/>
              </w:rPr>
              <w:t>扶持政策</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E1A95B6">
            <w:pPr>
              <w:numPr>
                <w:ilvl w:val="0"/>
                <w:numId w:val="5"/>
              </w:numPr>
              <w:autoSpaceDE w:val="0"/>
              <w:autoSpaceDN w:val="0"/>
              <w:adjustRightInd w:val="0"/>
              <w:spacing w:line="40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中小微企业扶持政策</w:t>
            </w:r>
          </w:p>
          <w:p w14:paraId="732194B7">
            <w:pPr>
              <w:autoSpaceDE w:val="0"/>
              <w:autoSpaceDN w:val="0"/>
              <w:adjustRightInd w:val="0"/>
              <w:spacing w:line="400" w:lineRule="exact"/>
              <w:rPr>
                <w:rFonts w:hint="eastAsia"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color w:val="auto"/>
                <w:sz w:val="22"/>
                <w:szCs w:val="22"/>
                <w:highlight w:val="none"/>
                <w:lang w:val="zh-CN"/>
              </w:rPr>
              <w:t>1）本次采购</w:t>
            </w:r>
            <w:r>
              <w:rPr>
                <w:rFonts w:hint="eastAsia" w:asciiTheme="minorEastAsia" w:hAnsiTheme="minorEastAsia" w:eastAsiaTheme="minorEastAsia" w:cstheme="minorEastAsia"/>
                <w:b/>
                <w:bCs/>
                <w:color w:val="auto"/>
                <w:sz w:val="22"/>
                <w:szCs w:val="22"/>
                <w:highlight w:val="none"/>
                <w:u w:val="single"/>
              </w:rPr>
              <w:t xml:space="preserve"> 是 </w:t>
            </w:r>
            <w:r>
              <w:rPr>
                <w:rFonts w:hint="eastAsia" w:asciiTheme="minorEastAsia" w:hAnsiTheme="minorEastAsia" w:eastAsiaTheme="minorEastAsia" w:cstheme="minorEastAsia"/>
                <w:color w:val="auto"/>
                <w:sz w:val="22"/>
                <w:szCs w:val="22"/>
                <w:highlight w:val="none"/>
                <w:lang w:val="zh-CN"/>
              </w:rPr>
              <w:t>专门面向中小企业预留采购份额的采购项目。</w:t>
            </w:r>
          </w:p>
          <w:p w14:paraId="02D27A1A">
            <w:pPr>
              <w:autoSpaceDE w:val="0"/>
              <w:autoSpaceDN w:val="0"/>
              <w:adjustRightInd w:val="0"/>
              <w:spacing w:line="400" w:lineRule="exact"/>
              <w:rPr>
                <w:rFonts w:hint="eastAsia"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color w:val="auto"/>
                <w:sz w:val="22"/>
                <w:szCs w:val="22"/>
                <w:highlight w:val="none"/>
                <w:lang w:val="zh-CN"/>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D6E9730">
            <w:pPr>
              <w:autoSpaceDE w:val="0"/>
              <w:autoSpaceDN w:val="0"/>
              <w:adjustRightInd w:val="0"/>
              <w:spacing w:line="400" w:lineRule="exact"/>
              <w:rPr>
                <w:rFonts w:hint="eastAsia" w:asciiTheme="minorEastAsia" w:hAnsiTheme="minorEastAsia" w:eastAsiaTheme="minorEastAsia" w:cstheme="minorEastAsia"/>
                <w:b w:val="0"/>
                <w:bCs w:val="0"/>
                <w:color w:val="auto"/>
                <w:sz w:val="22"/>
                <w:szCs w:val="22"/>
                <w:highlight w:val="none"/>
                <w:lang w:val="zh-CN"/>
              </w:rPr>
            </w:pPr>
            <w:r>
              <w:rPr>
                <w:rFonts w:hint="eastAsia" w:asciiTheme="minorEastAsia" w:hAnsiTheme="minorEastAsia" w:eastAsiaTheme="minorEastAsia" w:cstheme="minorEastAsia"/>
                <w:color w:val="auto"/>
                <w:sz w:val="22"/>
                <w:szCs w:val="22"/>
                <w:highlight w:val="none"/>
                <w:lang w:val="zh-CN"/>
              </w:rPr>
              <w:t>3）本次采购对应的中小企业划分标准所属行业是：</w:t>
            </w:r>
            <w:r>
              <w:rPr>
                <w:rFonts w:hint="eastAsia" w:asciiTheme="minorEastAsia" w:hAnsiTheme="minorEastAsia" w:eastAsiaTheme="minorEastAsia" w:cstheme="minorEastAsia"/>
                <w:b/>
                <w:bCs/>
                <w:color w:val="auto"/>
                <w:sz w:val="22"/>
                <w:szCs w:val="22"/>
                <w:highlight w:val="none"/>
                <w:lang w:val="en-US" w:eastAsia="zh-CN"/>
              </w:rPr>
              <w:t>餐饮业</w:t>
            </w:r>
            <w:r>
              <w:rPr>
                <w:rFonts w:hint="eastAsia" w:asciiTheme="minorEastAsia" w:hAnsiTheme="minorEastAsia" w:eastAsiaTheme="minorEastAsia" w:cstheme="minorEastAsia"/>
                <w:b w:val="0"/>
                <w:bCs w:val="0"/>
                <w:color w:val="auto"/>
                <w:sz w:val="22"/>
                <w:szCs w:val="22"/>
                <w:highlight w:val="none"/>
                <w:lang w:val="zh-CN"/>
              </w:rPr>
              <w:t>（</w:t>
            </w:r>
            <w:r>
              <w:rPr>
                <w:rFonts w:hint="eastAsia" w:asciiTheme="minorEastAsia" w:hAnsiTheme="minorEastAsia" w:eastAsiaTheme="minorEastAsia" w:cstheme="minorEastAsia"/>
                <w:color w:val="auto"/>
                <w:sz w:val="22"/>
                <w:szCs w:val="22"/>
                <w:highlight w:val="none"/>
                <w:lang w:val="zh-CN"/>
              </w:rPr>
              <w:t>从业人员300人以下的为中小微型企业。其中，从业人员100人及以上的为中型企业；从业人员10人及以上的为小型企业；从业人员10人以下的为微型企业。</w:t>
            </w:r>
            <w:r>
              <w:rPr>
                <w:rFonts w:hint="eastAsia" w:asciiTheme="minorEastAsia" w:hAnsiTheme="minorEastAsia" w:eastAsiaTheme="minorEastAsia" w:cstheme="minorEastAsia"/>
                <w:b w:val="0"/>
                <w:bCs w:val="0"/>
                <w:color w:val="auto"/>
                <w:sz w:val="22"/>
                <w:szCs w:val="22"/>
                <w:highlight w:val="none"/>
                <w:lang w:val="zh-CN"/>
              </w:rPr>
              <w:t>）</w:t>
            </w:r>
          </w:p>
          <w:p w14:paraId="00F978CD">
            <w:pPr>
              <w:autoSpaceDE w:val="0"/>
              <w:autoSpaceDN w:val="0"/>
              <w:adjustRightInd w:val="0"/>
              <w:spacing w:line="400" w:lineRule="exact"/>
              <w:rPr>
                <w:rFonts w:hint="eastAsia"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color w:val="auto"/>
                <w:sz w:val="22"/>
                <w:szCs w:val="22"/>
                <w:highlight w:val="none"/>
                <w:lang w:val="zh-CN"/>
              </w:rPr>
              <w:t>4）以联合体形式参加政府采购活动，联合体各方均为小微企业的，联合体视同小微企业。本项目不接受联合体投标。</w:t>
            </w:r>
          </w:p>
          <w:p w14:paraId="65F04BF9">
            <w:pPr>
              <w:autoSpaceDE w:val="0"/>
              <w:autoSpaceDN w:val="0"/>
              <w:adjustRightInd w:val="0"/>
              <w:spacing w:line="400" w:lineRule="exact"/>
              <w:rPr>
                <w:rFonts w:hint="eastAsia"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color w:val="auto"/>
                <w:sz w:val="22"/>
                <w:szCs w:val="22"/>
                <w:highlight w:val="none"/>
                <w:lang w:val="zh-CN"/>
              </w:rPr>
              <w:t>5）供应商应当出具《中小企业声明函》，否则</w:t>
            </w:r>
            <w:r>
              <w:rPr>
                <w:rFonts w:hint="eastAsia" w:asciiTheme="minorEastAsia" w:hAnsiTheme="minorEastAsia" w:eastAsiaTheme="minorEastAsia" w:cstheme="minorEastAsia"/>
                <w:color w:val="auto"/>
                <w:sz w:val="22"/>
                <w:szCs w:val="22"/>
                <w:highlight w:val="none"/>
              </w:rPr>
              <w:t>资格审查不予通过</w:t>
            </w:r>
            <w:r>
              <w:rPr>
                <w:rFonts w:hint="eastAsia" w:asciiTheme="minorEastAsia" w:hAnsiTheme="minorEastAsia" w:eastAsiaTheme="minorEastAsia" w:cstheme="minorEastAsia"/>
                <w:color w:val="auto"/>
                <w:sz w:val="22"/>
                <w:szCs w:val="22"/>
                <w:highlight w:val="none"/>
                <w:lang w:val="zh-CN"/>
              </w:rPr>
              <w:t>。</w:t>
            </w:r>
          </w:p>
          <w:p w14:paraId="2E466CEB">
            <w:pPr>
              <w:autoSpaceDE w:val="0"/>
              <w:autoSpaceDN w:val="0"/>
              <w:adjustRightInd w:val="0"/>
              <w:spacing w:line="400" w:lineRule="exact"/>
              <w:rPr>
                <w:rFonts w:hint="eastAsia"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color w:val="auto"/>
                <w:sz w:val="22"/>
                <w:szCs w:val="22"/>
                <w:highlight w:val="none"/>
                <w:lang w:val="zh-CN"/>
              </w:rPr>
              <w:t>6）残疾人福利性单位视同小微企业，享受小微企业同等的价格扣除。残疾人福利性单位参加政府采购活动时，应当提供《残疾人福利性单位声明函》。</w:t>
            </w:r>
          </w:p>
          <w:p w14:paraId="196A734D">
            <w:pPr>
              <w:pStyle w:val="3"/>
              <w:spacing w:line="400" w:lineRule="exact"/>
              <w:rPr>
                <w:rFonts w:hint="eastAsia"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color w:val="auto"/>
                <w:sz w:val="22"/>
                <w:szCs w:val="22"/>
                <w:highlight w:val="none"/>
              </w:rPr>
              <w:t>7</w:t>
            </w:r>
            <w:r>
              <w:rPr>
                <w:rFonts w:hint="eastAsia" w:asciiTheme="minorEastAsia" w:hAnsiTheme="minorEastAsia" w:eastAsiaTheme="minorEastAsia" w:cstheme="minorEastAsia"/>
                <w:color w:val="auto"/>
                <w:sz w:val="22"/>
                <w:szCs w:val="22"/>
                <w:highlight w:val="none"/>
                <w:lang w:val="zh-CN"/>
              </w:rPr>
              <w:t>）监狱企业视同小微企业，享受小微企业同等的价格扣除。监狱企业参加政府采购活动时，应当提供监狱企业声明函。</w:t>
            </w:r>
          </w:p>
          <w:p w14:paraId="108C92EA">
            <w:pPr>
              <w:numPr>
                <w:ilvl w:val="0"/>
                <w:numId w:val="5"/>
              </w:numPr>
              <w:autoSpaceDE w:val="0"/>
              <w:autoSpaceDN w:val="0"/>
              <w:adjustRightInd w:val="0"/>
              <w:spacing w:line="400" w:lineRule="exact"/>
              <w:rPr>
                <w:rFonts w:hint="eastAsia"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color w:val="auto"/>
                <w:sz w:val="22"/>
                <w:szCs w:val="22"/>
                <w:highlight w:val="none"/>
                <w:lang w:val="zh-CN"/>
              </w:rPr>
              <w:t>节能产品 、环境标志产品扶持政策说明</w:t>
            </w:r>
          </w:p>
          <w:p w14:paraId="7019D633">
            <w:pPr>
              <w:autoSpaceDE w:val="0"/>
              <w:autoSpaceDN w:val="0"/>
              <w:adjustRightInd w:val="0"/>
              <w:spacing w:line="400" w:lineRule="exact"/>
              <w:ind w:firstLine="442" w:firstLineChars="200"/>
              <w:rPr>
                <w:rFonts w:hint="eastAsia" w:asciiTheme="minorEastAsia" w:hAnsiTheme="minorEastAsia" w:eastAsiaTheme="minorEastAsia" w:cstheme="minorEastAsia"/>
                <w:b/>
                <w:bCs/>
                <w:color w:val="auto"/>
                <w:sz w:val="22"/>
                <w:szCs w:val="22"/>
                <w:highlight w:val="none"/>
                <w:lang w:val="zh-CN"/>
              </w:rPr>
            </w:pPr>
            <w:r>
              <w:rPr>
                <w:rFonts w:hint="eastAsia" w:asciiTheme="minorEastAsia" w:hAnsiTheme="minorEastAsia" w:eastAsiaTheme="minorEastAsia" w:cstheme="minorEastAsia"/>
                <w:b/>
                <w:bCs/>
                <w:color w:val="auto"/>
                <w:sz w:val="22"/>
                <w:szCs w:val="22"/>
                <w:highlight w:val="none"/>
                <w:lang w:val="zh-CN"/>
              </w:rPr>
              <w:t>供应商所投产品属于节能产品或环境标志产品，给予适当加分。</w:t>
            </w:r>
          </w:p>
          <w:p w14:paraId="5AD6DEFB">
            <w:pPr>
              <w:autoSpaceDE w:val="0"/>
              <w:autoSpaceDN w:val="0"/>
              <w:adjustRightInd w:val="0"/>
              <w:spacing w:line="40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详见评分细则。</w:t>
            </w:r>
          </w:p>
          <w:p w14:paraId="02E8CD62">
            <w:pPr>
              <w:numPr>
                <w:ilvl w:val="0"/>
                <w:numId w:val="5"/>
              </w:numPr>
              <w:autoSpaceDE w:val="0"/>
              <w:autoSpaceDN w:val="0"/>
              <w:adjustRightInd w:val="0"/>
              <w:spacing w:line="400" w:lineRule="exact"/>
              <w:rPr>
                <w:rFonts w:hint="eastAsia"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color w:val="auto"/>
                <w:sz w:val="22"/>
                <w:szCs w:val="22"/>
                <w:highlight w:val="none"/>
                <w:lang w:val="zh-CN"/>
              </w:rPr>
              <w:t>政府采购金融服务相关信息告知函</w:t>
            </w:r>
          </w:p>
          <w:p w14:paraId="6FF5BE21">
            <w:pPr>
              <w:autoSpaceDE w:val="0"/>
              <w:autoSpaceDN w:val="0"/>
              <w:adjustRightInd w:val="0"/>
              <w:spacing w:line="400" w:lineRule="exact"/>
              <w:ind w:firstLine="440" w:firstLineChars="200"/>
              <w:rPr>
                <w:rFonts w:hint="eastAsia"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color w:val="auto"/>
                <w:sz w:val="22"/>
                <w:szCs w:val="22"/>
                <w:highlight w:val="none"/>
                <w:lang w:val="zh-CN"/>
              </w:rPr>
              <w:t>为优化政府采购营商环境，缓解供应商资金难题，助力打赢疫情防控阻击战，根据浙江省财政厅印发《关于坚决打赢疫情防控阻击战进一步做好政府采购资金支持企业发展工作的通知（浙财采监【2020】3号）》文件的精神，现将政府采购金融服务相关信息予以告知。</w:t>
            </w:r>
          </w:p>
          <w:p w14:paraId="50D5AE7C">
            <w:pPr>
              <w:autoSpaceDE w:val="0"/>
              <w:autoSpaceDN w:val="0"/>
              <w:adjustRightInd w:val="0"/>
              <w:spacing w:line="400" w:lineRule="exact"/>
              <w:ind w:firstLine="440" w:firstLineChars="200"/>
              <w:rPr>
                <w:rFonts w:hint="eastAsia"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color w:val="auto"/>
                <w:sz w:val="22"/>
                <w:szCs w:val="22"/>
                <w:highlight w:val="none"/>
                <w:lang w:val="zh-CN"/>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179F6068">
        <w:tblPrEx>
          <w:tblCellMar>
            <w:top w:w="0" w:type="dxa"/>
            <w:left w:w="108" w:type="dxa"/>
            <w:bottom w:w="0" w:type="dxa"/>
            <w:right w:w="108" w:type="dxa"/>
          </w:tblCellMar>
        </w:tblPrEx>
        <w:trPr>
          <w:trHeight w:val="988"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DAD2CE8">
            <w:pPr>
              <w:spacing w:line="400" w:lineRule="exact"/>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27</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5E22454">
            <w:pPr>
              <w:spacing w:line="400" w:lineRule="exact"/>
              <w:jc w:val="cente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sz w:val="22"/>
                <w:szCs w:val="22"/>
                <w:highlight w:val="none"/>
              </w:rPr>
              <w:t>供应商信用查询</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466A26C">
            <w:pPr>
              <w:spacing w:line="40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（1）供应商信用信息查询的查询渠道：“信用中国”(</w:t>
            </w:r>
            <w:r>
              <w:rPr>
                <w:rFonts w:hint="eastAsia" w:asciiTheme="minorEastAsia" w:hAnsiTheme="minorEastAsia" w:eastAsiaTheme="minorEastAsia" w:cstheme="minorEastAsia"/>
                <w:color w:val="auto"/>
                <w:sz w:val="22"/>
                <w:szCs w:val="22"/>
                <w:highlight w:val="none"/>
              </w:rPr>
              <w:fldChar w:fldCharType="begin"/>
            </w:r>
            <w:r>
              <w:rPr>
                <w:rFonts w:hint="eastAsia" w:asciiTheme="minorEastAsia" w:hAnsiTheme="minorEastAsia" w:eastAsiaTheme="minorEastAsia" w:cstheme="minorEastAsia"/>
                <w:color w:val="auto"/>
                <w:sz w:val="22"/>
                <w:szCs w:val="22"/>
                <w:highlight w:val="none"/>
              </w:rPr>
              <w:instrText xml:space="preserve"> HYPERLINK "http://www.creditchina.gov.cn" </w:instrText>
            </w:r>
            <w:r>
              <w:rPr>
                <w:rFonts w:hint="eastAsia" w:asciiTheme="minorEastAsia" w:hAnsiTheme="minorEastAsia" w:eastAsiaTheme="minorEastAsia" w:cstheme="minorEastAsia"/>
                <w:color w:val="auto"/>
                <w:sz w:val="22"/>
                <w:szCs w:val="22"/>
                <w:highlight w:val="none"/>
              </w:rPr>
              <w:fldChar w:fldCharType="separate"/>
            </w:r>
            <w:r>
              <w:rPr>
                <w:rFonts w:hint="eastAsia" w:asciiTheme="minorEastAsia" w:hAnsiTheme="minorEastAsia" w:eastAsiaTheme="minorEastAsia" w:cstheme="minorEastAsia"/>
                <w:color w:val="auto"/>
                <w:sz w:val="22"/>
                <w:szCs w:val="22"/>
                <w:highlight w:val="none"/>
              </w:rPr>
              <w:t>www.creditchina.gov.cn</w:t>
            </w:r>
            <w:r>
              <w:rPr>
                <w:rFonts w:hint="eastAsia" w:asciiTheme="minorEastAsia" w:hAnsiTheme="minorEastAsia" w:eastAsiaTheme="minorEastAsia" w:cstheme="minorEastAsia"/>
                <w:color w:val="auto"/>
                <w:sz w:val="22"/>
                <w:szCs w:val="22"/>
                <w:highlight w:val="none"/>
              </w:rPr>
              <w:fldChar w:fldCharType="end"/>
            </w:r>
            <w:r>
              <w:rPr>
                <w:rFonts w:hint="eastAsia" w:asciiTheme="minorEastAsia" w:hAnsiTheme="minorEastAsia" w:eastAsiaTheme="minorEastAsia" w:cstheme="minorEastAsia"/>
                <w:color w:val="auto"/>
                <w:sz w:val="22"/>
                <w:szCs w:val="22"/>
                <w:highlight w:val="none"/>
              </w:rPr>
              <w:t>)；“中国政府采购网”（http://www.ccgp.gov.cn/）；</w:t>
            </w:r>
          </w:p>
          <w:p w14:paraId="5C8FCB3F">
            <w:pPr>
              <w:spacing w:line="40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（2）供应商信用信息查询记录和证据留存的具体方式：网页截图打印；</w:t>
            </w:r>
          </w:p>
          <w:p w14:paraId="1BC74194">
            <w:pPr>
              <w:spacing w:line="40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（3）信用信息的使用规则：</w:t>
            </w:r>
          </w:p>
          <w:p w14:paraId="634767D5">
            <w:pPr>
              <w:spacing w:line="40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①在“信用中国”具有负面记录：列入失信被执行人、重大税收违法案件当事人名单、政府采购严重违法失信行为名单；</w:t>
            </w:r>
          </w:p>
          <w:p w14:paraId="02392573">
            <w:pPr>
              <w:spacing w:line="40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②被“中国政府采购网”(www.ccgp.gov.cn)列入政府采购严重违法失信行为记录名单。</w:t>
            </w:r>
          </w:p>
          <w:p w14:paraId="371991CF">
            <w:pPr>
              <w:spacing w:line="400" w:lineRule="exact"/>
              <w:jc w:val="lef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sz w:val="22"/>
                <w:szCs w:val="22"/>
                <w:highlight w:val="none"/>
              </w:rPr>
              <w:t>（4）具有以上（3）所述信息记录的供应商，其投标</w:t>
            </w:r>
            <w:r>
              <w:rPr>
                <w:rFonts w:hint="eastAsia" w:asciiTheme="minorEastAsia" w:hAnsiTheme="minorEastAsia" w:eastAsiaTheme="minorEastAsia" w:cstheme="minorEastAsia"/>
                <w:color w:val="auto"/>
                <w:sz w:val="22"/>
                <w:szCs w:val="22"/>
                <w:highlight w:val="none"/>
                <w:lang w:eastAsia="zh-CN"/>
              </w:rPr>
              <w:t>作</w:t>
            </w:r>
            <w:r>
              <w:rPr>
                <w:rFonts w:hint="eastAsia" w:asciiTheme="minorEastAsia" w:hAnsiTheme="minorEastAsia" w:eastAsiaTheme="minorEastAsia" w:cstheme="minorEastAsia"/>
                <w:color w:val="auto"/>
                <w:sz w:val="22"/>
                <w:szCs w:val="22"/>
                <w:highlight w:val="none"/>
              </w:rPr>
              <w:t>无效投标处理。</w:t>
            </w:r>
          </w:p>
        </w:tc>
      </w:tr>
      <w:tr w14:paraId="321E5736">
        <w:tblPrEx>
          <w:tblCellMar>
            <w:top w:w="0" w:type="dxa"/>
            <w:left w:w="108" w:type="dxa"/>
            <w:bottom w:w="0" w:type="dxa"/>
            <w:right w:w="108" w:type="dxa"/>
          </w:tblCellMar>
        </w:tblPrEx>
        <w:trPr>
          <w:trHeight w:val="423"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1043058">
            <w:pPr>
              <w:spacing w:line="400" w:lineRule="exact"/>
              <w:jc w:val="cente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rPr>
              <w:t>28</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F1162F2">
            <w:pPr>
              <w:spacing w:line="400" w:lineRule="exact"/>
              <w:jc w:val="cente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sz w:val="22"/>
                <w:szCs w:val="22"/>
                <w:highlight w:val="none"/>
              </w:rPr>
              <w:t>合同备案</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CBCDD2A">
            <w:pPr>
              <w:spacing w:line="40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（1）成交供应商在中标通知书发出之日起30日历天内与采购人签订合同。</w:t>
            </w:r>
          </w:p>
          <w:p w14:paraId="5CA86C56">
            <w:pPr>
              <w:spacing w:line="400" w:lineRule="exact"/>
              <w:jc w:val="left"/>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sz w:val="22"/>
                <w:szCs w:val="22"/>
                <w:highlight w:val="none"/>
              </w:rPr>
              <w:t>（2）成交供应商与采购人签订合同后，2日历天内将合同扫描件电子版发给采购代理机构：邮箱：</w:t>
            </w:r>
            <w:r>
              <w:rPr>
                <w:rFonts w:hint="eastAsia" w:asciiTheme="minorEastAsia" w:hAnsiTheme="minorEastAsia" w:eastAsiaTheme="minorEastAsia" w:cstheme="minorEastAsia"/>
                <w:b/>
                <w:color w:val="auto"/>
                <w:sz w:val="22"/>
                <w:szCs w:val="22"/>
                <w:highlight w:val="none"/>
                <w:u w:val="single"/>
                <w:lang w:eastAsia="zh-CN"/>
              </w:rPr>
              <w:t>244726069@qq.com</w:t>
            </w:r>
            <w:r>
              <w:rPr>
                <w:rFonts w:hint="eastAsia" w:asciiTheme="minorEastAsia" w:hAnsiTheme="minorEastAsia" w:eastAsiaTheme="minorEastAsia" w:cstheme="minorEastAsia"/>
                <w:color w:val="auto"/>
                <w:sz w:val="22"/>
                <w:szCs w:val="22"/>
                <w:highlight w:val="none"/>
              </w:rPr>
              <w:t>。</w:t>
            </w:r>
          </w:p>
        </w:tc>
      </w:tr>
      <w:tr w14:paraId="721F41D7">
        <w:tblPrEx>
          <w:tblCellMar>
            <w:top w:w="0" w:type="dxa"/>
            <w:left w:w="108" w:type="dxa"/>
            <w:bottom w:w="0" w:type="dxa"/>
            <w:right w:w="108" w:type="dxa"/>
          </w:tblCellMar>
        </w:tblPrEx>
        <w:trPr>
          <w:trHeight w:val="423"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3616B30">
            <w:pPr>
              <w:spacing w:line="400" w:lineRule="exact"/>
              <w:jc w:val="cente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rPr>
              <w:t>29</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31500CC">
            <w:pPr>
              <w:spacing w:line="400" w:lineRule="exact"/>
              <w:jc w:val="cente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sz w:val="22"/>
                <w:szCs w:val="22"/>
                <w:highlight w:val="none"/>
              </w:rPr>
              <w:t>合同履约管理</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0B482A0">
            <w:pPr>
              <w:spacing w:line="400" w:lineRule="exact"/>
              <w:jc w:val="lef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sz w:val="22"/>
                <w:szCs w:val="22"/>
                <w:highlight w:val="none"/>
              </w:rPr>
              <w:t>合同签订后，采购人依法加强对合同履约进行管理，并在中标单位服务、项目验收等重要</w:t>
            </w:r>
            <w:r>
              <w:rPr>
                <w:rFonts w:hint="eastAsia" w:asciiTheme="minorEastAsia" w:hAnsiTheme="minorEastAsia" w:eastAsiaTheme="minorEastAsia" w:cstheme="minorEastAsia"/>
                <w:color w:val="auto"/>
                <w:sz w:val="22"/>
                <w:szCs w:val="22"/>
                <w:highlight w:val="none"/>
                <w:lang w:eastAsia="zh-CN"/>
              </w:rPr>
              <w:t>环</w:t>
            </w:r>
            <w:r>
              <w:rPr>
                <w:rFonts w:hint="eastAsia" w:asciiTheme="minorEastAsia" w:hAnsiTheme="minorEastAsia" w:eastAsiaTheme="minorEastAsia" w:cstheme="minorEastAsia"/>
                <w:color w:val="auto"/>
                <w:sz w:val="22"/>
                <w:szCs w:val="22"/>
                <w:highlight w:val="none"/>
              </w:rPr>
              <w:t>节，如实填写《合同验收报告》（或考核资料），并及时向同级财政部门报告验收过程中遇到的问题。</w:t>
            </w:r>
          </w:p>
        </w:tc>
      </w:tr>
      <w:tr w14:paraId="74EDBFCE">
        <w:tblPrEx>
          <w:tblCellMar>
            <w:top w:w="0" w:type="dxa"/>
            <w:left w:w="108" w:type="dxa"/>
            <w:bottom w:w="0" w:type="dxa"/>
            <w:right w:w="108" w:type="dxa"/>
          </w:tblCellMar>
        </w:tblPrEx>
        <w:trPr>
          <w:trHeight w:val="423"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DF2C217">
            <w:pPr>
              <w:spacing w:line="400" w:lineRule="exact"/>
              <w:jc w:val="cente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rPr>
              <w:t>30</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66A6F63">
            <w:pPr>
              <w:spacing w:line="400" w:lineRule="exact"/>
              <w:jc w:val="cente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sz w:val="22"/>
                <w:szCs w:val="22"/>
                <w:highlight w:val="none"/>
              </w:rPr>
              <w:t>解释权</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05C5141">
            <w:pPr>
              <w:spacing w:line="400" w:lineRule="exac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sz w:val="22"/>
                <w:szCs w:val="22"/>
                <w:highlight w:val="none"/>
              </w:rPr>
              <w:t>构成本竞争性磋商文件的各个组成文件应互为解释，互为说明；如有不明确或不一致，构成合同文件组成内容的，以合同文件约定内容为准，且以专用合同条款约定的合同文件优先顺序解释；仅适用于采购投标阶段的约定，按竞争性磋商公告、供应商须知、磋商办法、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686BFB38">
        <w:tblPrEx>
          <w:tblCellMar>
            <w:top w:w="0" w:type="dxa"/>
            <w:left w:w="108" w:type="dxa"/>
            <w:bottom w:w="0" w:type="dxa"/>
            <w:right w:w="108" w:type="dxa"/>
          </w:tblCellMar>
        </w:tblPrEx>
        <w:trPr>
          <w:trHeight w:val="423"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52670F5">
            <w:pPr>
              <w:spacing w:line="400" w:lineRule="exact"/>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31</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CBC5E37">
            <w:pPr>
              <w:spacing w:line="400" w:lineRule="exact"/>
              <w:rPr>
                <w:rFonts w:hint="eastAsia"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color w:val="auto"/>
                <w:sz w:val="22"/>
                <w:szCs w:val="22"/>
                <w:highlight w:val="none"/>
              </w:rPr>
              <w:t>采购代理服务费</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C731A67">
            <w:pPr>
              <w:pStyle w:val="5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本项目招标代理费按7500元计取。由中标人在领取中标通知书时支付给招标代理机构。该费用在投标文件中不单列，由中标人在投标总报价中综合考虑。</w:t>
            </w:r>
          </w:p>
        </w:tc>
      </w:tr>
    </w:tbl>
    <w:p w14:paraId="1272447D">
      <w:pPr>
        <w:rPr>
          <w:rFonts w:hint="eastAsia" w:ascii="宋体" w:hAnsi="宋体" w:cs="宋体"/>
          <w:b/>
          <w:bCs/>
          <w:color w:val="auto"/>
          <w:sz w:val="26"/>
          <w:szCs w:val="26"/>
          <w:highlight w:val="none"/>
        </w:rPr>
      </w:pPr>
      <w:bookmarkStart w:id="52" w:name="_Toc12369"/>
      <w:r>
        <w:rPr>
          <w:rFonts w:hint="eastAsia" w:ascii="宋体" w:hAnsi="宋体" w:cs="宋体"/>
          <w:b/>
          <w:bCs/>
          <w:color w:val="auto"/>
          <w:sz w:val="26"/>
          <w:szCs w:val="26"/>
          <w:highlight w:val="none"/>
        </w:rPr>
        <w:br w:type="page"/>
      </w:r>
    </w:p>
    <w:p w14:paraId="4C11BCD6">
      <w:pPr>
        <w:spacing w:before="100" w:beforeAutospacing="1" w:after="100" w:afterAutospacing="1" w:line="440" w:lineRule="exact"/>
        <w:jc w:val="center"/>
        <w:outlineLvl w:val="0"/>
        <w:rPr>
          <w:rFonts w:ascii="宋体" w:hAnsi="宋体" w:cs="宋体"/>
          <w:b/>
          <w:bCs/>
          <w:color w:val="auto"/>
          <w:sz w:val="26"/>
          <w:szCs w:val="26"/>
          <w:highlight w:val="none"/>
        </w:rPr>
      </w:pPr>
      <w:r>
        <w:rPr>
          <w:rFonts w:hint="eastAsia" w:ascii="宋体" w:hAnsi="宋体" w:cs="宋体"/>
          <w:b/>
          <w:bCs/>
          <w:color w:val="auto"/>
          <w:sz w:val="26"/>
          <w:szCs w:val="26"/>
          <w:highlight w:val="none"/>
        </w:rPr>
        <w:t>二、说明</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2"/>
    </w:p>
    <w:p w14:paraId="694F12D2">
      <w:pPr>
        <w:numPr>
          <w:ilvl w:val="0"/>
          <w:numId w:val="6"/>
        </w:numPr>
        <w:tabs>
          <w:tab w:val="left" w:pos="540"/>
          <w:tab w:val="left" w:pos="900"/>
          <w:tab w:val="clear" w:pos="562"/>
        </w:tabs>
        <w:spacing w:line="400" w:lineRule="exact"/>
        <w:ind w:left="540" w:hanging="540"/>
        <w:rPr>
          <w:rFonts w:ascii="宋体" w:hAnsi="宋体" w:cs="宋体"/>
          <w:color w:val="auto"/>
          <w:sz w:val="22"/>
          <w:szCs w:val="22"/>
          <w:highlight w:val="none"/>
        </w:rPr>
      </w:pPr>
      <w:r>
        <w:rPr>
          <w:rFonts w:hint="eastAsia" w:ascii="宋体" w:hAnsi="宋体" w:cs="宋体"/>
          <w:color w:val="auto"/>
          <w:sz w:val="22"/>
          <w:szCs w:val="22"/>
          <w:highlight w:val="none"/>
        </w:rPr>
        <w:t>本次采购是按照《中华人民共和国政府采购法》、《政府采购货物和服务采购投标管理办法》、</w:t>
      </w:r>
      <w:r>
        <w:rPr>
          <w:rFonts w:hint="eastAsia" w:ascii="宋体" w:hAnsi="宋体" w:cs="宋体"/>
          <w:color w:val="auto"/>
          <w:kern w:val="0"/>
          <w:sz w:val="22"/>
          <w:szCs w:val="22"/>
          <w:highlight w:val="none"/>
        </w:rPr>
        <w:t>《政府采购竞争性磋商采购方式管理暂行办法》</w:t>
      </w:r>
      <w:r>
        <w:rPr>
          <w:rFonts w:hint="eastAsia" w:ascii="宋体" w:hAnsi="宋体" w:cs="宋体"/>
          <w:color w:val="auto"/>
          <w:sz w:val="22"/>
          <w:szCs w:val="22"/>
          <w:highlight w:val="none"/>
        </w:rPr>
        <w:t>和《关于进一步规范政府采购活动的若干意见》等法律及有关法规组织和实施的。</w:t>
      </w:r>
    </w:p>
    <w:p w14:paraId="17537276">
      <w:pPr>
        <w:numPr>
          <w:ilvl w:val="0"/>
          <w:numId w:val="6"/>
        </w:numPr>
        <w:tabs>
          <w:tab w:val="left" w:pos="900"/>
        </w:tabs>
        <w:spacing w:line="400" w:lineRule="exact"/>
        <w:rPr>
          <w:rFonts w:ascii="宋体" w:hAnsi="宋体" w:cs="宋体"/>
          <w:b/>
          <w:color w:val="auto"/>
          <w:sz w:val="22"/>
          <w:szCs w:val="22"/>
          <w:highlight w:val="none"/>
        </w:rPr>
      </w:pPr>
      <w:r>
        <w:rPr>
          <w:rFonts w:hint="eastAsia" w:ascii="宋体" w:hAnsi="宋体" w:cs="宋体"/>
          <w:b/>
          <w:color w:val="auto"/>
          <w:sz w:val="22"/>
          <w:szCs w:val="22"/>
          <w:highlight w:val="none"/>
        </w:rPr>
        <w:t>合格供应商要求以磋商公告对供应商资格条件要求的表述为准。</w:t>
      </w:r>
    </w:p>
    <w:p w14:paraId="54DA91D2">
      <w:pPr>
        <w:numPr>
          <w:ilvl w:val="0"/>
          <w:numId w:val="6"/>
        </w:numPr>
        <w:tabs>
          <w:tab w:val="left" w:pos="540"/>
          <w:tab w:val="left" w:pos="900"/>
          <w:tab w:val="clear" w:pos="562"/>
        </w:tabs>
        <w:spacing w:line="400" w:lineRule="exact"/>
        <w:ind w:left="540" w:hanging="540"/>
        <w:rPr>
          <w:rFonts w:ascii="宋体" w:hAnsi="宋体" w:cs="宋体"/>
          <w:color w:val="auto"/>
          <w:sz w:val="22"/>
          <w:szCs w:val="22"/>
          <w:highlight w:val="none"/>
        </w:rPr>
      </w:pPr>
      <w:r>
        <w:rPr>
          <w:rFonts w:hint="eastAsia" w:ascii="宋体" w:hAnsi="宋体" w:cs="宋体"/>
          <w:color w:val="auto"/>
          <w:sz w:val="22"/>
          <w:szCs w:val="22"/>
          <w:highlight w:val="none"/>
        </w:rPr>
        <w:t>磋商供应商代表</w:t>
      </w:r>
    </w:p>
    <w:p w14:paraId="759441D6">
      <w:pPr>
        <w:spacing w:line="400" w:lineRule="exact"/>
        <w:ind w:left="538" w:leftChars="256"/>
        <w:rPr>
          <w:rFonts w:ascii="宋体" w:hAnsi="宋体" w:cs="宋体"/>
          <w:color w:val="auto"/>
          <w:sz w:val="22"/>
          <w:szCs w:val="22"/>
          <w:highlight w:val="none"/>
        </w:rPr>
      </w:pPr>
      <w:r>
        <w:rPr>
          <w:rFonts w:hint="eastAsia" w:ascii="宋体" w:hAnsi="宋体" w:cs="宋体"/>
          <w:color w:val="auto"/>
          <w:sz w:val="22"/>
          <w:szCs w:val="22"/>
          <w:highlight w:val="none"/>
        </w:rPr>
        <w:t>指全权代表磋商供应商参加磋商活动并签署磋商响应文件的人。如果磋商供应商代表不是法定代表人（负责人），须持有《法定代表人（负责人）授权书》。</w:t>
      </w:r>
    </w:p>
    <w:p w14:paraId="14BF1CD1">
      <w:pPr>
        <w:numPr>
          <w:ilvl w:val="0"/>
          <w:numId w:val="6"/>
        </w:numPr>
        <w:tabs>
          <w:tab w:val="left" w:pos="540"/>
          <w:tab w:val="left" w:pos="900"/>
          <w:tab w:val="clear" w:pos="562"/>
        </w:tabs>
        <w:spacing w:line="400" w:lineRule="exact"/>
        <w:ind w:left="540" w:hanging="540"/>
        <w:rPr>
          <w:rFonts w:ascii="宋体" w:hAnsi="宋体" w:cs="宋体"/>
          <w:color w:val="auto"/>
          <w:sz w:val="22"/>
          <w:szCs w:val="22"/>
          <w:highlight w:val="none"/>
        </w:rPr>
      </w:pPr>
      <w:r>
        <w:rPr>
          <w:rFonts w:hint="eastAsia" w:ascii="宋体" w:hAnsi="宋体" w:cs="宋体"/>
          <w:color w:val="auto"/>
          <w:sz w:val="22"/>
          <w:szCs w:val="22"/>
          <w:highlight w:val="none"/>
        </w:rPr>
        <w:t>磋商费用</w:t>
      </w:r>
    </w:p>
    <w:p w14:paraId="4B3C2349">
      <w:pPr>
        <w:spacing w:line="400" w:lineRule="exact"/>
        <w:ind w:left="538" w:leftChars="256"/>
        <w:rPr>
          <w:rFonts w:ascii="宋体" w:hAnsi="宋体" w:cs="宋体"/>
          <w:color w:val="auto"/>
          <w:sz w:val="22"/>
          <w:szCs w:val="22"/>
          <w:highlight w:val="none"/>
        </w:rPr>
      </w:pPr>
      <w:r>
        <w:rPr>
          <w:rFonts w:hint="eastAsia" w:ascii="宋体" w:hAnsi="宋体" w:cs="宋体"/>
          <w:color w:val="auto"/>
          <w:sz w:val="22"/>
          <w:szCs w:val="22"/>
          <w:highlight w:val="none"/>
        </w:rPr>
        <w:t>磋商供应商应承担所有与准备和参加磋商有关费用，不论磋商的结果如何，采购人均无义务和责任承担这些费用。</w:t>
      </w:r>
    </w:p>
    <w:p w14:paraId="543C7E24">
      <w:pPr>
        <w:numPr>
          <w:ilvl w:val="0"/>
          <w:numId w:val="6"/>
        </w:numPr>
        <w:tabs>
          <w:tab w:val="left" w:pos="540"/>
          <w:tab w:val="left" w:pos="900"/>
          <w:tab w:val="clear" w:pos="562"/>
        </w:tabs>
        <w:spacing w:line="400" w:lineRule="exact"/>
        <w:ind w:left="540" w:hanging="540"/>
        <w:rPr>
          <w:rFonts w:ascii="宋体" w:hAnsi="宋体" w:cs="宋体"/>
          <w:color w:val="auto"/>
          <w:sz w:val="22"/>
          <w:szCs w:val="22"/>
          <w:highlight w:val="none"/>
        </w:rPr>
      </w:pPr>
      <w:r>
        <w:rPr>
          <w:rFonts w:hint="eastAsia" w:ascii="宋体" w:hAnsi="宋体" w:cs="宋体"/>
          <w:color w:val="auto"/>
          <w:sz w:val="22"/>
          <w:szCs w:val="22"/>
          <w:highlight w:val="none"/>
        </w:rPr>
        <w:t>优化政府采购金融服务</w:t>
      </w:r>
    </w:p>
    <w:p w14:paraId="54332B2C">
      <w:pPr>
        <w:spacing w:line="400" w:lineRule="exact"/>
        <w:rPr>
          <w:rFonts w:ascii="宋体" w:hAnsi="宋体" w:cs="宋体"/>
          <w:bCs/>
          <w:color w:val="auto"/>
          <w:spacing w:val="6"/>
          <w:sz w:val="22"/>
          <w:highlight w:val="none"/>
        </w:rPr>
      </w:pPr>
      <w:r>
        <w:rPr>
          <w:rFonts w:hint="eastAsia" w:ascii="宋体" w:hAnsi="宋体" w:cs="宋体"/>
          <w:bCs/>
          <w:color w:val="auto"/>
          <w:spacing w:val="6"/>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65683B02">
      <w:pPr>
        <w:numPr>
          <w:ilvl w:val="0"/>
          <w:numId w:val="6"/>
        </w:numPr>
        <w:tabs>
          <w:tab w:val="left" w:pos="540"/>
          <w:tab w:val="left" w:pos="900"/>
          <w:tab w:val="clear" w:pos="562"/>
        </w:tabs>
        <w:spacing w:line="400" w:lineRule="exact"/>
        <w:ind w:left="540" w:hanging="540"/>
        <w:rPr>
          <w:rFonts w:ascii="宋体" w:hAnsi="宋体" w:cs="宋体"/>
          <w:color w:val="auto"/>
          <w:sz w:val="22"/>
          <w:szCs w:val="22"/>
          <w:highlight w:val="none"/>
        </w:rPr>
      </w:pPr>
      <w:r>
        <w:rPr>
          <w:rFonts w:hint="eastAsia" w:ascii="宋体" w:hAnsi="宋体" w:cs="宋体"/>
          <w:color w:val="auto"/>
          <w:sz w:val="22"/>
          <w:szCs w:val="22"/>
          <w:highlight w:val="none"/>
        </w:rPr>
        <w:t>特别说明：</w:t>
      </w:r>
    </w:p>
    <w:p w14:paraId="55F1A699">
      <w:pPr>
        <w:numPr>
          <w:ilvl w:val="1"/>
          <w:numId w:val="7"/>
        </w:numPr>
        <w:tabs>
          <w:tab w:val="left" w:pos="220"/>
          <w:tab w:val="left" w:pos="525"/>
          <w:tab w:val="clear" w:pos="992"/>
        </w:tabs>
        <w:spacing w:line="40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供应商应仔细阅读磋商文件的所有内容，按照磋商文件的要求提交磋商响应文件，并对所提供的全部资料的真实性承担法律责任。</w:t>
      </w:r>
    </w:p>
    <w:p w14:paraId="3B054A1C">
      <w:pPr>
        <w:numPr>
          <w:ilvl w:val="1"/>
          <w:numId w:val="7"/>
        </w:numPr>
        <w:tabs>
          <w:tab w:val="left" w:pos="220"/>
          <w:tab w:val="left" w:pos="525"/>
          <w:tab w:val="clear" w:pos="992"/>
        </w:tabs>
        <w:spacing w:line="400" w:lineRule="exact"/>
        <w:ind w:left="640"/>
        <w:rPr>
          <w:rFonts w:ascii="宋体" w:hAnsi="宋体" w:cs="宋体"/>
          <w:color w:val="auto"/>
          <w:sz w:val="22"/>
          <w:szCs w:val="22"/>
          <w:highlight w:val="none"/>
        </w:rPr>
      </w:pPr>
      <w:bookmarkStart w:id="53" w:name="_Hlk37697637"/>
      <w:r>
        <w:rPr>
          <w:rFonts w:hint="eastAsia" w:ascii="宋体" w:hAnsi="宋体" w:cs="宋体"/>
          <w:color w:val="auto"/>
          <w:sz w:val="22"/>
          <w:szCs w:val="22"/>
          <w:highlight w:val="none"/>
        </w:rPr>
        <w:t>使用综合评分法的采购项目，提供相同品牌产品且通过资格审查、符合性审查的不同供应商参加同一合同项下投标的，按一家供应商计算，评审后得分最高的同品牌供应商获得成交供应商推荐资格；评审得分相同的，由采购人或者采购人委托磋商小组按照磋商文件规定的方式确定一个供应商获得成交供应商推荐资格，磋商文件未规定的采取随机抽取方式确定，其他同品牌供应商不作为成交候选供应商。</w:t>
      </w:r>
    </w:p>
    <w:p w14:paraId="3A96FBC2">
      <w:pPr>
        <w:numPr>
          <w:ilvl w:val="1"/>
          <w:numId w:val="7"/>
        </w:numPr>
        <w:tabs>
          <w:tab w:val="left" w:pos="220"/>
          <w:tab w:val="left" w:pos="525"/>
          <w:tab w:val="clear" w:pos="992"/>
        </w:tabs>
        <w:spacing w:line="40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非单一产品采购项目，采购人应当根据采购项目技术构成、产品价格比重等合理确定核心产品，并在磋商文件中载明。多家供应商提供的核心产品品牌相同的，按前两款规定处理。</w:t>
      </w:r>
      <w:bookmarkEnd w:id="53"/>
    </w:p>
    <w:p w14:paraId="74852EBA">
      <w:pPr>
        <w:numPr>
          <w:ilvl w:val="1"/>
          <w:numId w:val="7"/>
        </w:numPr>
        <w:tabs>
          <w:tab w:val="left" w:pos="220"/>
          <w:tab w:val="left" w:pos="525"/>
          <w:tab w:val="clear" w:pos="992"/>
        </w:tabs>
        <w:spacing w:line="40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05FC0751">
      <w:pPr>
        <w:numPr>
          <w:ilvl w:val="1"/>
          <w:numId w:val="7"/>
        </w:numPr>
        <w:tabs>
          <w:tab w:val="left" w:pos="220"/>
          <w:tab w:val="left" w:pos="525"/>
          <w:tab w:val="clear" w:pos="992"/>
        </w:tabs>
        <w:spacing w:line="40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14:paraId="4443657B">
      <w:pPr>
        <w:numPr>
          <w:ilvl w:val="1"/>
          <w:numId w:val="7"/>
        </w:numPr>
        <w:tabs>
          <w:tab w:val="left" w:pos="220"/>
          <w:tab w:val="left" w:pos="525"/>
          <w:tab w:val="clear" w:pos="992"/>
        </w:tabs>
        <w:spacing w:line="400" w:lineRule="exact"/>
        <w:ind w:left="640"/>
        <w:rPr>
          <w:rFonts w:ascii="宋体" w:hAnsi="宋体" w:cs="宋体"/>
          <w:color w:val="auto"/>
          <w:sz w:val="22"/>
          <w:szCs w:val="22"/>
          <w:highlight w:val="none"/>
        </w:rPr>
      </w:pPr>
      <w:r>
        <w:rPr>
          <w:rFonts w:hint="eastAsia" w:ascii="宋体" w:hAnsi="宋体" w:cs="宋体"/>
          <w:color w:val="auto"/>
          <w:sz w:val="22"/>
          <w:szCs w:val="22"/>
          <w:highlight w:val="none"/>
          <w:lang w:val="zh-CN"/>
        </w:rPr>
        <w:t>非浙江政府采购网注册的供应商或发生变更且未及时更新的供应商，应当在规定时间内按照《浙江省政府采购供应商注册及诚信管理暂行办法》（浙财采监字〔2009〕28号）的相关规定及时办理更新或供应商注册事项。一旦被确定为成交供应商的，在合同签订前按本办法的规定完成注册并成为正式注册供应商。</w:t>
      </w:r>
    </w:p>
    <w:p w14:paraId="481D09F5">
      <w:pPr>
        <w:spacing w:before="100" w:beforeAutospacing="1" w:after="100" w:afterAutospacing="1" w:line="440" w:lineRule="exact"/>
        <w:jc w:val="center"/>
        <w:outlineLvl w:val="0"/>
        <w:rPr>
          <w:rFonts w:ascii="宋体" w:hAnsi="宋体" w:cs="宋体"/>
          <w:b/>
          <w:bCs/>
          <w:color w:val="auto"/>
          <w:sz w:val="26"/>
          <w:szCs w:val="26"/>
          <w:highlight w:val="none"/>
        </w:rPr>
      </w:pPr>
      <w:bookmarkStart w:id="54" w:name="_Toc223715996"/>
      <w:bookmarkStart w:id="55" w:name="_Toc221356884"/>
      <w:bookmarkStart w:id="56" w:name="_Toc246261263"/>
      <w:bookmarkStart w:id="57" w:name="_Toc221356949"/>
      <w:bookmarkStart w:id="58" w:name="_Toc249758862"/>
      <w:bookmarkStart w:id="59" w:name="_Toc245191312"/>
      <w:bookmarkStart w:id="60" w:name="_Toc262049416"/>
      <w:bookmarkStart w:id="61" w:name="_Toc262105501"/>
      <w:bookmarkStart w:id="62" w:name="_Toc221423617"/>
      <w:bookmarkStart w:id="63" w:name="_Toc245722279"/>
      <w:bookmarkStart w:id="64" w:name="_Toc241404200"/>
      <w:bookmarkStart w:id="65" w:name="_Toc222114877"/>
      <w:bookmarkStart w:id="66" w:name="_Toc221374624"/>
      <w:bookmarkStart w:id="67" w:name="_Toc249758710"/>
      <w:bookmarkStart w:id="68" w:name="_Toc239145352"/>
      <w:bookmarkStart w:id="69" w:name="_Toc6942"/>
      <w:r>
        <w:rPr>
          <w:rFonts w:hint="eastAsia" w:ascii="宋体" w:hAnsi="宋体" w:cs="宋体"/>
          <w:b/>
          <w:bCs/>
          <w:color w:val="auto"/>
          <w:sz w:val="26"/>
          <w:szCs w:val="26"/>
          <w:highlight w:val="none"/>
        </w:rPr>
        <w:t>三、 磋商文件</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155BE3A1">
      <w:pPr>
        <w:numPr>
          <w:ilvl w:val="0"/>
          <w:numId w:val="8"/>
        </w:numPr>
        <w:tabs>
          <w:tab w:val="left" w:pos="425"/>
          <w:tab w:val="left" w:pos="900"/>
        </w:tabs>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磋商文件由</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文件目录所列内容及相关资料组成。</w:t>
      </w:r>
    </w:p>
    <w:p w14:paraId="28609D24">
      <w:pPr>
        <w:numPr>
          <w:ilvl w:val="0"/>
          <w:numId w:val="8"/>
        </w:num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磋商文件的澄清</w:t>
      </w:r>
    </w:p>
    <w:p w14:paraId="67450AE6">
      <w:pPr>
        <w:numPr>
          <w:ilvl w:val="1"/>
          <w:numId w:val="9"/>
        </w:numPr>
        <w:spacing w:line="400" w:lineRule="exact"/>
        <w:ind w:left="525" w:hanging="420"/>
        <w:rPr>
          <w:rFonts w:ascii="宋体" w:hAnsi="宋体" w:cs="宋体"/>
          <w:color w:val="auto"/>
          <w:sz w:val="22"/>
          <w:szCs w:val="22"/>
          <w:highlight w:val="none"/>
        </w:rPr>
      </w:pPr>
      <w:r>
        <w:rPr>
          <w:rFonts w:hint="eastAsia" w:ascii="宋体" w:hAnsi="宋体" w:cs="宋体"/>
          <w:color w:val="auto"/>
          <w:sz w:val="22"/>
          <w:szCs w:val="22"/>
          <w:highlight w:val="none"/>
        </w:rPr>
        <w:t xml:space="preserve">  供应商对磋商文件如有疑点或未尽事宜要求澄清，或认为有必要进行说明或交流，供应商可以在知道或应知其权益受到损害之日起三个工作日内，以书面形式（包括信函、传真、下同）向采购人提出质疑，但质疑不得迟于报价文件递交截止时间5日前使采购人收到，采购人将用书面形式予以答复。如有必要，可将不说明问题来源的答复发给各有关磋商供应商或召开答疑会。如果标书答疑期内未收到有关疑问，视为供应商完全同意磋商文件所有条款，且对于磋商文件相关表述以及未尽事宜如有争议，以采购人解释为准。</w:t>
      </w:r>
    </w:p>
    <w:p w14:paraId="4738A1B0">
      <w:pPr>
        <w:numPr>
          <w:ilvl w:val="0"/>
          <w:numId w:val="8"/>
        </w:num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磋商文件的修改</w:t>
      </w:r>
    </w:p>
    <w:p w14:paraId="47D275B0">
      <w:pPr>
        <w:numPr>
          <w:ilvl w:val="1"/>
          <w:numId w:val="10"/>
        </w:numPr>
        <w:tabs>
          <w:tab w:val="left" w:pos="220"/>
          <w:tab w:val="left" w:pos="525"/>
          <w:tab w:val="clear" w:pos="992"/>
        </w:tabs>
        <w:spacing w:line="40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在磋商响应文件递交截止期5天前，采购人无论是出于何种原因，均可对磋商文件用补充文件的方式进行修改，并在</w:t>
      </w:r>
      <w:r>
        <w:rPr>
          <w:rFonts w:hint="eastAsia" w:ascii="宋体" w:hAnsi="宋体" w:cs="宋体"/>
          <w:bCs/>
          <w:color w:val="auto"/>
          <w:sz w:val="22"/>
          <w:szCs w:val="22"/>
          <w:highlight w:val="none"/>
        </w:rPr>
        <w:t>浙江政府采购网</w:t>
      </w:r>
      <w:r>
        <w:rPr>
          <w:rFonts w:hint="eastAsia" w:ascii="宋体" w:hAnsi="宋体" w:cs="宋体"/>
          <w:color w:val="auto"/>
          <w:sz w:val="22"/>
          <w:szCs w:val="22"/>
          <w:highlight w:val="none"/>
        </w:rPr>
        <w:t>上发布更正公告。该澄清和修改的内容为磋商文件的组成部分。采购人可以视采购具体情况在磋商文件要求提交截止时间三天前，作出延长报价文件递交截止时间和磋商时间的决定，并将变更时间书面通知所有磋商文件收受人，并在</w:t>
      </w:r>
      <w:r>
        <w:rPr>
          <w:rFonts w:hint="eastAsia" w:ascii="宋体" w:hAnsi="宋体" w:cs="宋体"/>
          <w:bCs/>
          <w:color w:val="auto"/>
          <w:sz w:val="22"/>
          <w:szCs w:val="22"/>
          <w:highlight w:val="none"/>
        </w:rPr>
        <w:t>浙江政府采购网</w:t>
      </w:r>
      <w:r>
        <w:rPr>
          <w:rFonts w:hint="eastAsia" w:ascii="宋体" w:hAnsi="宋体" w:cs="宋体"/>
          <w:color w:val="auto"/>
          <w:sz w:val="22"/>
          <w:szCs w:val="22"/>
          <w:highlight w:val="none"/>
        </w:rPr>
        <w:t>上发布变更公告。</w:t>
      </w:r>
    </w:p>
    <w:p w14:paraId="6A005496">
      <w:pPr>
        <w:numPr>
          <w:ilvl w:val="1"/>
          <w:numId w:val="10"/>
        </w:numPr>
        <w:tabs>
          <w:tab w:val="left" w:pos="220"/>
          <w:tab w:val="left" w:pos="360"/>
          <w:tab w:val="clear" w:pos="992"/>
        </w:tabs>
        <w:spacing w:line="400" w:lineRule="exact"/>
        <w:ind w:left="640"/>
        <w:rPr>
          <w:rFonts w:ascii="宋体" w:hAnsi="宋体" w:cs="宋体"/>
          <w:color w:val="auto"/>
          <w:sz w:val="22"/>
          <w:szCs w:val="22"/>
          <w:highlight w:val="none"/>
        </w:rPr>
      </w:pPr>
      <w:r>
        <w:rPr>
          <w:rFonts w:hint="eastAsia" w:ascii="宋体" w:hAnsi="宋体" w:cs="宋体"/>
          <w:bCs/>
          <w:color w:val="auto"/>
          <w:sz w:val="22"/>
          <w:szCs w:val="22"/>
          <w:highlight w:val="none"/>
        </w:rPr>
        <w:t>磋商文件如有补充更正均见浙江政府采购网（http://www.zjzfcg.gov.cn/）。供应商须自行查看是否有补充更正文件，并按补充更正文件要求磋商，否则责任自负</w:t>
      </w:r>
      <w:r>
        <w:rPr>
          <w:rFonts w:hint="eastAsia" w:ascii="宋体" w:hAnsi="宋体" w:cs="宋体"/>
          <w:color w:val="auto"/>
          <w:sz w:val="22"/>
          <w:szCs w:val="22"/>
          <w:highlight w:val="none"/>
        </w:rPr>
        <w:t>。</w:t>
      </w:r>
    </w:p>
    <w:p w14:paraId="6EFF57E8">
      <w:pPr>
        <w:numPr>
          <w:ilvl w:val="0"/>
          <w:numId w:val="8"/>
        </w:num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质疑</w:t>
      </w:r>
    </w:p>
    <w:p w14:paraId="28F552FE">
      <w:pPr>
        <w:numPr>
          <w:ilvl w:val="1"/>
          <w:numId w:val="11"/>
        </w:numPr>
        <w:tabs>
          <w:tab w:val="left" w:pos="420"/>
          <w:tab w:val="left" w:pos="525"/>
          <w:tab w:val="clear" w:pos="992"/>
        </w:tabs>
        <w:spacing w:line="400" w:lineRule="exact"/>
        <w:ind w:left="640"/>
        <w:rPr>
          <w:rFonts w:ascii="宋体" w:hAnsi="宋体" w:cs="宋体"/>
          <w:color w:val="auto"/>
          <w:sz w:val="22"/>
          <w:szCs w:val="22"/>
          <w:highlight w:val="none"/>
        </w:rPr>
      </w:pPr>
      <w:r>
        <w:rPr>
          <w:rFonts w:hint="eastAsia" w:ascii="宋体" w:hAnsi="宋体" w:cs="宋体"/>
          <w:color w:val="auto"/>
          <w:spacing w:val="6"/>
          <w:sz w:val="22"/>
          <w:highlight w:val="none"/>
        </w:rPr>
        <w:t>供应商认为磋商文件、采购过程、成交或者成交结果使自己的权益受到损害的，可以在知道</w:t>
      </w:r>
      <w:r>
        <w:rPr>
          <w:rFonts w:hint="eastAsia" w:ascii="宋体" w:hAnsi="宋体" w:cs="宋体"/>
          <w:color w:val="auto"/>
          <w:sz w:val="22"/>
          <w:szCs w:val="22"/>
          <w:highlight w:val="none"/>
        </w:rPr>
        <w:t>或者应知其权益受到损害之日起7个工作日内，以书面形式向采购人、采购代理机构提出质疑。逾期提出的，采购组织机构将不予受理、答复。</w:t>
      </w:r>
    </w:p>
    <w:p w14:paraId="7F50B959">
      <w:pPr>
        <w:numPr>
          <w:ilvl w:val="1"/>
          <w:numId w:val="11"/>
        </w:numPr>
        <w:tabs>
          <w:tab w:val="left" w:pos="420"/>
          <w:tab w:val="left" w:pos="525"/>
          <w:tab w:val="clear" w:pos="992"/>
        </w:tabs>
        <w:spacing w:line="40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供应商提出质疑应当提交质疑函和必要的证明材料，质疑函范本请到“浙江政府采购网下载专区”下载，质疑函内容及签署等相关要求请参看《政府采购质疑和投诉办法》相关规定。</w:t>
      </w:r>
    </w:p>
    <w:p w14:paraId="5F8D0F83">
      <w:pPr>
        <w:numPr>
          <w:ilvl w:val="1"/>
          <w:numId w:val="11"/>
        </w:numPr>
        <w:tabs>
          <w:tab w:val="left" w:pos="420"/>
          <w:tab w:val="left" w:pos="525"/>
          <w:tab w:val="clear" w:pos="992"/>
        </w:tabs>
        <w:spacing w:line="40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提出质疑的供应商应当是参与本项目</w:t>
      </w:r>
      <w:r>
        <w:rPr>
          <w:rFonts w:hint="eastAsia" w:ascii="宋体" w:hAnsi="宋体" w:cs="宋体"/>
          <w:color w:val="auto"/>
          <w:sz w:val="22"/>
          <w:szCs w:val="22"/>
          <w:highlight w:val="none"/>
          <w:lang w:val="en-US" w:eastAsia="zh-CN"/>
        </w:rPr>
        <w:t>采购</w:t>
      </w:r>
      <w:r>
        <w:rPr>
          <w:rFonts w:hint="eastAsia" w:ascii="宋体" w:hAnsi="宋体" w:cs="宋体"/>
          <w:color w:val="auto"/>
          <w:sz w:val="22"/>
          <w:szCs w:val="22"/>
          <w:highlight w:val="none"/>
        </w:rPr>
        <w:t>活动的供应商。供应商在法定质疑期内一次性提出针对同一采购程序环节的质疑。</w:t>
      </w:r>
    </w:p>
    <w:p w14:paraId="77F9D9D0">
      <w:pPr>
        <w:numPr>
          <w:ilvl w:val="1"/>
          <w:numId w:val="11"/>
        </w:numPr>
        <w:tabs>
          <w:tab w:val="left" w:pos="420"/>
          <w:tab w:val="left" w:pos="525"/>
          <w:tab w:val="clear" w:pos="992"/>
        </w:tabs>
        <w:spacing w:line="40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根据《政府采购质疑和投诉办法》第三十七条的规定，投诉人在全国范围12个月内三次以上投诉查无实据的，由财政部门列入不良行为记录名单。</w:t>
      </w:r>
    </w:p>
    <w:p w14:paraId="0AA5E8A6">
      <w:pPr>
        <w:numPr>
          <w:ilvl w:val="0"/>
          <w:numId w:val="8"/>
        </w:num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投诉</w:t>
      </w:r>
    </w:p>
    <w:p w14:paraId="5A006630">
      <w:pPr>
        <w:tabs>
          <w:tab w:val="left" w:pos="540"/>
        </w:tabs>
        <w:spacing w:line="400" w:lineRule="exact"/>
        <w:ind w:firstLine="464" w:firstLineChars="200"/>
        <w:rPr>
          <w:rFonts w:ascii="宋体" w:hAnsi="宋体" w:cs="宋体"/>
          <w:color w:val="auto"/>
          <w:sz w:val="22"/>
          <w:szCs w:val="22"/>
          <w:highlight w:val="none"/>
        </w:rPr>
      </w:pPr>
      <w:r>
        <w:rPr>
          <w:rFonts w:hint="eastAsia" w:ascii="宋体" w:hAnsi="宋体" w:cs="宋体"/>
          <w:color w:val="auto"/>
          <w:spacing w:val="6"/>
          <w:sz w:val="22"/>
          <w:highlight w:val="none"/>
        </w:rPr>
        <w:t>质疑供应商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29A317A8">
      <w:pPr>
        <w:spacing w:before="100" w:beforeAutospacing="1" w:after="100" w:afterAutospacing="1" w:line="440" w:lineRule="exact"/>
        <w:jc w:val="center"/>
        <w:outlineLvl w:val="0"/>
        <w:rPr>
          <w:rFonts w:ascii="宋体" w:hAnsi="宋体" w:cs="宋体"/>
          <w:b/>
          <w:bCs/>
          <w:color w:val="auto"/>
          <w:sz w:val="26"/>
          <w:szCs w:val="26"/>
          <w:highlight w:val="none"/>
        </w:rPr>
      </w:pPr>
      <w:bookmarkStart w:id="70" w:name="_Toc24411"/>
      <w:bookmarkStart w:id="71" w:name="_Toc221356950"/>
      <w:bookmarkStart w:id="72" w:name="_Toc262105502"/>
      <w:bookmarkStart w:id="73" w:name="_Toc239145353"/>
      <w:bookmarkStart w:id="74" w:name="_Toc262049417"/>
      <w:bookmarkStart w:id="75" w:name="_Toc241404201"/>
      <w:bookmarkStart w:id="76" w:name="_Toc246261264"/>
      <w:bookmarkStart w:id="77" w:name="_Toc249758863"/>
      <w:bookmarkStart w:id="78" w:name="_Toc221356885"/>
      <w:bookmarkStart w:id="79" w:name="_Toc223715997"/>
      <w:bookmarkStart w:id="80" w:name="_Toc221374625"/>
      <w:bookmarkStart w:id="81" w:name="_Toc245191313"/>
      <w:bookmarkStart w:id="82" w:name="_Toc249758711"/>
      <w:bookmarkStart w:id="83" w:name="_Toc221423618"/>
      <w:bookmarkStart w:id="84" w:name="_Toc222114878"/>
      <w:bookmarkStart w:id="85" w:name="_Toc245722280"/>
      <w:r>
        <w:rPr>
          <w:rFonts w:hint="eastAsia" w:ascii="宋体" w:hAnsi="宋体" w:cs="宋体"/>
          <w:b/>
          <w:bCs/>
          <w:color w:val="auto"/>
          <w:sz w:val="26"/>
          <w:szCs w:val="26"/>
          <w:highlight w:val="none"/>
        </w:rPr>
        <w:t>四、 磋商响应文件的编制</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7B098CA7">
      <w:pPr>
        <w:numPr>
          <w:ilvl w:val="0"/>
          <w:numId w:val="12"/>
        </w:num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磋商供应商应认真阅读磋商文件中所有事项格式、条款和技术规范等。</w:t>
      </w:r>
      <w:r>
        <w:rPr>
          <w:rFonts w:hint="eastAsia" w:ascii="宋体" w:hAnsi="宋体" w:cs="宋体"/>
          <w:b/>
          <w:color w:val="auto"/>
          <w:sz w:val="22"/>
          <w:szCs w:val="22"/>
          <w:highlight w:val="none"/>
        </w:rPr>
        <w:t>磋商供应商没有按照磋商文件要求提交全部资料，或者没有对磋商文件各个方面</w:t>
      </w:r>
      <w:r>
        <w:rPr>
          <w:rFonts w:hint="eastAsia" w:ascii="宋体" w:hAnsi="宋体" w:cs="宋体"/>
          <w:b/>
          <w:color w:val="auto"/>
          <w:sz w:val="22"/>
          <w:szCs w:val="22"/>
          <w:highlight w:val="none"/>
          <w:lang w:eastAsia="zh-CN"/>
        </w:rPr>
        <w:t>作出</w:t>
      </w:r>
      <w:r>
        <w:rPr>
          <w:rFonts w:hint="eastAsia" w:ascii="宋体" w:hAnsi="宋体" w:cs="宋体"/>
          <w:b/>
          <w:color w:val="auto"/>
          <w:sz w:val="22"/>
          <w:szCs w:val="22"/>
          <w:highlight w:val="none"/>
        </w:rPr>
        <w:t>实质性响应，导致报价被拒绝的风险由</w:t>
      </w:r>
      <w:r>
        <w:rPr>
          <w:rFonts w:hint="eastAsia" w:ascii="宋体" w:hAnsi="宋体" w:cs="宋体"/>
          <w:b/>
          <w:color w:val="auto"/>
          <w:sz w:val="22"/>
          <w:szCs w:val="22"/>
          <w:highlight w:val="none"/>
          <w:lang w:eastAsia="zh-CN"/>
        </w:rPr>
        <w:t>供应商</w:t>
      </w:r>
      <w:r>
        <w:rPr>
          <w:rFonts w:hint="eastAsia" w:ascii="宋体" w:hAnsi="宋体" w:cs="宋体"/>
          <w:b/>
          <w:color w:val="auto"/>
          <w:sz w:val="22"/>
          <w:szCs w:val="22"/>
          <w:highlight w:val="none"/>
        </w:rPr>
        <w:t>自行承担。</w:t>
      </w:r>
    </w:p>
    <w:p w14:paraId="1FE17756">
      <w:pPr>
        <w:numPr>
          <w:ilvl w:val="0"/>
          <w:numId w:val="12"/>
        </w:numPr>
        <w:spacing w:line="400" w:lineRule="exact"/>
        <w:rPr>
          <w:rFonts w:ascii="宋体" w:hAnsi="宋体" w:cs="宋体"/>
          <w:bCs/>
          <w:color w:val="auto"/>
          <w:sz w:val="22"/>
          <w:szCs w:val="22"/>
          <w:highlight w:val="none"/>
        </w:rPr>
      </w:pPr>
      <w:r>
        <w:rPr>
          <w:rFonts w:hint="eastAsia" w:ascii="宋体" w:hAnsi="宋体" w:cs="宋体"/>
          <w:bCs/>
          <w:color w:val="auto"/>
          <w:sz w:val="22"/>
          <w:szCs w:val="22"/>
          <w:highlight w:val="none"/>
        </w:rPr>
        <w:t>磋商响应文件的构成</w:t>
      </w:r>
    </w:p>
    <w:p w14:paraId="22530ED9">
      <w:pPr>
        <w:tabs>
          <w:tab w:val="left" w:pos="360"/>
          <w:tab w:val="left" w:pos="1135"/>
        </w:tabs>
        <w:spacing w:line="400" w:lineRule="exact"/>
        <w:rPr>
          <w:rFonts w:ascii="宋体" w:hAnsi="宋体" w:cs="宋体"/>
          <w:b/>
          <w:color w:val="auto"/>
          <w:sz w:val="22"/>
          <w:szCs w:val="22"/>
          <w:highlight w:val="none"/>
        </w:rPr>
      </w:pPr>
      <w:r>
        <w:rPr>
          <w:rFonts w:hint="eastAsia" w:ascii="宋体" w:hAnsi="宋体" w:cs="宋体"/>
          <w:b/>
          <w:color w:val="auto"/>
          <w:sz w:val="22"/>
          <w:szCs w:val="22"/>
          <w:highlight w:val="none"/>
        </w:rPr>
        <w:t>磋商响应文件</w:t>
      </w:r>
      <w:r>
        <w:rPr>
          <w:rFonts w:hint="eastAsia" w:ascii="宋体" w:hAnsi="宋体" w:cs="宋体"/>
          <w:b/>
          <w:color w:val="auto"/>
          <w:sz w:val="22"/>
          <w:szCs w:val="22"/>
          <w:highlight w:val="none"/>
          <w:lang w:eastAsia="zh-CN"/>
        </w:rPr>
        <w:t>由</w:t>
      </w:r>
      <w:r>
        <w:rPr>
          <w:rFonts w:hint="eastAsia" w:ascii="宋体" w:hAnsi="宋体" w:cs="宋体"/>
          <w:b/>
          <w:color w:val="auto"/>
          <w:sz w:val="22"/>
          <w:szCs w:val="22"/>
          <w:highlight w:val="none"/>
        </w:rPr>
        <w:t>资格文件、报价文件、商务技术文件三部分构成：</w:t>
      </w:r>
    </w:p>
    <w:p w14:paraId="76BDEC14">
      <w:pPr>
        <w:spacing w:line="400" w:lineRule="exact"/>
        <w:ind w:left="187" w:leftChars="85" w:hanging="9" w:hangingChars="4"/>
        <w:rPr>
          <w:rFonts w:ascii="宋体" w:hAnsi="宋体" w:cs="宋体"/>
          <w:b/>
          <w:color w:val="auto"/>
          <w:sz w:val="22"/>
          <w:szCs w:val="22"/>
          <w:highlight w:val="none"/>
        </w:rPr>
      </w:pPr>
      <w:r>
        <w:rPr>
          <w:rFonts w:hint="eastAsia" w:ascii="宋体" w:hAnsi="宋体" w:cs="宋体"/>
          <w:b/>
          <w:color w:val="auto"/>
          <w:sz w:val="22"/>
          <w:szCs w:val="22"/>
          <w:highlight w:val="none"/>
        </w:rPr>
        <w:t>（1）资格文件</w:t>
      </w:r>
    </w:p>
    <w:tbl>
      <w:tblPr>
        <w:tblStyle w:val="3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4"/>
        <w:gridCol w:w="1523"/>
      </w:tblGrid>
      <w:tr w14:paraId="31AD9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082C54C7">
            <w:pPr>
              <w:overflowPunct w:val="0"/>
              <w:spacing w:line="40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7514" w:type="dxa"/>
            <w:vAlign w:val="center"/>
          </w:tcPr>
          <w:p w14:paraId="36B78307">
            <w:pPr>
              <w:overflowPunct w:val="0"/>
              <w:spacing w:line="40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内 容</w:t>
            </w:r>
          </w:p>
        </w:tc>
        <w:tc>
          <w:tcPr>
            <w:tcW w:w="1523" w:type="dxa"/>
            <w:vAlign w:val="center"/>
          </w:tcPr>
          <w:p w14:paraId="5504CF49">
            <w:pPr>
              <w:overflowPunct w:val="0"/>
              <w:spacing w:line="40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备注</w:t>
            </w:r>
          </w:p>
        </w:tc>
      </w:tr>
      <w:tr w14:paraId="542D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203AADA7">
            <w:pPr>
              <w:spacing w:line="400" w:lineRule="exact"/>
              <w:jc w:val="center"/>
              <w:rPr>
                <w:rFonts w:ascii="宋体" w:hAnsi="宋体" w:cs="宋体"/>
                <w:bCs/>
                <w:color w:val="auto"/>
                <w:sz w:val="22"/>
                <w:szCs w:val="22"/>
                <w:highlight w:val="none"/>
              </w:rPr>
            </w:pPr>
            <w:r>
              <w:rPr>
                <w:rFonts w:hint="eastAsia" w:ascii="宋体" w:hAnsi="宋体" w:cs="宋体"/>
                <w:color w:val="auto"/>
                <w:sz w:val="22"/>
                <w:szCs w:val="22"/>
                <w:highlight w:val="none"/>
              </w:rPr>
              <w:t>1）</w:t>
            </w:r>
          </w:p>
        </w:tc>
        <w:tc>
          <w:tcPr>
            <w:tcW w:w="7514" w:type="dxa"/>
            <w:vAlign w:val="center"/>
          </w:tcPr>
          <w:p w14:paraId="0506C742">
            <w:pPr>
              <w:spacing w:line="400" w:lineRule="exact"/>
              <w:rPr>
                <w:rFonts w:ascii="宋体" w:hAnsi="宋体" w:cs="宋体"/>
                <w:bCs/>
                <w:color w:val="auto"/>
                <w:sz w:val="22"/>
                <w:szCs w:val="22"/>
                <w:highlight w:val="none"/>
              </w:rPr>
            </w:pPr>
            <w:r>
              <w:rPr>
                <w:rFonts w:hint="eastAsia" w:ascii="宋体" w:hAnsi="宋体" w:cs="宋体"/>
                <w:color w:val="auto"/>
                <w:sz w:val="22"/>
                <w:szCs w:val="22"/>
                <w:highlight w:val="none"/>
              </w:rPr>
              <w:t>营业执照(或事业法人登记证书</w:t>
            </w:r>
            <w:r>
              <w:rPr>
                <w:rFonts w:hint="eastAsia" w:ascii="宋体" w:hAnsi="宋体" w:cs="宋体"/>
                <w:color w:val="auto"/>
                <w:sz w:val="22"/>
                <w:szCs w:val="22"/>
                <w:highlight w:val="none"/>
                <w:lang w:eastAsia="zh-CN"/>
              </w:rPr>
              <w:t>或其他</w:t>
            </w:r>
            <w:r>
              <w:rPr>
                <w:rFonts w:hint="eastAsia" w:ascii="宋体" w:hAnsi="宋体" w:cs="宋体"/>
                <w:color w:val="auto"/>
                <w:sz w:val="22"/>
                <w:szCs w:val="22"/>
                <w:highlight w:val="none"/>
              </w:rPr>
              <w:t>工商等登记证明材料；自然人参与政府采购，提供身份证)复印件、税务登记证(</w:t>
            </w:r>
            <w:r>
              <w:rPr>
                <w:rFonts w:hint="eastAsia" w:ascii="宋体" w:hAnsi="宋体" w:cs="宋体"/>
                <w:color w:val="auto"/>
                <w:sz w:val="22"/>
                <w:szCs w:val="22"/>
                <w:highlight w:val="none"/>
                <w:lang w:eastAsia="zh-CN"/>
              </w:rPr>
              <w:t>或其他</w:t>
            </w:r>
            <w:r>
              <w:rPr>
                <w:rFonts w:hint="eastAsia" w:ascii="宋体" w:hAnsi="宋体" w:cs="宋体"/>
                <w:color w:val="auto"/>
                <w:sz w:val="22"/>
                <w:szCs w:val="22"/>
                <w:highlight w:val="none"/>
              </w:rPr>
              <w:t>缴纳证明材料)复印件、社保登记证（</w:t>
            </w:r>
            <w:r>
              <w:rPr>
                <w:rFonts w:hint="eastAsia" w:ascii="宋体" w:hAnsi="宋体" w:cs="宋体"/>
                <w:color w:val="auto"/>
                <w:sz w:val="22"/>
                <w:szCs w:val="22"/>
                <w:highlight w:val="none"/>
                <w:lang w:eastAsia="zh-CN"/>
              </w:rPr>
              <w:t>或其他</w:t>
            </w:r>
            <w:r>
              <w:rPr>
                <w:rFonts w:hint="eastAsia" w:ascii="宋体" w:hAnsi="宋体" w:cs="宋体"/>
                <w:color w:val="auto"/>
                <w:sz w:val="22"/>
                <w:szCs w:val="22"/>
                <w:highlight w:val="none"/>
              </w:rPr>
              <w:t>缴纳证明材料）复印件；实施“五证合一、一照一码”登记制度改革的，只需提供改革后取得的营业执照复印件；</w:t>
            </w:r>
          </w:p>
        </w:tc>
        <w:tc>
          <w:tcPr>
            <w:tcW w:w="1523" w:type="dxa"/>
            <w:vAlign w:val="center"/>
          </w:tcPr>
          <w:p w14:paraId="30DBE494">
            <w:pPr>
              <w:overflowPunct w:val="0"/>
              <w:spacing w:line="400" w:lineRule="exact"/>
              <w:jc w:val="center"/>
              <w:rPr>
                <w:rFonts w:ascii="宋体" w:hAnsi="宋体" w:cs="宋体"/>
                <w:b/>
                <w:color w:val="auto"/>
                <w:sz w:val="22"/>
                <w:szCs w:val="22"/>
                <w:highlight w:val="none"/>
              </w:rPr>
            </w:pPr>
          </w:p>
        </w:tc>
      </w:tr>
      <w:tr w14:paraId="5127E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7F1128D1">
            <w:pPr>
              <w:spacing w:line="400" w:lineRule="exact"/>
              <w:jc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2）</w:t>
            </w:r>
          </w:p>
        </w:tc>
        <w:tc>
          <w:tcPr>
            <w:tcW w:w="7514" w:type="dxa"/>
            <w:vAlign w:val="center"/>
          </w:tcPr>
          <w:p w14:paraId="69B2B156">
            <w:pPr>
              <w:spacing w:line="400" w:lineRule="exact"/>
              <w:rPr>
                <w:rFonts w:ascii="宋体" w:hAnsi="宋体" w:cs="宋体"/>
                <w:bCs/>
                <w:color w:val="auto"/>
                <w:sz w:val="22"/>
                <w:szCs w:val="22"/>
                <w:highlight w:val="none"/>
              </w:rPr>
            </w:pPr>
            <w:r>
              <w:rPr>
                <w:rFonts w:hint="eastAsia" w:ascii="宋体" w:hAnsi="宋体" w:cs="宋体"/>
                <w:bCs/>
                <w:color w:val="auto"/>
                <w:sz w:val="22"/>
                <w:szCs w:val="22"/>
                <w:highlight w:val="none"/>
              </w:rPr>
              <w:t>法定代表人声明书或法定代表人授权书</w:t>
            </w:r>
          </w:p>
        </w:tc>
        <w:tc>
          <w:tcPr>
            <w:tcW w:w="1523" w:type="dxa"/>
            <w:vMerge w:val="restart"/>
            <w:vAlign w:val="center"/>
          </w:tcPr>
          <w:p w14:paraId="60FCF491">
            <w:pPr>
              <w:spacing w:line="40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附件一</w:t>
            </w:r>
          </w:p>
        </w:tc>
      </w:tr>
      <w:tr w14:paraId="57ED9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0578F9C8">
            <w:pPr>
              <w:spacing w:line="400" w:lineRule="exact"/>
              <w:jc w:val="center"/>
              <w:rPr>
                <w:rFonts w:ascii="宋体" w:hAnsi="宋体" w:eastAsia="宋体" w:cs="宋体"/>
                <w:bCs/>
                <w:color w:val="auto"/>
                <w:kern w:val="2"/>
                <w:sz w:val="22"/>
                <w:szCs w:val="22"/>
                <w:highlight w:val="none"/>
                <w:lang w:val="en-US" w:eastAsia="zh-CN" w:bidi="ar-SA"/>
              </w:rPr>
            </w:pPr>
            <w:r>
              <w:rPr>
                <w:rFonts w:hint="eastAsia" w:ascii="宋体" w:hAnsi="宋体" w:cs="宋体"/>
                <w:color w:val="auto"/>
                <w:sz w:val="22"/>
                <w:szCs w:val="22"/>
                <w:highlight w:val="none"/>
              </w:rPr>
              <w:t>3）</w:t>
            </w:r>
          </w:p>
        </w:tc>
        <w:tc>
          <w:tcPr>
            <w:tcW w:w="7514" w:type="dxa"/>
            <w:vAlign w:val="center"/>
          </w:tcPr>
          <w:p w14:paraId="4BC8A203">
            <w:pPr>
              <w:spacing w:line="400" w:lineRule="exact"/>
              <w:rPr>
                <w:rFonts w:ascii="宋体" w:hAnsi="宋体" w:cs="宋体"/>
                <w:bCs/>
                <w:color w:val="auto"/>
                <w:sz w:val="22"/>
                <w:szCs w:val="22"/>
                <w:highlight w:val="none"/>
              </w:rPr>
            </w:pPr>
            <w:r>
              <w:rPr>
                <w:rFonts w:hint="eastAsia" w:ascii="宋体" w:hAnsi="宋体" w:cs="宋体"/>
                <w:bCs/>
                <w:color w:val="auto"/>
                <w:sz w:val="22"/>
                <w:szCs w:val="22"/>
                <w:highlight w:val="none"/>
                <w:lang w:eastAsia="zh-CN"/>
              </w:rPr>
              <w:t>供应商</w:t>
            </w:r>
            <w:r>
              <w:rPr>
                <w:rFonts w:hint="eastAsia" w:ascii="宋体" w:hAnsi="宋体" w:cs="宋体"/>
                <w:bCs/>
                <w:color w:val="auto"/>
                <w:sz w:val="22"/>
                <w:szCs w:val="22"/>
                <w:highlight w:val="none"/>
              </w:rPr>
              <w:t>参与政府采购活动投标资格声明函</w:t>
            </w:r>
          </w:p>
        </w:tc>
        <w:tc>
          <w:tcPr>
            <w:tcW w:w="1523" w:type="dxa"/>
            <w:vMerge w:val="continue"/>
            <w:vAlign w:val="center"/>
          </w:tcPr>
          <w:p w14:paraId="5D34D7DC">
            <w:pPr>
              <w:spacing w:line="400" w:lineRule="exact"/>
              <w:jc w:val="center"/>
              <w:rPr>
                <w:rFonts w:ascii="宋体" w:hAnsi="宋体" w:cs="宋体"/>
                <w:color w:val="auto"/>
                <w:sz w:val="22"/>
                <w:szCs w:val="22"/>
                <w:highlight w:val="none"/>
              </w:rPr>
            </w:pPr>
          </w:p>
        </w:tc>
      </w:tr>
      <w:tr w14:paraId="657AC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62E19B21">
            <w:pPr>
              <w:spacing w:line="400" w:lineRule="exact"/>
              <w:jc w:val="center"/>
              <w:rPr>
                <w:rFonts w:ascii="宋体" w:hAnsi="宋体" w:eastAsia="宋体" w:cs="宋体"/>
                <w:bCs/>
                <w:color w:val="auto"/>
                <w:kern w:val="2"/>
                <w:sz w:val="22"/>
                <w:szCs w:val="22"/>
                <w:highlight w:val="none"/>
                <w:lang w:val="en-US" w:eastAsia="zh-CN" w:bidi="ar-SA"/>
              </w:rPr>
            </w:pPr>
            <w:r>
              <w:rPr>
                <w:rFonts w:hint="eastAsia" w:ascii="宋体" w:hAnsi="宋体" w:cs="宋体"/>
                <w:color w:val="auto"/>
                <w:sz w:val="22"/>
                <w:szCs w:val="22"/>
                <w:highlight w:val="none"/>
              </w:rPr>
              <w:t>4）</w:t>
            </w:r>
          </w:p>
        </w:tc>
        <w:tc>
          <w:tcPr>
            <w:tcW w:w="7514" w:type="dxa"/>
            <w:vAlign w:val="center"/>
          </w:tcPr>
          <w:p w14:paraId="6A0D7FA8">
            <w:pPr>
              <w:spacing w:line="400" w:lineRule="exact"/>
              <w:rPr>
                <w:rFonts w:ascii="宋体" w:hAnsi="宋体" w:cs="宋体"/>
                <w:bCs/>
                <w:color w:val="auto"/>
                <w:sz w:val="22"/>
                <w:szCs w:val="22"/>
                <w:highlight w:val="none"/>
              </w:rPr>
            </w:pPr>
            <w:r>
              <w:rPr>
                <w:rFonts w:hint="eastAsia" w:ascii="宋体" w:hAnsi="宋体" w:cs="宋体"/>
                <w:bCs/>
                <w:color w:val="auto"/>
                <w:sz w:val="22"/>
                <w:szCs w:val="22"/>
                <w:highlight w:val="none"/>
              </w:rPr>
              <w:t>诚信投标承诺书</w:t>
            </w:r>
          </w:p>
        </w:tc>
        <w:tc>
          <w:tcPr>
            <w:tcW w:w="1523" w:type="dxa"/>
            <w:vMerge w:val="continue"/>
            <w:vAlign w:val="center"/>
          </w:tcPr>
          <w:p w14:paraId="46BDC2C2">
            <w:pPr>
              <w:spacing w:line="400" w:lineRule="exact"/>
              <w:jc w:val="center"/>
              <w:rPr>
                <w:rFonts w:ascii="宋体" w:hAnsi="宋体" w:cs="宋体"/>
                <w:color w:val="auto"/>
                <w:sz w:val="22"/>
                <w:szCs w:val="22"/>
                <w:highlight w:val="none"/>
              </w:rPr>
            </w:pPr>
          </w:p>
        </w:tc>
      </w:tr>
      <w:tr w14:paraId="29737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211460F2">
            <w:pPr>
              <w:spacing w:line="400" w:lineRule="exact"/>
              <w:jc w:val="center"/>
              <w:rPr>
                <w:rFonts w:ascii="宋体" w:hAnsi="宋体" w:eastAsia="宋体" w:cs="宋体"/>
                <w:bCs/>
                <w:color w:val="auto"/>
                <w:kern w:val="2"/>
                <w:sz w:val="22"/>
                <w:szCs w:val="22"/>
                <w:highlight w:val="none"/>
                <w:lang w:val="en-US" w:eastAsia="zh-CN" w:bidi="ar-SA"/>
              </w:rPr>
            </w:pPr>
            <w:r>
              <w:rPr>
                <w:rFonts w:hint="eastAsia" w:ascii="宋体" w:hAnsi="宋体" w:cs="宋体"/>
                <w:color w:val="auto"/>
                <w:sz w:val="22"/>
                <w:szCs w:val="22"/>
                <w:highlight w:val="none"/>
              </w:rPr>
              <w:t>5）</w:t>
            </w:r>
          </w:p>
        </w:tc>
        <w:tc>
          <w:tcPr>
            <w:tcW w:w="7514" w:type="dxa"/>
            <w:vAlign w:val="center"/>
          </w:tcPr>
          <w:p w14:paraId="6434C8E4">
            <w:pPr>
              <w:spacing w:line="400" w:lineRule="exact"/>
              <w:rPr>
                <w:rFonts w:ascii="宋体" w:hAnsi="宋体" w:cs="宋体"/>
                <w:bCs/>
                <w:color w:val="auto"/>
                <w:sz w:val="22"/>
                <w:szCs w:val="22"/>
                <w:highlight w:val="none"/>
              </w:rPr>
            </w:pPr>
            <w:r>
              <w:rPr>
                <w:rFonts w:hint="eastAsia" w:ascii="宋体" w:hAnsi="宋体" w:cs="宋体"/>
                <w:bCs/>
                <w:color w:val="auto"/>
                <w:sz w:val="22"/>
                <w:szCs w:val="22"/>
                <w:highlight w:val="none"/>
              </w:rPr>
              <w:t>中小微企业（或监狱企业、残疾人福利单位）声明函</w:t>
            </w:r>
          </w:p>
        </w:tc>
        <w:tc>
          <w:tcPr>
            <w:tcW w:w="1523" w:type="dxa"/>
            <w:vMerge w:val="continue"/>
            <w:vAlign w:val="center"/>
          </w:tcPr>
          <w:p w14:paraId="5F67CB98">
            <w:pPr>
              <w:spacing w:line="400" w:lineRule="exact"/>
              <w:jc w:val="center"/>
              <w:rPr>
                <w:rFonts w:ascii="宋体" w:hAnsi="宋体" w:cs="宋体"/>
                <w:color w:val="auto"/>
                <w:sz w:val="22"/>
                <w:szCs w:val="22"/>
                <w:highlight w:val="none"/>
              </w:rPr>
            </w:pPr>
          </w:p>
        </w:tc>
      </w:tr>
      <w:tr w14:paraId="45B22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4C82C431">
            <w:pPr>
              <w:spacing w:line="400" w:lineRule="exact"/>
              <w:jc w:val="center"/>
              <w:rPr>
                <w:rFonts w:ascii="宋体" w:hAnsi="宋体" w:eastAsia="宋体" w:cs="宋体"/>
                <w:bCs/>
                <w:color w:val="auto"/>
                <w:kern w:val="2"/>
                <w:sz w:val="22"/>
                <w:szCs w:val="22"/>
                <w:highlight w:val="none"/>
                <w:lang w:val="en-US" w:eastAsia="zh-CN" w:bidi="ar-SA"/>
              </w:rPr>
            </w:pPr>
            <w:r>
              <w:rPr>
                <w:rFonts w:hint="eastAsia" w:ascii="宋体" w:hAnsi="宋体" w:cs="宋体"/>
                <w:color w:val="auto"/>
                <w:sz w:val="22"/>
                <w:szCs w:val="22"/>
                <w:highlight w:val="none"/>
              </w:rPr>
              <w:t>6）</w:t>
            </w:r>
          </w:p>
        </w:tc>
        <w:tc>
          <w:tcPr>
            <w:tcW w:w="7514" w:type="dxa"/>
            <w:vAlign w:val="center"/>
          </w:tcPr>
          <w:p w14:paraId="0C1B4CF1">
            <w:pPr>
              <w:spacing w:line="400" w:lineRule="exact"/>
              <w:rPr>
                <w:rFonts w:ascii="宋体" w:hAnsi="宋体" w:cs="宋体"/>
                <w:bCs/>
                <w:color w:val="auto"/>
                <w:sz w:val="22"/>
                <w:szCs w:val="22"/>
                <w:highlight w:val="none"/>
              </w:rPr>
            </w:pPr>
            <w:r>
              <w:rPr>
                <w:rFonts w:hint="eastAsia" w:ascii="宋体" w:hAnsi="宋体" w:cs="宋体"/>
                <w:bCs/>
                <w:color w:val="auto"/>
                <w:sz w:val="22"/>
                <w:szCs w:val="22"/>
                <w:highlight w:val="none"/>
              </w:rPr>
              <w:t>供应商“信用中国”(www.creditchina.gov.cn)；“中国政府采购网”（http://www.ccgp.gov.cn/）信用记录网页截图（采购公告发布之日至磋商截止时间前）；</w:t>
            </w:r>
          </w:p>
        </w:tc>
        <w:tc>
          <w:tcPr>
            <w:tcW w:w="1523" w:type="dxa"/>
            <w:vAlign w:val="center"/>
          </w:tcPr>
          <w:p w14:paraId="55985CA6">
            <w:pPr>
              <w:spacing w:line="400" w:lineRule="exact"/>
              <w:jc w:val="center"/>
              <w:rPr>
                <w:rFonts w:ascii="宋体" w:hAnsi="宋体" w:cs="宋体"/>
                <w:bCs/>
                <w:color w:val="auto"/>
                <w:sz w:val="22"/>
                <w:szCs w:val="22"/>
                <w:highlight w:val="none"/>
              </w:rPr>
            </w:pPr>
          </w:p>
        </w:tc>
      </w:tr>
      <w:tr w14:paraId="26B2F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1B0837CA">
            <w:pPr>
              <w:spacing w:line="400" w:lineRule="exact"/>
              <w:jc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7）</w:t>
            </w:r>
          </w:p>
        </w:tc>
        <w:tc>
          <w:tcPr>
            <w:tcW w:w="7514" w:type="dxa"/>
            <w:vAlign w:val="center"/>
          </w:tcPr>
          <w:p w14:paraId="793495DF">
            <w:pPr>
              <w:spacing w:line="400" w:lineRule="exact"/>
              <w:rPr>
                <w:rFonts w:ascii="宋体" w:hAnsi="宋体" w:cs="宋体"/>
                <w:bCs/>
                <w:color w:val="auto"/>
                <w:sz w:val="22"/>
                <w:szCs w:val="22"/>
                <w:highlight w:val="none"/>
              </w:rPr>
            </w:pPr>
            <w:r>
              <w:rPr>
                <w:rFonts w:hint="eastAsia" w:ascii="宋体" w:hAnsi="宋体" w:cs="宋体"/>
                <w:bCs/>
                <w:color w:val="auto"/>
                <w:sz w:val="22"/>
                <w:szCs w:val="22"/>
                <w:highlight w:val="none"/>
              </w:rPr>
              <w:t>供应商认为其他需要提供的材料</w:t>
            </w:r>
          </w:p>
        </w:tc>
        <w:tc>
          <w:tcPr>
            <w:tcW w:w="1523" w:type="dxa"/>
            <w:vAlign w:val="center"/>
          </w:tcPr>
          <w:p w14:paraId="15DD7EF6">
            <w:pPr>
              <w:spacing w:line="400" w:lineRule="exact"/>
              <w:jc w:val="center"/>
              <w:rPr>
                <w:rFonts w:ascii="宋体" w:hAnsi="宋体" w:cs="宋体"/>
                <w:bCs/>
                <w:color w:val="auto"/>
                <w:sz w:val="22"/>
                <w:szCs w:val="22"/>
                <w:highlight w:val="none"/>
              </w:rPr>
            </w:pPr>
          </w:p>
        </w:tc>
      </w:tr>
    </w:tbl>
    <w:p w14:paraId="5F07A687">
      <w:pPr>
        <w:spacing w:line="400" w:lineRule="exact"/>
        <w:ind w:left="187" w:leftChars="85" w:hanging="9" w:hangingChars="4"/>
        <w:rPr>
          <w:rFonts w:ascii="宋体" w:hAnsi="宋体" w:cs="宋体"/>
          <w:b/>
          <w:color w:val="auto"/>
          <w:sz w:val="22"/>
          <w:szCs w:val="22"/>
          <w:highlight w:val="none"/>
        </w:rPr>
      </w:pPr>
      <w:r>
        <w:rPr>
          <w:rFonts w:hint="eastAsia" w:ascii="宋体" w:hAnsi="宋体" w:cs="宋体"/>
          <w:b/>
          <w:color w:val="auto"/>
          <w:sz w:val="22"/>
          <w:szCs w:val="22"/>
          <w:highlight w:val="none"/>
        </w:rPr>
        <w:t>备注：</w:t>
      </w:r>
      <w:r>
        <w:rPr>
          <w:rFonts w:hint="eastAsia" w:ascii="宋体" w:hAnsi="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磋商响应文件中提供相关材料），证明其具备实际承担责任的能力和法定的缔结合同能力，可以独立参加政府采购活动，由单位负责人签署相关文件材料；</w:t>
      </w:r>
    </w:p>
    <w:p w14:paraId="556CAE35">
      <w:pPr>
        <w:spacing w:line="400" w:lineRule="exact"/>
        <w:rPr>
          <w:rFonts w:ascii="宋体" w:hAnsi="宋体" w:cs="宋体"/>
          <w:b/>
          <w:color w:val="auto"/>
          <w:kern w:val="0"/>
          <w:sz w:val="22"/>
          <w:szCs w:val="22"/>
          <w:highlight w:val="none"/>
        </w:rPr>
      </w:pPr>
      <w:r>
        <w:rPr>
          <w:rFonts w:hint="eastAsia" w:ascii="宋体" w:hAnsi="宋体" w:cs="宋体"/>
          <w:b/>
          <w:color w:val="auto"/>
          <w:sz w:val="22"/>
          <w:szCs w:val="22"/>
          <w:highlight w:val="none"/>
        </w:rPr>
        <w:t>（2）</w:t>
      </w:r>
      <w:r>
        <w:rPr>
          <w:rFonts w:hint="eastAsia" w:ascii="宋体" w:hAnsi="宋体" w:cs="宋体"/>
          <w:b/>
          <w:color w:val="auto"/>
          <w:kern w:val="0"/>
          <w:sz w:val="22"/>
          <w:szCs w:val="22"/>
          <w:highlight w:val="none"/>
        </w:rPr>
        <w:t>报价文件</w:t>
      </w:r>
    </w:p>
    <w:tbl>
      <w:tblPr>
        <w:tblStyle w:val="39"/>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3"/>
        <w:gridCol w:w="1524"/>
      </w:tblGrid>
      <w:tr w14:paraId="62262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59442FC">
            <w:pPr>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序号</w:t>
            </w:r>
          </w:p>
        </w:tc>
        <w:tc>
          <w:tcPr>
            <w:tcW w:w="7513" w:type="dxa"/>
            <w:vAlign w:val="center"/>
          </w:tcPr>
          <w:p w14:paraId="45DA0F0E">
            <w:pPr>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内容</w:t>
            </w:r>
          </w:p>
        </w:tc>
        <w:tc>
          <w:tcPr>
            <w:tcW w:w="1524" w:type="dxa"/>
            <w:vAlign w:val="center"/>
          </w:tcPr>
          <w:p w14:paraId="57E00662">
            <w:pPr>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备注</w:t>
            </w:r>
          </w:p>
        </w:tc>
      </w:tr>
      <w:tr w14:paraId="4B1D5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CFE1C7A">
            <w:pPr>
              <w:spacing w:line="400" w:lineRule="exact"/>
              <w:jc w:val="center"/>
              <w:rPr>
                <w:rFonts w:ascii="宋体" w:hAnsi="宋体" w:cs="宋体"/>
                <w:color w:val="auto"/>
                <w:kern w:val="0"/>
                <w:sz w:val="22"/>
                <w:szCs w:val="22"/>
                <w:highlight w:val="none"/>
              </w:rPr>
            </w:pPr>
            <w:r>
              <w:rPr>
                <w:rFonts w:hint="eastAsia" w:ascii="宋体" w:hAnsi="宋体" w:cs="宋体"/>
                <w:color w:val="auto"/>
                <w:sz w:val="22"/>
                <w:szCs w:val="22"/>
                <w:highlight w:val="none"/>
              </w:rPr>
              <w:t>1）</w:t>
            </w:r>
          </w:p>
        </w:tc>
        <w:tc>
          <w:tcPr>
            <w:tcW w:w="7513" w:type="dxa"/>
            <w:vAlign w:val="center"/>
          </w:tcPr>
          <w:p w14:paraId="1819928B">
            <w:pPr>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报价一览表</w:t>
            </w:r>
          </w:p>
        </w:tc>
        <w:tc>
          <w:tcPr>
            <w:tcW w:w="1524" w:type="dxa"/>
            <w:vAlign w:val="center"/>
          </w:tcPr>
          <w:p w14:paraId="03CD50B3">
            <w:pPr>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附件二</w:t>
            </w:r>
          </w:p>
        </w:tc>
      </w:tr>
    </w:tbl>
    <w:p w14:paraId="5CDA5A03">
      <w:pPr>
        <w:spacing w:line="400" w:lineRule="exact"/>
        <w:rPr>
          <w:rFonts w:ascii="宋体" w:hAnsi="宋体" w:cs="宋体"/>
          <w:b/>
          <w:color w:val="auto"/>
          <w:sz w:val="22"/>
          <w:szCs w:val="22"/>
          <w:highlight w:val="none"/>
        </w:rPr>
      </w:pPr>
      <w:r>
        <w:rPr>
          <w:rFonts w:hint="eastAsia" w:ascii="宋体" w:hAnsi="宋体" w:cs="宋体"/>
          <w:b/>
          <w:color w:val="auto"/>
          <w:kern w:val="0"/>
          <w:sz w:val="22"/>
          <w:szCs w:val="22"/>
          <w:highlight w:val="none"/>
        </w:rPr>
        <w:t>（3）</w:t>
      </w:r>
      <w:r>
        <w:rPr>
          <w:rFonts w:hint="eastAsia" w:ascii="宋体" w:hAnsi="宋体" w:cs="宋体"/>
          <w:b/>
          <w:color w:val="auto"/>
          <w:sz w:val="22"/>
          <w:szCs w:val="22"/>
          <w:highlight w:val="none"/>
        </w:rPr>
        <w:t>商务技术文件</w:t>
      </w:r>
    </w:p>
    <w:tbl>
      <w:tblPr>
        <w:tblStyle w:val="3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3"/>
        <w:gridCol w:w="1524"/>
      </w:tblGrid>
      <w:tr w14:paraId="06BEC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3FE4A3D4">
            <w:pPr>
              <w:spacing w:line="40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7513" w:type="dxa"/>
            <w:vAlign w:val="center"/>
          </w:tcPr>
          <w:p w14:paraId="1B839036">
            <w:pPr>
              <w:spacing w:line="400" w:lineRule="exact"/>
              <w:rPr>
                <w:rFonts w:ascii="宋体" w:hAnsi="宋体" w:cs="宋体"/>
                <w:b/>
                <w:color w:val="auto"/>
                <w:sz w:val="22"/>
                <w:szCs w:val="22"/>
                <w:highlight w:val="none"/>
              </w:rPr>
            </w:pPr>
            <w:r>
              <w:rPr>
                <w:rFonts w:hint="eastAsia" w:ascii="宋体" w:hAnsi="宋体" w:cs="宋体"/>
                <w:b/>
                <w:color w:val="auto"/>
                <w:sz w:val="22"/>
                <w:szCs w:val="22"/>
                <w:highlight w:val="none"/>
              </w:rPr>
              <w:t>内容</w:t>
            </w:r>
          </w:p>
        </w:tc>
        <w:tc>
          <w:tcPr>
            <w:tcW w:w="1524" w:type="dxa"/>
            <w:vAlign w:val="center"/>
          </w:tcPr>
          <w:p w14:paraId="0E80AC34">
            <w:pPr>
              <w:spacing w:line="40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备 注</w:t>
            </w:r>
          </w:p>
        </w:tc>
      </w:tr>
      <w:tr w14:paraId="3291A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7CA760E6">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7513" w:type="dxa"/>
            <w:vAlign w:val="center"/>
          </w:tcPr>
          <w:p w14:paraId="4AC06680">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磋商函</w:t>
            </w:r>
          </w:p>
        </w:tc>
        <w:tc>
          <w:tcPr>
            <w:tcW w:w="1524" w:type="dxa"/>
            <w:vAlign w:val="center"/>
          </w:tcPr>
          <w:p w14:paraId="0BA2AF05">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附件三</w:t>
            </w:r>
          </w:p>
        </w:tc>
      </w:tr>
      <w:tr w14:paraId="4FCE0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2C1156CB">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7513" w:type="dxa"/>
            <w:vAlign w:val="center"/>
          </w:tcPr>
          <w:p w14:paraId="7FE0D7D5">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技术规格、商务条款偏离表</w:t>
            </w:r>
          </w:p>
        </w:tc>
        <w:tc>
          <w:tcPr>
            <w:tcW w:w="1524" w:type="dxa"/>
            <w:vAlign w:val="center"/>
          </w:tcPr>
          <w:p w14:paraId="465E4D8F">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附件四</w:t>
            </w:r>
          </w:p>
        </w:tc>
      </w:tr>
      <w:tr w14:paraId="0B8BD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4337EE60">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7513" w:type="dxa"/>
            <w:vAlign w:val="center"/>
          </w:tcPr>
          <w:p w14:paraId="389841B4">
            <w:pPr>
              <w:spacing w:line="400" w:lineRule="exact"/>
              <w:rPr>
                <w:rFonts w:ascii="宋体" w:hAnsi="宋体" w:cs="宋体"/>
                <w:color w:val="auto"/>
                <w:sz w:val="22"/>
                <w:szCs w:val="22"/>
                <w:highlight w:val="none"/>
              </w:rPr>
            </w:pPr>
            <w:r>
              <w:rPr>
                <w:rFonts w:hint="eastAsia" w:ascii="宋体" w:hAnsi="宋体" w:cs="宋体"/>
                <w:b/>
                <w:bCs/>
                <w:color w:val="auto"/>
                <w:sz w:val="22"/>
                <w:szCs w:val="22"/>
                <w:highlight w:val="none"/>
              </w:rPr>
              <w:t>投标技术方案（按“评标细则”相关评分内容逐项编制，格式自拟）</w:t>
            </w:r>
          </w:p>
        </w:tc>
        <w:tc>
          <w:tcPr>
            <w:tcW w:w="1524" w:type="dxa"/>
            <w:vAlign w:val="center"/>
          </w:tcPr>
          <w:p w14:paraId="65ABF1BA">
            <w:pPr>
              <w:spacing w:line="400" w:lineRule="exact"/>
              <w:jc w:val="center"/>
              <w:rPr>
                <w:rFonts w:ascii="宋体" w:hAnsi="宋体" w:cs="宋体"/>
                <w:color w:val="auto"/>
                <w:sz w:val="22"/>
                <w:szCs w:val="22"/>
                <w:highlight w:val="none"/>
              </w:rPr>
            </w:pPr>
          </w:p>
        </w:tc>
      </w:tr>
      <w:tr w14:paraId="2F26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397BF432">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7513" w:type="dxa"/>
            <w:vAlign w:val="center"/>
          </w:tcPr>
          <w:p w14:paraId="3C07E7BE">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服务保证措施资信证明文件（本部分为商务技术文件评分内容，各供应商参照评分标准根据自身情况提供）</w:t>
            </w:r>
          </w:p>
        </w:tc>
        <w:tc>
          <w:tcPr>
            <w:tcW w:w="1524" w:type="dxa"/>
            <w:vAlign w:val="center"/>
          </w:tcPr>
          <w:p w14:paraId="370606E4">
            <w:pPr>
              <w:spacing w:line="400" w:lineRule="exact"/>
              <w:jc w:val="center"/>
              <w:rPr>
                <w:rFonts w:ascii="宋体" w:hAnsi="宋体" w:cs="宋体"/>
                <w:color w:val="auto"/>
                <w:sz w:val="22"/>
                <w:szCs w:val="22"/>
                <w:highlight w:val="none"/>
              </w:rPr>
            </w:pPr>
          </w:p>
        </w:tc>
      </w:tr>
      <w:tr w14:paraId="036EA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21662929">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7513" w:type="dxa"/>
            <w:vAlign w:val="center"/>
          </w:tcPr>
          <w:p w14:paraId="1227ABEF">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结合</w:t>
            </w:r>
            <w:r>
              <w:rPr>
                <w:rFonts w:hint="eastAsia" w:ascii="宋体" w:hAnsi="宋体" w:cs="宋体"/>
                <w:color w:val="auto"/>
                <w:sz w:val="22"/>
                <w:szCs w:val="22"/>
                <w:highlight w:val="none"/>
                <w:lang w:eastAsia="zh-CN"/>
              </w:rPr>
              <w:t>磋商文件</w:t>
            </w:r>
            <w:r>
              <w:rPr>
                <w:rFonts w:hint="eastAsia" w:ascii="宋体" w:hAnsi="宋体" w:cs="宋体"/>
                <w:color w:val="auto"/>
                <w:sz w:val="22"/>
                <w:szCs w:val="22"/>
                <w:highlight w:val="none"/>
              </w:rPr>
              <w:t>评分细则供应商认为需要提供的其他技术资料</w:t>
            </w:r>
          </w:p>
        </w:tc>
        <w:tc>
          <w:tcPr>
            <w:tcW w:w="1524" w:type="dxa"/>
            <w:vAlign w:val="center"/>
          </w:tcPr>
          <w:p w14:paraId="18C875D7">
            <w:pPr>
              <w:spacing w:line="400" w:lineRule="exact"/>
              <w:jc w:val="center"/>
              <w:rPr>
                <w:rFonts w:ascii="宋体" w:hAnsi="宋体" w:cs="宋体"/>
                <w:color w:val="auto"/>
                <w:sz w:val="22"/>
                <w:szCs w:val="22"/>
                <w:highlight w:val="none"/>
              </w:rPr>
            </w:pPr>
          </w:p>
        </w:tc>
      </w:tr>
    </w:tbl>
    <w:p w14:paraId="6BCA2582">
      <w:pPr>
        <w:spacing w:line="400" w:lineRule="exact"/>
        <w:ind w:left="187" w:leftChars="85" w:hanging="9" w:hangingChars="4"/>
        <w:rPr>
          <w:rFonts w:ascii="宋体" w:hAnsi="宋体" w:cs="宋体"/>
          <w:bCs/>
          <w:color w:val="auto"/>
          <w:sz w:val="22"/>
          <w:szCs w:val="22"/>
          <w:highlight w:val="none"/>
        </w:rPr>
      </w:pPr>
      <w:r>
        <w:rPr>
          <w:rFonts w:hint="eastAsia" w:ascii="宋体" w:hAnsi="宋体" w:cs="宋体"/>
          <w:b/>
          <w:color w:val="auto"/>
          <w:sz w:val="22"/>
          <w:szCs w:val="22"/>
          <w:highlight w:val="none"/>
        </w:rPr>
        <w:t>说明：</w:t>
      </w:r>
    </w:p>
    <w:p w14:paraId="7B502C3F">
      <w:pPr>
        <w:numPr>
          <w:ilvl w:val="0"/>
          <w:numId w:val="13"/>
        </w:num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供应商可根据磋商文件中的采购内容及需求和商务技术文件评分细则，提供供应商认为需要提供的文件和资料。</w:t>
      </w:r>
    </w:p>
    <w:p w14:paraId="2CC7997B">
      <w:pPr>
        <w:numPr>
          <w:ilvl w:val="0"/>
          <w:numId w:val="13"/>
        </w:num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磋商响应文件中应承诺：供应商所提供的技术资料的所有权归采购人所有。如若发生第三方侵权事件，其侵权责任与采购人及采购代理机构无关，由供应商承担全部责任。侵权造成的所有相关费用，均由供应商支付，保证不伤害采购人的利益。</w:t>
      </w:r>
    </w:p>
    <w:p w14:paraId="13F5E677">
      <w:pPr>
        <w:numPr>
          <w:ilvl w:val="0"/>
          <w:numId w:val="13"/>
        </w:num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以上所需的各种证书、证件、证明等若系复印件、扫描件，须加盖供应商有效的公章。</w:t>
      </w:r>
    </w:p>
    <w:p w14:paraId="663EE14D">
      <w:pPr>
        <w:numPr>
          <w:ilvl w:val="0"/>
          <w:numId w:val="13"/>
        </w:num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相关证书、报告等如遇年检或换证等特殊情况须按要求提供相应的证明材料。</w:t>
      </w:r>
    </w:p>
    <w:p w14:paraId="1D74DBEC">
      <w:pPr>
        <w:numPr>
          <w:ilvl w:val="0"/>
          <w:numId w:val="12"/>
        </w:numPr>
        <w:spacing w:line="400" w:lineRule="exact"/>
        <w:rPr>
          <w:rFonts w:ascii="宋体" w:hAnsi="宋体" w:cs="宋体"/>
          <w:bCs/>
          <w:color w:val="auto"/>
          <w:sz w:val="22"/>
          <w:szCs w:val="22"/>
          <w:highlight w:val="none"/>
        </w:rPr>
      </w:pPr>
      <w:r>
        <w:rPr>
          <w:rFonts w:hint="eastAsia" w:ascii="宋体" w:hAnsi="宋体" w:cs="宋体"/>
          <w:bCs/>
          <w:color w:val="auto"/>
          <w:sz w:val="22"/>
          <w:szCs w:val="22"/>
          <w:highlight w:val="none"/>
        </w:rPr>
        <w:t>磋商响应文件编制</w:t>
      </w:r>
    </w:p>
    <w:p w14:paraId="6AAEE0DC">
      <w:pPr>
        <w:numPr>
          <w:ilvl w:val="1"/>
          <w:numId w:val="14"/>
        </w:numPr>
        <w:tabs>
          <w:tab w:val="left" w:pos="220"/>
          <w:tab w:val="clear" w:pos="992"/>
        </w:tabs>
        <w:spacing w:line="400" w:lineRule="exact"/>
        <w:ind w:left="420" w:hanging="347"/>
        <w:rPr>
          <w:rFonts w:ascii="宋体" w:hAnsi="宋体" w:cs="宋体"/>
          <w:color w:val="auto"/>
          <w:sz w:val="22"/>
          <w:szCs w:val="22"/>
          <w:highlight w:val="none"/>
        </w:rPr>
      </w:pPr>
      <w:r>
        <w:rPr>
          <w:rFonts w:hint="eastAsia" w:ascii="宋体" w:hAnsi="宋体" w:cs="宋体"/>
          <w:color w:val="auto"/>
          <w:sz w:val="22"/>
          <w:szCs w:val="22"/>
          <w:highlight w:val="none"/>
        </w:rPr>
        <w:t>本项目通过“政采云平台（www.zcygov.cn）”实行在线投标响应（电子投标）。供应商应通过“政采云电子交易客户端”，并按照本磋商文件和“政采云平台”的要求编制并加密磋商响应文件。</w:t>
      </w:r>
    </w:p>
    <w:p w14:paraId="0BC811A0">
      <w:pPr>
        <w:numPr>
          <w:ilvl w:val="1"/>
          <w:numId w:val="14"/>
        </w:numPr>
        <w:tabs>
          <w:tab w:val="left" w:pos="220"/>
          <w:tab w:val="clear" w:pos="992"/>
        </w:tabs>
        <w:spacing w:line="400" w:lineRule="exact"/>
        <w:ind w:left="420" w:hanging="347"/>
        <w:rPr>
          <w:rFonts w:ascii="宋体" w:hAnsi="宋体" w:cs="宋体"/>
          <w:b/>
          <w:bCs/>
          <w:color w:val="auto"/>
          <w:sz w:val="22"/>
          <w:szCs w:val="22"/>
          <w:highlight w:val="none"/>
        </w:rPr>
      </w:pPr>
      <w:r>
        <w:rPr>
          <w:rFonts w:hint="eastAsia" w:ascii="宋体" w:hAnsi="宋体" w:cs="宋体"/>
          <w:b/>
          <w:bCs/>
          <w:color w:val="auto"/>
          <w:sz w:val="22"/>
          <w:szCs w:val="22"/>
          <w:highlight w:val="none"/>
        </w:rPr>
        <w:t>▲供应商提供的联系方式（手机号码、联系邮箱、联系地址），均以法定代表人声明书或法定代表人授权委托书上注明的联系方式为准，供应商必须保障其联系方式保持畅通。否则由此造成的后果均</w:t>
      </w:r>
      <w:r>
        <w:rPr>
          <w:rFonts w:hint="eastAsia" w:ascii="宋体" w:hAnsi="宋体" w:cs="宋体"/>
          <w:b/>
          <w:bCs/>
          <w:color w:val="auto"/>
          <w:sz w:val="22"/>
          <w:szCs w:val="22"/>
          <w:highlight w:val="none"/>
          <w:lang w:eastAsia="zh-CN"/>
        </w:rPr>
        <w:t>由</w:t>
      </w:r>
      <w:r>
        <w:rPr>
          <w:rFonts w:hint="eastAsia" w:ascii="宋体" w:hAnsi="宋体" w:cs="宋体"/>
          <w:b/>
          <w:bCs/>
          <w:color w:val="auto"/>
          <w:sz w:val="22"/>
          <w:szCs w:val="22"/>
          <w:highlight w:val="none"/>
        </w:rPr>
        <w:t>供应商自行承担。</w:t>
      </w:r>
    </w:p>
    <w:p w14:paraId="4CC56457">
      <w:pPr>
        <w:numPr>
          <w:ilvl w:val="1"/>
          <w:numId w:val="14"/>
        </w:numPr>
        <w:tabs>
          <w:tab w:val="left" w:pos="220"/>
          <w:tab w:val="clear" w:pos="992"/>
        </w:tabs>
        <w:spacing w:line="400" w:lineRule="exact"/>
        <w:ind w:left="420" w:hanging="347"/>
        <w:rPr>
          <w:rFonts w:ascii="宋体" w:hAnsi="宋体" w:cs="宋体"/>
          <w:color w:val="auto"/>
          <w:sz w:val="22"/>
          <w:szCs w:val="22"/>
          <w:highlight w:val="none"/>
        </w:rPr>
      </w:pPr>
      <w:r>
        <w:rPr>
          <w:rFonts w:hint="eastAsia" w:ascii="宋体" w:hAnsi="宋体" w:cs="宋体"/>
          <w:color w:val="auto"/>
          <w:sz w:val="22"/>
          <w:szCs w:val="22"/>
          <w:highlight w:val="none"/>
        </w:rPr>
        <w:t>本磋商文件“第五部分 ”中有提供格式的，供应商须参照格式进行编制（格式中要求提供相关证明材料的还需后附相关证明材料），并按格式要求在指定位置根据要求进行签章，否则视为未提供；本文件未提供格式的，请各供应商自行拟定格式，并加盖单位公章并由法定代表人或其授权代表签署（签字或盖章），否则视为未提供。</w:t>
      </w:r>
    </w:p>
    <w:p w14:paraId="7E94A292">
      <w:pPr>
        <w:numPr>
          <w:ilvl w:val="1"/>
          <w:numId w:val="14"/>
        </w:numPr>
        <w:tabs>
          <w:tab w:val="left" w:pos="220"/>
          <w:tab w:val="clear" w:pos="992"/>
        </w:tabs>
        <w:spacing w:line="400" w:lineRule="exact"/>
        <w:ind w:left="420" w:hanging="347"/>
        <w:rPr>
          <w:rFonts w:ascii="宋体" w:hAnsi="宋体" w:cs="宋体"/>
          <w:color w:val="auto"/>
          <w:sz w:val="22"/>
          <w:szCs w:val="22"/>
          <w:highlight w:val="none"/>
        </w:rPr>
      </w:pPr>
      <w:r>
        <w:rPr>
          <w:rFonts w:hint="eastAsia" w:ascii="宋体" w:hAnsi="宋体" w:cs="宋体"/>
          <w:color w:val="auto"/>
          <w:sz w:val="22"/>
          <w:szCs w:val="22"/>
          <w:highlight w:val="none"/>
        </w:rPr>
        <w:t>磋商响应文件内容不完整、编排混乱导致磋商响应文件被误读、漏读或者查找不到相关内容的，是供应商的责任。</w:t>
      </w:r>
    </w:p>
    <w:p w14:paraId="0F7DCD46">
      <w:pPr>
        <w:numPr>
          <w:ilvl w:val="1"/>
          <w:numId w:val="14"/>
        </w:numPr>
        <w:tabs>
          <w:tab w:val="left" w:pos="220"/>
          <w:tab w:val="clear" w:pos="992"/>
        </w:tabs>
        <w:spacing w:line="400" w:lineRule="exact"/>
        <w:ind w:left="420" w:hanging="347"/>
        <w:rPr>
          <w:rFonts w:ascii="宋体" w:hAnsi="宋体" w:cs="宋体"/>
          <w:color w:val="auto"/>
          <w:sz w:val="22"/>
          <w:szCs w:val="22"/>
          <w:highlight w:val="none"/>
        </w:rPr>
      </w:pPr>
      <w:r>
        <w:rPr>
          <w:rFonts w:hint="eastAsia" w:ascii="宋体" w:hAnsi="宋体" w:cs="宋体"/>
          <w:color w:val="auto"/>
          <w:sz w:val="22"/>
          <w:szCs w:val="22"/>
          <w:highlight w:val="none"/>
        </w:rPr>
        <w:t>磋商响应文件因字迹潦草或表达不清所引起的后果由供应商负责。</w:t>
      </w:r>
    </w:p>
    <w:p w14:paraId="11B48992">
      <w:pPr>
        <w:numPr>
          <w:ilvl w:val="1"/>
          <w:numId w:val="14"/>
        </w:numPr>
        <w:tabs>
          <w:tab w:val="left" w:pos="220"/>
          <w:tab w:val="clear" w:pos="992"/>
        </w:tabs>
        <w:spacing w:line="400" w:lineRule="exact"/>
        <w:ind w:left="420" w:hanging="347"/>
        <w:rPr>
          <w:rFonts w:ascii="宋体" w:hAnsi="宋体" w:cs="宋体"/>
          <w:color w:val="auto"/>
          <w:sz w:val="22"/>
          <w:szCs w:val="22"/>
          <w:highlight w:val="none"/>
        </w:rPr>
      </w:pPr>
      <w:r>
        <w:rPr>
          <w:rFonts w:hint="eastAsia" w:ascii="宋体" w:hAnsi="宋体" w:cs="宋体"/>
          <w:color w:val="auto"/>
          <w:sz w:val="22"/>
          <w:szCs w:val="22"/>
          <w:highlight w:val="none"/>
        </w:rPr>
        <w:t>供应商没有按照本章节 “磋商响应文件组成”要求提供全部资料，或者没有仔细阅读磋商文件，或者没有对磋商文件在各方面的要求作出实质性响应是供应商的风险，由此造成的一切后果由供应商自行承担。</w:t>
      </w:r>
    </w:p>
    <w:p w14:paraId="2484BC03">
      <w:pPr>
        <w:numPr>
          <w:ilvl w:val="0"/>
          <w:numId w:val="12"/>
        </w:numPr>
        <w:spacing w:line="400" w:lineRule="exact"/>
        <w:rPr>
          <w:rFonts w:ascii="宋体" w:hAnsi="宋体" w:cs="宋体"/>
          <w:bCs/>
          <w:color w:val="auto"/>
          <w:sz w:val="22"/>
          <w:szCs w:val="22"/>
          <w:highlight w:val="none"/>
        </w:rPr>
      </w:pPr>
      <w:r>
        <w:rPr>
          <w:rFonts w:hint="eastAsia" w:ascii="宋体" w:hAnsi="宋体" w:cs="宋体"/>
          <w:bCs/>
          <w:color w:val="auto"/>
          <w:sz w:val="22"/>
          <w:szCs w:val="22"/>
          <w:highlight w:val="none"/>
        </w:rPr>
        <w:t>磋商响应文件的签章</w:t>
      </w:r>
    </w:p>
    <w:p w14:paraId="012EFF82">
      <w:pPr>
        <w:numPr>
          <w:ilvl w:val="1"/>
          <w:numId w:val="15"/>
        </w:numPr>
        <w:tabs>
          <w:tab w:val="left" w:pos="420"/>
          <w:tab w:val="left" w:pos="525"/>
          <w:tab w:val="clear" w:pos="992"/>
        </w:tabs>
        <w:spacing w:line="40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磋商响应文件的签章要求：供应商须知前附表第17款；</w:t>
      </w:r>
    </w:p>
    <w:p w14:paraId="0D0DA966">
      <w:pPr>
        <w:numPr>
          <w:ilvl w:val="1"/>
          <w:numId w:val="15"/>
        </w:numPr>
        <w:tabs>
          <w:tab w:val="left" w:pos="420"/>
          <w:tab w:val="left" w:pos="525"/>
          <w:tab w:val="clear" w:pos="992"/>
        </w:tabs>
        <w:spacing w:line="40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磋商响应文件应由供应商法定代表人或其授权代表签章（电子签章），并同时加盖供应商公章（电子签章）。</w:t>
      </w:r>
      <w:r>
        <w:rPr>
          <w:rFonts w:hint="eastAsia" w:ascii="宋体" w:hAnsi="宋体" w:cs="宋体"/>
          <w:color w:val="auto"/>
          <w:kern w:val="0"/>
          <w:sz w:val="22"/>
          <w:szCs w:val="22"/>
          <w:highlight w:val="none"/>
          <w:lang w:val="zh-CN"/>
        </w:rPr>
        <w:t>（或先制作word版打印，相应位置签字或盖章后再扫描上传）</w:t>
      </w:r>
    </w:p>
    <w:p w14:paraId="3E43576C">
      <w:pPr>
        <w:numPr>
          <w:ilvl w:val="0"/>
          <w:numId w:val="12"/>
        </w:numPr>
        <w:spacing w:line="400" w:lineRule="exact"/>
        <w:rPr>
          <w:rFonts w:ascii="宋体" w:hAnsi="宋体" w:cs="宋体"/>
          <w:bCs/>
          <w:color w:val="auto"/>
          <w:sz w:val="22"/>
          <w:szCs w:val="22"/>
          <w:highlight w:val="none"/>
        </w:rPr>
      </w:pPr>
      <w:r>
        <w:rPr>
          <w:rFonts w:hint="eastAsia" w:ascii="宋体" w:hAnsi="宋体" w:cs="宋体"/>
          <w:bCs/>
          <w:color w:val="auto"/>
          <w:sz w:val="22"/>
          <w:szCs w:val="22"/>
          <w:highlight w:val="none"/>
        </w:rPr>
        <w:t>磋商响应文件的形式</w:t>
      </w:r>
    </w:p>
    <w:p w14:paraId="406E3C95">
      <w:pPr>
        <w:tabs>
          <w:tab w:val="left" w:pos="360"/>
        </w:tabs>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磋商响应文件的形式：见供应商须知前附表第18款；</w:t>
      </w:r>
    </w:p>
    <w:p w14:paraId="2E6577BE">
      <w:pPr>
        <w:numPr>
          <w:ilvl w:val="0"/>
          <w:numId w:val="12"/>
        </w:numPr>
        <w:spacing w:line="400" w:lineRule="exact"/>
        <w:rPr>
          <w:rFonts w:ascii="宋体" w:hAnsi="宋体" w:cs="宋体"/>
          <w:bCs/>
          <w:color w:val="auto"/>
          <w:sz w:val="22"/>
          <w:szCs w:val="22"/>
          <w:highlight w:val="none"/>
        </w:rPr>
      </w:pPr>
      <w:r>
        <w:rPr>
          <w:rFonts w:hint="eastAsia" w:ascii="宋体" w:hAnsi="宋体" w:cs="宋体"/>
          <w:bCs/>
          <w:color w:val="auto"/>
          <w:sz w:val="22"/>
          <w:szCs w:val="22"/>
          <w:highlight w:val="none"/>
        </w:rPr>
        <w:t>政采云系统默认供应商自动放弃的情形</w:t>
      </w:r>
    </w:p>
    <w:p w14:paraId="69DE15FF">
      <w:pPr>
        <w:tabs>
          <w:tab w:val="left" w:pos="5355"/>
        </w:tabs>
        <w:spacing w:line="400" w:lineRule="exact"/>
        <w:ind w:firstLine="220" w:firstLineChars="100"/>
        <w:rPr>
          <w:rFonts w:ascii="宋体" w:hAnsi="宋体" w:cs="宋体"/>
          <w:color w:val="auto"/>
          <w:sz w:val="22"/>
          <w:szCs w:val="22"/>
          <w:highlight w:val="none"/>
        </w:rPr>
      </w:pPr>
      <w:r>
        <w:rPr>
          <w:rFonts w:hint="eastAsia" w:ascii="宋体" w:hAnsi="宋体" w:cs="宋体"/>
          <w:color w:val="auto"/>
          <w:kern w:val="0"/>
          <w:sz w:val="22"/>
          <w:szCs w:val="22"/>
          <w:highlight w:val="none"/>
        </w:rPr>
        <w:t>政采云系统默认供应商自动放弃的情形</w:t>
      </w:r>
      <w:r>
        <w:rPr>
          <w:rFonts w:hint="eastAsia" w:ascii="宋体" w:hAnsi="宋体" w:cs="宋体"/>
          <w:color w:val="auto"/>
          <w:sz w:val="22"/>
          <w:szCs w:val="22"/>
          <w:highlight w:val="none"/>
        </w:rPr>
        <w:t>：见供应商须知前附表第21款。</w:t>
      </w:r>
    </w:p>
    <w:p w14:paraId="639BA8A8">
      <w:pPr>
        <w:numPr>
          <w:ilvl w:val="0"/>
          <w:numId w:val="12"/>
        </w:numPr>
        <w:spacing w:line="400" w:lineRule="exact"/>
        <w:ind w:hanging="562"/>
        <w:rPr>
          <w:rFonts w:ascii="宋体" w:hAnsi="宋体" w:cs="宋体"/>
          <w:color w:val="auto"/>
          <w:sz w:val="22"/>
          <w:szCs w:val="22"/>
          <w:highlight w:val="none"/>
        </w:rPr>
      </w:pPr>
      <w:r>
        <w:rPr>
          <w:rFonts w:hint="eastAsia" w:ascii="宋体" w:hAnsi="宋体" w:cs="宋体"/>
          <w:bCs/>
          <w:color w:val="auto"/>
          <w:sz w:val="22"/>
          <w:szCs w:val="22"/>
          <w:highlight w:val="none"/>
        </w:rPr>
        <w:t>磋商报价</w:t>
      </w:r>
    </w:p>
    <w:p w14:paraId="09AC13F7">
      <w:pPr>
        <w:numPr>
          <w:ilvl w:val="1"/>
          <w:numId w:val="16"/>
        </w:numPr>
        <w:tabs>
          <w:tab w:val="left" w:pos="420"/>
          <w:tab w:val="left" w:pos="525"/>
          <w:tab w:val="clear" w:pos="992"/>
        </w:tabs>
        <w:spacing w:line="40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w:t>
      </w:r>
      <w:r>
        <w:rPr>
          <w:rFonts w:hint="eastAsia" w:ascii="宋体" w:hAnsi="宋体" w:cs="宋体"/>
          <w:b/>
          <w:bCs/>
          <w:color w:val="auto"/>
          <w:sz w:val="22"/>
          <w:szCs w:val="22"/>
          <w:highlight w:val="none"/>
          <w:u w:val="single"/>
        </w:rPr>
        <w:t>磋商报价是指在正确地完全履行合同义务后采购人应支付给成交供应商的合同价款，包</w:t>
      </w:r>
      <w:r>
        <w:rPr>
          <w:rFonts w:hint="eastAsia" w:ascii="宋体" w:hAnsi="宋体" w:eastAsia="宋体" w:cs="宋体"/>
          <w:b/>
          <w:bCs/>
          <w:color w:val="auto"/>
          <w:sz w:val="22"/>
          <w:szCs w:val="22"/>
          <w:highlight w:val="none"/>
          <w:u w:val="single"/>
        </w:rPr>
        <w:t>括人员工资福利、各种社会保险、人员食宿与交通、人员培训、办公费、利润及应缴纳的税金、其他不可预见费用、安全事故处理、采购代理服务费等全部本身和不可或缺的所有工作开支等各项全部费用并承担一切风险责任。供应商应根据上述因素自行考虑含入磋商报价。</w:t>
      </w:r>
    </w:p>
    <w:p w14:paraId="3824C1B5">
      <w:pPr>
        <w:numPr>
          <w:ilvl w:val="1"/>
          <w:numId w:val="16"/>
        </w:numPr>
        <w:tabs>
          <w:tab w:val="left" w:pos="420"/>
          <w:tab w:val="left" w:pos="525"/>
          <w:tab w:val="clear" w:pos="992"/>
        </w:tabs>
        <w:spacing w:line="40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供应商须认真阅读、充分理解磋商文件，如有疑问可在询疑截止时间前送达（或传真）招标代理机构，招标代理机构将会统一解答。任何因对本项目磋商文件理解不清、产生歧义等由此产生的费用，视作</w:t>
      </w:r>
      <w:r>
        <w:rPr>
          <w:rFonts w:hint="eastAsia" w:ascii="宋体" w:hAnsi="宋体" w:cs="宋体"/>
          <w:color w:val="auto"/>
          <w:sz w:val="22"/>
          <w:szCs w:val="22"/>
          <w:highlight w:val="none"/>
          <w:lang w:val="en-US" w:eastAsia="zh-CN"/>
        </w:rPr>
        <w:t>已</w:t>
      </w:r>
      <w:r>
        <w:rPr>
          <w:rFonts w:hint="eastAsia" w:ascii="宋体" w:hAnsi="宋体" w:cs="宋体"/>
          <w:color w:val="auto"/>
          <w:sz w:val="22"/>
          <w:szCs w:val="22"/>
          <w:highlight w:val="none"/>
        </w:rPr>
        <w:t>含在投标总价中。</w:t>
      </w:r>
    </w:p>
    <w:p w14:paraId="1EE94E2B">
      <w:pPr>
        <w:numPr>
          <w:ilvl w:val="1"/>
          <w:numId w:val="16"/>
        </w:numPr>
        <w:tabs>
          <w:tab w:val="left" w:pos="420"/>
          <w:tab w:val="left" w:pos="525"/>
          <w:tab w:val="clear" w:pos="992"/>
        </w:tabs>
        <w:spacing w:line="40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所有报价均以人民币报价，</w:t>
      </w:r>
      <w:r>
        <w:rPr>
          <w:rFonts w:hint="eastAsia" w:ascii="宋体" w:hAnsi="宋体" w:cs="宋体"/>
          <w:color w:val="auto"/>
          <w:sz w:val="22"/>
          <w:szCs w:val="22"/>
          <w:highlight w:val="none"/>
          <w:lang w:eastAsia="zh-CN"/>
        </w:rPr>
        <w:t>以其他</w:t>
      </w:r>
      <w:r>
        <w:rPr>
          <w:rFonts w:hint="eastAsia" w:ascii="宋体" w:hAnsi="宋体" w:cs="宋体"/>
          <w:color w:val="auto"/>
          <w:sz w:val="22"/>
          <w:szCs w:val="22"/>
          <w:highlight w:val="none"/>
        </w:rPr>
        <w:t>货币报价的磋商不予接受。</w:t>
      </w:r>
    </w:p>
    <w:p w14:paraId="412D0CCC">
      <w:pPr>
        <w:numPr>
          <w:ilvl w:val="1"/>
          <w:numId w:val="16"/>
        </w:numPr>
        <w:tabs>
          <w:tab w:val="left" w:pos="420"/>
          <w:tab w:val="left" w:pos="525"/>
          <w:tab w:val="clear" w:pos="992"/>
        </w:tabs>
        <w:spacing w:line="40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采购人不接受任何选择报价，对每项内容只允许一个报价。</w:t>
      </w:r>
    </w:p>
    <w:p w14:paraId="59A04D1D">
      <w:pPr>
        <w:numPr>
          <w:ilvl w:val="1"/>
          <w:numId w:val="16"/>
        </w:numPr>
        <w:tabs>
          <w:tab w:val="left" w:pos="420"/>
          <w:tab w:val="left" w:pos="525"/>
          <w:tab w:val="clear" w:pos="992"/>
        </w:tabs>
        <w:spacing w:line="40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采购人要求分类报价是为了方便评标，但在任何情况下不限制采购人以其认为最合适的条款、条件签订合同的权利。</w:t>
      </w:r>
    </w:p>
    <w:p w14:paraId="44C5B9D0">
      <w:pPr>
        <w:numPr>
          <w:ilvl w:val="1"/>
          <w:numId w:val="16"/>
        </w:numPr>
        <w:tabs>
          <w:tab w:val="left" w:pos="420"/>
          <w:tab w:val="left" w:pos="525"/>
          <w:tab w:val="clear" w:pos="992"/>
        </w:tabs>
        <w:spacing w:line="400" w:lineRule="exact"/>
        <w:ind w:left="640"/>
        <w:rPr>
          <w:rFonts w:ascii="宋体" w:hAnsi="宋体" w:cs="宋体"/>
          <w:b/>
          <w:bCs/>
          <w:color w:val="auto"/>
          <w:sz w:val="22"/>
          <w:szCs w:val="22"/>
          <w:highlight w:val="none"/>
        </w:rPr>
      </w:pPr>
      <w:r>
        <w:rPr>
          <w:rFonts w:hint="eastAsia" w:ascii="宋体" w:hAnsi="宋体" w:cs="宋体"/>
          <w:b/>
          <w:bCs/>
          <w:color w:val="auto"/>
          <w:sz w:val="22"/>
          <w:szCs w:val="22"/>
          <w:highlight w:val="none"/>
        </w:rPr>
        <w:t>磋商供应商所报的价格在合同执行过程中是固定不变的，不得以任何理由予以变更。任何包含价格调整的要求，将被认为是非实质性响应报价而予以拒绝。</w:t>
      </w:r>
    </w:p>
    <w:p w14:paraId="55A6DB24">
      <w:pPr>
        <w:numPr>
          <w:ilvl w:val="1"/>
          <w:numId w:val="16"/>
        </w:numPr>
        <w:tabs>
          <w:tab w:val="left" w:pos="420"/>
          <w:tab w:val="left" w:pos="525"/>
          <w:tab w:val="clear" w:pos="992"/>
        </w:tabs>
        <w:spacing w:line="400" w:lineRule="exact"/>
        <w:ind w:left="640"/>
        <w:rPr>
          <w:rFonts w:ascii="宋体" w:hAnsi="宋体" w:cs="宋体"/>
          <w:b/>
          <w:bCs/>
          <w:color w:val="auto"/>
          <w:sz w:val="22"/>
          <w:szCs w:val="22"/>
          <w:highlight w:val="none"/>
        </w:rPr>
      </w:pPr>
      <w:r>
        <w:rPr>
          <w:rFonts w:hint="eastAsia" w:ascii="宋体" w:hAnsi="宋体" w:cs="宋体"/>
          <w:b/>
          <w:bCs/>
          <w:color w:val="auto"/>
          <w:sz w:val="22"/>
          <w:szCs w:val="22"/>
          <w:highlight w:val="none"/>
        </w:rPr>
        <w:t>最低报价不能作为成交的保证。</w:t>
      </w:r>
    </w:p>
    <w:p w14:paraId="1F041996">
      <w:pPr>
        <w:numPr>
          <w:ilvl w:val="0"/>
          <w:numId w:val="12"/>
        </w:numPr>
        <w:spacing w:line="400" w:lineRule="exact"/>
        <w:rPr>
          <w:rFonts w:ascii="宋体" w:hAnsi="宋体" w:cs="宋体"/>
          <w:bCs/>
          <w:color w:val="auto"/>
          <w:sz w:val="22"/>
          <w:szCs w:val="22"/>
          <w:highlight w:val="none"/>
        </w:rPr>
      </w:pPr>
      <w:r>
        <w:rPr>
          <w:rFonts w:hint="eastAsia" w:ascii="宋体" w:hAnsi="宋体" w:cs="宋体"/>
          <w:bCs/>
          <w:color w:val="auto"/>
          <w:sz w:val="22"/>
          <w:szCs w:val="22"/>
          <w:highlight w:val="none"/>
        </w:rPr>
        <w:t>供应商如发生下列情况之一，将上报同级政府采购监督管理部门，追究其责任：</w:t>
      </w:r>
    </w:p>
    <w:p w14:paraId="120D4FC8">
      <w:pPr>
        <w:numPr>
          <w:ilvl w:val="0"/>
          <w:numId w:val="17"/>
        </w:numPr>
        <w:tabs>
          <w:tab w:val="left" w:pos="360"/>
          <w:tab w:val="clear" w:pos="420"/>
        </w:tabs>
        <w:spacing w:line="400" w:lineRule="exact"/>
        <w:ind w:left="720" w:hanging="720"/>
        <w:rPr>
          <w:rFonts w:ascii="宋体" w:hAnsi="宋体" w:cs="宋体"/>
          <w:color w:val="auto"/>
          <w:sz w:val="22"/>
          <w:szCs w:val="22"/>
          <w:highlight w:val="none"/>
        </w:rPr>
      </w:pPr>
      <w:r>
        <w:rPr>
          <w:rFonts w:hint="eastAsia" w:ascii="宋体" w:hAnsi="宋体" w:cs="宋体"/>
          <w:color w:val="auto"/>
          <w:sz w:val="22"/>
          <w:szCs w:val="22"/>
          <w:highlight w:val="none"/>
        </w:rPr>
        <w:t>供应商在磋商文件规定的投标有效期内撤回投标；</w:t>
      </w:r>
    </w:p>
    <w:p w14:paraId="09747421">
      <w:pPr>
        <w:numPr>
          <w:ilvl w:val="0"/>
          <w:numId w:val="17"/>
        </w:numPr>
        <w:tabs>
          <w:tab w:val="left" w:pos="360"/>
          <w:tab w:val="clear" w:pos="420"/>
        </w:tabs>
        <w:spacing w:line="400" w:lineRule="exact"/>
        <w:ind w:left="720" w:hanging="720"/>
        <w:rPr>
          <w:rFonts w:ascii="宋体" w:hAnsi="宋体" w:cs="宋体"/>
          <w:color w:val="auto"/>
          <w:sz w:val="22"/>
          <w:szCs w:val="22"/>
          <w:highlight w:val="none"/>
        </w:rPr>
      </w:pPr>
      <w:r>
        <w:rPr>
          <w:rFonts w:hint="eastAsia" w:ascii="宋体" w:hAnsi="宋体" w:cs="宋体"/>
          <w:color w:val="auto"/>
          <w:sz w:val="22"/>
          <w:szCs w:val="22"/>
          <w:highlight w:val="none"/>
        </w:rPr>
        <w:t>成交供应商未按成交通知书中规定的时间与采购人签订合同；</w:t>
      </w:r>
    </w:p>
    <w:p w14:paraId="3F2FABD9">
      <w:pPr>
        <w:numPr>
          <w:ilvl w:val="0"/>
          <w:numId w:val="17"/>
        </w:numPr>
        <w:tabs>
          <w:tab w:val="left" w:pos="360"/>
          <w:tab w:val="clear" w:pos="420"/>
        </w:tabs>
        <w:spacing w:line="400" w:lineRule="exact"/>
        <w:ind w:left="720" w:hanging="720"/>
        <w:rPr>
          <w:rFonts w:ascii="宋体" w:hAnsi="宋体" w:cs="宋体"/>
          <w:color w:val="auto"/>
          <w:sz w:val="22"/>
          <w:szCs w:val="22"/>
          <w:highlight w:val="none"/>
        </w:rPr>
      </w:pPr>
      <w:r>
        <w:rPr>
          <w:rFonts w:hint="eastAsia" w:ascii="宋体" w:hAnsi="宋体" w:cs="宋体"/>
          <w:color w:val="auto"/>
          <w:sz w:val="22"/>
          <w:szCs w:val="22"/>
          <w:highlight w:val="none"/>
        </w:rPr>
        <w:t>供应商在磋商文件中提供虚假技术指标及参数，经磋商小组确认属实的。</w:t>
      </w:r>
    </w:p>
    <w:p w14:paraId="48E34277">
      <w:pPr>
        <w:numPr>
          <w:ilvl w:val="0"/>
          <w:numId w:val="17"/>
        </w:numPr>
        <w:tabs>
          <w:tab w:val="left" w:pos="360"/>
          <w:tab w:val="clear" w:pos="420"/>
        </w:tabs>
        <w:spacing w:line="400" w:lineRule="exact"/>
        <w:ind w:left="720" w:hanging="720"/>
        <w:rPr>
          <w:rFonts w:ascii="宋体" w:hAnsi="宋体" w:cs="宋体"/>
          <w:color w:val="auto"/>
          <w:sz w:val="22"/>
          <w:szCs w:val="22"/>
          <w:highlight w:val="none"/>
        </w:rPr>
      </w:pPr>
      <w:r>
        <w:rPr>
          <w:rFonts w:hint="eastAsia" w:ascii="宋体" w:hAnsi="宋体" w:cs="宋体"/>
          <w:color w:val="auto"/>
          <w:sz w:val="22"/>
          <w:szCs w:val="22"/>
          <w:highlight w:val="none"/>
        </w:rPr>
        <w:t>经同级政府采购监督管理部门审查认定供应商有违反《中华人民共和国政府采购法》等有关法律法规的行为。</w:t>
      </w:r>
    </w:p>
    <w:p w14:paraId="0C96A410">
      <w:pPr>
        <w:numPr>
          <w:ilvl w:val="0"/>
          <w:numId w:val="12"/>
        </w:numPr>
        <w:spacing w:line="400" w:lineRule="exact"/>
        <w:rPr>
          <w:rFonts w:ascii="宋体" w:hAnsi="宋体" w:cs="宋体"/>
          <w:b/>
          <w:color w:val="auto"/>
          <w:sz w:val="22"/>
          <w:szCs w:val="22"/>
          <w:highlight w:val="none"/>
        </w:rPr>
      </w:pPr>
      <w:r>
        <w:rPr>
          <w:rFonts w:hint="eastAsia" w:ascii="宋体" w:hAnsi="宋体" w:cs="宋体"/>
          <w:bCs/>
          <w:color w:val="auto"/>
          <w:sz w:val="22"/>
          <w:szCs w:val="22"/>
          <w:highlight w:val="none"/>
        </w:rPr>
        <w:t>报价文件有效期</w:t>
      </w:r>
    </w:p>
    <w:p w14:paraId="511CB8BD">
      <w:pPr>
        <w:numPr>
          <w:ilvl w:val="1"/>
          <w:numId w:val="18"/>
        </w:numPr>
        <w:tabs>
          <w:tab w:val="left" w:pos="420"/>
          <w:tab w:val="left" w:pos="525"/>
          <w:tab w:val="clear" w:pos="992"/>
        </w:tabs>
        <w:spacing w:line="400" w:lineRule="exact"/>
        <w:ind w:left="640"/>
        <w:rPr>
          <w:rFonts w:ascii="宋体" w:hAnsi="宋体" w:cs="宋体"/>
          <w:b/>
          <w:bCs/>
          <w:color w:val="auto"/>
          <w:sz w:val="22"/>
          <w:szCs w:val="22"/>
          <w:highlight w:val="none"/>
        </w:rPr>
      </w:pPr>
      <w:r>
        <w:rPr>
          <w:rFonts w:hint="eastAsia" w:ascii="宋体" w:hAnsi="宋体" w:cs="宋体"/>
          <w:b/>
          <w:bCs/>
          <w:color w:val="auto"/>
          <w:sz w:val="22"/>
          <w:szCs w:val="22"/>
          <w:highlight w:val="none"/>
        </w:rPr>
        <w:t>自开标之日起 90天内报价应保持有效。报价有效期短于这个规定期限将视为非响应性报价而予以拒绝。</w:t>
      </w:r>
    </w:p>
    <w:p w14:paraId="3AE9FA15">
      <w:pPr>
        <w:numPr>
          <w:ilvl w:val="1"/>
          <w:numId w:val="18"/>
        </w:numPr>
        <w:tabs>
          <w:tab w:val="left" w:pos="420"/>
          <w:tab w:val="left" w:pos="525"/>
          <w:tab w:val="clear" w:pos="992"/>
        </w:tabs>
        <w:spacing w:line="40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特殊情况下，在原报价有效期截止前，采购人可与磋商供应商协商延长报价有效期，这种要求和答复均以书面形式进行。磋商供应商可拒绝接受延期要求。同意延长报价文件有效期的供应商不得修改磋商响应文件。</w:t>
      </w:r>
    </w:p>
    <w:p w14:paraId="69727C51">
      <w:pPr>
        <w:spacing w:before="100" w:beforeAutospacing="1" w:after="100" w:afterAutospacing="1" w:line="440" w:lineRule="exact"/>
        <w:ind w:left="783" w:hanging="783" w:hangingChars="300"/>
        <w:jc w:val="center"/>
        <w:outlineLvl w:val="0"/>
        <w:rPr>
          <w:rFonts w:ascii="宋体" w:hAnsi="宋体" w:cs="宋体"/>
          <w:color w:val="auto"/>
          <w:sz w:val="22"/>
          <w:szCs w:val="22"/>
          <w:highlight w:val="none"/>
        </w:rPr>
      </w:pPr>
      <w:bookmarkStart w:id="86" w:name="_Toc5988"/>
      <w:bookmarkStart w:id="87" w:name="_Toc221356887"/>
      <w:bookmarkStart w:id="88" w:name="_Toc239145354"/>
      <w:bookmarkStart w:id="89" w:name="_Toc221423619"/>
      <w:bookmarkStart w:id="90" w:name="_Toc262105503"/>
      <w:bookmarkStart w:id="91" w:name="_Toc221356951"/>
      <w:bookmarkStart w:id="92" w:name="_Toc245722281"/>
      <w:bookmarkStart w:id="93" w:name="_Toc245191314"/>
      <w:bookmarkStart w:id="94" w:name="_Toc249758712"/>
      <w:bookmarkStart w:id="95" w:name="_Toc246261265"/>
      <w:bookmarkStart w:id="96" w:name="_Toc222114879"/>
      <w:bookmarkStart w:id="97" w:name="_Toc262049418"/>
      <w:bookmarkStart w:id="98" w:name="_Toc221374626"/>
      <w:bookmarkStart w:id="99" w:name="_Toc223715998"/>
      <w:bookmarkStart w:id="100" w:name="_Toc249758864"/>
      <w:bookmarkStart w:id="101" w:name="_Toc241404202"/>
      <w:r>
        <w:rPr>
          <w:rFonts w:hint="eastAsia" w:ascii="宋体" w:hAnsi="宋体" w:cs="宋体"/>
          <w:b/>
          <w:bCs/>
          <w:color w:val="auto"/>
          <w:sz w:val="26"/>
          <w:szCs w:val="26"/>
          <w:highlight w:val="none"/>
        </w:rPr>
        <w:t>五、 磋商响应文件的递交</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14B3C36D">
      <w:pPr>
        <w:numPr>
          <w:ilvl w:val="0"/>
          <w:numId w:val="19"/>
        </w:numPr>
        <w:tabs>
          <w:tab w:val="left" w:pos="540"/>
          <w:tab w:val="clear" w:pos="420"/>
        </w:tabs>
        <w:spacing w:line="400" w:lineRule="exact"/>
        <w:rPr>
          <w:rFonts w:ascii="宋体" w:hAnsi="宋体" w:cs="宋体"/>
          <w:b/>
          <w:color w:val="auto"/>
          <w:sz w:val="22"/>
          <w:szCs w:val="22"/>
          <w:highlight w:val="none"/>
        </w:rPr>
      </w:pPr>
      <w:bookmarkStart w:id="102" w:name="_Toc333430596"/>
      <w:r>
        <w:rPr>
          <w:rFonts w:hint="eastAsia" w:ascii="宋体" w:hAnsi="宋体" w:cs="宋体"/>
          <w:bCs/>
          <w:color w:val="auto"/>
          <w:sz w:val="22"/>
          <w:szCs w:val="22"/>
          <w:highlight w:val="none"/>
        </w:rPr>
        <w:t>磋商响应文件的递交</w:t>
      </w:r>
    </w:p>
    <w:p w14:paraId="0229477E">
      <w:pPr>
        <w:tabs>
          <w:tab w:val="left" w:pos="360"/>
          <w:tab w:val="left" w:pos="540"/>
        </w:tabs>
        <w:spacing w:line="400" w:lineRule="exact"/>
        <w:ind w:firstLine="440" w:firstLineChars="200"/>
        <w:rPr>
          <w:rFonts w:ascii="宋体" w:hAnsi="宋体" w:cs="宋体"/>
          <w:b/>
          <w:color w:val="auto"/>
          <w:sz w:val="22"/>
          <w:szCs w:val="22"/>
          <w:highlight w:val="none"/>
          <w:u w:val="single"/>
        </w:rPr>
      </w:pPr>
      <w:r>
        <w:rPr>
          <w:rFonts w:hint="eastAsia" w:ascii="宋体" w:hAnsi="宋体" w:cs="宋体"/>
          <w:color w:val="auto"/>
          <w:sz w:val="22"/>
          <w:szCs w:val="22"/>
          <w:highlight w:val="none"/>
        </w:rPr>
        <w:t>本项目实行网上投标。响应文件</w:t>
      </w:r>
      <w:r>
        <w:rPr>
          <w:rFonts w:hint="eastAsia" w:ascii="宋体" w:hAnsi="宋体" w:cs="宋体"/>
          <w:bCs/>
          <w:color w:val="auto"/>
          <w:kern w:val="0"/>
          <w:sz w:val="22"/>
          <w:szCs w:val="22"/>
          <w:highlight w:val="none"/>
        </w:rPr>
        <w:t>的上传、递交：见供应商须知前附表第18款。</w:t>
      </w:r>
    </w:p>
    <w:p w14:paraId="45EBEA60">
      <w:pPr>
        <w:numPr>
          <w:ilvl w:val="0"/>
          <w:numId w:val="19"/>
        </w:numPr>
        <w:tabs>
          <w:tab w:val="left" w:pos="540"/>
          <w:tab w:val="clear" w:pos="420"/>
        </w:tabs>
        <w:spacing w:line="400" w:lineRule="exact"/>
        <w:rPr>
          <w:rFonts w:ascii="宋体" w:hAnsi="宋体" w:cs="宋体"/>
          <w:bCs/>
          <w:color w:val="auto"/>
          <w:sz w:val="22"/>
          <w:szCs w:val="22"/>
          <w:highlight w:val="none"/>
        </w:rPr>
      </w:pPr>
      <w:r>
        <w:rPr>
          <w:rFonts w:hint="eastAsia" w:ascii="宋体" w:hAnsi="宋体" w:cs="宋体"/>
          <w:bCs/>
          <w:color w:val="auto"/>
          <w:sz w:val="22"/>
          <w:szCs w:val="22"/>
          <w:highlight w:val="none"/>
        </w:rPr>
        <w:t>“电子加密磋商响应文件”解密和异常情况处理。</w:t>
      </w:r>
    </w:p>
    <w:p w14:paraId="146B37BB">
      <w:pPr>
        <w:tabs>
          <w:tab w:val="left" w:pos="540"/>
        </w:tabs>
        <w:spacing w:line="400" w:lineRule="exac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“电子加密磋商响应文件”解密：见供应商须知前附表第19款。</w:t>
      </w:r>
    </w:p>
    <w:p w14:paraId="10F1A9E1">
      <w:pPr>
        <w:numPr>
          <w:ilvl w:val="0"/>
          <w:numId w:val="19"/>
        </w:numPr>
        <w:tabs>
          <w:tab w:val="left" w:pos="540"/>
          <w:tab w:val="clear" w:pos="420"/>
        </w:tabs>
        <w:spacing w:line="400" w:lineRule="exact"/>
        <w:rPr>
          <w:rFonts w:ascii="宋体" w:hAnsi="宋体" w:cs="宋体"/>
          <w:bCs/>
          <w:color w:val="auto"/>
          <w:sz w:val="22"/>
          <w:szCs w:val="22"/>
          <w:highlight w:val="none"/>
        </w:rPr>
      </w:pPr>
      <w:r>
        <w:rPr>
          <w:rFonts w:hint="eastAsia" w:ascii="宋体" w:hAnsi="宋体" w:cs="宋体"/>
          <w:bCs/>
          <w:color w:val="auto"/>
          <w:sz w:val="22"/>
          <w:szCs w:val="22"/>
          <w:highlight w:val="none"/>
        </w:rPr>
        <w:t>磋商响应文件的修改和撤回</w:t>
      </w:r>
    </w:p>
    <w:p w14:paraId="5762B467">
      <w:pPr>
        <w:numPr>
          <w:ilvl w:val="1"/>
          <w:numId w:val="20"/>
        </w:numPr>
        <w:tabs>
          <w:tab w:val="left" w:pos="540"/>
          <w:tab w:val="clear" w:pos="992"/>
        </w:tabs>
        <w:spacing w:line="400" w:lineRule="exact"/>
        <w:ind w:left="540" w:hanging="540"/>
        <w:rPr>
          <w:rFonts w:ascii="宋体" w:hAnsi="宋体" w:cs="宋体"/>
          <w:bCs/>
          <w:color w:val="auto"/>
          <w:sz w:val="22"/>
          <w:szCs w:val="22"/>
          <w:highlight w:val="none"/>
        </w:rPr>
      </w:pPr>
      <w:r>
        <w:rPr>
          <w:rFonts w:hint="eastAsia" w:ascii="宋体" w:hAnsi="宋体" w:cs="宋体"/>
          <w:bCs/>
          <w:color w:val="auto"/>
          <w:sz w:val="22"/>
          <w:szCs w:val="22"/>
          <w:highlight w:val="none"/>
        </w:rPr>
        <w:t>供应商应当在磋商截止时间前完成电子磋商响应文件的传输递交，并可以补充、修改或者撤回电子磋商响应文件。补充或者修改电子磋商响应文件的，应当先行撤回原文件，补充、修改后重新传输递交。</w:t>
      </w:r>
    </w:p>
    <w:p w14:paraId="767EECB0">
      <w:pPr>
        <w:numPr>
          <w:ilvl w:val="1"/>
          <w:numId w:val="20"/>
        </w:numPr>
        <w:tabs>
          <w:tab w:val="left" w:pos="540"/>
          <w:tab w:val="clear" w:pos="992"/>
        </w:tabs>
        <w:spacing w:line="400" w:lineRule="exact"/>
        <w:ind w:left="540" w:hanging="540"/>
        <w:rPr>
          <w:rFonts w:ascii="宋体" w:hAnsi="宋体" w:cs="宋体"/>
          <w:b/>
          <w:color w:val="auto"/>
          <w:sz w:val="22"/>
          <w:szCs w:val="22"/>
          <w:highlight w:val="none"/>
          <w:u w:val="single"/>
        </w:rPr>
      </w:pPr>
      <w:r>
        <w:rPr>
          <w:rFonts w:hint="eastAsia" w:ascii="宋体" w:hAnsi="宋体" w:cs="宋体"/>
          <w:b/>
          <w:color w:val="auto"/>
          <w:sz w:val="22"/>
          <w:szCs w:val="22"/>
          <w:highlight w:val="none"/>
          <w:u w:val="single"/>
        </w:rPr>
        <w:t>▲磋商截止时间前未完成传输的，视为撤回磋商响应文件。磋商响应截止时间后送达的投标响应文件，将被政采云平台拒收。</w:t>
      </w:r>
    </w:p>
    <w:p w14:paraId="3AA9A3F0">
      <w:pPr>
        <w:numPr>
          <w:ilvl w:val="0"/>
          <w:numId w:val="19"/>
        </w:numPr>
        <w:tabs>
          <w:tab w:val="left" w:pos="540"/>
          <w:tab w:val="clear" w:pos="420"/>
        </w:tabs>
        <w:spacing w:line="400" w:lineRule="exact"/>
        <w:rPr>
          <w:rFonts w:ascii="宋体" w:hAnsi="宋体" w:cs="宋体"/>
          <w:b/>
          <w:color w:val="auto"/>
          <w:sz w:val="22"/>
          <w:szCs w:val="22"/>
          <w:highlight w:val="none"/>
        </w:rPr>
      </w:pPr>
      <w:r>
        <w:rPr>
          <w:rFonts w:hint="eastAsia" w:ascii="宋体" w:hAnsi="宋体" w:cs="宋体"/>
          <w:b/>
          <w:color w:val="auto"/>
          <w:sz w:val="22"/>
          <w:szCs w:val="22"/>
          <w:highlight w:val="none"/>
          <w:u w:val="single"/>
        </w:rPr>
        <w:t>▲</w:t>
      </w:r>
      <w:r>
        <w:rPr>
          <w:rFonts w:hint="eastAsia" w:ascii="宋体" w:hAnsi="宋体" w:cs="宋体"/>
          <w:b/>
          <w:bCs/>
          <w:color w:val="auto"/>
          <w:sz w:val="22"/>
          <w:szCs w:val="22"/>
          <w:highlight w:val="none"/>
          <w:u w:val="single"/>
        </w:rPr>
        <w:t>发生下列情况之一的磋商响应文件将不予受理</w:t>
      </w:r>
      <w:r>
        <w:rPr>
          <w:rFonts w:hint="eastAsia" w:ascii="宋体" w:hAnsi="宋体" w:cs="宋体"/>
          <w:bCs/>
          <w:color w:val="auto"/>
          <w:sz w:val="22"/>
          <w:szCs w:val="22"/>
          <w:highlight w:val="none"/>
        </w:rPr>
        <w:t>：</w:t>
      </w:r>
    </w:p>
    <w:p w14:paraId="572EB1FE">
      <w:pPr>
        <w:numPr>
          <w:ilvl w:val="1"/>
          <w:numId w:val="21"/>
        </w:numPr>
        <w:tabs>
          <w:tab w:val="left" w:pos="420"/>
          <w:tab w:val="left" w:pos="525"/>
          <w:tab w:val="clear" w:pos="992"/>
        </w:tabs>
        <w:spacing w:line="400" w:lineRule="exact"/>
        <w:ind w:left="640"/>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在磋商截止时间以后上传的磋商响应文件；</w:t>
      </w:r>
    </w:p>
    <w:p w14:paraId="116A93FC">
      <w:pPr>
        <w:numPr>
          <w:ilvl w:val="1"/>
          <w:numId w:val="21"/>
        </w:numPr>
        <w:tabs>
          <w:tab w:val="left" w:pos="420"/>
          <w:tab w:val="left" w:pos="525"/>
          <w:tab w:val="clear" w:pos="992"/>
        </w:tabs>
        <w:spacing w:line="400" w:lineRule="exact"/>
        <w:ind w:left="640"/>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仅递交了“备份磋商响应文件”而未将电子加密磋商响应文件上传至“政府采购云平台”的；</w:t>
      </w:r>
    </w:p>
    <w:p w14:paraId="6E132C0A">
      <w:pPr>
        <w:numPr>
          <w:ilvl w:val="1"/>
          <w:numId w:val="21"/>
        </w:numPr>
        <w:tabs>
          <w:tab w:val="left" w:pos="420"/>
          <w:tab w:val="left" w:pos="525"/>
          <w:tab w:val="clear" w:pos="992"/>
        </w:tabs>
        <w:spacing w:line="400" w:lineRule="exact"/>
        <w:ind w:left="640"/>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 xml:space="preserve">未在规定时间解密，或者，解密失败且经异常处理政采云系统仍未能识别的； </w:t>
      </w:r>
    </w:p>
    <w:p w14:paraId="453DC749">
      <w:pPr>
        <w:numPr>
          <w:ilvl w:val="1"/>
          <w:numId w:val="21"/>
        </w:numPr>
        <w:tabs>
          <w:tab w:val="left" w:pos="420"/>
          <w:tab w:val="left" w:pos="525"/>
          <w:tab w:val="clear" w:pos="992"/>
        </w:tabs>
        <w:spacing w:line="400" w:lineRule="exact"/>
        <w:ind w:left="640"/>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以纸质形式提交的；</w:t>
      </w:r>
    </w:p>
    <w:p w14:paraId="06A55640">
      <w:pPr>
        <w:spacing w:before="100" w:beforeAutospacing="1" w:after="100" w:afterAutospacing="1" w:line="440" w:lineRule="exact"/>
        <w:ind w:left="783" w:hanging="783" w:hangingChars="300"/>
        <w:jc w:val="center"/>
        <w:outlineLvl w:val="0"/>
        <w:rPr>
          <w:rFonts w:ascii="宋体" w:hAnsi="宋体" w:cs="宋体"/>
          <w:b/>
          <w:bCs/>
          <w:color w:val="auto"/>
          <w:sz w:val="26"/>
          <w:szCs w:val="26"/>
          <w:highlight w:val="none"/>
        </w:rPr>
      </w:pPr>
      <w:bookmarkStart w:id="103" w:name="_Toc26870"/>
      <w:r>
        <w:rPr>
          <w:rFonts w:hint="eastAsia" w:ascii="宋体" w:hAnsi="宋体" w:cs="宋体"/>
          <w:b/>
          <w:bCs/>
          <w:color w:val="auto"/>
          <w:sz w:val="26"/>
          <w:szCs w:val="26"/>
          <w:highlight w:val="none"/>
        </w:rPr>
        <w:t>六、 磋商和评审</w:t>
      </w:r>
      <w:bookmarkEnd w:id="102"/>
      <w:bookmarkEnd w:id="103"/>
    </w:p>
    <w:p w14:paraId="2441D656">
      <w:pPr>
        <w:spacing w:line="400" w:lineRule="exact"/>
        <w:ind w:left="674" w:leftChars="17" w:hanging="638" w:hangingChars="290"/>
        <w:rPr>
          <w:rFonts w:ascii="宋体" w:hAnsi="宋体" w:cs="宋体"/>
          <w:color w:val="auto"/>
          <w:sz w:val="22"/>
          <w:szCs w:val="22"/>
          <w:highlight w:val="none"/>
        </w:rPr>
      </w:pPr>
      <w:bookmarkStart w:id="104" w:name="_Toc223716001"/>
      <w:bookmarkStart w:id="105" w:name="_Toc246261268"/>
      <w:bookmarkStart w:id="106" w:name="_Toc249758715"/>
      <w:bookmarkStart w:id="107" w:name="_Toc262049421"/>
      <w:bookmarkStart w:id="108" w:name="_Toc221423622"/>
      <w:bookmarkStart w:id="109" w:name="_Toc249758867"/>
      <w:bookmarkStart w:id="110" w:name="_Toc221356954"/>
      <w:bookmarkStart w:id="111" w:name="_Toc245191317"/>
      <w:bookmarkStart w:id="112" w:name="_Toc221356890"/>
      <w:bookmarkStart w:id="113" w:name="_Toc221374629"/>
      <w:bookmarkStart w:id="114" w:name="_Toc262105506"/>
      <w:bookmarkStart w:id="115" w:name="_Toc239145357"/>
      <w:bookmarkStart w:id="116" w:name="_Toc241404205"/>
      <w:bookmarkStart w:id="117" w:name="_Toc222114882"/>
      <w:bookmarkStart w:id="118" w:name="_Toc245722284"/>
      <w:r>
        <w:rPr>
          <w:rFonts w:hint="eastAsia" w:ascii="宋体" w:hAnsi="宋体" w:cs="宋体"/>
          <w:color w:val="auto"/>
          <w:sz w:val="22"/>
          <w:szCs w:val="22"/>
          <w:highlight w:val="none"/>
        </w:rPr>
        <w:t>1．磋商小组</w:t>
      </w:r>
    </w:p>
    <w:p w14:paraId="61D73931">
      <w:pPr>
        <w:spacing w:line="400" w:lineRule="exact"/>
        <w:ind w:left="674" w:leftChars="17" w:hanging="638" w:hangingChars="290"/>
        <w:rPr>
          <w:rFonts w:ascii="宋体" w:hAnsi="宋体" w:cs="宋体"/>
          <w:color w:val="auto"/>
          <w:sz w:val="22"/>
          <w:szCs w:val="22"/>
          <w:highlight w:val="none"/>
        </w:rPr>
      </w:pPr>
      <w:r>
        <w:rPr>
          <w:rFonts w:hint="eastAsia" w:ascii="宋体" w:hAnsi="宋体" w:cs="宋体"/>
          <w:color w:val="auto"/>
          <w:sz w:val="22"/>
          <w:szCs w:val="22"/>
          <w:highlight w:val="none"/>
        </w:rPr>
        <w:t>1.1  政府采购代理机构依法组建磋商小组，磋商小组的成员在磋商过程中必须严格遵守《政府采购法》、</w:t>
      </w:r>
      <w:r>
        <w:rPr>
          <w:rFonts w:hint="eastAsia" w:ascii="宋体" w:hAnsi="宋体" w:cs="宋体"/>
          <w:color w:val="auto"/>
          <w:kern w:val="0"/>
          <w:sz w:val="22"/>
          <w:szCs w:val="22"/>
          <w:highlight w:val="none"/>
        </w:rPr>
        <w:t>《政府采购竞争性磋商采购方式管理暂行办法》</w:t>
      </w:r>
      <w:r>
        <w:rPr>
          <w:rFonts w:hint="eastAsia" w:ascii="宋体" w:hAnsi="宋体" w:cs="宋体"/>
          <w:color w:val="auto"/>
          <w:sz w:val="22"/>
          <w:szCs w:val="22"/>
          <w:highlight w:val="none"/>
        </w:rPr>
        <w:t>等有关法律、法规的规定。不得泄露评审情况和评审中获悉的商业秘密。</w:t>
      </w:r>
    </w:p>
    <w:p w14:paraId="7A14A44B">
      <w:pPr>
        <w:spacing w:line="400" w:lineRule="exact"/>
        <w:ind w:left="674" w:leftChars="17" w:hanging="638" w:hangingChars="290"/>
        <w:rPr>
          <w:rFonts w:ascii="宋体" w:hAnsi="宋体" w:cs="宋体"/>
          <w:color w:val="auto"/>
          <w:sz w:val="22"/>
          <w:szCs w:val="22"/>
          <w:highlight w:val="none"/>
        </w:rPr>
      </w:pPr>
      <w:r>
        <w:rPr>
          <w:rFonts w:hint="eastAsia" w:ascii="宋体" w:hAnsi="宋体" w:cs="宋体"/>
          <w:color w:val="auto"/>
          <w:sz w:val="22"/>
          <w:szCs w:val="22"/>
          <w:highlight w:val="none"/>
        </w:rPr>
        <w:t>1.2  磋商小组由3人（含）以上的单数组成，磋商小组负责对磋商响应文件进行审查、质疑、评估、比较及确定成交候选人。</w:t>
      </w:r>
    </w:p>
    <w:p w14:paraId="24806F25">
      <w:pPr>
        <w:spacing w:line="400" w:lineRule="exact"/>
        <w:ind w:left="674" w:leftChars="17" w:hanging="638" w:hangingChars="290"/>
        <w:rPr>
          <w:rFonts w:ascii="宋体" w:hAnsi="宋体" w:cs="宋体"/>
          <w:color w:val="auto"/>
          <w:sz w:val="22"/>
          <w:szCs w:val="22"/>
          <w:highlight w:val="none"/>
        </w:rPr>
      </w:pPr>
      <w:r>
        <w:rPr>
          <w:rFonts w:hint="eastAsia" w:ascii="宋体" w:hAnsi="宋体" w:cs="宋体"/>
          <w:color w:val="auto"/>
          <w:sz w:val="22"/>
          <w:szCs w:val="22"/>
          <w:highlight w:val="none"/>
        </w:rPr>
        <w:t>2．开标（三阶段）</w:t>
      </w:r>
    </w:p>
    <w:p w14:paraId="2389A238">
      <w:pPr>
        <w:spacing w:line="400" w:lineRule="exact"/>
        <w:ind w:firstLine="422"/>
        <w:rPr>
          <w:rFonts w:ascii="宋体" w:hAnsi="宋体" w:cs="宋体"/>
          <w:b/>
          <w:bCs/>
          <w:color w:val="auto"/>
          <w:sz w:val="22"/>
          <w:szCs w:val="22"/>
          <w:highlight w:val="none"/>
        </w:rPr>
      </w:pPr>
      <w:r>
        <w:rPr>
          <w:rFonts w:hint="eastAsia" w:ascii="宋体" w:hAnsi="宋体" w:cs="宋体"/>
          <w:b/>
          <w:bCs/>
          <w:color w:val="auto"/>
          <w:sz w:val="22"/>
          <w:szCs w:val="22"/>
          <w:highlight w:val="none"/>
        </w:rPr>
        <w:t xml:space="preserve">2.1 开标第一阶段 </w:t>
      </w:r>
    </w:p>
    <w:p w14:paraId="5CDA3AD5">
      <w:pPr>
        <w:numPr>
          <w:ilvl w:val="0"/>
          <w:numId w:val="22"/>
        </w:numPr>
        <w:spacing w:line="400" w:lineRule="exac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磋商</w:t>
      </w:r>
      <w:r>
        <w:rPr>
          <w:rFonts w:hint="eastAsia" w:ascii="宋体" w:hAnsi="宋体" w:cs="宋体"/>
          <w:color w:val="auto"/>
          <w:sz w:val="22"/>
          <w:szCs w:val="22"/>
          <w:highlight w:val="none"/>
        </w:rPr>
        <w:t>响应</w:t>
      </w:r>
      <w:r>
        <w:rPr>
          <w:rFonts w:hint="eastAsia" w:ascii="宋体" w:hAnsi="宋体" w:cs="宋体"/>
          <w:color w:val="auto"/>
          <w:sz w:val="22"/>
          <w:szCs w:val="22"/>
          <w:highlight w:val="none"/>
          <w:lang w:val="zh-CN"/>
        </w:rPr>
        <w:t>截止时间后，采购组织机构将向各供应商发出解密通知，各供应商代表应当在接到解密通知后登录政采云平台，对电子响应文件进行在线解密。</w:t>
      </w:r>
    </w:p>
    <w:p w14:paraId="6EDA22A7">
      <w:pPr>
        <w:numPr>
          <w:ilvl w:val="0"/>
          <w:numId w:val="22"/>
        </w:numPr>
        <w:spacing w:line="400" w:lineRule="exact"/>
        <w:rPr>
          <w:rFonts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异常处理：</w:t>
      </w:r>
      <w:r>
        <w:rPr>
          <w:rFonts w:hint="eastAsia" w:ascii="宋体" w:hAnsi="宋体" w:cs="宋体"/>
          <w:b/>
          <w:bCs/>
          <w:color w:val="auto"/>
          <w:sz w:val="22"/>
          <w:szCs w:val="22"/>
          <w:highlight w:val="none"/>
          <w:u w:val="single"/>
        </w:rPr>
        <w:t>如政采云上电子响应文件出现解密失败情况，供应商可根据自身意愿确认是否将备份标书压缩包的解密密码传送至采购代理机构邮箱</w:t>
      </w:r>
      <w:r>
        <w:rPr>
          <w:rFonts w:hint="eastAsia" w:ascii="宋体" w:hAnsi="宋体" w:cs="宋体"/>
          <w:b/>
          <w:bCs/>
          <w:color w:val="auto"/>
          <w:sz w:val="22"/>
          <w:szCs w:val="22"/>
          <w:highlight w:val="none"/>
          <w:u w:val="single"/>
          <w:lang w:eastAsia="zh-CN"/>
        </w:rPr>
        <w:t>244726069@qq.com</w:t>
      </w:r>
      <w:r>
        <w:rPr>
          <w:rFonts w:hint="eastAsia" w:ascii="宋体" w:hAnsi="宋体" w:cs="宋体"/>
          <w:b/>
          <w:bCs/>
          <w:color w:val="auto"/>
          <w:sz w:val="22"/>
          <w:szCs w:val="22"/>
          <w:highlight w:val="none"/>
          <w:u w:val="single"/>
        </w:rPr>
        <w:t>,采购代理机构收到解密密码后通过【异常处理】的端口对供应商的备份响应文件进行上传（上传成功后，“电子响应文件”自动失效），不能成功上传的视为响应文件撤回）。</w:t>
      </w:r>
    </w:p>
    <w:p w14:paraId="5F47B655">
      <w:pPr>
        <w:numPr>
          <w:ilvl w:val="0"/>
          <w:numId w:val="22"/>
        </w:num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电子响应</w:t>
      </w:r>
      <w:r>
        <w:rPr>
          <w:rFonts w:hint="eastAsia" w:ascii="宋体" w:hAnsi="宋体" w:cs="宋体"/>
          <w:color w:val="auto"/>
          <w:sz w:val="22"/>
          <w:szCs w:val="22"/>
          <w:highlight w:val="none"/>
          <w:lang w:val="zh-CN"/>
        </w:rPr>
        <w:t>文件解密结束后</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zh-CN"/>
        </w:rPr>
        <w:t>各</w:t>
      </w:r>
      <w:r>
        <w:rPr>
          <w:rFonts w:hint="eastAsia" w:ascii="宋体" w:hAnsi="宋体" w:cs="宋体"/>
          <w:color w:val="auto"/>
          <w:sz w:val="22"/>
          <w:szCs w:val="22"/>
          <w:highlight w:val="none"/>
        </w:rPr>
        <w:t>供应商签署《政府采购活动现场确认声明书》（见附件）后将扫描件发送至采购代理机构邮箱</w:t>
      </w:r>
      <w:r>
        <w:rPr>
          <w:rFonts w:hint="eastAsia" w:ascii="宋体" w:hAnsi="宋体" w:cs="宋体"/>
          <w:color w:val="auto"/>
          <w:sz w:val="22"/>
          <w:szCs w:val="22"/>
          <w:highlight w:val="none"/>
          <w:lang w:eastAsia="zh-CN"/>
        </w:rPr>
        <w:t>244726069@qq.com</w:t>
      </w:r>
      <w:r>
        <w:rPr>
          <w:rFonts w:hint="eastAsia" w:ascii="宋体" w:hAnsi="宋体" w:cs="宋体"/>
          <w:color w:val="auto"/>
          <w:sz w:val="22"/>
          <w:szCs w:val="22"/>
          <w:highlight w:val="none"/>
          <w:lang w:val="zh-CN"/>
        </w:rPr>
        <w:t>。</w:t>
      </w:r>
    </w:p>
    <w:p w14:paraId="0D0D7FCD">
      <w:pPr>
        <w:numPr>
          <w:ilvl w:val="0"/>
          <w:numId w:val="22"/>
        </w:num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开启各供应商的标书信息，由采购人或采购代理机构或磋商小组依法对供应商的资格进行审查，经资格审查确认通过的电子响应文件由磋商小组进行进入符合性审查和商务技术响应文件评审，资格审查确认未通过的电子响应文件将被拒绝，其磋商不进入下一步评审。</w:t>
      </w:r>
    </w:p>
    <w:p w14:paraId="3FA15B63">
      <w:pPr>
        <w:spacing w:line="400" w:lineRule="exact"/>
        <w:ind w:firstLine="422"/>
        <w:rPr>
          <w:rFonts w:ascii="宋体" w:hAnsi="宋体" w:cs="宋体"/>
          <w:b/>
          <w:bCs/>
          <w:color w:val="auto"/>
          <w:sz w:val="22"/>
          <w:szCs w:val="22"/>
          <w:highlight w:val="none"/>
        </w:rPr>
      </w:pPr>
      <w:r>
        <w:rPr>
          <w:rFonts w:hint="eastAsia" w:ascii="宋体" w:hAnsi="宋体" w:cs="宋体"/>
          <w:b/>
          <w:bCs/>
          <w:color w:val="auto"/>
          <w:sz w:val="22"/>
          <w:szCs w:val="22"/>
          <w:highlight w:val="none"/>
        </w:rPr>
        <w:t xml:space="preserve">2.2开标第二阶段  </w:t>
      </w:r>
    </w:p>
    <w:p w14:paraId="2AB67856">
      <w:pPr>
        <w:numPr>
          <w:ilvl w:val="0"/>
          <w:numId w:val="23"/>
        </w:num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符合性审查：由磋商小组对各供应商的电子响应文件的有效性、完整性和对竞争性磋商文件的响应程度进行符合性审查，并在“政采云系统-符合性评审”中录入供应商的符合性审查情况；符合性审查未通过的电子响应文件将被拒绝，其磋商不进入下一步评审。</w:t>
      </w:r>
    </w:p>
    <w:p w14:paraId="7FDAD1C1">
      <w:pPr>
        <w:numPr>
          <w:ilvl w:val="0"/>
          <w:numId w:val="23"/>
        </w:num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商务技术响应文件的评审</w:t>
      </w:r>
    </w:p>
    <w:p w14:paraId="2A98CA0A">
      <w:pPr>
        <w:spacing w:line="400" w:lineRule="exact"/>
        <w:ind w:firstLine="422"/>
        <w:rPr>
          <w:rFonts w:ascii="宋体" w:hAnsi="宋体" w:cs="宋体"/>
          <w:color w:val="auto"/>
          <w:sz w:val="22"/>
          <w:szCs w:val="22"/>
          <w:highlight w:val="none"/>
        </w:rPr>
      </w:pPr>
      <w:r>
        <w:rPr>
          <w:rFonts w:hint="eastAsia" w:ascii="宋体" w:hAnsi="宋体" w:cs="宋体"/>
          <w:color w:val="auto"/>
          <w:sz w:val="22"/>
          <w:szCs w:val="22"/>
          <w:highlight w:val="none"/>
        </w:rPr>
        <w:t>由磋商小组对各供应商的电子响应文件的商务技术部分按竞争性磋商文件规定的评审方法进行评审，并得出商务技术得分。之后开启各供应商的报价文件，在“政采云平台”系统平台上公布各供应商报价一览表有关内容，同时当场制作开标记录，供应商在线进行确认。开标结束后，由磋商小组对报价的合理性、准确性等进行审查核实。</w:t>
      </w:r>
    </w:p>
    <w:p w14:paraId="1F82FC8D">
      <w:pPr>
        <w:spacing w:line="400" w:lineRule="exact"/>
        <w:ind w:firstLine="422"/>
        <w:rPr>
          <w:rFonts w:ascii="宋体" w:hAnsi="宋体" w:cs="宋体"/>
          <w:b/>
          <w:bCs/>
          <w:color w:val="auto"/>
          <w:sz w:val="22"/>
          <w:szCs w:val="22"/>
          <w:highlight w:val="none"/>
        </w:rPr>
      </w:pPr>
      <w:r>
        <w:rPr>
          <w:rFonts w:hint="eastAsia" w:ascii="宋体" w:hAnsi="宋体" w:cs="宋体"/>
          <w:b/>
          <w:bCs/>
          <w:color w:val="auto"/>
          <w:sz w:val="22"/>
          <w:szCs w:val="22"/>
          <w:highlight w:val="none"/>
        </w:rPr>
        <w:t>2.3 开标第三阶段</w:t>
      </w:r>
    </w:p>
    <w:p w14:paraId="74AA939D">
      <w:pPr>
        <w:numPr>
          <w:ilvl w:val="0"/>
          <w:numId w:val="24"/>
        </w:num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磋商小组根据项目情况组织多轮报价，</w:t>
      </w:r>
      <w:r>
        <w:rPr>
          <w:rFonts w:hint="eastAsia" w:ascii="宋体" w:hAnsi="宋体" w:cs="宋体"/>
          <w:color w:val="auto"/>
          <w:kern w:val="0"/>
          <w:sz w:val="22"/>
          <w:szCs w:val="22"/>
          <w:highlight w:val="none"/>
        </w:rPr>
        <w:t>供应商在规定的时间内在政采云平台提交二次（最终）报价；</w:t>
      </w:r>
    </w:p>
    <w:p w14:paraId="7CEF3FD0">
      <w:pPr>
        <w:numPr>
          <w:ilvl w:val="0"/>
          <w:numId w:val="24"/>
        </w:num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开启供应商的二次（最终）报价文件，公布二次（最终）报价有关内容，同时当场制作开标记录，供应商在线进行确认。开标结束后，由磋商小组对报价的合理性、准确性等进行审查核实。</w:t>
      </w:r>
    </w:p>
    <w:p w14:paraId="2A3C2A33">
      <w:pPr>
        <w:numPr>
          <w:ilvl w:val="0"/>
          <w:numId w:val="24"/>
        </w:num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公布商务技术得分情况、二次（最终）报价有关内容及各供应商排名情况。</w:t>
      </w:r>
    </w:p>
    <w:p w14:paraId="6D3EF28F">
      <w:pPr>
        <w:numPr>
          <w:ilvl w:val="0"/>
          <w:numId w:val="24"/>
        </w:num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评审结束后，在“政采云平台”系统平台上公布中标（成交）候选供应商名单，及采购人最终确定中标（成交）供应商名单的时间和公告方式等；</w:t>
      </w:r>
    </w:p>
    <w:p w14:paraId="7892D9E7">
      <w:pPr>
        <w:tabs>
          <w:tab w:val="left" w:pos="540"/>
        </w:tabs>
        <w:spacing w:line="400" w:lineRule="exac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▲特别说明：如遇“政采云平台”电子化开标或评审程序调整的，按调整后程序执行。</w:t>
      </w:r>
    </w:p>
    <w:p w14:paraId="6E519D26">
      <w:pPr>
        <w:tabs>
          <w:tab w:val="left" w:pos="540"/>
        </w:tabs>
        <w:spacing w:line="40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3.磋商</w:t>
      </w:r>
    </w:p>
    <w:p w14:paraId="4CE8B03C">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3.1磋商小组所有成员将遵循“公开、公平、公正”的原则，采用相同的程序和标准。如有必要，所有成员按顺序与单一供应商分别进行单独封闭式磋商。磋商内容包括服务价格、服务质量水平和保障措施、服务期限、服务方案、履约能力、培训计划、付款方式等方面进行磋商和综合分析考评，以确定是否满足采购要求。在磋商过程中，磋商的任何一方都不得透露与磋商有关的其他供应商的技术资料、价格和其他信息。磋商供应商在磋商过程中所作出的各种承诺都必须用书面形式（经电子签章的政采云平台上传文件，下同），并由磋商供应商代表签字。磋商轮次最多不超过3轮。</w:t>
      </w:r>
    </w:p>
    <w:p w14:paraId="73C431CC">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3.2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w:t>
      </w:r>
      <w:r>
        <w:rPr>
          <w:rFonts w:hint="eastAsia" w:ascii="宋体" w:hAnsi="宋体" w:cs="宋体"/>
          <w:color w:val="auto"/>
          <w:sz w:val="22"/>
          <w:szCs w:val="22"/>
          <w:highlight w:val="none"/>
          <w:lang w:eastAsia="zh-CN"/>
        </w:rPr>
        <w:t>由</w:t>
      </w:r>
      <w:r>
        <w:rPr>
          <w:rFonts w:hint="eastAsia" w:ascii="宋体" w:hAnsi="宋体" w:cs="宋体"/>
          <w:color w:val="auto"/>
          <w:sz w:val="22"/>
          <w:szCs w:val="22"/>
          <w:highlight w:val="none"/>
        </w:rPr>
        <w:t>供应商代表签字或者加盖公章。由授权代表签字的，应当附法定代表人授权书。供应商为自然人的，应当由本人签字并附身份证明。</w:t>
      </w:r>
    </w:p>
    <w:p w14:paraId="1677CE8A">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3.3在磋商过程中，磋商供应商不得向磋商小组成员询问磋商情况，不得进行旨在影响磋商结果的活动，否则将取消其磋商资格。</w:t>
      </w:r>
    </w:p>
    <w:p w14:paraId="73A98178">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3.4在磋商过程中，磋商小组成员不得与磋商供应商私下交换意见，在竞争性磋商结束后，凡与磋商情况有接触的人不得将磋商情况扩散出磋商小组成员外。</w:t>
      </w:r>
    </w:p>
    <w:p w14:paraId="0672DD2B">
      <w:pPr>
        <w:spacing w:line="40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3.5磋商结束后，磋商小组将要求磋商供应商在规定的时间内，统一进行最后报价，最后报价不得高于一次报价（磋商小组另有决议的除外）。</w:t>
      </w:r>
    </w:p>
    <w:p w14:paraId="4B5342B8">
      <w:pPr>
        <w:spacing w:line="40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3.6报价文件开启后，由磋商小组对各供应商的报价（含一次报价、二次报价及最终报价）进行核查，核查时发现报价内容不清楚可要求供应商书面澄清，计算上的错误，可按下面方法修正：</w:t>
      </w:r>
    </w:p>
    <w:p w14:paraId="532CCDEF">
      <w:pPr>
        <w:numPr>
          <w:ilvl w:val="0"/>
          <w:numId w:val="25"/>
        </w:numPr>
        <w:tabs>
          <w:tab w:val="left" w:pos="720"/>
          <w:tab w:val="clear" w:pos="420"/>
        </w:tabs>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报价文件中上传的价格和系统中报价一览表里填写的价格不一致的，以供应商上传的</w:t>
      </w:r>
      <w:r>
        <w:rPr>
          <w:rFonts w:hint="eastAsia" w:ascii="宋体" w:hAnsi="宋体" w:cs="宋体"/>
          <w:color w:val="auto"/>
          <w:sz w:val="22"/>
          <w:szCs w:val="22"/>
          <w:highlight w:val="none"/>
        </w:rPr>
        <w:t>报价</w:t>
      </w:r>
      <w:r>
        <w:rPr>
          <w:rFonts w:hint="eastAsia" w:ascii="宋体" w:hAnsi="宋体" w:cs="宋体"/>
          <w:color w:val="auto"/>
          <w:kern w:val="0"/>
          <w:sz w:val="22"/>
          <w:szCs w:val="22"/>
          <w:highlight w:val="none"/>
        </w:rPr>
        <w:t>文件为准；磋商响应文件中开标一览表内容与磋商响应文件中相应内容不一致的，以开标一览表为准；磋商响应文件的大写金额和小写金额不一致的，以大写金额为准；单价金额小数点或者百分比有明显错位的，以开标一览表的总价为准，并修改单价；总价金额与按单价汇总金额不一致的，以单价金额计算结果为准。</w:t>
      </w:r>
    </w:p>
    <w:p w14:paraId="4C52768D">
      <w:pPr>
        <w:numPr>
          <w:ilvl w:val="0"/>
          <w:numId w:val="25"/>
        </w:numPr>
        <w:tabs>
          <w:tab w:val="left" w:pos="720"/>
          <w:tab w:val="clear" w:pos="420"/>
        </w:tabs>
        <w:spacing w:line="400" w:lineRule="exact"/>
        <w:rPr>
          <w:rFonts w:ascii="宋体" w:hAnsi="宋体" w:cs="宋体"/>
          <w:color w:val="auto"/>
          <w:highlight w:val="none"/>
        </w:rPr>
      </w:pPr>
      <w:r>
        <w:rPr>
          <w:rFonts w:hint="eastAsia" w:ascii="宋体" w:hAnsi="宋体" w:cs="宋体"/>
          <w:b/>
          <w:bCs/>
          <w:color w:val="auto"/>
          <w:sz w:val="22"/>
          <w:szCs w:val="22"/>
          <w:highlight w:val="none"/>
          <w:u w:val="single"/>
        </w:rPr>
        <w:t>▲</w:t>
      </w:r>
      <w:r>
        <w:rPr>
          <w:rFonts w:hint="eastAsia" w:ascii="宋体" w:hAnsi="宋体" w:cs="宋体"/>
          <w:b/>
          <w:color w:val="auto"/>
          <w:kern w:val="0"/>
          <w:sz w:val="22"/>
          <w:szCs w:val="22"/>
          <w:highlight w:val="none"/>
          <w:u w:val="single"/>
        </w:rPr>
        <w:t>如果供应商不接受对其价格错误进行修正，其投标无效。</w:t>
      </w:r>
    </w:p>
    <w:p w14:paraId="0C44808E">
      <w:pPr>
        <w:spacing w:line="400" w:lineRule="exact"/>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rPr>
        <w:t>3.</w:t>
      </w:r>
      <w:r>
        <w:rPr>
          <w:rFonts w:hint="eastAsia" w:ascii="宋体" w:hAnsi="宋体" w:cs="宋体"/>
          <w:b/>
          <w:bCs/>
          <w:color w:val="auto"/>
          <w:sz w:val="22"/>
          <w:szCs w:val="22"/>
          <w:highlight w:val="none"/>
          <w:lang w:val="en-US" w:eastAsia="zh-CN"/>
        </w:rPr>
        <w:t>7</w:t>
      </w:r>
      <w:r>
        <w:rPr>
          <w:rFonts w:hint="eastAsia" w:ascii="宋体" w:hAnsi="宋体" w:cs="宋体"/>
          <w:b/>
          <w:bCs/>
          <w:color w:val="auto"/>
          <w:sz w:val="22"/>
          <w:szCs w:val="22"/>
          <w:highlight w:val="none"/>
        </w:rPr>
        <w:t>二次（最终）</w:t>
      </w:r>
      <w:r>
        <w:rPr>
          <w:rFonts w:hint="eastAsia" w:ascii="宋体" w:hAnsi="宋体" w:eastAsia="宋体" w:cs="宋体"/>
          <w:b/>
          <w:bCs/>
          <w:color w:val="auto"/>
          <w:sz w:val="22"/>
          <w:szCs w:val="22"/>
          <w:highlight w:val="none"/>
        </w:rPr>
        <w:t>单项报价</w:t>
      </w:r>
      <w:r>
        <w:rPr>
          <w:rFonts w:hint="eastAsia" w:ascii="宋体" w:hAnsi="宋体" w:cs="宋体"/>
          <w:b/>
          <w:bCs/>
          <w:color w:val="auto"/>
          <w:sz w:val="22"/>
          <w:szCs w:val="22"/>
          <w:highlight w:val="none"/>
          <w:lang w:val="en-US" w:eastAsia="zh-CN"/>
        </w:rPr>
        <w:t>以一次单项报价为基准，按</w:t>
      </w:r>
      <w:r>
        <w:rPr>
          <w:rFonts w:hint="eastAsia" w:ascii="宋体" w:hAnsi="宋体" w:cs="宋体"/>
          <w:b/>
          <w:bCs/>
          <w:color w:val="auto"/>
          <w:sz w:val="22"/>
          <w:szCs w:val="22"/>
          <w:highlight w:val="none"/>
        </w:rPr>
        <w:t>二次（最终）报价</w:t>
      </w:r>
      <w:r>
        <w:rPr>
          <w:rFonts w:hint="eastAsia" w:ascii="宋体" w:hAnsi="宋体" w:cs="宋体"/>
          <w:b/>
          <w:bCs/>
          <w:color w:val="auto"/>
          <w:sz w:val="22"/>
          <w:szCs w:val="22"/>
          <w:highlight w:val="none"/>
          <w:lang w:val="en-US" w:eastAsia="zh-CN"/>
        </w:rPr>
        <w:t>与一次报价的</w:t>
      </w:r>
      <w:r>
        <w:rPr>
          <w:rFonts w:hint="eastAsia" w:ascii="宋体" w:hAnsi="宋体" w:eastAsia="宋体" w:cs="宋体"/>
          <w:b/>
          <w:bCs/>
          <w:color w:val="auto"/>
          <w:sz w:val="22"/>
          <w:szCs w:val="22"/>
          <w:highlight w:val="none"/>
        </w:rPr>
        <w:t>同比例</w:t>
      </w:r>
      <w:r>
        <w:rPr>
          <w:rFonts w:hint="eastAsia" w:ascii="宋体" w:hAnsi="宋体" w:cs="宋体"/>
          <w:b/>
          <w:bCs/>
          <w:color w:val="auto"/>
          <w:sz w:val="22"/>
          <w:szCs w:val="22"/>
          <w:highlight w:val="none"/>
          <w:lang w:val="en-US" w:eastAsia="zh-CN"/>
        </w:rPr>
        <w:t>进行</w:t>
      </w:r>
      <w:r>
        <w:rPr>
          <w:rFonts w:hint="eastAsia" w:ascii="宋体" w:hAnsi="宋体" w:eastAsia="宋体" w:cs="宋体"/>
          <w:b/>
          <w:bCs/>
          <w:color w:val="auto"/>
          <w:sz w:val="22"/>
          <w:szCs w:val="22"/>
          <w:highlight w:val="none"/>
        </w:rPr>
        <w:t>调整。</w:t>
      </w:r>
    </w:p>
    <w:p w14:paraId="6DEC73A1">
      <w:pPr>
        <w:tabs>
          <w:tab w:val="left" w:pos="540"/>
        </w:tabs>
        <w:spacing w:line="40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4．  无效标认定</w:t>
      </w:r>
    </w:p>
    <w:p w14:paraId="3BB91F73">
      <w:pPr>
        <w:spacing w:line="400" w:lineRule="exact"/>
        <w:ind w:left="674" w:leftChars="17" w:hanging="638" w:hangingChars="290"/>
        <w:rPr>
          <w:rFonts w:ascii="宋体" w:hAnsi="宋体" w:cs="宋体"/>
          <w:color w:val="auto"/>
          <w:sz w:val="22"/>
          <w:szCs w:val="22"/>
          <w:highlight w:val="none"/>
        </w:rPr>
      </w:pPr>
      <w:r>
        <w:rPr>
          <w:rFonts w:hint="eastAsia" w:ascii="宋体" w:hAnsi="宋体" w:cs="宋体"/>
          <w:color w:val="auto"/>
          <w:sz w:val="22"/>
          <w:szCs w:val="22"/>
          <w:highlight w:val="none"/>
        </w:rPr>
        <w:t xml:space="preserve">4.1 </w:t>
      </w:r>
      <w:r>
        <w:rPr>
          <w:rFonts w:hint="eastAsia" w:ascii="宋体" w:hAnsi="宋体" w:cs="宋体"/>
          <w:b/>
          <w:bCs/>
          <w:color w:val="auto"/>
          <w:sz w:val="22"/>
          <w:szCs w:val="22"/>
          <w:highlight w:val="none"/>
          <w:u w:val="single"/>
        </w:rPr>
        <w:t>▲供应商有以下情形之一的，政府采购云平台将默认供应商自动放弃：</w:t>
      </w:r>
    </w:p>
    <w:p w14:paraId="09C8C764">
      <w:pPr>
        <w:numPr>
          <w:ilvl w:val="0"/>
          <w:numId w:val="26"/>
        </w:numPr>
        <w:spacing w:line="400" w:lineRule="exact"/>
        <w:rPr>
          <w:rFonts w:ascii="宋体" w:hAnsi="宋体" w:cs="宋体"/>
          <w:b/>
          <w:bCs/>
          <w:color w:val="auto"/>
          <w:kern w:val="0"/>
          <w:sz w:val="22"/>
          <w:szCs w:val="22"/>
          <w:highlight w:val="none"/>
          <w:u w:val="single"/>
        </w:rPr>
      </w:pPr>
      <w:r>
        <w:rPr>
          <w:rFonts w:hint="eastAsia" w:ascii="宋体" w:hAnsi="宋体" w:cs="宋体"/>
          <w:b/>
          <w:bCs/>
          <w:color w:val="auto"/>
          <w:kern w:val="0"/>
          <w:sz w:val="22"/>
          <w:szCs w:val="22"/>
          <w:highlight w:val="none"/>
          <w:u w:val="single"/>
        </w:rPr>
        <w:t>供应商未按规定上传电子响应文件的。</w:t>
      </w:r>
    </w:p>
    <w:p w14:paraId="1A0D06C2">
      <w:pPr>
        <w:numPr>
          <w:ilvl w:val="0"/>
          <w:numId w:val="26"/>
        </w:numPr>
        <w:spacing w:line="400" w:lineRule="exact"/>
        <w:rPr>
          <w:rFonts w:ascii="宋体" w:hAnsi="宋体" w:cs="宋体"/>
          <w:b/>
          <w:bCs/>
          <w:color w:val="auto"/>
          <w:kern w:val="0"/>
          <w:sz w:val="22"/>
          <w:szCs w:val="22"/>
          <w:highlight w:val="none"/>
          <w:u w:val="single"/>
        </w:rPr>
      </w:pPr>
      <w:r>
        <w:rPr>
          <w:rFonts w:hint="eastAsia" w:ascii="宋体" w:hAnsi="宋体" w:cs="宋体"/>
          <w:b/>
          <w:bCs/>
          <w:color w:val="auto"/>
          <w:kern w:val="0"/>
          <w:sz w:val="22"/>
          <w:szCs w:val="22"/>
          <w:highlight w:val="none"/>
          <w:u w:val="single"/>
        </w:rPr>
        <w:t>在解密期限内供应商电子响应文件解密失败，且经异常处理后政采云电子交易系统仍未能解决的。</w:t>
      </w:r>
    </w:p>
    <w:p w14:paraId="43AAA628">
      <w:pPr>
        <w:numPr>
          <w:ilvl w:val="0"/>
          <w:numId w:val="26"/>
        </w:numPr>
        <w:spacing w:line="400" w:lineRule="exact"/>
        <w:rPr>
          <w:rFonts w:ascii="宋体" w:hAnsi="宋体" w:cs="宋体"/>
          <w:b/>
          <w:bCs/>
          <w:color w:val="auto"/>
          <w:kern w:val="0"/>
          <w:sz w:val="22"/>
          <w:szCs w:val="22"/>
          <w:highlight w:val="none"/>
          <w:u w:val="single"/>
        </w:rPr>
      </w:pPr>
      <w:r>
        <w:rPr>
          <w:rFonts w:hint="eastAsia" w:ascii="宋体" w:hAnsi="宋体" w:cs="宋体"/>
          <w:b/>
          <w:bCs/>
          <w:color w:val="auto"/>
          <w:kern w:val="0"/>
          <w:sz w:val="22"/>
          <w:szCs w:val="22"/>
          <w:highlight w:val="none"/>
          <w:u w:val="single"/>
        </w:rPr>
        <w:t>供应商在规定时间内未提交二次（最终）报价的。</w:t>
      </w:r>
    </w:p>
    <w:p w14:paraId="1E856A56">
      <w:pPr>
        <w:spacing w:line="400" w:lineRule="exact"/>
        <w:ind w:left="676" w:leftChars="17" w:hanging="640" w:hangingChars="290"/>
        <w:rPr>
          <w:rFonts w:ascii="宋体" w:hAnsi="宋体" w:cs="宋体"/>
          <w:b/>
          <w:bCs/>
          <w:color w:val="auto"/>
          <w:sz w:val="22"/>
          <w:szCs w:val="22"/>
          <w:highlight w:val="none"/>
          <w:u w:val="single"/>
        </w:rPr>
      </w:pPr>
      <w:r>
        <w:rPr>
          <w:rFonts w:hint="eastAsia" w:ascii="宋体" w:hAnsi="宋体" w:cs="宋体"/>
          <w:b/>
          <w:bCs/>
          <w:color w:val="auto"/>
          <w:sz w:val="22"/>
          <w:szCs w:val="22"/>
          <w:highlight w:val="none"/>
        </w:rPr>
        <w:t>4.2</w:t>
      </w:r>
      <w:r>
        <w:rPr>
          <w:rFonts w:hint="eastAsia" w:ascii="宋体" w:hAnsi="宋体" w:cs="宋体"/>
          <w:color w:val="auto"/>
          <w:sz w:val="22"/>
          <w:szCs w:val="22"/>
          <w:highlight w:val="none"/>
        </w:rPr>
        <w:t>▲</w:t>
      </w:r>
      <w:r>
        <w:rPr>
          <w:rFonts w:hint="eastAsia" w:ascii="宋体" w:hAnsi="宋体" w:cs="宋体"/>
          <w:b/>
          <w:bCs/>
          <w:color w:val="auto"/>
          <w:sz w:val="22"/>
          <w:szCs w:val="22"/>
          <w:highlight w:val="none"/>
          <w:u w:val="single"/>
        </w:rPr>
        <w:t>在磋商过程中，有下列情况之一的，经磋商小组认定后按无效报价处理：</w:t>
      </w:r>
    </w:p>
    <w:p w14:paraId="3CC4BE9E">
      <w:pPr>
        <w:numPr>
          <w:ilvl w:val="0"/>
          <w:numId w:val="27"/>
        </w:numPr>
        <w:spacing w:line="400" w:lineRule="exact"/>
        <w:rPr>
          <w:rFonts w:ascii="宋体" w:hAnsi="宋体" w:cs="宋体"/>
          <w:b/>
          <w:bCs/>
          <w:color w:val="auto"/>
          <w:kern w:val="0"/>
          <w:sz w:val="22"/>
          <w:szCs w:val="22"/>
          <w:highlight w:val="none"/>
          <w:u w:val="single"/>
        </w:rPr>
      </w:pPr>
      <w:r>
        <w:rPr>
          <w:rFonts w:hint="eastAsia" w:ascii="宋体" w:hAnsi="宋体" w:cs="宋体"/>
          <w:b/>
          <w:bCs/>
          <w:color w:val="auto"/>
          <w:kern w:val="0"/>
          <w:sz w:val="22"/>
          <w:szCs w:val="22"/>
          <w:highlight w:val="none"/>
          <w:u w:val="single"/>
        </w:rPr>
        <w:t>电子响应文件未按规定进行CA电子签章；</w:t>
      </w:r>
    </w:p>
    <w:p w14:paraId="2790EFF7">
      <w:pPr>
        <w:numPr>
          <w:ilvl w:val="0"/>
          <w:numId w:val="27"/>
        </w:numPr>
        <w:spacing w:line="400" w:lineRule="exact"/>
        <w:rPr>
          <w:rFonts w:ascii="宋体" w:hAnsi="宋体" w:cs="宋体"/>
          <w:b/>
          <w:bCs/>
          <w:color w:val="auto"/>
          <w:kern w:val="0"/>
          <w:sz w:val="22"/>
          <w:szCs w:val="22"/>
          <w:highlight w:val="none"/>
          <w:u w:val="single"/>
        </w:rPr>
      </w:pPr>
      <w:r>
        <w:rPr>
          <w:rFonts w:hint="eastAsia" w:ascii="宋体" w:hAnsi="宋体" w:cs="宋体"/>
          <w:b/>
          <w:bCs/>
          <w:color w:val="auto"/>
          <w:kern w:val="0"/>
          <w:sz w:val="22"/>
          <w:szCs w:val="22"/>
          <w:highlight w:val="none"/>
          <w:u w:val="single"/>
        </w:rPr>
        <w:t>响应文件中要求供应商法定代表人或授权代表签字的地方无法定代表人签字或其授权代表签字的；</w:t>
      </w:r>
    </w:p>
    <w:p w14:paraId="3470D13F">
      <w:pPr>
        <w:numPr>
          <w:ilvl w:val="0"/>
          <w:numId w:val="27"/>
        </w:numPr>
        <w:spacing w:line="400" w:lineRule="exact"/>
        <w:rPr>
          <w:rFonts w:ascii="宋体" w:hAnsi="宋体" w:cs="宋体"/>
          <w:b/>
          <w:bCs/>
          <w:color w:val="auto"/>
          <w:kern w:val="0"/>
          <w:sz w:val="22"/>
          <w:szCs w:val="22"/>
          <w:highlight w:val="none"/>
          <w:u w:val="single"/>
        </w:rPr>
      </w:pPr>
      <w:r>
        <w:rPr>
          <w:rFonts w:hint="eastAsia" w:ascii="宋体" w:hAnsi="宋体" w:cs="宋体"/>
          <w:b/>
          <w:bCs/>
          <w:color w:val="auto"/>
          <w:kern w:val="0"/>
          <w:sz w:val="22"/>
          <w:szCs w:val="22"/>
          <w:highlight w:val="none"/>
          <w:u w:val="single"/>
        </w:rPr>
        <w:t>授权代表没有法定代表人合法、有效委托的；</w:t>
      </w:r>
    </w:p>
    <w:p w14:paraId="0B33F29B">
      <w:pPr>
        <w:numPr>
          <w:ilvl w:val="0"/>
          <w:numId w:val="27"/>
        </w:numPr>
        <w:spacing w:line="400" w:lineRule="exact"/>
        <w:rPr>
          <w:rFonts w:ascii="宋体" w:hAnsi="宋体" w:cs="宋体"/>
          <w:b/>
          <w:bCs/>
          <w:color w:val="auto"/>
          <w:kern w:val="0"/>
          <w:sz w:val="22"/>
          <w:szCs w:val="22"/>
          <w:highlight w:val="none"/>
          <w:u w:val="single"/>
        </w:rPr>
      </w:pPr>
      <w:r>
        <w:rPr>
          <w:rFonts w:hint="eastAsia" w:ascii="宋体" w:hAnsi="宋体" w:cs="宋体"/>
          <w:b/>
          <w:bCs/>
          <w:color w:val="auto"/>
          <w:kern w:val="0"/>
          <w:sz w:val="22"/>
          <w:szCs w:val="22"/>
          <w:highlight w:val="none"/>
          <w:u w:val="single"/>
        </w:rPr>
        <w:t>未按磋商文件要求提供资格文件的；</w:t>
      </w:r>
    </w:p>
    <w:p w14:paraId="5B30FF18">
      <w:pPr>
        <w:numPr>
          <w:ilvl w:val="0"/>
          <w:numId w:val="27"/>
        </w:numPr>
        <w:spacing w:line="400" w:lineRule="exact"/>
        <w:rPr>
          <w:rFonts w:ascii="宋体" w:hAnsi="宋体" w:cs="宋体"/>
          <w:b/>
          <w:bCs/>
          <w:color w:val="auto"/>
          <w:kern w:val="0"/>
          <w:sz w:val="22"/>
          <w:szCs w:val="22"/>
          <w:highlight w:val="none"/>
          <w:u w:val="single"/>
        </w:rPr>
      </w:pPr>
      <w:r>
        <w:rPr>
          <w:rFonts w:hint="eastAsia" w:ascii="宋体" w:hAnsi="宋体" w:cs="宋体"/>
          <w:b/>
          <w:bCs/>
          <w:color w:val="auto"/>
          <w:kern w:val="0"/>
          <w:sz w:val="22"/>
          <w:szCs w:val="22"/>
          <w:highlight w:val="none"/>
          <w:u w:val="single"/>
        </w:rPr>
        <w:t>供应商被政府采购云平台默认自动放弃的；</w:t>
      </w:r>
    </w:p>
    <w:p w14:paraId="50A7C7F3">
      <w:pPr>
        <w:numPr>
          <w:ilvl w:val="0"/>
          <w:numId w:val="27"/>
        </w:numPr>
        <w:spacing w:line="400" w:lineRule="exact"/>
        <w:rPr>
          <w:rFonts w:ascii="宋体" w:hAnsi="宋体" w:cs="宋体"/>
          <w:b/>
          <w:bCs/>
          <w:color w:val="auto"/>
          <w:kern w:val="0"/>
          <w:sz w:val="22"/>
          <w:szCs w:val="22"/>
          <w:highlight w:val="none"/>
          <w:u w:val="single"/>
        </w:rPr>
      </w:pPr>
      <w:r>
        <w:rPr>
          <w:rFonts w:hint="eastAsia" w:ascii="宋体" w:hAnsi="宋体" w:cs="宋体"/>
          <w:b/>
          <w:bCs/>
          <w:color w:val="auto"/>
          <w:kern w:val="0"/>
          <w:sz w:val="22"/>
          <w:szCs w:val="22"/>
          <w:highlight w:val="none"/>
          <w:u w:val="single"/>
        </w:rPr>
        <w:t>电子响应文件内容不全或关键字迹模糊无法辨认的；</w:t>
      </w:r>
    </w:p>
    <w:p w14:paraId="043C54EA">
      <w:pPr>
        <w:numPr>
          <w:ilvl w:val="0"/>
          <w:numId w:val="27"/>
        </w:numPr>
        <w:spacing w:line="400" w:lineRule="exact"/>
        <w:rPr>
          <w:rFonts w:ascii="宋体" w:hAnsi="宋体" w:cs="宋体"/>
          <w:b/>
          <w:bCs/>
          <w:color w:val="auto"/>
          <w:kern w:val="0"/>
          <w:sz w:val="22"/>
          <w:szCs w:val="22"/>
          <w:highlight w:val="none"/>
          <w:u w:val="single"/>
        </w:rPr>
      </w:pPr>
      <w:r>
        <w:rPr>
          <w:rFonts w:hint="eastAsia" w:ascii="宋体" w:hAnsi="宋体" w:cs="宋体"/>
          <w:b/>
          <w:bCs/>
          <w:color w:val="auto"/>
          <w:kern w:val="0"/>
          <w:sz w:val="22"/>
          <w:szCs w:val="22"/>
          <w:highlight w:val="none"/>
          <w:u w:val="single"/>
        </w:rPr>
        <w:t>磋商供应商递交两份或多份内容不同的电子响应文件的；</w:t>
      </w:r>
    </w:p>
    <w:p w14:paraId="401AE952">
      <w:pPr>
        <w:numPr>
          <w:ilvl w:val="0"/>
          <w:numId w:val="27"/>
        </w:numPr>
        <w:spacing w:line="400" w:lineRule="exact"/>
        <w:rPr>
          <w:rFonts w:ascii="宋体" w:hAnsi="宋体" w:cs="宋体"/>
          <w:b/>
          <w:bCs/>
          <w:color w:val="auto"/>
          <w:kern w:val="0"/>
          <w:sz w:val="22"/>
          <w:szCs w:val="22"/>
          <w:highlight w:val="none"/>
          <w:u w:val="single"/>
        </w:rPr>
      </w:pPr>
      <w:r>
        <w:rPr>
          <w:rFonts w:hint="eastAsia" w:ascii="宋体" w:hAnsi="宋体" w:cs="宋体"/>
          <w:b/>
          <w:bCs/>
          <w:color w:val="auto"/>
          <w:kern w:val="0"/>
          <w:sz w:val="22"/>
          <w:szCs w:val="22"/>
          <w:highlight w:val="none"/>
          <w:u w:val="single"/>
        </w:rPr>
        <w:t>电子响应文件附有采购人不能接受的条件；</w:t>
      </w:r>
    </w:p>
    <w:p w14:paraId="2233ABFF">
      <w:pPr>
        <w:numPr>
          <w:ilvl w:val="0"/>
          <w:numId w:val="27"/>
        </w:numPr>
        <w:spacing w:line="400" w:lineRule="exact"/>
        <w:rPr>
          <w:rFonts w:ascii="宋体" w:hAnsi="宋体" w:cs="宋体"/>
          <w:b/>
          <w:bCs/>
          <w:color w:val="auto"/>
          <w:kern w:val="0"/>
          <w:sz w:val="22"/>
          <w:szCs w:val="22"/>
          <w:highlight w:val="none"/>
          <w:u w:val="single"/>
        </w:rPr>
      </w:pPr>
      <w:r>
        <w:rPr>
          <w:rFonts w:hint="eastAsia" w:ascii="宋体" w:hAnsi="宋体" w:cs="宋体"/>
          <w:b/>
          <w:bCs/>
          <w:color w:val="auto"/>
          <w:kern w:val="0"/>
          <w:sz w:val="22"/>
          <w:szCs w:val="22"/>
          <w:highlight w:val="none"/>
          <w:u w:val="single"/>
        </w:rPr>
        <w:t>报价明显低于其他通过符合性审查供应商的报价，有可能影响产品质量或者不能诚信履约的，且在评标现场合理的时间内不能证明其报价合理性的；</w:t>
      </w:r>
    </w:p>
    <w:p w14:paraId="39055263">
      <w:pPr>
        <w:numPr>
          <w:ilvl w:val="0"/>
          <w:numId w:val="27"/>
        </w:numPr>
        <w:spacing w:line="400" w:lineRule="exact"/>
        <w:rPr>
          <w:rFonts w:ascii="宋体" w:hAnsi="宋体" w:cs="宋体"/>
          <w:b/>
          <w:bCs/>
          <w:color w:val="auto"/>
          <w:kern w:val="0"/>
          <w:sz w:val="22"/>
          <w:szCs w:val="22"/>
          <w:highlight w:val="none"/>
          <w:u w:val="single"/>
        </w:rPr>
      </w:pPr>
      <w:r>
        <w:rPr>
          <w:rFonts w:hint="eastAsia" w:ascii="宋体" w:hAnsi="宋体" w:cs="宋体"/>
          <w:b/>
          <w:bCs/>
          <w:color w:val="auto"/>
          <w:kern w:val="0"/>
          <w:sz w:val="22"/>
          <w:szCs w:val="22"/>
          <w:highlight w:val="none"/>
          <w:u w:val="single"/>
        </w:rPr>
        <w:t>磋商报价（含一次报价、二次报价及最终报价）超过采购预算</w:t>
      </w:r>
      <w:r>
        <w:rPr>
          <w:rFonts w:hint="eastAsia" w:ascii="宋体" w:hAnsi="宋体" w:cs="宋体"/>
          <w:b/>
          <w:bCs/>
          <w:color w:val="auto"/>
          <w:kern w:val="0"/>
          <w:sz w:val="22"/>
          <w:szCs w:val="22"/>
          <w:highlight w:val="none"/>
          <w:u w:val="single"/>
          <w:lang w:val="en-US" w:eastAsia="zh-CN"/>
        </w:rPr>
        <w:t>或最高限价</w:t>
      </w:r>
      <w:r>
        <w:rPr>
          <w:rFonts w:hint="eastAsia" w:ascii="宋体" w:hAnsi="宋体" w:cs="宋体"/>
          <w:b/>
          <w:bCs/>
          <w:color w:val="auto"/>
          <w:kern w:val="0"/>
          <w:sz w:val="22"/>
          <w:szCs w:val="22"/>
          <w:highlight w:val="none"/>
          <w:u w:val="single"/>
        </w:rPr>
        <w:t>的；</w:t>
      </w:r>
    </w:p>
    <w:p w14:paraId="77AB9B1C">
      <w:pPr>
        <w:numPr>
          <w:ilvl w:val="0"/>
          <w:numId w:val="27"/>
        </w:numPr>
        <w:spacing w:line="400" w:lineRule="exact"/>
        <w:rPr>
          <w:rFonts w:ascii="宋体" w:hAnsi="宋体" w:cs="宋体"/>
          <w:b/>
          <w:bCs/>
          <w:color w:val="auto"/>
          <w:kern w:val="0"/>
          <w:sz w:val="22"/>
          <w:szCs w:val="22"/>
          <w:highlight w:val="none"/>
          <w:u w:val="single"/>
        </w:rPr>
      </w:pPr>
      <w:r>
        <w:rPr>
          <w:rFonts w:hint="eastAsia" w:ascii="宋体" w:hAnsi="宋体" w:cs="宋体"/>
          <w:b/>
          <w:bCs/>
          <w:color w:val="auto"/>
          <w:kern w:val="0"/>
          <w:sz w:val="22"/>
          <w:szCs w:val="22"/>
          <w:highlight w:val="none"/>
          <w:u w:val="single"/>
        </w:rPr>
        <w:t>磋商小组认定不符合法律、法规和磋商文件中规定的其他实质性要求的。</w:t>
      </w:r>
    </w:p>
    <w:p w14:paraId="10BF11B2">
      <w:pPr>
        <w:pStyle w:val="203"/>
        <w:spacing w:line="400" w:lineRule="exact"/>
        <w:ind w:firstLine="0" w:firstLineChars="0"/>
        <w:rPr>
          <w:rFonts w:ascii="宋体" w:hAnsi="宋体" w:cs="宋体"/>
          <w:b/>
          <w:bCs/>
          <w:color w:val="auto"/>
          <w:sz w:val="22"/>
          <w:szCs w:val="22"/>
          <w:highlight w:val="none"/>
        </w:rPr>
      </w:pPr>
      <w:r>
        <w:rPr>
          <w:rFonts w:hint="eastAsia" w:ascii="宋体" w:hAnsi="宋体" w:cs="宋体"/>
          <w:color w:val="auto"/>
          <w:sz w:val="22"/>
          <w:szCs w:val="22"/>
          <w:highlight w:val="none"/>
        </w:rPr>
        <w:t>4.3▲</w:t>
      </w:r>
      <w:r>
        <w:rPr>
          <w:rFonts w:hint="eastAsia" w:ascii="宋体" w:hAnsi="宋体" w:cs="宋体"/>
          <w:b/>
          <w:bCs/>
          <w:color w:val="auto"/>
          <w:sz w:val="22"/>
          <w:szCs w:val="22"/>
          <w:highlight w:val="none"/>
          <w:u w:val="single"/>
        </w:rPr>
        <w:t>有下列情形之一的，认定为串通投标行为，按无效标处理：</w:t>
      </w:r>
    </w:p>
    <w:p w14:paraId="11FDDB18">
      <w:pPr>
        <w:numPr>
          <w:ilvl w:val="0"/>
          <w:numId w:val="28"/>
        </w:numPr>
        <w:spacing w:line="400" w:lineRule="exact"/>
        <w:rPr>
          <w:rFonts w:ascii="宋体" w:hAnsi="宋体" w:cs="宋体"/>
          <w:b/>
          <w:bCs/>
          <w:color w:val="auto"/>
          <w:kern w:val="0"/>
          <w:sz w:val="22"/>
          <w:szCs w:val="22"/>
          <w:highlight w:val="none"/>
          <w:u w:val="single"/>
        </w:rPr>
      </w:pPr>
      <w:r>
        <w:rPr>
          <w:rFonts w:hint="eastAsia" w:ascii="宋体" w:hAnsi="宋体" w:cs="宋体"/>
          <w:b/>
          <w:bCs/>
          <w:color w:val="auto"/>
          <w:kern w:val="0"/>
          <w:sz w:val="22"/>
          <w:szCs w:val="22"/>
          <w:highlight w:val="none"/>
          <w:u w:val="single"/>
        </w:rPr>
        <w:t>不同供应商的磋商响应文件由同一单位（或个人）编制；</w:t>
      </w:r>
    </w:p>
    <w:p w14:paraId="512DC513">
      <w:pPr>
        <w:numPr>
          <w:ilvl w:val="0"/>
          <w:numId w:val="28"/>
        </w:numPr>
        <w:spacing w:line="400" w:lineRule="exact"/>
        <w:rPr>
          <w:rFonts w:ascii="宋体" w:hAnsi="宋体" w:cs="宋体"/>
          <w:b/>
          <w:bCs/>
          <w:color w:val="auto"/>
          <w:kern w:val="0"/>
          <w:sz w:val="22"/>
          <w:szCs w:val="22"/>
          <w:highlight w:val="none"/>
          <w:u w:val="single"/>
        </w:rPr>
      </w:pPr>
      <w:r>
        <w:rPr>
          <w:rFonts w:hint="eastAsia" w:ascii="宋体" w:hAnsi="宋体" w:cs="宋体"/>
          <w:b/>
          <w:bCs/>
          <w:color w:val="auto"/>
          <w:kern w:val="0"/>
          <w:sz w:val="22"/>
          <w:szCs w:val="22"/>
          <w:highlight w:val="none"/>
          <w:u w:val="single"/>
        </w:rPr>
        <w:t>不同供应商委托同一人办理磋商事宜的或不同供应商与同一供应商联合磋商的；</w:t>
      </w:r>
    </w:p>
    <w:p w14:paraId="2FE1E7C4">
      <w:pPr>
        <w:numPr>
          <w:ilvl w:val="0"/>
          <w:numId w:val="28"/>
        </w:numPr>
        <w:spacing w:line="400" w:lineRule="exact"/>
        <w:rPr>
          <w:rFonts w:ascii="宋体" w:hAnsi="宋体" w:cs="宋体"/>
          <w:b/>
          <w:bCs/>
          <w:color w:val="auto"/>
          <w:kern w:val="0"/>
          <w:sz w:val="22"/>
          <w:szCs w:val="22"/>
          <w:highlight w:val="none"/>
          <w:u w:val="single"/>
        </w:rPr>
      </w:pPr>
      <w:r>
        <w:rPr>
          <w:rFonts w:hint="eastAsia" w:ascii="宋体" w:hAnsi="宋体" w:cs="宋体"/>
          <w:b/>
          <w:bCs/>
          <w:color w:val="auto"/>
          <w:kern w:val="0"/>
          <w:sz w:val="22"/>
          <w:szCs w:val="22"/>
          <w:highlight w:val="none"/>
          <w:u w:val="single"/>
        </w:rPr>
        <w:t>不同供应商的磋商响应文件内容出现非正常一致，或者报价细目呈明显规律性变化；</w:t>
      </w:r>
    </w:p>
    <w:p w14:paraId="0C0EA6D0">
      <w:pPr>
        <w:numPr>
          <w:ilvl w:val="0"/>
          <w:numId w:val="28"/>
        </w:numPr>
        <w:spacing w:line="400" w:lineRule="exact"/>
        <w:rPr>
          <w:rFonts w:ascii="宋体" w:hAnsi="宋体" w:cs="宋体"/>
          <w:b/>
          <w:bCs/>
          <w:color w:val="auto"/>
          <w:kern w:val="0"/>
          <w:sz w:val="22"/>
          <w:szCs w:val="22"/>
          <w:highlight w:val="none"/>
          <w:u w:val="single"/>
        </w:rPr>
      </w:pPr>
      <w:r>
        <w:rPr>
          <w:rFonts w:hint="eastAsia" w:ascii="宋体" w:hAnsi="宋体" w:cs="宋体"/>
          <w:b/>
          <w:bCs/>
          <w:color w:val="auto"/>
          <w:kern w:val="0"/>
          <w:sz w:val="22"/>
          <w:szCs w:val="22"/>
          <w:highlight w:val="none"/>
          <w:u w:val="single"/>
        </w:rPr>
        <w:t>不同供应商的磋商响应文件载明的项目管理人员出现同一人的情况；</w:t>
      </w:r>
    </w:p>
    <w:p w14:paraId="7AFD8CB3">
      <w:pPr>
        <w:numPr>
          <w:ilvl w:val="0"/>
          <w:numId w:val="28"/>
        </w:numPr>
        <w:spacing w:line="400" w:lineRule="exact"/>
        <w:rPr>
          <w:rFonts w:ascii="宋体" w:hAnsi="宋体" w:cs="宋体"/>
          <w:b/>
          <w:bCs/>
          <w:color w:val="auto"/>
          <w:kern w:val="0"/>
          <w:sz w:val="22"/>
          <w:szCs w:val="22"/>
          <w:highlight w:val="none"/>
          <w:u w:val="single"/>
        </w:rPr>
      </w:pPr>
      <w:r>
        <w:rPr>
          <w:rFonts w:hint="eastAsia" w:ascii="宋体" w:hAnsi="宋体" w:cs="宋体"/>
          <w:b/>
          <w:bCs/>
          <w:color w:val="auto"/>
          <w:kern w:val="0"/>
          <w:sz w:val="22"/>
          <w:szCs w:val="22"/>
          <w:highlight w:val="none"/>
          <w:u w:val="single"/>
        </w:rPr>
        <w:t>不同供应商的磋商响应文件相互混装；</w:t>
      </w:r>
    </w:p>
    <w:p w14:paraId="1092CB82">
      <w:pPr>
        <w:numPr>
          <w:ilvl w:val="0"/>
          <w:numId w:val="28"/>
        </w:numPr>
        <w:spacing w:line="400" w:lineRule="exact"/>
        <w:rPr>
          <w:rFonts w:ascii="宋体" w:hAnsi="宋体" w:cs="宋体"/>
          <w:b/>
          <w:bCs/>
          <w:color w:val="auto"/>
          <w:kern w:val="0"/>
          <w:sz w:val="22"/>
          <w:szCs w:val="22"/>
          <w:highlight w:val="none"/>
          <w:u w:val="single"/>
        </w:rPr>
      </w:pPr>
      <w:r>
        <w:rPr>
          <w:rFonts w:hint="eastAsia" w:ascii="宋体" w:hAnsi="宋体" w:cs="宋体"/>
          <w:b/>
          <w:bCs/>
          <w:color w:val="auto"/>
          <w:kern w:val="0"/>
          <w:sz w:val="22"/>
          <w:szCs w:val="22"/>
          <w:highlight w:val="none"/>
          <w:u w:val="single"/>
        </w:rPr>
        <w:t>法律、法规或规章规定的其他串通投标行为。</w:t>
      </w:r>
    </w:p>
    <w:p w14:paraId="33C10DA5">
      <w:pPr>
        <w:spacing w:line="400" w:lineRule="exact"/>
        <w:ind w:left="674" w:leftChars="17" w:hanging="638" w:hangingChars="290"/>
        <w:rPr>
          <w:rFonts w:ascii="宋体" w:hAnsi="宋体" w:cs="宋体"/>
          <w:color w:val="auto"/>
          <w:sz w:val="22"/>
          <w:szCs w:val="22"/>
          <w:highlight w:val="none"/>
        </w:rPr>
      </w:pPr>
      <w:r>
        <w:rPr>
          <w:rFonts w:hint="eastAsia" w:ascii="宋体" w:hAnsi="宋体" w:cs="宋体"/>
          <w:color w:val="auto"/>
          <w:sz w:val="22"/>
          <w:szCs w:val="22"/>
          <w:highlight w:val="none"/>
        </w:rPr>
        <w:t>5．确定成交候选人</w:t>
      </w:r>
    </w:p>
    <w:p w14:paraId="5B982900">
      <w:pPr>
        <w:spacing w:line="400" w:lineRule="exact"/>
        <w:ind w:left="674" w:leftChars="17" w:hanging="638" w:hangingChars="290"/>
        <w:rPr>
          <w:rFonts w:ascii="宋体" w:hAnsi="宋体" w:cs="宋体"/>
          <w:color w:val="auto"/>
          <w:sz w:val="22"/>
          <w:szCs w:val="22"/>
          <w:highlight w:val="none"/>
        </w:rPr>
      </w:pPr>
      <w:r>
        <w:rPr>
          <w:rFonts w:hint="eastAsia" w:ascii="宋体" w:hAnsi="宋体" w:cs="宋体"/>
          <w:color w:val="auto"/>
          <w:sz w:val="22"/>
          <w:szCs w:val="22"/>
          <w:highlight w:val="none"/>
        </w:rPr>
        <w:t>5.1  本次采购由采购人确定成交候选人。</w:t>
      </w:r>
    </w:p>
    <w:p w14:paraId="28FAA181">
      <w:pPr>
        <w:spacing w:line="400" w:lineRule="exact"/>
        <w:ind w:left="674" w:leftChars="17" w:hanging="638" w:hangingChars="290"/>
        <w:rPr>
          <w:rFonts w:ascii="宋体" w:hAnsi="宋体" w:cs="宋体"/>
          <w:color w:val="auto"/>
          <w:sz w:val="22"/>
          <w:szCs w:val="22"/>
          <w:highlight w:val="none"/>
        </w:rPr>
      </w:pPr>
      <w:r>
        <w:rPr>
          <w:rFonts w:hint="eastAsia" w:ascii="宋体" w:hAnsi="宋体" w:cs="宋体"/>
          <w:color w:val="auto"/>
          <w:sz w:val="22"/>
          <w:szCs w:val="22"/>
          <w:highlight w:val="none"/>
        </w:rPr>
        <w:t>5.2  磋商小组应当根据综合评分情况，按照综合得分由高到低顺序推荐3名以上成交候选供应商。</w:t>
      </w:r>
      <w:r>
        <w:rPr>
          <w:rFonts w:hint="eastAsia" w:ascii="宋体" w:hAnsi="宋体" w:cs="宋体"/>
          <w:bCs/>
          <w:color w:val="auto"/>
          <w:sz w:val="22"/>
          <w:highlight w:val="none"/>
        </w:rPr>
        <w:t>综合得分相同的，以报价分得分高的优先；综合得分相同且报价分得分相同的，由磋商小组抽签决定。</w:t>
      </w:r>
    </w:p>
    <w:p w14:paraId="434B71C6">
      <w:pPr>
        <w:spacing w:line="400" w:lineRule="exact"/>
        <w:ind w:left="674" w:leftChars="17" w:hanging="638" w:hangingChars="290"/>
        <w:rPr>
          <w:rFonts w:ascii="宋体" w:hAnsi="宋体" w:cs="宋体"/>
          <w:color w:val="auto"/>
          <w:sz w:val="22"/>
          <w:szCs w:val="22"/>
          <w:highlight w:val="none"/>
        </w:rPr>
      </w:pPr>
      <w:r>
        <w:rPr>
          <w:rFonts w:hint="eastAsia" w:ascii="宋体" w:hAnsi="宋体" w:cs="宋体"/>
          <w:color w:val="auto"/>
          <w:sz w:val="22"/>
          <w:szCs w:val="22"/>
          <w:highlight w:val="none"/>
        </w:rPr>
        <w:t>5.3  排名第一的成交候选人放弃成交或因不可抗力提出不能履行合同；或未能在规定时间内与采购人签订合同的；或者经质疑，采购人审查后，确认因排名第一的候选人在本次采购活动中存在违法违规行为或其他原因使质疑成立的，采购人可以视情况依次确定排名第二、第三的成交候选人为成交供应商。</w:t>
      </w:r>
    </w:p>
    <w:p w14:paraId="62373625">
      <w:pPr>
        <w:tabs>
          <w:tab w:val="left" w:pos="540"/>
        </w:tabs>
        <w:spacing w:line="400" w:lineRule="exact"/>
        <w:ind w:left="552" w:hanging="552" w:hangingChars="250"/>
        <w:rPr>
          <w:rFonts w:ascii="宋体" w:hAnsi="宋体" w:cs="宋体"/>
          <w:b/>
          <w:color w:val="auto"/>
          <w:kern w:val="0"/>
          <w:sz w:val="22"/>
          <w:szCs w:val="22"/>
          <w:highlight w:val="none"/>
          <w:u w:val="single"/>
        </w:rPr>
      </w:pPr>
      <w:r>
        <w:rPr>
          <w:rFonts w:hint="eastAsia" w:ascii="宋体" w:hAnsi="宋体" w:cs="宋体"/>
          <w:b/>
          <w:color w:val="auto"/>
          <w:kern w:val="0"/>
          <w:sz w:val="22"/>
          <w:szCs w:val="22"/>
          <w:highlight w:val="none"/>
        </w:rPr>
        <w:t>6．▲</w:t>
      </w:r>
      <w:r>
        <w:rPr>
          <w:rFonts w:hint="eastAsia" w:ascii="宋体" w:hAnsi="宋体" w:cs="宋体"/>
          <w:b/>
          <w:color w:val="auto"/>
          <w:kern w:val="0"/>
          <w:sz w:val="22"/>
          <w:szCs w:val="22"/>
          <w:highlight w:val="none"/>
          <w:u w:val="single"/>
        </w:rPr>
        <w:t>磋商小组认为供应商的报价明显低于其他通过符合性审查供应商的报价，有可能影响工程质量或者不能诚信履约的，应当要求其在合理的时间内提供书面说明，必要时提交相关证明材料；供应商不能证明其报价合理性的，磋商小组应当将其作为无效标处理。</w:t>
      </w:r>
    </w:p>
    <w:p w14:paraId="4DBF5F3D">
      <w:pPr>
        <w:tabs>
          <w:tab w:val="left" w:pos="540"/>
        </w:tabs>
        <w:spacing w:line="400" w:lineRule="exact"/>
        <w:ind w:left="550" w:hanging="550" w:hangingChars="250"/>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   </w:t>
      </w:r>
      <w:r>
        <w:rPr>
          <w:rFonts w:hint="eastAsia" w:ascii="宋体" w:hAnsi="宋体" w:cs="宋体"/>
          <w:b/>
          <w:color w:val="auto"/>
          <w:kern w:val="0"/>
          <w:sz w:val="22"/>
          <w:szCs w:val="22"/>
          <w:highlight w:val="none"/>
        </w:rPr>
        <w:t>评审过程中遇到特殊情况，由磋商</w:t>
      </w:r>
      <w:r>
        <w:rPr>
          <w:rFonts w:hint="eastAsia" w:ascii="宋体" w:hAnsi="宋体" w:cs="宋体"/>
          <w:b/>
          <w:color w:val="auto"/>
          <w:kern w:val="0"/>
          <w:sz w:val="22"/>
          <w:szCs w:val="22"/>
          <w:highlight w:val="none"/>
          <w:lang w:eastAsia="zh-CN"/>
        </w:rPr>
        <w:t>小组</w:t>
      </w:r>
      <w:r>
        <w:rPr>
          <w:rFonts w:hint="eastAsia" w:ascii="宋体" w:hAnsi="宋体" w:cs="宋体"/>
          <w:b/>
          <w:color w:val="auto"/>
          <w:kern w:val="0"/>
          <w:sz w:val="22"/>
          <w:szCs w:val="22"/>
          <w:highlight w:val="none"/>
        </w:rPr>
        <w:t>遵循公开、公正原则，采取投票方式按照少数服从多数原则决定。</w:t>
      </w:r>
    </w:p>
    <w:p w14:paraId="09401734">
      <w:pPr>
        <w:tabs>
          <w:tab w:val="left" w:pos="540"/>
        </w:tabs>
        <w:spacing w:line="400" w:lineRule="exact"/>
        <w:ind w:left="552" w:hanging="552" w:hangingChars="250"/>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8.　▲</w:t>
      </w:r>
      <w:r>
        <w:rPr>
          <w:rFonts w:hint="eastAsia" w:ascii="宋体" w:hAnsi="宋体" w:cs="宋体"/>
          <w:b/>
          <w:color w:val="auto"/>
          <w:kern w:val="0"/>
          <w:sz w:val="22"/>
          <w:szCs w:val="22"/>
          <w:highlight w:val="none"/>
          <w:u w:val="single"/>
        </w:rPr>
        <w:t>在磋商过程中符合竞争要求的供应商或者</w:t>
      </w:r>
      <w:r>
        <w:rPr>
          <w:rFonts w:hint="eastAsia" w:ascii="宋体" w:hAnsi="宋体" w:cs="宋体"/>
          <w:b/>
          <w:color w:val="auto"/>
          <w:sz w:val="22"/>
          <w:szCs w:val="22"/>
          <w:highlight w:val="none"/>
          <w:u w:val="single"/>
        </w:rPr>
        <w:t>最后磋商</w:t>
      </w:r>
      <w:r>
        <w:rPr>
          <w:rFonts w:hint="eastAsia" w:ascii="宋体" w:hAnsi="宋体" w:cs="宋体"/>
          <w:b/>
          <w:color w:val="auto"/>
          <w:kern w:val="0"/>
          <w:sz w:val="22"/>
          <w:szCs w:val="22"/>
          <w:highlight w:val="none"/>
          <w:u w:val="single"/>
        </w:rPr>
        <w:t>最终报价未超过采购预算的供应商不足3家</w:t>
      </w:r>
      <w:r>
        <w:rPr>
          <w:rFonts w:hint="eastAsia" w:ascii="宋体" w:hAnsi="宋体" w:cs="宋体"/>
          <w:b/>
          <w:color w:val="auto"/>
          <w:sz w:val="22"/>
          <w:szCs w:val="22"/>
          <w:highlight w:val="none"/>
          <w:u w:val="single"/>
        </w:rPr>
        <w:t>的，</w:t>
      </w:r>
      <w:r>
        <w:rPr>
          <w:rFonts w:hint="eastAsia" w:ascii="宋体" w:hAnsi="宋体" w:cs="宋体"/>
          <w:b/>
          <w:bCs/>
          <w:color w:val="auto"/>
          <w:sz w:val="22"/>
          <w:szCs w:val="22"/>
          <w:highlight w:val="none"/>
          <w:u w:val="single"/>
        </w:rPr>
        <w:t>按以下情况处理</w:t>
      </w:r>
      <w:r>
        <w:rPr>
          <w:rFonts w:hint="eastAsia" w:ascii="宋体" w:hAnsi="宋体" w:cs="宋体"/>
          <w:b/>
          <w:color w:val="auto"/>
          <w:kern w:val="0"/>
          <w:sz w:val="22"/>
          <w:szCs w:val="22"/>
          <w:highlight w:val="none"/>
          <w:u w:val="single"/>
        </w:rPr>
        <w:t>：</w:t>
      </w:r>
    </w:p>
    <w:p w14:paraId="606AA0F8">
      <w:pPr>
        <w:tabs>
          <w:tab w:val="left" w:pos="540"/>
        </w:tabs>
        <w:spacing w:line="400" w:lineRule="exact"/>
        <w:ind w:left="549" w:leftChars="209" w:hanging="110" w:hangingChars="50"/>
        <w:rPr>
          <w:rFonts w:ascii="宋体" w:hAnsi="宋体" w:cs="宋体"/>
          <w:bCs/>
          <w:color w:val="auto"/>
          <w:sz w:val="22"/>
          <w:szCs w:val="22"/>
          <w:highlight w:val="none"/>
          <w:u w:val="single"/>
        </w:rPr>
      </w:pPr>
      <w:r>
        <w:rPr>
          <w:rFonts w:hint="eastAsia" w:ascii="宋体" w:hAnsi="宋体" w:cs="宋体"/>
          <w:bCs/>
          <w:color w:val="auto"/>
          <w:sz w:val="22"/>
          <w:szCs w:val="22"/>
          <w:highlight w:val="none"/>
          <w:u w:val="single"/>
        </w:rPr>
        <w:t>1）磋商过程中符合竞争要求的供应商或者最终报价未超过采购预算的供应商为2家，如满足《财政部关于政府采购竞争性磋商采购方式管理暂行办法有关问题的补充通知》的相关规定，则继续评审磋商程序，按照两名供应商的综合得分排名推荐为第一、第二成交候选供应商；如未满足，则本项目流标，重新组织采购流程。</w:t>
      </w:r>
    </w:p>
    <w:p w14:paraId="64956303">
      <w:pPr>
        <w:tabs>
          <w:tab w:val="left" w:pos="540"/>
        </w:tabs>
        <w:spacing w:line="400" w:lineRule="exact"/>
        <w:ind w:left="549" w:leftChars="209" w:hanging="110" w:hangingChars="50"/>
        <w:rPr>
          <w:rFonts w:ascii="宋体" w:hAnsi="宋体" w:cs="宋体"/>
          <w:bCs/>
          <w:color w:val="auto"/>
          <w:sz w:val="22"/>
          <w:szCs w:val="22"/>
          <w:highlight w:val="none"/>
          <w:u w:val="single"/>
        </w:rPr>
      </w:pPr>
      <w:r>
        <w:rPr>
          <w:rFonts w:hint="eastAsia" w:ascii="宋体" w:hAnsi="宋体" w:cs="宋体"/>
          <w:bCs/>
          <w:color w:val="auto"/>
          <w:sz w:val="22"/>
          <w:szCs w:val="22"/>
          <w:highlight w:val="none"/>
          <w:u w:val="single"/>
        </w:rPr>
        <w:t>2）磋商过程中符合竞争要求的供应商或者最终报价未超过采购预算的供应商仅有1家，本项目流标，应重新组织采购流程。</w:t>
      </w:r>
    </w:p>
    <w:p w14:paraId="462342CC">
      <w:pPr>
        <w:spacing w:line="400" w:lineRule="exact"/>
        <w:ind w:left="674" w:leftChars="17" w:hanging="638" w:hangingChars="290"/>
        <w:rPr>
          <w:rFonts w:ascii="宋体" w:hAnsi="宋体" w:cs="宋体"/>
          <w:color w:val="auto"/>
          <w:sz w:val="22"/>
          <w:szCs w:val="22"/>
          <w:highlight w:val="none"/>
        </w:rPr>
      </w:pPr>
      <w:r>
        <w:rPr>
          <w:rFonts w:hint="eastAsia" w:ascii="宋体" w:hAnsi="宋体" w:cs="宋体"/>
          <w:color w:val="auto"/>
          <w:sz w:val="22"/>
          <w:szCs w:val="22"/>
          <w:highlight w:val="none"/>
        </w:rPr>
        <w:t>9．  磋商小组不向未成交供应商解释未成交原因，不退还电子响应文件。</w:t>
      </w:r>
    </w:p>
    <w:p w14:paraId="3A6CE895">
      <w:pPr>
        <w:spacing w:line="400" w:lineRule="exact"/>
        <w:rPr>
          <w:rFonts w:ascii="宋体" w:hAnsi="宋体" w:cs="宋体"/>
          <w:bCs/>
          <w:color w:val="auto"/>
          <w:sz w:val="22"/>
          <w:szCs w:val="22"/>
          <w:highlight w:val="none"/>
        </w:rPr>
      </w:pPr>
      <w:r>
        <w:rPr>
          <w:rFonts w:hint="eastAsia" w:ascii="宋体" w:hAnsi="宋体" w:cs="宋体"/>
          <w:bCs/>
          <w:color w:val="auto"/>
          <w:sz w:val="22"/>
          <w:szCs w:val="22"/>
          <w:highlight w:val="none"/>
        </w:rPr>
        <w:t>10．  可中止电子交易活动的情形</w:t>
      </w:r>
    </w:p>
    <w:p w14:paraId="445C8C6A">
      <w:pPr>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采购过程中出现以下情形，导致电子交易平台无法正常运行，或者无法保证电子交易的公平、公正和安全时，采购组织机构可中止电子交易活动：</w:t>
      </w:r>
    </w:p>
    <w:p w14:paraId="2285B610">
      <w:pPr>
        <w:numPr>
          <w:ilvl w:val="0"/>
          <w:numId w:val="29"/>
        </w:numPr>
        <w:spacing w:line="400" w:lineRule="exact"/>
        <w:ind w:firstLine="6"/>
        <w:rPr>
          <w:rFonts w:ascii="宋体" w:hAnsi="宋体" w:cs="宋体"/>
          <w:bCs/>
          <w:color w:val="auto"/>
          <w:sz w:val="22"/>
          <w:szCs w:val="22"/>
          <w:highlight w:val="none"/>
        </w:rPr>
      </w:pPr>
      <w:r>
        <w:rPr>
          <w:rFonts w:hint="eastAsia" w:ascii="宋体" w:hAnsi="宋体" w:cs="宋体"/>
          <w:bCs/>
          <w:color w:val="auto"/>
          <w:sz w:val="22"/>
          <w:szCs w:val="22"/>
          <w:highlight w:val="none"/>
        </w:rPr>
        <w:t>电子交易平台发生故障而无法登录访问的；</w:t>
      </w:r>
    </w:p>
    <w:p w14:paraId="0B866096">
      <w:pPr>
        <w:numPr>
          <w:ilvl w:val="0"/>
          <w:numId w:val="29"/>
        </w:numPr>
        <w:spacing w:line="400" w:lineRule="exact"/>
        <w:ind w:firstLine="6"/>
        <w:rPr>
          <w:rFonts w:ascii="宋体" w:hAnsi="宋体" w:cs="宋体"/>
          <w:bCs/>
          <w:color w:val="auto"/>
          <w:sz w:val="22"/>
          <w:szCs w:val="22"/>
          <w:highlight w:val="none"/>
        </w:rPr>
      </w:pPr>
      <w:r>
        <w:rPr>
          <w:rFonts w:hint="eastAsia" w:ascii="宋体" w:hAnsi="宋体" w:cs="宋体"/>
          <w:bCs/>
          <w:color w:val="auto"/>
          <w:sz w:val="22"/>
          <w:szCs w:val="22"/>
          <w:highlight w:val="none"/>
        </w:rPr>
        <w:t>电子交易平台应用或数据库出现错误，不能进行正常操作的；</w:t>
      </w:r>
    </w:p>
    <w:p w14:paraId="4E8219E8">
      <w:pPr>
        <w:numPr>
          <w:ilvl w:val="0"/>
          <w:numId w:val="29"/>
        </w:numPr>
        <w:spacing w:line="400" w:lineRule="exact"/>
        <w:ind w:firstLine="6"/>
        <w:rPr>
          <w:rFonts w:ascii="宋体" w:hAnsi="宋体" w:cs="宋体"/>
          <w:bCs/>
          <w:color w:val="auto"/>
          <w:sz w:val="22"/>
          <w:szCs w:val="22"/>
          <w:highlight w:val="none"/>
        </w:rPr>
      </w:pPr>
      <w:r>
        <w:rPr>
          <w:rFonts w:hint="eastAsia" w:ascii="宋体" w:hAnsi="宋体" w:cs="宋体"/>
          <w:bCs/>
          <w:color w:val="auto"/>
          <w:sz w:val="22"/>
          <w:szCs w:val="22"/>
          <w:highlight w:val="none"/>
        </w:rPr>
        <w:t>电子交易平台发现严重安全漏洞，有潜在泄密危险的；</w:t>
      </w:r>
    </w:p>
    <w:p w14:paraId="4B2D88BF">
      <w:pPr>
        <w:numPr>
          <w:ilvl w:val="0"/>
          <w:numId w:val="29"/>
        </w:numPr>
        <w:spacing w:line="400" w:lineRule="exact"/>
        <w:ind w:firstLine="6"/>
        <w:rPr>
          <w:rFonts w:ascii="宋体" w:hAnsi="宋体" w:cs="宋体"/>
          <w:bCs/>
          <w:color w:val="auto"/>
          <w:sz w:val="22"/>
          <w:szCs w:val="22"/>
          <w:highlight w:val="none"/>
        </w:rPr>
      </w:pPr>
      <w:r>
        <w:rPr>
          <w:rFonts w:hint="eastAsia" w:ascii="宋体" w:hAnsi="宋体" w:cs="宋体"/>
          <w:bCs/>
          <w:color w:val="auto"/>
          <w:sz w:val="22"/>
          <w:szCs w:val="22"/>
          <w:highlight w:val="none"/>
        </w:rPr>
        <w:t>电子交易平台确认病毒发作导致不能进行正常操作的；</w:t>
      </w:r>
    </w:p>
    <w:p w14:paraId="1A21BDBE">
      <w:pPr>
        <w:numPr>
          <w:ilvl w:val="0"/>
          <w:numId w:val="29"/>
        </w:numPr>
        <w:spacing w:line="400" w:lineRule="exact"/>
        <w:ind w:firstLine="6"/>
        <w:rPr>
          <w:rFonts w:ascii="宋体" w:hAnsi="宋体" w:cs="宋体"/>
          <w:bCs/>
          <w:color w:val="auto"/>
          <w:sz w:val="22"/>
          <w:szCs w:val="22"/>
          <w:highlight w:val="none"/>
        </w:rPr>
      </w:pPr>
      <w:r>
        <w:rPr>
          <w:rFonts w:hint="eastAsia" w:ascii="宋体" w:hAnsi="宋体" w:cs="宋体"/>
          <w:bCs/>
          <w:color w:val="auto"/>
          <w:sz w:val="22"/>
          <w:szCs w:val="22"/>
          <w:highlight w:val="none"/>
        </w:rPr>
        <w:t>其他无法保证电子交易的公平、公正和安全的情况。</w:t>
      </w:r>
    </w:p>
    <w:p w14:paraId="4163A094">
      <w:pPr>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出现前款规定情形，不影响采购公平、公正性的，采购组织机构可以待上述情形消除后继续组织电子交易活动；影响或可能影响采购公平、公正性的，应当重新采购未详尽事宜，遵照有关法律法规执行。</w:t>
      </w:r>
    </w:p>
    <w:p w14:paraId="5415C693">
      <w:pPr>
        <w:spacing w:line="400" w:lineRule="exact"/>
        <w:ind w:left="674" w:leftChars="17" w:hanging="638" w:hangingChars="290"/>
        <w:rPr>
          <w:rFonts w:ascii="宋体" w:hAnsi="宋体" w:cs="宋体"/>
          <w:color w:val="auto"/>
          <w:sz w:val="22"/>
          <w:szCs w:val="22"/>
          <w:highlight w:val="none"/>
        </w:rPr>
      </w:pPr>
      <w:r>
        <w:rPr>
          <w:rFonts w:hint="eastAsia" w:ascii="宋体" w:hAnsi="宋体" w:cs="宋体"/>
          <w:color w:val="auto"/>
          <w:sz w:val="22"/>
          <w:szCs w:val="22"/>
          <w:highlight w:val="none"/>
        </w:rPr>
        <w:t>11.  磋商和评审方法详见《磋商原则及方法》。</w:t>
      </w:r>
    </w:p>
    <w:p w14:paraId="084350B7">
      <w:pPr>
        <w:spacing w:line="400" w:lineRule="exact"/>
        <w:ind w:left="674" w:leftChars="17" w:hanging="638" w:hangingChars="290"/>
        <w:rPr>
          <w:rFonts w:ascii="宋体" w:hAnsi="宋体" w:cs="宋体"/>
          <w:color w:val="auto"/>
          <w:sz w:val="22"/>
          <w:szCs w:val="22"/>
          <w:highlight w:val="none"/>
        </w:rPr>
      </w:pPr>
      <w:r>
        <w:rPr>
          <w:rFonts w:hint="eastAsia" w:ascii="宋体" w:hAnsi="宋体" w:cs="宋体"/>
          <w:color w:val="auto"/>
          <w:sz w:val="22"/>
          <w:szCs w:val="22"/>
          <w:highlight w:val="none"/>
        </w:rPr>
        <w:t>12．  未详尽事宜，遵照有关法律法规执行。</w:t>
      </w:r>
    </w:p>
    <w:p w14:paraId="38A38969">
      <w:pPr>
        <w:spacing w:before="100" w:beforeAutospacing="1" w:after="100" w:afterAutospacing="1" w:line="440" w:lineRule="exact"/>
        <w:ind w:left="783" w:hanging="783" w:hangingChars="300"/>
        <w:jc w:val="center"/>
        <w:outlineLvl w:val="0"/>
        <w:rPr>
          <w:rFonts w:ascii="宋体" w:hAnsi="宋体" w:cs="宋体"/>
          <w:b/>
          <w:bCs/>
          <w:color w:val="auto"/>
          <w:sz w:val="26"/>
          <w:szCs w:val="26"/>
          <w:highlight w:val="none"/>
        </w:rPr>
      </w:pPr>
      <w:bookmarkStart w:id="119" w:name="_Toc221356889"/>
      <w:bookmarkStart w:id="120" w:name="_Toc12141"/>
      <w:bookmarkStart w:id="121" w:name="_Toc241404204"/>
      <w:bookmarkStart w:id="122" w:name="_Toc246261267"/>
      <w:bookmarkStart w:id="123" w:name="_Toc11411"/>
      <w:bookmarkStart w:id="124" w:name="_Toc222114881"/>
      <w:bookmarkStart w:id="125" w:name="_Toc221374628"/>
      <w:bookmarkStart w:id="126" w:name="_Toc32288"/>
      <w:bookmarkStart w:id="127" w:name="_Toc239145356"/>
      <w:bookmarkStart w:id="128" w:name="_Toc422225256"/>
      <w:bookmarkStart w:id="129" w:name="_Toc262049420"/>
      <w:bookmarkStart w:id="130" w:name="_Toc245722283"/>
      <w:bookmarkStart w:id="131" w:name="_Toc249758714"/>
      <w:bookmarkStart w:id="132" w:name="_Toc262105505"/>
      <w:bookmarkStart w:id="133" w:name="_Toc221356953"/>
      <w:bookmarkStart w:id="134" w:name="_Toc221423621"/>
      <w:bookmarkStart w:id="135" w:name="_Toc223716000"/>
      <w:bookmarkStart w:id="136" w:name="_Toc245191316"/>
      <w:bookmarkStart w:id="137" w:name="_Toc249758866"/>
      <w:r>
        <w:rPr>
          <w:rFonts w:hint="eastAsia" w:ascii="宋体" w:hAnsi="宋体" w:cs="宋体"/>
          <w:b/>
          <w:bCs/>
          <w:color w:val="auto"/>
          <w:sz w:val="26"/>
          <w:szCs w:val="26"/>
          <w:highlight w:val="none"/>
        </w:rPr>
        <w:t>七、定标及授予合同</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375AD80C">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1. 定标</w:t>
      </w:r>
    </w:p>
    <w:p w14:paraId="07828933">
      <w:pPr>
        <w:spacing w:line="400" w:lineRule="exact"/>
        <w:rPr>
          <w:rFonts w:ascii="宋体" w:hAnsi="宋体" w:cs="宋体"/>
          <w:color w:val="auto"/>
          <w:kern w:val="0"/>
          <w:sz w:val="22"/>
          <w:szCs w:val="22"/>
          <w:highlight w:val="none"/>
        </w:rPr>
      </w:pPr>
      <w:r>
        <w:rPr>
          <w:rFonts w:hint="eastAsia" w:ascii="宋体" w:hAnsi="宋体" w:cs="宋体"/>
          <w:color w:val="auto"/>
          <w:sz w:val="22"/>
          <w:szCs w:val="22"/>
          <w:highlight w:val="none"/>
        </w:rPr>
        <w:t>1.1 磋商小组提交评审报告之日起2个工作日内，</w:t>
      </w:r>
      <w:r>
        <w:rPr>
          <w:rFonts w:hint="eastAsia" w:ascii="宋体" w:hAnsi="宋体" w:cs="宋体"/>
          <w:color w:val="auto"/>
          <w:kern w:val="0"/>
          <w:sz w:val="22"/>
          <w:szCs w:val="22"/>
          <w:highlight w:val="none"/>
        </w:rPr>
        <w:t>采购人在磋商小组推荐的成交候选供应商名单中最终确定成交供应商。</w:t>
      </w:r>
    </w:p>
    <w:p w14:paraId="5F01B234">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1.2 采购代理机构在“政采云”平台上公示成交结果，成交公告期限为1个工作日。</w:t>
      </w:r>
    </w:p>
    <w:p w14:paraId="630108C2">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1.3 各供应商对结果如有异议，可在公示之日起7个工作日内以书面形式向采购人进行署名投诉或提出质疑，但需对投诉或质疑内容的真实性承担法律责任。</w:t>
      </w:r>
    </w:p>
    <w:p w14:paraId="65FB1809">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1.4 在公示成交结果的同时，采购人向成交供应商发出成交通知书。</w:t>
      </w:r>
    </w:p>
    <w:p w14:paraId="06C7930E">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2. 签订合同</w:t>
      </w:r>
    </w:p>
    <w:p w14:paraId="507F15F8">
      <w:pPr>
        <w:tabs>
          <w:tab w:val="left" w:pos="540"/>
        </w:tabs>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2.1公示期结束后，成交供应商须在5个工作日内主动联系采购人或采购机构领取成交通知书。成交供应商应当在成交通知书发出之日起30日内与采购人签订合同。成交供应商未经采购人许可，在规定时间内未到采购人处与采购人签订合同，则视为拒签合同。</w:t>
      </w:r>
    </w:p>
    <w:p w14:paraId="07D5B815">
      <w:pPr>
        <w:tabs>
          <w:tab w:val="left" w:pos="540"/>
        </w:tabs>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2.2 竞争性磋商文件、成交供应商的磋商响应文件及磋商响应修改文件、磋商评审过程中有关澄清文件及经双方签字的询标纪要（承诺）和成交通知书均作为合同附件。</w:t>
      </w:r>
    </w:p>
    <w:p w14:paraId="5D994B5B">
      <w:pPr>
        <w:tabs>
          <w:tab w:val="left" w:pos="540"/>
        </w:tabs>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2.3 拒签合同的责任</w:t>
      </w:r>
    </w:p>
    <w:p w14:paraId="1C5D94E7">
      <w:pPr>
        <w:tabs>
          <w:tab w:val="left" w:pos="540"/>
        </w:tabs>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2.4 成交供应商在规定时间内（30日历天）借故否认已经承诺的条件、拒签合同者，以投标违约处理，赔偿采购人由此造成的直接经济损失；采购人重新组织</w:t>
      </w:r>
      <w:r>
        <w:rPr>
          <w:rFonts w:hint="eastAsia" w:ascii="宋体" w:hAnsi="宋体" w:cs="宋体"/>
          <w:color w:val="auto"/>
          <w:sz w:val="22"/>
          <w:szCs w:val="22"/>
          <w:highlight w:val="none"/>
          <w:lang w:val="en-US" w:eastAsia="zh-CN"/>
        </w:rPr>
        <w:t>采购活动</w:t>
      </w:r>
      <w:r>
        <w:rPr>
          <w:rFonts w:hint="eastAsia" w:ascii="宋体" w:hAnsi="宋体" w:cs="宋体"/>
          <w:color w:val="auto"/>
          <w:sz w:val="22"/>
          <w:szCs w:val="22"/>
          <w:highlight w:val="none"/>
        </w:rPr>
        <w:t>的，所需费用由原成交供应商承担。</w:t>
      </w:r>
    </w:p>
    <w:p w14:paraId="46A2C2C1">
      <w:pPr>
        <w:numPr>
          <w:ilvl w:val="0"/>
          <w:numId w:val="22"/>
        </w:num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2.5成交供应商应在合同签订后2个工作日内提交一份合同文本扫描件报采购代理机构备案</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发送至采购代理机构邮箱</w:t>
      </w:r>
      <w:r>
        <w:rPr>
          <w:rFonts w:hint="eastAsia" w:ascii="宋体" w:hAnsi="宋体" w:cs="宋体"/>
          <w:color w:val="auto"/>
          <w:sz w:val="22"/>
          <w:szCs w:val="22"/>
          <w:highlight w:val="none"/>
          <w:lang w:eastAsia="zh-CN"/>
        </w:rPr>
        <w:t>244726069@qq.com）</w:t>
      </w:r>
      <w:r>
        <w:rPr>
          <w:rFonts w:hint="eastAsia" w:ascii="宋体" w:hAnsi="宋体" w:cs="宋体"/>
          <w:color w:val="auto"/>
          <w:sz w:val="22"/>
          <w:szCs w:val="22"/>
          <w:highlight w:val="none"/>
        </w:rPr>
        <w:t>。</w:t>
      </w:r>
    </w:p>
    <w:p w14:paraId="39DD5E33">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3.成交供应商有以下情况的，则采购人有权决定是否将其成交资格转交成交备选供应商或重新组织项目采购流程：</w:t>
      </w:r>
    </w:p>
    <w:p w14:paraId="0EFBA892">
      <w:pPr>
        <w:numPr>
          <w:ilvl w:val="0"/>
          <w:numId w:val="30"/>
        </w:numPr>
        <w:spacing w:line="400" w:lineRule="exact"/>
        <w:ind w:firstLine="418" w:firstLineChars="190"/>
        <w:rPr>
          <w:rFonts w:ascii="宋体" w:hAnsi="宋体" w:cs="宋体"/>
          <w:bCs/>
          <w:color w:val="auto"/>
          <w:sz w:val="22"/>
          <w:szCs w:val="22"/>
          <w:highlight w:val="none"/>
          <w:lang w:val="zh-CN"/>
        </w:rPr>
      </w:pPr>
      <w:r>
        <w:rPr>
          <w:rFonts w:hint="eastAsia" w:ascii="宋体" w:hAnsi="宋体" w:cs="宋体"/>
          <w:bCs/>
          <w:color w:val="auto"/>
          <w:sz w:val="22"/>
          <w:szCs w:val="22"/>
          <w:highlight w:val="none"/>
          <w:lang w:val="zh-CN"/>
        </w:rPr>
        <w:t>成交供应商主动放弃成交资格；</w:t>
      </w:r>
    </w:p>
    <w:p w14:paraId="5F12224A">
      <w:pPr>
        <w:numPr>
          <w:ilvl w:val="0"/>
          <w:numId w:val="30"/>
        </w:numPr>
        <w:spacing w:line="400" w:lineRule="exact"/>
        <w:ind w:firstLine="418" w:firstLineChars="190"/>
        <w:rPr>
          <w:rFonts w:ascii="宋体" w:hAnsi="宋体" w:cs="宋体"/>
          <w:bCs/>
          <w:color w:val="auto"/>
          <w:sz w:val="22"/>
          <w:szCs w:val="22"/>
          <w:highlight w:val="none"/>
          <w:lang w:val="zh-CN"/>
        </w:rPr>
      </w:pPr>
      <w:r>
        <w:rPr>
          <w:rFonts w:hint="eastAsia" w:ascii="宋体" w:hAnsi="宋体" w:cs="宋体"/>
          <w:bCs/>
          <w:color w:val="auto"/>
          <w:sz w:val="22"/>
          <w:szCs w:val="22"/>
          <w:highlight w:val="none"/>
          <w:lang w:val="zh-CN"/>
        </w:rPr>
        <w:t>成交供应商因不可抗力提出不能履行合同；</w:t>
      </w:r>
    </w:p>
    <w:p w14:paraId="6738EB5E">
      <w:pPr>
        <w:numPr>
          <w:ilvl w:val="0"/>
          <w:numId w:val="30"/>
        </w:numPr>
        <w:spacing w:line="400" w:lineRule="exact"/>
        <w:ind w:firstLine="418" w:firstLineChars="190"/>
        <w:rPr>
          <w:rFonts w:ascii="宋体" w:hAnsi="宋体" w:cs="宋体"/>
          <w:bCs/>
          <w:color w:val="auto"/>
          <w:sz w:val="22"/>
          <w:szCs w:val="22"/>
          <w:highlight w:val="none"/>
          <w:lang w:val="zh-CN"/>
        </w:rPr>
      </w:pPr>
      <w:r>
        <w:rPr>
          <w:rFonts w:hint="eastAsia" w:ascii="宋体" w:hAnsi="宋体" w:cs="宋体"/>
          <w:bCs/>
          <w:color w:val="auto"/>
          <w:sz w:val="22"/>
          <w:szCs w:val="22"/>
          <w:highlight w:val="none"/>
          <w:lang w:val="zh-CN"/>
        </w:rPr>
        <w:t>成交供应商未能在规定时间内与采购人签订合同；</w:t>
      </w:r>
    </w:p>
    <w:p w14:paraId="3CEC4A6C">
      <w:pPr>
        <w:numPr>
          <w:ilvl w:val="0"/>
          <w:numId w:val="30"/>
        </w:numPr>
        <w:spacing w:line="400" w:lineRule="exact"/>
        <w:ind w:firstLine="418" w:firstLineChars="190"/>
        <w:rPr>
          <w:rFonts w:ascii="宋体" w:hAnsi="宋体" w:cs="宋体"/>
          <w:bCs/>
          <w:color w:val="auto"/>
          <w:sz w:val="22"/>
          <w:szCs w:val="22"/>
          <w:highlight w:val="none"/>
        </w:rPr>
      </w:pPr>
      <w:r>
        <w:rPr>
          <w:rFonts w:hint="eastAsia" w:ascii="宋体" w:hAnsi="宋体" w:cs="宋体"/>
          <w:bCs/>
          <w:color w:val="auto"/>
          <w:sz w:val="22"/>
          <w:szCs w:val="22"/>
          <w:highlight w:val="none"/>
          <w:lang w:val="zh-CN"/>
        </w:rPr>
        <w:t>经质疑，采购人审查后，成交供应商确实在本次采购活动中存在违法违规行为或其他原因使质疑成立的。</w:t>
      </w:r>
    </w:p>
    <w:p w14:paraId="46EDBA9E">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4.根据《浙江省财政厅关于明确政府采购保证金管理工作的通知》（浙财采监〔2019〕5号）规定“供应商在政府采购活动中违反政府采购相关规定给采购组织机构造成损失的，采购组织机构可按照采购文件约定要求供应商承担赔偿责任。”的规定，对放弃中标（成交）资格的供应商，需承担代理费和专家评审费等费用。</w:t>
      </w:r>
    </w:p>
    <w:p w14:paraId="779E91D5">
      <w:pPr>
        <w:spacing w:before="100" w:beforeAutospacing="1" w:after="100" w:afterAutospacing="1" w:line="440" w:lineRule="exact"/>
        <w:ind w:left="783" w:hanging="783" w:hangingChars="300"/>
        <w:jc w:val="center"/>
        <w:outlineLvl w:val="0"/>
        <w:rPr>
          <w:rFonts w:hint="eastAsia" w:ascii="宋体" w:hAnsi="宋体" w:eastAsia="宋体" w:cs="宋体"/>
          <w:b/>
          <w:bCs/>
          <w:color w:val="auto"/>
          <w:sz w:val="26"/>
          <w:szCs w:val="26"/>
          <w:highlight w:val="none"/>
          <w:lang w:val="en-US" w:eastAsia="zh-CN"/>
        </w:rPr>
      </w:pPr>
      <w:bookmarkStart w:id="138" w:name="_Toc18423"/>
      <w:bookmarkStart w:id="139" w:name="_Toc25540"/>
      <w:r>
        <w:rPr>
          <w:rFonts w:hint="eastAsia" w:ascii="宋体" w:hAnsi="宋体" w:eastAsia="宋体" w:cs="宋体"/>
          <w:b/>
          <w:bCs/>
          <w:color w:val="auto"/>
          <w:sz w:val="26"/>
          <w:szCs w:val="26"/>
          <w:highlight w:val="none"/>
          <w:lang w:val="en-US" w:eastAsia="zh-CN"/>
        </w:rPr>
        <w:t>八、验收</w:t>
      </w:r>
      <w:bookmarkEnd w:id="138"/>
      <w:bookmarkEnd w:id="139"/>
    </w:p>
    <w:p w14:paraId="1AC8DEF1">
      <w:pPr>
        <w:keepNext w:val="0"/>
        <w:keepLines w:val="0"/>
        <w:pageBreakBefore w:val="0"/>
        <w:widowControl w:val="0"/>
        <w:numPr>
          <w:ilvl w:val="0"/>
          <w:numId w:val="31"/>
        </w:numPr>
        <w:tabs>
          <w:tab w:val="left" w:pos="540"/>
          <w:tab w:val="clear" w:pos="420"/>
        </w:tabs>
        <w:kinsoku/>
        <w:wordWrap/>
        <w:overflowPunct/>
        <w:topLinePunct w:val="0"/>
        <w:autoSpaceDE/>
        <w:autoSpaceDN/>
        <w:bidi w:val="0"/>
        <w:adjustRightInd/>
        <w:snapToGrid/>
        <w:spacing w:line="400" w:lineRule="exact"/>
        <w:ind w:left="420" w:hanging="420"/>
        <w:textAlignment w:val="auto"/>
        <w:rPr>
          <w:rFonts w:hint="eastAsia" w:ascii="宋体" w:hAnsi="宋体" w:eastAsia="宋体" w:cs="Arial"/>
          <w:bCs/>
          <w:color w:val="auto"/>
          <w:sz w:val="22"/>
          <w:szCs w:val="22"/>
          <w:highlight w:val="none"/>
          <w:lang w:val="en-US" w:eastAsia="zh-CN"/>
        </w:rPr>
      </w:pPr>
      <w:r>
        <w:rPr>
          <w:rFonts w:hint="eastAsia" w:ascii="宋体" w:hAnsi="宋体" w:eastAsia="宋体" w:cs="Arial"/>
          <w:bCs/>
          <w:color w:val="auto"/>
          <w:sz w:val="22"/>
          <w:szCs w:val="22"/>
          <w:highlight w:val="none"/>
          <w:lang w:val="en-US" w:eastAsia="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C30244A">
      <w:pPr>
        <w:keepNext w:val="0"/>
        <w:keepLines w:val="0"/>
        <w:pageBreakBefore w:val="0"/>
        <w:widowControl w:val="0"/>
        <w:numPr>
          <w:ilvl w:val="0"/>
          <w:numId w:val="31"/>
        </w:numPr>
        <w:tabs>
          <w:tab w:val="left" w:pos="540"/>
          <w:tab w:val="clear" w:pos="420"/>
        </w:tabs>
        <w:kinsoku/>
        <w:wordWrap/>
        <w:overflowPunct/>
        <w:topLinePunct w:val="0"/>
        <w:autoSpaceDE/>
        <w:autoSpaceDN/>
        <w:bidi w:val="0"/>
        <w:adjustRightInd/>
        <w:snapToGrid/>
        <w:spacing w:line="400" w:lineRule="exact"/>
        <w:ind w:left="420" w:hanging="420"/>
        <w:textAlignment w:val="auto"/>
        <w:rPr>
          <w:rFonts w:hint="eastAsia" w:ascii="宋体" w:hAnsi="宋体" w:eastAsia="宋体" w:cs="Arial"/>
          <w:bCs/>
          <w:color w:val="auto"/>
          <w:sz w:val="22"/>
          <w:szCs w:val="22"/>
          <w:highlight w:val="none"/>
          <w:lang w:val="en-US" w:eastAsia="zh-CN"/>
        </w:rPr>
      </w:pPr>
      <w:r>
        <w:rPr>
          <w:rFonts w:hint="eastAsia" w:ascii="宋体" w:hAnsi="宋体" w:eastAsia="宋体" w:cs="Arial"/>
          <w:bCs/>
          <w:color w:val="auto"/>
          <w:sz w:val="22"/>
          <w:szCs w:val="22"/>
          <w:highlight w:val="none"/>
          <w:lang w:val="en-US" w:eastAsia="zh-CN"/>
        </w:rPr>
        <w:t>采购人可以邀请参加本项目的其他供应商或者第三方机构参与验收。参与验收的供应商或者第三方机构的意见作为验收书的参考资料一并存档。</w:t>
      </w:r>
    </w:p>
    <w:p w14:paraId="2C78025F">
      <w:pPr>
        <w:keepNext w:val="0"/>
        <w:keepLines w:val="0"/>
        <w:pageBreakBefore w:val="0"/>
        <w:widowControl w:val="0"/>
        <w:numPr>
          <w:ilvl w:val="0"/>
          <w:numId w:val="31"/>
        </w:numPr>
        <w:tabs>
          <w:tab w:val="left" w:pos="540"/>
          <w:tab w:val="clear" w:pos="420"/>
        </w:tabs>
        <w:kinsoku/>
        <w:wordWrap/>
        <w:overflowPunct/>
        <w:topLinePunct w:val="0"/>
        <w:autoSpaceDE/>
        <w:autoSpaceDN/>
        <w:bidi w:val="0"/>
        <w:adjustRightInd/>
        <w:snapToGrid/>
        <w:spacing w:line="400" w:lineRule="exact"/>
        <w:ind w:left="420" w:hanging="420"/>
        <w:textAlignment w:val="auto"/>
        <w:rPr>
          <w:rFonts w:hint="eastAsia" w:ascii="宋体" w:hAnsi="宋体" w:eastAsia="宋体" w:cs="Arial"/>
          <w:bCs/>
          <w:color w:val="auto"/>
          <w:sz w:val="22"/>
          <w:szCs w:val="22"/>
          <w:highlight w:val="none"/>
          <w:lang w:val="en-US" w:eastAsia="zh-CN"/>
        </w:rPr>
      </w:pPr>
      <w:r>
        <w:rPr>
          <w:rFonts w:hint="eastAsia" w:ascii="宋体" w:hAnsi="宋体" w:eastAsia="宋体" w:cs="Arial"/>
          <w:bCs/>
          <w:color w:val="auto"/>
          <w:sz w:val="22"/>
          <w:szCs w:val="22"/>
          <w:highlight w:val="none"/>
          <w:lang w:val="en-US" w:eastAsia="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6021E10F">
      <w:pPr>
        <w:keepNext w:val="0"/>
        <w:keepLines w:val="0"/>
        <w:pageBreakBefore w:val="0"/>
        <w:widowControl w:val="0"/>
        <w:numPr>
          <w:ilvl w:val="0"/>
          <w:numId w:val="31"/>
        </w:numPr>
        <w:tabs>
          <w:tab w:val="left" w:pos="540"/>
          <w:tab w:val="clear" w:pos="420"/>
        </w:tabs>
        <w:kinsoku/>
        <w:wordWrap/>
        <w:overflowPunct/>
        <w:topLinePunct w:val="0"/>
        <w:autoSpaceDE/>
        <w:autoSpaceDN/>
        <w:bidi w:val="0"/>
        <w:adjustRightInd/>
        <w:snapToGrid/>
        <w:spacing w:line="400" w:lineRule="exact"/>
        <w:ind w:left="420" w:hanging="420"/>
        <w:textAlignment w:val="auto"/>
        <w:rPr>
          <w:rFonts w:hint="eastAsia" w:ascii="宋体" w:hAnsi="宋体" w:eastAsia="宋体" w:cs="Arial"/>
          <w:bCs/>
          <w:color w:val="auto"/>
          <w:sz w:val="22"/>
          <w:szCs w:val="22"/>
          <w:highlight w:val="none"/>
          <w:lang w:val="en-US" w:eastAsia="zh-CN"/>
        </w:rPr>
      </w:pPr>
      <w:r>
        <w:rPr>
          <w:rFonts w:hint="eastAsia" w:ascii="宋体" w:hAnsi="宋体" w:eastAsia="宋体" w:cs="Arial"/>
          <w:bCs/>
          <w:color w:val="auto"/>
          <w:sz w:val="22"/>
          <w:szCs w:val="22"/>
          <w:highlight w:val="none"/>
          <w:lang w:val="en-US" w:eastAsia="zh-CN"/>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A201DA8">
      <w:pPr>
        <w:keepNext w:val="0"/>
        <w:keepLines w:val="0"/>
        <w:pageBreakBefore w:val="0"/>
        <w:widowControl w:val="0"/>
        <w:numPr>
          <w:ilvl w:val="0"/>
          <w:numId w:val="31"/>
        </w:numPr>
        <w:tabs>
          <w:tab w:val="left" w:pos="540"/>
          <w:tab w:val="clear" w:pos="420"/>
        </w:tabs>
        <w:kinsoku/>
        <w:wordWrap/>
        <w:overflowPunct/>
        <w:topLinePunct w:val="0"/>
        <w:autoSpaceDE/>
        <w:autoSpaceDN/>
        <w:bidi w:val="0"/>
        <w:adjustRightInd/>
        <w:snapToGrid/>
        <w:spacing w:line="400" w:lineRule="exact"/>
        <w:ind w:left="420" w:hanging="420"/>
        <w:textAlignment w:val="auto"/>
        <w:rPr>
          <w:rFonts w:hint="eastAsia" w:ascii="宋体" w:hAnsi="宋体" w:eastAsia="宋体" w:cs="Arial"/>
          <w:b/>
          <w:bCs w:val="0"/>
          <w:color w:val="auto"/>
          <w:sz w:val="22"/>
          <w:szCs w:val="22"/>
          <w:highlight w:val="none"/>
          <w:lang w:val="en-US" w:eastAsia="zh-CN"/>
        </w:rPr>
      </w:pPr>
      <w:bookmarkStart w:id="140" w:name="_Hlt68072990"/>
      <w:bookmarkEnd w:id="140"/>
      <w:bookmarkStart w:id="141" w:name="_Hlt68073093"/>
      <w:bookmarkEnd w:id="141"/>
      <w:bookmarkStart w:id="142" w:name="_Hlt75236011"/>
      <w:bookmarkEnd w:id="142"/>
      <w:bookmarkStart w:id="143" w:name="_Hlt68403820"/>
      <w:bookmarkEnd w:id="143"/>
      <w:bookmarkStart w:id="144" w:name="_Hlt74729768"/>
      <w:bookmarkEnd w:id="144"/>
      <w:bookmarkStart w:id="145" w:name="_Hlt74714665"/>
      <w:bookmarkEnd w:id="145"/>
      <w:bookmarkStart w:id="146" w:name="_Hlt74730295"/>
      <w:bookmarkEnd w:id="146"/>
      <w:bookmarkStart w:id="147" w:name="_Hlt75236101"/>
      <w:bookmarkEnd w:id="147"/>
      <w:bookmarkStart w:id="148" w:name="_Hlt74707468"/>
      <w:bookmarkEnd w:id="148"/>
      <w:bookmarkStart w:id="149" w:name="_Hlt68057669"/>
      <w:bookmarkEnd w:id="149"/>
      <w:bookmarkStart w:id="150" w:name="_Hlt68072998"/>
      <w:bookmarkEnd w:id="150"/>
      <w:bookmarkStart w:id="151" w:name="_Hlt75236290"/>
      <w:bookmarkEnd w:id="151"/>
      <w:r>
        <w:rPr>
          <w:rFonts w:hint="eastAsia" w:ascii="宋体" w:hAnsi="宋体" w:eastAsia="宋体" w:cs="Arial"/>
          <w:b/>
          <w:bCs w:val="0"/>
          <w:color w:val="auto"/>
          <w:sz w:val="22"/>
          <w:szCs w:val="22"/>
          <w:highlight w:val="none"/>
          <w:lang w:val="en-US" w:eastAsia="zh-CN"/>
        </w:rPr>
        <w:t>履约验收费用由供应商承担，因供应商原因造成验收不通过的，再次验收的费用仍由供应商承担。如采用简易验收的，则不需要支付该笔费用。</w:t>
      </w:r>
    </w:p>
    <w:p w14:paraId="42F7013F">
      <w:pPr>
        <w:pStyle w:val="5"/>
        <w:spacing w:line="400" w:lineRule="exact"/>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bookmarkStart w:id="152" w:name="_Toc29173"/>
      <w:r>
        <w:rPr>
          <w:rFonts w:hint="eastAsia" w:ascii="宋体" w:hAnsi="宋体" w:eastAsia="宋体" w:cs="宋体"/>
          <w:color w:val="auto"/>
          <w:sz w:val="36"/>
          <w:szCs w:val="36"/>
          <w:highlight w:val="none"/>
        </w:rPr>
        <w:t>第二部分   采购内容及要求</w:t>
      </w:r>
      <w:bookmarkEnd w:id="152"/>
    </w:p>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14:paraId="7CB6C968">
      <w:pPr>
        <w:tabs>
          <w:tab w:val="left" w:pos="630"/>
        </w:tabs>
        <w:spacing w:line="360" w:lineRule="auto"/>
        <w:ind w:firstLine="442" w:firstLineChars="200"/>
        <w:rPr>
          <w:rFonts w:hint="default" w:ascii="宋体" w:hAnsi="宋体" w:eastAsia="宋体" w:cs="宋体"/>
          <w:b/>
          <w:bCs w:val="0"/>
          <w:color w:val="auto"/>
          <w:sz w:val="22"/>
          <w:szCs w:val="22"/>
          <w:highlight w:val="none"/>
          <w:u w:val="single"/>
          <w:lang w:val="en-US" w:eastAsia="zh-CN"/>
        </w:rPr>
      </w:pPr>
      <w:bookmarkStart w:id="153" w:name="_Toc249758718"/>
      <w:bookmarkStart w:id="154" w:name="_Toc507146682"/>
      <w:bookmarkStart w:id="155" w:name="_Toc249758870"/>
      <w:bookmarkStart w:id="156" w:name="_Toc239145359"/>
      <w:bookmarkStart w:id="157" w:name="_Toc221423624"/>
      <w:bookmarkStart w:id="158" w:name="_Toc245722286"/>
      <w:bookmarkStart w:id="159" w:name="_Toc262049424"/>
      <w:bookmarkStart w:id="160" w:name="_Toc445832494"/>
      <w:bookmarkStart w:id="161" w:name="_Toc221356956"/>
      <w:bookmarkStart w:id="162" w:name="_Toc223716003"/>
      <w:bookmarkStart w:id="163" w:name="_Toc249758719"/>
      <w:bookmarkStart w:id="164" w:name="_Toc222114884"/>
      <w:bookmarkStart w:id="165" w:name="_Toc262105509"/>
      <w:bookmarkStart w:id="166" w:name="_Toc467175860"/>
      <w:bookmarkStart w:id="167" w:name="_Toc221374631"/>
      <w:bookmarkStart w:id="168" w:name="_Toc221356892"/>
      <w:bookmarkStart w:id="169" w:name="_Toc241404207"/>
      <w:bookmarkStart w:id="170" w:name="_Toc458516429"/>
      <w:bookmarkStart w:id="171" w:name="_Toc245191319"/>
      <w:bookmarkStart w:id="172" w:name="_Toc21056"/>
      <w:bookmarkStart w:id="173" w:name="_Toc246261270"/>
      <w:bookmarkStart w:id="174" w:name="_Toc527717315"/>
    </w:p>
    <w:p w14:paraId="5FD0DBA3">
      <w:pPr>
        <w:keepNext w:val="0"/>
        <w:keepLines w:val="0"/>
        <w:pageBreakBefore w:val="0"/>
        <w:widowControl w:val="0"/>
        <w:kinsoku/>
        <w:wordWrap/>
        <w:overflowPunct/>
        <w:topLinePunct w:val="0"/>
        <w:autoSpaceDE/>
        <w:autoSpaceDN/>
        <w:bidi w:val="0"/>
        <w:adjustRightInd w:val="0"/>
        <w:snapToGrid/>
        <w:spacing w:line="360" w:lineRule="auto"/>
        <w:ind w:firstLine="420" w:firstLineChars="0"/>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为使</w:t>
      </w:r>
      <w:r>
        <w:rPr>
          <w:rFonts w:hint="eastAsia" w:asciiTheme="minorEastAsia" w:hAnsiTheme="minorEastAsia" w:eastAsiaTheme="minorEastAsia" w:cstheme="minorEastAsia"/>
          <w:bCs/>
          <w:color w:val="auto"/>
          <w:sz w:val="21"/>
          <w:szCs w:val="21"/>
          <w:highlight w:val="none"/>
          <w:lang w:eastAsia="zh-CN"/>
        </w:rPr>
        <w:t>温州市鹿城区人民政府松台街道办事处</w:t>
      </w:r>
      <w:r>
        <w:rPr>
          <w:rFonts w:hint="eastAsia" w:asciiTheme="minorEastAsia" w:hAnsiTheme="minorEastAsia" w:eastAsiaTheme="minorEastAsia" w:cstheme="minorEastAsia"/>
          <w:bCs/>
          <w:color w:val="auto"/>
          <w:sz w:val="21"/>
          <w:szCs w:val="21"/>
          <w:highlight w:val="none"/>
        </w:rPr>
        <w:t>食堂工作实现规范化管理，进一步提高食堂的管理水平和服务水平，更好地为业主方的日常工作和职工生活服务，本项目特就食堂劳务外包进行</w:t>
      </w:r>
      <w:r>
        <w:rPr>
          <w:rFonts w:hint="eastAsia" w:asciiTheme="minorEastAsia" w:hAnsiTheme="minorEastAsia" w:eastAsiaTheme="minorEastAsia" w:cstheme="minorEastAsia"/>
          <w:bCs/>
          <w:color w:val="auto"/>
          <w:sz w:val="21"/>
          <w:szCs w:val="21"/>
          <w:highlight w:val="none"/>
          <w:lang w:val="en-US" w:eastAsia="zh-CN"/>
        </w:rPr>
        <w:t>公开招标</w:t>
      </w:r>
    </w:p>
    <w:p w14:paraId="0761E954">
      <w:pPr>
        <w:pStyle w:val="222"/>
        <w:rPr>
          <w:rFonts w:hint="eastAsia" w:asciiTheme="minorEastAsia" w:hAnsiTheme="minorEastAsia" w:eastAsiaTheme="minorEastAsia" w:cstheme="minorEastAsia"/>
          <w:bCs/>
          <w:color w:val="auto"/>
          <w:sz w:val="21"/>
          <w:szCs w:val="21"/>
          <w:highlight w:val="none"/>
          <w:lang w:val="en-US" w:eastAsia="zh-CN"/>
        </w:rPr>
      </w:pPr>
    </w:p>
    <w:p w14:paraId="7BDB2135">
      <w:pPr>
        <w:autoSpaceDN w:val="0"/>
        <w:spacing w:line="360" w:lineRule="auto"/>
        <w:ind w:firstLine="632" w:firstLineChars="300"/>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一、项目情况说明</w:t>
      </w:r>
    </w:p>
    <w:p w14:paraId="46CEB742">
      <w:pPr>
        <w:spacing w:line="360" w:lineRule="auto"/>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1、食堂正常情况下的工作人员就餐情况及标准：每天用餐人员约</w:t>
      </w:r>
      <w:r>
        <w:rPr>
          <w:rFonts w:hint="eastAsia" w:asciiTheme="minorEastAsia" w:hAnsiTheme="minorEastAsia" w:eastAsiaTheme="minorEastAsia" w:cstheme="minorEastAsia"/>
          <w:bCs/>
          <w:color w:val="auto"/>
          <w:sz w:val="21"/>
          <w:szCs w:val="21"/>
          <w:highlight w:val="none"/>
          <w:lang w:val="en-US" w:eastAsia="zh-CN"/>
        </w:rPr>
        <w:t>180</w:t>
      </w:r>
      <w:r>
        <w:rPr>
          <w:rFonts w:hint="eastAsia" w:asciiTheme="minorEastAsia" w:hAnsiTheme="minorEastAsia" w:eastAsiaTheme="minorEastAsia" w:cstheme="minorEastAsia"/>
          <w:bCs/>
          <w:color w:val="auto"/>
          <w:sz w:val="21"/>
          <w:szCs w:val="21"/>
          <w:highlight w:val="none"/>
        </w:rPr>
        <w:t>人，提供早餐、中餐</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值班</w:t>
      </w:r>
      <w:r>
        <w:rPr>
          <w:rFonts w:hint="eastAsia" w:asciiTheme="minorEastAsia" w:hAnsiTheme="minorEastAsia" w:eastAsiaTheme="minorEastAsia" w:cstheme="minorEastAsia"/>
          <w:bCs/>
          <w:color w:val="auto"/>
          <w:sz w:val="21"/>
          <w:szCs w:val="21"/>
          <w:highlight w:val="none"/>
        </w:rPr>
        <w:t>，加班服务由采购人提前预定。</w:t>
      </w:r>
    </w:p>
    <w:p w14:paraId="72BCA22E">
      <w:pPr>
        <w:spacing w:line="360" w:lineRule="auto"/>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即供应商负责采购人的每日用餐所需菜谱的配制，存储、制作加工、配餐、管理等所有食堂后勤服务工作；食堂范围内的卫生保洁工作；做好物品的管理，定期进行库存物品的盘存，避免原材料过期、变质；与食堂管理员对采购的食品、蔬菜、调料、日常用品等原材料进行清点验收、保管。食堂日常的食品、蔬菜、调料等原材料的采购由采购人负责。</w:t>
      </w:r>
    </w:p>
    <w:p w14:paraId="7DD403BF">
      <w:pPr>
        <w:autoSpaceDN w:val="0"/>
        <w:spacing w:line="360" w:lineRule="auto"/>
        <w:ind w:firstLine="632" w:firstLineChars="3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3、本项目将要求供应商提供服务发票（税点包含在投标报价中）。</w:t>
      </w:r>
    </w:p>
    <w:p w14:paraId="263B00ED">
      <w:pPr>
        <w:autoSpaceDN w:val="0"/>
        <w:spacing w:line="360" w:lineRule="auto"/>
        <w:ind w:firstLine="632" w:firstLineChars="300"/>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二、承包内容及要求、承包期限</w:t>
      </w:r>
    </w:p>
    <w:p w14:paraId="028DE0F9">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本项目为</w:t>
      </w:r>
      <w:r>
        <w:rPr>
          <w:rFonts w:hint="eastAsia" w:asciiTheme="minorEastAsia" w:hAnsiTheme="minorEastAsia" w:eastAsiaTheme="minorEastAsia" w:cstheme="minorEastAsia"/>
          <w:bCs/>
          <w:color w:val="auto"/>
          <w:sz w:val="21"/>
          <w:szCs w:val="21"/>
          <w:highlight w:val="none"/>
          <w:lang w:eastAsia="zh-CN"/>
        </w:rPr>
        <w:t>202</w:t>
      </w:r>
      <w:r>
        <w:rPr>
          <w:rFonts w:hint="eastAsia" w:asciiTheme="minorEastAsia" w:hAnsiTheme="minorEastAsia" w:eastAsiaTheme="minorEastAsia" w:cstheme="minorEastAsia"/>
          <w:bCs/>
          <w:color w:val="auto"/>
          <w:sz w:val="21"/>
          <w:szCs w:val="21"/>
          <w:highlight w:val="none"/>
          <w:lang w:val="en-US" w:eastAsia="zh-CN"/>
        </w:rPr>
        <w:t>4</w:t>
      </w:r>
      <w:r>
        <w:rPr>
          <w:rFonts w:hint="eastAsia" w:asciiTheme="minorEastAsia" w:hAnsiTheme="minorEastAsia" w:eastAsiaTheme="minorEastAsia" w:cstheme="minorEastAsia"/>
          <w:bCs/>
          <w:color w:val="auto"/>
          <w:sz w:val="21"/>
          <w:szCs w:val="21"/>
          <w:highlight w:val="none"/>
          <w:lang w:eastAsia="zh-CN"/>
        </w:rPr>
        <w:t>年鹿城区松台街道食堂劳务外包服务项目</w:t>
      </w:r>
      <w:r>
        <w:rPr>
          <w:rFonts w:hint="eastAsia" w:asciiTheme="minorEastAsia" w:hAnsiTheme="minorEastAsia" w:eastAsiaTheme="minorEastAsia" w:cstheme="minorEastAsia"/>
          <w:bCs/>
          <w:color w:val="auto"/>
          <w:sz w:val="21"/>
          <w:szCs w:val="21"/>
          <w:highlight w:val="none"/>
        </w:rPr>
        <w:t>，承包内容及要求、承包期限如下：</w:t>
      </w:r>
    </w:p>
    <w:p w14:paraId="3DB7EF65">
      <w:pPr>
        <w:numPr>
          <w:ilvl w:val="0"/>
          <w:numId w:val="32"/>
        </w:numPr>
        <w:autoSpaceDN w:val="0"/>
        <w:spacing w:line="360" w:lineRule="auto"/>
        <w:ind w:firstLine="632" w:firstLineChars="30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bCs/>
          <w:color w:val="auto"/>
          <w:sz w:val="21"/>
          <w:szCs w:val="21"/>
          <w:highlight w:val="none"/>
          <w:lang w:val="en-US" w:eastAsia="zh-CN"/>
        </w:rPr>
        <w:t>日常管理</w:t>
      </w:r>
    </w:p>
    <w:p w14:paraId="0051FC4D">
      <w:pPr>
        <w:numPr>
          <w:ilvl w:val="1"/>
          <w:numId w:val="32"/>
        </w:numPr>
        <w:autoSpaceDN w:val="0"/>
        <w:spacing w:line="360" w:lineRule="auto"/>
        <w:ind w:left="420" w:leftChars="200" w:firstLine="0" w:firstLineChars="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以厨房、餐厅及包厢管理、食品加工、食品安全卫生、就餐环境卫生管理为主要服务内容。</w:t>
      </w:r>
    </w:p>
    <w:p w14:paraId="0F500144">
      <w:pPr>
        <w:numPr>
          <w:ilvl w:val="1"/>
          <w:numId w:val="32"/>
        </w:numPr>
        <w:autoSpaceDN w:val="0"/>
        <w:spacing w:line="360" w:lineRule="auto"/>
        <w:ind w:left="840" w:leftChars="0" w:hanging="420" w:firstLineChars="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加强对用电和用水以及油气管理。</w:t>
      </w:r>
    </w:p>
    <w:p w14:paraId="202A722D">
      <w:pPr>
        <w:numPr>
          <w:ilvl w:val="1"/>
          <w:numId w:val="32"/>
        </w:numPr>
        <w:autoSpaceDN w:val="0"/>
        <w:spacing w:line="360" w:lineRule="auto"/>
        <w:ind w:left="840" w:leftChars="0" w:hanging="420" w:firstLineChars="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供应商按照管理内容编制检查表，每日进行检查，发现问题及时整改。</w:t>
      </w:r>
    </w:p>
    <w:p w14:paraId="762EC580">
      <w:pPr>
        <w:numPr>
          <w:ilvl w:val="1"/>
          <w:numId w:val="32"/>
        </w:numPr>
        <w:autoSpaceDN w:val="0"/>
        <w:spacing w:line="360" w:lineRule="auto"/>
        <w:ind w:left="840" w:leftChars="0" w:hanging="420" w:firstLineChars="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采购人对供应商各工作岗位的服务质量随时进行抽查,发现问题，及时书面通知整改。</w:t>
      </w:r>
    </w:p>
    <w:p w14:paraId="21A34596">
      <w:pPr>
        <w:numPr>
          <w:ilvl w:val="1"/>
          <w:numId w:val="32"/>
        </w:numPr>
        <w:autoSpaceDN w:val="0"/>
        <w:spacing w:line="360" w:lineRule="auto"/>
        <w:ind w:left="840" w:leftChars="0" w:hanging="420" w:firstLineChars="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除供应商自行对服务人员的培训外，如有需要，需接受采购人对服务人员的集中培训。</w:t>
      </w:r>
    </w:p>
    <w:p w14:paraId="47A6993F">
      <w:pPr>
        <w:numPr>
          <w:ilvl w:val="1"/>
          <w:numId w:val="32"/>
        </w:numPr>
        <w:autoSpaceDN w:val="0"/>
        <w:spacing w:line="360" w:lineRule="auto"/>
        <w:ind w:left="840" w:leftChars="0" w:hanging="420" w:firstLineChars="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所有岗位建立岗位责任制与运作程序、工作质量标准。</w:t>
      </w:r>
    </w:p>
    <w:p w14:paraId="3D67C046">
      <w:pPr>
        <w:numPr>
          <w:ilvl w:val="1"/>
          <w:numId w:val="32"/>
        </w:numPr>
        <w:autoSpaceDN w:val="0"/>
        <w:spacing w:line="360" w:lineRule="auto"/>
        <w:ind w:left="840" w:leftChars="0" w:hanging="420" w:firstLineChars="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中标供应商建立各类应急预案（如食品安全事件、消防、抗台等），并培训相关人员达到相关要求。</w:t>
      </w:r>
    </w:p>
    <w:p w14:paraId="0FCFB71C">
      <w:pPr>
        <w:numPr>
          <w:ilvl w:val="1"/>
          <w:numId w:val="32"/>
        </w:numPr>
        <w:autoSpaceDN w:val="0"/>
        <w:spacing w:line="360" w:lineRule="auto"/>
        <w:ind w:left="840" w:leftChars="0" w:hanging="420" w:firstLineChars="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餐饮服务日常管理细则必须按采购人要求规定执行。</w:t>
      </w:r>
    </w:p>
    <w:p w14:paraId="03D31CE8">
      <w:pPr>
        <w:numPr>
          <w:ilvl w:val="0"/>
          <w:numId w:val="32"/>
        </w:numPr>
        <w:autoSpaceDN w:val="0"/>
        <w:spacing w:line="360" w:lineRule="auto"/>
        <w:ind w:firstLine="632" w:firstLineChars="30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bCs/>
          <w:color w:val="auto"/>
          <w:sz w:val="21"/>
          <w:szCs w:val="21"/>
          <w:highlight w:val="none"/>
          <w:lang w:val="en-US" w:eastAsia="zh-CN"/>
        </w:rPr>
        <w:t>具体要求</w:t>
      </w:r>
    </w:p>
    <w:p w14:paraId="1AA3823E">
      <w:pPr>
        <w:numPr>
          <w:ilvl w:val="1"/>
          <w:numId w:val="32"/>
        </w:numPr>
        <w:autoSpaceDN w:val="0"/>
        <w:spacing w:line="360" w:lineRule="auto"/>
        <w:ind w:left="840" w:leftChars="0" w:hanging="420" w:firstLineChars="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本次招标主要以供应商劳务输出和餐饮服务为主，不得以食堂经营盈利为目的。</w:t>
      </w:r>
    </w:p>
    <w:p w14:paraId="3D19A225">
      <w:pPr>
        <w:numPr>
          <w:ilvl w:val="1"/>
          <w:numId w:val="32"/>
        </w:numPr>
        <w:autoSpaceDN w:val="0"/>
        <w:spacing w:line="360" w:lineRule="auto"/>
        <w:ind w:left="840" w:leftChars="0" w:hanging="420" w:firstLineChars="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保证食品加工符合食品安全卫生；保证厨房环境、就餐环境清洁卫生；餐具消毒卫生。供应商每餐每样菜肴、面点、主食汤、米饭等所有食品均须留样48小时（不少于100克），并做好记录。</w:t>
      </w:r>
    </w:p>
    <w:p w14:paraId="7D128F32">
      <w:pPr>
        <w:numPr>
          <w:ilvl w:val="1"/>
          <w:numId w:val="32"/>
        </w:numPr>
        <w:autoSpaceDN w:val="0"/>
        <w:spacing w:line="360" w:lineRule="auto"/>
        <w:ind w:left="840" w:leftChars="0" w:hanging="420" w:firstLineChars="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能够保证提供早、中、加班工作人员工作餐，同时能确保就餐时间。</w:t>
      </w:r>
    </w:p>
    <w:p w14:paraId="71AA3BFE">
      <w:pPr>
        <w:numPr>
          <w:ilvl w:val="1"/>
          <w:numId w:val="32"/>
        </w:numPr>
        <w:autoSpaceDN w:val="0"/>
        <w:spacing w:line="360" w:lineRule="auto"/>
        <w:ind w:left="840" w:leftChars="0" w:hanging="420" w:firstLineChars="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能够保证加班人员随时就餐。</w:t>
      </w:r>
    </w:p>
    <w:p w14:paraId="1E5E7458">
      <w:pPr>
        <w:numPr>
          <w:ilvl w:val="1"/>
          <w:numId w:val="32"/>
        </w:numPr>
        <w:autoSpaceDN w:val="0"/>
        <w:spacing w:line="360" w:lineRule="auto"/>
        <w:ind w:left="840" w:leftChars="0" w:hanging="420" w:firstLineChars="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根据就餐人数平均分布统计，饭菜安排合理，避免浪费，尽量减少剩菜剩饭。剩菜剩饭当餐清净，不得过期保存，混入下一餐中。</w:t>
      </w:r>
    </w:p>
    <w:p w14:paraId="3A93AD7D">
      <w:pPr>
        <w:numPr>
          <w:ilvl w:val="1"/>
          <w:numId w:val="32"/>
        </w:numPr>
        <w:autoSpaceDN w:val="0"/>
        <w:spacing w:line="360" w:lineRule="auto"/>
        <w:ind w:left="840" w:leftChars="0" w:hanging="420" w:firstLineChars="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采购人有权检查、监督供应商的经营管理，特别是卫生、安全、环境方面情况。</w:t>
      </w:r>
    </w:p>
    <w:p w14:paraId="607BBAC8">
      <w:pPr>
        <w:numPr>
          <w:ilvl w:val="1"/>
          <w:numId w:val="32"/>
        </w:numPr>
        <w:autoSpaceDN w:val="0"/>
        <w:spacing w:line="360" w:lineRule="auto"/>
        <w:ind w:left="840" w:leftChars="0" w:hanging="420" w:firstLineChars="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未经采购人许可，供应商不得对外营业或为私人、其它单位举行招待活动。</w:t>
      </w:r>
    </w:p>
    <w:p w14:paraId="3D552A72">
      <w:pPr>
        <w:numPr>
          <w:ilvl w:val="1"/>
          <w:numId w:val="32"/>
        </w:numPr>
        <w:autoSpaceDN w:val="0"/>
        <w:spacing w:line="360" w:lineRule="auto"/>
        <w:ind w:left="840" w:leftChars="0" w:hanging="420" w:firstLineChars="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供应商须接受食品卫生、消防、环保、质量监督等主管部门的监督和指导。</w:t>
      </w:r>
    </w:p>
    <w:p w14:paraId="58E51954">
      <w:pPr>
        <w:spacing w:line="360" w:lineRule="auto"/>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3</w:t>
      </w:r>
      <w:r>
        <w:rPr>
          <w:rFonts w:hint="eastAsia" w:asciiTheme="minorEastAsia" w:hAnsiTheme="minorEastAsia" w:eastAsiaTheme="minorEastAsia" w:cstheme="minorEastAsia"/>
          <w:bCs/>
          <w:color w:val="auto"/>
          <w:sz w:val="21"/>
          <w:szCs w:val="21"/>
          <w:highlight w:val="none"/>
        </w:rPr>
        <w:t>、本项目</w:t>
      </w:r>
      <w:r>
        <w:rPr>
          <w:rFonts w:hint="eastAsia" w:asciiTheme="minorEastAsia" w:hAnsiTheme="minorEastAsia" w:eastAsiaTheme="minorEastAsia" w:cstheme="minorEastAsia"/>
          <w:bCs/>
          <w:color w:val="auto"/>
          <w:sz w:val="21"/>
          <w:szCs w:val="21"/>
          <w:highlight w:val="none"/>
          <w:lang w:val="en-US" w:eastAsia="zh-CN"/>
        </w:rPr>
        <w:t>服务</w:t>
      </w:r>
      <w:r>
        <w:rPr>
          <w:rFonts w:hint="eastAsia" w:asciiTheme="minorEastAsia" w:hAnsiTheme="minorEastAsia" w:eastAsiaTheme="minorEastAsia" w:cstheme="minorEastAsia"/>
          <w:bCs/>
          <w:color w:val="auto"/>
          <w:sz w:val="21"/>
          <w:szCs w:val="21"/>
          <w:highlight w:val="none"/>
        </w:rPr>
        <w:t>期</w:t>
      </w:r>
      <w:r>
        <w:rPr>
          <w:rFonts w:hint="eastAsia" w:asciiTheme="minorEastAsia" w:hAnsiTheme="minorEastAsia" w:eastAsiaTheme="minorEastAsia" w:cstheme="minorEastAsia"/>
          <w:bCs/>
          <w:color w:val="auto"/>
          <w:sz w:val="21"/>
          <w:szCs w:val="21"/>
          <w:highlight w:val="none"/>
          <w:lang w:val="en-US" w:eastAsia="zh-CN"/>
        </w:rPr>
        <w:t>1</w:t>
      </w:r>
      <w:r>
        <w:rPr>
          <w:rFonts w:hint="eastAsia" w:asciiTheme="minorEastAsia" w:hAnsiTheme="minorEastAsia" w:eastAsiaTheme="minorEastAsia" w:cstheme="minorEastAsia"/>
          <w:bCs/>
          <w:color w:val="auto"/>
          <w:sz w:val="21"/>
          <w:szCs w:val="21"/>
          <w:highlight w:val="none"/>
        </w:rPr>
        <w:t>年。</w:t>
      </w:r>
    </w:p>
    <w:p w14:paraId="79611A32">
      <w:pPr>
        <w:autoSpaceDN w:val="0"/>
        <w:spacing w:line="360" w:lineRule="auto"/>
        <w:ind w:firstLine="632" w:firstLineChars="300"/>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三、相关人员配置</w:t>
      </w:r>
    </w:p>
    <w:p w14:paraId="34176BD8">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1、承包方项目负责人：有食堂或餐饮管理经验，并提供相关资料。</w:t>
      </w:r>
    </w:p>
    <w:p w14:paraId="6960A9C8">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2、厨师配备要求：</w:t>
      </w:r>
      <w:r>
        <w:rPr>
          <w:rFonts w:hint="eastAsia" w:asciiTheme="minorEastAsia" w:hAnsiTheme="minorEastAsia" w:eastAsiaTheme="minorEastAsia" w:cstheme="minorEastAsia"/>
          <w:bCs/>
          <w:color w:val="auto"/>
          <w:sz w:val="21"/>
          <w:szCs w:val="21"/>
          <w:highlight w:val="none"/>
          <w:lang w:val="en-US" w:eastAsia="zh-CN"/>
        </w:rPr>
        <w:t>厨师长</w:t>
      </w:r>
      <w:r>
        <w:rPr>
          <w:rFonts w:hint="eastAsia" w:asciiTheme="minorEastAsia" w:hAnsiTheme="minorEastAsia" w:eastAsiaTheme="minorEastAsia" w:cstheme="minorEastAsia"/>
          <w:bCs/>
          <w:color w:val="auto"/>
          <w:sz w:val="21"/>
          <w:szCs w:val="21"/>
          <w:highlight w:val="none"/>
        </w:rPr>
        <w:t>具有丰富的烹饪经验且具有机关单位食堂工作经验</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厨师具有丰富的烹饪经验</w:t>
      </w:r>
      <w:r>
        <w:rPr>
          <w:rFonts w:hint="eastAsia" w:asciiTheme="minorEastAsia" w:hAnsiTheme="minorEastAsia" w:eastAsiaTheme="minorEastAsia" w:cstheme="minorEastAsia"/>
          <w:bCs/>
          <w:color w:val="auto"/>
          <w:sz w:val="21"/>
          <w:szCs w:val="21"/>
          <w:highlight w:val="none"/>
          <w:lang w:eastAsia="zh-CN"/>
        </w:rPr>
        <w:t>。</w:t>
      </w:r>
    </w:p>
    <w:p w14:paraId="37CFB860">
      <w:pPr>
        <w:autoSpaceDN w:val="0"/>
        <w:spacing w:line="360" w:lineRule="auto"/>
        <w:ind w:firstLine="630" w:firstLineChars="3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3、食堂服务人员配置表（岗位人员</w:t>
      </w:r>
      <w:r>
        <w:rPr>
          <w:rFonts w:hint="eastAsia" w:asciiTheme="minorEastAsia" w:hAnsiTheme="minorEastAsia" w:eastAsiaTheme="minorEastAsia" w:cstheme="minorEastAsia"/>
          <w:bCs/>
          <w:color w:val="auto"/>
          <w:sz w:val="21"/>
          <w:szCs w:val="21"/>
          <w:highlight w:val="none"/>
          <w:lang w:val="en-US" w:eastAsia="zh-CN"/>
        </w:rPr>
        <w:t>不少于7</w:t>
      </w:r>
      <w:r>
        <w:rPr>
          <w:rFonts w:hint="eastAsia" w:asciiTheme="minorEastAsia" w:hAnsiTheme="minorEastAsia" w:eastAsiaTheme="minorEastAsia" w:cstheme="minorEastAsia"/>
          <w:bCs/>
          <w:color w:val="auto"/>
          <w:sz w:val="21"/>
          <w:szCs w:val="21"/>
          <w:highlight w:val="none"/>
        </w:rPr>
        <w:t>人，年龄</w:t>
      </w:r>
      <w:r>
        <w:rPr>
          <w:rFonts w:hint="eastAsia" w:asciiTheme="minorEastAsia" w:hAnsiTheme="minorEastAsia" w:eastAsiaTheme="minorEastAsia" w:cstheme="minorEastAsia"/>
          <w:bCs/>
          <w:color w:val="auto"/>
          <w:sz w:val="21"/>
          <w:szCs w:val="21"/>
          <w:highlight w:val="none"/>
          <w:lang w:val="en-US" w:eastAsia="zh-CN"/>
        </w:rPr>
        <w:t>女性</w:t>
      </w:r>
      <w:r>
        <w:rPr>
          <w:rFonts w:hint="eastAsia" w:asciiTheme="minorEastAsia" w:hAnsiTheme="minorEastAsia" w:eastAsiaTheme="minorEastAsia" w:cstheme="minorEastAsia"/>
          <w:bCs/>
          <w:color w:val="auto"/>
          <w:sz w:val="21"/>
          <w:szCs w:val="21"/>
          <w:highlight w:val="none"/>
        </w:rPr>
        <w:t>不得超过55岁</w:t>
      </w:r>
      <w:r>
        <w:rPr>
          <w:rFonts w:hint="eastAsia" w:asciiTheme="minorEastAsia" w:hAnsiTheme="minorEastAsia" w:eastAsiaTheme="minorEastAsia" w:cstheme="minorEastAsia"/>
          <w:bCs/>
          <w:color w:val="auto"/>
          <w:sz w:val="21"/>
          <w:szCs w:val="21"/>
          <w:highlight w:val="none"/>
          <w:lang w:val="en-US" w:eastAsia="zh-CN"/>
        </w:rPr>
        <w:t>男性不得超过60岁</w:t>
      </w:r>
      <w:r>
        <w:rPr>
          <w:rFonts w:hint="eastAsia" w:asciiTheme="minorEastAsia" w:hAnsiTheme="minorEastAsia" w:eastAsiaTheme="minorEastAsia" w:cstheme="minorEastAsia"/>
          <w:bCs/>
          <w:color w:val="auto"/>
          <w:sz w:val="21"/>
          <w:szCs w:val="21"/>
          <w:highlight w:val="none"/>
        </w:rPr>
        <w:t>。如业主方认为具体岗位人员配置不合理需要变动，可要求承包方进行调整，承包方应积极配合，不得拒绝）</w:t>
      </w:r>
    </w:p>
    <w:tbl>
      <w:tblPr>
        <w:tblStyle w:val="3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2307"/>
        <w:gridCol w:w="1052"/>
        <w:gridCol w:w="5547"/>
      </w:tblGrid>
      <w:tr w14:paraId="4DBC8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732" w:type="dxa"/>
            <w:noWrap w:val="0"/>
            <w:vAlign w:val="center"/>
          </w:tcPr>
          <w:p w14:paraId="0CA7BB4C">
            <w:pPr>
              <w:pStyle w:val="3"/>
              <w:adjustRightInd w:val="0"/>
              <w:snapToGrid w:val="0"/>
              <w:spacing w:after="0" w:line="360" w:lineRule="auto"/>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序号</w:t>
            </w:r>
          </w:p>
        </w:tc>
        <w:tc>
          <w:tcPr>
            <w:tcW w:w="2307" w:type="dxa"/>
            <w:noWrap w:val="0"/>
            <w:vAlign w:val="center"/>
          </w:tcPr>
          <w:p w14:paraId="06AEE448">
            <w:pPr>
              <w:pStyle w:val="3"/>
              <w:adjustRightInd w:val="0"/>
              <w:snapToGrid w:val="0"/>
              <w:spacing w:after="0" w:line="360" w:lineRule="auto"/>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岗位名称</w:t>
            </w:r>
          </w:p>
        </w:tc>
        <w:tc>
          <w:tcPr>
            <w:tcW w:w="1052" w:type="dxa"/>
            <w:noWrap w:val="0"/>
            <w:vAlign w:val="center"/>
          </w:tcPr>
          <w:p w14:paraId="4EC4C017">
            <w:pPr>
              <w:pStyle w:val="3"/>
              <w:adjustRightInd w:val="0"/>
              <w:snapToGrid w:val="0"/>
              <w:spacing w:after="0" w:line="360" w:lineRule="auto"/>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人数</w:t>
            </w:r>
          </w:p>
        </w:tc>
        <w:tc>
          <w:tcPr>
            <w:tcW w:w="5547" w:type="dxa"/>
            <w:noWrap w:val="0"/>
            <w:vAlign w:val="center"/>
          </w:tcPr>
          <w:p w14:paraId="17BF250F">
            <w:pPr>
              <w:pStyle w:val="3"/>
              <w:adjustRightInd w:val="0"/>
              <w:snapToGrid w:val="0"/>
              <w:spacing w:after="0" w:line="360" w:lineRule="auto"/>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工作内容</w:t>
            </w:r>
          </w:p>
        </w:tc>
      </w:tr>
      <w:tr w14:paraId="55DBC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exact"/>
          <w:jc w:val="center"/>
        </w:trPr>
        <w:tc>
          <w:tcPr>
            <w:tcW w:w="732" w:type="dxa"/>
            <w:noWrap w:val="0"/>
            <w:vAlign w:val="center"/>
          </w:tcPr>
          <w:p w14:paraId="2883349C">
            <w:pPr>
              <w:pStyle w:val="3"/>
              <w:adjustRightInd w:val="0"/>
              <w:snapToGrid w:val="0"/>
              <w:spacing w:after="0" w:line="360" w:lineRule="auto"/>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w:t>
            </w:r>
          </w:p>
        </w:tc>
        <w:tc>
          <w:tcPr>
            <w:tcW w:w="2307" w:type="dxa"/>
            <w:noWrap w:val="0"/>
            <w:vAlign w:val="center"/>
          </w:tcPr>
          <w:p w14:paraId="6B472E96">
            <w:pPr>
              <w:pStyle w:val="3"/>
              <w:adjustRightInd w:val="0"/>
              <w:snapToGrid w:val="0"/>
              <w:spacing w:after="0" w:line="360" w:lineRule="auto"/>
              <w:jc w:val="center"/>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项目负责人</w:t>
            </w:r>
          </w:p>
        </w:tc>
        <w:tc>
          <w:tcPr>
            <w:tcW w:w="1052" w:type="dxa"/>
            <w:noWrap w:val="0"/>
            <w:vAlign w:val="center"/>
          </w:tcPr>
          <w:p w14:paraId="50153548">
            <w:pPr>
              <w:pStyle w:val="3"/>
              <w:adjustRightInd w:val="0"/>
              <w:snapToGrid w:val="0"/>
              <w:spacing w:after="0" w:line="360" w:lineRule="auto"/>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1人</w:t>
            </w:r>
          </w:p>
        </w:tc>
        <w:tc>
          <w:tcPr>
            <w:tcW w:w="5547" w:type="dxa"/>
            <w:noWrap w:val="0"/>
            <w:vAlign w:val="center"/>
          </w:tcPr>
          <w:p w14:paraId="7A168EDE">
            <w:pPr>
              <w:pStyle w:val="3"/>
              <w:adjustRightInd w:val="0"/>
              <w:snapToGrid w:val="0"/>
              <w:spacing w:after="0" w:line="360" w:lineRule="auto"/>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负责本项目日常全面管理和业主沟通协调</w:t>
            </w:r>
          </w:p>
        </w:tc>
      </w:tr>
      <w:tr w14:paraId="1719F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732" w:type="dxa"/>
            <w:noWrap w:val="0"/>
            <w:vAlign w:val="center"/>
          </w:tcPr>
          <w:p w14:paraId="61A2EAB3">
            <w:pPr>
              <w:pStyle w:val="3"/>
              <w:adjustRightInd w:val="0"/>
              <w:snapToGrid w:val="0"/>
              <w:spacing w:after="0" w:line="360" w:lineRule="auto"/>
              <w:jc w:val="center"/>
              <w:rPr>
                <w:rFonts w:hint="eastAsia" w:asciiTheme="minorEastAsia" w:hAnsiTheme="minorEastAsia" w:eastAsiaTheme="minorEastAsia" w:cstheme="minorEastAsia"/>
                <w:bCs/>
                <w:snapToGrid w:val="0"/>
                <w:color w:val="auto"/>
                <w:kern w:val="2"/>
                <w:sz w:val="21"/>
                <w:szCs w:val="21"/>
                <w:highlight w:val="none"/>
                <w:lang w:val="zh-CN" w:eastAsia="zh-CN" w:bidi="ar-SA"/>
              </w:rPr>
            </w:pPr>
            <w:r>
              <w:rPr>
                <w:rFonts w:hint="eastAsia" w:asciiTheme="minorEastAsia" w:hAnsiTheme="minorEastAsia" w:eastAsiaTheme="minorEastAsia" w:cstheme="minorEastAsia"/>
                <w:bCs/>
                <w:color w:val="auto"/>
                <w:sz w:val="21"/>
                <w:szCs w:val="21"/>
                <w:highlight w:val="none"/>
              </w:rPr>
              <w:t>2</w:t>
            </w:r>
          </w:p>
        </w:tc>
        <w:tc>
          <w:tcPr>
            <w:tcW w:w="2307" w:type="dxa"/>
            <w:noWrap w:val="0"/>
            <w:vAlign w:val="center"/>
          </w:tcPr>
          <w:p w14:paraId="0FB4DB4E">
            <w:pPr>
              <w:pStyle w:val="3"/>
              <w:adjustRightInd w:val="0"/>
              <w:snapToGrid w:val="0"/>
              <w:spacing w:after="0" w:line="360" w:lineRule="auto"/>
              <w:jc w:val="center"/>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厨师长</w:t>
            </w:r>
          </w:p>
        </w:tc>
        <w:tc>
          <w:tcPr>
            <w:tcW w:w="1052" w:type="dxa"/>
            <w:noWrap w:val="0"/>
            <w:vAlign w:val="center"/>
          </w:tcPr>
          <w:p w14:paraId="73B00747">
            <w:pPr>
              <w:pStyle w:val="3"/>
              <w:adjustRightInd w:val="0"/>
              <w:snapToGrid w:val="0"/>
              <w:spacing w:after="0" w:line="360" w:lineRule="auto"/>
              <w:jc w:val="center"/>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1人</w:t>
            </w:r>
          </w:p>
        </w:tc>
        <w:tc>
          <w:tcPr>
            <w:tcW w:w="5547" w:type="dxa"/>
            <w:noWrap w:val="0"/>
            <w:vAlign w:val="center"/>
          </w:tcPr>
          <w:p w14:paraId="2436D811">
            <w:pPr>
              <w:pStyle w:val="3"/>
              <w:adjustRightInd w:val="0"/>
              <w:snapToGrid w:val="0"/>
              <w:spacing w:after="0" w:line="360" w:lineRule="auto"/>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负责整个厨房运作及管理，菜单拟定，配送菜品验收</w:t>
            </w:r>
          </w:p>
        </w:tc>
      </w:tr>
      <w:tr w14:paraId="0FD67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exact"/>
          <w:jc w:val="center"/>
        </w:trPr>
        <w:tc>
          <w:tcPr>
            <w:tcW w:w="732" w:type="dxa"/>
            <w:noWrap w:val="0"/>
            <w:vAlign w:val="center"/>
          </w:tcPr>
          <w:p w14:paraId="6C3418C4">
            <w:pPr>
              <w:pStyle w:val="3"/>
              <w:adjustRightInd w:val="0"/>
              <w:snapToGrid w:val="0"/>
              <w:spacing w:after="0" w:line="360" w:lineRule="auto"/>
              <w:jc w:val="center"/>
              <w:rPr>
                <w:rFonts w:hint="eastAsia" w:asciiTheme="minorEastAsia" w:hAnsiTheme="minorEastAsia" w:eastAsiaTheme="minorEastAsia" w:cstheme="minorEastAsia"/>
                <w:bCs/>
                <w:snapToGrid w:val="0"/>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lang w:val="en-US" w:eastAsia="zh-CN"/>
              </w:rPr>
              <w:t>3</w:t>
            </w:r>
          </w:p>
        </w:tc>
        <w:tc>
          <w:tcPr>
            <w:tcW w:w="2307" w:type="dxa"/>
            <w:noWrap w:val="0"/>
            <w:vAlign w:val="center"/>
          </w:tcPr>
          <w:p w14:paraId="0041F1E7">
            <w:pPr>
              <w:pStyle w:val="3"/>
              <w:adjustRightInd w:val="0"/>
              <w:snapToGrid w:val="0"/>
              <w:spacing w:after="0" w:line="360" w:lineRule="auto"/>
              <w:jc w:val="center"/>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厨师（兼改刀）</w:t>
            </w:r>
          </w:p>
        </w:tc>
        <w:tc>
          <w:tcPr>
            <w:tcW w:w="1052" w:type="dxa"/>
            <w:noWrap w:val="0"/>
            <w:vAlign w:val="center"/>
          </w:tcPr>
          <w:p w14:paraId="26B7AF65">
            <w:pPr>
              <w:pStyle w:val="3"/>
              <w:adjustRightInd w:val="0"/>
              <w:snapToGrid w:val="0"/>
              <w:spacing w:after="0" w:line="360" w:lineRule="auto"/>
              <w:jc w:val="center"/>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1人</w:t>
            </w:r>
          </w:p>
        </w:tc>
        <w:tc>
          <w:tcPr>
            <w:tcW w:w="5547" w:type="dxa"/>
            <w:noWrap w:val="0"/>
            <w:vAlign w:val="center"/>
          </w:tcPr>
          <w:p w14:paraId="11C8992C">
            <w:pPr>
              <w:pStyle w:val="3"/>
              <w:adjustRightInd w:val="0"/>
              <w:snapToGrid w:val="0"/>
              <w:spacing w:after="0" w:line="360" w:lineRule="auto"/>
              <w:jc w:val="center"/>
              <w:rPr>
                <w:rFonts w:hint="eastAsia" w:asciiTheme="minorEastAsia" w:hAnsiTheme="minorEastAsia" w:eastAsiaTheme="minorEastAsia" w:cstheme="minorEastAsia"/>
                <w:bCs/>
                <w:color w:val="auto"/>
                <w:sz w:val="21"/>
                <w:szCs w:val="21"/>
                <w:highlight w:val="none"/>
                <w:lang w:val="zh-CN" w:eastAsia="zh-CN"/>
              </w:rPr>
            </w:pPr>
            <w:r>
              <w:rPr>
                <w:rFonts w:hint="eastAsia" w:asciiTheme="minorEastAsia" w:hAnsiTheme="minorEastAsia" w:eastAsiaTheme="minorEastAsia" w:cstheme="minorEastAsia"/>
                <w:bCs/>
                <w:color w:val="auto"/>
                <w:sz w:val="21"/>
                <w:szCs w:val="21"/>
                <w:highlight w:val="none"/>
                <w:lang w:val="en-US" w:eastAsia="zh-CN"/>
              </w:rPr>
              <w:t>负责项目食堂餐饮的早餐、糕点、包子等，食材烹饪精细加工、风味制作，协助厨师长等各项烹饪辅助工作任务</w:t>
            </w:r>
          </w:p>
        </w:tc>
      </w:tr>
      <w:tr w14:paraId="651DA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exact"/>
          <w:jc w:val="center"/>
        </w:trPr>
        <w:tc>
          <w:tcPr>
            <w:tcW w:w="732" w:type="dxa"/>
            <w:noWrap w:val="0"/>
            <w:vAlign w:val="center"/>
          </w:tcPr>
          <w:p w14:paraId="5B6F0AFB">
            <w:pPr>
              <w:pStyle w:val="3"/>
              <w:adjustRightInd w:val="0"/>
              <w:snapToGrid w:val="0"/>
              <w:spacing w:after="0" w:line="360" w:lineRule="auto"/>
              <w:jc w:val="center"/>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4</w:t>
            </w:r>
          </w:p>
        </w:tc>
        <w:tc>
          <w:tcPr>
            <w:tcW w:w="2307" w:type="dxa"/>
            <w:noWrap w:val="0"/>
            <w:vAlign w:val="center"/>
          </w:tcPr>
          <w:p w14:paraId="47B87DD8">
            <w:pPr>
              <w:pStyle w:val="3"/>
              <w:adjustRightInd w:val="0"/>
              <w:snapToGrid w:val="0"/>
              <w:spacing w:after="0" w:line="360" w:lineRule="auto"/>
              <w:jc w:val="center"/>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餐厅服务员</w:t>
            </w:r>
          </w:p>
        </w:tc>
        <w:tc>
          <w:tcPr>
            <w:tcW w:w="1052" w:type="dxa"/>
            <w:noWrap w:val="0"/>
            <w:vAlign w:val="center"/>
          </w:tcPr>
          <w:p w14:paraId="753036FA">
            <w:pPr>
              <w:pStyle w:val="3"/>
              <w:adjustRightInd w:val="0"/>
              <w:snapToGrid w:val="0"/>
              <w:spacing w:after="0" w:line="360" w:lineRule="auto"/>
              <w:jc w:val="center"/>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3人</w:t>
            </w:r>
          </w:p>
        </w:tc>
        <w:tc>
          <w:tcPr>
            <w:tcW w:w="5547" w:type="dxa"/>
            <w:noWrap w:val="0"/>
            <w:vAlign w:val="center"/>
          </w:tcPr>
          <w:p w14:paraId="28E0EAB1">
            <w:pPr>
              <w:pStyle w:val="3"/>
              <w:adjustRightInd w:val="0"/>
              <w:snapToGrid w:val="0"/>
              <w:spacing w:after="0" w:line="360" w:lineRule="auto"/>
              <w:jc w:val="center"/>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负责食材的清洗清洁，餐具的回收、清洗、消毒，厨具的清洗和食堂范围内的餐桌、地面等就餐环境清洁服务，协助食堂打卡，打菜等其他工作</w:t>
            </w:r>
          </w:p>
        </w:tc>
      </w:tr>
      <w:tr w14:paraId="5BF8D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exact"/>
          <w:jc w:val="center"/>
        </w:trPr>
        <w:tc>
          <w:tcPr>
            <w:tcW w:w="732" w:type="dxa"/>
            <w:noWrap w:val="0"/>
            <w:vAlign w:val="center"/>
          </w:tcPr>
          <w:p w14:paraId="15F3346F">
            <w:pPr>
              <w:pStyle w:val="3"/>
              <w:adjustRightInd w:val="0"/>
              <w:snapToGrid w:val="0"/>
              <w:spacing w:after="0" w:line="360" w:lineRule="auto"/>
              <w:jc w:val="center"/>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5</w:t>
            </w:r>
          </w:p>
        </w:tc>
        <w:tc>
          <w:tcPr>
            <w:tcW w:w="2307" w:type="dxa"/>
            <w:noWrap w:val="0"/>
            <w:vAlign w:val="center"/>
          </w:tcPr>
          <w:p w14:paraId="75F0C832">
            <w:pPr>
              <w:pStyle w:val="3"/>
              <w:adjustRightInd w:val="0"/>
              <w:snapToGrid w:val="0"/>
              <w:spacing w:after="0" w:line="360" w:lineRule="auto"/>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接待</w:t>
            </w:r>
          </w:p>
        </w:tc>
        <w:tc>
          <w:tcPr>
            <w:tcW w:w="1052" w:type="dxa"/>
            <w:noWrap w:val="0"/>
            <w:vAlign w:val="center"/>
          </w:tcPr>
          <w:p w14:paraId="66F27353">
            <w:pPr>
              <w:pStyle w:val="3"/>
              <w:adjustRightInd w:val="0"/>
              <w:snapToGrid w:val="0"/>
              <w:spacing w:after="0" w:line="360" w:lineRule="auto"/>
              <w:jc w:val="center"/>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1人</w:t>
            </w:r>
          </w:p>
        </w:tc>
        <w:tc>
          <w:tcPr>
            <w:tcW w:w="5547" w:type="dxa"/>
            <w:noWrap w:val="0"/>
            <w:vAlign w:val="center"/>
          </w:tcPr>
          <w:p w14:paraId="0BBD8030">
            <w:pPr>
              <w:pStyle w:val="3"/>
              <w:adjustRightInd w:val="0"/>
              <w:snapToGrid w:val="0"/>
              <w:spacing w:after="0" w:line="360" w:lineRule="auto"/>
              <w:jc w:val="left"/>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负责餐厅</w:t>
            </w:r>
            <w:r>
              <w:rPr>
                <w:rFonts w:hint="eastAsia" w:asciiTheme="minorEastAsia" w:hAnsiTheme="minorEastAsia" w:eastAsiaTheme="minorEastAsia" w:cstheme="minorEastAsia"/>
                <w:color w:val="auto"/>
                <w:sz w:val="21"/>
                <w:szCs w:val="21"/>
                <w:highlight w:val="none"/>
                <w:lang w:val="en-US" w:eastAsia="zh-CN"/>
              </w:rPr>
              <w:t>的接待</w:t>
            </w:r>
            <w:r>
              <w:rPr>
                <w:rFonts w:hint="eastAsia" w:asciiTheme="minorEastAsia" w:hAnsiTheme="minorEastAsia" w:eastAsiaTheme="minorEastAsia" w:cstheme="minorEastAsia"/>
                <w:color w:val="auto"/>
                <w:sz w:val="21"/>
                <w:szCs w:val="21"/>
                <w:highlight w:val="none"/>
              </w:rPr>
              <w:t>服务工作</w:t>
            </w:r>
          </w:p>
        </w:tc>
      </w:tr>
    </w:tbl>
    <w:p w14:paraId="31B0E861">
      <w:pPr>
        <w:autoSpaceDN w:val="0"/>
        <w:spacing w:line="360" w:lineRule="auto"/>
        <w:ind w:firstLine="632" w:firstLineChars="300"/>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四、应遵守的国家相关法律法规及标准（不仅限于如下）：</w:t>
      </w:r>
    </w:p>
    <w:p w14:paraId="666D2BCD">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《中华人民共和国食品安全法》</w:t>
      </w:r>
    </w:p>
    <w:p w14:paraId="2489B59E">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《中华人民共和国食品安全法实施条例》</w:t>
      </w:r>
    </w:p>
    <w:p w14:paraId="0680402D">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《餐饮服务食品安全监督管理办法》</w:t>
      </w:r>
    </w:p>
    <w:p w14:paraId="42C1F20B">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GB16153《饭馆（餐厅）卫生标准》</w:t>
      </w:r>
    </w:p>
    <w:p w14:paraId="4E21FAD9">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GB14934《食（饮）具消毒卫生标准》</w:t>
      </w:r>
    </w:p>
    <w:p w14:paraId="1B628C12">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DB12644-2016《餐饮业油烟排放标准》</w:t>
      </w:r>
    </w:p>
    <w:p w14:paraId="6179E397">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GB13495.1-2015《消防安全标志》</w:t>
      </w:r>
    </w:p>
    <w:p w14:paraId="573001E8">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GB / T 18883－2002《室内空气质量标准》</w:t>
      </w:r>
    </w:p>
    <w:p w14:paraId="59045639">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SB/T10420《饭店业星级服务人员资格条件》</w:t>
      </w:r>
    </w:p>
    <w:p w14:paraId="111312BC">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SB/T 10426《餐饮企业经营规范》</w:t>
      </w:r>
    </w:p>
    <w:p w14:paraId="00078C4E">
      <w:pPr>
        <w:autoSpaceDN w:val="0"/>
        <w:spacing w:line="360" w:lineRule="auto"/>
        <w:ind w:firstLine="632" w:firstLineChars="300"/>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▲五、服务工作及设备维护</w:t>
      </w:r>
    </w:p>
    <w:p w14:paraId="34A7F7D7">
      <w:pPr>
        <w:autoSpaceDN w:val="0"/>
        <w:spacing w:line="360" w:lineRule="auto"/>
        <w:ind w:firstLine="632" w:firstLineChars="300"/>
        <w:outlineLvl w:val="2"/>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（一）用餐时间及服务</w:t>
      </w:r>
    </w:p>
    <w:p w14:paraId="27507CAB">
      <w:pPr>
        <w:autoSpaceDN w:val="0"/>
        <w:spacing w:line="360" w:lineRule="auto"/>
        <w:ind w:firstLine="630" w:firstLineChars="3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投标人提供早餐、中餐及加班服务。时间为工作日（会务或其他临时需加班的情况除外），早餐服务时间为7:00-8:30，每周设粥、豆浆、油条、糯米饭、包子、馒头、菜包、煮粉干、面条、年糕等品种每天轮换；中餐服务时间为11:30-13:00，中餐菜肴8-10个品种，荤食5种以上，并提供汤。晚餐加班服务时间为17:30-19:00。</w:t>
      </w:r>
    </w:p>
    <w:p w14:paraId="70E017B8">
      <w:pPr>
        <w:autoSpaceDN w:val="0"/>
        <w:spacing w:line="360" w:lineRule="auto"/>
        <w:ind w:firstLine="630" w:firstLineChars="3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2、承包方负责制定菜谱，根据业主方需要，每周四12时前制定下周全周的菜谱并报业主方审批，每周的菜肴品种不少于40个，菜谱安排必须科学，菜单必须经采购人及其委托的管理人员认可方可执行。</w:t>
      </w:r>
    </w:p>
    <w:p w14:paraId="349D82C4">
      <w:pPr>
        <w:autoSpaceDN w:val="0"/>
        <w:spacing w:line="360" w:lineRule="auto"/>
        <w:ind w:firstLine="630" w:firstLineChars="3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3、员工餐厅以自选快餐形式提供菜品，菜肴品种要求花色多样、每日变换及时，菜肴品种、数量必须按照当日所需标准执行，保证每天供应员工每人1份的新鲜时令水果。</w:t>
      </w:r>
    </w:p>
    <w:p w14:paraId="2C53C6FB">
      <w:pPr>
        <w:autoSpaceDN w:val="0"/>
        <w:spacing w:line="360" w:lineRule="auto"/>
        <w:ind w:firstLine="630" w:firstLineChars="3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乙方在承包区域的各项服务，其工作时间，必须满足甲方的工作要求，包括夜间加班、双休日、法定节假日及抗台等特殊时期用餐保障。遇特殊情况，甲方认为应提供方便或提高服务质量时，可要求投标人调整工作时间直至全天二十四小时工作。加班菜肴8-10个品种，荤食5种以上，并提供汤（具体就餐时间根据作息时间作相应调整，加班费用由双方协商确定）。</w:t>
      </w:r>
    </w:p>
    <w:p w14:paraId="2A2AA6A7">
      <w:pPr>
        <w:pStyle w:val="3"/>
        <w:adjustRightInd w:val="0"/>
        <w:snapToGrid w:val="0"/>
        <w:spacing w:after="0" w:line="360" w:lineRule="auto"/>
        <w:ind w:left="474" w:leftChars="0" w:hanging="474" w:hangingChars="22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（1）乙方承诺上述所有人员都要经过医院体检，并取得健康证，患有不适合在食堂工作疾病的，不得录用。认真执行国家有关劳动保护的规定，重视劳动保护教育，落实劳动保护措施</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逐步改善劳动条件，确保职工的安全与健康。</w:t>
      </w:r>
    </w:p>
    <w:p w14:paraId="041DEC4A">
      <w:pPr>
        <w:pStyle w:val="3"/>
        <w:adjustRightInd w:val="0"/>
        <w:snapToGrid w:val="0"/>
        <w:spacing w:after="0" w:line="360" w:lineRule="auto"/>
        <w:ind w:left="550" w:hanging="525" w:hangingChars="2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（2）乙方应将聘用人员的相关材料（包括体检证明、年龄、从事岗位）等报甲方审查，特殊岗位必须持证上岗，上岗人员要求政治上可靠、身体素质好、无不良行为记录方可录用。</w:t>
      </w:r>
    </w:p>
    <w:p w14:paraId="582C7790">
      <w:pPr>
        <w:pStyle w:val="3"/>
        <w:adjustRightInd w:val="0"/>
        <w:snapToGrid w:val="0"/>
        <w:spacing w:after="0" w:line="360" w:lineRule="auto"/>
        <w:ind w:left="550" w:hanging="525" w:hangingChars="2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（3）食堂内工作人员（除值班人员和早餐面点人员）一律不得留宿。上班时间谢绝无关人员进入食堂或加工售菜区域。</w:t>
      </w:r>
    </w:p>
    <w:p w14:paraId="55003F15">
      <w:pPr>
        <w:autoSpaceDN w:val="0"/>
        <w:spacing w:line="360" w:lineRule="auto"/>
        <w:ind w:firstLine="632" w:firstLineChars="300"/>
        <w:outlineLvl w:val="2"/>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（二）食堂设备、工具等</w:t>
      </w:r>
    </w:p>
    <w:p w14:paraId="5F8EB9BB">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1、承包方未经业主方同意，不得擅自改变食堂布局结构。如确需改动的，必须经业主方同意，方可改动。</w:t>
      </w:r>
    </w:p>
    <w:p w14:paraId="3D5E4106">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食堂原有桌椅及厨房设备，提供给承包方免费使用，承包方应爱惜财物保持其完好性。日常维护由承包方负责，如确需改动的，必须经业主方同意，方可改动。如发现属人工操作不当或故意损坏由承包方负责维修和赔偿。</w:t>
      </w:r>
    </w:p>
    <w:p w14:paraId="00835668">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3、碗、勺、筷、盘等日常餐具由业主方提供。</w:t>
      </w:r>
    </w:p>
    <w:p w14:paraId="77BECF51">
      <w:pPr>
        <w:autoSpaceDN w:val="0"/>
        <w:spacing w:line="360" w:lineRule="auto"/>
        <w:ind w:firstLine="632" w:firstLineChars="300"/>
        <w:outlineLvl w:val="2"/>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（三）服务质量要求</w:t>
      </w:r>
    </w:p>
    <w:p w14:paraId="6430F9BA">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1、承包方需本着对企业品牌的延伸，以社会化效益为主的原则进行服务。对承包期内的人员费用、质量、安全、文明服务等实行全面承包。</w:t>
      </w:r>
    </w:p>
    <w:p w14:paraId="199764E2">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2、服务质量标准要求按星级以上酒店标准订立服务规程。承包方应制订具体的服务质量保证措施及相关服务承诺，如因质量未达到要求，承包方就因此承担质量安全责任和经济赔偿。</w:t>
      </w:r>
    </w:p>
    <w:p w14:paraId="360B216B">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应建立健全以岗位责任制为中心的各项质量管理制度，做到工作有计划，行为有规范，操作有程序，质量有标准，劳动有纪律。要结合本项目食堂的特点，从食品质量、花色品种、口感味道、服务方式、饮食卫生等方面制定服务规范或质量标准，不断提高食堂的服务水平。</w:t>
      </w:r>
    </w:p>
    <w:p w14:paraId="1EA49E9D">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4、对食堂工作的全过程，即对食品及原材料、调料的保管、储存、制作加工、配售等工作进行全面质量管理，对食堂职工进行质量管理教育，解全面质量管理的基本知识和方法，树立质量意识。</w:t>
      </w:r>
    </w:p>
    <w:p w14:paraId="359E0BC5">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5、承包方要加强菜肴的质量管理，不断提高加工水平，各类调味品在菜肴成分里所占比例要控制在20℅以内，真正让员工吃出健康。</w:t>
      </w:r>
    </w:p>
    <w:p w14:paraId="6E3D7048">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6、加强内部质量自查和自我监督，建立内部质量检查小组，定期实施质量检查工作，记录检查结果，建立质量检查档案，组织职工在日常工作中开展质量自查、互查活动。</w:t>
      </w:r>
    </w:p>
    <w:p w14:paraId="0965E98E">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7、服务区内垃圾用袋装收集，存放在指定地点，清扫、保洁及生活服务的工作质量按国家卫生城市管理的有关标准严格验收。</w:t>
      </w:r>
    </w:p>
    <w:p w14:paraId="53930E85">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8、承包方须按现代企业制度运行，发挥自身优势，以热心、爱心、专心、贴心的服务，提供全方位、一体化的专业服务保障，确保食堂良好运转。</w:t>
      </w:r>
    </w:p>
    <w:p w14:paraId="3180C8DC">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9、承包方达不到业主方要求及各项服务承诺，业主方有权要求其整改，直到扣款或终止合同。</w:t>
      </w:r>
    </w:p>
    <w:p w14:paraId="54E3F460">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10、承包方应严格执行业主方统一管理标准，认真做好防盗、防毒、防火、防食品变味变质、防工伤事故和消防安全、秩序管理工作。需制定消防、抗台、安全等应急措施，并切实地培训到每个岗位人员。</w:t>
      </w:r>
    </w:p>
    <w:p w14:paraId="00FD3CEA">
      <w:pPr>
        <w:autoSpaceDN w:val="0"/>
        <w:spacing w:line="360" w:lineRule="auto"/>
        <w:ind w:firstLine="632" w:firstLineChars="300"/>
        <w:outlineLvl w:val="2"/>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（四）节能措施要求</w:t>
      </w:r>
    </w:p>
    <w:p w14:paraId="1AE26775">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1、全面贯彻落实业主方制定有关节能的各项规章制度。</w:t>
      </w:r>
    </w:p>
    <w:p w14:paraId="7099F880">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2、积极协助业主方做好各项节能项目的改造工作。</w:t>
      </w:r>
    </w:p>
    <w:p w14:paraId="15D5D5B3">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3、积极协助业主方做好节能工作的宣传教育工作。</w:t>
      </w:r>
    </w:p>
    <w:p w14:paraId="2AD9BEF6">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4、承包方各项服务要求严格按照有关节能要求来实施服务工作。</w:t>
      </w:r>
    </w:p>
    <w:p w14:paraId="28A477BF">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5、业主方所承担服务区域的全年节电、节水、节油等年度目标要达到减5%以上，这一指标要作为食堂管理服务质量的重要依据。</w:t>
      </w:r>
    </w:p>
    <w:p w14:paraId="603EFFA5">
      <w:pPr>
        <w:autoSpaceDN w:val="0"/>
        <w:spacing w:line="360" w:lineRule="auto"/>
        <w:ind w:firstLine="632" w:firstLineChars="300"/>
        <w:outlineLvl w:val="2"/>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六、食品安全管理要求</w:t>
      </w:r>
    </w:p>
    <w:p w14:paraId="1C19E523">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1、严格执行《中华人民共和国食品安全法》、《餐饮服务食品安全监督管理办法》、GB16153《饭馆（餐厅）卫生标准》、GB14934《食（饮）具消毒卫生标准》等卫生安全法律法规及标准。</w:t>
      </w:r>
    </w:p>
    <w:p w14:paraId="77A5C026">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认真执行《食品加工、销售、饮食业卫生“五、四”制》，并结合本单位的具体情况，建立健全卫生制度，保证食品卫生，保障就餐人员的身体健康，并按业主方要求对食堂所需有关蔬菜、食品卫生实行最优质的保证。</w:t>
      </w:r>
    </w:p>
    <w:p w14:paraId="237E12E9">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3、食品的卫生质量按《全国救灾防病预案》的规定，不用来源不明的原料；不加工、不发售来源不明的食品，防止疾病传染和食物中毒。</w:t>
      </w:r>
    </w:p>
    <w:p w14:paraId="7316680F">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4、食堂工作人员必须持有健康合格证上岗，定期复查，严禁患病上岗。负责餐饮加工和冷拼人员须戴口罩、手套上岗。出售直接入口食品时，必须使用售餐用具。食堂工作人员讲究个人卫生，统一着装，规范操作。</w:t>
      </w:r>
    </w:p>
    <w:p w14:paraId="6E874036">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5、食品原料的</w:t>
      </w:r>
      <w:r>
        <w:rPr>
          <w:rFonts w:hint="eastAsia" w:asciiTheme="minorEastAsia" w:hAnsiTheme="minorEastAsia" w:eastAsiaTheme="minorEastAsia" w:cstheme="minorEastAsia"/>
          <w:bCs/>
          <w:color w:val="auto"/>
          <w:sz w:val="21"/>
          <w:szCs w:val="21"/>
          <w:highlight w:val="none"/>
          <w:lang w:val="en-US" w:eastAsia="zh-CN"/>
        </w:rPr>
        <w:t>验收</w:t>
      </w:r>
    </w:p>
    <w:p w14:paraId="4A92B9E0">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（1）食品的主料、辅料、调料等的采购，由</w:t>
      </w:r>
      <w:r>
        <w:rPr>
          <w:rFonts w:hint="eastAsia" w:asciiTheme="minorEastAsia" w:hAnsiTheme="minorEastAsia" w:eastAsiaTheme="minorEastAsia" w:cstheme="minorEastAsia"/>
          <w:bCs/>
          <w:color w:val="auto"/>
          <w:sz w:val="21"/>
          <w:szCs w:val="21"/>
          <w:highlight w:val="none"/>
          <w:lang w:val="en-US" w:eastAsia="zh-CN"/>
        </w:rPr>
        <w:t>采购</w:t>
      </w:r>
      <w:r>
        <w:rPr>
          <w:rFonts w:hint="eastAsia" w:asciiTheme="minorEastAsia" w:hAnsiTheme="minorEastAsia" w:eastAsiaTheme="minorEastAsia" w:cstheme="minorEastAsia"/>
          <w:bCs/>
          <w:color w:val="auto"/>
          <w:sz w:val="21"/>
          <w:szCs w:val="21"/>
          <w:highlight w:val="none"/>
        </w:rPr>
        <w:t>方全部负责。菜品（食材、调料等）供应商由采购人确定,每日的菜品（食材、调料等）不包含在本次采购报价范围，由采购人另行支付。</w:t>
      </w:r>
    </w:p>
    <w:p w14:paraId="07CDF98E">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w:t>
      </w:r>
      <w:r>
        <w:rPr>
          <w:rFonts w:hint="eastAsia" w:asciiTheme="minorEastAsia" w:hAnsiTheme="minorEastAsia" w:eastAsiaTheme="minorEastAsia" w:cstheme="minorEastAsia"/>
          <w:bCs/>
          <w:color w:val="auto"/>
          <w:sz w:val="21"/>
          <w:szCs w:val="21"/>
          <w:highlight w:val="none"/>
          <w:lang w:val="en-US" w:eastAsia="zh-CN"/>
        </w:rPr>
        <w:t>对</w:t>
      </w:r>
      <w:r>
        <w:rPr>
          <w:rFonts w:hint="eastAsia" w:asciiTheme="minorEastAsia" w:hAnsiTheme="minorEastAsia" w:eastAsiaTheme="minorEastAsia" w:cstheme="minorEastAsia"/>
          <w:bCs/>
          <w:color w:val="auto"/>
          <w:sz w:val="21"/>
          <w:szCs w:val="21"/>
          <w:highlight w:val="none"/>
        </w:rPr>
        <w:t>采购的食品及原材料</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承包方厨师长、业主方委派管理人员共同负责验收和入库，妥善保管。</w:t>
      </w:r>
    </w:p>
    <w:p w14:paraId="275FBE72">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（3）食品采购验收人员对清点验收的加工食品及原料，必须检查其商标、出产地（厂家）、检验合格证等是否齐全，并整理归档，严禁接收加工无证产品。</w:t>
      </w:r>
    </w:p>
    <w:p w14:paraId="59C101D0">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4）必须严格遵守国家颁布的《餐饮服务食品安全监督管理办法》，发现有毒、有害、腐烂变质、酸败、霉变、生虫、污秽、不洁、混有异物或者其他感官性状异常的食品，无检验合格证明的食品，超过保质期限及其他不符合食品标签规定的定型包装食品，应禁止接收或加工制作，并上报业主方处理。</w:t>
      </w:r>
    </w:p>
    <w:p w14:paraId="0D53AFB3">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6、食品加工：</w:t>
      </w:r>
    </w:p>
    <w:p w14:paraId="7A1CB494">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食品加工人员在工作前、处理食品后或接触直接入口的食品前，都必须洗手消毒；不得留长指甲、涂指甲油、戴戒指，勤理发，勤修面，勤洗澡，勤换衣；不得有面对食品打喷嚏、咳嗽及其他有碍食品卫生的行为；不得在食品加工和出售场所内吸烟；厨师应当穿戴整洁的工作衣帽，头发应梳理整齐并置于帽内。</w:t>
      </w:r>
    </w:p>
    <w:p w14:paraId="562239B4">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（2）食品加工人员必须认真检查待加工的食品及其他食品原料，发现有腐败变质或其他感官性状异常的，不得加工或使用。</w:t>
      </w:r>
    </w:p>
    <w:p w14:paraId="71A9613D">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（3）各种食品原料在使用前必须洗净，蔬菜应当与肉类、水产品类分池清洗；禽蛋在使用前应当对外壳进行清洗，必要时进行消毒处理；对怀疑带有农药的蔬菜，不得投入加工制作或使用。</w:t>
      </w:r>
    </w:p>
    <w:p w14:paraId="1D862052">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（4）用于原料、半成品、成品的刀、墩、板、桶、盆、筐、抹布以及其他工具或容器必须标志明显，并做到分开使用，尤其是生、熟工具要分开，定位存放，用后洗净，保持清洁。</w:t>
      </w:r>
    </w:p>
    <w:p w14:paraId="77140E88">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（5）需要热制加工的食品必须烧熟煮透，其中心温度不得低于70度；加工后的热制品应当与食品原料或半成品分开存放；半成品应当与食品原料分开存放。</w:t>
      </w:r>
    </w:p>
    <w:p w14:paraId="72C316D1">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（6）在烹饪后至食用前需要较长时间(超过2小时)存放的食品，应当在高于60度或低于1 0度的条件下存放。需要冷藏的熟制品，应当放凉后再冷藏。凡隔餐、隔夜的熟制品必须经充分再加热后方可食用。</w:t>
      </w:r>
    </w:p>
    <w:p w14:paraId="626AA9FA">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（7）不允许使用食品添加剂和来源不明的调味品，若确需使用食品添加剂的应严格按照国家卫生标准和有关规定使用。</w:t>
      </w:r>
    </w:p>
    <w:p w14:paraId="61504102">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（8）加工出售食品时要做好防蝇、防虫、防尘、防霉变、保洁及秋冬季节的食品保温工作。出售食品必须坚持使用清洁的专用工具，严禁用手直接接触食物。</w:t>
      </w:r>
    </w:p>
    <w:p w14:paraId="0D1975F2">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7、食品储存</w:t>
      </w:r>
    </w:p>
    <w:p w14:paraId="4B83A564">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（1）储存食品场所、设备应当保持清洁，无霉斑、鼠迹、苍蝇、蟑螂；仓库应当通风良好。禁止存放有毒、有害物品及个人生活物品。</w:t>
      </w:r>
    </w:p>
    <w:p w14:paraId="139B2415">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（2）库房食品应当分类、分架、隔墙、离地(30公分以上)存放，并贴上标签：定期检查处理变质或超过保质期限的食品。</w:t>
      </w:r>
    </w:p>
    <w:p w14:paraId="74DEA52F">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（3）库房必须安排专人负责保管。凡新购食物必须经专人(校医)检查合格后，才允许入库；需冷冻食品应及时放入规定冰柜存放。</w:t>
      </w:r>
    </w:p>
    <w:p w14:paraId="45FE2B63">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（4）每次、每批食品入库、领用都必须做好登记。</w:t>
      </w:r>
    </w:p>
    <w:p w14:paraId="45F81731">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（5）当餐未出售完的食品，应按卫生规定要求放入冰箱、冰柜。</w:t>
      </w:r>
    </w:p>
    <w:p w14:paraId="1BAEE823">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（6）保管人离开库房时，应立即将门锁好。</w:t>
      </w:r>
    </w:p>
    <w:p w14:paraId="03672A26">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8、餐饮具消毒卫生</w:t>
      </w:r>
    </w:p>
    <w:p w14:paraId="2256C485">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（1）餐饮具使用前必须做到一清、二洗、三消毒、四保洁，符合国家有关卫生标准。未经消毒的餐饮均不得使用，禁止重复使用—次性餐具。</w:t>
      </w:r>
    </w:p>
    <w:p w14:paraId="5E931E2A">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（2）洗刷餐饮具必须在专用水池，不得与清洗蔬菜、肉类及其他水池混用。</w:t>
      </w:r>
    </w:p>
    <w:p w14:paraId="54E26331">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（3）洗涤消毒餐饮具使用的洗涤剂、消毒剂必须符合食品卫生标准要求。</w:t>
      </w:r>
    </w:p>
    <w:p w14:paraId="7E3E3F23">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（4）餐饮具，尤其是配餐餐饮具，每餐洗净后必须放入电子消毒柜中消毒或高温消毒；若用消毒剂消毒必须按正确的使用剂量和规定时间程序消毒清洗。</w:t>
      </w:r>
    </w:p>
    <w:p w14:paraId="41B5109E">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（5）消毒后的餐饮具必须贮存在餐饮具专用保洁柜内备用；已经消毒与末消毒的餐饮具应分开存放，并在餐饮具贮存柜上有明显标志。</w:t>
      </w:r>
    </w:p>
    <w:p w14:paraId="25BF679C">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（6）餐饮具保洁柜应当定期清洗，保持洁净。</w:t>
      </w:r>
    </w:p>
    <w:p w14:paraId="02F47080">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9、要保持餐厅内餐桌、餐椅、墙面、地面等环境设施的消毒清洁。每次售餐完毕后，应按卫生管理规范收放好食品，清洗餐具、柜台，清扫场地。保持室内空气流通，严防各种污染。做到室内无蚊、蝇，无水垢和无油垢。</w:t>
      </w:r>
    </w:p>
    <w:p w14:paraId="1DAF6A7A">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10、洗碗间、冷菜间、烹调制作间保持清洁卫生，厨房用具应及时清洗、消毒，严格做到生熟分开。</w:t>
      </w:r>
    </w:p>
    <w:p w14:paraId="34AAD891">
      <w:pPr>
        <w:autoSpaceDN w:val="0"/>
        <w:spacing w:line="360" w:lineRule="auto"/>
        <w:ind w:firstLine="632" w:firstLineChars="300"/>
        <w:outlineLvl w:val="2"/>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七、劳动管理</w:t>
      </w:r>
    </w:p>
    <w:p w14:paraId="5A8DBA88">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（1）承包方从实际出发，根据岗位要求、劳动条件和其他方面的实际情况，择优聘用服务人数。</w:t>
      </w:r>
    </w:p>
    <w:p w14:paraId="1BCCF682">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（2）所有人员都要经过医院体检，患有不适合在食堂工作疾病的，不得录用。 认真执行国家有关劳动保护的规定，重视劳动保护教育，落实劳动保护措施， 逐步改善劳动条件，确保职工的安全与健康。</w:t>
      </w:r>
    </w:p>
    <w:p w14:paraId="041640F0">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（3）承包方应将聘用人员的相关材料（包括体检证明、年龄、从事岗位）等报业主方审查，特殊岗位必须持证上岗，上岗人员要求为人正直、身体素质好、无不良行为记录方可录用。</w:t>
      </w:r>
    </w:p>
    <w:p w14:paraId="593C0E07">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（4）食堂内工作人员（除值班人员和早点人员）一律不得留宿。上班时间谢绝无关人员进入食堂或加工售菜区域。</w:t>
      </w:r>
    </w:p>
    <w:p w14:paraId="41443859">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（5）在承包期内，承包方所有人员的事故由承包方自行全权负责。</w:t>
      </w:r>
    </w:p>
    <w:p w14:paraId="3EB8C4C7">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（6）承包方应按国家有关规定为服务人员交纳相关社会保险。</w:t>
      </w:r>
    </w:p>
    <w:p w14:paraId="4547718C">
      <w:pPr>
        <w:autoSpaceDN w:val="0"/>
        <w:spacing w:line="360" w:lineRule="auto"/>
        <w:ind w:firstLine="632" w:firstLineChars="300"/>
        <w:outlineLvl w:val="2"/>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八、其他要求及相关说明</w:t>
      </w:r>
    </w:p>
    <w:p w14:paraId="0999A7FE">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1、承包方负责人全权代表承包方与业主方保持密切联系并保证承包区域服务工作。</w:t>
      </w:r>
    </w:p>
    <w:p w14:paraId="50ECA6F1">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2、承包方聘用的工作人员必须符合劳动部门有关用工规定，并经承包方相关专业培训考核合格后持证上岗，业主方有权进行审核，该类费用开支由承包方负担。</w:t>
      </w:r>
    </w:p>
    <w:p w14:paraId="6243600F">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3、所有人员的服装费用由承包方自行负责配备，分类统一着装，但服装样式需经业主方核准。</w:t>
      </w:r>
    </w:p>
    <w:p w14:paraId="778C9C41">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4、承包方更换或调整人员应提前征求业主方意见，在征得业主方同意后方可更换、调整。</w:t>
      </w:r>
    </w:p>
    <w:p w14:paraId="5355B226">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5、承包方应加强对员工的管理，做节约用水、用电、用汽、用油，避免浪费。</w:t>
      </w:r>
    </w:p>
    <w:p w14:paraId="4654A41B">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6、承包方应重视安全工作各环节的管理，科学安排餐饮服务的工作流程，做到精细化管理，如发生餐饮安全、卫生事故（如在菜品里发现异物），业主方将采取重罚措施，直至解除合同。</w:t>
      </w:r>
    </w:p>
    <w:p w14:paraId="79FB35F6">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7、遇卫生、消防、安全检查或突发事件时，承包方必须配合业主方及有关部门做好工作，并指定专职人员协助工作，直到完成。</w:t>
      </w:r>
    </w:p>
    <w:p w14:paraId="1A4FD409">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8、业主方提供的各种设备、设施、工具，承包方应安全、规范使用。承包期满或合同解除，业主方按原移交清单进行财产清单验收，除正常使用折旧外，承包方应保证各设备、设施、工具的完好性，如有非正常损坏或遗失，承包方应照价赔偿。</w:t>
      </w:r>
    </w:p>
    <w:p w14:paraId="2379168B">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9、业主方保证承包方的员工按规定正常进入承包区域开展服务工作，保证承包方正常的水、电能源供应，如出现故障，应及时维修，确保承包方正常开展服务。</w:t>
      </w:r>
    </w:p>
    <w:p w14:paraId="3520A3E1">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10、合同期内，食堂消防、安全、卫生均由承包方负责，如因承包方责任发生火灾、食物中毒、环境污染、安全等事故，所有损失由承包方承担，并依照相关法律追究责任。</w:t>
      </w:r>
    </w:p>
    <w:p w14:paraId="4E6B546B">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11、禁止事项</w:t>
      </w:r>
    </w:p>
    <w:p w14:paraId="659BAB9C">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（1）承包方不得以任何理由向业主方工作人员支付小费或赠送实物，违者将终止合同。</w:t>
      </w:r>
    </w:p>
    <w:p w14:paraId="27C79676">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（2）承包方不得在承包区域住宿或从事非法活动，也不得从事有损业主方利益的活动，同时不允许在承包区域对业主方正常办公有滋扰性的行为。</w:t>
      </w:r>
    </w:p>
    <w:p w14:paraId="7AFE4114">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（3）未获业主方书面同意，承包方任何时候都不能在承包区域存放易燃易爆有毒、挥发性大或气味浓烈的物品等。</w:t>
      </w:r>
    </w:p>
    <w:p w14:paraId="1F47F6D9">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（4）承包方不得将承包的食堂不准改变用途、不准转包，一旦发现中止合同，没收履约保证金。</w:t>
      </w:r>
    </w:p>
    <w:p w14:paraId="0672EA90">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12、采购人将根据报名情况对供应商自有或承包的餐饮经营场所进行现场考察及相关拍摄或者供  应商响应文件中应提供自有或承包的餐饮经营场所的相关拍摄资料。</w:t>
      </w:r>
    </w:p>
    <w:p w14:paraId="392D34EB">
      <w:pPr>
        <w:autoSpaceDN w:val="0"/>
        <w:spacing w:line="360" w:lineRule="auto"/>
        <w:ind w:firstLine="632" w:firstLineChars="300"/>
        <w:outlineLvl w:val="2"/>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九、投标报价说明</w:t>
      </w:r>
    </w:p>
    <w:p w14:paraId="2618EE66">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w:t>
      </w:r>
      <w:r>
        <w:rPr>
          <w:rFonts w:hint="eastAsia" w:asciiTheme="minorEastAsia" w:hAnsiTheme="minorEastAsia" w:eastAsiaTheme="minorEastAsia" w:cstheme="minorEastAsia"/>
          <w:bCs/>
          <w:color w:val="auto"/>
          <w:sz w:val="21"/>
          <w:szCs w:val="21"/>
          <w:highlight w:val="none"/>
          <w:lang w:val="en-US" w:eastAsia="zh-CN"/>
        </w:rPr>
        <w:t>投标</w:t>
      </w:r>
      <w:r>
        <w:rPr>
          <w:rFonts w:hint="eastAsia" w:asciiTheme="minorEastAsia" w:hAnsiTheme="minorEastAsia" w:eastAsiaTheme="minorEastAsia" w:cstheme="minorEastAsia"/>
          <w:bCs/>
          <w:color w:val="auto"/>
          <w:sz w:val="21"/>
          <w:szCs w:val="21"/>
          <w:highlight w:val="none"/>
        </w:rPr>
        <w:t xml:space="preserve">人应考虑企业自身实力、经验及项目实施过程中的各种因素，根据采购要求，详细说明所能提供的各项具体服务内容，自主确定报价，实行总价包干，并按服务的内容按包括人员工资福利、各种社会保险、人员食宿与交通、人员培训、办公费、利润及应缴纳的税金、其他不可预见费用、代理服务费等报投标总价。凡未列入的将被认为均已包含在投标总价中，今后不得以任何理由追加或调整。 </w:t>
      </w:r>
    </w:p>
    <w:p w14:paraId="36A785F6">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(2）本次采购，在服务承包期内如因政策性因素调整导致相关人员的工资、社保、节假日、高温补贴出现变化的，该部分费用由中标人自行承担，招标人不予以调整该部分费用，各投标人在报价时须综合考虑风险。 </w:t>
      </w:r>
    </w:p>
    <w:p w14:paraId="5939008C">
      <w:pPr>
        <w:autoSpaceDN w:val="0"/>
        <w:spacing w:line="360" w:lineRule="auto"/>
        <w:ind w:firstLine="630"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(3）投标人须负责对员工的职责范围进行安全文明操作进行培训，确保安全合理高效服务。合同承包期内，投标人的工作人员出现意外事故导致人员伤亡的情况，均由中标人自负责任。各投标人须在报价中考虑风险。 </w:t>
      </w:r>
    </w:p>
    <w:p w14:paraId="7C795D2E">
      <w:pPr>
        <w:spacing w:line="360" w:lineRule="auto"/>
        <w:ind w:firstLine="630" w:firstLineChars="3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(4）执行相关有关员工保障的其他规定，由劳动部门查实的，根据查实情况处罚。</w:t>
      </w:r>
    </w:p>
    <w:p w14:paraId="6978F6B9">
      <w:pPr>
        <w:spacing w:line="360" w:lineRule="exact"/>
        <w:rPr>
          <w:color w:val="auto"/>
          <w:highlight w:val="none"/>
          <w:u w:val="none"/>
        </w:rPr>
      </w:pPr>
      <w:r>
        <w:rPr>
          <w:rFonts w:hint="eastAsia" w:ascii="宋体" w:hAnsi="宋体" w:eastAsia="宋体" w:cs="宋体"/>
          <w:b w:val="0"/>
          <w:bCs/>
          <w:color w:val="auto"/>
          <w:sz w:val="22"/>
          <w:szCs w:val="22"/>
          <w:highlight w:val="none"/>
        </w:rPr>
        <w:br w:type="page"/>
      </w:r>
    </w:p>
    <w:p w14:paraId="1613E9F9">
      <w:pPr>
        <w:rPr>
          <w:color w:val="auto"/>
          <w:highlight w:val="none"/>
        </w:rPr>
      </w:pPr>
    </w:p>
    <w:p w14:paraId="30151122">
      <w:pPr>
        <w:pStyle w:val="51"/>
        <w:rPr>
          <w:rFonts w:ascii="宋体" w:hAnsi="宋体" w:cs="宋体"/>
          <w:color w:val="auto"/>
          <w:highlight w:val="none"/>
        </w:rPr>
      </w:pPr>
    </w:p>
    <w:p w14:paraId="0462B2AD">
      <w:pPr>
        <w:pStyle w:val="5"/>
        <w:spacing w:line="400" w:lineRule="exact"/>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第三部分   磋商原则及方法</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24CC9E10">
      <w:pPr>
        <w:spacing w:beforeLines="20" w:afterLines="20" w:line="440" w:lineRule="exact"/>
        <w:ind w:firstLine="325" w:firstLineChars="147"/>
        <w:rPr>
          <w:rFonts w:ascii="宋体" w:hAnsi="宋体" w:cs="宋体"/>
          <w:b/>
          <w:color w:val="auto"/>
          <w:sz w:val="22"/>
          <w:szCs w:val="22"/>
          <w:highlight w:val="none"/>
        </w:rPr>
      </w:pPr>
      <w:r>
        <w:rPr>
          <w:rFonts w:hint="eastAsia" w:ascii="宋体" w:hAnsi="宋体" w:cs="宋体"/>
          <w:b/>
          <w:bCs/>
          <w:color w:val="auto"/>
          <w:sz w:val="22"/>
          <w:szCs w:val="22"/>
          <w:highlight w:val="none"/>
        </w:rPr>
        <w:t>根据《中华人民共和国政府采购法》、《政府采购竞争性磋商采购方式管理暂行办法》等相关法规特制定以下磋商评审办法。</w:t>
      </w:r>
    </w:p>
    <w:p w14:paraId="5046E9B6">
      <w:pPr>
        <w:spacing w:line="420" w:lineRule="exact"/>
        <w:outlineLvl w:val="0"/>
        <w:rPr>
          <w:rFonts w:ascii="宋体" w:hAnsi="宋体" w:cs="宋体"/>
          <w:color w:val="auto"/>
          <w:sz w:val="22"/>
          <w:szCs w:val="22"/>
          <w:highlight w:val="none"/>
        </w:rPr>
      </w:pPr>
      <w:bookmarkStart w:id="175" w:name="_Toc15523"/>
      <w:bookmarkStart w:id="176" w:name="_Toc467175864"/>
      <w:bookmarkStart w:id="177" w:name="_Toc507146686"/>
      <w:bookmarkStart w:id="178" w:name="_Toc23884114"/>
      <w:bookmarkStart w:id="179" w:name="_Toc527717319"/>
      <w:bookmarkStart w:id="180" w:name="_Toc5821"/>
      <w:bookmarkStart w:id="181" w:name="_Toc23884074"/>
      <w:bookmarkStart w:id="182" w:name="_Toc458516434"/>
      <w:bookmarkStart w:id="183" w:name="_Toc445832502"/>
      <w:r>
        <w:rPr>
          <w:rFonts w:hint="eastAsia" w:ascii="宋体" w:hAnsi="宋体" w:cs="宋体"/>
          <w:color w:val="auto"/>
          <w:sz w:val="22"/>
          <w:szCs w:val="22"/>
          <w:highlight w:val="none"/>
        </w:rPr>
        <w:t>一. 总则</w:t>
      </w:r>
      <w:bookmarkEnd w:id="175"/>
      <w:bookmarkEnd w:id="176"/>
      <w:bookmarkEnd w:id="177"/>
      <w:bookmarkEnd w:id="178"/>
      <w:bookmarkEnd w:id="179"/>
      <w:bookmarkEnd w:id="180"/>
      <w:bookmarkEnd w:id="181"/>
      <w:bookmarkEnd w:id="182"/>
      <w:bookmarkEnd w:id="183"/>
    </w:p>
    <w:p w14:paraId="14749599">
      <w:pPr>
        <w:spacing w:line="420" w:lineRule="exact"/>
        <w:ind w:left="439" w:leftChars="209"/>
        <w:rPr>
          <w:rFonts w:ascii="宋体" w:hAnsi="宋体" w:cs="宋体"/>
          <w:color w:val="auto"/>
          <w:sz w:val="22"/>
          <w:szCs w:val="22"/>
          <w:highlight w:val="none"/>
        </w:rPr>
      </w:pPr>
      <w:r>
        <w:rPr>
          <w:rFonts w:hint="eastAsia" w:ascii="宋体" w:hAnsi="宋体" w:cs="宋体"/>
          <w:color w:val="auto"/>
          <w:sz w:val="22"/>
          <w:szCs w:val="22"/>
          <w:highlight w:val="none"/>
        </w:rPr>
        <w:t>磋商工作遵循“公平、公正、科学、择优”原则和“诚实、信誉、效率”的服务原则。最大限度</w:t>
      </w:r>
      <w:r>
        <w:rPr>
          <w:rFonts w:hint="eastAsia" w:ascii="宋体" w:hAnsi="宋体" w:cs="宋体"/>
          <w:color w:val="auto"/>
          <w:sz w:val="22"/>
          <w:szCs w:val="22"/>
          <w:highlight w:val="none"/>
          <w:lang w:eastAsia="zh-CN"/>
        </w:rPr>
        <w:t>地</w:t>
      </w:r>
      <w:r>
        <w:rPr>
          <w:rFonts w:hint="eastAsia" w:ascii="宋体" w:hAnsi="宋体" w:cs="宋体"/>
          <w:color w:val="auto"/>
          <w:sz w:val="22"/>
          <w:szCs w:val="22"/>
          <w:highlight w:val="none"/>
        </w:rPr>
        <w:t>保护采购人权益，严格按照磋商文件的要求，对磋商响应文件进行综合评审。磋商供应商不得以任何方式干扰采购工作的进行，一经发现其磋商响应文件将被拒绝。</w:t>
      </w:r>
    </w:p>
    <w:p w14:paraId="1B56D527">
      <w:pPr>
        <w:spacing w:line="450" w:lineRule="exact"/>
        <w:rPr>
          <w:rFonts w:ascii="宋体" w:hAnsi="宋体" w:cs="宋体"/>
          <w:b/>
          <w:bCs/>
          <w:color w:val="auto"/>
          <w:sz w:val="22"/>
          <w:szCs w:val="22"/>
          <w:highlight w:val="none"/>
        </w:rPr>
      </w:pPr>
      <w:r>
        <w:rPr>
          <w:rFonts w:hint="eastAsia" w:ascii="宋体" w:hAnsi="宋体" w:cs="宋体"/>
          <w:color w:val="auto"/>
          <w:sz w:val="22"/>
          <w:szCs w:val="22"/>
          <w:highlight w:val="none"/>
        </w:rPr>
        <w:t>二. 磋商程序</w:t>
      </w:r>
    </w:p>
    <w:p w14:paraId="6822D53A">
      <w:pPr>
        <w:spacing w:line="400" w:lineRule="exact"/>
        <w:ind w:left="420" w:leftChars="200"/>
        <w:rPr>
          <w:rFonts w:ascii="宋体" w:hAnsi="宋体" w:cs="宋体"/>
          <w:color w:val="auto"/>
          <w:sz w:val="22"/>
          <w:szCs w:val="22"/>
          <w:highlight w:val="none"/>
        </w:rPr>
      </w:pPr>
      <w:r>
        <w:rPr>
          <w:rFonts w:hint="eastAsia" w:ascii="宋体" w:hAnsi="宋体" w:cs="宋体"/>
          <w:b/>
          <w:color w:val="auto"/>
          <w:sz w:val="22"/>
          <w:szCs w:val="22"/>
          <w:highlight w:val="none"/>
        </w:rPr>
        <w:t>磋商和评审程序：本次磋商分三个阶段进行，具体详见本磋商文件《第一部分 供应商须知》“六 磋商和评审”</w:t>
      </w:r>
      <w:r>
        <w:rPr>
          <w:rFonts w:hint="eastAsia" w:ascii="宋体" w:hAnsi="宋体" w:cs="宋体"/>
          <w:color w:val="auto"/>
          <w:sz w:val="22"/>
          <w:szCs w:val="22"/>
          <w:highlight w:val="none"/>
        </w:rPr>
        <w:t>。</w:t>
      </w:r>
    </w:p>
    <w:p w14:paraId="08A4090E">
      <w:pPr>
        <w:numPr>
          <w:ilvl w:val="0"/>
          <w:numId w:val="33"/>
        </w:num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磋商办法</w:t>
      </w:r>
    </w:p>
    <w:p w14:paraId="0F22AE7B">
      <w:pPr>
        <w:pStyle w:val="19"/>
        <w:numPr>
          <w:ilvl w:val="0"/>
          <w:numId w:val="34"/>
        </w:numPr>
        <w:spacing w:line="440" w:lineRule="exact"/>
        <w:ind w:left="431" w:leftChars="104" w:hanging="213" w:hangingChars="97"/>
        <w:rPr>
          <w:rFonts w:ascii="宋体" w:hAnsi="宋体" w:cs="宋体"/>
          <w:bCs/>
          <w:color w:val="auto"/>
          <w:sz w:val="22"/>
          <w:highlight w:val="none"/>
        </w:rPr>
      </w:pPr>
      <w:r>
        <w:rPr>
          <w:rFonts w:hint="eastAsia" w:ascii="宋体" w:hAnsi="宋体" w:cs="宋体"/>
          <w:bCs/>
          <w:color w:val="auto"/>
          <w:sz w:val="22"/>
          <w:highlight w:val="none"/>
        </w:rPr>
        <w:t>本项目磋商办法采取百分制综合评分法，其中商务技术</w:t>
      </w:r>
      <w:r>
        <w:rPr>
          <w:rFonts w:hint="eastAsia" w:ascii="宋体" w:hAnsi="宋体" w:cs="宋体"/>
          <w:bCs/>
          <w:color w:val="auto"/>
          <w:sz w:val="22"/>
          <w:highlight w:val="none"/>
          <w:lang w:val="en-US" w:eastAsia="zh-CN"/>
        </w:rPr>
        <w:t>90</w:t>
      </w:r>
      <w:r>
        <w:rPr>
          <w:rFonts w:hint="eastAsia" w:ascii="宋体" w:hAnsi="宋体" w:cs="宋体"/>
          <w:bCs/>
          <w:color w:val="auto"/>
          <w:sz w:val="22"/>
          <w:highlight w:val="none"/>
        </w:rPr>
        <w:t>分（商务技术权值为</w:t>
      </w:r>
      <w:r>
        <w:rPr>
          <w:rFonts w:hint="eastAsia" w:ascii="宋体" w:hAnsi="宋体" w:cs="宋体"/>
          <w:bCs/>
          <w:color w:val="auto"/>
          <w:sz w:val="22"/>
          <w:highlight w:val="none"/>
          <w:lang w:val="en-US" w:eastAsia="zh-CN"/>
        </w:rPr>
        <w:t>90</w:t>
      </w:r>
      <w:r>
        <w:rPr>
          <w:rFonts w:hint="eastAsia" w:ascii="宋体" w:hAnsi="宋体" w:cs="宋体"/>
          <w:bCs/>
          <w:color w:val="auto"/>
          <w:sz w:val="22"/>
          <w:highlight w:val="none"/>
        </w:rPr>
        <w:t>%），投标报价</w:t>
      </w:r>
      <w:r>
        <w:rPr>
          <w:rFonts w:hint="eastAsia" w:ascii="宋体" w:hAnsi="宋体" w:cs="宋体"/>
          <w:bCs/>
          <w:color w:val="auto"/>
          <w:sz w:val="22"/>
          <w:highlight w:val="none"/>
          <w:lang w:val="en-US" w:eastAsia="zh-CN"/>
        </w:rPr>
        <w:t>10</w:t>
      </w:r>
      <w:r>
        <w:rPr>
          <w:rFonts w:hint="eastAsia" w:ascii="宋体" w:hAnsi="宋体" w:cs="宋体"/>
          <w:bCs/>
          <w:color w:val="auto"/>
          <w:sz w:val="22"/>
          <w:highlight w:val="none"/>
        </w:rPr>
        <w:t>分（价格权值为</w:t>
      </w:r>
      <w:r>
        <w:rPr>
          <w:rFonts w:hint="eastAsia" w:ascii="宋体" w:hAnsi="宋体" w:cs="宋体"/>
          <w:bCs/>
          <w:color w:val="auto"/>
          <w:sz w:val="22"/>
          <w:highlight w:val="none"/>
          <w:lang w:val="en-US" w:eastAsia="zh-CN"/>
        </w:rPr>
        <w:t>10</w:t>
      </w:r>
      <w:r>
        <w:rPr>
          <w:rFonts w:hint="eastAsia" w:ascii="宋体" w:hAnsi="宋体" w:cs="宋体"/>
          <w:bCs/>
          <w:color w:val="auto"/>
          <w:sz w:val="22"/>
          <w:highlight w:val="none"/>
        </w:rPr>
        <w:t>%）。即最大限度地满足磋商文件实质性要求前提下，按照磋商文件中规定的各项评分内容进行综合评审。</w:t>
      </w:r>
    </w:p>
    <w:p w14:paraId="6BCF84C5">
      <w:pPr>
        <w:pStyle w:val="19"/>
        <w:numPr>
          <w:ilvl w:val="0"/>
          <w:numId w:val="34"/>
        </w:numPr>
        <w:spacing w:line="440" w:lineRule="exact"/>
        <w:ind w:left="431" w:leftChars="104" w:hanging="213" w:hangingChars="97"/>
        <w:rPr>
          <w:rFonts w:ascii="宋体" w:hAnsi="宋体" w:cs="宋体"/>
          <w:bCs/>
          <w:color w:val="auto"/>
          <w:sz w:val="22"/>
          <w:highlight w:val="none"/>
        </w:rPr>
      </w:pPr>
      <w:r>
        <w:rPr>
          <w:rFonts w:hint="eastAsia" w:ascii="宋体" w:hAnsi="宋体" w:cs="宋体"/>
          <w:bCs/>
          <w:color w:val="auto"/>
          <w:sz w:val="22"/>
          <w:highlight w:val="none"/>
        </w:rPr>
        <w:t>评标过程中遇到特殊情况，由磋商小组遵循公平、公正原则，采取记名投票方式按照少数服从多数原则决定。</w:t>
      </w:r>
    </w:p>
    <w:p w14:paraId="6B2262E8">
      <w:pPr>
        <w:pStyle w:val="19"/>
        <w:numPr>
          <w:ilvl w:val="0"/>
          <w:numId w:val="34"/>
        </w:numPr>
        <w:spacing w:line="440" w:lineRule="exact"/>
        <w:ind w:left="431" w:leftChars="104" w:hanging="213" w:hangingChars="97"/>
        <w:rPr>
          <w:rFonts w:ascii="宋体" w:hAnsi="宋体" w:cs="宋体"/>
          <w:bCs/>
          <w:color w:val="auto"/>
          <w:sz w:val="22"/>
          <w:highlight w:val="none"/>
        </w:rPr>
      </w:pPr>
      <w:r>
        <w:rPr>
          <w:rFonts w:hint="eastAsia" w:ascii="宋体" w:hAnsi="宋体" w:cs="宋体"/>
          <w:bCs/>
          <w:color w:val="auto"/>
          <w:sz w:val="22"/>
          <w:highlight w:val="none"/>
        </w:rPr>
        <w:t>磋商小组根据综合评分情况，按照</w:t>
      </w:r>
      <w:r>
        <w:rPr>
          <w:rFonts w:hint="eastAsia" w:ascii="宋体" w:hAnsi="宋体" w:cs="宋体"/>
          <w:bCs/>
          <w:color w:val="auto"/>
          <w:sz w:val="22"/>
          <w:highlight w:val="none"/>
          <w:lang w:eastAsia="zh-CN"/>
        </w:rPr>
        <w:t>综合</w:t>
      </w:r>
      <w:r>
        <w:rPr>
          <w:rFonts w:hint="eastAsia" w:ascii="宋体" w:hAnsi="宋体" w:cs="宋体"/>
          <w:bCs/>
          <w:color w:val="auto"/>
          <w:sz w:val="22"/>
          <w:highlight w:val="none"/>
        </w:rPr>
        <w:t>得分由高到低顺序推荐3名成交候选供应商，并提交评审报告。综合得分相同的</w:t>
      </w:r>
      <w:r>
        <w:rPr>
          <w:rFonts w:hint="eastAsia" w:ascii="宋体" w:hAnsi="宋体" w:cs="宋体"/>
          <w:bCs/>
          <w:color w:val="auto"/>
          <w:sz w:val="22"/>
          <w:highlight w:val="none"/>
          <w:lang w:eastAsia="zh-CN"/>
        </w:rPr>
        <w:t>，</w:t>
      </w:r>
      <w:r>
        <w:rPr>
          <w:rFonts w:hint="eastAsia" w:ascii="宋体" w:hAnsi="宋体" w:cs="宋体"/>
          <w:bCs/>
          <w:color w:val="auto"/>
          <w:sz w:val="22"/>
          <w:highlight w:val="none"/>
        </w:rPr>
        <w:t>以报价分得分高的优先；综合得分相同且报价分得分相同的，由磋商小组抽签决定。</w:t>
      </w:r>
    </w:p>
    <w:p w14:paraId="58E1DD71">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四．</w:t>
      </w:r>
      <w:r>
        <w:rPr>
          <w:rFonts w:hint="eastAsia" w:ascii="宋体" w:hAnsi="宋体" w:cs="宋体"/>
          <w:b/>
          <w:color w:val="auto"/>
          <w:sz w:val="22"/>
          <w:szCs w:val="22"/>
          <w:highlight w:val="none"/>
        </w:rPr>
        <w:t>磋商细则</w:t>
      </w:r>
    </w:p>
    <w:p w14:paraId="7451AEA7">
      <w:pPr>
        <w:spacing w:line="450" w:lineRule="exact"/>
        <w:rPr>
          <w:rFonts w:ascii="宋体" w:hAnsi="宋体" w:cs="宋体"/>
          <w:color w:val="auto"/>
          <w:sz w:val="22"/>
          <w:szCs w:val="22"/>
          <w:highlight w:val="none"/>
        </w:rPr>
      </w:pPr>
      <w:bookmarkStart w:id="184" w:name="OLE_LINK2"/>
      <w:r>
        <w:rPr>
          <w:rFonts w:hint="eastAsia" w:ascii="宋体" w:hAnsi="宋体" w:cs="宋体"/>
          <w:color w:val="auto"/>
          <w:sz w:val="22"/>
          <w:szCs w:val="22"/>
          <w:highlight w:val="none"/>
        </w:rPr>
        <w:t>1、商务技术评分</w:t>
      </w:r>
      <w:r>
        <w:rPr>
          <w:rFonts w:hint="eastAsia" w:ascii="宋体" w:hAnsi="宋体" w:cs="宋体"/>
          <w:b/>
          <w:bCs/>
          <w:color w:val="auto"/>
          <w:sz w:val="22"/>
          <w:szCs w:val="22"/>
          <w:highlight w:val="none"/>
          <w:lang w:val="en-US" w:eastAsia="zh-CN"/>
        </w:rPr>
        <w:t>90</w:t>
      </w:r>
      <w:r>
        <w:rPr>
          <w:rFonts w:hint="eastAsia" w:ascii="宋体" w:hAnsi="宋体" w:cs="宋体"/>
          <w:color w:val="auto"/>
          <w:sz w:val="22"/>
          <w:szCs w:val="22"/>
          <w:highlight w:val="none"/>
        </w:rPr>
        <w:t>分</w:t>
      </w:r>
    </w:p>
    <w:p w14:paraId="011C7632">
      <w:pPr>
        <w:spacing w:line="45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各磋商小组成员按下列评分项目进行评定，每人一张评分计算表，由磋商小组成员各自评定打分并记实名。如任何一张表的一项评分内容分值超过规定的范围，则该张表无效。磋商小组成员对各供应商的各项评分内容评分的合计分的算术平均值为该磋商供应商商务技术分的最终得分（四舍五入，保留小数点后二位）。</w:t>
      </w:r>
    </w:p>
    <w:p w14:paraId="2F3A23F7">
      <w:pPr>
        <w:spacing w:line="240" w:lineRule="auto"/>
        <w:ind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rPr>
        <w:br w:type="page"/>
      </w:r>
    </w:p>
    <w:p w14:paraId="7664CF54">
      <w:pPr>
        <w:pStyle w:val="49"/>
        <w:rPr>
          <w:rFonts w:hint="eastAsia"/>
          <w:color w:val="auto"/>
          <w:sz w:val="22"/>
          <w:szCs w:val="22"/>
          <w:highlight w:val="none"/>
        </w:rPr>
      </w:pPr>
    </w:p>
    <w:tbl>
      <w:tblPr>
        <w:tblStyle w:val="39"/>
        <w:tblW w:w="97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6"/>
        <w:gridCol w:w="1783"/>
        <w:gridCol w:w="814"/>
        <w:gridCol w:w="6685"/>
      </w:tblGrid>
      <w:tr w14:paraId="25C52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456" w:type="dxa"/>
            <w:vAlign w:val="center"/>
          </w:tcPr>
          <w:p w14:paraId="26D8DAEB">
            <w:pPr>
              <w:snapToGrid w:val="0"/>
              <w:jc w:val="center"/>
              <w:rPr>
                <w:rFonts w:hint="eastAsia" w:asciiTheme="minorEastAsia" w:hAnsiTheme="minorEastAsia" w:eastAsiaTheme="minorEastAsia" w:cstheme="minorEastAsia"/>
                <w:color w:val="auto"/>
                <w:sz w:val="22"/>
                <w:szCs w:val="22"/>
                <w:highlight w:val="none"/>
              </w:rPr>
            </w:pPr>
            <w:bookmarkStart w:id="185" w:name="OLE_LINK1"/>
            <w:r>
              <w:rPr>
                <w:rFonts w:hint="eastAsia" w:asciiTheme="minorEastAsia" w:hAnsiTheme="minorEastAsia" w:eastAsiaTheme="minorEastAsia" w:cstheme="minorEastAsia"/>
                <w:color w:val="auto"/>
                <w:sz w:val="22"/>
                <w:szCs w:val="22"/>
                <w:highlight w:val="none"/>
              </w:rPr>
              <w:t>序号</w:t>
            </w:r>
          </w:p>
        </w:tc>
        <w:tc>
          <w:tcPr>
            <w:tcW w:w="1783" w:type="dxa"/>
            <w:tcBorders>
              <w:right w:val="single" w:color="auto" w:sz="4" w:space="0"/>
            </w:tcBorders>
            <w:vAlign w:val="center"/>
          </w:tcPr>
          <w:p w14:paraId="533C8914">
            <w:pPr>
              <w:snapToGrid w:val="0"/>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评分内容</w:t>
            </w:r>
          </w:p>
        </w:tc>
        <w:tc>
          <w:tcPr>
            <w:tcW w:w="814" w:type="dxa"/>
            <w:tcBorders>
              <w:left w:val="single" w:color="auto" w:sz="4" w:space="0"/>
            </w:tcBorders>
            <w:vAlign w:val="center"/>
          </w:tcPr>
          <w:p w14:paraId="6CD0F40B">
            <w:pPr>
              <w:snapToGrid w:val="0"/>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满分</w:t>
            </w:r>
          </w:p>
        </w:tc>
        <w:tc>
          <w:tcPr>
            <w:tcW w:w="6685" w:type="dxa"/>
            <w:vAlign w:val="center"/>
          </w:tcPr>
          <w:p w14:paraId="54974305">
            <w:pPr>
              <w:snapToGrid w:val="0"/>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评分档次</w:t>
            </w:r>
          </w:p>
        </w:tc>
      </w:tr>
      <w:tr w14:paraId="45527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456" w:type="dxa"/>
            <w:vMerge w:val="restart"/>
            <w:vAlign w:val="center"/>
          </w:tcPr>
          <w:p w14:paraId="483ADB23">
            <w:pPr>
              <w:snapToGrid w:val="0"/>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w:t>
            </w:r>
          </w:p>
        </w:tc>
        <w:tc>
          <w:tcPr>
            <w:tcW w:w="1783" w:type="dxa"/>
            <w:vMerge w:val="restart"/>
            <w:tcBorders>
              <w:right w:val="single" w:color="auto" w:sz="4" w:space="0"/>
            </w:tcBorders>
            <w:vAlign w:val="center"/>
          </w:tcPr>
          <w:p w14:paraId="4F85FEF1">
            <w:pPr>
              <w:snapToGrid w:val="0"/>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供应商综合情况</w:t>
            </w:r>
          </w:p>
        </w:tc>
        <w:tc>
          <w:tcPr>
            <w:tcW w:w="814" w:type="dxa"/>
            <w:tcBorders>
              <w:left w:val="single" w:color="auto" w:sz="4" w:space="0"/>
            </w:tcBorders>
            <w:vAlign w:val="center"/>
          </w:tcPr>
          <w:p w14:paraId="05CF7A8C">
            <w:pPr>
              <w:snapToGrid w:val="0"/>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8</w:t>
            </w:r>
          </w:p>
        </w:tc>
        <w:tc>
          <w:tcPr>
            <w:tcW w:w="6685" w:type="dxa"/>
            <w:vAlign w:val="center"/>
          </w:tcPr>
          <w:p w14:paraId="240134FC">
            <w:pPr>
              <w:pStyle w:val="11"/>
              <w:ind w:firstLine="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 xml:space="preserve">1.响应供应商具有有效的质量管理体系认证证书的得2分； </w:t>
            </w:r>
          </w:p>
          <w:p w14:paraId="1AB641D7">
            <w:pPr>
              <w:pStyle w:val="11"/>
              <w:ind w:firstLine="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2.响应供应商具有有效的环境管理体系认证证书的得2分；</w:t>
            </w:r>
          </w:p>
          <w:p w14:paraId="05C0B809">
            <w:pPr>
              <w:pStyle w:val="11"/>
              <w:ind w:firstLine="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3.响应供应商具有有效的职业健康安全管理体系认证证书的得2分；</w:t>
            </w:r>
          </w:p>
          <w:p w14:paraId="4C6D9816">
            <w:pPr>
              <w:pStyle w:val="11"/>
              <w:ind w:firstLine="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4.响应供应商具有食品安全管理体系认证得2分。</w:t>
            </w:r>
          </w:p>
          <w:p w14:paraId="6E81C72F">
            <w:pPr>
              <w:snapToGrid w:val="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注：须在有效期内，提供相关证书复印件并加盖公章，以全国认证认可信息平台公示为准，提供网页截图，否则不得分。</w:t>
            </w:r>
          </w:p>
        </w:tc>
      </w:tr>
      <w:tr w14:paraId="3BFEE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456" w:type="dxa"/>
            <w:vMerge w:val="continue"/>
            <w:vAlign w:val="center"/>
          </w:tcPr>
          <w:p w14:paraId="69DAC257">
            <w:pPr>
              <w:snapToGrid w:val="0"/>
              <w:jc w:val="center"/>
              <w:rPr>
                <w:rFonts w:hint="eastAsia" w:asciiTheme="minorEastAsia" w:hAnsiTheme="minorEastAsia" w:eastAsiaTheme="minorEastAsia" w:cstheme="minorEastAsia"/>
                <w:color w:val="auto"/>
                <w:sz w:val="22"/>
                <w:szCs w:val="22"/>
                <w:highlight w:val="none"/>
                <w:lang w:val="en-US" w:eastAsia="zh-CN"/>
              </w:rPr>
            </w:pPr>
          </w:p>
        </w:tc>
        <w:tc>
          <w:tcPr>
            <w:tcW w:w="1783" w:type="dxa"/>
            <w:vMerge w:val="continue"/>
            <w:tcBorders>
              <w:right w:val="single" w:color="auto" w:sz="4" w:space="0"/>
            </w:tcBorders>
            <w:vAlign w:val="center"/>
          </w:tcPr>
          <w:p w14:paraId="208BA56D">
            <w:pPr>
              <w:snapToGrid w:val="0"/>
              <w:jc w:val="center"/>
              <w:rPr>
                <w:rFonts w:hint="eastAsia" w:asciiTheme="minorEastAsia" w:hAnsiTheme="minorEastAsia" w:eastAsiaTheme="minorEastAsia" w:cstheme="minorEastAsia"/>
                <w:color w:val="auto"/>
                <w:sz w:val="22"/>
                <w:szCs w:val="22"/>
                <w:highlight w:val="none"/>
              </w:rPr>
            </w:pPr>
          </w:p>
        </w:tc>
        <w:tc>
          <w:tcPr>
            <w:tcW w:w="814" w:type="dxa"/>
            <w:tcBorders>
              <w:left w:val="single" w:color="auto" w:sz="4" w:space="0"/>
            </w:tcBorders>
            <w:vAlign w:val="center"/>
          </w:tcPr>
          <w:p w14:paraId="65CEB0A3">
            <w:pPr>
              <w:snapToGrid w:val="0"/>
              <w:jc w:val="center"/>
              <w:rPr>
                <w:rFonts w:hint="default"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3</w:t>
            </w:r>
          </w:p>
        </w:tc>
        <w:tc>
          <w:tcPr>
            <w:tcW w:w="6685" w:type="dxa"/>
            <w:vAlign w:val="center"/>
          </w:tcPr>
          <w:p w14:paraId="3E425A3D">
            <w:pPr>
              <w:widowControl/>
              <w:spacing w:line="360" w:lineRule="exact"/>
              <w:rPr>
                <w:rFonts w:hint="eastAsia" w:ascii="新宋体" w:hAnsi="新宋体" w:eastAsia="新宋体" w:cs="Times New Roman"/>
                <w:color w:val="auto"/>
                <w:sz w:val="22"/>
                <w:szCs w:val="22"/>
                <w:highlight w:val="none"/>
              </w:rPr>
            </w:pPr>
            <w:r>
              <w:rPr>
                <w:rFonts w:hint="eastAsia" w:ascii="新宋体" w:hAnsi="新宋体" w:eastAsia="新宋体"/>
                <w:color w:val="auto"/>
                <w:sz w:val="22"/>
                <w:szCs w:val="22"/>
                <w:highlight w:val="none"/>
                <w:lang w:val="en-US" w:eastAsia="zh-CN"/>
              </w:rPr>
              <w:t>供应商</w:t>
            </w:r>
            <w:r>
              <w:rPr>
                <w:rFonts w:hint="eastAsia" w:ascii="新宋体" w:hAnsi="新宋体" w:eastAsia="新宋体" w:cs="Times New Roman"/>
                <w:color w:val="auto"/>
                <w:sz w:val="22"/>
                <w:szCs w:val="22"/>
                <w:highlight w:val="none"/>
              </w:rPr>
              <w:t>具有有效的</w:t>
            </w:r>
            <w:r>
              <w:rPr>
                <w:rFonts w:hint="eastAsia" w:ascii="新宋体" w:hAnsi="新宋体" w:eastAsia="新宋体" w:cs="Times New Roman"/>
                <w:color w:val="auto"/>
                <w:sz w:val="22"/>
                <w:szCs w:val="22"/>
                <w:highlight w:val="none"/>
                <w:lang w:eastAsia="zh-CN"/>
              </w:rPr>
              <w:t>《</w:t>
            </w:r>
            <w:r>
              <w:rPr>
                <w:rFonts w:hint="eastAsia" w:ascii="新宋体" w:hAnsi="新宋体" w:eastAsia="新宋体" w:cs="Times New Roman"/>
                <w:color w:val="auto"/>
                <w:sz w:val="22"/>
                <w:szCs w:val="22"/>
                <w:highlight w:val="none"/>
              </w:rPr>
              <w:t>食品经营许可证</w:t>
            </w:r>
            <w:r>
              <w:rPr>
                <w:rFonts w:hint="eastAsia" w:ascii="新宋体" w:hAnsi="新宋体" w:eastAsia="新宋体" w:cs="Times New Roman"/>
                <w:color w:val="auto"/>
                <w:sz w:val="22"/>
                <w:szCs w:val="22"/>
                <w:highlight w:val="none"/>
                <w:lang w:eastAsia="zh-CN"/>
              </w:rPr>
              <w:t>》</w:t>
            </w:r>
            <w:r>
              <w:rPr>
                <w:rFonts w:hint="eastAsia" w:ascii="新宋体" w:hAnsi="新宋体" w:eastAsia="新宋体" w:cs="Times New Roman"/>
                <w:color w:val="auto"/>
                <w:sz w:val="22"/>
                <w:szCs w:val="22"/>
                <w:highlight w:val="none"/>
              </w:rPr>
              <w:t>得</w:t>
            </w:r>
            <w:r>
              <w:rPr>
                <w:rFonts w:hint="eastAsia" w:ascii="新宋体" w:hAnsi="新宋体" w:eastAsia="新宋体" w:cs="Times New Roman"/>
                <w:color w:val="auto"/>
                <w:sz w:val="22"/>
                <w:szCs w:val="22"/>
                <w:highlight w:val="none"/>
                <w:lang w:val="en-US" w:eastAsia="zh-CN"/>
              </w:rPr>
              <w:t>3</w:t>
            </w:r>
            <w:r>
              <w:rPr>
                <w:rFonts w:hint="eastAsia" w:ascii="新宋体" w:hAnsi="新宋体" w:eastAsia="新宋体" w:cs="Times New Roman"/>
                <w:color w:val="auto"/>
                <w:sz w:val="22"/>
                <w:szCs w:val="22"/>
                <w:highlight w:val="none"/>
              </w:rPr>
              <w:t>分。</w:t>
            </w:r>
          </w:p>
          <w:p w14:paraId="0E9D0362">
            <w:pPr>
              <w:snapToGrid w:val="0"/>
              <w:jc w:val="left"/>
              <w:rPr>
                <w:rFonts w:hint="eastAsia" w:asciiTheme="minorEastAsia" w:hAnsiTheme="minorEastAsia" w:eastAsiaTheme="minorEastAsia" w:cstheme="minorEastAsia"/>
                <w:color w:val="auto"/>
                <w:sz w:val="22"/>
                <w:szCs w:val="22"/>
                <w:highlight w:val="none"/>
                <w:lang w:val="en-US" w:eastAsia="zh-CN"/>
              </w:rPr>
            </w:pPr>
            <w:r>
              <w:rPr>
                <w:rFonts w:hint="eastAsia" w:ascii="宋体" w:hAnsi="宋体" w:eastAsia="宋体" w:cs="宋体"/>
                <w:b w:val="0"/>
                <w:bCs w:val="0"/>
                <w:color w:val="auto"/>
                <w:sz w:val="22"/>
                <w:szCs w:val="22"/>
                <w:highlight w:val="none"/>
                <w:u w:val="none"/>
                <w:lang w:val="en-US" w:eastAsia="zh-CN"/>
              </w:rPr>
              <w:t>注：提供《</w:t>
            </w:r>
            <w:r>
              <w:rPr>
                <w:rFonts w:hint="eastAsia" w:ascii="宋体" w:hAnsi="宋体" w:eastAsia="宋体" w:cs="宋体"/>
                <w:b w:val="0"/>
                <w:bCs w:val="0"/>
                <w:color w:val="auto"/>
                <w:sz w:val="22"/>
                <w:szCs w:val="22"/>
                <w:highlight w:val="none"/>
                <w:u w:val="none"/>
                <w:lang w:val="en-US"/>
              </w:rPr>
              <w:t>食品经营许可证</w:t>
            </w:r>
            <w:r>
              <w:rPr>
                <w:rFonts w:hint="eastAsia" w:ascii="宋体" w:hAnsi="宋体" w:eastAsia="宋体" w:cs="宋体"/>
                <w:b w:val="0"/>
                <w:bCs w:val="0"/>
                <w:color w:val="auto"/>
                <w:sz w:val="22"/>
                <w:szCs w:val="22"/>
                <w:highlight w:val="none"/>
                <w:u w:val="none"/>
                <w:lang w:val="en-US" w:eastAsia="zh-CN"/>
              </w:rPr>
              <w:t>》</w:t>
            </w:r>
            <w:r>
              <w:rPr>
                <w:rFonts w:hint="eastAsia" w:ascii="宋体" w:hAnsi="宋体" w:cs="宋体"/>
                <w:b w:val="0"/>
                <w:bCs w:val="0"/>
                <w:color w:val="auto"/>
                <w:sz w:val="22"/>
                <w:szCs w:val="22"/>
                <w:highlight w:val="none"/>
                <w:u w:val="none"/>
                <w:lang w:val="en-US" w:eastAsia="zh-CN"/>
              </w:rPr>
              <w:t>并</w:t>
            </w:r>
            <w:r>
              <w:rPr>
                <w:rFonts w:hint="eastAsia" w:ascii="宋体" w:hAnsi="宋体" w:eastAsia="宋体" w:cs="宋体"/>
                <w:b w:val="0"/>
                <w:bCs w:val="0"/>
                <w:color w:val="auto"/>
                <w:sz w:val="22"/>
                <w:szCs w:val="22"/>
                <w:highlight w:val="none"/>
                <w:u w:val="none"/>
                <w:lang w:val="en-US" w:eastAsia="zh-CN"/>
              </w:rPr>
              <w:t>加盖公章。</w:t>
            </w:r>
          </w:p>
        </w:tc>
      </w:tr>
      <w:tr w14:paraId="33C6A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456" w:type="dxa"/>
            <w:vAlign w:val="center"/>
          </w:tcPr>
          <w:p w14:paraId="499B1629">
            <w:pPr>
              <w:snapToGrid w:val="0"/>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w:t>
            </w:r>
          </w:p>
        </w:tc>
        <w:tc>
          <w:tcPr>
            <w:tcW w:w="1783" w:type="dxa"/>
            <w:tcBorders>
              <w:right w:val="single" w:color="auto" w:sz="4" w:space="0"/>
            </w:tcBorders>
            <w:shd w:val="clear" w:color="auto" w:fill="auto"/>
            <w:vAlign w:val="center"/>
          </w:tcPr>
          <w:p w14:paraId="47538B8A">
            <w:pPr>
              <w:snapToGrid w:val="0"/>
              <w:jc w:val="center"/>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sz w:val="22"/>
                <w:szCs w:val="22"/>
                <w:highlight w:val="none"/>
              </w:rPr>
              <w:t>同类项目业绩</w:t>
            </w:r>
          </w:p>
        </w:tc>
        <w:tc>
          <w:tcPr>
            <w:tcW w:w="814" w:type="dxa"/>
            <w:tcBorders>
              <w:left w:val="single" w:color="auto" w:sz="4" w:space="0"/>
            </w:tcBorders>
            <w:shd w:val="clear" w:color="auto" w:fill="auto"/>
            <w:vAlign w:val="center"/>
          </w:tcPr>
          <w:p w14:paraId="528171C3">
            <w:pPr>
              <w:autoSpaceDE w:val="0"/>
              <w:autoSpaceDN w:val="0"/>
              <w:adjustRightInd w:val="0"/>
              <w:spacing w:line="440" w:lineRule="exact"/>
              <w:jc w:val="center"/>
              <w:textAlignment w:val="bottom"/>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kern w:val="2"/>
                <w:sz w:val="22"/>
                <w:szCs w:val="22"/>
                <w:highlight w:val="none"/>
                <w:lang w:val="en-US" w:eastAsia="zh-CN" w:bidi="ar-SA"/>
              </w:rPr>
              <w:t>1</w:t>
            </w:r>
          </w:p>
        </w:tc>
        <w:tc>
          <w:tcPr>
            <w:tcW w:w="6685" w:type="dxa"/>
            <w:shd w:val="clear" w:color="auto" w:fill="auto"/>
            <w:vAlign w:val="center"/>
          </w:tcPr>
          <w:p w14:paraId="11342DD0">
            <w:pPr>
              <w:pStyle w:val="11"/>
              <w:ind w:firstLine="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供应商2021年1月1日至今（以合同签订时间为准）承接过食堂承包类项目业绩，每提供一个有效业绩得0.5分，最高得1分。</w:t>
            </w:r>
          </w:p>
          <w:p w14:paraId="12956A08">
            <w:pPr>
              <w:pStyle w:val="11"/>
              <w:ind w:firstLine="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注：①须提供合同及中标通知书扫描件加盖公章。合同内容无法体现项目特征的须提供业主证明、联系方式；</w:t>
            </w:r>
          </w:p>
          <w:p w14:paraId="3B131187">
            <w:pPr>
              <w:pStyle w:val="11"/>
              <w:ind w:firstLine="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②续签的合同按一份合同认定；</w:t>
            </w:r>
          </w:p>
          <w:p w14:paraId="4B255E0A">
            <w:pPr>
              <w:pStyle w:val="11"/>
              <w:ind w:firstLine="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fldChar w:fldCharType="begin"/>
            </w:r>
            <w:r>
              <w:rPr>
                <w:rFonts w:hint="eastAsia" w:asciiTheme="minorEastAsia" w:hAnsiTheme="minorEastAsia" w:eastAsiaTheme="minorEastAsia" w:cstheme="minorEastAsia"/>
                <w:color w:val="auto"/>
                <w:sz w:val="22"/>
                <w:szCs w:val="22"/>
                <w:highlight w:val="none"/>
                <w:lang w:val="en-US" w:eastAsia="zh-CN"/>
              </w:rPr>
              <w:instrText xml:space="preserve"> = 3 \* GB3 </w:instrText>
            </w:r>
            <w:r>
              <w:rPr>
                <w:rFonts w:hint="eastAsia" w:asciiTheme="minorEastAsia" w:hAnsiTheme="minorEastAsia" w:eastAsiaTheme="minorEastAsia" w:cstheme="minorEastAsia"/>
                <w:color w:val="auto"/>
                <w:sz w:val="22"/>
                <w:szCs w:val="22"/>
                <w:highlight w:val="none"/>
                <w:lang w:val="en-US" w:eastAsia="zh-CN"/>
              </w:rPr>
              <w:fldChar w:fldCharType="separate"/>
            </w:r>
            <w:r>
              <w:rPr>
                <w:rFonts w:hint="eastAsia" w:asciiTheme="minorEastAsia" w:hAnsiTheme="minorEastAsia" w:eastAsiaTheme="minorEastAsia" w:cstheme="minorEastAsia"/>
                <w:color w:val="auto"/>
                <w:sz w:val="22"/>
                <w:szCs w:val="22"/>
                <w:highlight w:val="none"/>
                <w:lang w:val="en-US" w:eastAsia="zh-CN"/>
              </w:rPr>
              <w:t>③</w:t>
            </w:r>
            <w:r>
              <w:rPr>
                <w:rFonts w:hint="eastAsia" w:asciiTheme="minorEastAsia" w:hAnsiTheme="minorEastAsia" w:eastAsiaTheme="minorEastAsia" w:cstheme="minorEastAsia"/>
                <w:color w:val="auto"/>
                <w:sz w:val="22"/>
                <w:szCs w:val="22"/>
                <w:highlight w:val="none"/>
                <w:lang w:val="en-US" w:eastAsia="zh-CN"/>
              </w:rPr>
              <w:fldChar w:fldCharType="end"/>
            </w:r>
            <w:r>
              <w:rPr>
                <w:rFonts w:hint="eastAsia" w:asciiTheme="minorEastAsia" w:hAnsiTheme="minorEastAsia" w:eastAsiaTheme="minorEastAsia" w:cstheme="minorEastAsia"/>
                <w:color w:val="auto"/>
                <w:sz w:val="22"/>
                <w:szCs w:val="22"/>
                <w:highlight w:val="none"/>
                <w:lang w:val="en-US" w:eastAsia="zh-CN"/>
              </w:rPr>
              <w:t>只计算响应供应商业绩，其子公司、母公司业绩不计分；</w:t>
            </w:r>
          </w:p>
          <w:p w14:paraId="0908CDFC">
            <w:pPr>
              <w:pStyle w:val="11"/>
              <w:ind w:firstLine="0"/>
              <w:rPr>
                <w:rFonts w:hint="eastAsia" w:asciiTheme="minorEastAsia" w:hAnsiTheme="minorEastAsia" w:eastAsiaTheme="minorEastAsia" w:cstheme="minorEastAsia"/>
                <w:color w:val="auto"/>
                <w:kern w:val="0"/>
                <w:sz w:val="22"/>
                <w:szCs w:val="22"/>
                <w:highlight w:val="none"/>
                <w:lang w:val="en-US" w:eastAsia="zh-CN" w:bidi="ar-SA"/>
              </w:rPr>
            </w:pPr>
            <w:r>
              <w:rPr>
                <w:rFonts w:hint="eastAsia" w:asciiTheme="minorEastAsia" w:hAnsiTheme="minorEastAsia" w:eastAsiaTheme="minorEastAsia" w:cstheme="minorEastAsia"/>
                <w:color w:val="auto"/>
                <w:sz w:val="22"/>
                <w:szCs w:val="22"/>
                <w:highlight w:val="none"/>
                <w:lang w:val="en-US" w:eastAsia="zh-CN"/>
              </w:rPr>
              <w:fldChar w:fldCharType="begin"/>
            </w:r>
            <w:r>
              <w:rPr>
                <w:rFonts w:hint="eastAsia" w:asciiTheme="minorEastAsia" w:hAnsiTheme="minorEastAsia" w:eastAsiaTheme="minorEastAsia" w:cstheme="minorEastAsia"/>
                <w:color w:val="auto"/>
                <w:sz w:val="22"/>
                <w:szCs w:val="22"/>
                <w:highlight w:val="none"/>
                <w:lang w:val="en-US" w:eastAsia="zh-CN"/>
              </w:rPr>
              <w:instrText xml:space="preserve"> = 4 \* GB3 \* MERGEFORMAT </w:instrText>
            </w:r>
            <w:r>
              <w:rPr>
                <w:rFonts w:hint="eastAsia" w:asciiTheme="minorEastAsia" w:hAnsiTheme="minorEastAsia" w:eastAsiaTheme="minorEastAsia" w:cstheme="minorEastAsia"/>
                <w:color w:val="auto"/>
                <w:sz w:val="22"/>
                <w:szCs w:val="22"/>
                <w:highlight w:val="none"/>
                <w:lang w:val="en-US" w:eastAsia="zh-CN"/>
              </w:rPr>
              <w:fldChar w:fldCharType="separate"/>
            </w:r>
            <w:r>
              <w:rPr>
                <w:rFonts w:hint="eastAsia" w:asciiTheme="minorEastAsia" w:hAnsiTheme="minorEastAsia" w:eastAsiaTheme="minorEastAsia" w:cstheme="minorEastAsia"/>
                <w:color w:val="auto"/>
                <w:sz w:val="22"/>
                <w:szCs w:val="22"/>
                <w:highlight w:val="none"/>
                <w:lang w:val="en-US" w:eastAsia="zh-CN"/>
              </w:rPr>
              <w:t>④</w:t>
            </w:r>
            <w:r>
              <w:rPr>
                <w:rFonts w:hint="eastAsia" w:asciiTheme="minorEastAsia" w:hAnsiTheme="minorEastAsia" w:eastAsiaTheme="minorEastAsia" w:cstheme="minorEastAsia"/>
                <w:color w:val="auto"/>
                <w:sz w:val="22"/>
                <w:szCs w:val="22"/>
                <w:highlight w:val="none"/>
                <w:lang w:val="en-US" w:eastAsia="zh-CN"/>
              </w:rPr>
              <w:fldChar w:fldCharType="end"/>
            </w:r>
            <w:r>
              <w:rPr>
                <w:rFonts w:hint="eastAsia" w:asciiTheme="minorEastAsia" w:hAnsiTheme="minorEastAsia" w:eastAsiaTheme="minorEastAsia" w:cstheme="minorEastAsia"/>
                <w:color w:val="auto"/>
                <w:sz w:val="22"/>
                <w:szCs w:val="22"/>
                <w:highlight w:val="none"/>
                <w:lang w:val="en-US" w:eastAsia="zh-CN"/>
              </w:rPr>
              <w:t>业绩的有效性由评委认定。</w:t>
            </w:r>
          </w:p>
        </w:tc>
      </w:tr>
      <w:tr w14:paraId="288CE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456" w:type="dxa"/>
            <w:vAlign w:val="center"/>
          </w:tcPr>
          <w:p w14:paraId="4A0FAA76">
            <w:pPr>
              <w:snapToGrid w:val="0"/>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3</w:t>
            </w:r>
          </w:p>
        </w:tc>
        <w:tc>
          <w:tcPr>
            <w:tcW w:w="1783" w:type="dxa"/>
            <w:tcBorders>
              <w:right w:val="single" w:color="auto" w:sz="4" w:space="0"/>
            </w:tcBorders>
            <w:shd w:val="clear" w:color="auto" w:fill="auto"/>
            <w:vAlign w:val="center"/>
          </w:tcPr>
          <w:p w14:paraId="24EF40D0">
            <w:pPr>
              <w:snapToGrid w:val="0"/>
              <w:jc w:val="center"/>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sz w:val="22"/>
                <w:szCs w:val="22"/>
                <w:highlight w:val="none"/>
                <w:lang w:val="en-US" w:eastAsia="zh-CN"/>
              </w:rPr>
              <w:t>到位率承诺</w:t>
            </w:r>
          </w:p>
        </w:tc>
        <w:tc>
          <w:tcPr>
            <w:tcW w:w="814" w:type="dxa"/>
            <w:tcBorders>
              <w:left w:val="single" w:color="auto" w:sz="4" w:space="0"/>
            </w:tcBorders>
            <w:shd w:val="clear" w:color="auto" w:fill="auto"/>
            <w:vAlign w:val="center"/>
          </w:tcPr>
          <w:p w14:paraId="19D5C7F7">
            <w:pPr>
              <w:snapToGrid w:val="0"/>
              <w:jc w:val="center"/>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sz w:val="22"/>
                <w:szCs w:val="22"/>
                <w:highlight w:val="none"/>
                <w:lang w:val="en-US" w:eastAsia="zh-CN"/>
              </w:rPr>
              <w:t>3</w:t>
            </w:r>
          </w:p>
        </w:tc>
        <w:tc>
          <w:tcPr>
            <w:tcW w:w="6685" w:type="dxa"/>
            <w:shd w:val="clear" w:color="auto" w:fill="auto"/>
            <w:vAlign w:val="center"/>
          </w:tcPr>
          <w:p w14:paraId="11ED6066">
            <w:pPr>
              <w:pStyle w:val="5"/>
              <w:jc w:val="both"/>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sz w:val="22"/>
                <w:szCs w:val="22"/>
                <w:highlight w:val="none"/>
              </w:rPr>
              <w:t>根据项目管理人员到位率承诺评定，承诺90%及以上到位的得3分，80%-90%到位的得2分，低于80%的得1分。</w:t>
            </w:r>
          </w:p>
        </w:tc>
      </w:tr>
      <w:tr w14:paraId="00162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trPr>
        <w:tc>
          <w:tcPr>
            <w:tcW w:w="456" w:type="dxa"/>
            <w:vMerge w:val="restart"/>
            <w:vAlign w:val="center"/>
          </w:tcPr>
          <w:p w14:paraId="1CA93547">
            <w:pPr>
              <w:snapToGrid w:val="0"/>
              <w:jc w:val="center"/>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sz w:val="22"/>
                <w:szCs w:val="22"/>
                <w:highlight w:val="none"/>
                <w:lang w:val="en-US" w:eastAsia="zh-CN"/>
              </w:rPr>
              <w:t>4</w:t>
            </w:r>
          </w:p>
        </w:tc>
        <w:tc>
          <w:tcPr>
            <w:tcW w:w="1783" w:type="dxa"/>
            <w:vMerge w:val="restart"/>
            <w:tcBorders>
              <w:right w:val="single" w:color="auto" w:sz="4" w:space="0"/>
            </w:tcBorders>
            <w:vAlign w:val="center"/>
          </w:tcPr>
          <w:p w14:paraId="6497895B">
            <w:pPr>
              <w:snapToGrid w:val="0"/>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人员配备情况</w:t>
            </w:r>
          </w:p>
        </w:tc>
        <w:tc>
          <w:tcPr>
            <w:tcW w:w="814" w:type="dxa"/>
            <w:tcBorders>
              <w:left w:val="single" w:color="auto" w:sz="4" w:space="0"/>
            </w:tcBorders>
            <w:vAlign w:val="center"/>
          </w:tcPr>
          <w:p w14:paraId="66D9E785">
            <w:pPr>
              <w:snapToGrid w:val="0"/>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8</w:t>
            </w:r>
          </w:p>
        </w:tc>
        <w:tc>
          <w:tcPr>
            <w:tcW w:w="6685" w:type="dxa"/>
            <w:vAlign w:val="center"/>
          </w:tcPr>
          <w:p w14:paraId="4DE2E7E9">
            <w:pPr>
              <w:pStyle w:val="11"/>
              <w:ind w:firstLine="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拟派项目负责人（1人）情况：</w:t>
            </w:r>
          </w:p>
          <w:p w14:paraId="6A80A133">
            <w:pPr>
              <w:spacing w:line="360" w:lineRule="exact"/>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1.具有本科及以上学历的得3分；</w:t>
            </w:r>
            <w:r>
              <w:rPr>
                <w:rFonts w:hint="eastAsia" w:asciiTheme="minorEastAsia" w:hAnsiTheme="minorEastAsia" w:eastAsiaTheme="minorEastAsia" w:cstheme="minorEastAsia"/>
                <w:color w:val="auto"/>
                <w:sz w:val="22"/>
                <w:szCs w:val="22"/>
                <w:highlight w:val="none"/>
              </w:rPr>
              <w:t>大专学历的得1分，低于大专学历不得分</w:t>
            </w:r>
            <w:r>
              <w:rPr>
                <w:rFonts w:hint="eastAsia" w:asciiTheme="minorEastAsia" w:hAnsiTheme="minorEastAsia" w:eastAsiaTheme="minorEastAsia" w:cstheme="minorEastAsia"/>
                <w:color w:val="auto"/>
                <w:sz w:val="22"/>
                <w:szCs w:val="22"/>
                <w:highlight w:val="none"/>
                <w:lang w:eastAsia="zh-CN"/>
              </w:rPr>
              <w:t>。</w:t>
            </w:r>
          </w:p>
          <w:p w14:paraId="401E27C2">
            <w:pPr>
              <w:pStyle w:val="11"/>
              <w:ind w:firstLine="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2.具有3年及以上担任项目经理食堂服务的工作经验，得3分；具有5年及以上担任项目经理食堂服务的工作经验，得5分。</w:t>
            </w:r>
          </w:p>
          <w:p w14:paraId="4BD10FE0">
            <w:pPr>
              <w:pStyle w:val="11"/>
              <w:ind w:firstLine="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注：1.提供相关证书或证明文件并加盖响应供应商公章及在响应供应商处2024年5月1日至今任意一月缴费情况（个人参保证明以已到账为准、单位参保证明以养老保险参保为准）的社会险参保证明，否则不得分；</w:t>
            </w:r>
          </w:p>
          <w:p w14:paraId="30628FD5">
            <w:pPr>
              <w:snapToGrid w:val="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2.人员工作经验需提供项目业绩合同（如项目业绩合同不能体现人员业绩年限工作岗位等信息还需同时提供业主证明，合同服务期须和业主证明提供服务时间一致，如不一致以合同服务期和业主证明中时间较短的服务时间为最终评定标准）。</w:t>
            </w:r>
          </w:p>
        </w:tc>
      </w:tr>
      <w:tr w14:paraId="7CAB6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456" w:type="dxa"/>
            <w:vMerge w:val="continue"/>
            <w:vAlign w:val="center"/>
          </w:tcPr>
          <w:p w14:paraId="7DC002E7">
            <w:pPr>
              <w:snapToGrid w:val="0"/>
              <w:jc w:val="center"/>
              <w:rPr>
                <w:rFonts w:hint="eastAsia" w:asciiTheme="minorEastAsia" w:hAnsiTheme="minorEastAsia" w:eastAsiaTheme="minorEastAsia" w:cstheme="minorEastAsia"/>
                <w:color w:val="auto"/>
                <w:sz w:val="22"/>
                <w:szCs w:val="22"/>
                <w:highlight w:val="none"/>
                <w:lang w:val="en-US" w:eastAsia="zh-CN"/>
              </w:rPr>
            </w:pPr>
          </w:p>
        </w:tc>
        <w:tc>
          <w:tcPr>
            <w:tcW w:w="1783" w:type="dxa"/>
            <w:vMerge w:val="continue"/>
            <w:tcBorders>
              <w:right w:val="single" w:color="auto" w:sz="4" w:space="0"/>
            </w:tcBorders>
            <w:vAlign w:val="center"/>
          </w:tcPr>
          <w:p w14:paraId="472B8AA2">
            <w:pPr>
              <w:snapToGrid w:val="0"/>
              <w:jc w:val="center"/>
              <w:rPr>
                <w:rFonts w:hint="eastAsia" w:asciiTheme="minorEastAsia" w:hAnsiTheme="minorEastAsia" w:eastAsiaTheme="minorEastAsia" w:cstheme="minorEastAsia"/>
                <w:color w:val="auto"/>
                <w:sz w:val="22"/>
                <w:szCs w:val="22"/>
                <w:highlight w:val="none"/>
              </w:rPr>
            </w:pPr>
          </w:p>
        </w:tc>
        <w:tc>
          <w:tcPr>
            <w:tcW w:w="814" w:type="dxa"/>
            <w:tcBorders>
              <w:left w:val="single" w:color="auto" w:sz="4" w:space="0"/>
            </w:tcBorders>
            <w:vAlign w:val="center"/>
          </w:tcPr>
          <w:p w14:paraId="473250B4">
            <w:pPr>
              <w:snapToGrid w:val="0"/>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5</w:t>
            </w:r>
          </w:p>
        </w:tc>
        <w:tc>
          <w:tcPr>
            <w:tcW w:w="6685" w:type="dxa"/>
            <w:vAlign w:val="center"/>
          </w:tcPr>
          <w:p w14:paraId="2FEFF0FC">
            <w:pPr>
              <w:pStyle w:val="11"/>
              <w:ind w:firstLine="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拟派厨师长（1人）情况：</w:t>
            </w:r>
          </w:p>
          <w:p w14:paraId="408FB1C0">
            <w:pPr>
              <w:snapToGrid w:val="0"/>
              <w:jc w:val="left"/>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具有一级厨师（高级技师）及以上的得5分，具有二级厨师（技师）的得3分，低于二级不得分。</w:t>
            </w:r>
          </w:p>
        </w:tc>
      </w:tr>
      <w:tr w14:paraId="17080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456" w:type="dxa"/>
            <w:vMerge w:val="continue"/>
            <w:vAlign w:val="center"/>
          </w:tcPr>
          <w:p w14:paraId="5F12F441">
            <w:pPr>
              <w:snapToGrid w:val="0"/>
              <w:jc w:val="center"/>
              <w:rPr>
                <w:rFonts w:hint="eastAsia" w:asciiTheme="minorEastAsia" w:hAnsiTheme="minorEastAsia" w:eastAsiaTheme="minorEastAsia" w:cstheme="minorEastAsia"/>
                <w:color w:val="auto"/>
                <w:sz w:val="22"/>
                <w:szCs w:val="22"/>
                <w:highlight w:val="none"/>
                <w:lang w:val="en-US" w:eastAsia="zh-CN"/>
              </w:rPr>
            </w:pPr>
          </w:p>
        </w:tc>
        <w:tc>
          <w:tcPr>
            <w:tcW w:w="1783" w:type="dxa"/>
            <w:vMerge w:val="continue"/>
            <w:tcBorders>
              <w:right w:val="single" w:color="auto" w:sz="4" w:space="0"/>
            </w:tcBorders>
            <w:vAlign w:val="center"/>
          </w:tcPr>
          <w:p w14:paraId="68341CCA">
            <w:pPr>
              <w:snapToGrid w:val="0"/>
              <w:jc w:val="center"/>
              <w:rPr>
                <w:rFonts w:hint="eastAsia" w:asciiTheme="minorEastAsia" w:hAnsiTheme="minorEastAsia" w:eastAsiaTheme="minorEastAsia" w:cstheme="minorEastAsia"/>
                <w:color w:val="auto"/>
                <w:sz w:val="22"/>
                <w:szCs w:val="22"/>
                <w:highlight w:val="none"/>
              </w:rPr>
            </w:pPr>
          </w:p>
        </w:tc>
        <w:tc>
          <w:tcPr>
            <w:tcW w:w="814" w:type="dxa"/>
            <w:tcBorders>
              <w:left w:val="single" w:color="auto" w:sz="4" w:space="0"/>
            </w:tcBorders>
            <w:vAlign w:val="center"/>
          </w:tcPr>
          <w:p w14:paraId="516A6641">
            <w:pPr>
              <w:snapToGrid w:val="0"/>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4</w:t>
            </w:r>
          </w:p>
        </w:tc>
        <w:tc>
          <w:tcPr>
            <w:tcW w:w="6685" w:type="dxa"/>
            <w:vAlign w:val="center"/>
          </w:tcPr>
          <w:p w14:paraId="35024F22">
            <w:pPr>
              <w:snapToGrid w:val="0"/>
              <w:jc w:val="left"/>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根据项目组人员综合素质、资质、经验等情况由评委综合打分。</w:t>
            </w:r>
          </w:p>
          <w:p w14:paraId="6A4D36F7">
            <w:pPr>
              <w:pStyle w:val="5"/>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b w:val="0"/>
                <w:bCs w:val="0"/>
                <w:color w:val="auto"/>
                <w:sz w:val="22"/>
                <w:szCs w:val="22"/>
                <w:highlight w:val="none"/>
                <w:lang w:val="en-US" w:eastAsia="zh-CN"/>
              </w:rPr>
              <w:t>A档4分；B档3分；C档2分；D档1分；未提供本项的不得分。</w:t>
            </w:r>
          </w:p>
        </w:tc>
      </w:tr>
      <w:tr w14:paraId="62BDF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trPr>
        <w:tc>
          <w:tcPr>
            <w:tcW w:w="456" w:type="dxa"/>
            <w:vAlign w:val="center"/>
          </w:tcPr>
          <w:p w14:paraId="32076F75">
            <w:pPr>
              <w:snapToGrid w:val="0"/>
              <w:jc w:val="center"/>
              <w:rPr>
                <w:rFonts w:hint="default"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5</w:t>
            </w:r>
          </w:p>
        </w:tc>
        <w:tc>
          <w:tcPr>
            <w:tcW w:w="1783" w:type="dxa"/>
            <w:tcBorders>
              <w:right w:val="single" w:color="auto" w:sz="4" w:space="0"/>
            </w:tcBorders>
            <w:vAlign w:val="center"/>
          </w:tcPr>
          <w:p w14:paraId="0A714E96">
            <w:pPr>
              <w:snapToGrid w:val="0"/>
              <w:jc w:val="center"/>
              <w:rPr>
                <w:rFonts w:hint="default"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保险情况</w:t>
            </w:r>
          </w:p>
        </w:tc>
        <w:tc>
          <w:tcPr>
            <w:tcW w:w="814" w:type="dxa"/>
            <w:tcBorders>
              <w:left w:val="single" w:color="auto" w:sz="4" w:space="0"/>
            </w:tcBorders>
            <w:vAlign w:val="center"/>
          </w:tcPr>
          <w:p w14:paraId="292010B7">
            <w:pPr>
              <w:snapToGrid w:val="0"/>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3</w:t>
            </w:r>
          </w:p>
        </w:tc>
        <w:tc>
          <w:tcPr>
            <w:tcW w:w="6685" w:type="dxa"/>
            <w:vAlign w:val="center"/>
          </w:tcPr>
          <w:p w14:paraId="15C53A0E">
            <w:pPr>
              <w:adjustRightInd w:val="0"/>
              <w:snapToGrid w:val="0"/>
              <w:spacing w:line="36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投标人为其所投入本项目的岗位员工提供商业意外保险 (或团体意外伤害保险)的得3分（需提供有效期内保单复印件，并显示投保人员），否则不得分。</w:t>
            </w:r>
          </w:p>
        </w:tc>
      </w:tr>
      <w:tr w14:paraId="4ED68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 w:hRule="atLeast"/>
        </w:trPr>
        <w:tc>
          <w:tcPr>
            <w:tcW w:w="456" w:type="dxa"/>
            <w:vMerge w:val="restart"/>
            <w:vAlign w:val="center"/>
          </w:tcPr>
          <w:p w14:paraId="008D1324">
            <w:pPr>
              <w:pStyle w:val="49"/>
              <w:jc w:val="center"/>
              <w:rPr>
                <w:rFonts w:hint="eastAsia"/>
                <w:color w:val="auto"/>
                <w:sz w:val="22"/>
                <w:szCs w:val="22"/>
                <w:highlight w:val="none"/>
                <w:lang w:val="en-US" w:eastAsia="zh-CN"/>
              </w:rPr>
            </w:pPr>
          </w:p>
          <w:p w14:paraId="058B2160">
            <w:pPr>
              <w:snapToGrid w:val="0"/>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6</w:t>
            </w:r>
          </w:p>
        </w:tc>
        <w:tc>
          <w:tcPr>
            <w:tcW w:w="1783" w:type="dxa"/>
            <w:vMerge w:val="restart"/>
            <w:tcBorders>
              <w:right w:val="single" w:color="auto" w:sz="4" w:space="0"/>
            </w:tcBorders>
            <w:vAlign w:val="center"/>
          </w:tcPr>
          <w:p w14:paraId="2E6F94C6">
            <w:pPr>
              <w:snapToGrid w:val="0"/>
              <w:jc w:val="center"/>
              <w:rPr>
                <w:rFonts w:hint="eastAsia" w:asciiTheme="minorEastAsia" w:hAnsiTheme="minorEastAsia" w:eastAsiaTheme="minorEastAsia" w:cstheme="minorEastAsia"/>
                <w:color w:val="auto"/>
                <w:sz w:val="22"/>
                <w:szCs w:val="22"/>
                <w:highlight w:val="none"/>
                <w:lang w:val="en-US" w:eastAsia="zh-CN"/>
              </w:rPr>
            </w:pPr>
            <w:r>
              <w:rPr>
                <w:rFonts w:hint="eastAsia" w:ascii="宋体" w:hAnsi="宋体" w:eastAsia="宋体" w:cs="宋体"/>
                <w:color w:val="auto"/>
                <w:sz w:val="22"/>
                <w:szCs w:val="22"/>
                <w:highlight w:val="none"/>
              </w:rPr>
              <w:t>食堂餐饮服务方案</w:t>
            </w:r>
          </w:p>
        </w:tc>
        <w:tc>
          <w:tcPr>
            <w:tcW w:w="814" w:type="dxa"/>
            <w:tcBorders>
              <w:left w:val="single" w:color="auto" w:sz="4" w:space="0"/>
            </w:tcBorders>
            <w:vAlign w:val="center"/>
          </w:tcPr>
          <w:p w14:paraId="4D25B43B">
            <w:pPr>
              <w:snapToGrid w:val="0"/>
              <w:jc w:val="center"/>
              <w:rPr>
                <w:rFonts w:hint="default"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6</w:t>
            </w:r>
          </w:p>
        </w:tc>
        <w:tc>
          <w:tcPr>
            <w:tcW w:w="6685" w:type="dxa"/>
            <w:vAlign w:val="center"/>
          </w:tcPr>
          <w:p w14:paraId="0598ADC3">
            <w:pPr>
              <w:adjustRightInd w:val="0"/>
              <w:snapToGrid w:val="0"/>
              <w:spacing w:line="36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根据投标人结合本项目实际情况制定的菜肴搭配、更新方案的科学性、合理性、可行性进行综合打分。</w:t>
            </w:r>
          </w:p>
          <w:p w14:paraId="6568D803">
            <w:pPr>
              <w:adjustRightInd w:val="0"/>
              <w:snapToGrid w:val="0"/>
              <w:spacing w:line="36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A档6分；B档4.5分；C档3分；D档1.5分；未提供本项的不得分。</w:t>
            </w:r>
          </w:p>
        </w:tc>
      </w:tr>
      <w:tr w14:paraId="3EF77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trPr>
        <w:tc>
          <w:tcPr>
            <w:tcW w:w="456" w:type="dxa"/>
            <w:vMerge w:val="continue"/>
            <w:vAlign w:val="center"/>
          </w:tcPr>
          <w:p w14:paraId="61D98C98">
            <w:pPr>
              <w:snapToGrid w:val="0"/>
              <w:jc w:val="center"/>
              <w:rPr>
                <w:rFonts w:hint="eastAsia" w:asciiTheme="minorEastAsia" w:hAnsiTheme="minorEastAsia" w:eastAsiaTheme="minorEastAsia" w:cstheme="minorEastAsia"/>
                <w:color w:val="auto"/>
                <w:sz w:val="22"/>
                <w:szCs w:val="22"/>
                <w:highlight w:val="none"/>
                <w:lang w:val="en-US" w:eastAsia="zh-CN"/>
              </w:rPr>
            </w:pPr>
          </w:p>
        </w:tc>
        <w:tc>
          <w:tcPr>
            <w:tcW w:w="1783" w:type="dxa"/>
            <w:vMerge w:val="continue"/>
            <w:tcBorders>
              <w:right w:val="single" w:color="auto" w:sz="4" w:space="0"/>
            </w:tcBorders>
            <w:vAlign w:val="center"/>
          </w:tcPr>
          <w:p w14:paraId="626703F6">
            <w:pPr>
              <w:snapToGrid w:val="0"/>
              <w:jc w:val="center"/>
              <w:rPr>
                <w:rFonts w:hint="eastAsia" w:asciiTheme="minorEastAsia" w:hAnsiTheme="minorEastAsia" w:eastAsiaTheme="minorEastAsia" w:cstheme="minorEastAsia"/>
                <w:color w:val="auto"/>
                <w:sz w:val="22"/>
                <w:szCs w:val="22"/>
                <w:highlight w:val="none"/>
                <w:lang w:val="en-US" w:eastAsia="zh-CN"/>
              </w:rPr>
            </w:pPr>
          </w:p>
        </w:tc>
        <w:tc>
          <w:tcPr>
            <w:tcW w:w="814" w:type="dxa"/>
            <w:tcBorders>
              <w:left w:val="single" w:color="auto" w:sz="4" w:space="0"/>
            </w:tcBorders>
            <w:vAlign w:val="center"/>
          </w:tcPr>
          <w:p w14:paraId="1BD9E2CF">
            <w:pPr>
              <w:snapToGrid w:val="0"/>
              <w:jc w:val="center"/>
              <w:rPr>
                <w:rFonts w:hint="default"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6</w:t>
            </w:r>
          </w:p>
        </w:tc>
        <w:tc>
          <w:tcPr>
            <w:tcW w:w="6685" w:type="dxa"/>
            <w:vAlign w:val="center"/>
          </w:tcPr>
          <w:p w14:paraId="6021A8EF">
            <w:pPr>
              <w:adjustRightInd w:val="0"/>
              <w:snapToGrid w:val="0"/>
              <w:spacing w:line="36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根据投标人结合本项目实际情况制定的餐饮安全管理制度的科学性、合理性、可行性进行综合打分。</w:t>
            </w:r>
          </w:p>
          <w:p w14:paraId="58DB38BB">
            <w:pPr>
              <w:adjustRightInd w:val="0"/>
              <w:snapToGrid w:val="0"/>
              <w:spacing w:line="36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A档6分；B档4.5分；C档3分；D档1.5分；未提供本项的不得分。</w:t>
            </w:r>
          </w:p>
        </w:tc>
      </w:tr>
      <w:tr w14:paraId="00F0D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8" w:hRule="atLeast"/>
        </w:trPr>
        <w:tc>
          <w:tcPr>
            <w:tcW w:w="456" w:type="dxa"/>
            <w:shd w:val="clear" w:color="auto" w:fill="auto"/>
            <w:vAlign w:val="center"/>
          </w:tcPr>
          <w:p w14:paraId="645C7DB8">
            <w:pPr>
              <w:snapToGrid w:val="0"/>
              <w:jc w:val="center"/>
              <w:rPr>
                <w:rFonts w:hint="eastAsia" w:asciiTheme="minorEastAsia" w:hAnsiTheme="minorEastAsia" w:eastAsiaTheme="minorEastAsia" w:cstheme="minorEastAsia"/>
                <w:color w:val="auto"/>
                <w:sz w:val="22"/>
                <w:szCs w:val="22"/>
                <w:highlight w:val="none"/>
                <w:lang w:val="en-US" w:eastAsia="zh-CN"/>
              </w:rPr>
            </w:pPr>
          </w:p>
          <w:p w14:paraId="6726580D">
            <w:pPr>
              <w:snapToGrid w:val="0"/>
              <w:jc w:val="center"/>
              <w:rPr>
                <w:rFonts w:hint="default"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sz w:val="22"/>
                <w:szCs w:val="22"/>
                <w:highlight w:val="none"/>
                <w:lang w:val="en-US" w:eastAsia="zh-CN"/>
              </w:rPr>
              <w:t>7</w:t>
            </w:r>
          </w:p>
        </w:tc>
        <w:tc>
          <w:tcPr>
            <w:tcW w:w="1783" w:type="dxa"/>
            <w:tcBorders>
              <w:right w:val="single" w:color="auto" w:sz="4" w:space="0"/>
            </w:tcBorders>
            <w:shd w:val="clear" w:color="auto" w:fill="auto"/>
            <w:vAlign w:val="center"/>
          </w:tcPr>
          <w:p w14:paraId="69C0C0E8">
            <w:pPr>
              <w:snapToGrid w:val="0"/>
              <w:jc w:val="center"/>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新宋体" w:hAnsi="新宋体" w:eastAsia="新宋体"/>
                <w:color w:val="auto"/>
                <w:sz w:val="22"/>
                <w:szCs w:val="22"/>
                <w:highlight w:val="none"/>
              </w:rPr>
              <w:t>各项工作的操作规程、标准、承诺，具体实施计划和方案</w:t>
            </w:r>
          </w:p>
        </w:tc>
        <w:tc>
          <w:tcPr>
            <w:tcW w:w="814" w:type="dxa"/>
            <w:tcBorders>
              <w:left w:val="single" w:color="auto" w:sz="4" w:space="0"/>
            </w:tcBorders>
            <w:shd w:val="clear" w:color="auto" w:fill="auto"/>
            <w:vAlign w:val="center"/>
          </w:tcPr>
          <w:p w14:paraId="0FDB6DDF">
            <w:pPr>
              <w:snapToGrid w:val="0"/>
              <w:ind w:firstLine="13" w:firstLineChars="6"/>
              <w:jc w:val="center"/>
              <w:rPr>
                <w:rFonts w:hint="default"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sz w:val="22"/>
                <w:szCs w:val="22"/>
                <w:highlight w:val="none"/>
                <w:lang w:val="en-US" w:eastAsia="zh-CN"/>
              </w:rPr>
              <w:t>6</w:t>
            </w:r>
          </w:p>
        </w:tc>
        <w:tc>
          <w:tcPr>
            <w:tcW w:w="6685" w:type="dxa"/>
            <w:shd w:val="clear" w:color="auto" w:fill="auto"/>
            <w:vAlign w:val="center"/>
          </w:tcPr>
          <w:p w14:paraId="2E7B64C0">
            <w:pPr>
              <w:adjustRightInd w:val="0"/>
              <w:snapToGrid w:val="0"/>
              <w:spacing w:line="36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根据对本项目各项工作要求作出具体承诺及所采用的操作规程、标准、具体实施计划和方案是否明确、科学、可行；质量的控制和检验手段是否科学、可靠进行综合打分。</w:t>
            </w:r>
          </w:p>
          <w:p w14:paraId="2A0A50AF">
            <w:pPr>
              <w:adjustRightInd w:val="0"/>
              <w:snapToGrid w:val="0"/>
              <w:spacing w:line="36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A档6分；B档4.5分；C档3分；D档1.5分；未提供本项的不得分。</w:t>
            </w:r>
          </w:p>
        </w:tc>
      </w:tr>
      <w:tr w14:paraId="26B9F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8" w:hRule="atLeast"/>
        </w:trPr>
        <w:tc>
          <w:tcPr>
            <w:tcW w:w="456" w:type="dxa"/>
            <w:shd w:val="clear" w:color="auto" w:fill="auto"/>
            <w:vAlign w:val="center"/>
          </w:tcPr>
          <w:p w14:paraId="5E0F6694">
            <w:pPr>
              <w:snapToGrid w:val="0"/>
              <w:jc w:val="center"/>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sz w:val="22"/>
                <w:szCs w:val="22"/>
                <w:highlight w:val="none"/>
                <w:lang w:val="en-US" w:eastAsia="zh-CN"/>
              </w:rPr>
              <w:t>8</w:t>
            </w:r>
          </w:p>
        </w:tc>
        <w:tc>
          <w:tcPr>
            <w:tcW w:w="1783" w:type="dxa"/>
            <w:tcBorders>
              <w:right w:val="single" w:color="auto" w:sz="4" w:space="0"/>
            </w:tcBorders>
            <w:shd w:val="clear" w:color="auto" w:fill="auto"/>
            <w:vAlign w:val="center"/>
          </w:tcPr>
          <w:p w14:paraId="5EAB3681">
            <w:pPr>
              <w:snapToGrid w:val="0"/>
              <w:jc w:val="center"/>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sz w:val="22"/>
                <w:szCs w:val="22"/>
                <w:highlight w:val="none"/>
                <w:lang w:val="en-US" w:eastAsia="zh-CN"/>
              </w:rPr>
              <w:t>公共能耗节能控制针对性方案</w:t>
            </w:r>
          </w:p>
        </w:tc>
        <w:tc>
          <w:tcPr>
            <w:tcW w:w="814" w:type="dxa"/>
            <w:tcBorders>
              <w:left w:val="single" w:color="auto" w:sz="4" w:space="0"/>
            </w:tcBorders>
            <w:shd w:val="clear" w:color="auto" w:fill="auto"/>
            <w:vAlign w:val="center"/>
          </w:tcPr>
          <w:p w14:paraId="5130575E">
            <w:pPr>
              <w:snapToGrid w:val="0"/>
              <w:jc w:val="center"/>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sz w:val="22"/>
                <w:szCs w:val="22"/>
                <w:highlight w:val="none"/>
                <w:lang w:val="en-US" w:eastAsia="zh-CN"/>
              </w:rPr>
              <w:t>7</w:t>
            </w:r>
          </w:p>
        </w:tc>
        <w:tc>
          <w:tcPr>
            <w:tcW w:w="6685" w:type="dxa"/>
            <w:shd w:val="clear" w:color="auto" w:fill="auto"/>
            <w:vAlign w:val="center"/>
          </w:tcPr>
          <w:p w14:paraId="384F55A3">
            <w:pPr>
              <w:adjustRightInd w:val="0"/>
              <w:snapToGrid w:val="0"/>
              <w:spacing w:line="36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根据投标人针对承担服务区域的全年节电、节水、节油等的详细实施计划和承诺的合理、科学、可行性进行综合打分。</w:t>
            </w:r>
          </w:p>
          <w:p w14:paraId="6F8B21F4">
            <w:pPr>
              <w:adjustRightInd w:val="0"/>
              <w:snapToGrid w:val="0"/>
              <w:spacing w:line="36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A档7分；B档5分；C档3分；D档1分；未提供本项的不得分。</w:t>
            </w:r>
          </w:p>
        </w:tc>
      </w:tr>
      <w:tr w14:paraId="602A0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8" w:hRule="atLeast"/>
        </w:trPr>
        <w:tc>
          <w:tcPr>
            <w:tcW w:w="456" w:type="dxa"/>
            <w:shd w:val="clear" w:color="auto" w:fill="auto"/>
            <w:vAlign w:val="center"/>
          </w:tcPr>
          <w:p w14:paraId="7CE1C17D">
            <w:pPr>
              <w:snapToGrid w:val="0"/>
              <w:jc w:val="center"/>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sz w:val="22"/>
                <w:szCs w:val="22"/>
                <w:highlight w:val="none"/>
                <w:lang w:val="en-US" w:eastAsia="zh-CN"/>
              </w:rPr>
              <w:t>9</w:t>
            </w:r>
          </w:p>
        </w:tc>
        <w:tc>
          <w:tcPr>
            <w:tcW w:w="1783" w:type="dxa"/>
            <w:tcBorders>
              <w:right w:val="single" w:color="auto" w:sz="4" w:space="0"/>
            </w:tcBorders>
            <w:shd w:val="clear" w:color="auto" w:fill="auto"/>
            <w:vAlign w:val="center"/>
          </w:tcPr>
          <w:p w14:paraId="087F4349">
            <w:pPr>
              <w:snapToGrid w:val="0"/>
              <w:jc w:val="center"/>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sz w:val="22"/>
                <w:szCs w:val="22"/>
                <w:highlight w:val="none"/>
                <w:lang w:val="en-US" w:eastAsia="zh-CN"/>
              </w:rPr>
              <w:t>菜品制作搭配方案</w:t>
            </w:r>
          </w:p>
        </w:tc>
        <w:tc>
          <w:tcPr>
            <w:tcW w:w="814" w:type="dxa"/>
            <w:tcBorders>
              <w:left w:val="single" w:color="auto" w:sz="4" w:space="0"/>
            </w:tcBorders>
            <w:shd w:val="clear" w:color="auto" w:fill="auto"/>
            <w:vAlign w:val="center"/>
          </w:tcPr>
          <w:p w14:paraId="45B41AE0">
            <w:pPr>
              <w:snapToGrid w:val="0"/>
              <w:ind w:firstLine="13" w:firstLineChars="6"/>
              <w:jc w:val="center"/>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sz w:val="22"/>
                <w:szCs w:val="22"/>
                <w:highlight w:val="none"/>
                <w:lang w:val="en-US" w:eastAsia="zh-CN"/>
              </w:rPr>
              <w:t>6</w:t>
            </w:r>
          </w:p>
        </w:tc>
        <w:tc>
          <w:tcPr>
            <w:tcW w:w="6685" w:type="dxa"/>
            <w:shd w:val="clear" w:color="auto" w:fill="auto"/>
            <w:vAlign w:val="center"/>
          </w:tcPr>
          <w:p w14:paraId="154C0951">
            <w:pPr>
              <w:adjustRightInd w:val="0"/>
              <w:snapToGrid w:val="0"/>
              <w:spacing w:line="36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根据投标人结合本项目实际情况制定的菜肴搭配、更新方案的科学性、合理性、可行性进行综合打分。</w:t>
            </w:r>
          </w:p>
          <w:p w14:paraId="68D3C454">
            <w:pPr>
              <w:adjustRightInd w:val="0"/>
              <w:snapToGrid w:val="0"/>
              <w:spacing w:line="36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A档6分；B档4.5分；C档3分；D档1.5分；未提供本项的不得分。</w:t>
            </w:r>
          </w:p>
        </w:tc>
      </w:tr>
      <w:tr w14:paraId="6562A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trPr>
        <w:tc>
          <w:tcPr>
            <w:tcW w:w="456" w:type="dxa"/>
            <w:shd w:val="clear" w:color="auto" w:fill="auto"/>
            <w:vAlign w:val="center"/>
          </w:tcPr>
          <w:p w14:paraId="68DA9F2A">
            <w:pPr>
              <w:snapToGrid w:val="0"/>
              <w:jc w:val="center"/>
              <w:rPr>
                <w:rFonts w:hint="default"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sz w:val="22"/>
                <w:szCs w:val="22"/>
                <w:highlight w:val="none"/>
                <w:lang w:val="en-US" w:eastAsia="zh-CN"/>
              </w:rPr>
              <w:t>10</w:t>
            </w:r>
          </w:p>
        </w:tc>
        <w:tc>
          <w:tcPr>
            <w:tcW w:w="1783" w:type="dxa"/>
            <w:tcBorders>
              <w:right w:val="single" w:color="auto" w:sz="4" w:space="0"/>
            </w:tcBorders>
            <w:shd w:val="clear" w:color="auto" w:fill="auto"/>
            <w:vAlign w:val="center"/>
          </w:tcPr>
          <w:p w14:paraId="0578ED42">
            <w:pPr>
              <w:snapToGrid w:val="0"/>
              <w:jc w:val="center"/>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宋体" w:hAnsi="宋体" w:eastAsia="宋体" w:cs="宋体"/>
                <w:color w:val="auto"/>
                <w:kern w:val="0"/>
                <w:sz w:val="22"/>
                <w:szCs w:val="22"/>
                <w:highlight w:val="none"/>
              </w:rPr>
              <w:t>组织构架等情况</w:t>
            </w:r>
          </w:p>
        </w:tc>
        <w:tc>
          <w:tcPr>
            <w:tcW w:w="814" w:type="dxa"/>
            <w:tcBorders>
              <w:left w:val="single" w:color="auto" w:sz="4" w:space="0"/>
            </w:tcBorders>
            <w:shd w:val="clear" w:color="auto" w:fill="auto"/>
            <w:vAlign w:val="center"/>
          </w:tcPr>
          <w:p w14:paraId="003ED041">
            <w:pPr>
              <w:snapToGrid w:val="0"/>
              <w:ind w:firstLine="13" w:firstLineChars="6"/>
              <w:jc w:val="center"/>
              <w:rPr>
                <w:rFonts w:hint="default"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sz w:val="22"/>
                <w:szCs w:val="22"/>
                <w:highlight w:val="none"/>
                <w:lang w:val="en-US" w:eastAsia="zh-CN"/>
              </w:rPr>
              <w:t>6</w:t>
            </w:r>
          </w:p>
        </w:tc>
        <w:tc>
          <w:tcPr>
            <w:tcW w:w="6685" w:type="dxa"/>
            <w:shd w:val="clear" w:color="auto" w:fill="auto"/>
            <w:vAlign w:val="center"/>
          </w:tcPr>
          <w:p w14:paraId="6CF9BAB1">
            <w:pPr>
              <w:adjustRightInd w:val="0"/>
              <w:snapToGrid w:val="0"/>
              <w:spacing w:line="36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根据投标人针对本项目设置的监督机制、自我约束机制和信息反馈渠道及处理机制等是否科学、合理、高效等情况进行综合打分。</w:t>
            </w:r>
          </w:p>
          <w:p w14:paraId="408A2D77">
            <w:pPr>
              <w:adjustRightInd w:val="0"/>
              <w:snapToGrid w:val="0"/>
              <w:spacing w:line="36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A档6分；B档4.5分；C档3分；D档1.5分；未提供本项的不得分。</w:t>
            </w:r>
          </w:p>
        </w:tc>
      </w:tr>
      <w:tr w14:paraId="2EAF4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trPr>
        <w:tc>
          <w:tcPr>
            <w:tcW w:w="456" w:type="dxa"/>
            <w:shd w:val="clear" w:color="auto" w:fill="auto"/>
            <w:vAlign w:val="center"/>
          </w:tcPr>
          <w:p w14:paraId="5E5D8483">
            <w:pPr>
              <w:snapToGrid w:val="0"/>
              <w:jc w:val="center"/>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sz w:val="22"/>
                <w:szCs w:val="22"/>
                <w:highlight w:val="none"/>
                <w:lang w:val="en-US" w:eastAsia="zh-CN"/>
              </w:rPr>
              <w:t>11</w:t>
            </w:r>
          </w:p>
        </w:tc>
        <w:tc>
          <w:tcPr>
            <w:tcW w:w="1783" w:type="dxa"/>
            <w:tcBorders>
              <w:right w:val="single" w:color="auto" w:sz="4" w:space="0"/>
            </w:tcBorders>
            <w:shd w:val="clear" w:color="auto" w:fill="auto"/>
            <w:vAlign w:val="center"/>
          </w:tcPr>
          <w:p w14:paraId="5D7FAE50">
            <w:pPr>
              <w:snapToGrid w:val="0"/>
              <w:jc w:val="center"/>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宋体" w:hAnsi="宋体" w:eastAsia="宋体" w:cs="宋体"/>
                <w:color w:val="auto"/>
                <w:sz w:val="22"/>
                <w:szCs w:val="22"/>
                <w:highlight w:val="none"/>
              </w:rPr>
              <w:t>企业员工培训计划及方案</w:t>
            </w:r>
          </w:p>
        </w:tc>
        <w:tc>
          <w:tcPr>
            <w:tcW w:w="814" w:type="dxa"/>
            <w:tcBorders>
              <w:left w:val="single" w:color="auto" w:sz="4" w:space="0"/>
            </w:tcBorders>
            <w:shd w:val="clear" w:color="auto" w:fill="auto"/>
            <w:vAlign w:val="center"/>
          </w:tcPr>
          <w:p w14:paraId="0C727BDE">
            <w:pPr>
              <w:snapToGrid w:val="0"/>
              <w:ind w:firstLine="13" w:firstLineChars="6"/>
              <w:jc w:val="center"/>
              <w:rPr>
                <w:rFonts w:hint="default"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sz w:val="22"/>
                <w:szCs w:val="22"/>
                <w:highlight w:val="none"/>
                <w:lang w:val="en-US" w:eastAsia="zh-CN"/>
              </w:rPr>
              <w:t>6</w:t>
            </w:r>
          </w:p>
        </w:tc>
        <w:tc>
          <w:tcPr>
            <w:tcW w:w="6685" w:type="dxa"/>
            <w:shd w:val="clear" w:color="auto" w:fill="auto"/>
            <w:vAlign w:val="center"/>
          </w:tcPr>
          <w:p w14:paraId="23680C0D">
            <w:pPr>
              <w:adjustRightInd w:val="0"/>
              <w:snapToGrid w:val="0"/>
              <w:spacing w:line="360" w:lineRule="exact"/>
              <w:jc w:val="left"/>
              <w:rPr>
                <w:rFonts w:hint="eastAsia" w:ascii="宋体" w:hAnsi="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根据投标人针对本项目配置各岗位人员的岗前培训、日常培训计划方案是否明确、科学、可行进行</w:t>
            </w:r>
            <w:r>
              <w:rPr>
                <w:rFonts w:hint="eastAsia" w:ascii="宋体" w:hAnsi="宋体" w:cs="宋体"/>
                <w:color w:val="auto"/>
                <w:sz w:val="22"/>
                <w:szCs w:val="22"/>
                <w:highlight w:val="none"/>
                <w:lang w:val="en-US" w:eastAsia="zh-CN"/>
              </w:rPr>
              <w:t>综合打分。</w:t>
            </w:r>
          </w:p>
          <w:p w14:paraId="52F56CF6">
            <w:pPr>
              <w:pStyle w:val="49"/>
              <w:ind w:left="0" w:leftChars="0" w:firstLine="0" w:firstLineChars="0"/>
              <w:rPr>
                <w:rFonts w:hint="default"/>
                <w:color w:val="auto"/>
                <w:sz w:val="22"/>
                <w:szCs w:val="22"/>
                <w:highlight w:val="none"/>
                <w:lang w:val="en-US" w:eastAsia="zh-CN"/>
              </w:rPr>
            </w:pPr>
            <w:r>
              <w:rPr>
                <w:rFonts w:hint="eastAsia" w:ascii="宋体" w:hAnsi="宋体" w:eastAsia="宋体" w:cs="宋体"/>
                <w:color w:val="auto"/>
                <w:sz w:val="22"/>
                <w:szCs w:val="22"/>
                <w:highlight w:val="none"/>
                <w:lang w:val="en-US" w:eastAsia="zh-CN"/>
              </w:rPr>
              <w:t>A档6分；B档4.5分；C档3分；D档1.5分；未提供本项的不得分。</w:t>
            </w:r>
          </w:p>
        </w:tc>
      </w:tr>
      <w:tr w14:paraId="39180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trPr>
        <w:tc>
          <w:tcPr>
            <w:tcW w:w="456" w:type="dxa"/>
            <w:shd w:val="clear" w:color="auto" w:fill="auto"/>
            <w:vAlign w:val="center"/>
          </w:tcPr>
          <w:p w14:paraId="7B8D738E">
            <w:pPr>
              <w:snapToGrid w:val="0"/>
              <w:jc w:val="center"/>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sz w:val="22"/>
                <w:szCs w:val="22"/>
                <w:highlight w:val="none"/>
                <w:lang w:val="en-US" w:eastAsia="zh-CN"/>
              </w:rPr>
              <w:t>12</w:t>
            </w:r>
          </w:p>
        </w:tc>
        <w:tc>
          <w:tcPr>
            <w:tcW w:w="1783" w:type="dxa"/>
            <w:tcBorders>
              <w:right w:val="single" w:color="auto" w:sz="4" w:space="0"/>
            </w:tcBorders>
            <w:shd w:val="clear" w:color="auto" w:fill="auto"/>
            <w:vAlign w:val="center"/>
          </w:tcPr>
          <w:p w14:paraId="4D49FBA9">
            <w:pPr>
              <w:autoSpaceDE w:val="0"/>
              <w:autoSpaceDN w:val="0"/>
              <w:adjustRightInd w:val="0"/>
              <w:spacing w:line="440" w:lineRule="exact"/>
              <w:jc w:val="center"/>
              <w:textAlignment w:val="bottom"/>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sz w:val="22"/>
                <w:szCs w:val="22"/>
                <w:highlight w:val="none"/>
              </w:rPr>
              <w:t>特点和难点分析</w:t>
            </w:r>
          </w:p>
        </w:tc>
        <w:tc>
          <w:tcPr>
            <w:tcW w:w="814" w:type="dxa"/>
            <w:tcBorders>
              <w:left w:val="single" w:color="auto" w:sz="4" w:space="0"/>
            </w:tcBorders>
            <w:shd w:val="clear" w:color="auto" w:fill="auto"/>
            <w:vAlign w:val="center"/>
          </w:tcPr>
          <w:p w14:paraId="3699481E">
            <w:pPr>
              <w:autoSpaceDE w:val="0"/>
              <w:autoSpaceDN w:val="0"/>
              <w:adjustRightInd w:val="0"/>
              <w:spacing w:line="440" w:lineRule="exact"/>
              <w:jc w:val="center"/>
              <w:textAlignment w:val="bottom"/>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sz w:val="22"/>
                <w:szCs w:val="22"/>
                <w:highlight w:val="none"/>
                <w:lang w:val="en-US" w:eastAsia="zh-CN"/>
              </w:rPr>
              <w:t>6</w:t>
            </w:r>
          </w:p>
        </w:tc>
        <w:tc>
          <w:tcPr>
            <w:tcW w:w="6685" w:type="dxa"/>
            <w:shd w:val="clear" w:color="auto" w:fill="auto"/>
            <w:vAlign w:val="center"/>
          </w:tcPr>
          <w:p w14:paraId="7D6BF168">
            <w:pPr>
              <w:adjustRightInd w:val="0"/>
              <w:snapToGrid w:val="0"/>
              <w:spacing w:line="36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根据针对本项目日常服务管理特点和难点(包括但不限于：非常态工作时间/备勤；备勤、重大活动安保保障及采购人额外要求投入的人力保障；员工保密意识建设等)进行分析，并提出解决问题的措施等情况进行</w:t>
            </w:r>
            <w:r>
              <w:rPr>
                <w:rFonts w:hint="eastAsia" w:ascii="宋体" w:hAnsi="宋体" w:cs="宋体"/>
                <w:color w:val="auto"/>
                <w:sz w:val="22"/>
                <w:szCs w:val="22"/>
                <w:highlight w:val="none"/>
                <w:lang w:val="en-US" w:eastAsia="zh-CN"/>
              </w:rPr>
              <w:t>综合打分</w:t>
            </w:r>
            <w:r>
              <w:rPr>
                <w:rFonts w:hint="eastAsia" w:ascii="宋体" w:hAnsi="宋体" w:eastAsia="宋体" w:cs="宋体"/>
                <w:color w:val="auto"/>
                <w:sz w:val="22"/>
                <w:szCs w:val="22"/>
                <w:highlight w:val="none"/>
                <w:lang w:val="en-US" w:eastAsia="zh-CN"/>
              </w:rPr>
              <w:t>。</w:t>
            </w:r>
          </w:p>
          <w:p w14:paraId="2BC9D04F">
            <w:pPr>
              <w:adjustRightInd w:val="0"/>
              <w:snapToGrid w:val="0"/>
              <w:spacing w:line="36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A档6分；B档4.5分；C档3分；D档1.5分；未提供本项的不得分。</w:t>
            </w:r>
          </w:p>
        </w:tc>
      </w:tr>
      <w:tr w14:paraId="7F969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3" w:hRule="atLeast"/>
        </w:trPr>
        <w:tc>
          <w:tcPr>
            <w:tcW w:w="456" w:type="dxa"/>
            <w:shd w:val="clear" w:color="auto" w:fill="auto"/>
            <w:vAlign w:val="center"/>
          </w:tcPr>
          <w:p w14:paraId="4C0EB36F">
            <w:pPr>
              <w:snapToGrid w:val="0"/>
              <w:jc w:val="center"/>
              <w:rPr>
                <w:rFonts w:hint="default"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sz w:val="22"/>
                <w:szCs w:val="22"/>
                <w:highlight w:val="none"/>
                <w:lang w:val="en-US" w:eastAsia="zh-CN"/>
              </w:rPr>
              <w:t>13</w:t>
            </w:r>
          </w:p>
        </w:tc>
        <w:tc>
          <w:tcPr>
            <w:tcW w:w="1783" w:type="dxa"/>
            <w:tcBorders>
              <w:right w:val="single" w:color="auto" w:sz="4" w:space="0"/>
            </w:tcBorders>
            <w:shd w:val="clear" w:color="auto" w:fill="auto"/>
            <w:vAlign w:val="center"/>
          </w:tcPr>
          <w:p w14:paraId="41C30647">
            <w:pPr>
              <w:widowControl/>
              <w:jc w:val="center"/>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bCs/>
                <w:snapToGrid w:val="0"/>
                <w:color w:val="auto"/>
                <w:kern w:val="0"/>
                <w:sz w:val="22"/>
                <w:szCs w:val="22"/>
                <w:highlight w:val="none"/>
              </w:rPr>
              <w:t>突发事件应急处理措施</w:t>
            </w:r>
          </w:p>
        </w:tc>
        <w:tc>
          <w:tcPr>
            <w:tcW w:w="814" w:type="dxa"/>
            <w:tcBorders>
              <w:left w:val="single" w:color="auto" w:sz="4" w:space="0"/>
            </w:tcBorders>
            <w:shd w:val="clear" w:color="auto" w:fill="auto"/>
            <w:vAlign w:val="center"/>
          </w:tcPr>
          <w:p w14:paraId="4612D6C0">
            <w:pPr>
              <w:widowControl/>
              <w:jc w:val="center"/>
              <w:rPr>
                <w:rFonts w:hint="default"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sz w:val="22"/>
                <w:szCs w:val="22"/>
                <w:highlight w:val="none"/>
                <w:lang w:val="en-US" w:eastAsia="zh-CN"/>
              </w:rPr>
              <w:t>6</w:t>
            </w:r>
          </w:p>
        </w:tc>
        <w:tc>
          <w:tcPr>
            <w:tcW w:w="6685" w:type="dxa"/>
            <w:shd w:val="clear" w:color="auto" w:fill="auto"/>
            <w:vAlign w:val="center"/>
          </w:tcPr>
          <w:p w14:paraId="0298B152">
            <w:pPr>
              <w:adjustRightInd w:val="0"/>
              <w:snapToGrid w:val="0"/>
              <w:spacing w:line="36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针对各类检查和突发性事件等任务的应急方案及措施的全面性、针对性等情况进行</w:t>
            </w:r>
            <w:r>
              <w:rPr>
                <w:rFonts w:hint="eastAsia" w:ascii="宋体" w:hAnsi="宋体" w:cs="宋体"/>
                <w:color w:val="auto"/>
                <w:sz w:val="22"/>
                <w:szCs w:val="22"/>
                <w:highlight w:val="none"/>
                <w:lang w:val="en-US" w:eastAsia="zh-CN"/>
              </w:rPr>
              <w:t>综合打分</w:t>
            </w:r>
            <w:r>
              <w:rPr>
                <w:rFonts w:hint="eastAsia" w:ascii="宋体" w:hAnsi="宋体" w:eastAsia="宋体" w:cs="宋体"/>
                <w:color w:val="auto"/>
                <w:sz w:val="22"/>
                <w:szCs w:val="22"/>
                <w:highlight w:val="none"/>
                <w:lang w:val="en-US" w:eastAsia="zh-CN"/>
              </w:rPr>
              <w:t>。</w:t>
            </w:r>
          </w:p>
          <w:p w14:paraId="46A8D7CF">
            <w:pPr>
              <w:adjustRightInd w:val="0"/>
              <w:snapToGrid w:val="0"/>
              <w:spacing w:line="36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A档6分；B档4.5分；C档3分；D档1.5分；未提供本项的不得分。</w:t>
            </w:r>
          </w:p>
        </w:tc>
      </w:tr>
      <w:bookmarkEnd w:id="185"/>
    </w:tbl>
    <w:p w14:paraId="529A8673">
      <w:pPr>
        <w:spacing w:line="440" w:lineRule="exact"/>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lang w:val="en-US" w:eastAsia="zh-CN"/>
        </w:rPr>
        <w:t>注：</w:t>
      </w:r>
      <w:r>
        <w:rPr>
          <w:rFonts w:hint="eastAsia" w:asciiTheme="minorEastAsia" w:hAnsiTheme="minorEastAsia" w:eastAsiaTheme="minorEastAsia" w:cstheme="minorEastAsia"/>
          <w:color w:val="auto"/>
          <w:sz w:val="22"/>
          <w:szCs w:val="22"/>
          <w:highlight w:val="none"/>
        </w:rPr>
        <w:t>以上评分标准中，A档一般以该分项方案/措施的表述详尽、科学、操作性强、可信度高等</w:t>
      </w:r>
      <w:r>
        <w:rPr>
          <w:rFonts w:hint="eastAsia" w:asciiTheme="minorEastAsia" w:hAnsiTheme="minorEastAsia" w:eastAsiaTheme="minorEastAsia" w:cstheme="minorEastAsia"/>
          <w:color w:val="auto"/>
          <w:sz w:val="22"/>
          <w:szCs w:val="22"/>
          <w:highlight w:val="none"/>
          <w:lang w:val="en-US" w:eastAsia="zh-CN"/>
        </w:rPr>
        <w:t>或人员岗位配备齐全，综合素质高</w:t>
      </w:r>
      <w:r>
        <w:rPr>
          <w:rFonts w:hint="eastAsia" w:asciiTheme="minorEastAsia" w:hAnsiTheme="minorEastAsia" w:eastAsiaTheme="minorEastAsia" w:cstheme="minorEastAsia"/>
          <w:color w:val="auto"/>
          <w:sz w:val="22"/>
          <w:szCs w:val="22"/>
          <w:highlight w:val="none"/>
        </w:rPr>
        <w:t>为划分标准；B档一般以该分项方案/措施的表述细致度、可操作性、科学性等方面基本满足采购需求</w:t>
      </w:r>
      <w:r>
        <w:rPr>
          <w:rFonts w:hint="eastAsia" w:asciiTheme="minorEastAsia" w:hAnsiTheme="minorEastAsia" w:eastAsiaTheme="minorEastAsia" w:cstheme="minorEastAsia"/>
          <w:color w:val="auto"/>
          <w:sz w:val="22"/>
          <w:szCs w:val="22"/>
          <w:highlight w:val="none"/>
          <w:lang w:val="en-US" w:eastAsia="zh-CN"/>
        </w:rPr>
        <w:t>或人员岗位配备、综合素质</w:t>
      </w:r>
      <w:r>
        <w:rPr>
          <w:rFonts w:hint="eastAsia" w:asciiTheme="minorEastAsia" w:hAnsiTheme="minorEastAsia" w:eastAsiaTheme="minorEastAsia" w:cstheme="minorEastAsia"/>
          <w:color w:val="auto"/>
          <w:sz w:val="22"/>
          <w:szCs w:val="22"/>
          <w:highlight w:val="none"/>
        </w:rPr>
        <w:t>基本满足采购需求为划分标准；C档一般以该分项方案/措施的表述细致度、可操作性、科学性等方面</w:t>
      </w:r>
      <w:r>
        <w:rPr>
          <w:rFonts w:hint="eastAsia" w:asciiTheme="minorEastAsia" w:hAnsiTheme="minorEastAsia" w:eastAsiaTheme="minorEastAsia" w:cstheme="minorEastAsia"/>
          <w:color w:val="auto"/>
          <w:sz w:val="22"/>
          <w:szCs w:val="22"/>
          <w:highlight w:val="none"/>
          <w:lang w:val="en-US" w:eastAsia="zh-CN"/>
        </w:rPr>
        <w:t>部分满足</w:t>
      </w:r>
      <w:r>
        <w:rPr>
          <w:rFonts w:hint="eastAsia" w:asciiTheme="minorEastAsia" w:hAnsiTheme="minorEastAsia" w:eastAsiaTheme="minorEastAsia" w:cstheme="minorEastAsia"/>
          <w:color w:val="auto"/>
          <w:sz w:val="22"/>
          <w:szCs w:val="22"/>
          <w:highlight w:val="none"/>
        </w:rPr>
        <w:t>采购需求</w:t>
      </w:r>
      <w:r>
        <w:rPr>
          <w:rFonts w:hint="eastAsia" w:asciiTheme="minorEastAsia" w:hAnsiTheme="minorEastAsia" w:eastAsiaTheme="minorEastAsia" w:cstheme="minorEastAsia"/>
          <w:color w:val="auto"/>
          <w:sz w:val="22"/>
          <w:szCs w:val="22"/>
          <w:highlight w:val="none"/>
          <w:lang w:val="en-US" w:eastAsia="zh-CN"/>
        </w:rPr>
        <w:t>或人员岗位配备、综合素质部分满足</w:t>
      </w:r>
      <w:r>
        <w:rPr>
          <w:rFonts w:hint="eastAsia" w:asciiTheme="minorEastAsia" w:hAnsiTheme="minorEastAsia" w:eastAsiaTheme="minorEastAsia" w:cstheme="minorEastAsia"/>
          <w:color w:val="auto"/>
          <w:sz w:val="22"/>
          <w:szCs w:val="22"/>
          <w:highlight w:val="none"/>
        </w:rPr>
        <w:t>采购需求为划分标准；</w:t>
      </w:r>
      <w:r>
        <w:rPr>
          <w:rFonts w:hint="eastAsia" w:asciiTheme="minorEastAsia" w:hAnsiTheme="minorEastAsia" w:eastAsiaTheme="minorEastAsia" w:cstheme="minorEastAsia"/>
          <w:color w:val="auto"/>
          <w:sz w:val="22"/>
          <w:szCs w:val="22"/>
          <w:highlight w:val="none"/>
          <w:lang w:val="en-US" w:eastAsia="zh-CN"/>
        </w:rPr>
        <w:t>D</w:t>
      </w:r>
      <w:r>
        <w:rPr>
          <w:rFonts w:hint="eastAsia" w:asciiTheme="minorEastAsia" w:hAnsiTheme="minorEastAsia" w:eastAsiaTheme="minorEastAsia" w:cstheme="minorEastAsia"/>
          <w:color w:val="auto"/>
          <w:sz w:val="22"/>
          <w:szCs w:val="22"/>
          <w:highlight w:val="none"/>
        </w:rPr>
        <w:t>档一般以该分项方案/措施的表述细致度、可操作性、科学性等方面差</w:t>
      </w:r>
      <w:r>
        <w:rPr>
          <w:rFonts w:hint="eastAsia" w:asciiTheme="minorEastAsia" w:hAnsiTheme="minorEastAsia" w:eastAsiaTheme="minorEastAsia" w:cstheme="minorEastAsia"/>
          <w:color w:val="auto"/>
          <w:sz w:val="22"/>
          <w:szCs w:val="22"/>
          <w:highlight w:val="none"/>
          <w:lang w:val="en-US" w:eastAsia="zh-CN"/>
        </w:rPr>
        <w:t>或人员岗位配备较少，综合素质差</w:t>
      </w:r>
      <w:r>
        <w:rPr>
          <w:rFonts w:hint="eastAsia" w:asciiTheme="minorEastAsia" w:hAnsiTheme="minorEastAsia" w:eastAsiaTheme="minorEastAsia" w:cstheme="minorEastAsia"/>
          <w:color w:val="auto"/>
          <w:sz w:val="22"/>
          <w:szCs w:val="22"/>
          <w:highlight w:val="none"/>
        </w:rPr>
        <w:t>为划分标准。</w:t>
      </w:r>
      <w:bookmarkEnd w:id="184"/>
    </w:p>
    <w:p w14:paraId="662AE97C">
      <w:pPr>
        <w:spacing w:line="44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2、磋商报价得分</w:t>
      </w:r>
      <w:r>
        <w:rPr>
          <w:rFonts w:hint="eastAsia" w:asciiTheme="minorEastAsia" w:hAnsiTheme="minorEastAsia" w:eastAsiaTheme="minorEastAsia" w:cstheme="minorEastAsia"/>
          <w:color w:val="auto"/>
          <w:kern w:val="0"/>
          <w:sz w:val="22"/>
          <w:szCs w:val="22"/>
          <w:highlight w:val="none"/>
          <w:lang w:val="en-US" w:eastAsia="zh-CN"/>
        </w:rPr>
        <w:t>10</w:t>
      </w:r>
      <w:r>
        <w:rPr>
          <w:rFonts w:hint="eastAsia" w:asciiTheme="minorEastAsia" w:hAnsiTheme="minorEastAsia" w:eastAsiaTheme="minorEastAsia" w:cstheme="minorEastAsia"/>
          <w:color w:val="auto"/>
          <w:kern w:val="0"/>
          <w:sz w:val="22"/>
          <w:szCs w:val="22"/>
          <w:highlight w:val="none"/>
        </w:rPr>
        <w:t>分</w:t>
      </w:r>
    </w:p>
    <w:p w14:paraId="54BC53C7">
      <w:pPr>
        <w:spacing w:line="440" w:lineRule="exact"/>
        <w:ind w:left="328" w:leftChars="156"/>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满足磋商文件要求且价格最低的最后磋商报价为磋商基准价。</w:t>
      </w:r>
    </w:p>
    <w:p w14:paraId="79086AAA">
      <w:pPr>
        <w:spacing w:line="440" w:lineRule="exact"/>
        <w:ind w:firstLine="330" w:firstLineChars="15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1）有效供应商的最后磋商报价等于磋商基准价时其商务分为满分</w:t>
      </w:r>
      <w:r>
        <w:rPr>
          <w:rFonts w:hint="eastAsia" w:asciiTheme="minorEastAsia" w:hAnsiTheme="minorEastAsia" w:eastAsiaTheme="minorEastAsia" w:cstheme="minorEastAsia"/>
          <w:color w:val="auto"/>
          <w:sz w:val="22"/>
          <w:szCs w:val="22"/>
          <w:highlight w:val="none"/>
          <w:lang w:val="en-US" w:eastAsia="zh-CN"/>
        </w:rPr>
        <w:t>10</w:t>
      </w:r>
      <w:r>
        <w:rPr>
          <w:rFonts w:hint="eastAsia" w:asciiTheme="minorEastAsia" w:hAnsiTheme="minorEastAsia" w:eastAsiaTheme="minorEastAsia" w:cstheme="minorEastAsia"/>
          <w:color w:val="auto"/>
          <w:sz w:val="22"/>
          <w:szCs w:val="22"/>
          <w:highlight w:val="none"/>
        </w:rPr>
        <w:t>分；</w:t>
      </w:r>
    </w:p>
    <w:p w14:paraId="2787A885">
      <w:pPr>
        <w:spacing w:line="440" w:lineRule="exact"/>
        <w:ind w:firstLine="330" w:firstLineChars="15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2）其他供应商的价格分按以下公式计算：</w:t>
      </w:r>
    </w:p>
    <w:p w14:paraId="2FA35904">
      <w:pPr>
        <w:spacing w:line="440" w:lineRule="exact"/>
        <w:ind w:left="657" w:leftChars="31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商务分得分=（磋商基准价/供应商最后磋商报价）×</w:t>
      </w:r>
      <w:r>
        <w:rPr>
          <w:rFonts w:hint="eastAsia" w:asciiTheme="minorEastAsia" w:hAnsiTheme="minorEastAsia" w:eastAsiaTheme="minorEastAsia" w:cstheme="minorEastAsia"/>
          <w:color w:val="auto"/>
          <w:sz w:val="22"/>
          <w:szCs w:val="22"/>
          <w:highlight w:val="none"/>
          <w:lang w:val="en-US" w:eastAsia="zh-CN"/>
        </w:rPr>
        <w:t>10</w:t>
      </w:r>
      <w:r>
        <w:rPr>
          <w:rFonts w:hint="eastAsia" w:asciiTheme="minorEastAsia" w:hAnsiTheme="minorEastAsia" w:eastAsiaTheme="minorEastAsia" w:cstheme="minorEastAsia"/>
          <w:color w:val="auto"/>
          <w:sz w:val="22"/>
          <w:szCs w:val="22"/>
          <w:highlight w:val="none"/>
        </w:rPr>
        <w:t>% ×100（四舍五入后保留小数2位）</w:t>
      </w:r>
    </w:p>
    <w:p w14:paraId="7B8C616E">
      <w:pPr>
        <w:spacing w:line="400" w:lineRule="exact"/>
        <w:ind w:firstLine="221" w:firstLineChars="100"/>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3）本</w:t>
      </w:r>
      <w:r>
        <w:rPr>
          <w:rFonts w:hint="eastAsia" w:asciiTheme="minorEastAsia" w:hAnsiTheme="minorEastAsia" w:eastAsiaTheme="minorEastAsia" w:cstheme="minorEastAsia"/>
          <w:b/>
          <w:color w:val="auto"/>
          <w:sz w:val="22"/>
          <w:szCs w:val="22"/>
          <w:highlight w:val="none"/>
          <w:lang w:eastAsia="zh-CN"/>
        </w:rPr>
        <w:t>项目</w:t>
      </w:r>
      <w:r>
        <w:rPr>
          <w:rFonts w:hint="eastAsia" w:asciiTheme="minorEastAsia" w:hAnsiTheme="minorEastAsia" w:eastAsiaTheme="minorEastAsia" w:cstheme="minorEastAsia"/>
          <w:b/>
          <w:color w:val="auto"/>
          <w:sz w:val="22"/>
          <w:szCs w:val="22"/>
          <w:highlight w:val="none"/>
        </w:rPr>
        <w:t>对应的中小企业划分标准所属行业：</w:t>
      </w:r>
      <w:r>
        <w:rPr>
          <w:rFonts w:hint="eastAsia" w:asciiTheme="minorEastAsia" w:hAnsiTheme="minorEastAsia" w:eastAsiaTheme="minorEastAsia" w:cstheme="minorEastAsia"/>
          <w:b/>
          <w:color w:val="auto"/>
          <w:sz w:val="22"/>
          <w:szCs w:val="22"/>
          <w:highlight w:val="none"/>
          <w:u w:val="single"/>
        </w:rPr>
        <w:t xml:space="preserve"> </w:t>
      </w:r>
      <w:r>
        <w:rPr>
          <w:rFonts w:hint="eastAsia" w:asciiTheme="minorEastAsia" w:hAnsiTheme="minorEastAsia" w:eastAsiaTheme="minorEastAsia" w:cstheme="minorEastAsia"/>
          <w:b/>
          <w:color w:val="auto"/>
          <w:sz w:val="22"/>
          <w:szCs w:val="22"/>
          <w:highlight w:val="none"/>
          <w:u w:val="single"/>
          <w:lang w:val="en-US" w:eastAsia="zh-CN"/>
        </w:rPr>
        <w:t>餐饮业</w:t>
      </w:r>
      <w:r>
        <w:rPr>
          <w:rFonts w:hint="eastAsia" w:asciiTheme="minorEastAsia" w:hAnsiTheme="minorEastAsia" w:eastAsiaTheme="minorEastAsia" w:cstheme="minorEastAsia"/>
          <w:b/>
          <w:color w:val="auto"/>
          <w:sz w:val="22"/>
          <w:szCs w:val="22"/>
          <w:highlight w:val="none"/>
        </w:rPr>
        <w:t>。</w:t>
      </w:r>
    </w:p>
    <w:p w14:paraId="458881B6">
      <w:pPr>
        <w:spacing w:line="400" w:lineRule="exact"/>
        <w:ind w:firstLine="220" w:firstLineChars="1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w:t>
      </w:r>
      <w:r>
        <w:rPr>
          <w:rFonts w:hint="eastAsia" w:asciiTheme="minorEastAsia" w:hAnsiTheme="minorEastAsia" w:eastAsiaTheme="minorEastAsia" w:cstheme="minorEastAsia"/>
          <w:b/>
          <w:color w:val="auto"/>
          <w:sz w:val="22"/>
          <w:szCs w:val="22"/>
          <w:highlight w:val="none"/>
          <w:u w:val="single"/>
        </w:rPr>
        <w:t>▲本项目采购预算为</w:t>
      </w:r>
      <w:r>
        <w:rPr>
          <w:rFonts w:hint="eastAsia" w:asciiTheme="minorEastAsia" w:hAnsiTheme="minorEastAsia" w:eastAsiaTheme="minorEastAsia" w:cstheme="minorEastAsia"/>
          <w:b/>
          <w:color w:val="auto"/>
          <w:sz w:val="22"/>
          <w:szCs w:val="22"/>
          <w:highlight w:val="none"/>
          <w:u w:val="single"/>
          <w:lang w:val="en-US" w:eastAsia="zh-CN"/>
        </w:rPr>
        <w:t>500000</w:t>
      </w:r>
      <w:r>
        <w:rPr>
          <w:rFonts w:hint="eastAsia" w:asciiTheme="minorEastAsia" w:hAnsiTheme="minorEastAsia" w:eastAsiaTheme="minorEastAsia" w:cstheme="minorEastAsia"/>
          <w:b/>
          <w:color w:val="auto"/>
          <w:sz w:val="22"/>
          <w:szCs w:val="22"/>
          <w:highlight w:val="none"/>
          <w:u w:val="single"/>
        </w:rPr>
        <w:t>元</w:t>
      </w:r>
      <w:r>
        <w:rPr>
          <w:rFonts w:hint="eastAsia" w:asciiTheme="minorEastAsia" w:hAnsiTheme="minorEastAsia" w:eastAsiaTheme="minorEastAsia" w:cstheme="minorEastAsia"/>
          <w:b/>
          <w:bCs/>
          <w:color w:val="auto"/>
          <w:kern w:val="0"/>
          <w:sz w:val="22"/>
          <w:szCs w:val="22"/>
          <w:highlight w:val="none"/>
          <w:u w:val="single"/>
        </w:rPr>
        <w:t>，如投标人报价超过采购预算，其投标文件作无效标处理</w:t>
      </w:r>
      <w:r>
        <w:rPr>
          <w:rFonts w:hint="eastAsia" w:asciiTheme="minorEastAsia" w:hAnsiTheme="minorEastAsia" w:eastAsiaTheme="minorEastAsia" w:cstheme="minorEastAsia"/>
          <w:color w:val="auto"/>
          <w:sz w:val="22"/>
          <w:szCs w:val="22"/>
          <w:highlight w:val="none"/>
        </w:rPr>
        <w:t>。</w:t>
      </w:r>
    </w:p>
    <w:p w14:paraId="1099805A">
      <w:pPr>
        <w:spacing w:line="400" w:lineRule="exact"/>
        <w:ind w:firstLine="330" w:firstLineChars="15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rPr>
        <w:t>）所有供应商商务报价均超采购预算，采购人无法支付的,重新组织</w:t>
      </w:r>
      <w:r>
        <w:rPr>
          <w:rFonts w:hint="eastAsia" w:asciiTheme="minorEastAsia" w:hAnsiTheme="minorEastAsia" w:eastAsiaTheme="minorEastAsia" w:cstheme="minorEastAsia"/>
          <w:color w:val="auto"/>
          <w:sz w:val="22"/>
          <w:szCs w:val="22"/>
          <w:highlight w:val="none"/>
          <w:lang w:val="en-US" w:eastAsia="zh-CN"/>
        </w:rPr>
        <w:t>采购</w:t>
      </w:r>
      <w:r>
        <w:rPr>
          <w:rFonts w:hint="eastAsia" w:asciiTheme="minorEastAsia" w:hAnsiTheme="minorEastAsia" w:eastAsiaTheme="minorEastAsia" w:cstheme="minorEastAsia"/>
          <w:color w:val="auto"/>
          <w:sz w:val="22"/>
          <w:szCs w:val="22"/>
          <w:highlight w:val="none"/>
        </w:rPr>
        <w:t>。</w:t>
      </w:r>
    </w:p>
    <w:p w14:paraId="634C64D5">
      <w:pPr>
        <w:spacing w:line="44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3、有效供应商的综合得分为商务技术得分和最后磋商报价得分的总和。</w:t>
      </w:r>
    </w:p>
    <w:p w14:paraId="3278193C">
      <w:pPr>
        <w:rPr>
          <w:rFonts w:ascii="宋体" w:hAnsi="宋体" w:cs="宋体"/>
          <w:color w:val="auto"/>
          <w:sz w:val="36"/>
          <w:szCs w:val="36"/>
          <w:highlight w:val="none"/>
        </w:rPr>
      </w:pPr>
      <w:bookmarkStart w:id="186" w:name="_Toc221356957"/>
      <w:bookmarkStart w:id="187" w:name="_Toc249758871"/>
      <w:bookmarkStart w:id="188" w:name="_Toc246261271"/>
      <w:bookmarkStart w:id="189" w:name="_Toc221356894"/>
      <w:bookmarkStart w:id="190" w:name="_Toc245722287"/>
      <w:bookmarkStart w:id="191" w:name="_Toc221374632"/>
      <w:bookmarkStart w:id="192" w:name="_Toc222114885"/>
      <w:bookmarkStart w:id="193" w:name="_Toc262105510"/>
      <w:bookmarkStart w:id="194" w:name="_Toc249758721"/>
      <w:bookmarkStart w:id="195" w:name="_Toc262049425"/>
      <w:bookmarkStart w:id="196" w:name="_Toc241404208"/>
      <w:bookmarkStart w:id="197" w:name="_Toc239145360"/>
      <w:bookmarkStart w:id="198" w:name="_Toc245191320"/>
      <w:bookmarkStart w:id="199" w:name="_Toc221423625"/>
      <w:bookmarkStart w:id="200" w:name="_Toc223716004"/>
      <w:r>
        <w:rPr>
          <w:rFonts w:hint="eastAsia" w:ascii="宋体" w:hAnsi="宋体" w:cs="宋体"/>
          <w:color w:val="auto"/>
          <w:sz w:val="36"/>
          <w:szCs w:val="36"/>
          <w:highlight w:val="none"/>
        </w:rPr>
        <w:br w:type="page"/>
      </w:r>
    </w:p>
    <w:p w14:paraId="0B763355">
      <w:pPr>
        <w:pStyle w:val="5"/>
        <w:spacing w:line="440" w:lineRule="exact"/>
        <w:rPr>
          <w:rFonts w:ascii="宋体" w:hAnsi="宋体" w:eastAsia="宋体" w:cs="宋体"/>
          <w:color w:val="auto"/>
          <w:sz w:val="36"/>
          <w:szCs w:val="36"/>
          <w:highlight w:val="none"/>
        </w:rPr>
      </w:pPr>
      <w:bookmarkStart w:id="201" w:name="_Toc4830"/>
      <w:r>
        <w:rPr>
          <w:rFonts w:hint="eastAsia" w:ascii="宋体" w:hAnsi="宋体" w:eastAsia="宋体" w:cs="宋体"/>
          <w:color w:val="auto"/>
          <w:sz w:val="36"/>
          <w:szCs w:val="36"/>
          <w:highlight w:val="none"/>
        </w:rPr>
        <w:t xml:space="preserve">第四部分   </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Start w:id="202" w:name="_Toc221356897"/>
      <w:bookmarkStart w:id="203" w:name="_Toc249758872"/>
      <w:bookmarkStart w:id="204" w:name="_Toc221374633"/>
      <w:bookmarkStart w:id="205" w:name="_Toc223716005"/>
      <w:bookmarkStart w:id="206" w:name="_Toc262105511"/>
      <w:bookmarkStart w:id="207" w:name="_Toc245191321"/>
      <w:bookmarkStart w:id="208" w:name="_Toc239145361"/>
      <w:bookmarkStart w:id="209" w:name="_Toc221423626"/>
      <w:bookmarkStart w:id="210" w:name="_Toc221356960"/>
      <w:bookmarkStart w:id="211" w:name="_Toc246261272"/>
      <w:bookmarkStart w:id="212" w:name="_Toc222114886"/>
      <w:bookmarkStart w:id="213" w:name="_Toc249758722"/>
      <w:bookmarkStart w:id="214" w:name="_Toc262049426"/>
      <w:bookmarkStart w:id="215" w:name="_Toc245722288"/>
      <w:bookmarkStart w:id="216" w:name="_Toc241404209"/>
      <w:r>
        <w:rPr>
          <w:rFonts w:hint="eastAsia" w:ascii="宋体" w:hAnsi="宋体" w:eastAsia="宋体" w:cs="宋体"/>
          <w:color w:val="auto"/>
          <w:sz w:val="36"/>
          <w:szCs w:val="36"/>
          <w:highlight w:val="none"/>
        </w:rPr>
        <w:t>合同格式</w:t>
      </w:r>
      <w:bookmarkEnd w:id="201"/>
    </w:p>
    <w:p w14:paraId="1C225B64">
      <w:pPr>
        <w:spacing w:line="440" w:lineRule="exact"/>
        <w:ind w:firstLine="440" w:firstLineChars="200"/>
        <w:rPr>
          <w:rFonts w:hint="eastAsia" w:asciiTheme="minorEastAsia" w:hAnsiTheme="minorEastAsia" w:eastAsiaTheme="minorEastAsia" w:cstheme="minorEastAsia"/>
          <w:color w:val="auto"/>
          <w:sz w:val="22"/>
          <w:szCs w:val="22"/>
          <w:highlight w:val="none"/>
        </w:rPr>
      </w:pPr>
      <w:bookmarkStart w:id="217" w:name="_Toc525719521"/>
      <w:r>
        <w:rPr>
          <w:rFonts w:hint="eastAsia" w:asciiTheme="minorEastAsia" w:hAnsiTheme="minorEastAsia" w:eastAsiaTheme="minorEastAsia" w:cstheme="minorEastAsia"/>
          <w:color w:val="auto"/>
          <w:sz w:val="22"/>
          <w:szCs w:val="22"/>
          <w:highlight w:val="none"/>
        </w:rPr>
        <w:t>说明：如甲、乙双方同意，合同格式也可以按照其他形式。但合同条款的基本内容应与《中标合同》要求的内容相一致。</w:t>
      </w:r>
    </w:p>
    <w:p w14:paraId="30AA8034">
      <w:pPr>
        <w:autoSpaceDE w:val="0"/>
        <w:autoSpaceDN w:val="0"/>
        <w:spacing w:line="440" w:lineRule="exact"/>
        <w:textAlignment w:val="bottom"/>
        <w:rPr>
          <w:rFonts w:hint="eastAsia" w:asciiTheme="minorEastAsia" w:hAnsiTheme="minorEastAsia" w:eastAsiaTheme="minorEastAsia" w:cstheme="minorEastAsia"/>
          <w:color w:val="auto"/>
          <w:sz w:val="28"/>
          <w:highlight w:val="none"/>
        </w:rPr>
      </w:pPr>
    </w:p>
    <w:p w14:paraId="41C571C7">
      <w:pPr>
        <w:autoSpaceDE w:val="0"/>
        <w:autoSpaceDN w:val="0"/>
        <w:spacing w:line="440" w:lineRule="exact"/>
        <w:jc w:val="center"/>
        <w:textAlignment w:val="bottom"/>
        <w:rPr>
          <w:rFonts w:hint="eastAsia" w:asciiTheme="minorEastAsia" w:hAnsiTheme="minorEastAsia" w:eastAsiaTheme="minorEastAsia" w:cstheme="minorEastAsia"/>
          <w:color w:val="auto"/>
          <w:sz w:val="44"/>
          <w:highlight w:val="none"/>
        </w:rPr>
      </w:pPr>
    </w:p>
    <w:p w14:paraId="155C5070">
      <w:pPr>
        <w:autoSpaceDE w:val="0"/>
        <w:autoSpaceDN w:val="0"/>
        <w:spacing w:line="500" w:lineRule="atLeast"/>
        <w:jc w:val="center"/>
        <w:textAlignment w:val="bottom"/>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中标合同</w:t>
      </w:r>
    </w:p>
    <w:p w14:paraId="3F18F6B2">
      <w:pPr>
        <w:autoSpaceDE w:val="0"/>
        <w:autoSpaceDN w:val="0"/>
        <w:spacing w:line="500" w:lineRule="atLeast"/>
        <w:jc w:val="center"/>
        <w:textAlignment w:val="bottom"/>
        <w:rPr>
          <w:rFonts w:hint="eastAsia" w:asciiTheme="minorEastAsia" w:hAnsiTheme="minorEastAsia" w:eastAsiaTheme="minorEastAsia" w:cstheme="minorEastAsia"/>
          <w:color w:val="auto"/>
          <w:sz w:val="24"/>
          <w:highlight w:val="none"/>
        </w:rPr>
      </w:pPr>
    </w:p>
    <w:p w14:paraId="41743883">
      <w:pPr>
        <w:autoSpaceDE w:val="0"/>
        <w:autoSpaceDN w:val="0"/>
        <w:spacing w:line="580" w:lineRule="atLeast"/>
        <w:textAlignment w:val="bottom"/>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u w:val="single"/>
        </w:rPr>
        <w:t xml:space="preserve">                      </w:t>
      </w:r>
    </w:p>
    <w:p w14:paraId="6DD25707">
      <w:pPr>
        <w:autoSpaceDE w:val="0"/>
        <w:autoSpaceDN w:val="0"/>
        <w:spacing w:line="580" w:lineRule="atLeast"/>
        <w:textAlignment w:val="bottom"/>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ab/>
      </w:r>
    </w:p>
    <w:p w14:paraId="2B004D17">
      <w:pPr>
        <w:autoSpaceDE w:val="0"/>
        <w:autoSpaceDN w:val="0"/>
        <w:spacing w:line="580" w:lineRule="atLeast"/>
        <w:textAlignment w:val="bottom"/>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合同编号：</w:t>
      </w:r>
      <w:r>
        <w:rPr>
          <w:rFonts w:hint="eastAsia" w:asciiTheme="minorEastAsia" w:hAnsiTheme="minorEastAsia" w:eastAsiaTheme="minorEastAsia" w:cstheme="minorEastAsia"/>
          <w:color w:val="auto"/>
          <w:sz w:val="24"/>
          <w:highlight w:val="none"/>
          <w:u w:val="single"/>
        </w:rPr>
        <w:t xml:space="preserve">                      </w:t>
      </w:r>
    </w:p>
    <w:p w14:paraId="2A32D213">
      <w:pPr>
        <w:autoSpaceDE w:val="0"/>
        <w:autoSpaceDN w:val="0"/>
        <w:spacing w:line="580" w:lineRule="atLeast"/>
        <w:textAlignment w:val="bottom"/>
        <w:rPr>
          <w:rFonts w:hint="eastAsia" w:asciiTheme="minorEastAsia" w:hAnsiTheme="minorEastAsia" w:eastAsiaTheme="minorEastAsia" w:cstheme="minorEastAsia"/>
          <w:color w:val="auto"/>
          <w:sz w:val="24"/>
          <w:highlight w:val="none"/>
        </w:rPr>
      </w:pPr>
    </w:p>
    <w:p w14:paraId="105179B6">
      <w:pPr>
        <w:autoSpaceDE w:val="0"/>
        <w:autoSpaceDN w:val="0"/>
        <w:spacing w:line="580" w:lineRule="atLeast"/>
        <w:textAlignment w:val="bottom"/>
        <w:rPr>
          <w:rFonts w:hint="eastAsia" w:asciiTheme="minorEastAsia" w:hAnsiTheme="minorEastAsia" w:eastAsiaTheme="minorEastAsia" w:cstheme="minorEastAsia"/>
          <w:color w:val="auto"/>
          <w:sz w:val="24"/>
          <w:highlight w:val="none"/>
        </w:rPr>
      </w:pPr>
    </w:p>
    <w:p w14:paraId="35429BDD">
      <w:pPr>
        <w:autoSpaceDE w:val="0"/>
        <w:autoSpaceDN w:val="0"/>
        <w:spacing w:line="580" w:lineRule="atLeast"/>
        <w:textAlignment w:val="bottom"/>
        <w:rPr>
          <w:rFonts w:hint="eastAsia" w:asciiTheme="minorEastAsia" w:hAnsiTheme="minorEastAsia" w:eastAsiaTheme="minorEastAsia" w:cstheme="minorEastAsia"/>
          <w:color w:val="auto"/>
          <w:sz w:val="24"/>
          <w:highlight w:val="none"/>
        </w:rPr>
      </w:pPr>
    </w:p>
    <w:p w14:paraId="2DD6A70E">
      <w:pPr>
        <w:autoSpaceDE w:val="0"/>
        <w:autoSpaceDN w:val="0"/>
        <w:spacing w:line="580" w:lineRule="atLeast"/>
        <w:textAlignment w:val="bottom"/>
        <w:rPr>
          <w:rFonts w:hint="eastAsia" w:asciiTheme="minorEastAsia" w:hAnsiTheme="minorEastAsia" w:eastAsiaTheme="minorEastAsia" w:cstheme="minorEastAsia"/>
          <w:color w:val="auto"/>
          <w:sz w:val="24"/>
          <w:highlight w:val="none"/>
        </w:rPr>
      </w:pPr>
    </w:p>
    <w:p w14:paraId="4CC75D15">
      <w:pPr>
        <w:autoSpaceDE w:val="0"/>
        <w:autoSpaceDN w:val="0"/>
        <w:spacing w:line="580" w:lineRule="atLeast"/>
        <w:textAlignment w:val="bottom"/>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采购人</w:t>
      </w:r>
      <w:r>
        <w:rPr>
          <w:rFonts w:hint="eastAsia" w:asciiTheme="minorEastAsia" w:hAnsiTheme="minorEastAsia" w:eastAsiaTheme="minorEastAsia" w:cstheme="minorEastAsia"/>
          <w:color w:val="auto"/>
          <w:sz w:val="22"/>
          <w:szCs w:val="22"/>
          <w:highlight w:val="none"/>
        </w:rPr>
        <w:t>（以下简称甲方）</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p>
    <w:p w14:paraId="7F66590E">
      <w:pPr>
        <w:autoSpaceDE w:val="0"/>
        <w:autoSpaceDN w:val="0"/>
        <w:spacing w:line="580" w:lineRule="atLeast"/>
        <w:textAlignment w:val="bottom"/>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中标人</w:t>
      </w:r>
      <w:r>
        <w:rPr>
          <w:rFonts w:hint="eastAsia" w:asciiTheme="minorEastAsia" w:hAnsiTheme="minorEastAsia" w:eastAsiaTheme="minorEastAsia" w:cstheme="minorEastAsia"/>
          <w:color w:val="auto"/>
          <w:sz w:val="22"/>
          <w:szCs w:val="22"/>
          <w:highlight w:val="none"/>
        </w:rPr>
        <w:t>（以下简称乙方）</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p>
    <w:p w14:paraId="547279FD">
      <w:pPr>
        <w:autoSpaceDE w:val="0"/>
        <w:autoSpaceDN w:val="0"/>
        <w:spacing w:line="580" w:lineRule="atLeast"/>
        <w:textAlignment w:val="bottom"/>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签署日期：</w:t>
      </w:r>
      <w:r>
        <w:rPr>
          <w:rFonts w:hint="eastAsia" w:asciiTheme="minorEastAsia" w:hAnsiTheme="minorEastAsia" w:eastAsiaTheme="minorEastAsia" w:cstheme="minorEastAsia"/>
          <w:color w:val="auto"/>
          <w:sz w:val="24"/>
          <w:highlight w:val="none"/>
          <w:u w:val="single"/>
        </w:rPr>
        <w:t xml:space="preserve">                      </w:t>
      </w:r>
    </w:p>
    <w:p w14:paraId="7779F68B">
      <w:pPr>
        <w:spacing w:line="460" w:lineRule="exact"/>
        <w:rPr>
          <w:rFonts w:hint="eastAsia" w:asciiTheme="minorEastAsia" w:hAnsiTheme="minorEastAsia" w:eastAsiaTheme="minorEastAsia" w:cstheme="minorEastAsia"/>
          <w:b/>
          <w:bCs/>
          <w:color w:val="auto"/>
          <w:sz w:val="22"/>
          <w:szCs w:val="22"/>
          <w:highlight w:val="none"/>
        </w:rPr>
      </w:pPr>
    </w:p>
    <w:p w14:paraId="1A457C29">
      <w:pPr>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bCs/>
          <w:color w:val="auto"/>
          <w:sz w:val="22"/>
          <w:szCs w:val="22"/>
          <w:highlight w:val="none"/>
        </w:rPr>
        <w:br w:type="page"/>
      </w:r>
      <w:r>
        <w:rPr>
          <w:rFonts w:hint="eastAsia" w:asciiTheme="minorEastAsia" w:hAnsiTheme="minorEastAsia" w:eastAsiaTheme="minorEastAsia" w:cstheme="minorEastAsia"/>
          <w:b/>
          <w:bCs/>
          <w:color w:val="auto"/>
          <w:sz w:val="32"/>
          <w:szCs w:val="32"/>
          <w:highlight w:val="none"/>
        </w:rPr>
        <w:t>(1)合同主要条款</w:t>
      </w:r>
    </w:p>
    <w:p w14:paraId="6626674D">
      <w:pPr>
        <w:spacing w:line="460" w:lineRule="exact"/>
        <w:ind w:firstLine="539" w:firstLineChars="2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2"/>
          <w:szCs w:val="22"/>
          <w:highlight w:val="none"/>
          <w:lang w:eastAsia="zh-CN"/>
        </w:rPr>
        <w:t>温</w:t>
      </w:r>
      <w:r>
        <w:rPr>
          <w:rFonts w:hint="eastAsia" w:asciiTheme="minorEastAsia" w:hAnsiTheme="minorEastAsia" w:eastAsiaTheme="minorEastAsia" w:cstheme="minorEastAsia"/>
          <w:bCs/>
          <w:color w:val="auto"/>
          <w:sz w:val="21"/>
          <w:szCs w:val="21"/>
          <w:highlight w:val="none"/>
          <w:lang w:eastAsia="zh-CN"/>
        </w:rPr>
        <w:t>州市鹿城区人民政府松台街道办事处</w:t>
      </w:r>
      <w:r>
        <w:rPr>
          <w:rFonts w:hint="eastAsia" w:asciiTheme="minorEastAsia" w:hAnsiTheme="minorEastAsia" w:eastAsiaTheme="minorEastAsia" w:cstheme="minorEastAsia"/>
          <w:bCs/>
          <w:color w:val="auto"/>
          <w:sz w:val="21"/>
          <w:szCs w:val="21"/>
          <w:highlight w:val="none"/>
        </w:rPr>
        <w:t>的</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color w:val="auto"/>
          <w:sz w:val="21"/>
          <w:szCs w:val="21"/>
          <w:highlight w:val="none"/>
        </w:rPr>
        <w:t>（项目名称、编号）以竞争性磋商方式进行招标，经评标委员会评定</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color w:val="auto"/>
          <w:sz w:val="21"/>
          <w:szCs w:val="21"/>
          <w:highlight w:val="none"/>
        </w:rPr>
        <w:t>（中标人名称）为中标人。双方本着诚信及互利互惠的原则，同意按照下面条款和条件，签署本合同。</w:t>
      </w:r>
    </w:p>
    <w:p w14:paraId="2E2250B7">
      <w:pPr>
        <w:spacing w:line="460" w:lineRule="exact"/>
        <w:ind w:firstLine="590" w:firstLineChars="245"/>
        <w:outlineLvl w:val="1"/>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一、本合同签订依据</w:t>
      </w:r>
    </w:p>
    <w:p w14:paraId="156D6BD6">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《中华人民共和国民法典》</w:t>
      </w:r>
    </w:p>
    <w:p w14:paraId="3A9D76B2">
      <w:pPr>
        <w:spacing w:line="460" w:lineRule="exact"/>
        <w:ind w:firstLine="590" w:firstLineChars="245"/>
        <w:outlineLvl w:val="1"/>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二、合同文件的优先次序</w:t>
      </w:r>
    </w:p>
    <w:p w14:paraId="252FCD58">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合同文件如存在歧义或不一致则根据以下优先次序来判断：</w:t>
      </w:r>
    </w:p>
    <w:p w14:paraId="1FFFFB90">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1、合同书及合同补充条款或说明 </w:t>
      </w:r>
    </w:p>
    <w:p w14:paraId="6B37CB10">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2、中标通知书</w:t>
      </w:r>
    </w:p>
    <w:p w14:paraId="7A12C248">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3、承诺书（含询标记录和优惠条款）</w:t>
      </w:r>
    </w:p>
    <w:p w14:paraId="1905D088">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4、投标文件</w:t>
      </w:r>
    </w:p>
    <w:p w14:paraId="5B2D3867">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5、招标文件</w:t>
      </w:r>
    </w:p>
    <w:p w14:paraId="4825529D">
      <w:pPr>
        <w:spacing w:line="460" w:lineRule="exact"/>
        <w:ind w:firstLine="590" w:firstLineChars="245"/>
        <w:outlineLvl w:val="1"/>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三、承包内容及要求、承包期限</w:t>
      </w:r>
    </w:p>
    <w:p w14:paraId="76978B57">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本项目为食堂劳务外包，承包内容及要求、承包期限如下：</w:t>
      </w:r>
    </w:p>
    <w:p w14:paraId="6E1423E9">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1、承包方式及内容：见磋商文件第</w:t>
      </w:r>
      <w:r>
        <w:rPr>
          <w:rFonts w:hint="eastAsia" w:asciiTheme="minorEastAsia" w:hAnsiTheme="minorEastAsia" w:eastAsiaTheme="minorEastAsia" w:cstheme="minorEastAsia"/>
          <w:bCs/>
          <w:color w:val="auto"/>
          <w:sz w:val="21"/>
          <w:szCs w:val="21"/>
          <w:highlight w:val="none"/>
          <w:lang w:eastAsia="zh-CN"/>
        </w:rPr>
        <w:t>三</w:t>
      </w:r>
      <w:r>
        <w:rPr>
          <w:rFonts w:hint="eastAsia" w:asciiTheme="minorEastAsia" w:hAnsiTheme="minorEastAsia" w:eastAsiaTheme="minorEastAsia" w:cstheme="minorEastAsia"/>
          <w:bCs/>
          <w:color w:val="auto"/>
          <w:sz w:val="21"/>
          <w:szCs w:val="21"/>
          <w:highlight w:val="none"/>
        </w:rPr>
        <w:t xml:space="preserve">部分         </w:t>
      </w:r>
    </w:p>
    <w:p w14:paraId="4840A688">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2、服务要求：达到星级酒店服务标准。</w:t>
      </w:r>
    </w:p>
    <w:p w14:paraId="2E5ADB7A">
      <w:pPr>
        <w:spacing w:line="460" w:lineRule="exact"/>
        <w:ind w:firstLine="514" w:firstLineChars="245"/>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3、承包期：本项目承包期1年</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从2024年  月  日起至2025年  月  日止。</w:t>
      </w:r>
    </w:p>
    <w:p w14:paraId="16D25A3D">
      <w:pPr>
        <w:spacing w:line="460" w:lineRule="exact"/>
        <w:ind w:firstLine="590" w:firstLineChars="245"/>
        <w:outlineLvl w:val="1"/>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四、合同总价及付款方式</w:t>
      </w:r>
    </w:p>
    <w:p w14:paraId="18C872DC">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1、承包总价：年度承包总价为     元（包括提供所有劳务所需的一切人员工资、奖金、福利、人员培训费、各种社会保险费、人员食宿费、</w:t>
      </w:r>
      <w:r>
        <w:rPr>
          <w:rFonts w:hint="eastAsia" w:asciiTheme="minorEastAsia" w:hAnsiTheme="minorEastAsia" w:eastAsiaTheme="minorEastAsia" w:cstheme="minorEastAsia"/>
          <w:bCs/>
          <w:color w:val="auto"/>
          <w:sz w:val="21"/>
          <w:szCs w:val="21"/>
          <w:highlight w:val="none"/>
          <w:lang w:val="en-US" w:eastAsia="zh-CN"/>
        </w:rPr>
        <w:t>交通费、</w:t>
      </w:r>
      <w:r>
        <w:rPr>
          <w:rFonts w:hint="eastAsia" w:asciiTheme="minorEastAsia" w:hAnsiTheme="minorEastAsia" w:eastAsiaTheme="minorEastAsia" w:cstheme="minorEastAsia"/>
          <w:bCs/>
          <w:color w:val="auto"/>
          <w:sz w:val="21"/>
          <w:szCs w:val="21"/>
          <w:highlight w:val="none"/>
        </w:rPr>
        <w:t>体检费、服装费、企业管理费、税费、利润等完成合同所需的一切本身和不可或缺的所有工作开支、政策性文件规定及合同包含的所有风险、责任等各项全部费用。）</w:t>
      </w:r>
    </w:p>
    <w:p w14:paraId="4EC2664D">
      <w:pPr>
        <w:spacing w:line="460" w:lineRule="exact"/>
        <w:ind w:firstLine="541" w:firstLineChars="245"/>
        <w:outlineLvl w:val="1"/>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2"/>
          <w:szCs w:val="22"/>
          <w:highlight w:val="none"/>
        </w:rPr>
        <w:t>2、付款方式：</w:t>
      </w:r>
    </w:p>
    <w:p w14:paraId="7EE75EDE">
      <w:pPr>
        <w:spacing w:line="460" w:lineRule="exact"/>
        <w:ind w:firstLine="514" w:firstLineChars="245"/>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1）合同生效以及具备实施条件（中标供应商接到采购人通知开始提供相应服务）后7个工作日内支付合同金额的40%作为预付款，剩余合同总金额的60%按半年度支付，每个半年度支付一次，下半年度开始后10日（遇节假日顺延）前付给乙方上半年的费用。甲方在收到正式发票的7个工作日内向乙方支付该款项。额外产生的加班费用，乙方应每月末向甲方提交额外服务时间汇总表，经甲方核实，同当期服务费一并由乙方开具发票后甲方予以支付。</w:t>
      </w:r>
    </w:p>
    <w:p w14:paraId="634ABF7C">
      <w:pPr>
        <w:spacing w:line="460" w:lineRule="exact"/>
        <w:ind w:firstLine="514" w:firstLineChars="245"/>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注：在签订合同时，乙方明确表示无需预付款或者主动要求降低预付款比例的，采购单位可不适用前述规定。</w:t>
      </w:r>
    </w:p>
    <w:p w14:paraId="0F4B5B7F">
      <w:pPr>
        <w:spacing w:line="460" w:lineRule="exact"/>
        <w:ind w:firstLine="590" w:firstLineChars="245"/>
        <w:outlineLvl w:val="1"/>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五、相关人员配置</w:t>
      </w:r>
    </w:p>
    <w:p w14:paraId="7AAD4725">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1、本次食堂劳务总人数为</w:t>
      </w:r>
      <w:r>
        <w:rPr>
          <w:rFonts w:hint="eastAsia" w:asciiTheme="minorEastAsia" w:hAnsiTheme="minorEastAsia" w:eastAsiaTheme="minorEastAsia" w:cstheme="minorEastAsia"/>
          <w:bCs/>
          <w:color w:val="auto"/>
          <w:sz w:val="21"/>
          <w:szCs w:val="21"/>
          <w:highlight w:val="none"/>
          <w:lang w:val="en-US" w:eastAsia="zh-CN"/>
        </w:rPr>
        <w:t xml:space="preserve">    </w:t>
      </w:r>
      <w:r>
        <w:rPr>
          <w:rFonts w:hint="eastAsia" w:asciiTheme="minorEastAsia" w:hAnsiTheme="minorEastAsia" w:eastAsiaTheme="minorEastAsia" w:cstheme="minorEastAsia"/>
          <w:bCs/>
          <w:color w:val="auto"/>
          <w:sz w:val="21"/>
          <w:szCs w:val="21"/>
          <w:highlight w:val="none"/>
        </w:rPr>
        <w:t xml:space="preserve">人，各岗位人员配置： </w:t>
      </w:r>
      <w:r>
        <w:rPr>
          <w:rFonts w:hint="eastAsia" w:asciiTheme="minorEastAsia" w:hAnsiTheme="minorEastAsia" w:eastAsiaTheme="minorEastAsia" w:cstheme="minorEastAsia"/>
          <w:bCs/>
          <w:color w:val="auto"/>
          <w:sz w:val="21"/>
          <w:szCs w:val="21"/>
          <w:highlight w:val="none"/>
          <w:lang w:val="en-US" w:eastAsia="zh-CN"/>
        </w:rPr>
        <w:t xml:space="preserve"> </w:t>
      </w:r>
      <w:r>
        <w:rPr>
          <w:rFonts w:hint="eastAsia" w:asciiTheme="minorEastAsia" w:hAnsiTheme="minorEastAsia" w:eastAsiaTheme="minorEastAsia" w:cstheme="minorEastAsia"/>
          <w:bCs/>
          <w:color w:val="auto"/>
          <w:sz w:val="21"/>
          <w:szCs w:val="21"/>
          <w:highlight w:val="none"/>
        </w:rPr>
        <w:t xml:space="preserve"> 见投标文件 。 </w:t>
      </w:r>
    </w:p>
    <w:p w14:paraId="418DFD05">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2、岗位基本要求 详见磋商文件第</w:t>
      </w:r>
      <w:r>
        <w:rPr>
          <w:rFonts w:hint="eastAsia" w:asciiTheme="minorEastAsia" w:hAnsiTheme="minorEastAsia" w:eastAsiaTheme="minorEastAsia" w:cstheme="minorEastAsia"/>
          <w:bCs/>
          <w:color w:val="auto"/>
          <w:sz w:val="21"/>
          <w:szCs w:val="21"/>
          <w:highlight w:val="none"/>
          <w:lang w:eastAsia="zh-CN"/>
        </w:rPr>
        <w:t>三</w:t>
      </w:r>
      <w:r>
        <w:rPr>
          <w:rFonts w:hint="eastAsia" w:asciiTheme="minorEastAsia" w:hAnsiTheme="minorEastAsia" w:eastAsiaTheme="minorEastAsia" w:cstheme="minorEastAsia"/>
          <w:bCs/>
          <w:color w:val="auto"/>
          <w:sz w:val="21"/>
          <w:szCs w:val="21"/>
          <w:highlight w:val="none"/>
        </w:rPr>
        <w:t>部分相关内容。</w:t>
      </w:r>
    </w:p>
    <w:p w14:paraId="4B65FA47">
      <w:pPr>
        <w:spacing w:line="460" w:lineRule="exact"/>
        <w:ind w:firstLine="590" w:firstLineChars="245"/>
        <w:outlineLvl w:val="1"/>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六、应遵守的国家相关法律法规及标准（不仅仅限于如下，如有最新标准则按最新执行）：</w:t>
      </w:r>
    </w:p>
    <w:p w14:paraId="3358192F">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《中华人民共和国食品安全法》</w:t>
      </w:r>
    </w:p>
    <w:p w14:paraId="3AEF34CC">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《中华人民共和国食品安全法实施条例》</w:t>
      </w:r>
    </w:p>
    <w:p w14:paraId="1CFC2643">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《餐饮服务食品安全监督管理办法》</w:t>
      </w:r>
    </w:p>
    <w:p w14:paraId="556E4D54">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GB16153《饭馆（餐厅）卫生标准》</w:t>
      </w:r>
    </w:p>
    <w:p w14:paraId="37FC155E">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GB14934《食（饮）具消毒卫生标准》</w:t>
      </w:r>
    </w:p>
    <w:p w14:paraId="64403BE5">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DB12644-2016《餐饮业油烟排放标准》</w:t>
      </w:r>
    </w:p>
    <w:p w14:paraId="586E1590">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GB13495.1-2015《消防安全标志》</w:t>
      </w:r>
    </w:p>
    <w:p w14:paraId="7C991785">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GB / T 18883－2002《室内空气质量标准》</w:t>
      </w:r>
    </w:p>
    <w:p w14:paraId="1AA7441B">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SB/T10420《饭店业星级服务人员资格条件》</w:t>
      </w:r>
    </w:p>
    <w:p w14:paraId="6064E3F4">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SB/T 10426《餐饮企业经营规范》</w:t>
      </w:r>
    </w:p>
    <w:p w14:paraId="4EA53985">
      <w:pPr>
        <w:spacing w:line="460" w:lineRule="exact"/>
        <w:ind w:firstLine="590" w:firstLineChars="245"/>
        <w:outlineLvl w:val="1"/>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七、服务工作及设备维护见磋商文件第</w:t>
      </w:r>
      <w:r>
        <w:rPr>
          <w:rFonts w:hint="eastAsia" w:asciiTheme="minorEastAsia" w:hAnsiTheme="minorEastAsia" w:eastAsiaTheme="minorEastAsia" w:cstheme="minorEastAsia"/>
          <w:b/>
          <w:color w:val="auto"/>
          <w:sz w:val="24"/>
          <w:szCs w:val="24"/>
          <w:highlight w:val="none"/>
          <w:lang w:val="en-US" w:eastAsia="zh-CN"/>
        </w:rPr>
        <w:t>二</w:t>
      </w:r>
      <w:r>
        <w:rPr>
          <w:rFonts w:hint="eastAsia" w:asciiTheme="minorEastAsia" w:hAnsiTheme="minorEastAsia" w:eastAsiaTheme="minorEastAsia" w:cstheme="minorEastAsia"/>
          <w:b/>
          <w:color w:val="auto"/>
          <w:sz w:val="24"/>
          <w:szCs w:val="24"/>
          <w:highlight w:val="none"/>
        </w:rPr>
        <w:t>部分 相关内容。</w:t>
      </w:r>
    </w:p>
    <w:p w14:paraId="776C2149">
      <w:pPr>
        <w:spacing w:line="460" w:lineRule="exact"/>
        <w:ind w:firstLine="590" w:firstLineChars="245"/>
        <w:outlineLvl w:val="1"/>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八、食品安全管理要求见磋商文件第</w:t>
      </w:r>
      <w:r>
        <w:rPr>
          <w:rFonts w:hint="eastAsia" w:asciiTheme="minorEastAsia" w:hAnsiTheme="minorEastAsia" w:eastAsiaTheme="minorEastAsia" w:cstheme="minorEastAsia"/>
          <w:b/>
          <w:color w:val="auto"/>
          <w:sz w:val="24"/>
          <w:szCs w:val="24"/>
          <w:highlight w:val="none"/>
          <w:lang w:val="en-US" w:eastAsia="zh-CN"/>
        </w:rPr>
        <w:t>二</w:t>
      </w:r>
      <w:r>
        <w:rPr>
          <w:rFonts w:hint="eastAsia" w:asciiTheme="minorEastAsia" w:hAnsiTheme="minorEastAsia" w:eastAsiaTheme="minorEastAsia" w:cstheme="minorEastAsia"/>
          <w:b/>
          <w:color w:val="auto"/>
          <w:sz w:val="24"/>
          <w:szCs w:val="24"/>
          <w:highlight w:val="none"/>
        </w:rPr>
        <w:t>部分 相关内容。</w:t>
      </w:r>
    </w:p>
    <w:p w14:paraId="1E5B2CB0">
      <w:pPr>
        <w:spacing w:line="460" w:lineRule="exact"/>
        <w:ind w:firstLine="590" w:firstLineChars="245"/>
        <w:outlineLvl w:val="1"/>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九、劳动管理  见磋商文件第</w:t>
      </w:r>
      <w:r>
        <w:rPr>
          <w:rFonts w:hint="eastAsia" w:asciiTheme="minorEastAsia" w:hAnsiTheme="minorEastAsia" w:eastAsiaTheme="minorEastAsia" w:cstheme="minorEastAsia"/>
          <w:b/>
          <w:color w:val="auto"/>
          <w:sz w:val="24"/>
          <w:szCs w:val="24"/>
          <w:highlight w:val="none"/>
          <w:lang w:val="en-US" w:eastAsia="zh-CN"/>
        </w:rPr>
        <w:t>二</w:t>
      </w:r>
      <w:r>
        <w:rPr>
          <w:rFonts w:hint="eastAsia" w:asciiTheme="minorEastAsia" w:hAnsiTheme="minorEastAsia" w:eastAsiaTheme="minorEastAsia" w:cstheme="minorEastAsia"/>
          <w:b/>
          <w:color w:val="auto"/>
          <w:sz w:val="24"/>
          <w:szCs w:val="24"/>
          <w:highlight w:val="none"/>
        </w:rPr>
        <w:t>部分 相关内容。</w:t>
      </w:r>
    </w:p>
    <w:p w14:paraId="0DF1B8CA">
      <w:pPr>
        <w:spacing w:line="460" w:lineRule="exact"/>
        <w:ind w:firstLine="590" w:firstLineChars="245"/>
        <w:outlineLvl w:val="1"/>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十、双方权利义务</w:t>
      </w:r>
    </w:p>
    <w:p w14:paraId="01A5D3A2">
      <w:pPr>
        <w:spacing w:line="460" w:lineRule="exact"/>
        <w:ind w:firstLine="541" w:firstLineChars="245"/>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（一）乙方</w:t>
      </w:r>
    </w:p>
    <w:p w14:paraId="364666F4">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1、乙方应接受甲方或其授权的人员对承包区域内各项服务质量进行检查。</w:t>
      </w:r>
    </w:p>
    <w:p w14:paraId="12E4C445">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2、乙方在承包区域的各项服务，其工作时间，必须满足甲方的工作要求，包括双休日及公众假期。遇特殊情况，甲方认为应提供方便或提高服务质量时，可要求乙方调整工作时间。</w:t>
      </w:r>
    </w:p>
    <w:p w14:paraId="50D67BD0">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3、乙方负责人全权代表乙方与甲方保持密切联系并保证承包区域服务工作。</w:t>
      </w:r>
    </w:p>
    <w:p w14:paraId="6427A721">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4、乙方聘用的工作人员必须符合劳动部门有关用工规定，并经乙方相关专业培训考核合格后持证上岗，甲方有权进行审核，该类费用开支由乙方负担。</w:t>
      </w:r>
    </w:p>
    <w:p w14:paraId="41EAABA3">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5、乙方必须按照甲方要求做好食堂服务工作，并接受甲方的监督与检查。乙方要确保为甲方提供优质、高效的专业服务，并根据甲方要求改变不满意的服务状况。</w:t>
      </w:r>
    </w:p>
    <w:p w14:paraId="785AF8BC">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6、乙方所有工作人员，必须无条件服从甲方管理人员的调度、指挥，如发现不符合甲方管理要求的工作人员，甲方有权提出整改、更换，如3天内整改、更换、不及时或不到位，经协商无效，甲方有权终止合同。乙方更换或调整人员应提前征求甲方意见，在征得甲方同意后方可更换、调整。</w:t>
      </w:r>
    </w:p>
    <w:p w14:paraId="7E67684A">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7、乙方应将聘用人员的相关材料（包括体检证明、年龄、从事岗位）等报甲方审查，特殊岗位必须持证上岗，上岗人员要求政治上可靠、身体素质好、无不良行为记录方可录用。</w:t>
      </w:r>
    </w:p>
    <w:p w14:paraId="5E44B641">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8、在承包期内乙方应保持承包区域内的设施完好、环境状况良好，并接受甲方或其授权人员的检查，对由乙方引起或造成设施的损坏及环境卫生不理想状况，甲方将书面通知乙方修复或整改，在书面通知下达一周后，仍未按要求修复或整改，甲方将负责完成这一工作，所需费用及管理费全部有乙方承担。甲方提供的所有设备、设施、工具由乙方使用的，除正常使用折旧外，乙方保证各设备、设施、工具的完好性。</w:t>
      </w:r>
    </w:p>
    <w:p w14:paraId="232A1295">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9、乙方应切实做好节水、节电、节油、节粮、节气、防盗、防火、饭菜食品的卫生安全工作，若有发生责任事故，如属加工环节所造成的，后果由乙方全部承担，甲方有权进行监督和检查。</w:t>
      </w:r>
    </w:p>
    <w:p w14:paraId="1479B81E">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10、乙方应加强对员工的管理，做好节电节水，非常温天气要保证冷暖气供应。</w:t>
      </w:r>
    </w:p>
    <w:p w14:paraId="5C55AEFE">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11、遇卫生、消防、安全检查或突发事件时，乙方必须配合甲方及有关部门做好工作，并指定专职人员协助工作，直到完成。</w:t>
      </w:r>
    </w:p>
    <w:p w14:paraId="123CFD31">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12、承包期满或合同解除，甲方按原移交清单进行财产清单验收，除正常损耗外，如有短缺或损坏，乙方应承担赔偿责任。</w:t>
      </w:r>
    </w:p>
    <w:p w14:paraId="50E258E4">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13、合同期内，食堂消防、安全、卫生均由乙方负责，如因乙方责任发生火灾、食物中毒、环境污染、安全等事故，所有损失由乙方承担，并依照相关法律追究责任。</w:t>
      </w:r>
    </w:p>
    <w:p w14:paraId="3762F555">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14、在服务期内，乙方所有人员的事故由乙方自行全权负责（如乙方应对其员工投保人身意外险），及时为进场人员投保第三者责任险并及时向甲方出示保险凭证，乙方工作人员如发生索偿等纠纷时由中标自行承担，甲方不承担任何责任。</w:t>
      </w:r>
    </w:p>
    <w:p w14:paraId="624978F2">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15、乙方应按政府各部门有关规定为全体服务人员交纳所有相关的社会保险及其他相关费用。乙方应对此全权负责。</w:t>
      </w:r>
    </w:p>
    <w:p w14:paraId="232280C6">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16、禁止事项</w:t>
      </w:r>
    </w:p>
    <w:p w14:paraId="06194A3C">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（1）乙方不得以任何理由向甲方工作人员支付小费或赠送实物，违者将终止合同。</w:t>
      </w:r>
    </w:p>
    <w:p w14:paraId="2601617A">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（2）乙方不得在承包区域住宿或从事非法活动，也不得从事有损甲方利益的活动，同时不允许在承包区域对甲方正常办公有滋扰性的行为。</w:t>
      </w:r>
    </w:p>
    <w:p w14:paraId="64711CEE">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（3）未获甲方书面同意，乙方任何时候都不能在承包区域存放易燃易爆有毒、挥发性大或气味浓烈的物品等。</w:t>
      </w:r>
    </w:p>
    <w:p w14:paraId="3E4967B6">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（4）乙方不得将承包的食堂不准改变用途、不准转包，一旦发现中止合同，没收履约保证金。</w:t>
      </w:r>
    </w:p>
    <w:p w14:paraId="37C56B84">
      <w:pPr>
        <w:spacing w:line="460" w:lineRule="exact"/>
        <w:ind w:firstLine="541"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
          <w:color w:val="auto"/>
          <w:sz w:val="22"/>
          <w:szCs w:val="22"/>
          <w:highlight w:val="none"/>
        </w:rPr>
        <w:t>（二）</w:t>
      </w:r>
      <w:r>
        <w:rPr>
          <w:rFonts w:hint="eastAsia" w:asciiTheme="minorEastAsia" w:hAnsiTheme="minorEastAsia" w:eastAsiaTheme="minorEastAsia" w:cstheme="minorEastAsia"/>
          <w:bCs/>
          <w:color w:val="auto"/>
          <w:sz w:val="21"/>
          <w:szCs w:val="21"/>
          <w:highlight w:val="none"/>
        </w:rPr>
        <w:t xml:space="preserve">甲方 </w:t>
      </w:r>
    </w:p>
    <w:p w14:paraId="5012003F">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1、甲方保证乙方的员工按规定正常进入承包区域开展服务工作。</w:t>
      </w:r>
    </w:p>
    <w:p w14:paraId="5E186F01">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2、甲方保证乙方正常的水、电能源供应，如出现故障，应及时维修，确保乙方正常开展服务。</w:t>
      </w:r>
    </w:p>
    <w:p w14:paraId="34C500CB">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3、甲方提供食堂场地、水、电、煤气、餐具和相关厨房用具。</w:t>
      </w:r>
    </w:p>
    <w:p w14:paraId="34A38D97">
      <w:pPr>
        <w:spacing w:line="460" w:lineRule="exact"/>
        <w:ind w:firstLine="590" w:firstLineChars="245"/>
        <w:outlineLvl w:val="1"/>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十二、 履约保证金</w:t>
      </w:r>
    </w:p>
    <w:p w14:paraId="69437B4F">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1、乙方必须向甲方交纳合同总价</w:t>
      </w:r>
      <w:r>
        <w:rPr>
          <w:rFonts w:hint="eastAsia" w:asciiTheme="minorEastAsia" w:hAnsiTheme="minorEastAsia" w:eastAsiaTheme="minorEastAsia" w:cstheme="minorEastAsia"/>
          <w:bCs/>
          <w:color w:val="auto"/>
          <w:sz w:val="21"/>
          <w:szCs w:val="21"/>
          <w:highlight w:val="none"/>
          <w:lang w:val="en-US" w:eastAsia="zh-CN"/>
        </w:rPr>
        <w:t>1</w:t>
      </w:r>
      <w:r>
        <w:rPr>
          <w:rFonts w:hint="eastAsia" w:asciiTheme="minorEastAsia" w:hAnsiTheme="minorEastAsia" w:eastAsiaTheme="minorEastAsia" w:cstheme="minorEastAsia"/>
          <w:bCs/>
          <w:color w:val="auto"/>
          <w:sz w:val="21"/>
          <w:szCs w:val="21"/>
          <w:highlight w:val="none"/>
        </w:rPr>
        <w:t>％金额作为履约保证金，以保证乙方遵守本合同的一切条款、条件和承诺，该保证金在甲方的规定存续期间不计息。</w:t>
      </w:r>
    </w:p>
    <w:p w14:paraId="66ED339E">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甲方在任何时候都有权从履约保证金中扣除用于修复乙方损坏甲方的设备、设施、场地或因乙方违约而导致损失的金额或违约金，且乙方应在接到扣除履约保证金通知后一周内补足扣除差额，保证承包期间履约保证金的完整。</w:t>
      </w:r>
    </w:p>
    <w:p w14:paraId="3644B773">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3、甲方认为乙方在承包期内没有涉及乙方的应付而未付金额或违约行为，甲方在承包期满后或提前终止承包后一个月内全额退还履约保证金，否则，甲方将在扣除乙方应付金额或违约金后退还保证金余额。</w:t>
      </w:r>
    </w:p>
    <w:p w14:paraId="1718032A">
      <w:pPr>
        <w:spacing w:line="460" w:lineRule="exact"/>
        <w:ind w:firstLine="590" w:firstLineChars="245"/>
        <w:outlineLvl w:val="1"/>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十三、不可抗力</w:t>
      </w:r>
    </w:p>
    <w:p w14:paraId="5DB24282">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1、在承包期间发生地震及其他不可抗力，导致承包区域不能正常经营，合同不能或不能全部履行。双方可以按以下各项执行：</w:t>
      </w:r>
    </w:p>
    <w:p w14:paraId="764732F7">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（1）因不可抗力导致合同终止，并不影响任何一方对不可抗力先前发生的违约行为合法追偿。</w:t>
      </w:r>
    </w:p>
    <w:p w14:paraId="585920E1">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（2）甲方不承担因不可抗力造成合同不能正常履行的责任。</w:t>
      </w:r>
    </w:p>
    <w:p w14:paraId="6AFCADBB">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（3）因不可抗力造成甲方的损害，甲方的保险赔偿不受影响。对恢复承包合同期间的价格及其它费用双方可以协商解决。</w:t>
      </w:r>
    </w:p>
    <w:p w14:paraId="2F29C6B4">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2、遇国家政策性调整，影响合同履行，双方协商解决。</w:t>
      </w:r>
    </w:p>
    <w:p w14:paraId="554F29D4">
      <w:pPr>
        <w:pStyle w:val="222"/>
        <w:ind w:firstLine="720" w:firstLineChars="3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十四、</w:t>
      </w:r>
      <w:r>
        <w:rPr>
          <w:rFonts w:hint="eastAsia" w:asciiTheme="minorEastAsia" w:hAnsiTheme="minorEastAsia" w:eastAsiaTheme="minorEastAsia" w:cstheme="minorEastAsia"/>
          <w:b/>
          <w:color w:val="auto"/>
          <w:sz w:val="24"/>
          <w:szCs w:val="24"/>
          <w:highlight w:val="none"/>
        </w:rPr>
        <w:t>考评办法</w:t>
      </w:r>
    </w:p>
    <w:p w14:paraId="5B46D0BD">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1、由于服务单位在食堂服务过程中出现问题造成不良后果的，扣服务单位服务费1000元/次，并追究服务单位相关责任。在当月承包费中直接扣除。</w:t>
      </w:r>
    </w:p>
    <w:p w14:paraId="3FA4986B">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甲方原则上每月组织1次对乙方后勤服务、烹饪、卫生、安全等方面进行考核。满意率85%以下或考核分85分以下，甲方有权要求乙方进行整改，累计3个月满意率85%以或考核分85分以下的，甲方有权终止承包合同。考核评分细则详见《</w:t>
      </w:r>
      <w:r>
        <w:rPr>
          <w:rFonts w:hint="eastAsia" w:asciiTheme="minorEastAsia" w:hAnsiTheme="minorEastAsia" w:eastAsiaTheme="minorEastAsia" w:cstheme="minorEastAsia"/>
          <w:bCs/>
          <w:color w:val="auto"/>
          <w:sz w:val="21"/>
          <w:szCs w:val="21"/>
          <w:highlight w:val="none"/>
          <w:lang w:eastAsia="zh-CN"/>
        </w:rPr>
        <w:t>2024年鹿城区松台街道食堂劳务外包服务</w:t>
      </w:r>
      <w:r>
        <w:rPr>
          <w:rFonts w:hint="eastAsia" w:asciiTheme="minorEastAsia" w:hAnsiTheme="minorEastAsia" w:eastAsiaTheme="minorEastAsia" w:cstheme="minorEastAsia"/>
          <w:bCs/>
          <w:color w:val="auto"/>
          <w:sz w:val="21"/>
          <w:szCs w:val="21"/>
          <w:highlight w:val="none"/>
        </w:rPr>
        <w:t>考核评分细则（参考）》。</w:t>
      </w:r>
    </w:p>
    <w:p w14:paraId="557B887A">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乙方必须按照甲方要求做好食堂后勤服务工作，食堂不得对外经营，食品的主料、辅料、调料等的采购及清点验收、加工、制作、发售，由承包方全部负责。菜品（食材、调料等）供应商由采购人确定,每日的菜品（食材、调料等）不包含在本次采购报价范围，由采购人另行支付，制作好的菜肴按甲方规定的价格进行发售，并接受甲方的监督与检查。乙方要确保为甲方提供优质、高效的专业服务，并根据甲方要求改变不满意的服务状况。</w:t>
      </w:r>
    </w:p>
    <w:p w14:paraId="6D6EF8C9">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4、乙方所有工作人员，必须无条件服从甲方管理人员的调度、指挥，发现不符合甲方管理要求的工作人员，甲方有权提出整改、更换，如3天内整改、更换、不及时或不到位，经协商无效，甲方有权终止合同。乙方更换或调整人员应提前征求甲方意见，在征得甲方同意后方可更换、调整。</w:t>
      </w:r>
    </w:p>
    <w:p w14:paraId="48FE6CF1">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在承包期内乙方应保持承包区域内的设施完好、环境状况良好，并接受甲方或其授权人员的检查，对由乙方引起或造成设施的损坏及环境卫生不理想状况，甲方将书面通知乙方修复或整改，在书面通知下达一周后（5个工作日），仍未按要求修复或整改，甲方将负责完成这一工作，所需费用及管理费全部有乙方承担。甲方提供的所有设备、设施、工具由乙方使用的，除正常使用折旧外，乙方保证各设备、设施、工具的完好性。</w:t>
      </w:r>
    </w:p>
    <w:p w14:paraId="4283CD36">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6、乙方应切实做好节水、节能、防盗、防火、饭菜食品的卫生安全工作，若有发生责任事故，如属加工环节所造成的，后果由乙方全部承担，甲方有权进行监督和检查。</w:t>
      </w:r>
    </w:p>
    <w:p w14:paraId="302EE3C3">
      <w:pPr>
        <w:spacing w:line="460" w:lineRule="exact"/>
        <w:ind w:firstLine="590" w:firstLineChars="245"/>
        <w:outlineLvl w:val="1"/>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十五、合同生效和终止</w:t>
      </w:r>
    </w:p>
    <w:p w14:paraId="1425E0A0">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1、本合同经双方授权代表签字盖章后生效。</w:t>
      </w:r>
    </w:p>
    <w:p w14:paraId="0770FA45">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2、终止</w:t>
      </w:r>
    </w:p>
    <w:p w14:paraId="5BE9165E">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（1）提前终止</w:t>
      </w:r>
    </w:p>
    <w:p w14:paraId="0D4BEBD8">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 ① 因乙方连续二次服务未达到甲方的要求，通知整改而不见成效时，甲方有权向乙方发出书面通知终止承包。</w:t>
      </w:r>
    </w:p>
    <w:p w14:paraId="615505CA">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② 乙方未能履行合同和遵守有关规定，在甲方发出书面警告后仍无采取补救措施可立即终止承包。</w:t>
      </w:r>
    </w:p>
    <w:p w14:paraId="7955B528">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③ 乙方破产清算、重组及兼并等事实发生，或被债权人接管经营，甲方无需通知乙方即可终止承包。</w:t>
      </w:r>
    </w:p>
    <w:p w14:paraId="6B25CDCF">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④ 承包期内，如乙方从事违法犯罪活动或其他损害甲方形象或声誉的活动，则甲方有权单方解除合同。</w:t>
      </w:r>
    </w:p>
    <w:p w14:paraId="3021EF8F">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⑤承包期内发生重大安全事故，如乙方违反操作规范，造成事故和损失较大，则甲方有权追偿经济损失和单方解除合同。</w:t>
      </w:r>
    </w:p>
    <w:p w14:paraId="015F77AE">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⑥ 承包期内发生集体食物中毒，并造成不良影响，则甲方有权单方解除合同，乙方需承担由此造成的所有经济损失。</w:t>
      </w:r>
    </w:p>
    <w:p w14:paraId="21BD9E91">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⑦合同规定的其他终止情况。</w:t>
      </w:r>
    </w:p>
    <w:p w14:paraId="2A1576A5">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（2）协议终止</w:t>
      </w:r>
    </w:p>
    <w:p w14:paraId="4BC76224">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经双方协商同意，可在任何时候终止承包。</w:t>
      </w:r>
    </w:p>
    <w:p w14:paraId="7B488AD7">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（3）自然终止</w:t>
      </w:r>
    </w:p>
    <w:p w14:paraId="22A05FCB">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合同规定的承包期满，承包自然终止。</w:t>
      </w:r>
    </w:p>
    <w:p w14:paraId="72BD4316">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3、承包终止后果</w:t>
      </w:r>
    </w:p>
    <w:p w14:paraId="3EEBA700">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（1）终止承包，不影响根据合同规定进行的赔偿、补偿。</w:t>
      </w:r>
    </w:p>
    <w:p w14:paraId="600E49F7">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（2）承包终止时，双方应进行结算，甲方同时进行乙方承包区域设施、设备状况检查并要求乙方三天内将乙方物品撤离承包区域，否则甲方将代理处理，并追偿甲方代理费及15%的手续费。</w:t>
      </w:r>
    </w:p>
    <w:p w14:paraId="3E7AD9EE">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4、不放弃权利</w:t>
      </w:r>
    </w:p>
    <w:p w14:paraId="22F0F97F">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甲方接受乙方的服务，但不放弃对乙方违约行为进行追究的权利；同时，若甲方对乙方某一违约行为放弃进行追究的权利，但不放弃对乙方其他违约行为进行追究的权利。</w:t>
      </w:r>
    </w:p>
    <w:p w14:paraId="53E4A088">
      <w:pPr>
        <w:spacing w:line="460" w:lineRule="exact"/>
        <w:ind w:firstLine="590" w:firstLineChars="245"/>
        <w:outlineLvl w:val="1"/>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十六、其他</w:t>
      </w:r>
    </w:p>
    <w:p w14:paraId="76882F77">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1、在乙方的责任区内由于乙方原因导致第三方的事故由乙方负责，甲方不承担任何责任。</w:t>
      </w:r>
    </w:p>
    <w:p w14:paraId="614037AA">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2、本合同中所述通知，必须为书面形式，并有送达签收。</w:t>
      </w:r>
    </w:p>
    <w:p w14:paraId="38D6B8D7">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3、关于本合同争议，应双方友好协商解决，若协商不成，提交温州仲裁委员会仲裁。</w:t>
      </w:r>
    </w:p>
    <w:p w14:paraId="2707F72B">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4、未尽事宜由双方协商解决，并以书面形式修改或补充本合同条款；合同的附件、修改（补充）件均与本主合同有同等的法律效力。</w:t>
      </w:r>
    </w:p>
    <w:p w14:paraId="2C8E4805">
      <w:pPr>
        <w:spacing w:line="460" w:lineRule="exact"/>
        <w:ind w:firstLine="514" w:firstLineChars="245"/>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5、本合同一式五份，甲乙双方各执两份，交招标代理机构备案一份。</w:t>
      </w:r>
    </w:p>
    <w:p w14:paraId="796C856C">
      <w:pPr>
        <w:spacing w:line="460" w:lineRule="exact"/>
        <w:ind w:left="619" w:leftChars="209" w:hanging="180" w:hangingChars="100"/>
        <w:rPr>
          <w:rFonts w:hint="eastAsia" w:asciiTheme="minorEastAsia" w:hAnsiTheme="minorEastAsia" w:eastAsiaTheme="minorEastAsia" w:cstheme="minorEastAsia"/>
          <w:color w:val="auto"/>
          <w:sz w:val="18"/>
          <w:szCs w:val="18"/>
          <w:highlight w:val="none"/>
        </w:rPr>
      </w:pPr>
    </w:p>
    <w:p w14:paraId="15B45CD4">
      <w:pPr>
        <w:spacing w:line="460" w:lineRule="exact"/>
        <w:ind w:firstLine="441" w:firstLineChars="245"/>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Cs/>
          <w:color w:val="auto"/>
          <w:sz w:val="18"/>
          <w:szCs w:val="18"/>
          <w:highlight w:val="none"/>
        </w:rPr>
        <w:t>甲方：（盖章）                        乙方：（盖章）</w:t>
      </w:r>
    </w:p>
    <w:p w14:paraId="53C7B72D">
      <w:pPr>
        <w:spacing w:line="460" w:lineRule="exact"/>
        <w:ind w:firstLine="441" w:firstLineChars="245"/>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Cs/>
          <w:color w:val="auto"/>
          <w:sz w:val="18"/>
          <w:szCs w:val="18"/>
          <w:highlight w:val="none"/>
        </w:rPr>
        <w:t>全权代表:（签字）                    全权代表:（签字）</w:t>
      </w:r>
    </w:p>
    <w:p w14:paraId="6882977B">
      <w:pPr>
        <w:spacing w:line="460" w:lineRule="exact"/>
        <w:ind w:firstLine="441" w:firstLineChars="245"/>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Cs/>
          <w:color w:val="auto"/>
          <w:sz w:val="18"/>
          <w:szCs w:val="18"/>
          <w:highlight w:val="none"/>
        </w:rPr>
        <w:t>地址：                               地址：</w:t>
      </w:r>
    </w:p>
    <w:p w14:paraId="011019EB">
      <w:pPr>
        <w:spacing w:line="460" w:lineRule="exact"/>
        <w:ind w:firstLine="441" w:firstLineChars="245"/>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Cs/>
          <w:color w:val="auto"/>
          <w:sz w:val="18"/>
          <w:szCs w:val="18"/>
          <w:highlight w:val="none"/>
        </w:rPr>
        <w:t>邮政编码：                           邮政编码：</w:t>
      </w:r>
    </w:p>
    <w:p w14:paraId="411E5386">
      <w:pPr>
        <w:spacing w:line="460" w:lineRule="exact"/>
        <w:ind w:firstLine="441" w:firstLineChars="245"/>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Cs/>
          <w:color w:val="auto"/>
          <w:sz w:val="18"/>
          <w:szCs w:val="18"/>
          <w:highlight w:val="none"/>
        </w:rPr>
        <w:t>电话：                               电话：</w:t>
      </w:r>
    </w:p>
    <w:p w14:paraId="1F709F69">
      <w:pPr>
        <w:spacing w:line="460" w:lineRule="exact"/>
        <w:ind w:firstLine="441" w:firstLineChars="245"/>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Cs/>
          <w:color w:val="auto"/>
          <w:sz w:val="18"/>
          <w:szCs w:val="18"/>
          <w:highlight w:val="none"/>
        </w:rPr>
        <w:t>传真：                               传真：</w:t>
      </w:r>
    </w:p>
    <w:p w14:paraId="0FE3CF66">
      <w:pPr>
        <w:spacing w:line="460" w:lineRule="exact"/>
        <w:ind w:firstLine="441" w:firstLineChars="245"/>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Cs/>
          <w:color w:val="auto"/>
          <w:sz w:val="18"/>
          <w:szCs w:val="18"/>
          <w:highlight w:val="none"/>
        </w:rPr>
        <w:t>开户银行：                           开户银行：</w:t>
      </w:r>
    </w:p>
    <w:p w14:paraId="1325F5BE">
      <w:pPr>
        <w:spacing w:line="460" w:lineRule="exact"/>
        <w:ind w:firstLine="441" w:firstLineChars="245"/>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Cs/>
          <w:color w:val="auto"/>
          <w:sz w:val="18"/>
          <w:szCs w:val="18"/>
          <w:highlight w:val="none"/>
        </w:rPr>
        <w:t>帐号：                               帐号：</w:t>
      </w:r>
    </w:p>
    <w:p w14:paraId="40655039">
      <w:pPr>
        <w:spacing w:line="460" w:lineRule="exact"/>
        <w:ind w:firstLine="441" w:firstLineChars="245"/>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Cs/>
          <w:color w:val="auto"/>
          <w:sz w:val="18"/>
          <w:szCs w:val="18"/>
          <w:highlight w:val="none"/>
        </w:rPr>
        <w:t>日期：                               日期：</w:t>
      </w:r>
    </w:p>
    <w:p w14:paraId="6F90D5D4">
      <w:pPr>
        <w:pStyle w:val="22"/>
        <w:rPr>
          <w:rFonts w:hint="eastAsia" w:asciiTheme="minorEastAsia" w:hAnsiTheme="minorEastAsia" w:eastAsiaTheme="minorEastAsia" w:cstheme="minorEastAsia"/>
          <w:color w:val="auto"/>
          <w:sz w:val="18"/>
          <w:szCs w:val="18"/>
          <w:highlight w:val="none"/>
        </w:rPr>
      </w:pPr>
    </w:p>
    <w:p w14:paraId="717D87A9">
      <w:pPr>
        <w:pStyle w:val="22"/>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fldChar w:fldCharType="begin"/>
      </w:r>
      <w:r>
        <w:rPr>
          <w:rFonts w:hint="eastAsia" w:asciiTheme="minorEastAsia" w:hAnsiTheme="minorEastAsia" w:eastAsiaTheme="minorEastAsia" w:cstheme="minorEastAsia"/>
          <w:color w:val="auto"/>
          <w:sz w:val="18"/>
          <w:szCs w:val="18"/>
          <w:highlight w:val="none"/>
        </w:rPr>
        <w:instrText xml:space="preserve"> HYPERLINK "mailto:（合同签订后供应商须在2个工作日内将合同副本（原件）送达龙湾区公共资源交易中心采购科、合同扫描发至250453502@qq.com备案后方可退保证金）" </w:instrText>
      </w:r>
      <w:r>
        <w:rPr>
          <w:rFonts w:hint="eastAsia" w:asciiTheme="minorEastAsia" w:hAnsiTheme="minorEastAsia" w:eastAsiaTheme="minorEastAsia" w:cstheme="minorEastAsia"/>
          <w:color w:val="auto"/>
          <w:sz w:val="18"/>
          <w:szCs w:val="18"/>
          <w:highlight w:val="none"/>
        </w:rPr>
        <w:fldChar w:fldCharType="separate"/>
      </w:r>
      <w:r>
        <w:rPr>
          <w:rFonts w:hint="eastAsia" w:asciiTheme="minorEastAsia" w:hAnsiTheme="minorEastAsia" w:eastAsiaTheme="minorEastAsia" w:cstheme="minorEastAsia"/>
          <w:color w:val="auto"/>
          <w:sz w:val="18"/>
          <w:szCs w:val="18"/>
          <w:highlight w:val="none"/>
        </w:rPr>
        <w:t>（合同签订后供应商须在</w:t>
      </w:r>
      <w:r>
        <w:rPr>
          <w:rFonts w:hint="eastAsia" w:asciiTheme="minorEastAsia" w:hAnsiTheme="minorEastAsia" w:eastAsiaTheme="minorEastAsia" w:cstheme="minorEastAsia"/>
          <w:color w:val="auto"/>
          <w:sz w:val="18"/>
          <w:szCs w:val="18"/>
          <w:highlight w:val="none"/>
          <w:lang w:val="en-US" w:eastAsia="zh-CN"/>
        </w:rPr>
        <w:t>2</w:t>
      </w:r>
      <w:r>
        <w:rPr>
          <w:rFonts w:hint="eastAsia" w:asciiTheme="minorEastAsia" w:hAnsiTheme="minorEastAsia" w:eastAsiaTheme="minorEastAsia" w:cstheme="minorEastAsia"/>
          <w:color w:val="auto"/>
          <w:sz w:val="18"/>
          <w:szCs w:val="18"/>
          <w:highlight w:val="none"/>
        </w:rPr>
        <w:t>个工作日内将合同扫描系统内部上传）</w:t>
      </w:r>
      <w:r>
        <w:rPr>
          <w:rFonts w:hint="eastAsia" w:asciiTheme="minorEastAsia" w:hAnsiTheme="minorEastAsia" w:eastAsiaTheme="minorEastAsia" w:cstheme="minorEastAsia"/>
          <w:color w:val="auto"/>
          <w:sz w:val="18"/>
          <w:szCs w:val="18"/>
          <w:highlight w:val="none"/>
        </w:rPr>
        <w:fldChar w:fldCharType="end"/>
      </w:r>
    </w:p>
    <w:p w14:paraId="2DC2CC8B">
      <w:pPr>
        <w:rPr>
          <w:rFonts w:hint="eastAsia"/>
          <w:color w:val="auto"/>
          <w:highlight w:val="none"/>
        </w:rPr>
      </w:pPr>
      <w:r>
        <w:rPr>
          <w:rFonts w:hint="eastAsia"/>
          <w:color w:val="auto"/>
          <w:highlight w:val="none"/>
        </w:rPr>
        <w:br w:type="page"/>
      </w:r>
    </w:p>
    <w:p w14:paraId="7ED9401A">
      <w:pPr>
        <w:pStyle w:val="22"/>
        <w:rPr>
          <w:rFonts w:hint="eastAsia"/>
          <w:color w:val="auto"/>
          <w:highlight w:val="none"/>
        </w:rPr>
        <w:sectPr>
          <w:footerReference r:id="rId9" w:type="first"/>
          <w:footerReference r:id="rId8" w:type="default"/>
          <w:pgSz w:w="11906" w:h="16838"/>
          <w:pgMar w:top="1134" w:right="1134" w:bottom="1134" w:left="1134" w:header="851" w:footer="851" w:gutter="0"/>
          <w:pgNumType w:fmt="decimal"/>
          <w:cols w:space="720" w:num="1"/>
          <w:titlePg/>
          <w:docGrid w:linePitch="312" w:charSpace="0"/>
        </w:sectPr>
      </w:pPr>
    </w:p>
    <w:p w14:paraId="3AA0EAD7">
      <w:pPr>
        <w:pStyle w:val="5"/>
        <w:keepNext w:val="0"/>
        <w:keepLines w:val="0"/>
        <w:pageBreakBefore w:val="0"/>
        <w:widowControl w:val="0"/>
        <w:tabs>
          <w:tab w:val="left" w:pos="432"/>
        </w:tabs>
        <w:kinsoku/>
        <w:wordWrap/>
        <w:overflowPunct/>
        <w:topLinePunct w:val="0"/>
        <w:autoSpaceDE/>
        <w:autoSpaceDN/>
        <w:bidi w:val="0"/>
        <w:adjustRightInd w:val="0"/>
        <w:snapToGrid/>
        <w:spacing w:line="579" w:lineRule="auto"/>
        <w:ind w:left="0" w:leftChars="0" w:firstLine="0" w:firstLineChars="0"/>
        <w:jc w:val="both"/>
        <w:textAlignment w:val="auto"/>
        <w:rPr>
          <w:rFonts w:hint="eastAsia" w:ascii="宋体" w:hAnsi="宋体" w:eastAsia="宋体"/>
          <w:b w:val="0"/>
          <w:color w:val="auto"/>
          <w:sz w:val="36"/>
          <w:szCs w:val="36"/>
          <w:highlight w:val="none"/>
        </w:rPr>
      </w:pPr>
      <w:r>
        <w:rPr>
          <w:rFonts w:hint="eastAsia" w:ascii="宋体" w:hAnsi="宋体" w:eastAsia="宋体"/>
          <w:b w:val="0"/>
          <w:color w:val="auto"/>
          <w:sz w:val="36"/>
          <w:szCs w:val="36"/>
          <w:highlight w:val="none"/>
        </w:rPr>
        <w:t>附件</w:t>
      </w:r>
    </w:p>
    <w:p w14:paraId="4B39A99E">
      <w:pPr>
        <w:pStyle w:val="5"/>
        <w:tabs>
          <w:tab w:val="left" w:pos="432"/>
        </w:tabs>
        <w:jc w:val="center"/>
        <w:rPr>
          <w:rFonts w:hint="eastAsia" w:ascii="宋体" w:hAnsi="宋体" w:eastAsia="宋体" w:cs="宋体"/>
          <w:b w:val="0"/>
          <w:bCs w:val="0"/>
          <w:color w:val="auto"/>
          <w:sz w:val="36"/>
          <w:szCs w:val="36"/>
          <w:highlight w:val="none"/>
        </w:rPr>
      </w:pPr>
      <w:r>
        <w:rPr>
          <w:rFonts w:hint="eastAsia" w:ascii="宋体" w:hAnsi="宋体" w:eastAsia="宋体" w:cs="宋体"/>
          <w:b w:val="0"/>
          <w:bCs w:val="0"/>
          <w:color w:val="auto"/>
          <w:sz w:val="36"/>
          <w:szCs w:val="36"/>
          <w:highlight w:val="none"/>
          <w:lang w:eastAsia="zh-CN"/>
        </w:rPr>
        <w:t>2024年鹿城区松台街道食堂劳务外包服务</w:t>
      </w:r>
      <w:r>
        <w:rPr>
          <w:rFonts w:hint="eastAsia" w:ascii="宋体" w:hAnsi="宋体" w:eastAsia="宋体" w:cs="宋体"/>
          <w:b w:val="0"/>
          <w:bCs w:val="0"/>
          <w:color w:val="auto"/>
          <w:sz w:val="36"/>
          <w:szCs w:val="36"/>
          <w:highlight w:val="none"/>
        </w:rPr>
        <w:t>考核评分细则（参考）</w:t>
      </w:r>
    </w:p>
    <w:p w14:paraId="0445D5D5">
      <w:pPr>
        <w:pStyle w:val="3"/>
        <w:adjustRightInd w:val="0"/>
        <w:snapToGrid w:val="0"/>
        <w:spacing w:after="0" w:line="400" w:lineRule="atLeast"/>
        <w:ind w:left="218" w:leftChars="104"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考核小组每月采取定时或抽查形式对</w:t>
      </w:r>
      <w:r>
        <w:rPr>
          <w:rFonts w:hint="eastAsia" w:hAnsi="宋体" w:cs="宋体"/>
          <w:color w:val="auto"/>
          <w:sz w:val="22"/>
          <w:szCs w:val="22"/>
          <w:highlight w:val="none"/>
          <w:lang w:eastAsia="zh-CN"/>
        </w:rPr>
        <w:t>2024年鹿城区松台街道食堂劳务外包服务</w:t>
      </w:r>
      <w:r>
        <w:rPr>
          <w:rFonts w:hint="eastAsia" w:ascii="宋体" w:hAnsi="宋体" w:cs="宋体"/>
          <w:color w:val="auto"/>
          <w:sz w:val="22"/>
          <w:szCs w:val="22"/>
          <w:highlight w:val="none"/>
        </w:rPr>
        <w:t xml:space="preserve">进行考核，本考核采用100分制（按以下考核评分标准在100分的基础上进行扣分）。                                                                   </w:t>
      </w:r>
      <w:r>
        <w:rPr>
          <w:rFonts w:hint="eastAsia" w:ascii="宋体" w:hAnsi="宋体" w:cs="宋体"/>
          <w:b/>
          <w:color w:val="auto"/>
          <w:sz w:val="22"/>
          <w:szCs w:val="22"/>
          <w:highlight w:val="none"/>
        </w:rPr>
        <w:t>（具体考核评分细则以采购人发文为准）</w:t>
      </w:r>
    </w:p>
    <w:tbl>
      <w:tblPr>
        <w:tblStyle w:val="39"/>
        <w:tblW w:w="13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9574"/>
        <w:gridCol w:w="2933"/>
        <w:gridCol w:w="934"/>
      </w:tblGrid>
      <w:tr w14:paraId="6E3E8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blHeader/>
        </w:trPr>
        <w:tc>
          <w:tcPr>
            <w:tcW w:w="10101" w:type="dxa"/>
            <w:gridSpan w:val="2"/>
            <w:tcBorders>
              <w:top w:val="single" w:color="auto" w:sz="4" w:space="0"/>
              <w:left w:val="single" w:color="auto" w:sz="4" w:space="0"/>
              <w:bottom w:val="single" w:color="auto" w:sz="4" w:space="0"/>
              <w:right w:val="single" w:color="auto" w:sz="4" w:space="0"/>
            </w:tcBorders>
            <w:noWrap w:val="0"/>
            <w:vAlign w:val="center"/>
          </w:tcPr>
          <w:p w14:paraId="635AB6DE">
            <w:pPr>
              <w:spacing w:line="160" w:lineRule="atLeast"/>
              <w:jc w:val="center"/>
              <w:rPr>
                <w:rFonts w:ascii="宋体"/>
                <w:bCs/>
                <w:color w:val="auto"/>
                <w:sz w:val="22"/>
                <w:szCs w:val="22"/>
                <w:highlight w:val="none"/>
              </w:rPr>
            </w:pPr>
            <w:r>
              <w:rPr>
                <w:rFonts w:hint="eastAsia" w:ascii="宋体"/>
                <w:bCs/>
                <w:color w:val="auto"/>
                <w:sz w:val="22"/>
                <w:szCs w:val="22"/>
                <w:highlight w:val="none"/>
              </w:rPr>
              <w:t>检 查 考 核 项 目</w:t>
            </w:r>
          </w:p>
        </w:tc>
        <w:tc>
          <w:tcPr>
            <w:tcW w:w="2933" w:type="dxa"/>
            <w:tcBorders>
              <w:top w:val="single" w:color="auto" w:sz="4" w:space="0"/>
              <w:left w:val="single" w:color="auto" w:sz="4" w:space="0"/>
              <w:bottom w:val="single" w:color="auto" w:sz="4" w:space="0"/>
              <w:right w:val="single" w:color="auto" w:sz="4" w:space="0"/>
            </w:tcBorders>
            <w:noWrap w:val="0"/>
            <w:vAlign w:val="center"/>
          </w:tcPr>
          <w:p w14:paraId="2FB20E67">
            <w:pPr>
              <w:spacing w:line="160" w:lineRule="atLeast"/>
              <w:jc w:val="center"/>
              <w:rPr>
                <w:rFonts w:ascii="宋体"/>
                <w:bCs/>
                <w:color w:val="auto"/>
                <w:sz w:val="22"/>
                <w:szCs w:val="22"/>
                <w:highlight w:val="none"/>
              </w:rPr>
            </w:pPr>
            <w:r>
              <w:rPr>
                <w:rFonts w:hint="eastAsia" w:ascii="宋体"/>
                <w:bCs/>
                <w:color w:val="auto"/>
                <w:sz w:val="22"/>
                <w:szCs w:val="22"/>
                <w:highlight w:val="none"/>
              </w:rPr>
              <w:t>评分标准</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3E870896">
            <w:pPr>
              <w:spacing w:line="160" w:lineRule="atLeast"/>
              <w:ind w:right="44" w:rightChars="21"/>
              <w:jc w:val="center"/>
              <w:rPr>
                <w:rFonts w:ascii="宋体"/>
                <w:bCs/>
                <w:color w:val="auto"/>
                <w:sz w:val="22"/>
                <w:szCs w:val="22"/>
                <w:highlight w:val="none"/>
              </w:rPr>
            </w:pPr>
            <w:r>
              <w:rPr>
                <w:rFonts w:hint="eastAsia" w:ascii="宋体"/>
                <w:bCs/>
                <w:color w:val="auto"/>
                <w:sz w:val="22"/>
                <w:szCs w:val="22"/>
                <w:highlight w:val="none"/>
              </w:rPr>
              <w:t>基本分</w:t>
            </w:r>
          </w:p>
        </w:tc>
      </w:tr>
      <w:tr w14:paraId="0DE99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527" w:type="dxa"/>
            <w:vMerge w:val="restart"/>
            <w:tcBorders>
              <w:top w:val="single" w:color="auto" w:sz="4" w:space="0"/>
              <w:left w:val="single" w:color="auto" w:sz="4" w:space="0"/>
              <w:right w:val="single" w:color="auto" w:sz="4" w:space="0"/>
            </w:tcBorders>
            <w:noWrap w:val="0"/>
            <w:vAlign w:val="center"/>
          </w:tcPr>
          <w:p w14:paraId="4B526246">
            <w:pPr>
              <w:spacing w:line="320" w:lineRule="exact"/>
              <w:jc w:val="center"/>
              <w:rPr>
                <w:rFonts w:ascii="宋体"/>
                <w:bCs/>
                <w:color w:val="auto"/>
                <w:sz w:val="22"/>
                <w:szCs w:val="22"/>
                <w:highlight w:val="none"/>
              </w:rPr>
            </w:pPr>
            <w:r>
              <w:rPr>
                <w:rFonts w:hint="eastAsia" w:ascii="宋体"/>
                <w:bCs/>
                <w:color w:val="auto"/>
                <w:sz w:val="22"/>
                <w:szCs w:val="22"/>
                <w:highlight w:val="none"/>
              </w:rPr>
              <w:t>环境卫生</w:t>
            </w:r>
          </w:p>
        </w:tc>
        <w:tc>
          <w:tcPr>
            <w:tcW w:w="9574" w:type="dxa"/>
            <w:tcBorders>
              <w:top w:val="single" w:color="auto" w:sz="4" w:space="0"/>
              <w:left w:val="single" w:color="auto" w:sz="4" w:space="0"/>
              <w:bottom w:val="single" w:color="auto" w:sz="4" w:space="0"/>
              <w:right w:val="single" w:color="auto" w:sz="4" w:space="0"/>
            </w:tcBorders>
            <w:noWrap w:val="0"/>
            <w:vAlign w:val="center"/>
          </w:tcPr>
          <w:p w14:paraId="4B2E4C17">
            <w:pPr>
              <w:spacing w:line="160" w:lineRule="atLeast"/>
              <w:rPr>
                <w:rFonts w:ascii="宋体"/>
                <w:bCs/>
                <w:color w:val="auto"/>
                <w:sz w:val="22"/>
                <w:highlight w:val="none"/>
              </w:rPr>
            </w:pPr>
            <w:r>
              <w:rPr>
                <w:rFonts w:hint="eastAsia" w:ascii="宋体"/>
                <w:bCs/>
                <w:color w:val="auto"/>
                <w:sz w:val="22"/>
                <w:highlight w:val="none"/>
              </w:rPr>
              <w:t>1、地面、下水道、明沟积有污水、污物；</w:t>
            </w:r>
            <w:r>
              <w:rPr>
                <w:rFonts w:ascii="宋体"/>
                <w:bCs/>
                <w:color w:val="auto"/>
                <w:sz w:val="22"/>
                <w:highlight w:val="none"/>
              </w:rPr>
              <w:t xml:space="preserve"> </w:t>
            </w:r>
          </w:p>
        </w:tc>
        <w:tc>
          <w:tcPr>
            <w:tcW w:w="2933" w:type="dxa"/>
            <w:tcBorders>
              <w:top w:val="single" w:color="auto" w:sz="4" w:space="0"/>
              <w:left w:val="single" w:color="auto" w:sz="4" w:space="0"/>
              <w:bottom w:val="single" w:color="auto" w:sz="4" w:space="0"/>
              <w:right w:val="single" w:color="auto" w:sz="4" w:space="0"/>
            </w:tcBorders>
            <w:noWrap w:val="0"/>
            <w:vAlign w:val="center"/>
          </w:tcPr>
          <w:p w14:paraId="4CCB8467">
            <w:pPr>
              <w:spacing w:line="160" w:lineRule="atLeast"/>
              <w:ind w:right="141" w:rightChars="67"/>
              <w:rPr>
                <w:rFonts w:ascii="宋体"/>
                <w:bCs/>
                <w:color w:val="auto"/>
                <w:sz w:val="22"/>
                <w:szCs w:val="22"/>
                <w:highlight w:val="none"/>
              </w:rPr>
            </w:pPr>
            <w:r>
              <w:rPr>
                <w:rFonts w:hint="eastAsia" w:ascii="宋体"/>
                <w:bCs/>
                <w:color w:val="auto"/>
                <w:sz w:val="22"/>
                <w:szCs w:val="22"/>
                <w:highlight w:val="none"/>
              </w:rPr>
              <w:t>发现一次扣0.5分，</w:t>
            </w:r>
          </w:p>
          <w:p w14:paraId="317B023E">
            <w:pPr>
              <w:spacing w:line="160" w:lineRule="atLeast"/>
              <w:ind w:right="141" w:rightChars="67"/>
              <w:rPr>
                <w:rFonts w:ascii="宋体"/>
                <w:bCs/>
                <w:color w:val="auto"/>
                <w:sz w:val="22"/>
                <w:szCs w:val="22"/>
                <w:highlight w:val="none"/>
              </w:rPr>
            </w:pPr>
            <w:r>
              <w:rPr>
                <w:rFonts w:hint="eastAsia" w:ascii="宋体"/>
                <w:bCs/>
                <w:color w:val="auto"/>
                <w:sz w:val="22"/>
                <w:szCs w:val="22"/>
                <w:highlight w:val="none"/>
              </w:rPr>
              <w:t>若脏物较多可扣1-2分；</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5EFB8A98">
            <w:pPr>
              <w:spacing w:line="160" w:lineRule="atLeast"/>
              <w:ind w:right="44" w:rightChars="21"/>
              <w:jc w:val="center"/>
              <w:rPr>
                <w:rFonts w:ascii="宋体"/>
                <w:bCs/>
                <w:color w:val="auto"/>
                <w:sz w:val="22"/>
                <w:szCs w:val="22"/>
                <w:highlight w:val="none"/>
              </w:rPr>
            </w:pPr>
            <w:r>
              <w:rPr>
                <w:rFonts w:hint="eastAsia" w:ascii="宋体"/>
                <w:bCs/>
                <w:color w:val="auto"/>
                <w:sz w:val="22"/>
                <w:szCs w:val="22"/>
                <w:highlight w:val="none"/>
              </w:rPr>
              <w:t>2分</w:t>
            </w:r>
          </w:p>
        </w:tc>
      </w:tr>
      <w:tr w14:paraId="66B4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527" w:type="dxa"/>
            <w:vMerge w:val="continue"/>
            <w:tcBorders>
              <w:left w:val="single" w:color="auto" w:sz="4" w:space="0"/>
              <w:right w:val="single" w:color="auto" w:sz="4" w:space="0"/>
            </w:tcBorders>
            <w:noWrap w:val="0"/>
            <w:vAlign w:val="center"/>
          </w:tcPr>
          <w:p w14:paraId="33B02266">
            <w:pPr>
              <w:widowControl/>
              <w:jc w:val="left"/>
              <w:rPr>
                <w:rFonts w:ascii="宋体"/>
                <w:bCs/>
                <w:color w:val="auto"/>
                <w:sz w:val="22"/>
                <w:szCs w:val="22"/>
                <w:highlight w:val="none"/>
              </w:rPr>
            </w:pPr>
          </w:p>
        </w:tc>
        <w:tc>
          <w:tcPr>
            <w:tcW w:w="9574" w:type="dxa"/>
            <w:tcBorders>
              <w:top w:val="single" w:color="auto" w:sz="4" w:space="0"/>
              <w:left w:val="single" w:color="auto" w:sz="4" w:space="0"/>
              <w:bottom w:val="single" w:color="auto" w:sz="4" w:space="0"/>
              <w:right w:val="single" w:color="auto" w:sz="4" w:space="0"/>
            </w:tcBorders>
            <w:noWrap w:val="0"/>
            <w:vAlign w:val="center"/>
          </w:tcPr>
          <w:p w14:paraId="55B242A8">
            <w:pPr>
              <w:spacing w:line="160" w:lineRule="atLeast"/>
              <w:rPr>
                <w:rFonts w:ascii="宋体"/>
                <w:bCs/>
                <w:color w:val="auto"/>
                <w:sz w:val="22"/>
                <w:highlight w:val="none"/>
              </w:rPr>
            </w:pPr>
            <w:r>
              <w:rPr>
                <w:rFonts w:hint="eastAsia" w:ascii="宋体"/>
                <w:bCs/>
                <w:color w:val="auto"/>
                <w:sz w:val="22"/>
                <w:highlight w:val="none"/>
              </w:rPr>
              <w:t>2、墙壁、门窗、天花板有积尘、油污、蜘蛛网；</w:t>
            </w:r>
          </w:p>
        </w:tc>
        <w:tc>
          <w:tcPr>
            <w:tcW w:w="2933" w:type="dxa"/>
            <w:tcBorders>
              <w:top w:val="single" w:color="auto" w:sz="4" w:space="0"/>
              <w:left w:val="single" w:color="auto" w:sz="4" w:space="0"/>
              <w:bottom w:val="single" w:color="auto" w:sz="4" w:space="0"/>
              <w:right w:val="single" w:color="auto" w:sz="4" w:space="0"/>
            </w:tcBorders>
            <w:noWrap w:val="0"/>
            <w:vAlign w:val="center"/>
          </w:tcPr>
          <w:p w14:paraId="4AABC753">
            <w:pPr>
              <w:spacing w:line="160" w:lineRule="atLeast"/>
              <w:ind w:right="141" w:rightChars="67"/>
              <w:rPr>
                <w:rFonts w:ascii="宋体"/>
                <w:bCs/>
                <w:color w:val="auto"/>
                <w:sz w:val="22"/>
                <w:szCs w:val="22"/>
                <w:highlight w:val="none"/>
              </w:rPr>
            </w:pPr>
            <w:r>
              <w:rPr>
                <w:rFonts w:hint="eastAsia" w:ascii="宋体"/>
                <w:bCs/>
                <w:color w:val="auto"/>
                <w:sz w:val="22"/>
                <w:szCs w:val="22"/>
                <w:highlight w:val="none"/>
              </w:rPr>
              <w:t>发现一次扣0.5分</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48CD041C">
            <w:pPr>
              <w:spacing w:line="160" w:lineRule="atLeast"/>
              <w:ind w:right="44" w:rightChars="21"/>
              <w:jc w:val="center"/>
              <w:rPr>
                <w:rFonts w:ascii="宋体"/>
                <w:bCs/>
                <w:color w:val="auto"/>
                <w:sz w:val="22"/>
                <w:szCs w:val="22"/>
                <w:highlight w:val="none"/>
              </w:rPr>
            </w:pPr>
            <w:r>
              <w:rPr>
                <w:rFonts w:hint="eastAsia" w:ascii="宋体"/>
                <w:bCs/>
                <w:color w:val="auto"/>
                <w:sz w:val="22"/>
                <w:szCs w:val="22"/>
                <w:highlight w:val="none"/>
              </w:rPr>
              <w:t>2分</w:t>
            </w:r>
          </w:p>
        </w:tc>
      </w:tr>
      <w:tr w14:paraId="78F63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527" w:type="dxa"/>
            <w:vMerge w:val="continue"/>
            <w:tcBorders>
              <w:left w:val="single" w:color="auto" w:sz="4" w:space="0"/>
              <w:right w:val="single" w:color="auto" w:sz="4" w:space="0"/>
            </w:tcBorders>
            <w:noWrap w:val="0"/>
            <w:vAlign w:val="center"/>
          </w:tcPr>
          <w:p w14:paraId="28070EA0">
            <w:pPr>
              <w:widowControl/>
              <w:jc w:val="left"/>
              <w:rPr>
                <w:rFonts w:ascii="宋体"/>
                <w:bCs/>
                <w:color w:val="auto"/>
                <w:sz w:val="22"/>
                <w:szCs w:val="22"/>
                <w:highlight w:val="none"/>
              </w:rPr>
            </w:pPr>
          </w:p>
        </w:tc>
        <w:tc>
          <w:tcPr>
            <w:tcW w:w="9574" w:type="dxa"/>
            <w:tcBorders>
              <w:top w:val="single" w:color="auto" w:sz="4" w:space="0"/>
              <w:left w:val="single" w:color="auto" w:sz="4" w:space="0"/>
              <w:bottom w:val="single" w:color="auto" w:sz="4" w:space="0"/>
              <w:right w:val="single" w:color="auto" w:sz="4" w:space="0"/>
            </w:tcBorders>
            <w:noWrap w:val="0"/>
            <w:vAlign w:val="center"/>
          </w:tcPr>
          <w:p w14:paraId="1CB87FCA">
            <w:pPr>
              <w:spacing w:line="160" w:lineRule="atLeast"/>
              <w:rPr>
                <w:rFonts w:ascii="宋体"/>
                <w:bCs/>
                <w:color w:val="auto"/>
                <w:sz w:val="22"/>
                <w:szCs w:val="22"/>
                <w:highlight w:val="none"/>
              </w:rPr>
            </w:pPr>
            <w:r>
              <w:rPr>
                <w:rFonts w:hint="eastAsia" w:ascii="宋体"/>
                <w:bCs/>
                <w:color w:val="auto"/>
                <w:sz w:val="22"/>
                <w:szCs w:val="22"/>
                <w:highlight w:val="none"/>
              </w:rPr>
              <w:t>3、有关设备、设施、用具等没有保持卫生清洁，有污渍</w:t>
            </w:r>
          </w:p>
        </w:tc>
        <w:tc>
          <w:tcPr>
            <w:tcW w:w="2933" w:type="dxa"/>
            <w:tcBorders>
              <w:top w:val="single" w:color="auto" w:sz="4" w:space="0"/>
              <w:left w:val="single" w:color="auto" w:sz="4" w:space="0"/>
              <w:bottom w:val="single" w:color="auto" w:sz="4" w:space="0"/>
              <w:right w:val="single" w:color="auto" w:sz="4" w:space="0"/>
            </w:tcBorders>
            <w:noWrap w:val="0"/>
            <w:vAlign w:val="center"/>
          </w:tcPr>
          <w:p w14:paraId="48BCD495">
            <w:pPr>
              <w:spacing w:line="160" w:lineRule="atLeast"/>
              <w:ind w:right="141" w:rightChars="67"/>
              <w:rPr>
                <w:rFonts w:ascii="宋体"/>
                <w:bCs/>
                <w:color w:val="auto"/>
                <w:sz w:val="22"/>
                <w:szCs w:val="22"/>
                <w:highlight w:val="none"/>
              </w:rPr>
            </w:pPr>
            <w:r>
              <w:rPr>
                <w:rFonts w:hint="eastAsia" w:ascii="宋体"/>
                <w:bCs/>
                <w:color w:val="auto"/>
                <w:sz w:val="22"/>
                <w:szCs w:val="22"/>
                <w:highlight w:val="none"/>
              </w:rPr>
              <w:t>发现一次扣0.5分</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5FE322E5">
            <w:pPr>
              <w:spacing w:line="160" w:lineRule="atLeast"/>
              <w:ind w:right="44" w:rightChars="21"/>
              <w:jc w:val="center"/>
              <w:rPr>
                <w:rFonts w:ascii="宋体"/>
                <w:bCs/>
                <w:color w:val="auto"/>
                <w:sz w:val="22"/>
                <w:szCs w:val="22"/>
                <w:highlight w:val="none"/>
              </w:rPr>
            </w:pPr>
            <w:r>
              <w:rPr>
                <w:rFonts w:hint="eastAsia" w:ascii="宋体"/>
                <w:bCs/>
                <w:color w:val="auto"/>
                <w:sz w:val="22"/>
                <w:szCs w:val="22"/>
                <w:highlight w:val="none"/>
              </w:rPr>
              <w:t>2分</w:t>
            </w:r>
          </w:p>
        </w:tc>
      </w:tr>
      <w:tr w14:paraId="428B2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527" w:type="dxa"/>
            <w:vMerge w:val="continue"/>
            <w:tcBorders>
              <w:left w:val="single" w:color="auto" w:sz="4" w:space="0"/>
              <w:right w:val="single" w:color="auto" w:sz="4" w:space="0"/>
            </w:tcBorders>
            <w:noWrap w:val="0"/>
            <w:vAlign w:val="center"/>
          </w:tcPr>
          <w:p w14:paraId="22085E3C">
            <w:pPr>
              <w:widowControl/>
              <w:jc w:val="left"/>
              <w:rPr>
                <w:rFonts w:ascii="宋体"/>
                <w:bCs/>
                <w:color w:val="auto"/>
                <w:sz w:val="22"/>
                <w:szCs w:val="22"/>
                <w:highlight w:val="none"/>
              </w:rPr>
            </w:pPr>
          </w:p>
        </w:tc>
        <w:tc>
          <w:tcPr>
            <w:tcW w:w="9574" w:type="dxa"/>
            <w:tcBorders>
              <w:top w:val="single" w:color="auto" w:sz="4" w:space="0"/>
              <w:left w:val="single" w:color="auto" w:sz="4" w:space="0"/>
              <w:bottom w:val="single" w:color="auto" w:sz="4" w:space="0"/>
              <w:right w:val="single" w:color="auto" w:sz="4" w:space="0"/>
            </w:tcBorders>
            <w:noWrap w:val="0"/>
            <w:vAlign w:val="center"/>
          </w:tcPr>
          <w:p w14:paraId="4791575B">
            <w:pPr>
              <w:spacing w:line="120" w:lineRule="atLeast"/>
              <w:rPr>
                <w:rFonts w:ascii="宋体"/>
                <w:bCs/>
                <w:color w:val="auto"/>
                <w:sz w:val="22"/>
                <w:szCs w:val="22"/>
                <w:highlight w:val="none"/>
              </w:rPr>
            </w:pPr>
            <w:r>
              <w:rPr>
                <w:rFonts w:hint="eastAsia" w:ascii="宋体"/>
                <w:bCs/>
                <w:color w:val="auto"/>
                <w:sz w:val="22"/>
                <w:szCs w:val="22"/>
                <w:highlight w:val="none"/>
              </w:rPr>
              <w:t>4、餐具未做好清洗、消毒等工作</w:t>
            </w:r>
          </w:p>
        </w:tc>
        <w:tc>
          <w:tcPr>
            <w:tcW w:w="2933" w:type="dxa"/>
            <w:tcBorders>
              <w:top w:val="single" w:color="auto" w:sz="4" w:space="0"/>
              <w:left w:val="single" w:color="auto" w:sz="4" w:space="0"/>
              <w:bottom w:val="single" w:color="auto" w:sz="4" w:space="0"/>
              <w:right w:val="single" w:color="auto" w:sz="4" w:space="0"/>
            </w:tcBorders>
            <w:noWrap w:val="0"/>
            <w:vAlign w:val="center"/>
          </w:tcPr>
          <w:p w14:paraId="3653DC38">
            <w:pPr>
              <w:spacing w:line="160" w:lineRule="atLeast"/>
              <w:ind w:right="141" w:rightChars="67"/>
              <w:rPr>
                <w:rFonts w:ascii="宋体"/>
                <w:bCs/>
                <w:color w:val="auto"/>
                <w:sz w:val="22"/>
                <w:szCs w:val="22"/>
                <w:highlight w:val="none"/>
              </w:rPr>
            </w:pPr>
            <w:r>
              <w:rPr>
                <w:rFonts w:hint="eastAsia" w:ascii="宋体"/>
                <w:bCs/>
                <w:color w:val="auto"/>
                <w:sz w:val="22"/>
                <w:szCs w:val="22"/>
                <w:highlight w:val="none"/>
              </w:rPr>
              <w:t>发现一次扣0.5分，情节严重可加倍扣分；</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2501910C">
            <w:pPr>
              <w:spacing w:line="160" w:lineRule="atLeast"/>
              <w:ind w:right="44" w:rightChars="21"/>
              <w:jc w:val="center"/>
              <w:rPr>
                <w:rFonts w:ascii="宋体"/>
                <w:bCs/>
                <w:color w:val="auto"/>
                <w:sz w:val="22"/>
                <w:szCs w:val="22"/>
                <w:highlight w:val="none"/>
              </w:rPr>
            </w:pPr>
            <w:r>
              <w:rPr>
                <w:rFonts w:hint="eastAsia" w:ascii="宋体"/>
                <w:bCs/>
                <w:color w:val="auto"/>
                <w:sz w:val="22"/>
                <w:szCs w:val="22"/>
                <w:highlight w:val="none"/>
              </w:rPr>
              <w:t>2分</w:t>
            </w:r>
          </w:p>
        </w:tc>
      </w:tr>
      <w:tr w14:paraId="0D2B0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527" w:type="dxa"/>
            <w:vMerge w:val="continue"/>
            <w:tcBorders>
              <w:left w:val="single" w:color="auto" w:sz="4" w:space="0"/>
              <w:right w:val="single" w:color="auto" w:sz="4" w:space="0"/>
            </w:tcBorders>
            <w:noWrap w:val="0"/>
            <w:vAlign w:val="center"/>
          </w:tcPr>
          <w:p w14:paraId="6E380C61">
            <w:pPr>
              <w:widowControl/>
              <w:jc w:val="left"/>
              <w:rPr>
                <w:rFonts w:ascii="宋体"/>
                <w:bCs/>
                <w:color w:val="auto"/>
                <w:sz w:val="22"/>
                <w:szCs w:val="22"/>
                <w:highlight w:val="none"/>
              </w:rPr>
            </w:pPr>
          </w:p>
        </w:tc>
        <w:tc>
          <w:tcPr>
            <w:tcW w:w="9574" w:type="dxa"/>
            <w:tcBorders>
              <w:top w:val="single" w:color="auto" w:sz="4" w:space="0"/>
              <w:left w:val="single" w:color="auto" w:sz="4" w:space="0"/>
              <w:bottom w:val="single" w:color="auto" w:sz="4" w:space="0"/>
              <w:right w:val="single" w:color="auto" w:sz="4" w:space="0"/>
            </w:tcBorders>
            <w:noWrap w:val="0"/>
            <w:vAlign w:val="center"/>
          </w:tcPr>
          <w:p w14:paraId="4A627C46">
            <w:pPr>
              <w:spacing w:line="120" w:lineRule="atLeast"/>
              <w:rPr>
                <w:rFonts w:ascii="宋体"/>
                <w:bCs/>
                <w:color w:val="auto"/>
                <w:sz w:val="22"/>
                <w:szCs w:val="22"/>
                <w:highlight w:val="none"/>
              </w:rPr>
            </w:pPr>
            <w:r>
              <w:rPr>
                <w:rFonts w:hint="eastAsia" w:ascii="宋体"/>
                <w:bCs/>
                <w:color w:val="auto"/>
                <w:sz w:val="22"/>
                <w:szCs w:val="22"/>
                <w:highlight w:val="none"/>
              </w:rPr>
              <w:t>5、消毒后的餐饮具要求存放在保洁柜里，发现乱放，餐桌上摆放的餐饮用具不清洁光亮，有污迹</w:t>
            </w:r>
          </w:p>
        </w:tc>
        <w:tc>
          <w:tcPr>
            <w:tcW w:w="2933" w:type="dxa"/>
            <w:tcBorders>
              <w:top w:val="single" w:color="auto" w:sz="4" w:space="0"/>
              <w:left w:val="single" w:color="auto" w:sz="4" w:space="0"/>
              <w:bottom w:val="single" w:color="auto" w:sz="4" w:space="0"/>
              <w:right w:val="single" w:color="auto" w:sz="4" w:space="0"/>
            </w:tcBorders>
            <w:noWrap w:val="0"/>
            <w:vAlign w:val="center"/>
          </w:tcPr>
          <w:p w14:paraId="748A0D2B">
            <w:pPr>
              <w:spacing w:line="160" w:lineRule="atLeast"/>
              <w:ind w:right="141" w:rightChars="67"/>
              <w:rPr>
                <w:rFonts w:ascii="宋体"/>
                <w:bCs/>
                <w:color w:val="auto"/>
                <w:sz w:val="22"/>
                <w:szCs w:val="22"/>
                <w:highlight w:val="none"/>
              </w:rPr>
            </w:pPr>
            <w:r>
              <w:rPr>
                <w:rFonts w:hint="eastAsia" w:ascii="宋体"/>
                <w:bCs/>
                <w:color w:val="auto"/>
                <w:sz w:val="22"/>
                <w:szCs w:val="22"/>
                <w:highlight w:val="none"/>
              </w:rPr>
              <w:t>发现一次扣0.5分</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4C399E33">
            <w:pPr>
              <w:spacing w:line="160" w:lineRule="atLeast"/>
              <w:ind w:right="44" w:rightChars="21"/>
              <w:jc w:val="center"/>
              <w:rPr>
                <w:rFonts w:ascii="宋体"/>
                <w:bCs/>
                <w:color w:val="auto"/>
                <w:sz w:val="22"/>
                <w:szCs w:val="22"/>
                <w:highlight w:val="none"/>
              </w:rPr>
            </w:pPr>
            <w:r>
              <w:rPr>
                <w:rFonts w:hint="eastAsia" w:ascii="宋体"/>
                <w:bCs/>
                <w:color w:val="auto"/>
                <w:sz w:val="22"/>
                <w:szCs w:val="22"/>
                <w:highlight w:val="none"/>
              </w:rPr>
              <w:t>2分</w:t>
            </w:r>
          </w:p>
        </w:tc>
      </w:tr>
      <w:tr w14:paraId="1AF5B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527" w:type="dxa"/>
            <w:vMerge w:val="continue"/>
            <w:tcBorders>
              <w:left w:val="single" w:color="auto" w:sz="4" w:space="0"/>
              <w:right w:val="single" w:color="auto" w:sz="4" w:space="0"/>
            </w:tcBorders>
            <w:noWrap w:val="0"/>
            <w:vAlign w:val="center"/>
          </w:tcPr>
          <w:p w14:paraId="7A52296D">
            <w:pPr>
              <w:widowControl/>
              <w:jc w:val="left"/>
              <w:rPr>
                <w:rFonts w:ascii="宋体"/>
                <w:bCs/>
                <w:color w:val="auto"/>
                <w:sz w:val="22"/>
                <w:szCs w:val="22"/>
                <w:highlight w:val="none"/>
              </w:rPr>
            </w:pPr>
          </w:p>
        </w:tc>
        <w:tc>
          <w:tcPr>
            <w:tcW w:w="9574" w:type="dxa"/>
            <w:tcBorders>
              <w:top w:val="single" w:color="auto" w:sz="4" w:space="0"/>
              <w:left w:val="single" w:color="auto" w:sz="4" w:space="0"/>
              <w:bottom w:val="single" w:color="auto" w:sz="4" w:space="0"/>
              <w:right w:val="single" w:color="auto" w:sz="4" w:space="0"/>
            </w:tcBorders>
            <w:noWrap w:val="0"/>
            <w:vAlign w:val="center"/>
          </w:tcPr>
          <w:p w14:paraId="6E39EB48">
            <w:pPr>
              <w:spacing w:line="120" w:lineRule="atLeast"/>
              <w:rPr>
                <w:rFonts w:ascii="宋体"/>
                <w:bCs/>
                <w:color w:val="auto"/>
                <w:sz w:val="22"/>
                <w:szCs w:val="22"/>
                <w:highlight w:val="none"/>
              </w:rPr>
            </w:pPr>
            <w:r>
              <w:rPr>
                <w:rFonts w:hint="eastAsia" w:ascii="宋体"/>
                <w:bCs/>
                <w:color w:val="auto"/>
                <w:sz w:val="22"/>
                <w:szCs w:val="22"/>
                <w:highlight w:val="none"/>
              </w:rPr>
              <w:t>6、发现快餐盘、碗、筷子、汤勺等上面有油污、杂物，视情节轻重</w:t>
            </w:r>
          </w:p>
        </w:tc>
        <w:tc>
          <w:tcPr>
            <w:tcW w:w="2933" w:type="dxa"/>
            <w:tcBorders>
              <w:top w:val="single" w:color="auto" w:sz="4" w:space="0"/>
              <w:left w:val="single" w:color="auto" w:sz="4" w:space="0"/>
              <w:bottom w:val="single" w:color="auto" w:sz="4" w:space="0"/>
              <w:right w:val="single" w:color="auto" w:sz="4" w:space="0"/>
            </w:tcBorders>
            <w:noWrap w:val="0"/>
            <w:vAlign w:val="center"/>
          </w:tcPr>
          <w:p w14:paraId="64E3F06E">
            <w:pPr>
              <w:ind w:right="141" w:rightChars="67"/>
              <w:rPr>
                <w:bCs/>
                <w:color w:val="auto"/>
                <w:highlight w:val="none"/>
              </w:rPr>
            </w:pPr>
            <w:r>
              <w:rPr>
                <w:rFonts w:hint="eastAsia" w:ascii="宋体"/>
                <w:bCs/>
                <w:color w:val="auto"/>
                <w:sz w:val="22"/>
                <w:szCs w:val="22"/>
                <w:highlight w:val="none"/>
              </w:rPr>
              <w:t>发现一次扣0.5分</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6A7CA411">
            <w:pPr>
              <w:spacing w:line="120" w:lineRule="atLeast"/>
              <w:ind w:right="44" w:rightChars="21"/>
              <w:jc w:val="center"/>
              <w:rPr>
                <w:rFonts w:ascii="宋体"/>
                <w:bCs/>
                <w:color w:val="auto"/>
                <w:sz w:val="22"/>
                <w:szCs w:val="22"/>
                <w:highlight w:val="none"/>
              </w:rPr>
            </w:pPr>
            <w:r>
              <w:rPr>
                <w:rFonts w:hint="eastAsia" w:ascii="宋体"/>
                <w:bCs/>
                <w:color w:val="auto"/>
                <w:sz w:val="22"/>
                <w:szCs w:val="22"/>
                <w:highlight w:val="none"/>
              </w:rPr>
              <w:t>2分</w:t>
            </w:r>
          </w:p>
        </w:tc>
      </w:tr>
      <w:tr w14:paraId="1A675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527" w:type="dxa"/>
            <w:vMerge w:val="continue"/>
            <w:tcBorders>
              <w:left w:val="single" w:color="auto" w:sz="4" w:space="0"/>
              <w:right w:val="single" w:color="auto" w:sz="4" w:space="0"/>
            </w:tcBorders>
            <w:noWrap w:val="0"/>
            <w:vAlign w:val="center"/>
          </w:tcPr>
          <w:p w14:paraId="6D099031">
            <w:pPr>
              <w:widowControl/>
              <w:jc w:val="left"/>
              <w:rPr>
                <w:rFonts w:ascii="宋体"/>
                <w:bCs/>
                <w:color w:val="auto"/>
                <w:sz w:val="22"/>
                <w:szCs w:val="22"/>
                <w:highlight w:val="none"/>
              </w:rPr>
            </w:pPr>
          </w:p>
        </w:tc>
        <w:tc>
          <w:tcPr>
            <w:tcW w:w="9574" w:type="dxa"/>
            <w:tcBorders>
              <w:top w:val="single" w:color="auto" w:sz="4" w:space="0"/>
              <w:left w:val="single" w:color="auto" w:sz="4" w:space="0"/>
              <w:bottom w:val="single" w:color="auto" w:sz="4" w:space="0"/>
              <w:right w:val="single" w:color="auto" w:sz="4" w:space="0"/>
            </w:tcBorders>
            <w:noWrap w:val="0"/>
            <w:vAlign w:val="center"/>
          </w:tcPr>
          <w:p w14:paraId="07C5ABC4">
            <w:pPr>
              <w:spacing w:line="160" w:lineRule="atLeast"/>
              <w:rPr>
                <w:rFonts w:ascii="宋体"/>
                <w:bCs/>
                <w:color w:val="auto"/>
                <w:sz w:val="22"/>
                <w:szCs w:val="22"/>
                <w:highlight w:val="none"/>
              </w:rPr>
            </w:pPr>
            <w:r>
              <w:rPr>
                <w:rFonts w:hint="eastAsia" w:ascii="宋体"/>
                <w:bCs/>
                <w:color w:val="auto"/>
                <w:sz w:val="22"/>
                <w:szCs w:val="22"/>
                <w:highlight w:val="none"/>
              </w:rPr>
              <w:t>7、接触食品和窗口服务员工一律要求带卫生手套及口罩，擅自不戴</w:t>
            </w:r>
          </w:p>
        </w:tc>
        <w:tc>
          <w:tcPr>
            <w:tcW w:w="2933" w:type="dxa"/>
            <w:tcBorders>
              <w:top w:val="single" w:color="auto" w:sz="4" w:space="0"/>
              <w:left w:val="single" w:color="auto" w:sz="4" w:space="0"/>
              <w:bottom w:val="single" w:color="auto" w:sz="4" w:space="0"/>
              <w:right w:val="single" w:color="auto" w:sz="4" w:space="0"/>
            </w:tcBorders>
            <w:noWrap w:val="0"/>
            <w:vAlign w:val="center"/>
          </w:tcPr>
          <w:p w14:paraId="1B5AAB60">
            <w:pPr>
              <w:spacing w:line="160" w:lineRule="atLeast"/>
              <w:ind w:right="141" w:rightChars="67"/>
              <w:rPr>
                <w:rFonts w:ascii="宋体"/>
                <w:bCs/>
                <w:color w:val="auto"/>
                <w:sz w:val="22"/>
                <w:szCs w:val="22"/>
                <w:highlight w:val="none"/>
              </w:rPr>
            </w:pPr>
            <w:r>
              <w:rPr>
                <w:rFonts w:hint="eastAsia" w:ascii="宋体"/>
                <w:bCs/>
                <w:color w:val="auto"/>
                <w:sz w:val="22"/>
                <w:szCs w:val="22"/>
                <w:highlight w:val="none"/>
              </w:rPr>
              <w:t>发现一次扣1分</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656923D4">
            <w:pPr>
              <w:spacing w:line="160" w:lineRule="atLeast"/>
              <w:ind w:right="44" w:rightChars="21"/>
              <w:jc w:val="center"/>
              <w:rPr>
                <w:rFonts w:ascii="宋体"/>
                <w:bCs/>
                <w:color w:val="auto"/>
                <w:sz w:val="22"/>
                <w:szCs w:val="22"/>
                <w:highlight w:val="none"/>
              </w:rPr>
            </w:pPr>
            <w:r>
              <w:rPr>
                <w:rFonts w:hint="eastAsia" w:ascii="宋体"/>
                <w:bCs/>
                <w:color w:val="auto"/>
                <w:sz w:val="22"/>
                <w:szCs w:val="22"/>
                <w:highlight w:val="none"/>
              </w:rPr>
              <w:t>2分</w:t>
            </w:r>
          </w:p>
        </w:tc>
      </w:tr>
      <w:tr w14:paraId="5E210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527" w:type="dxa"/>
            <w:vMerge w:val="continue"/>
            <w:tcBorders>
              <w:left w:val="single" w:color="auto" w:sz="4" w:space="0"/>
              <w:right w:val="single" w:color="auto" w:sz="4" w:space="0"/>
            </w:tcBorders>
            <w:noWrap w:val="0"/>
            <w:vAlign w:val="center"/>
          </w:tcPr>
          <w:p w14:paraId="51AA0C8E">
            <w:pPr>
              <w:widowControl/>
              <w:jc w:val="left"/>
              <w:rPr>
                <w:rFonts w:ascii="宋体"/>
                <w:bCs/>
                <w:color w:val="auto"/>
                <w:sz w:val="22"/>
                <w:szCs w:val="22"/>
                <w:highlight w:val="none"/>
              </w:rPr>
            </w:pPr>
          </w:p>
        </w:tc>
        <w:tc>
          <w:tcPr>
            <w:tcW w:w="9574" w:type="dxa"/>
            <w:tcBorders>
              <w:top w:val="single" w:color="auto" w:sz="4" w:space="0"/>
              <w:left w:val="single" w:color="auto" w:sz="4" w:space="0"/>
              <w:bottom w:val="single" w:color="auto" w:sz="4" w:space="0"/>
              <w:right w:val="single" w:color="auto" w:sz="4" w:space="0"/>
            </w:tcBorders>
            <w:noWrap w:val="0"/>
            <w:vAlign w:val="center"/>
          </w:tcPr>
          <w:p w14:paraId="24994D9D">
            <w:pPr>
              <w:spacing w:line="160" w:lineRule="atLeast"/>
              <w:rPr>
                <w:rFonts w:ascii="宋体"/>
                <w:bCs/>
                <w:color w:val="auto"/>
                <w:sz w:val="22"/>
                <w:highlight w:val="none"/>
              </w:rPr>
            </w:pPr>
            <w:r>
              <w:rPr>
                <w:rFonts w:hint="eastAsia" w:ascii="宋体"/>
                <w:bCs/>
                <w:color w:val="auto"/>
                <w:sz w:val="22"/>
                <w:highlight w:val="none"/>
              </w:rPr>
              <w:t>8、员工的健康证和卫生知识培训合格证是否在有效期内，如发现过期还在使用</w:t>
            </w:r>
          </w:p>
        </w:tc>
        <w:tc>
          <w:tcPr>
            <w:tcW w:w="2933" w:type="dxa"/>
            <w:tcBorders>
              <w:top w:val="single" w:color="auto" w:sz="4" w:space="0"/>
              <w:left w:val="single" w:color="auto" w:sz="4" w:space="0"/>
              <w:bottom w:val="single" w:color="auto" w:sz="4" w:space="0"/>
              <w:right w:val="single" w:color="auto" w:sz="4" w:space="0"/>
            </w:tcBorders>
            <w:noWrap w:val="0"/>
            <w:vAlign w:val="center"/>
          </w:tcPr>
          <w:p w14:paraId="1655DD4E">
            <w:pPr>
              <w:spacing w:line="160" w:lineRule="atLeast"/>
              <w:ind w:right="141" w:rightChars="67"/>
              <w:rPr>
                <w:rFonts w:ascii="宋体"/>
                <w:bCs/>
                <w:color w:val="auto"/>
                <w:sz w:val="22"/>
                <w:szCs w:val="22"/>
                <w:highlight w:val="none"/>
              </w:rPr>
            </w:pPr>
            <w:r>
              <w:rPr>
                <w:rFonts w:hint="eastAsia" w:ascii="宋体"/>
                <w:bCs/>
                <w:color w:val="auto"/>
                <w:sz w:val="22"/>
                <w:szCs w:val="22"/>
                <w:highlight w:val="none"/>
              </w:rPr>
              <w:t>发现一次扣0.5分</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3FB79133">
            <w:pPr>
              <w:spacing w:line="160" w:lineRule="atLeast"/>
              <w:ind w:right="44" w:rightChars="21"/>
              <w:jc w:val="center"/>
              <w:rPr>
                <w:rFonts w:ascii="宋体"/>
                <w:bCs/>
                <w:color w:val="auto"/>
                <w:sz w:val="22"/>
                <w:szCs w:val="22"/>
                <w:highlight w:val="none"/>
              </w:rPr>
            </w:pPr>
            <w:r>
              <w:rPr>
                <w:rFonts w:hint="eastAsia" w:ascii="宋体"/>
                <w:bCs/>
                <w:color w:val="auto"/>
                <w:sz w:val="22"/>
                <w:szCs w:val="22"/>
                <w:highlight w:val="none"/>
              </w:rPr>
              <w:t>2分</w:t>
            </w:r>
          </w:p>
        </w:tc>
      </w:tr>
      <w:tr w14:paraId="70D77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527" w:type="dxa"/>
            <w:vMerge w:val="continue"/>
            <w:tcBorders>
              <w:left w:val="single" w:color="auto" w:sz="4" w:space="0"/>
              <w:right w:val="single" w:color="auto" w:sz="4" w:space="0"/>
            </w:tcBorders>
            <w:noWrap w:val="0"/>
            <w:vAlign w:val="center"/>
          </w:tcPr>
          <w:p w14:paraId="342A2B76">
            <w:pPr>
              <w:widowControl/>
              <w:jc w:val="left"/>
              <w:rPr>
                <w:rFonts w:ascii="宋体"/>
                <w:bCs/>
                <w:color w:val="auto"/>
                <w:sz w:val="22"/>
                <w:szCs w:val="22"/>
                <w:highlight w:val="none"/>
              </w:rPr>
            </w:pPr>
          </w:p>
        </w:tc>
        <w:tc>
          <w:tcPr>
            <w:tcW w:w="9574" w:type="dxa"/>
            <w:tcBorders>
              <w:top w:val="single" w:color="auto" w:sz="4" w:space="0"/>
              <w:left w:val="single" w:color="auto" w:sz="4" w:space="0"/>
              <w:bottom w:val="single" w:color="auto" w:sz="4" w:space="0"/>
              <w:right w:val="single" w:color="auto" w:sz="4" w:space="0"/>
            </w:tcBorders>
            <w:noWrap w:val="0"/>
            <w:vAlign w:val="center"/>
          </w:tcPr>
          <w:p w14:paraId="7640CE59">
            <w:pPr>
              <w:spacing w:line="320" w:lineRule="exact"/>
              <w:rPr>
                <w:rFonts w:ascii="宋体"/>
                <w:bCs/>
                <w:color w:val="auto"/>
                <w:sz w:val="22"/>
                <w:szCs w:val="22"/>
                <w:highlight w:val="none"/>
              </w:rPr>
            </w:pPr>
            <w:r>
              <w:rPr>
                <w:rFonts w:hint="eastAsia" w:ascii="宋体"/>
                <w:bCs/>
                <w:color w:val="auto"/>
                <w:sz w:val="22"/>
                <w:szCs w:val="22"/>
                <w:highlight w:val="none"/>
              </w:rPr>
              <w:t>9、没有按规定要求建立卫生台帐</w:t>
            </w:r>
          </w:p>
        </w:tc>
        <w:tc>
          <w:tcPr>
            <w:tcW w:w="2933" w:type="dxa"/>
            <w:tcBorders>
              <w:top w:val="single" w:color="auto" w:sz="4" w:space="0"/>
              <w:left w:val="single" w:color="auto" w:sz="4" w:space="0"/>
              <w:bottom w:val="single" w:color="auto" w:sz="4" w:space="0"/>
              <w:right w:val="single" w:color="auto" w:sz="4" w:space="0"/>
            </w:tcBorders>
            <w:noWrap w:val="0"/>
            <w:vAlign w:val="center"/>
          </w:tcPr>
          <w:p w14:paraId="57E0B837">
            <w:pPr>
              <w:spacing w:line="160" w:lineRule="atLeast"/>
              <w:ind w:right="141" w:rightChars="67"/>
              <w:rPr>
                <w:rFonts w:ascii="宋体"/>
                <w:bCs/>
                <w:color w:val="auto"/>
                <w:sz w:val="22"/>
                <w:szCs w:val="22"/>
                <w:highlight w:val="none"/>
              </w:rPr>
            </w:pPr>
            <w:r>
              <w:rPr>
                <w:rFonts w:hint="eastAsia" w:ascii="宋体"/>
                <w:bCs/>
                <w:color w:val="auto"/>
                <w:sz w:val="22"/>
                <w:szCs w:val="22"/>
                <w:highlight w:val="none"/>
              </w:rPr>
              <w:t>发现一次扣0.5分</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5ABCDAC9">
            <w:pPr>
              <w:spacing w:line="160" w:lineRule="atLeast"/>
              <w:ind w:right="44" w:rightChars="21"/>
              <w:jc w:val="center"/>
              <w:rPr>
                <w:rFonts w:ascii="宋体"/>
                <w:bCs/>
                <w:color w:val="auto"/>
                <w:sz w:val="22"/>
                <w:szCs w:val="22"/>
                <w:highlight w:val="none"/>
              </w:rPr>
            </w:pPr>
            <w:r>
              <w:rPr>
                <w:rFonts w:hint="eastAsia" w:ascii="宋体"/>
                <w:bCs/>
                <w:color w:val="auto"/>
                <w:sz w:val="22"/>
                <w:szCs w:val="22"/>
                <w:highlight w:val="none"/>
              </w:rPr>
              <w:t>1分</w:t>
            </w:r>
          </w:p>
        </w:tc>
      </w:tr>
      <w:tr w14:paraId="7506D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527" w:type="dxa"/>
            <w:vMerge w:val="continue"/>
            <w:tcBorders>
              <w:left w:val="single" w:color="auto" w:sz="4" w:space="0"/>
              <w:right w:val="single" w:color="auto" w:sz="4" w:space="0"/>
            </w:tcBorders>
            <w:noWrap w:val="0"/>
            <w:vAlign w:val="center"/>
          </w:tcPr>
          <w:p w14:paraId="2D748970">
            <w:pPr>
              <w:widowControl/>
              <w:jc w:val="left"/>
              <w:rPr>
                <w:rFonts w:ascii="宋体"/>
                <w:bCs/>
                <w:color w:val="auto"/>
                <w:sz w:val="22"/>
                <w:szCs w:val="22"/>
                <w:highlight w:val="none"/>
              </w:rPr>
            </w:pPr>
          </w:p>
        </w:tc>
        <w:tc>
          <w:tcPr>
            <w:tcW w:w="9574" w:type="dxa"/>
            <w:tcBorders>
              <w:top w:val="single" w:color="auto" w:sz="4" w:space="0"/>
              <w:left w:val="single" w:color="auto" w:sz="4" w:space="0"/>
              <w:bottom w:val="single" w:color="auto" w:sz="4" w:space="0"/>
              <w:right w:val="single" w:color="auto" w:sz="4" w:space="0"/>
            </w:tcBorders>
            <w:noWrap w:val="0"/>
            <w:vAlign w:val="center"/>
          </w:tcPr>
          <w:p w14:paraId="35836571">
            <w:pPr>
              <w:spacing w:line="160" w:lineRule="atLeast"/>
              <w:rPr>
                <w:rFonts w:ascii="宋体"/>
                <w:bCs/>
                <w:color w:val="auto"/>
                <w:sz w:val="22"/>
                <w:szCs w:val="22"/>
                <w:highlight w:val="none"/>
              </w:rPr>
            </w:pPr>
            <w:r>
              <w:rPr>
                <w:rFonts w:hint="eastAsia" w:ascii="宋体"/>
                <w:bCs/>
                <w:color w:val="auto"/>
                <w:sz w:val="22"/>
                <w:szCs w:val="22"/>
                <w:highlight w:val="none"/>
              </w:rPr>
              <w:t>10、各种盛调味品的容器没有按要求做到及时定期清洗</w:t>
            </w:r>
          </w:p>
        </w:tc>
        <w:tc>
          <w:tcPr>
            <w:tcW w:w="2933" w:type="dxa"/>
            <w:tcBorders>
              <w:top w:val="single" w:color="auto" w:sz="4" w:space="0"/>
              <w:left w:val="single" w:color="auto" w:sz="4" w:space="0"/>
              <w:bottom w:val="single" w:color="auto" w:sz="4" w:space="0"/>
              <w:right w:val="single" w:color="auto" w:sz="4" w:space="0"/>
            </w:tcBorders>
            <w:noWrap w:val="0"/>
            <w:vAlign w:val="center"/>
          </w:tcPr>
          <w:p w14:paraId="3D83BD70">
            <w:pPr>
              <w:spacing w:line="160" w:lineRule="atLeast"/>
              <w:ind w:right="141" w:rightChars="67"/>
              <w:rPr>
                <w:rFonts w:ascii="宋体"/>
                <w:bCs/>
                <w:color w:val="auto"/>
                <w:sz w:val="22"/>
                <w:szCs w:val="22"/>
                <w:highlight w:val="none"/>
              </w:rPr>
            </w:pPr>
            <w:r>
              <w:rPr>
                <w:rFonts w:hint="eastAsia" w:ascii="宋体"/>
                <w:bCs/>
                <w:color w:val="auto"/>
                <w:sz w:val="22"/>
                <w:szCs w:val="22"/>
                <w:highlight w:val="none"/>
              </w:rPr>
              <w:t>发现一次扣0.5分</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7351977C">
            <w:pPr>
              <w:spacing w:line="160" w:lineRule="atLeast"/>
              <w:ind w:right="44" w:rightChars="21"/>
              <w:jc w:val="center"/>
              <w:rPr>
                <w:rFonts w:ascii="宋体"/>
                <w:bCs/>
                <w:color w:val="auto"/>
                <w:sz w:val="22"/>
                <w:szCs w:val="22"/>
                <w:highlight w:val="none"/>
              </w:rPr>
            </w:pPr>
            <w:r>
              <w:rPr>
                <w:rFonts w:hint="eastAsia" w:ascii="宋体"/>
                <w:bCs/>
                <w:color w:val="auto"/>
                <w:sz w:val="22"/>
                <w:szCs w:val="22"/>
                <w:highlight w:val="none"/>
              </w:rPr>
              <w:t>2分</w:t>
            </w:r>
          </w:p>
        </w:tc>
      </w:tr>
      <w:tr w14:paraId="3F45A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527" w:type="dxa"/>
            <w:vMerge w:val="continue"/>
            <w:tcBorders>
              <w:left w:val="single" w:color="auto" w:sz="4" w:space="0"/>
              <w:right w:val="single" w:color="auto" w:sz="4" w:space="0"/>
            </w:tcBorders>
            <w:noWrap w:val="0"/>
            <w:vAlign w:val="center"/>
          </w:tcPr>
          <w:p w14:paraId="3D8AC944">
            <w:pPr>
              <w:widowControl/>
              <w:jc w:val="left"/>
              <w:rPr>
                <w:rFonts w:ascii="宋体"/>
                <w:bCs/>
                <w:color w:val="auto"/>
                <w:sz w:val="22"/>
                <w:szCs w:val="22"/>
                <w:highlight w:val="none"/>
              </w:rPr>
            </w:pPr>
          </w:p>
        </w:tc>
        <w:tc>
          <w:tcPr>
            <w:tcW w:w="9574" w:type="dxa"/>
            <w:tcBorders>
              <w:top w:val="single" w:color="auto" w:sz="4" w:space="0"/>
              <w:left w:val="single" w:color="auto" w:sz="4" w:space="0"/>
              <w:bottom w:val="single" w:color="auto" w:sz="4" w:space="0"/>
              <w:right w:val="single" w:color="auto" w:sz="4" w:space="0"/>
            </w:tcBorders>
            <w:noWrap w:val="0"/>
            <w:vAlign w:val="center"/>
          </w:tcPr>
          <w:p w14:paraId="375DE1F0">
            <w:pPr>
              <w:spacing w:line="160" w:lineRule="atLeast"/>
              <w:rPr>
                <w:rFonts w:ascii="宋体"/>
                <w:bCs/>
                <w:color w:val="auto"/>
                <w:sz w:val="22"/>
                <w:szCs w:val="22"/>
                <w:highlight w:val="none"/>
              </w:rPr>
            </w:pPr>
            <w:r>
              <w:rPr>
                <w:rFonts w:hint="eastAsia" w:ascii="宋体"/>
                <w:bCs/>
                <w:color w:val="auto"/>
                <w:sz w:val="22"/>
                <w:szCs w:val="22"/>
                <w:highlight w:val="none"/>
              </w:rPr>
              <w:t>11、其他未列的环境卫生问题</w:t>
            </w:r>
          </w:p>
        </w:tc>
        <w:tc>
          <w:tcPr>
            <w:tcW w:w="2933" w:type="dxa"/>
            <w:tcBorders>
              <w:top w:val="single" w:color="auto" w:sz="4" w:space="0"/>
              <w:left w:val="single" w:color="auto" w:sz="4" w:space="0"/>
              <w:bottom w:val="single" w:color="auto" w:sz="4" w:space="0"/>
              <w:right w:val="single" w:color="auto" w:sz="4" w:space="0"/>
            </w:tcBorders>
            <w:noWrap w:val="0"/>
            <w:vAlign w:val="center"/>
          </w:tcPr>
          <w:p w14:paraId="7389E3B1">
            <w:pPr>
              <w:spacing w:line="160" w:lineRule="atLeast"/>
              <w:ind w:right="141" w:rightChars="67"/>
              <w:rPr>
                <w:rFonts w:ascii="宋体"/>
                <w:bCs/>
                <w:color w:val="auto"/>
                <w:sz w:val="22"/>
                <w:szCs w:val="22"/>
                <w:highlight w:val="none"/>
              </w:rPr>
            </w:pPr>
            <w:r>
              <w:rPr>
                <w:rFonts w:hint="eastAsia" w:ascii="宋体"/>
                <w:bCs/>
                <w:color w:val="auto"/>
                <w:sz w:val="22"/>
                <w:szCs w:val="22"/>
                <w:highlight w:val="none"/>
              </w:rPr>
              <w:t>视情节酌情扣0.5-3分</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708A5FDF">
            <w:pPr>
              <w:spacing w:line="160" w:lineRule="atLeast"/>
              <w:ind w:right="44" w:rightChars="21"/>
              <w:jc w:val="center"/>
              <w:rPr>
                <w:rFonts w:ascii="宋体"/>
                <w:bCs/>
                <w:color w:val="auto"/>
                <w:sz w:val="22"/>
                <w:szCs w:val="22"/>
                <w:highlight w:val="none"/>
              </w:rPr>
            </w:pPr>
            <w:r>
              <w:rPr>
                <w:rFonts w:hint="eastAsia" w:ascii="宋体"/>
                <w:bCs/>
                <w:color w:val="auto"/>
                <w:sz w:val="22"/>
                <w:szCs w:val="22"/>
                <w:highlight w:val="none"/>
              </w:rPr>
              <w:t>3分</w:t>
            </w:r>
          </w:p>
        </w:tc>
      </w:tr>
      <w:tr w14:paraId="4E9C9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14:paraId="5D7C8EF6">
            <w:pPr>
              <w:spacing w:line="320" w:lineRule="exact"/>
              <w:jc w:val="center"/>
              <w:rPr>
                <w:rFonts w:ascii="宋体"/>
                <w:bCs/>
                <w:color w:val="auto"/>
                <w:sz w:val="22"/>
                <w:szCs w:val="22"/>
                <w:highlight w:val="none"/>
              </w:rPr>
            </w:pPr>
            <w:r>
              <w:rPr>
                <w:rFonts w:hint="eastAsia" w:ascii="宋体"/>
                <w:bCs/>
                <w:color w:val="auto"/>
                <w:sz w:val="22"/>
                <w:szCs w:val="22"/>
                <w:highlight w:val="none"/>
              </w:rPr>
              <w:t>菜品加工</w:t>
            </w:r>
          </w:p>
        </w:tc>
        <w:tc>
          <w:tcPr>
            <w:tcW w:w="9574" w:type="dxa"/>
            <w:tcBorders>
              <w:top w:val="single" w:color="auto" w:sz="4" w:space="0"/>
              <w:left w:val="single" w:color="auto" w:sz="4" w:space="0"/>
              <w:bottom w:val="single" w:color="auto" w:sz="4" w:space="0"/>
              <w:right w:val="single" w:color="auto" w:sz="4" w:space="0"/>
            </w:tcBorders>
            <w:noWrap w:val="0"/>
            <w:vAlign w:val="center"/>
          </w:tcPr>
          <w:p w14:paraId="40B4C6E8">
            <w:pPr>
              <w:spacing w:line="160" w:lineRule="atLeast"/>
              <w:rPr>
                <w:rFonts w:ascii="宋体"/>
                <w:bCs/>
                <w:color w:val="auto"/>
                <w:sz w:val="22"/>
                <w:szCs w:val="22"/>
                <w:highlight w:val="none"/>
              </w:rPr>
            </w:pPr>
            <w:r>
              <w:rPr>
                <w:rFonts w:hint="eastAsia" w:ascii="宋体"/>
                <w:bCs/>
                <w:color w:val="auto"/>
                <w:sz w:val="22"/>
                <w:highlight w:val="none"/>
              </w:rPr>
              <w:t>1、荤、素食品没有按要求做到分池（定位）清洗；</w:t>
            </w:r>
          </w:p>
        </w:tc>
        <w:tc>
          <w:tcPr>
            <w:tcW w:w="2933" w:type="dxa"/>
            <w:tcBorders>
              <w:top w:val="single" w:color="auto" w:sz="4" w:space="0"/>
              <w:left w:val="single" w:color="auto" w:sz="4" w:space="0"/>
              <w:bottom w:val="single" w:color="auto" w:sz="4" w:space="0"/>
              <w:right w:val="single" w:color="auto" w:sz="4" w:space="0"/>
            </w:tcBorders>
            <w:noWrap w:val="0"/>
            <w:vAlign w:val="center"/>
          </w:tcPr>
          <w:p w14:paraId="3116FC57">
            <w:pPr>
              <w:spacing w:line="160" w:lineRule="atLeast"/>
              <w:ind w:right="141" w:rightChars="67"/>
              <w:rPr>
                <w:rFonts w:ascii="宋体"/>
                <w:bCs/>
                <w:color w:val="auto"/>
                <w:sz w:val="22"/>
                <w:szCs w:val="22"/>
                <w:highlight w:val="none"/>
              </w:rPr>
            </w:pPr>
            <w:r>
              <w:rPr>
                <w:rFonts w:hint="eastAsia" w:ascii="宋体"/>
                <w:bCs/>
                <w:color w:val="auto"/>
                <w:sz w:val="22"/>
                <w:szCs w:val="22"/>
                <w:highlight w:val="none"/>
              </w:rPr>
              <w:t>发现一次扣0.5分</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6613B638">
            <w:pPr>
              <w:spacing w:line="160" w:lineRule="atLeast"/>
              <w:ind w:right="44" w:rightChars="21"/>
              <w:jc w:val="center"/>
              <w:rPr>
                <w:rFonts w:ascii="宋体"/>
                <w:bCs/>
                <w:color w:val="auto"/>
                <w:sz w:val="22"/>
                <w:szCs w:val="22"/>
                <w:highlight w:val="none"/>
              </w:rPr>
            </w:pPr>
            <w:r>
              <w:rPr>
                <w:rFonts w:hint="eastAsia" w:ascii="宋体"/>
                <w:bCs/>
                <w:color w:val="auto"/>
                <w:sz w:val="22"/>
                <w:szCs w:val="22"/>
                <w:highlight w:val="none"/>
              </w:rPr>
              <w:t>1分</w:t>
            </w:r>
          </w:p>
        </w:tc>
      </w:tr>
      <w:tr w14:paraId="1680B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14:paraId="59B993D8">
            <w:pPr>
              <w:widowControl/>
              <w:jc w:val="left"/>
              <w:rPr>
                <w:rFonts w:ascii="宋体"/>
                <w:bCs/>
                <w:color w:val="auto"/>
                <w:sz w:val="22"/>
                <w:szCs w:val="22"/>
                <w:highlight w:val="none"/>
              </w:rPr>
            </w:pPr>
          </w:p>
        </w:tc>
        <w:tc>
          <w:tcPr>
            <w:tcW w:w="9574" w:type="dxa"/>
            <w:tcBorders>
              <w:top w:val="single" w:color="auto" w:sz="4" w:space="0"/>
              <w:left w:val="single" w:color="auto" w:sz="4" w:space="0"/>
              <w:bottom w:val="single" w:color="auto" w:sz="4" w:space="0"/>
              <w:right w:val="single" w:color="auto" w:sz="4" w:space="0"/>
            </w:tcBorders>
            <w:noWrap w:val="0"/>
            <w:vAlign w:val="center"/>
          </w:tcPr>
          <w:p w14:paraId="5733FD6D">
            <w:pPr>
              <w:spacing w:line="160" w:lineRule="atLeast"/>
              <w:rPr>
                <w:rFonts w:ascii="宋体"/>
                <w:bCs/>
                <w:color w:val="auto"/>
                <w:sz w:val="22"/>
                <w:szCs w:val="22"/>
                <w:highlight w:val="none"/>
              </w:rPr>
            </w:pPr>
            <w:r>
              <w:rPr>
                <w:rFonts w:hint="eastAsia" w:ascii="宋体"/>
                <w:bCs/>
                <w:color w:val="auto"/>
                <w:sz w:val="22"/>
                <w:highlight w:val="none"/>
              </w:rPr>
              <w:t>2、清洗后的食品不能接触地面；</w:t>
            </w:r>
          </w:p>
        </w:tc>
        <w:tc>
          <w:tcPr>
            <w:tcW w:w="2933" w:type="dxa"/>
            <w:tcBorders>
              <w:top w:val="single" w:color="auto" w:sz="4" w:space="0"/>
              <w:left w:val="single" w:color="auto" w:sz="4" w:space="0"/>
              <w:bottom w:val="single" w:color="auto" w:sz="4" w:space="0"/>
              <w:right w:val="single" w:color="auto" w:sz="4" w:space="0"/>
            </w:tcBorders>
            <w:noWrap w:val="0"/>
            <w:vAlign w:val="center"/>
          </w:tcPr>
          <w:p w14:paraId="61C21335">
            <w:pPr>
              <w:spacing w:line="160" w:lineRule="atLeast"/>
              <w:ind w:right="141" w:rightChars="67"/>
              <w:rPr>
                <w:rFonts w:ascii="宋体"/>
                <w:bCs/>
                <w:color w:val="auto"/>
                <w:sz w:val="22"/>
                <w:szCs w:val="22"/>
                <w:highlight w:val="none"/>
              </w:rPr>
            </w:pPr>
            <w:r>
              <w:rPr>
                <w:rFonts w:hint="eastAsia" w:ascii="宋体"/>
                <w:bCs/>
                <w:color w:val="auto"/>
                <w:sz w:val="22"/>
                <w:szCs w:val="22"/>
                <w:highlight w:val="none"/>
              </w:rPr>
              <w:t>发现一次扣0.5分</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6ACEFBBA">
            <w:pPr>
              <w:spacing w:line="160" w:lineRule="atLeast"/>
              <w:ind w:right="44" w:rightChars="21"/>
              <w:jc w:val="center"/>
              <w:rPr>
                <w:rFonts w:ascii="宋体"/>
                <w:bCs/>
                <w:color w:val="auto"/>
                <w:sz w:val="22"/>
                <w:szCs w:val="22"/>
                <w:highlight w:val="none"/>
              </w:rPr>
            </w:pPr>
            <w:r>
              <w:rPr>
                <w:rFonts w:hint="eastAsia" w:ascii="宋体"/>
                <w:bCs/>
                <w:color w:val="auto"/>
                <w:sz w:val="22"/>
                <w:szCs w:val="22"/>
                <w:highlight w:val="none"/>
              </w:rPr>
              <w:t>1分</w:t>
            </w:r>
          </w:p>
        </w:tc>
      </w:tr>
      <w:tr w14:paraId="05750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14:paraId="350E56AA">
            <w:pPr>
              <w:widowControl/>
              <w:jc w:val="left"/>
              <w:rPr>
                <w:rFonts w:ascii="宋体"/>
                <w:bCs/>
                <w:color w:val="auto"/>
                <w:sz w:val="22"/>
                <w:szCs w:val="22"/>
                <w:highlight w:val="none"/>
              </w:rPr>
            </w:pPr>
          </w:p>
        </w:tc>
        <w:tc>
          <w:tcPr>
            <w:tcW w:w="9574" w:type="dxa"/>
            <w:tcBorders>
              <w:top w:val="single" w:color="auto" w:sz="4" w:space="0"/>
              <w:left w:val="single" w:color="auto" w:sz="4" w:space="0"/>
              <w:bottom w:val="single" w:color="auto" w:sz="4" w:space="0"/>
              <w:right w:val="single" w:color="auto" w:sz="4" w:space="0"/>
            </w:tcBorders>
            <w:noWrap w:val="0"/>
            <w:vAlign w:val="center"/>
          </w:tcPr>
          <w:p w14:paraId="7DE16028">
            <w:pPr>
              <w:spacing w:line="160" w:lineRule="atLeast"/>
              <w:rPr>
                <w:rFonts w:ascii="宋体"/>
                <w:bCs/>
                <w:color w:val="auto"/>
                <w:sz w:val="22"/>
                <w:szCs w:val="22"/>
                <w:highlight w:val="none"/>
              </w:rPr>
            </w:pPr>
            <w:r>
              <w:rPr>
                <w:rFonts w:hint="eastAsia" w:ascii="宋体"/>
                <w:bCs/>
                <w:color w:val="auto"/>
                <w:sz w:val="22"/>
                <w:highlight w:val="none"/>
              </w:rPr>
              <w:t>3、加工生、熟食品的刀、砧板及盛器要分开，如发现混用；</w:t>
            </w:r>
          </w:p>
        </w:tc>
        <w:tc>
          <w:tcPr>
            <w:tcW w:w="2933" w:type="dxa"/>
            <w:tcBorders>
              <w:top w:val="single" w:color="auto" w:sz="4" w:space="0"/>
              <w:left w:val="single" w:color="auto" w:sz="4" w:space="0"/>
              <w:bottom w:val="single" w:color="auto" w:sz="4" w:space="0"/>
              <w:right w:val="single" w:color="auto" w:sz="4" w:space="0"/>
            </w:tcBorders>
            <w:noWrap w:val="0"/>
            <w:vAlign w:val="center"/>
          </w:tcPr>
          <w:p w14:paraId="0E00059E">
            <w:pPr>
              <w:spacing w:line="160" w:lineRule="atLeast"/>
              <w:ind w:right="141" w:rightChars="67"/>
              <w:rPr>
                <w:rFonts w:ascii="宋体"/>
                <w:bCs/>
                <w:color w:val="auto"/>
                <w:sz w:val="22"/>
                <w:szCs w:val="22"/>
                <w:highlight w:val="none"/>
              </w:rPr>
            </w:pPr>
            <w:r>
              <w:rPr>
                <w:rFonts w:hint="eastAsia" w:ascii="宋体"/>
                <w:bCs/>
                <w:color w:val="auto"/>
                <w:sz w:val="22"/>
                <w:szCs w:val="22"/>
                <w:highlight w:val="none"/>
              </w:rPr>
              <w:t>发现一次扣0.5分</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79B84244">
            <w:pPr>
              <w:spacing w:line="160" w:lineRule="atLeast"/>
              <w:ind w:right="44" w:rightChars="21"/>
              <w:jc w:val="center"/>
              <w:rPr>
                <w:rFonts w:ascii="宋体"/>
                <w:bCs/>
                <w:color w:val="auto"/>
                <w:sz w:val="22"/>
                <w:szCs w:val="22"/>
                <w:highlight w:val="none"/>
              </w:rPr>
            </w:pPr>
            <w:r>
              <w:rPr>
                <w:rFonts w:hint="eastAsia" w:ascii="宋体"/>
                <w:bCs/>
                <w:color w:val="auto"/>
                <w:sz w:val="22"/>
                <w:szCs w:val="22"/>
                <w:highlight w:val="none"/>
              </w:rPr>
              <w:t>1分</w:t>
            </w:r>
          </w:p>
        </w:tc>
      </w:tr>
      <w:tr w14:paraId="056C8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14:paraId="019A8383">
            <w:pPr>
              <w:widowControl/>
              <w:jc w:val="left"/>
              <w:rPr>
                <w:rFonts w:ascii="宋体"/>
                <w:bCs/>
                <w:color w:val="auto"/>
                <w:sz w:val="22"/>
                <w:szCs w:val="22"/>
                <w:highlight w:val="none"/>
              </w:rPr>
            </w:pPr>
          </w:p>
        </w:tc>
        <w:tc>
          <w:tcPr>
            <w:tcW w:w="9574" w:type="dxa"/>
            <w:tcBorders>
              <w:top w:val="single" w:color="auto" w:sz="4" w:space="0"/>
              <w:left w:val="single" w:color="auto" w:sz="4" w:space="0"/>
              <w:bottom w:val="single" w:color="auto" w:sz="4" w:space="0"/>
              <w:right w:val="single" w:color="auto" w:sz="4" w:space="0"/>
            </w:tcBorders>
            <w:noWrap w:val="0"/>
            <w:vAlign w:val="center"/>
          </w:tcPr>
          <w:p w14:paraId="5C06FB80">
            <w:pPr>
              <w:spacing w:line="160" w:lineRule="atLeast"/>
              <w:rPr>
                <w:rFonts w:ascii="宋体"/>
                <w:bCs/>
                <w:color w:val="auto"/>
                <w:sz w:val="22"/>
                <w:szCs w:val="22"/>
                <w:highlight w:val="none"/>
              </w:rPr>
            </w:pPr>
            <w:r>
              <w:rPr>
                <w:rFonts w:hint="eastAsia" w:ascii="宋体"/>
                <w:bCs/>
                <w:color w:val="auto"/>
                <w:sz w:val="22"/>
                <w:szCs w:val="22"/>
                <w:highlight w:val="none"/>
              </w:rPr>
              <w:t>4、配菜没有做到科学合理（要求做到色、香、味、形俱全）；</w:t>
            </w:r>
          </w:p>
        </w:tc>
        <w:tc>
          <w:tcPr>
            <w:tcW w:w="2933" w:type="dxa"/>
            <w:tcBorders>
              <w:top w:val="single" w:color="auto" w:sz="4" w:space="0"/>
              <w:left w:val="single" w:color="auto" w:sz="4" w:space="0"/>
              <w:bottom w:val="single" w:color="auto" w:sz="4" w:space="0"/>
              <w:right w:val="single" w:color="auto" w:sz="4" w:space="0"/>
            </w:tcBorders>
            <w:noWrap w:val="0"/>
            <w:vAlign w:val="center"/>
          </w:tcPr>
          <w:p w14:paraId="27F50299">
            <w:pPr>
              <w:spacing w:line="160" w:lineRule="atLeast"/>
              <w:ind w:right="141" w:rightChars="67"/>
              <w:rPr>
                <w:rFonts w:ascii="宋体"/>
                <w:bCs/>
                <w:color w:val="auto"/>
                <w:sz w:val="22"/>
                <w:szCs w:val="22"/>
                <w:highlight w:val="none"/>
              </w:rPr>
            </w:pPr>
            <w:r>
              <w:rPr>
                <w:rFonts w:hint="eastAsia" w:ascii="宋体"/>
                <w:bCs/>
                <w:color w:val="auto"/>
                <w:sz w:val="22"/>
                <w:szCs w:val="22"/>
                <w:highlight w:val="none"/>
              </w:rPr>
              <w:t>发现一次扣0.5分</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5A080962">
            <w:pPr>
              <w:spacing w:line="160" w:lineRule="atLeast"/>
              <w:ind w:right="44" w:rightChars="21"/>
              <w:jc w:val="center"/>
              <w:rPr>
                <w:rFonts w:ascii="宋体"/>
                <w:bCs/>
                <w:color w:val="auto"/>
                <w:sz w:val="22"/>
                <w:szCs w:val="22"/>
                <w:highlight w:val="none"/>
              </w:rPr>
            </w:pPr>
            <w:r>
              <w:rPr>
                <w:rFonts w:hint="eastAsia" w:ascii="宋体"/>
                <w:bCs/>
                <w:color w:val="auto"/>
                <w:sz w:val="22"/>
                <w:szCs w:val="22"/>
                <w:highlight w:val="none"/>
              </w:rPr>
              <w:t>3分</w:t>
            </w:r>
          </w:p>
        </w:tc>
      </w:tr>
      <w:tr w14:paraId="3A894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14:paraId="53ABFF3B">
            <w:pPr>
              <w:widowControl/>
              <w:jc w:val="left"/>
              <w:rPr>
                <w:rFonts w:ascii="宋体"/>
                <w:bCs/>
                <w:color w:val="auto"/>
                <w:sz w:val="22"/>
                <w:szCs w:val="22"/>
                <w:highlight w:val="none"/>
              </w:rPr>
            </w:pPr>
          </w:p>
        </w:tc>
        <w:tc>
          <w:tcPr>
            <w:tcW w:w="9574" w:type="dxa"/>
            <w:tcBorders>
              <w:top w:val="single" w:color="auto" w:sz="4" w:space="0"/>
              <w:left w:val="single" w:color="auto" w:sz="4" w:space="0"/>
              <w:bottom w:val="single" w:color="auto" w:sz="4" w:space="0"/>
              <w:right w:val="single" w:color="auto" w:sz="4" w:space="0"/>
            </w:tcBorders>
            <w:noWrap w:val="0"/>
            <w:vAlign w:val="center"/>
          </w:tcPr>
          <w:p w14:paraId="10C74D48">
            <w:pPr>
              <w:spacing w:line="160" w:lineRule="atLeast"/>
              <w:rPr>
                <w:rFonts w:ascii="宋体"/>
                <w:bCs/>
                <w:color w:val="auto"/>
                <w:sz w:val="22"/>
                <w:szCs w:val="22"/>
                <w:highlight w:val="none"/>
              </w:rPr>
            </w:pPr>
            <w:r>
              <w:rPr>
                <w:rFonts w:hint="eastAsia" w:ascii="宋体"/>
                <w:bCs/>
                <w:color w:val="auto"/>
                <w:sz w:val="22"/>
                <w:highlight w:val="none"/>
              </w:rPr>
              <w:t>5、热制食品必须烧熟煮透，加工半生不熟的，视情节轻重扣分；</w:t>
            </w:r>
          </w:p>
        </w:tc>
        <w:tc>
          <w:tcPr>
            <w:tcW w:w="2933" w:type="dxa"/>
            <w:tcBorders>
              <w:top w:val="single" w:color="auto" w:sz="4" w:space="0"/>
              <w:left w:val="single" w:color="auto" w:sz="4" w:space="0"/>
              <w:bottom w:val="single" w:color="auto" w:sz="4" w:space="0"/>
              <w:right w:val="single" w:color="auto" w:sz="4" w:space="0"/>
            </w:tcBorders>
            <w:noWrap w:val="0"/>
            <w:vAlign w:val="center"/>
          </w:tcPr>
          <w:p w14:paraId="5699F000">
            <w:pPr>
              <w:spacing w:line="160" w:lineRule="atLeast"/>
              <w:ind w:right="141" w:rightChars="67"/>
              <w:rPr>
                <w:rFonts w:ascii="宋体"/>
                <w:bCs/>
                <w:color w:val="auto"/>
                <w:sz w:val="22"/>
                <w:szCs w:val="22"/>
                <w:highlight w:val="none"/>
              </w:rPr>
            </w:pPr>
            <w:r>
              <w:rPr>
                <w:rFonts w:hint="eastAsia" w:ascii="宋体"/>
                <w:bCs/>
                <w:color w:val="auto"/>
                <w:sz w:val="22"/>
                <w:szCs w:val="22"/>
                <w:highlight w:val="none"/>
              </w:rPr>
              <w:t>发现一次扣1分</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7945587E">
            <w:pPr>
              <w:spacing w:line="160" w:lineRule="atLeast"/>
              <w:ind w:right="44" w:rightChars="21"/>
              <w:jc w:val="center"/>
              <w:rPr>
                <w:rFonts w:ascii="宋体"/>
                <w:bCs/>
                <w:color w:val="auto"/>
                <w:sz w:val="22"/>
                <w:szCs w:val="22"/>
                <w:highlight w:val="none"/>
              </w:rPr>
            </w:pPr>
            <w:r>
              <w:rPr>
                <w:rFonts w:hint="eastAsia" w:ascii="宋体"/>
                <w:bCs/>
                <w:color w:val="auto"/>
                <w:sz w:val="22"/>
                <w:szCs w:val="22"/>
                <w:highlight w:val="none"/>
              </w:rPr>
              <w:t>3分</w:t>
            </w:r>
          </w:p>
        </w:tc>
      </w:tr>
      <w:tr w14:paraId="364F4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14:paraId="0256E0D3">
            <w:pPr>
              <w:widowControl/>
              <w:jc w:val="left"/>
              <w:rPr>
                <w:rFonts w:ascii="宋体"/>
                <w:bCs/>
                <w:color w:val="auto"/>
                <w:sz w:val="22"/>
                <w:szCs w:val="22"/>
                <w:highlight w:val="none"/>
              </w:rPr>
            </w:pPr>
          </w:p>
        </w:tc>
        <w:tc>
          <w:tcPr>
            <w:tcW w:w="9574" w:type="dxa"/>
            <w:tcBorders>
              <w:top w:val="single" w:color="auto" w:sz="4" w:space="0"/>
              <w:left w:val="single" w:color="auto" w:sz="4" w:space="0"/>
              <w:bottom w:val="single" w:color="auto" w:sz="4" w:space="0"/>
              <w:right w:val="single" w:color="auto" w:sz="4" w:space="0"/>
            </w:tcBorders>
            <w:noWrap w:val="0"/>
            <w:vAlign w:val="center"/>
          </w:tcPr>
          <w:p w14:paraId="1A818789">
            <w:pPr>
              <w:spacing w:line="160" w:lineRule="atLeast"/>
              <w:rPr>
                <w:rFonts w:ascii="宋体"/>
                <w:bCs/>
                <w:color w:val="auto"/>
                <w:sz w:val="22"/>
                <w:szCs w:val="22"/>
                <w:highlight w:val="none"/>
              </w:rPr>
            </w:pPr>
            <w:r>
              <w:rPr>
                <w:rFonts w:hint="eastAsia" w:ascii="宋体"/>
                <w:bCs/>
                <w:color w:val="auto"/>
                <w:sz w:val="22"/>
                <w:szCs w:val="22"/>
                <w:highlight w:val="none"/>
              </w:rPr>
              <w:t>6、菜肴里或汤里、米饭里发现有杂物，按问题严重程度扣分</w:t>
            </w:r>
          </w:p>
        </w:tc>
        <w:tc>
          <w:tcPr>
            <w:tcW w:w="2933" w:type="dxa"/>
            <w:tcBorders>
              <w:top w:val="single" w:color="auto" w:sz="4" w:space="0"/>
              <w:left w:val="single" w:color="auto" w:sz="4" w:space="0"/>
              <w:bottom w:val="single" w:color="auto" w:sz="4" w:space="0"/>
              <w:right w:val="single" w:color="auto" w:sz="4" w:space="0"/>
            </w:tcBorders>
            <w:noWrap w:val="0"/>
            <w:vAlign w:val="center"/>
          </w:tcPr>
          <w:p w14:paraId="62A234D9">
            <w:pPr>
              <w:spacing w:line="160" w:lineRule="atLeast"/>
              <w:ind w:right="141" w:rightChars="67"/>
              <w:rPr>
                <w:rFonts w:ascii="宋体"/>
                <w:bCs/>
                <w:color w:val="auto"/>
                <w:sz w:val="22"/>
                <w:szCs w:val="22"/>
                <w:highlight w:val="none"/>
              </w:rPr>
            </w:pPr>
            <w:r>
              <w:rPr>
                <w:rFonts w:hint="eastAsia" w:ascii="宋体"/>
                <w:bCs/>
                <w:color w:val="auto"/>
                <w:sz w:val="22"/>
                <w:szCs w:val="22"/>
                <w:highlight w:val="none"/>
              </w:rPr>
              <w:t>发现一次扣1分</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2843E443">
            <w:pPr>
              <w:spacing w:line="160" w:lineRule="atLeast"/>
              <w:ind w:right="44" w:rightChars="21"/>
              <w:jc w:val="center"/>
              <w:rPr>
                <w:rFonts w:ascii="宋体"/>
                <w:bCs/>
                <w:color w:val="auto"/>
                <w:sz w:val="22"/>
                <w:szCs w:val="22"/>
                <w:highlight w:val="none"/>
              </w:rPr>
            </w:pPr>
            <w:r>
              <w:rPr>
                <w:rFonts w:hint="eastAsia" w:ascii="宋体"/>
                <w:bCs/>
                <w:color w:val="auto"/>
                <w:sz w:val="22"/>
                <w:szCs w:val="22"/>
                <w:highlight w:val="none"/>
              </w:rPr>
              <w:t>4分</w:t>
            </w:r>
          </w:p>
        </w:tc>
      </w:tr>
      <w:tr w14:paraId="60395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14:paraId="7D669ADB">
            <w:pPr>
              <w:widowControl/>
              <w:jc w:val="left"/>
              <w:rPr>
                <w:rFonts w:ascii="宋体"/>
                <w:bCs/>
                <w:color w:val="auto"/>
                <w:sz w:val="22"/>
                <w:szCs w:val="22"/>
                <w:highlight w:val="none"/>
              </w:rPr>
            </w:pPr>
          </w:p>
        </w:tc>
        <w:tc>
          <w:tcPr>
            <w:tcW w:w="9574" w:type="dxa"/>
            <w:tcBorders>
              <w:top w:val="single" w:color="auto" w:sz="4" w:space="0"/>
              <w:left w:val="single" w:color="auto" w:sz="4" w:space="0"/>
              <w:bottom w:val="single" w:color="auto" w:sz="4" w:space="0"/>
              <w:right w:val="single" w:color="auto" w:sz="4" w:space="0"/>
            </w:tcBorders>
            <w:noWrap w:val="0"/>
            <w:vAlign w:val="center"/>
          </w:tcPr>
          <w:p w14:paraId="720BE103">
            <w:pPr>
              <w:spacing w:line="160" w:lineRule="atLeast"/>
              <w:rPr>
                <w:rFonts w:hint="eastAsia" w:ascii="宋体"/>
                <w:bCs/>
                <w:color w:val="auto"/>
                <w:sz w:val="22"/>
                <w:szCs w:val="22"/>
                <w:highlight w:val="none"/>
              </w:rPr>
            </w:pPr>
            <w:r>
              <w:rPr>
                <w:rFonts w:hint="eastAsia" w:ascii="宋体"/>
                <w:bCs/>
                <w:color w:val="auto"/>
                <w:sz w:val="22"/>
                <w:szCs w:val="22"/>
                <w:highlight w:val="none"/>
              </w:rPr>
              <w:t>7、出产菜品品种达不到要求；</w:t>
            </w:r>
          </w:p>
        </w:tc>
        <w:tc>
          <w:tcPr>
            <w:tcW w:w="2933" w:type="dxa"/>
            <w:tcBorders>
              <w:top w:val="single" w:color="auto" w:sz="4" w:space="0"/>
              <w:left w:val="single" w:color="auto" w:sz="4" w:space="0"/>
              <w:bottom w:val="single" w:color="auto" w:sz="4" w:space="0"/>
              <w:right w:val="single" w:color="auto" w:sz="4" w:space="0"/>
            </w:tcBorders>
            <w:noWrap w:val="0"/>
            <w:vAlign w:val="center"/>
          </w:tcPr>
          <w:p w14:paraId="40C22EC8">
            <w:pPr>
              <w:spacing w:line="160" w:lineRule="atLeast"/>
              <w:ind w:right="141" w:rightChars="67"/>
              <w:rPr>
                <w:rFonts w:ascii="宋体"/>
                <w:bCs/>
                <w:color w:val="auto"/>
                <w:sz w:val="22"/>
                <w:szCs w:val="22"/>
                <w:highlight w:val="none"/>
              </w:rPr>
            </w:pPr>
            <w:r>
              <w:rPr>
                <w:rFonts w:hint="eastAsia" w:ascii="宋体"/>
                <w:bCs/>
                <w:color w:val="auto"/>
                <w:sz w:val="22"/>
                <w:szCs w:val="22"/>
                <w:highlight w:val="none"/>
              </w:rPr>
              <w:t>发现每少一个扣2分</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1CB762D0">
            <w:pPr>
              <w:spacing w:line="160" w:lineRule="atLeast"/>
              <w:ind w:right="44" w:rightChars="21"/>
              <w:jc w:val="center"/>
              <w:rPr>
                <w:rFonts w:ascii="宋体"/>
                <w:bCs/>
                <w:color w:val="auto"/>
                <w:sz w:val="22"/>
                <w:szCs w:val="22"/>
                <w:highlight w:val="none"/>
              </w:rPr>
            </w:pPr>
            <w:r>
              <w:rPr>
                <w:rFonts w:hint="eastAsia" w:ascii="宋体"/>
                <w:bCs/>
                <w:color w:val="auto"/>
                <w:sz w:val="22"/>
                <w:szCs w:val="22"/>
                <w:highlight w:val="none"/>
              </w:rPr>
              <w:t>4分</w:t>
            </w:r>
          </w:p>
        </w:tc>
      </w:tr>
      <w:tr w14:paraId="357B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14:paraId="0C2DFE06">
            <w:pPr>
              <w:widowControl/>
              <w:jc w:val="left"/>
              <w:rPr>
                <w:rFonts w:ascii="宋体"/>
                <w:bCs/>
                <w:color w:val="auto"/>
                <w:sz w:val="22"/>
                <w:szCs w:val="22"/>
                <w:highlight w:val="none"/>
              </w:rPr>
            </w:pPr>
          </w:p>
        </w:tc>
        <w:tc>
          <w:tcPr>
            <w:tcW w:w="9574" w:type="dxa"/>
            <w:tcBorders>
              <w:top w:val="single" w:color="auto" w:sz="4" w:space="0"/>
              <w:left w:val="single" w:color="auto" w:sz="4" w:space="0"/>
              <w:bottom w:val="single" w:color="auto" w:sz="4" w:space="0"/>
              <w:right w:val="single" w:color="auto" w:sz="4" w:space="0"/>
            </w:tcBorders>
            <w:noWrap w:val="0"/>
            <w:vAlign w:val="center"/>
          </w:tcPr>
          <w:p w14:paraId="6EA1ECC8">
            <w:pPr>
              <w:spacing w:line="160" w:lineRule="atLeast"/>
              <w:rPr>
                <w:rFonts w:ascii="宋体"/>
                <w:bCs/>
                <w:color w:val="auto"/>
                <w:sz w:val="22"/>
                <w:szCs w:val="22"/>
                <w:highlight w:val="none"/>
              </w:rPr>
            </w:pPr>
            <w:r>
              <w:rPr>
                <w:rFonts w:hint="eastAsia" w:ascii="宋体"/>
                <w:bCs/>
                <w:color w:val="auto"/>
                <w:sz w:val="22"/>
                <w:szCs w:val="22"/>
                <w:highlight w:val="none"/>
              </w:rPr>
              <w:t>8、其他未列的菜品加工问题</w:t>
            </w:r>
          </w:p>
        </w:tc>
        <w:tc>
          <w:tcPr>
            <w:tcW w:w="2933" w:type="dxa"/>
            <w:tcBorders>
              <w:top w:val="single" w:color="auto" w:sz="4" w:space="0"/>
              <w:left w:val="single" w:color="auto" w:sz="4" w:space="0"/>
              <w:bottom w:val="single" w:color="auto" w:sz="4" w:space="0"/>
              <w:right w:val="single" w:color="auto" w:sz="4" w:space="0"/>
            </w:tcBorders>
            <w:noWrap w:val="0"/>
            <w:vAlign w:val="center"/>
          </w:tcPr>
          <w:p w14:paraId="2DDD4634">
            <w:pPr>
              <w:spacing w:line="160" w:lineRule="atLeast"/>
              <w:ind w:right="141" w:rightChars="67"/>
              <w:rPr>
                <w:rFonts w:ascii="宋体"/>
                <w:bCs/>
                <w:color w:val="auto"/>
                <w:sz w:val="22"/>
                <w:szCs w:val="22"/>
                <w:highlight w:val="none"/>
              </w:rPr>
            </w:pPr>
            <w:r>
              <w:rPr>
                <w:rFonts w:hint="eastAsia" w:ascii="宋体"/>
                <w:bCs/>
                <w:color w:val="auto"/>
                <w:sz w:val="22"/>
                <w:szCs w:val="22"/>
                <w:highlight w:val="none"/>
              </w:rPr>
              <w:t>视情节酌情扣0.5-3分</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7F2B7761">
            <w:pPr>
              <w:spacing w:line="160" w:lineRule="atLeast"/>
              <w:ind w:right="44" w:rightChars="21"/>
              <w:jc w:val="center"/>
              <w:rPr>
                <w:rFonts w:ascii="宋体"/>
                <w:bCs/>
                <w:color w:val="auto"/>
                <w:sz w:val="22"/>
                <w:szCs w:val="22"/>
                <w:highlight w:val="none"/>
              </w:rPr>
            </w:pPr>
            <w:r>
              <w:rPr>
                <w:rFonts w:hint="eastAsia" w:ascii="宋体"/>
                <w:bCs/>
                <w:color w:val="auto"/>
                <w:sz w:val="22"/>
                <w:szCs w:val="22"/>
                <w:highlight w:val="none"/>
              </w:rPr>
              <w:t>3分</w:t>
            </w:r>
          </w:p>
        </w:tc>
      </w:tr>
      <w:tr w14:paraId="5BF9B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27" w:type="dxa"/>
            <w:vMerge w:val="restart"/>
            <w:tcBorders>
              <w:top w:val="single" w:color="auto" w:sz="4" w:space="0"/>
              <w:left w:val="single" w:color="auto" w:sz="4" w:space="0"/>
              <w:right w:val="single" w:color="auto" w:sz="4" w:space="0"/>
            </w:tcBorders>
            <w:noWrap w:val="0"/>
            <w:vAlign w:val="center"/>
          </w:tcPr>
          <w:p w14:paraId="5946BFD0">
            <w:pPr>
              <w:spacing w:line="320" w:lineRule="exact"/>
              <w:jc w:val="center"/>
              <w:rPr>
                <w:rFonts w:ascii="宋体"/>
                <w:bCs/>
                <w:color w:val="auto"/>
                <w:sz w:val="22"/>
                <w:szCs w:val="22"/>
                <w:highlight w:val="none"/>
              </w:rPr>
            </w:pPr>
            <w:r>
              <w:rPr>
                <w:rFonts w:hint="eastAsia" w:ascii="宋体"/>
                <w:bCs/>
                <w:color w:val="auto"/>
                <w:sz w:val="22"/>
                <w:szCs w:val="22"/>
                <w:highlight w:val="none"/>
              </w:rPr>
              <w:t xml:space="preserve">服务和管理 </w:t>
            </w:r>
          </w:p>
        </w:tc>
        <w:tc>
          <w:tcPr>
            <w:tcW w:w="9574" w:type="dxa"/>
            <w:tcBorders>
              <w:top w:val="single" w:color="auto" w:sz="4" w:space="0"/>
              <w:left w:val="single" w:color="auto" w:sz="4" w:space="0"/>
              <w:bottom w:val="single" w:color="auto" w:sz="4" w:space="0"/>
              <w:right w:val="single" w:color="auto" w:sz="4" w:space="0"/>
            </w:tcBorders>
            <w:noWrap w:val="0"/>
            <w:vAlign w:val="center"/>
          </w:tcPr>
          <w:p w14:paraId="163DCE9B">
            <w:pPr>
              <w:spacing w:line="160" w:lineRule="atLeast"/>
              <w:rPr>
                <w:rFonts w:ascii="宋体"/>
                <w:bCs/>
                <w:color w:val="auto"/>
                <w:sz w:val="22"/>
                <w:highlight w:val="none"/>
              </w:rPr>
            </w:pPr>
            <w:r>
              <w:rPr>
                <w:rFonts w:hint="eastAsia" w:ascii="宋体"/>
                <w:bCs/>
                <w:color w:val="auto"/>
                <w:sz w:val="22"/>
                <w:highlight w:val="none"/>
              </w:rPr>
              <w:t>1、工作人员着装不规范、服务礼仪不到位</w:t>
            </w:r>
          </w:p>
        </w:tc>
        <w:tc>
          <w:tcPr>
            <w:tcW w:w="2933" w:type="dxa"/>
            <w:tcBorders>
              <w:top w:val="single" w:color="auto" w:sz="4" w:space="0"/>
              <w:left w:val="single" w:color="auto" w:sz="4" w:space="0"/>
              <w:bottom w:val="single" w:color="auto" w:sz="4" w:space="0"/>
              <w:right w:val="single" w:color="auto" w:sz="4" w:space="0"/>
            </w:tcBorders>
            <w:noWrap w:val="0"/>
            <w:vAlign w:val="center"/>
          </w:tcPr>
          <w:p w14:paraId="31CD2953">
            <w:pPr>
              <w:spacing w:line="160" w:lineRule="atLeast"/>
              <w:ind w:right="141" w:rightChars="67"/>
              <w:rPr>
                <w:rFonts w:ascii="宋体"/>
                <w:bCs/>
                <w:color w:val="auto"/>
                <w:sz w:val="22"/>
                <w:szCs w:val="22"/>
                <w:highlight w:val="none"/>
              </w:rPr>
            </w:pPr>
            <w:r>
              <w:rPr>
                <w:rFonts w:hint="eastAsia" w:ascii="宋体"/>
                <w:bCs/>
                <w:color w:val="auto"/>
                <w:sz w:val="22"/>
                <w:szCs w:val="22"/>
                <w:highlight w:val="none"/>
              </w:rPr>
              <w:t>发现一次扣0.5分</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6632460C">
            <w:pPr>
              <w:spacing w:line="160" w:lineRule="atLeast"/>
              <w:ind w:right="44" w:rightChars="21"/>
              <w:jc w:val="center"/>
              <w:rPr>
                <w:rFonts w:ascii="宋体"/>
                <w:bCs/>
                <w:color w:val="auto"/>
                <w:sz w:val="22"/>
                <w:szCs w:val="22"/>
                <w:highlight w:val="none"/>
              </w:rPr>
            </w:pPr>
            <w:r>
              <w:rPr>
                <w:rFonts w:hint="eastAsia" w:ascii="宋体"/>
                <w:bCs/>
                <w:color w:val="auto"/>
                <w:sz w:val="22"/>
                <w:szCs w:val="22"/>
                <w:highlight w:val="none"/>
              </w:rPr>
              <w:t>2分</w:t>
            </w:r>
          </w:p>
        </w:tc>
      </w:tr>
      <w:tr w14:paraId="74364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27" w:type="dxa"/>
            <w:vMerge w:val="continue"/>
            <w:tcBorders>
              <w:left w:val="single" w:color="auto" w:sz="4" w:space="0"/>
              <w:right w:val="single" w:color="auto" w:sz="4" w:space="0"/>
            </w:tcBorders>
            <w:noWrap w:val="0"/>
            <w:vAlign w:val="center"/>
          </w:tcPr>
          <w:p w14:paraId="7930921D">
            <w:pPr>
              <w:spacing w:line="320" w:lineRule="exact"/>
              <w:jc w:val="center"/>
              <w:rPr>
                <w:rFonts w:ascii="宋体"/>
                <w:bCs/>
                <w:color w:val="auto"/>
                <w:sz w:val="22"/>
                <w:szCs w:val="22"/>
                <w:highlight w:val="none"/>
              </w:rPr>
            </w:pPr>
          </w:p>
        </w:tc>
        <w:tc>
          <w:tcPr>
            <w:tcW w:w="9574" w:type="dxa"/>
            <w:tcBorders>
              <w:top w:val="single" w:color="auto" w:sz="4" w:space="0"/>
              <w:left w:val="single" w:color="auto" w:sz="4" w:space="0"/>
              <w:bottom w:val="single" w:color="auto" w:sz="4" w:space="0"/>
              <w:right w:val="single" w:color="auto" w:sz="4" w:space="0"/>
            </w:tcBorders>
            <w:noWrap w:val="0"/>
            <w:vAlign w:val="center"/>
          </w:tcPr>
          <w:p w14:paraId="796FE65A">
            <w:pPr>
              <w:spacing w:line="160" w:lineRule="atLeast"/>
              <w:rPr>
                <w:rFonts w:ascii="宋体"/>
                <w:bCs/>
                <w:color w:val="auto"/>
                <w:sz w:val="22"/>
                <w:szCs w:val="22"/>
                <w:highlight w:val="none"/>
              </w:rPr>
            </w:pPr>
            <w:r>
              <w:rPr>
                <w:rFonts w:hint="eastAsia" w:ascii="宋体"/>
                <w:bCs/>
                <w:color w:val="auto"/>
                <w:sz w:val="22"/>
                <w:szCs w:val="22"/>
                <w:highlight w:val="none"/>
              </w:rPr>
              <w:t>2、要求定期对员工进行培训，新上岗的员工要求做到先培训后上岗，发现未经培训直接上岗</w:t>
            </w:r>
          </w:p>
        </w:tc>
        <w:tc>
          <w:tcPr>
            <w:tcW w:w="2933" w:type="dxa"/>
            <w:tcBorders>
              <w:top w:val="single" w:color="auto" w:sz="4" w:space="0"/>
              <w:left w:val="single" w:color="auto" w:sz="4" w:space="0"/>
              <w:bottom w:val="single" w:color="auto" w:sz="4" w:space="0"/>
              <w:right w:val="single" w:color="auto" w:sz="4" w:space="0"/>
            </w:tcBorders>
            <w:noWrap w:val="0"/>
            <w:vAlign w:val="center"/>
          </w:tcPr>
          <w:p w14:paraId="14D1863B">
            <w:pPr>
              <w:spacing w:line="160" w:lineRule="atLeast"/>
              <w:ind w:right="141" w:rightChars="67"/>
              <w:rPr>
                <w:rFonts w:ascii="宋体"/>
                <w:bCs/>
                <w:color w:val="auto"/>
                <w:sz w:val="22"/>
                <w:szCs w:val="22"/>
                <w:highlight w:val="none"/>
              </w:rPr>
            </w:pPr>
            <w:r>
              <w:rPr>
                <w:rFonts w:hint="eastAsia" w:ascii="宋体"/>
                <w:bCs/>
                <w:color w:val="auto"/>
                <w:sz w:val="22"/>
                <w:szCs w:val="22"/>
                <w:highlight w:val="none"/>
              </w:rPr>
              <w:t>发现一次扣0.5分</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1527C9DF">
            <w:pPr>
              <w:spacing w:line="160" w:lineRule="atLeast"/>
              <w:ind w:right="44" w:rightChars="21"/>
              <w:jc w:val="center"/>
              <w:rPr>
                <w:rFonts w:ascii="宋体"/>
                <w:bCs/>
                <w:color w:val="auto"/>
                <w:sz w:val="22"/>
                <w:szCs w:val="22"/>
                <w:highlight w:val="none"/>
              </w:rPr>
            </w:pPr>
            <w:r>
              <w:rPr>
                <w:rFonts w:hint="eastAsia" w:ascii="宋体"/>
                <w:bCs/>
                <w:color w:val="auto"/>
                <w:sz w:val="22"/>
                <w:szCs w:val="22"/>
                <w:highlight w:val="none"/>
              </w:rPr>
              <w:t>2分</w:t>
            </w:r>
          </w:p>
        </w:tc>
      </w:tr>
      <w:tr w14:paraId="2B531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27" w:type="dxa"/>
            <w:vMerge w:val="continue"/>
            <w:tcBorders>
              <w:left w:val="single" w:color="auto" w:sz="4" w:space="0"/>
              <w:right w:val="single" w:color="auto" w:sz="4" w:space="0"/>
            </w:tcBorders>
            <w:noWrap w:val="0"/>
            <w:vAlign w:val="center"/>
          </w:tcPr>
          <w:p w14:paraId="196646E1">
            <w:pPr>
              <w:spacing w:line="320" w:lineRule="exact"/>
              <w:jc w:val="center"/>
              <w:rPr>
                <w:rFonts w:ascii="宋体"/>
                <w:bCs/>
                <w:color w:val="auto"/>
                <w:sz w:val="22"/>
                <w:szCs w:val="22"/>
                <w:highlight w:val="none"/>
              </w:rPr>
            </w:pPr>
          </w:p>
        </w:tc>
        <w:tc>
          <w:tcPr>
            <w:tcW w:w="9574" w:type="dxa"/>
            <w:tcBorders>
              <w:top w:val="single" w:color="auto" w:sz="4" w:space="0"/>
              <w:left w:val="single" w:color="auto" w:sz="4" w:space="0"/>
              <w:bottom w:val="single" w:color="auto" w:sz="4" w:space="0"/>
              <w:right w:val="single" w:color="auto" w:sz="4" w:space="0"/>
            </w:tcBorders>
            <w:noWrap w:val="0"/>
            <w:vAlign w:val="center"/>
          </w:tcPr>
          <w:p w14:paraId="79FC99D3">
            <w:pPr>
              <w:spacing w:line="160" w:lineRule="atLeast"/>
              <w:rPr>
                <w:rFonts w:ascii="宋体"/>
                <w:bCs/>
                <w:color w:val="auto"/>
                <w:sz w:val="22"/>
                <w:highlight w:val="none"/>
              </w:rPr>
            </w:pPr>
            <w:r>
              <w:rPr>
                <w:rFonts w:hint="eastAsia" w:ascii="宋体"/>
                <w:bCs/>
                <w:color w:val="auto"/>
                <w:sz w:val="22"/>
                <w:highlight w:val="none"/>
              </w:rPr>
              <w:t>3、</w:t>
            </w:r>
            <w:r>
              <w:rPr>
                <w:rFonts w:hint="eastAsia" w:ascii="宋体"/>
                <w:bCs/>
                <w:color w:val="auto"/>
                <w:sz w:val="22"/>
                <w:szCs w:val="22"/>
                <w:highlight w:val="none"/>
              </w:rPr>
              <w:t>用餐桌没有随时打扫、清理，</w:t>
            </w:r>
            <w:r>
              <w:rPr>
                <w:rFonts w:hint="eastAsia" w:ascii="宋体"/>
                <w:bCs/>
                <w:color w:val="auto"/>
                <w:sz w:val="22"/>
                <w:highlight w:val="none"/>
              </w:rPr>
              <w:t>服务效率低下、服务态度生硬等</w:t>
            </w:r>
          </w:p>
        </w:tc>
        <w:tc>
          <w:tcPr>
            <w:tcW w:w="2933" w:type="dxa"/>
            <w:tcBorders>
              <w:top w:val="single" w:color="auto" w:sz="4" w:space="0"/>
              <w:left w:val="single" w:color="auto" w:sz="4" w:space="0"/>
              <w:bottom w:val="single" w:color="auto" w:sz="4" w:space="0"/>
              <w:right w:val="single" w:color="auto" w:sz="4" w:space="0"/>
            </w:tcBorders>
            <w:noWrap w:val="0"/>
            <w:vAlign w:val="center"/>
          </w:tcPr>
          <w:p w14:paraId="42CB2934">
            <w:pPr>
              <w:spacing w:line="160" w:lineRule="atLeast"/>
              <w:ind w:right="141" w:rightChars="67"/>
              <w:rPr>
                <w:rFonts w:ascii="宋体"/>
                <w:bCs/>
                <w:color w:val="auto"/>
                <w:sz w:val="22"/>
                <w:szCs w:val="22"/>
                <w:highlight w:val="none"/>
              </w:rPr>
            </w:pPr>
            <w:r>
              <w:rPr>
                <w:rFonts w:hint="eastAsia" w:ascii="宋体"/>
                <w:bCs/>
                <w:color w:val="auto"/>
                <w:sz w:val="22"/>
                <w:szCs w:val="22"/>
                <w:highlight w:val="none"/>
              </w:rPr>
              <w:t>发现一次扣1分</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0D26E90D">
            <w:pPr>
              <w:spacing w:line="160" w:lineRule="atLeast"/>
              <w:ind w:right="44" w:rightChars="21"/>
              <w:jc w:val="center"/>
              <w:rPr>
                <w:rFonts w:ascii="宋体"/>
                <w:bCs/>
                <w:color w:val="auto"/>
                <w:sz w:val="22"/>
                <w:szCs w:val="22"/>
                <w:highlight w:val="none"/>
              </w:rPr>
            </w:pPr>
            <w:r>
              <w:rPr>
                <w:rFonts w:hint="eastAsia" w:ascii="宋体"/>
                <w:bCs/>
                <w:color w:val="auto"/>
                <w:sz w:val="22"/>
                <w:szCs w:val="22"/>
                <w:highlight w:val="none"/>
              </w:rPr>
              <w:t>2分</w:t>
            </w:r>
          </w:p>
        </w:tc>
      </w:tr>
      <w:tr w14:paraId="72DE2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27" w:type="dxa"/>
            <w:vMerge w:val="continue"/>
            <w:tcBorders>
              <w:left w:val="single" w:color="auto" w:sz="4" w:space="0"/>
              <w:right w:val="single" w:color="auto" w:sz="4" w:space="0"/>
            </w:tcBorders>
            <w:noWrap w:val="0"/>
            <w:vAlign w:val="center"/>
          </w:tcPr>
          <w:p w14:paraId="35AB37CE">
            <w:pPr>
              <w:spacing w:line="320" w:lineRule="exact"/>
              <w:jc w:val="center"/>
              <w:rPr>
                <w:rFonts w:ascii="宋体"/>
                <w:bCs/>
                <w:color w:val="auto"/>
                <w:sz w:val="22"/>
                <w:szCs w:val="22"/>
                <w:highlight w:val="none"/>
              </w:rPr>
            </w:pPr>
          </w:p>
        </w:tc>
        <w:tc>
          <w:tcPr>
            <w:tcW w:w="9574" w:type="dxa"/>
            <w:tcBorders>
              <w:top w:val="single" w:color="auto" w:sz="4" w:space="0"/>
              <w:left w:val="single" w:color="auto" w:sz="4" w:space="0"/>
              <w:bottom w:val="single" w:color="auto" w:sz="4" w:space="0"/>
              <w:right w:val="single" w:color="auto" w:sz="4" w:space="0"/>
            </w:tcBorders>
            <w:noWrap w:val="0"/>
            <w:vAlign w:val="center"/>
          </w:tcPr>
          <w:p w14:paraId="49B9BE16">
            <w:pPr>
              <w:spacing w:line="160" w:lineRule="atLeast"/>
              <w:rPr>
                <w:rFonts w:ascii="宋体"/>
                <w:bCs/>
                <w:color w:val="auto"/>
                <w:sz w:val="22"/>
                <w:highlight w:val="none"/>
              </w:rPr>
            </w:pPr>
            <w:r>
              <w:rPr>
                <w:rFonts w:hint="eastAsia" w:ascii="宋体"/>
                <w:bCs/>
                <w:color w:val="auto"/>
                <w:sz w:val="22"/>
                <w:highlight w:val="none"/>
              </w:rPr>
              <w:t>4、餐桌调味品、包箱台布、打饭台等物件摆放未统一标准，</w:t>
            </w:r>
            <w:r>
              <w:rPr>
                <w:rFonts w:hint="eastAsia" w:ascii="宋体"/>
                <w:bCs/>
                <w:color w:val="auto"/>
                <w:sz w:val="22"/>
                <w:szCs w:val="22"/>
                <w:highlight w:val="none"/>
              </w:rPr>
              <w:t>餐桌上摆放的调味品没有根据用量要求定期更换、清理</w:t>
            </w:r>
          </w:p>
        </w:tc>
        <w:tc>
          <w:tcPr>
            <w:tcW w:w="2933" w:type="dxa"/>
            <w:tcBorders>
              <w:top w:val="single" w:color="auto" w:sz="4" w:space="0"/>
              <w:left w:val="single" w:color="auto" w:sz="4" w:space="0"/>
              <w:bottom w:val="single" w:color="auto" w:sz="4" w:space="0"/>
              <w:right w:val="single" w:color="auto" w:sz="4" w:space="0"/>
            </w:tcBorders>
            <w:noWrap w:val="0"/>
            <w:vAlign w:val="center"/>
          </w:tcPr>
          <w:p w14:paraId="136AB589">
            <w:pPr>
              <w:spacing w:line="160" w:lineRule="atLeast"/>
              <w:ind w:right="141" w:rightChars="67"/>
              <w:rPr>
                <w:rFonts w:ascii="宋体"/>
                <w:bCs/>
                <w:color w:val="auto"/>
                <w:sz w:val="22"/>
                <w:szCs w:val="22"/>
                <w:highlight w:val="none"/>
              </w:rPr>
            </w:pPr>
            <w:r>
              <w:rPr>
                <w:rFonts w:hint="eastAsia" w:ascii="宋体"/>
                <w:bCs/>
                <w:color w:val="auto"/>
                <w:sz w:val="22"/>
                <w:szCs w:val="22"/>
                <w:highlight w:val="none"/>
              </w:rPr>
              <w:t>发现一次扣0.5分</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36D93E1F">
            <w:pPr>
              <w:spacing w:line="160" w:lineRule="atLeast"/>
              <w:ind w:right="44" w:rightChars="21"/>
              <w:jc w:val="center"/>
              <w:rPr>
                <w:rFonts w:ascii="宋体"/>
                <w:bCs/>
                <w:color w:val="auto"/>
                <w:sz w:val="22"/>
                <w:szCs w:val="22"/>
                <w:highlight w:val="none"/>
              </w:rPr>
            </w:pPr>
            <w:r>
              <w:rPr>
                <w:rFonts w:hint="eastAsia" w:ascii="宋体"/>
                <w:bCs/>
                <w:color w:val="auto"/>
                <w:sz w:val="22"/>
                <w:szCs w:val="22"/>
                <w:highlight w:val="none"/>
              </w:rPr>
              <w:t>2分</w:t>
            </w:r>
          </w:p>
        </w:tc>
      </w:tr>
      <w:tr w14:paraId="530E5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27" w:type="dxa"/>
            <w:vMerge w:val="continue"/>
            <w:tcBorders>
              <w:left w:val="single" w:color="auto" w:sz="4" w:space="0"/>
              <w:right w:val="single" w:color="auto" w:sz="4" w:space="0"/>
            </w:tcBorders>
            <w:noWrap w:val="0"/>
            <w:vAlign w:val="center"/>
          </w:tcPr>
          <w:p w14:paraId="16323E31">
            <w:pPr>
              <w:widowControl/>
              <w:jc w:val="left"/>
              <w:rPr>
                <w:rFonts w:ascii="宋体"/>
                <w:bCs/>
                <w:color w:val="auto"/>
                <w:sz w:val="22"/>
                <w:szCs w:val="22"/>
                <w:highlight w:val="none"/>
              </w:rPr>
            </w:pPr>
          </w:p>
        </w:tc>
        <w:tc>
          <w:tcPr>
            <w:tcW w:w="9574" w:type="dxa"/>
            <w:tcBorders>
              <w:top w:val="single" w:color="auto" w:sz="4" w:space="0"/>
              <w:left w:val="single" w:color="auto" w:sz="4" w:space="0"/>
              <w:bottom w:val="single" w:color="auto" w:sz="4" w:space="0"/>
              <w:right w:val="single" w:color="auto" w:sz="4" w:space="0"/>
            </w:tcBorders>
            <w:noWrap w:val="0"/>
            <w:vAlign w:val="center"/>
          </w:tcPr>
          <w:p w14:paraId="773A6999">
            <w:pPr>
              <w:spacing w:line="160" w:lineRule="atLeast"/>
              <w:rPr>
                <w:rFonts w:ascii="宋体"/>
                <w:bCs/>
                <w:color w:val="auto"/>
                <w:sz w:val="22"/>
                <w:szCs w:val="22"/>
                <w:highlight w:val="none"/>
              </w:rPr>
            </w:pPr>
            <w:r>
              <w:rPr>
                <w:rFonts w:hint="eastAsia" w:ascii="宋体"/>
                <w:bCs/>
                <w:color w:val="auto"/>
                <w:sz w:val="22"/>
                <w:szCs w:val="22"/>
                <w:highlight w:val="none"/>
              </w:rPr>
              <w:t>5、发现上班时间工作人员在工作区内吸烟、吃零食，当班时行为不规范，如嘻皮笑脸，大声喧哗，追逐打闹，勾肩搭背，串岗或擅自离岗，工作时间看小说、杂志、打电话聊天，擅自换班、调班</w:t>
            </w:r>
          </w:p>
        </w:tc>
        <w:tc>
          <w:tcPr>
            <w:tcW w:w="2933" w:type="dxa"/>
            <w:tcBorders>
              <w:top w:val="single" w:color="auto" w:sz="4" w:space="0"/>
              <w:left w:val="single" w:color="auto" w:sz="4" w:space="0"/>
              <w:bottom w:val="single" w:color="auto" w:sz="4" w:space="0"/>
              <w:right w:val="single" w:color="auto" w:sz="4" w:space="0"/>
            </w:tcBorders>
            <w:noWrap w:val="0"/>
            <w:vAlign w:val="center"/>
          </w:tcPr>
          <w:p w14:paraId="2A39F151">
            <w:pPr>
              <w:spacing w:line="160" w:lineRule="atLeast"/>
              <w:ind w:right="141" w:rightChars="67"/>
              <w:rPr>
                <w:rFonts w:ascii="宋体"/>
                <w:bCs/>
                <w:color w:val="auto"/>
                <w:sz w:val="22"/>
                <w:szCs w:val="22"/>
                <w:highlight w:val="none"/>
              </w:rPr>
            </w:pPr>
            <w:r>
              <w:rPr>
                <w:rFonts w:hint="eastAsia" w:ascii="宋体"/>
                <w:bCs/>
                <w:color w:val="auto"/>
                <w:sz w:val="22"/>
                <w:szCs w:val="22"/>
                <w:highlight w:val="none"/>
              </w:rPr>
              <w:t>发现一次扣0.5分</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41CD5016">
            <w:pPr>
              <w:spacing w:line="160" w:lineRule="atLeast"/>
              <w:ind w:right="44" w:rightChars="21"/>
              <w:jc w:val="center"/>
              <w:rPr>
                <w:rFonts w:ascii="宋体"/>
                <w:bCs/>
                <w:color w:val="auto"/>
                <w:sz w:val="22"/>
                <w:szCs w:val="22"/>
                <w:highlight w:val="none"/>
              </w:rPr>
            </w:pPr>
            <w:r>
              <w:rPr>
                <w:rFonts w:hint="eastAsia" w:ascii="宋体"/>
                <w:bCs/>
                <w:color w:val="auto"/>
                <w:sz w:val="22"/>
                <w:szCs w:val="22"/>
                <w:highlight w:val="none"/>
              </w:rPr>
              <w:t>2分</w:t>
            </w:r>
          </w:p>
        </w:tc>
      </w:tr>
      <w:tr w14:paraId="43D82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27" w:type="dxa"/>
            <w:vMerge w:val="continue"/>
            <w:tcBorders>
              <w:left w:val="single" w:color="auto" w:sz="4" w:space="0"/>
              <w:right w:val="single" w:color="auto" w:sz="4" w:space="0"/>
            </w:tcBorders>
            <w:noWrap w:val="0"/>
            <w:vAlign w:val="center"/>
          </w:tcPr>
          <w:p w14:paraId="318FBB7F">
            <w:pPr>
              <w:widowControl/>
              <w:jc w:val="left"/>
              <w:rPr>
                <w:rFonts w:ascii="宋体"/>
                <w:bCs/>
                <w:color w:val="auto"/>
                <w:sz w:val="22"/>
                <w:szCs w:val="22"/>
                <w:highlight w:val="none"/>
              </w:rPr>
            </w:pPr>
          </w:p>
        </w:tc>
        <w:tc>
          <w:tcPr>
            <w:tcW w:w="9574" w:type="dxa"/>
            <w:tcBorders>
              <w:top w:val="single" w:color="auto" w:sz="4" w:space="0"/>
              <w:left w:val="single" w:color="auto" w:sz="4" w:space="0"/>
              <w:bottom w:val="single" w:color="auto" w:sz="4" w:space="0"/>
              <w:right w:val="single" w:color="auto" w:sz="4" w:space="0"/>
            </w:tcBorders>
            <w:noWrap w:val="0"/>
            <w:vAlign w:val="center"/>
          </w:tcPr>
          <w:p w14:paraId="2C1621BB">
            <w:pPr>
              <w:spacing w:line="160" w:lineRule="atLeast"/>
              <w:rPr>
                <w:rFonts w:ascii="宋体"/>
                <w:bCs/>
                <w:color w:val="auto"/>
                <w:sz w:val="22"/>
                <w:szCs w:val="22"/>
                <w:highlight w:val="none"/>
              </w:rPr>
            </w:pPr>
            <w:r>
              <w:rPr>
                <w:rFonts w:hint="eastAsia" w:ascii="宋体"/>
                <w:bCs/>
                <w:color w:val="auto"/>
                <w:sz w:val="22"/>
                <w:szCs w:val="22"/>
                <w:highlight w:val="none"/>
              </w:rPr>
              <w:t>6、员工通行工具要在指定地点入库、有序停放，发现乱停放、不入库，影响周围环境，就餐人员遗失在餐厅的物品，未妥善保管；</w:t>
            </w:r>
          </w:p>
        </w:tc>
        <w:tc>
          <w:tcPr>
            <w:tcW w:w="2933" w:type="dxa"/>
            <w:tcBorders>
              <w:top w:val="single" w:color="auto" w:sz="4" w:space="0"/>
              <w:left w:val="single" w:color="auto" w:sz="4" w:space="0"/>
              <w:bottom w:val="single" w:color="auto" w:sz="4" w:space="0"/>
              <w:right w:val="single" w:color="auto" w:sz="4" w:space="0"/>
            </w:tcBorders>
            <w:noWrap w:val="0"/>
            <w:vAlign w:val="center"/>
          </w:tcPr>
          <w:p w14:paraId="2C39E59C">
            <w:pPr>
              <w:spacing w:line="160" w:lineRule="atLeast"/>
              <w:ind w:right="141" w:rightChars="67"/>
              <w:rPr>
                <w:rFonts w:ascii="宋体"/>
                <w:bCs/>
                <w:color w:val="auto"/>
                <w:sz w:val="22"/>
                <w:szCs w:val="22"/>
                <w:highlight w:val="none"/>
              </w:rPr>
            </w:pPr>
            <w:r>
              <w:rPr>
                <w:rFonts w:hint="eastAsia" w:ascii="宋体"/>
                <w:bCs/>
                <w:color w:val="auto"/>
                <w:sz w:val="22"/>
                <w:szCs w:val="22"/>
                <w:highlight w:val="none"/>
              </w:rPr>
              <w:t>发现一次扣0.5分</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7C4B6019">
            <w:pPr>
              <w:spacing w:line="160" w:lineRule="atLeast"/>
              <w:ind w:right="44" w:rightChars="21"/>
              <w:jc w:val="center"/>
              <w:rPr>
                <w:rFonts w:ascii="宋体"/>
                <w:bCs/>
                <w:color w:val="auto"/>
                <w:sz w:val="22"/>
                <w:szCs w:val="22"/>
                <w:highlight w:val="none"/>
              </w:rPr>
            </w:pPr>
            <w:r>
              <w:rPr>
                <w:rFonts w:hint="eastAsia" w:ascii="宋体"/>
                <w:bCs/>
                <w:color w:val="auto"/>
                <w:sz w:val="22"/>
                <w:szCs w:val="22"/>
                <w:highlight w:val="none"/>
              </w:rPr>
              <w:t>2分</w:t>
            </w:r>
          </w:p>
        </w:tc>
      </w:tr>
      <w:tr w14:paraId="7C271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27" w:type="dxa"/>
            <w:vMerge w:val="continue"/>
            <w:tcBorders>
              <w:left w:val="single" w:color="auto" w:sz="4" w:space="0"/>
              <w:right w:val="single" w:color="auto" w:sz="4" w:space="0"/>
            </w:tcBorders>
            <w:noWrap w:val="0"/>
            <w:vAlign w:val="center"/>
          </w:tcPr>
          <w:p w14:paraId="0C301F31">
            <w:pPr>
              <w:widowControl/>
              <w:jc w:val="left"/>
              <w:rPr>
                <w:rFonts w:ascii="宋体"/>
                <w:bCs/>
                <w:color w:val="auto"/>
                <w:sz w:val="22"/>
                <w:szCs w:val="22"/>
                <w:highlight w:val="none"/>
              </w:rPr>
            </w:pPr>
          </w:p>
        </w:tc>
        <w:tc>
          <w:tcPr>
            <w:tcW w:w="9574" w:type="dxa"/>
            <w:tcBorders>
              <w:top w:val="single" w:color="auto" w:sz="4" w:space="0"/>
              <w:left w:val="single" w:color="auto" w:sz="4" w:space="0"/>
              <w:bottom w:val="single" w:color="auto" w:sz="4" w:space="0"/>
              <w:right w:val="single" w:color="auto" w:sz="4" w:space="0"/>
            </w:tcBorders>
            <w:noWrap w:val="0"/>
            <w:vAlign w:val="center"/>
          </w:tcPr>
          <w:p w14:paraId="5AB74E7F">
            <w:pPr>
              <w:spacing w:line="160" w:lineRule="atLeast"/>
              <w:rPr>
                <w:rFonts w:ascii="宋体"/>
                <w:bCs/>
                <w:color w:val="auto"/>
                <w:sz w:val="22"/>
                <w:szCs w:val="22"/>
                <w:highlight w:val="none"/>
              </w:rPr>
            </w:pPr>
            <w:r>
              <w:rPr>
                <w:rFonts w:hint="eastAsia" w:ascii="宋体"/>
                <w:bCs/>
                <w:color w:val="auto"/>
                <w:sz w:val="22"/>
                <w:szCs w:val="22"/>
                <w:highlight w:val="none"/>
              </w:rPr>
              <w:t>7、主管及员工的职责、操作流程、设备操作规范、制度等要上墙，严格按照职责、制度规定办事，如发现制度不上墙，职责不分明</w:t>
            </w:r>
          </w:p>
        </w:tc>
        <w:tc>
          <w:tcPr>
            <w:tcW w:w="2933" w:type="dxa"/>
            <w:tcBorders>
              <w:top w:val="single" w:color="auto" w:sz="4" w:space="0"/>
              <w:left w:val="single" w:color="auto" w:sz="4" w:space="0"/>
              <w:bottom w:val="single" w:color="auto" w:sz="4" w:space="0"/>
              <w:right w:val="single" w:color="auto" w:sz="4" w:space="0"/>
            </w:tcBorders>
            <w:noWrap w:val="0"/>
            <w:vAlign w:val="center"/>
          </w:tcPr>
          <w:p w14:paraId="552D19F4">
            <w:pPr>
              <w:spacing w:line="160" w:lineRule="atLeast"/>
              <w:ind w:right="141" w:rightChars="67"/>
              <w:rPr>
                <w:rFonts w:ascii="宋体"/>
                <w:bCs/>
                <w:color w:val="auto"/>
                <w:sz w:val="22"/>
                <w:szCs w:val="22"/>
                <w:highlight w:val="none"/>
              </w:rPr>
            </w:pPr>
            <w:r>
              <w:rPr>
                <w:rFonts w:hint="eastAsia" w:ascii="宋体"/>
                <w:bCs/>
                <w:color w:val="auto"/>
                <w:sz w:val="22"/>
                <w:szCs w:val="22"/>
                <w:highlight w:val="none"/>
              </w:rPr>
              <w:t>发现一次扣0.5分</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51327A4C">
            <w:pPr>
              <w:spacing w:line="160" w:lineRule="atLeast"/>
              <w:ind w:right="44" w:rightChars="21"/>
              <w:jc w:val="center"/>
              <w:rPr>
                <w:rFonts w:ascii="宋体"/>
                <w:bCs/>
                <w:color w:val="auto"/>
                <w:sz w:val="22"/>
                <w:szCs w:val="22"/>
                <w:highlight w:val="none"/>
              </w:rPr>
            </w:pPr>
            <w:r>
              <w:rPr>
                <w:rFonts w:hint="eastAsia" w:ascii="宋体"/>
                <w:bCs/>
                <w:color w:val="auto"/>
                <w:sz w:val="22"/>
                <w:szCs w:val="22"/>
                <w:highlight w:val="none"/>
              </w:rPr>
              <w:t>1分</w:t>
            </w:r>
          </w:p>
        </w:tc>
      </w:tr>
      <w:tr w14:paraId="19756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27" w:type="dxa"/>
            <w:vMerge w:val="continue"/>
            <w:tcBorders>
              <w:left w:val="single" w:color="auto" w:sz="4" w:space="0"/>
              <w:right w:val="single" w:color="auto" w:sz="4" w:space="0"/>
            </w:tcBorders>
            <w:noWrap w:val="0"/>
            <w:vAlign w:val="center"/>
          </w:tcPr>
          <w:p w14:paraId="3FA8F19A">
            <w:pPr>
              <w:spacing w:line="160" w:lineRule="atLeast"/>
              <w:rPr>
                <w:rFonts w:ascii="宋体"/>
                <w:bCs/>
                <w:color w:val="auto"/>
                <w:sz w:val="22"/>
                <w:szCs w:val="22"/>
                <w:highlight w:val="none"/>
              </w:rPr>
            </w:pPr>
          </w:p>
        </w:tc>
        <w:tc>
          <w:tcPr>
            <w:tcW w:w="9574" w:type="dxa"/>
            <w:tcBorders>
              <w:top w:val="single" w:color="auto" w:sz="4" w:space="0"/>
              <w:left w:val="single" w:color="auto" w:sz="4" w:space="0"/>
              <w:bottom w:val="single" w:color="auto" w:sz="4" w:space="0"/>
              <w:right w:val="single" w:color="auto" w:sz="4" w:space="0"/>
            </w:tcBorders>
            <w:noWrap w:val="0"/>
            <w:vAlign w:val="center"/>
          </w:tcPr>
          <w:p w14:paraId="4B9540B2">
            <w:pPr>
              <w:spacing w:line="160" w:lineRule="atLeast"/>
              <w:rPr>
                <w:rFonts w:ascii="宋体"/>
                <w:bCs/>
                <w:color w:val="auto"/>
                <w:sz w:val="22"/>
                <w:szCs w:val="22"/>
                <w:highlight w:val="none"/>
              </w:rPr>
            </w:pPr>
            <w:r>
              <w:rPr>
                <w:rFonts w:hint="eastAsia" w:ascii="宋体"/>
                <w:bCs/>
                <w:color w:val="auto"/>
                <w:sz w:val="22"/>
                <w:szCs w:val="22"/>
                <w:highlight w:val="none"/>
              </w:rPr>
              <w:t>8、违反操作规程，造成设备损坏的，或故意损坏公共财物设备、工具造成经济损失的；</w:t>
            </w:r>
          </w:p>
        </w:tc>
        <w:tc>
          <w:tcPr>
            <w:tcW w:w="2933" w:type="dxa"/>
            <w:tcBorders>
              <w:top w:val="single" w:color="auto" w:sz="4" w:space="0"/>
              <w:left w:val="single" w:color="auto" w:sz="4" w:space="0"/>
              <w:bottom w:val="single" w:color="auto" w:sz="4" w:space="0"/>
              <w:right w:val="single" w:color="auto" w:sz="4" w:space="0"/>
            </w:tcBorders>
            <w:noWrap w:val="0"/>
            <w:vAlign w:val="center"/>
          </w:tcPr>
          <w:p w14:paraId="73FB1A92">
            <w:pPr>
              <w:spacing w:line="160" w:lineRule="atLeast"/>
              <w:ind w:right="141" w:rightChars="67"/>
              <w:rPr>
                <w:rFonts w:ascii="宋体"/>
                <w:bCs/>
                <w:color w:val="auto"/>
                <w:sz w:val="22"/>
                <w:szCs w:val="22"/>
                <w:highlight w:val="none"/>
              </w:rPr>
            </w:pPr>
            <w:r>
              <w:rPr>
                <w:rFonts w:hint="eastAsia" w:ascii="宋体"/>
                <w:bCs/>
                <w:color w:val="auto"/>
                <w:sz w:val="22"/>
                <w:szCs w:val="22"/>
                <w:highlight w:val="none"/>
              </w:rPr>
              <w:t>发现一次扣1分</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2E933741">
            <w:pPr>
              <w:spacing w:line="160" w:lineRule="atLeast"/>
              <w:ind w:right="44" w:rightChars="21"/>
              <w:jc w:val="center"/>
              <w:rPr>
                <w:rFonts w:ascii="宋体"/>
                <w:bCs/>
                <w:color w:val="auto"/>
                <w:sz w:val="22"/>
                <w:szCs w:val="22"/>
                <w:highlight w:val="none"/>
              </w:rPr>
            </w:pPr>
            <w:r>
              <w:rPr>
                <w:rFonts w:hint="eastAsia" w:ascii="宋体"/>
                <w:bCs/>
                <w:color w:val="auto"/>
                <w:sz w:val="22"/>
                <w:szCs w:val="22"/>
                <w:highlight w:val="none"/>
              </w:rPr>
              <w:t>2分</w:t>
            </w:r>
          </w:p>
        </w:tc>
      </w:tr>
      <w:tr w14:paraId="6436D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27" w:type="dxa"/>
            <w:vMerge w:val="continue"/>
            <w:tcBorders>
              <w:left w:val="single" w:color="auto" w:sz="4" w:space="0"/>
              <w:right w:val="single" w:color="auto" w:sz="4" w:space="0"/>
            </w:tcBorders>
            <w:noWrap w:val="0"/>
            <w:vAlign w:val="center"/>
          </w:tcPr>
          <w:p w14:paraId="2D55D44D">
            <w:pPr>
              <w:spacing w:line="160" w:lineRule="atLeast"/>
              <w:rPr>
                <w:rFonts w:ascii="宋体"/>
                <w:bCs/>
                <w:color w:val="auto"/>
                <w:sz w:val="22"/>
                <w:szCs w:val="22"/>
                <w:highlight w:val="none"/>
              </w:rPr>
            </w:pPr>
          </w:p>
        </w:tc>
        <w:tc>
          <w:tcPr>
            <w:tcW w:w="9574" w:type="dxa"/>
            <w:tcBorders>
              <w:top w:val="single" w:color="auto" w:sz="4" w:space="0"/>
              <w:left w:val="single" w:color="auto" w:sz="4" w:space="0"/>
              <w:bottom w:val="single" w:color="auto" w:sz="4" w:space="0"/>
              <w:right w:val="single" w:color="auto" w:sz="4" w:space="0"/>
            </w:tcBorders>
            <w:noWrap w:val="0"/>
            <w:vAlign w:val="center"/>
          </w:tcPr>
          <w:p w14:paraId="32247637">
            <w:pPr>
              <w:spacing w:line="120" w:lineRule="atLeast"/>
              <w:rPr>
                <w:rFonts w:ascii="宋体"/>
                <w:bCs/>
                <w:color w:val="auto"/>
                <w:sz w:val="22"/>
                <w:szCs w:val="22"/>
                <w:highlight w:val="none"/>
              </w:rPr>
            </w:pPr>
            <w:r>
              <w:rPr>
                <w:rFonts w:hint="eastAsia" w:ascii="宋体"/>
                <w:bCs/>
                <w:color w:val="auto"/>
                <w:sz w:val="22"/>
                <w:szCs w:val="22"/>
                <w:highlight w:val="none"/>
              </w:rPr>
              <w:t>9、如验收时发现食品质量有问题或超过保质期，没有及时反映或隐瞒</w:t>
            </w:r>
          </w:p>
        </w:tc>
        <w:tc>
          <w:tcPr>
            <w:tcW w:w="2933" w:type="dxa"/>
            <w:tcBorders>
              <w:top w:val="single" w:color="auto" w:sz="4" w:space="0"/>
              <w:left w:val="single" w:color="auto" w:sz="4" w:space="0"/>
              <w:bottom w:val="single" w:color="auto" w:sz="4" w:space="0"/>
              <w:right w:val="single" w:color="auto" w:sz="4" w:space="0"/>
            </w:tcBorders>
            <w:noWrap w:val="0"/>
            <w:vAlign w:val="center"/>
          </w:tcPr>
          <w:p w14:paraId="48C0ACD7">
            <w:pPr>
              <w:spacing w:line="160" w:lineRule="atLeast"/>
              <w:ind w:right="141" w:rightChars="67"/>
              <w:rPr>
                <w:rFonts w:ascii="宋体"/>
                <w:bCs/>
                <w:color w:val="auto"/>
                <w:sz w:val="22"/>
                <w:szCs w:val="22"/>
                <w:highlight w:val="none"/>
              </w:rPr>
            </w:pPr>
            <w:r>
              <w:rPr>
                <w:rFonts w:hint="eastAsia" w:ascii="宋体"/>
                <w:bCs/>
                <w:color w:val="auto"/>
                <w:sz w:val="22"/>
                <w:szCs w:val="22"/>
                <w:highlight w:val="none"/>
              </w:rPr>
              <w:t>发现一次扣1分</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4DEFC0E3">
            <w:pPr>
              <w:spacing w:line="160" w:lineRule="atLeast"/>
              <w:ind w:right="44" w:rightChars="21"/>
              <w:jc w:val="center"/>
              <w:rPr>
                <w:rFonts w:ascii="宋体"/>
                <w:bCs/>
                <w:color w:val="auto"/>
                <w:sz w:val="22"/>
                <w:szCs w:val="22"/>
                <w:highlight w:val="none"/>
              </w:rPr>
            </w:pPr>
            <w:r>
              <w:rPr>
                <w:rFonts w:hint="eastAsia" w:ascii="宋体"/>
                <w:bCs/>
                <w:color w:val="auto"/>
                <w:sz w:val="22"/>
                <w:szCs w:val="22"/>
                <w:highlight w:val="none"/>
              </w:rPr>
              <w:t>2分</w:t>
            </w:r>
          </w:p>
        </w:tc>
      </w:tr>
      <w:tr w14:paraId="17EE8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27" w:type="dxa"/>
            <w:vMerge w:val="continue"/>
            <w:tcBorders>
              <w:left w:val="single" w:color="auto" w:sz="4" w:space="0"/>
              <w:right w:val="single" w:color="auto" w:sz="4" w:space="0"/>
            </w:tcBorders>
            <w:noWrap w:val="0"/>
            <w:vAlign w:val="center"/>
          </w:tcPr>
          <w:p w14:paraId="5CFFFF86">
            <w:pPr>
              <w:spacing w:line="160" w:lineRule="atLeast"/>
              <w:rPr>
                <w:rFonts w:ascii="宋体"/>
                <w:bCs/>
                <w:color w:val="auto"/>
                <w:sz w:val="22"/>
                <w:szCs w:val="22"/>
                <w:highlight w:val="none"/>
              </w:rPr>
            </w:pPr>
          </w:p>
        </w:tc>
        <w:tc>
          <w:tcPr>
            <w:tcW w:w="9574" w:type="dxa"/>
            <w:tcBorders>
              <w:top w:val="single" w:color="auto" w:sz="4" w:space="0"/>
              <w:left w:val="single" w:color="auto" w:sz="4" w:space="0"/>
              <w:bottom w:val="single" w:color="auto" w:sz="4" w:space="0"/>
              <w:right w:val="single" w:color="auto" w:sz="4" w:space="0"/>
            </w:tcBorders>
            <w:noWrap w:val="0"/>
            <w:vAlign w:val="center"/>
          </w:tcPr>
          <w:p w14:paraId="664C5581">
            <w:pPr>
              <w:spacing w:line="120" w:lineRule="atLeast"/>
              <w:rPr>
                <w:rFonts w:ascii="宋体"/>
                <w:bCs/>
                <w:color w:val="auto"/>
                <w:sz w:val="22"/>
                <w:szCs w:val="22"/>
                <w:highlight w:val="none"/>
              </w:rPr>
            </w:pPr>
            <w:r>
              <w:rPr>
                <w:rFonts w:hint="eastAsia" w:ascii="宋体"/>
                <w:bCs/>
                <w:color w:val="auto"/>
                <w:sz w:val="22"/>
                <w:szCs w:val="22"/>
                <w:highlight w:val="none"/>
              </w:rPr>
              <w:t>10、仓库要按规定专人负责保管，建立台帐，月底出报表，如发现管理不规范</w:t>
            </w:r>
          </w:p>
        </w:tc>
        <w:tc>
          <w:tcPr>
            <w:tcW w:w="2933" w:type="dxa"/>
            <w:tcBorders>
              <w:top w:val="single" w:color="auto" w:sz="4" w:space="0"/>
              <w:left w:val="single" w:color="auto" w:sz="4" w:space="0"/>
              <w:bottom w:val="single" w:color="auto" w:sz="4" w:space="0"/>
              <w:right w:val="single" w:color="auto" w:sz="4" w:space="0"/>
            </w:tcBorders>
            <w:noWrap w:val="0"/>
            <w:vAlign w:val="center"/>
          </w:tcPr>
          <w:p w14:paraId="46A8F8A9">
            <w:pPr>
              <w:spacing w:line="160" w:lineRule="atLeast"/>
              <w:ind w:right="141" w:rightChars="67"/>
              <w:rPr>
                <w:rFonts w:ascii="宋体"/>
                <w:bCs/>
                <w:color w:val="auto"/>
                <w:sz w:val="22"/>
                <w:szCs w:val="22"/>
                <w:highlight w:val="none"/>
              </w:rPr>
            </w:pPr>
            <w:r>
              <w:rPr>
                <w:rFonts w:hint="eastAsia" w:ascii="宋体"/>
                <w:bCs/>
                <w:color w:val="auto"/>
                <w:sz w:val="22"/>
                <w:szCs w:val="22"/>
                <w:highlight w:val="none"/>
              </w:rPr>
              <w:t>发现一次扣1分</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17097C57">
            <w:pPr>
              <w:spacing w:line="160" w:lineRule="atLeast"/>
              <w:ind w:right="44" w:rightChars="21"/>
              <w:jc w:val="center"/>
              <w:rPr>
                <w:rFonts w:ascii="宋体"/>
                <w:bCs/>
                <w:color w:val="auto"/>
                <w:sz w:val="22"/>
                <w:szCs w:val="22"/>
                <w:highlight w:val="none"/>
              </w:rPr>
            </w:pPr>
            <w:r>
              <w:rPr>
                <w:rFonts w:hint="eastAsia" w:ascii="宋体"/>
                <w:bCs/>
                <w:color w:val="auto"/>
                <w:sz w:val="22"/>
                <w:szCs w:val="22"/>
                <w:highlight w:val="none"/>
              </w:rPr>
              <w:t>2分</w:t>
            </w:r>
          </w:p>
        </w:tc>
      </w:tr>
      <w:tr w14:paraId="0EEB6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27" w:type="dxa"/>
            <w:vMerge w:val="continue"/>
            <w:tcBorders>
              <w:left w:val="single" w:color="auto" w:sz="4" w:space="0"/>
              <w:right w:val="single" w:color="auto" w:sz="4" w:space="0"/>
            </w:tcBorders>
            <w:noWrap w:val="0"/>
            <w:vAlign w:val="center"/>
          </w:tcPr>
          <w:p w14:paraId="66249A4A">
            <w:pPr>
              <w:spacing w:line="160" w:lineRule="atLeast"/>
              <w:rPr>
                <w:rFonts w:ascii="宋体"/>
                <w:bCs/>
                <w:color w:val="auto"/>
                <w:sz w:val="22"/>
                <w:szCs w:val="22"/>
                <w:highlight w:val="none"/>
              </w:rPr>
            </w:pPr>
          </w:p>
        </w:tc>
        <w:tc>
          <w:tcPr>
            <w:tcW w:w="9574" w:type="dxa"/>
            <w:tcBorders>
              <w:top w:val="single" w:color="auto" w:sz="4" w:space="0"/>
              <w:left w:val="single" w:color="auto" w:sz="4" w:space="0"/>
              <w:bottom w:val="single" w:color="auto" w:sz="4" w:space="0"/>
              <w:right w:val="single" w:color="auto" w:sz="4" w:space="0"/>
            </w:tcBorders>
            <w:noWrap w:val="0"/>
            <w:vAlign w:val="center"/>
          </w:tcPr>
          <w:p w14:paraId="150AA399">
            <w:pPr>
              <w:spacing w:line="120" w:lineRule="atLeast"/>
              <w:rPr>
                <w:rFonts w:ascii="宋体"/>
                <w:bCs/>
                <w:color w:val="auto"/>
                <w:sz w:val="22"/>
                <w:szCs w:val="22"/>
                <w:highlight w:val="none"/>
              </w:rPr>
            </w:pPr>
            <w:r>
              <w:rPr>
                <w:rFonts w:hint="eastAsia" w:ascii="宋体"/>
                <w:bCs/>
                <w:color w:val="auto"/>
                <w:sz w:val="22"/>
                <w:szCs w:val="22"/>
                <w:highlight w:val="none"/>
              </w:rPr>
              <w:t>11、双休日、节假日等参与壹食堂值班工作表现；</w:t>
            </w:r>
          </w:p>
        </w:tc>
        <w:tc>
          <w:tcPr>
            <w:tcW w:w="2933" w:type="dxa"/>
            <w:tcBorders>
              <w:top w:val="single" w:color="auto" w:sz="4" w:space="0"/>
              <w:left w:val="single" w:color="auto" w:sz="4" w:space="0"/>
              <w:bottom w:val="single" w:color="auto" w:sz="4" w:space="0"/>
              <w:right w:val="single" w:color="auto" w:sz="4" w:space="0"/>
            </w:tcBorders>
            <w:noWrap w:val="0"/>
            <w:vAlign w:val="center"/>
          </w:tcPr>
          <w:p w14:paraId="08EFC01B">
            <w:pPr>
              <w:spacing w:line="160" w:lineRule="atLeast"/>
              <w:ind w:right="141" w:rightChars="67"/>
              <w:rPr>
                <w:rFonts w:ascii="宋体"/>
                <w:bCs/>
                <w:color w:val="auto"/>
                <w:sz w:val="22"/>
                <w:szCs w:val="22"/>
                <w:highlight w:val="none"/>
              </w:rPr>
            </w:pPr>
            <w:r>
              <w:rPr>
                <w:rFonts w:hint="eastAsia" w:ascii="宋体"/>
                <w:bCs/>
                <w:color w:val="auto"/>
                <w:sz w:val="22"/>
                <w:szCs w:val="22"/>
                <w:highlight w:val="none"/>
              </w:rPr>
              <w:t>总体工作情况根据实际酌情扣分；</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426CA49E">
            <w:pPr>
              <w:spacing w:line="160" w:lineRule="atLeast"/>
              <w:ind w:right="44" w:rightChars="21"/>
              <w:jc w:val="center"/>
              <w:rPr>
                <w:rFonts w:ascii="宋体"/>
                <w:bCs/>
                <w:color w:val="auto"/>
                <w:sz w:val="22"/>
                <w:szCs w:val="22"/>
                <w:highlight w:val="none"/>
              </w:rPr>
            </w:pPr>
            <w:r>
              <w:rPr>
                <w:rFonts w:hint="eastAsia" w:ascii="宋体"/>
                <w:bCs/>
                <w:color w:val="auto"/>
                <w:sz w:val="22"/>
                <w:szCs w:val="22"/>
                <w:highlight w:val="none"/>
              </w:rPr>
              <w:t>5分</w:t>
            </w:r>
          </w:p>
        </w:tc>
      </w:tr>
      <w:tr w14:paraId="1A74D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27" w:type="dxa"/>
            <w:vMerge w:val="continue"/>
            <w:tcBorders>
              <w:left w:val="single" w:color="auto" w:sz="4" w:space="0"/>
              <w:bottom w:val="single" w:color="auto" w:sz="4" w:space="0"/>
              <w:right w:val="single" w:color="auto" w:sz="4" w:space="0"/>
            </w:tcBorders>
            <w:noWrap w:val="0"/>
            <w:vAlign w:val="center"/>
          </w:tcPr>
          <w:p w14:paraId="1B3B2093">
            <w:pPr>
              <w:spacing w:line="160" w:lineRule="atLeast"/>
              <w:rPr>
                <w:rFonts w:ascii="宋体"/>
                <w:bCs/>
                <w:color w:val="auto"/>
                <w:sz w:val="22"/>
                <w:szCs w:val="22"/>
                <w:highlight w:val="none"/>
              </w:rPr>
            </w:pPr>
          </w:p>
        </w:tc>
        <w:tc>
          <w:tcPr>
            <w:tcW w:w="9574" w:type="dxa"/>
            <w:tcBorders>
              <w:top w:val="single" w:color="auto" w:sz="4" w:space="0"/>
              <w:left w:val="single" w:color="auto" w:sz="4" w:space="0"/>
              <w:bottom w:val="single" w:color="auto" w:sz="4" w:space="0"/>
              <w:right w:val="single" w:color="auto" w:sz="4" w:space="0"/>
            </w:tcBorders>
            <w:noWrap w:val="0"/>
            <w:vAlign w:val="center"/>
          </w:tcPr>
          <w:p w14:paraId="6293A118">
            <w:pPr>
              <w:spacing w:line="160" w:lineRule="atLeast"/>
              <w:rPr>
                <w:rFonts w:ascii="宋体"/>
                <w:bCs/>
                <w:color w:val="auto"/>
                <w:sz w:val="22"/>
                <w:szCs w:val="22"/>
                <w:highlight w:val="none"/>
              </w:rPr>
            </w:pPr>
            <w:r>
              <w:rPr>
                <w:rFonts w:hint="eastAsia" w:ascii="宋体"/>
                <w:bCs/>
                <w:color w:val="auto"/>
                <w:sz w:val="22"/>
                <w:szCs w:val="22"/>
                <w:highlight w:val="none"/>
              </w:rPr>
              <w:t>12、其他未列的服务和管理方面问题</w:t>
            </w:r>
          </w:p>
        </w:tc>
        <w:tc>
          <w:tcPr>
            <w:tcW w:w="2933" w:type="dxa"/>
            <w:tcBorders>
              <w:top w:val="single" w:color="auto" w:sz="4" w:space="0"/>
              <w:left w:val="single" w:color="auto" w:sz="4" w:space="0"/>
              <w:bottom w:val="single" w:color="auto" w:sz="4" w:space="0"/>
              <w:right w:val="single" w:color="auto" w:sz="4" w:space="0"/>
            </w:tcBorders>
            <w:noWrap w:val="0"/>
            <w:vAlign w:val="center"/>
          </w:tcPr>
          <w:p w14:paraId="5571B262">
            <w:pPr>
              <w:spacing w:line="160" w:lineRule="atLeast"/>
              <w:ind w:right="141" w:rightChars="67"/>
              <w:rPr>
                <w:rFonts w:ascii="宋体"/>
                <w:bCs/>
                <w:color w:val="auto"/>
                <w:sz w:val="22"/>
                <w:szCs w:val="22"/>
                <w:highlight w:val="none"/>
              </w:rPr>
            </w:pPr>
            <w:r>
              <w:rPr>
                <w:rFonts w:hint="eastAsia" w:ascii="宋体"/>
                <w:bCs/>
                <w:color w:val="auto"/>
                <w:sz w:val="22"/>
                <w:szCs w:val="22"/>
                <w:highlight w:val="none"/>
              </w:rPr>
              <w:t>视情节酌情扣0.5-3分</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1BABBB0C">
            <w:pPr>
              <w:spacing w:line="160" w:lineRule="atLeast"/>
              <w:ind w:right="44" w:rightChars="21"/>
              <w:jc w:val="center"/>
              <w:rPr>
                <w:rFonts w:ascii="宋体"/>
                <w:bCs/>
                <w:color w:val="auto"/>
                <w:sz w:val="22"/>
                <w:szCs w:val="22"/>
                <w:highlight w:val="none"/>
              </w:rPr>
            </w:pPr>
            <w:r>
              <w:rPr>
                <w:rFonts w:hint="eastAsia" w:ascii="宋体"/>
                <w:bCs/>
                <w:color w:val="auto"/>
                <w:sz w:val="22"/>
                <w:szCs w:val="22"/>
                <w:highlight w:val="none"/>
              </w:rPr>
              <w:t>3分</w:t>
            </w:r>
          </w:p>
        </w:tc>
      </w:tr>
      <w:tr w14:paraId="17934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27" w:type="dxa"/>
            <w:vMerge w:val="restart"/>
            <w:tcBorders>
              <w:left w:val="single" w:color="auto" w:sz="4" w:space="0"/>
              <w:right w:val="single" w:color="auto" w:sz="4" w:space="0"/>
            </w:tcBorders>
            <w:noWrap w:val="0"/>
            <w:vAlign w:val="center"/>
          </w:tcPr>
          <w:p w14:paraId="72B304F1">
            <w:pPr>
              <w:widowControl/>
              <w:jc w:val="left"/>
              <w:rPr>
                <w:rFonts w:ascii="宋体"/>
                <w:bCs/>
                <w:color w:val="auto"/>
                <w:sz w:val="22"/>
                <w:szCs w:val="22"/>
                <w:highlight w:val="none"/>
              </w:rPr>
            </w:pPr>
            <w:r>
              <w:rPr>
                <w:rFonts w:hint="eastAsia" w:ascii="宋体"/>
                <w:bCs/>
                <w:color w:val="auto"/>
                <w:sz w:val="22"/>
                <w:szCs w:val="22"/>
                <w:highlight w:val="none"/>
              </w:rPr>
              <w:t>节能减排</w:t>
            </w:r>
          </w:p>
        </w:tc>
        <w:tc>
          <w:tcPr>
            <w:tcW w:w="9574" w:type="dxa"/>
            <w:tcBorders>
              <w:top w:val="single" w:color="auto" w:sz="4" w:space="0"/>
              <w:left w:val="single" w:color="auto" w:sz="4" w:space="0"/>
              <w:bottom w:val="single" w:color="auto" w:sz="4" w:space="0"/>
              <w:right w:val="single" w:color="auto" w:sz="4" w:space="0"/>
            </w:tcBorders>
            <w:noWrap w:val="0"/>
            <w:vAlign w:val="center"/>
          </w:tcPr>
          <w:p w14:paraId="69B6D184">
            <w:pPr>
              <w:spacing w:line="320" w:lineRule="exact"/>
              <w:rPr>
                <w:rFonts w:ascii="宋体"/>
                <w:bCs/>
                <w:color w:val="auto"/>
                <w:sz w:val="22"/>
                <w:szCs w:val="22"/>
                <w:highlight w:val="none"/>
              </w:rPr>
            </w:pPr>
            <w:r>
              <w:rPr>
                <w:rFonts w:hint="eastAsia" w:ascii="宋体"/>
                <w:bCs/>
                <w:color w:val="auto"/>
                <w:sz w:val="22"/>
                <w:szCs w:val="22"/>
                <w:highlight w:val="none"/>
              </w:rPr>
              <w:t>2、每月不少于4次的节能巡查，及时做好巡查记录；不定期抽查，未进行节能巡查的；</w:t>
            </w:r>
          </w:p>
        </w:tc>
        <w:tc>
          <w:tcPr>
            <w:tcW w:w="2933" w:type="dxa"/>
            <w:tcBorders>
              <w:top w:val="single" w:color="auto" w:sz="4" w:space="0"/>
              <w:left w:val="single" w:color="auto" w:sz="4" w:space="0"/>
              <w:bottom w:val="single" w:color="auto" w:sz="4" w:space="0"/>
              <w:right w:val="single" w:color="auto" w:sz="4" w:space="0"/>
            </w:tcBorders>
            <w:noWrap w:val="0"/>
            <w:vAlign w:val="center"/>
          </w:tcPr>
          <w:p w14:paraId="210E3630">
            <w:pPr>
              <w:spacing w:line="160" w:lineRule="atLeast"/>
              <w:ind w:right="-466" w:rightChars="-222"/>
              <w:rPr>
                <w:rFonts w:ascii="宋体"/>
                <w:bCs/>
                <w:color w:val="auto"/>
                <w:sz w:val="22"/>
                <w:szCs w:val="22"/>
                <w:highlight w:val="none"/>
              </w:rPr>
            </w:pPr>
            <w:r>
              <w:rPr>
                <w:rFonts w:hint="eastAsia" w:ascii="宋体"/>
                <w:bCs/>
                <w:color w:val="auto"/>
                <w:sz w:val="22"/>
                <w:szCs w:val="22"/>
                <w:highlight w:val="none"/>
              </w:rPr>
              <w:t>缺少一次扣0.5分</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4E23EE56">
            <w:pPr>
              <w:spacing w:line="160" w:lineRule="atLeast"/>
              <w:ind w:right="44" w:rightChars="21"/>
              <w:jc w:val="center"/>
              <w:rPr>
                <w:rFonts w:hint="eastAsia" w:ascii="宋体"/>
                <w:bCs/>
                <w:color w:val="auto"/>
                <w:sz w:val="22"/>
                <w:szCs w:val="22"/>
                <w:highlight w:val="none"/>
              </w:rPr>
            </w:pPr>
            <w:r>
              <w:rPr>
                <w:rFonts w:hint="eastAsia" w:ascii="宋体"/>
                <w:bCs/>
                <w:color w:val="auto"/>
                <w:sz w:val="22"/>
                <w:szCs w:val="22"/>
                <w:highlight w:val="none"/>
              </w:rPr>
              <w:t>2分</w:t>
            </w:r>
          </w:p>
        </w:tc>
      </w:tr>
      <w:tr w14:paraId="62AAE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27" w:type="dxa"/>
            <w:vMerge w:val="continue"/>
            <w:tcBorders>
              <w:left w:val="single" w:color="auto" w:sz="4" w:space="0"/>
              <w:right w:val="single" w:color="auto" w:sz="4" w:space="0"/>
            </w:tcBorders>
            <w:noWrap w:val="0"/>
            <w:vAlign w:val="center"/>
          </w:tcPr>
          <w:p w14:paraId="24BEE437">
            <w:pPr>
              <w:widowControl/>
              <w:jc w:val="left"/>
              <w:rPr>
                <w:rFonts w:ascii="宋体"/>
                <w:bCs/>
                <w:color w:val="auto"/>
                <w:sz w:val="22"/>
                <w:szCs w:val="22"/>
                <w:highlight w:val="none"/>
              </w:rPr>
            </w:pPr>
          </w:p>
        </w:tc>
        <w:tc>
          <w:tcPr>
            <w:tcW w:w="9574" w:type="dxa"/>
            <w:tcBorders>
              <w:top w:val="single" w:color="auto" w:sz="4" w:space="0"/>
              <w:left w:val="single" w:color="auto" w:sz="4" w:space="0"/>
              <w:bottom w:val="single" w:color="auto" w:sz="4" w:space="0"/>
              <w:right w:val="single" w:color="auto" w:sz="4" w:space="0"/>
            </w:tcBorders>
            <w:noWrap w:val="0"/>
            <w:vAlign w:val="center"/>
          </w:tcPr>
          <w:p w14:paraId="347DC36F">
            <w:pPr>
              <w:spacing w:line="320" w:lineRule="exact"/>
              <w:rPr>
                <w:rFonts w:ascii="宋体"/>
                <w:bCs/>
                <w:color w:val="auto"/>
                <w:sz w:val="22"/>
                <w:szCs w:val="22"/>
                <w:highlight w:val="none"/>
              </w:rPr>
            </w:pPr>
            <w:r>
              <w:rPr>
                <w:rFonts w:hint="eastAsia" w:ascii="宋体"/>
                <w:bCs/>
                <w:color w:val="auto"/>
                <w:sz w:val="22"/>
                <w:szCs w:val="22"/>
                <w:highlight w:val="none"/>
              </w:rPr>
              <w:t>3、以</w:t>
            </w:r>
            <w:r>
              <w:rPr>
                <w:rFonts w:hint="eastAsia" w:ascii="宋体"/>
                <w:bCs/>
                <w:color w:val="auto"/>
                <w:sz w:val="22"/>
                <w:szCs w:val="22"/>
                <w:highlight w:val="none"/>
                <w:lang w:val="en-US" w:eastAsia="zh-CN"/>
              </w:rPr>
              <w:t>2021</w:t>
            </w:r>
            <w:r>
              <w:rPr>
                <w:rFonts w:hint="eastAsia" w:ascii="宋体"/>
                <w:bCs/>
                <w:color w:val="auto"/>
                <w:sz w:val="22"/>
                <w:szCs w:val="22"/>
                <w:highlight w:val="none"/>
              </w:rPr>
              <w:t>年同月用水、电、油为基准， 以各项指标是否超出基准进行扣分；</w:t>
            </w:r>
          </w:p>
        </w:tc>
        <w:tc>
          <w:tcPr>
            <w:tcW w:w="2933" w:type="dxa"/>
            <w:tcBorders>
              <w:top w:val="single" w:color="auto" w:sz="4" w:space="0"/>
              <w:left w:val="single" w:color="auto" w:sz="4" w:space="0"/>
              <w:bottom w:val="single" w:color="auto" w:sz="4" w:space="0"/>
              <w:right w:val="single" w:color="auto" w:sz="4" w:space="0"/>
            </w:tcBorders>
            <w:noWrap w:val="0"/>
            <w:vAlign w:val="center"/>
          </w:tcPr>
          <w:p w14:paraId="634668C8">
            <w:pPr>
              <w:spacing w:line="160" w:lineRule="atLeast"/>
              <w:ind w:right="-466" w:rightChars="-222"/>
              <w:rPr>
                <w:rFonts w:ascii="宋体"/>
                <w:bCs/>
                <w:color w:val="auto"/>
                <w:sz w:val="22"/>
                <w:szCs w:val="22"/>
                <w:highlight w:val="none"/>
              </w:rPr>
            </w:pPr>
            <w:r>
              <w:rPr>
                <w:rFonts w:hint="eastAsia" w:ascii="宋体"/>
                <w:bCs/>
                <w:color w:val="auto"/>
                <w:sz w:val="22"/>
                <w:szCs w:val="22"/>
                <w:highlight w:val="none"/>
              </w:rPr>
              <w:t>根据实际情况酌情扣分</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532303FE">
            <w:pPr>
              <w:spacing w:line="160" w:lineRule="atLeast"/>
              <w:ind w:right="44" w:rightChars="21"/>
              <w:jc w:val="center"/>
              <w:rPr>
                <w:rFonts w:hint="eastAsia" w:ascii="宋体"/>
                <w:bCs/>
                <w:color w:val="auto"/>
                <w:sz w:val="22"/>
                <w:szCs w:val="22"/>
                <w:highlight w:val="none"/>
              </w:rPr>
            </w:pPr>
            <w:r>
              <w:rPr>
                <w:rFonts w:hint="eastAsia" w:ascii="宋体"/>
                <w:bCs/>
                <w:color w:val="auto"/>
                <w:sz w:val="22"/>
                <w:szCs w:val="22"/>
                <w:highlight w:val="none"/>
              </w:rPr>
              <w:t>2分</w:t>
            </w:r>
          </w:p>
        </w:tc>
      </w:tr>
      <w:tr w14:paraId="38565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527" w:type="dxa"/>
            <w:vMerge w:val="restart"/>
            <w:tcBorders>
              <w:left w:val="single" w:color="auto" w:sz="4" w:space="0"/>
              <w:right w:val="single" w:color="auto" w:sz="4" w:space="0"/>
            </w:tcBorders>
            <w:noWrap w:val="0"/>
            <w:vAlign w:val="center"/>
          </w:tcPr>
          <w:p w14:paraId="4DF48433">
            <w:pPr>
              <w:widowControl/>
              <w:jc w:val="left"/>
              <w:rPr>
                <w:rFonts w:ascii="宋体"/>
                <w:bCs/>
                <w:color w:val="auto"/>
                <w:sz w:val="22"/>
                <w:szCs w:val="22"/>
                <w:highlight w:val="none"/>
              </w:rPr>
            </w:pPr>
            <w:r>
              <w:rPr>
                <w:rFonts w:hint="eastAsia" w:ascii="宋体"/>
                <w:bCs/>
                <w:color w:val="auto"/>
                <w:sz w:val="22"/>
                <w:szCs w:val="22"/>
                <w:highlight w:val="none"/>
              </w:rPr>
              <w:t>垃圾分类</w:t>
            </w:r>
          </w:p>
        </w:tc>
        <w:tc>
          <w:tcPr>
            <w:tcW w:w="9574" w:type="dxa"/>
            <w:tcBorders>
              <w:top w:val="single" w:color="auto" w:sz="4" w:space="0"/>
              <w:left w:val="single" w:color="auto" w:sz="4" w:space="0"/>
              <w:bottom w:val="single" w:color="auto" w:sz="4" w:space="0"/>
              <w:right w:val="single" w:color="auto" w:sz="4" w:space="0"/>
            </w:tcBorders>
            <w:noWrap w:val="0"/>
            <w:vAlign w:val="center"/>
          </w:tcPr>
          <w:p w14:paraId="214DEA46">
            <w:pPr>
              <w:spacing w:line="320" w:lineRule="exact"/>
              <w:rPr>
                <w:rFonts w:ascii="宋体"/>
                <w:bCs/>
                <w:color w:val="auto"/>
                <w:sz w:val="22"/>
                <w:szCs w:val="22"/>
                <w:highlight w:val="none"/>
              </w:rPr>
            </w:pPr>
            <w:r>
              <w:rPr>
                <w:rFonts w:hint="eastAsia" w:ascii="宋体"/>
                <w:bCs/>
                <w:color w:val="auto"/>
                <w:sz w:val="22"/>
                <w:szCs w:val="22"/>
                <w:highlight w:val="none"/>
              </w:rPr>
              <w:t>厨余垃圾未分类的；</w:t>
            </w:r>
          </w:p>
        </w:tc>
        <w:tc>
          <w:tcPr>
            <w:tcW w:w="2933" w:type="dxa"/>
            <w:tcBorders>
              <w:top w:val="single" w:color="auto" w:sz="4" w:space="0"/>
              <w:left w:val="single" w:color="auto" w:sz="4" w:space="0"/>
              <w:bottom w:val="single" w:color="auto" w:sz="4" w:space="0"/>
              <w:right w:val="single" w:color="auto" w:sz="4" w:space="0"/>
            </w:tcBorders>
            <w:noWrap w:val="0"/>
            <w:vAlign w:val="center"/>
          </w:tcPr>
          <w:p w14:paraId="43FD712F">
            <w:pPr>
              <w:spacing w:line="160" w:lineRule="atLeast"/>
              <w:ind w:right="-466" w:rightChars="-222"/>
              <w:rPr>
                <w:rFonts w:ascii="宋体"/>
                <w:bCs/>
                <w:color w:val="auto"/>
                <w:sz w:val="22"/>
                <w:szCs w:val="22"/>
                <w:highlight w:val="none"/>
              </w:rPr>
            </w:pPr>
            <w:r>
              <w:rPr>
                <w:rFonts w:hint="eastAsia" w:ascii="宋体"/>
                <w:bCs/>
                <w:color w:val="auto"/>
                <w:sz w:val="22"/>
                <w:szCs w:val="22"/>
                <w:highlight w:val="none"/>
              </w:rPr>
              <w:t>发现一次扣0.5分</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071C03E1">
            <w:pPr>
              <w:spacing w:line="160" w:lineRule="atLeast"/>
              <w:ind w:right="44" w:rightChars="21"/>
              <w:jc w:val="center"/>
              <w:rPr>
                <w:rFonts w:hint="eastAsia" w:ascii="宋体"/>
                <w:bCs/>
                <w:color w:val="auto"/>
                <w:sz w:val="22"/>
                <w:szCs w:val="22"/>
                <w:highlight w:val="none"/>
              </w:rPr>
            </w:pPr>
            <w:r>
              <w:rPr>
                <w:rFonts w:hint="eastAsia" w:ascii="宋体"/>
                <w:bCs/>
                <w:color w:val="auto"/>
                <w:sz w:val="22"/>
                <w:szCs w:val="22"/>
                <w:highlight w:val="none"/>
              </w:rPr>
              <w:t>2分</w:t>
            </w:r>
          </w:p>
        </w:tc>
      </w:tr>
      <w:tr w14:paraId="5D58E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527" w:type="dxa"/>
            <w:vMerge w:val="continue"/>
            <w:tcBorders>
              <w:left w:val="single" w:color="auto" w:sz="4" w:space="0"/>
              <w:right w:val="single" w:color="auto" w:sz="4" w:space="0"/>
            </w:tcBorders>
            <w:noWrap w:val="0"/>
            <w:vAlign w:val="center"/>
          </w:tcPr>
          <w:p w14:paraId="49671882">
            <w:pPr>
              <w:widowControl/>
              <w:jc w:val="left"/>
              <w:rPr>
                <w:rFonts w:hint="eastAsia" w:ascii="宋体"/>
                <w:bCs/>
                <w:color w:val="auto"/>
                <w:sz w:val="22"/>
                <w:szCs w:val="22"/>
                <w:highlight w:val="none"/>
              </w:rPr>
            </w:pPr>
          </w:p>
        </w:tc>
        <w:tc>
          <w:tcPr>
            <w:tcW w:w="9574" w:type="dxa"/>
            <w:tcBorders>
              <w:top w:val="single" w:color="auto" w:sz="4" w:space="0"/>
              <w:left w:val="single" w:color="auto" w:sz="4" w:space="0"/>
              <w:bottom w:val="single" w:color="auto" w:sz="4" w:space="0"/>
              <w:right w:val="single" w:color="auto" w:sz="4" w:space="0"/>
            </w:tcBorders>
            <w:noWrap w:val="0"/>
            <w:vAlign w:val="center"/>
          </w:tcPr>
          <w:p w14:paraId="652FF8AB">
            <w:pPr>
              <w:spacing w:line="320" w:lineRule="exact"/>
              <w:rPr>
                <w:rFonts w:hint="eastAsia" w:ascii="宋体"/>
                <w:bCs/>
                <w:color w:val="auto"/>
                <w:sz w:val="22"/>
                <w:szCs w:val="22"/>
                <w:highlight w:val="none"/>
              </w:rPr>
            </w:pPr>
            <w:r>
              <w:rPr>
                <w:rFonts w:hint="eastAsia" w:ascii="宋体"/>
                <w:bCs/>
                <w:color w:val="auto"/>
                <w:sz w:val="22"/>
                <w:szCs w:val="22"/>
                <w:highlight w:val="none"/>
              </w:rPr>
              <w:t>其他垃圾未分类的；</w:t>
            </w:r>
          </w:p>
        </w:tc>
        <w:tc>
          <w:tcPr>
            <w:tcW w:w="2933" w:type="dxa"/>
            <w:tcBorders>
              <w:top w:val="single" w:color="auto" w:sz="4" w:space="0"/>
              <w:left w:val="single" w:color="auto" w:sz="4" w:space="0"/>
              <w:bottom w:val="single" w:color="auto" w:sz="4" w:space="0"/>
              <w:right w:val="single" w:color="auto" w:sz="4" w:space="0"/>
            </w:tcBorders>
            <w:noWrap w:val="0"/>
            <w:vAlign w:val="center"/>
          </w:tcPr>
          <w:p w14:paraId="6763BFE4">
            <w:pPr>
              <w:spacing w:line="160" w:lineRule="atLeast"/>
              <w:ind w:right="-466" w:rightChars="-222"/>
              <w:rPr>
                <w:rFonts w:hint="eastAsia" w:ascii="宋体"/>
                <w:bCs/>
                <w:color w:val="auto"/>
                <w:sz w:val="22"/>
                <w:szCs w:val="22"/>
                <w:highlight w:val="none"/>
              </w:rPr>
            </w:pPr>
            <w:r>
              <w:rPr>
                <w:rFonts w:hint="eastAsia" w:ascii="宋体"/>
                <w:bCs/>
                <w:color w:val="auto"/>
                <w:sz w:val="22"/>
                <w:szCs w:val="22"/>
                <w:highlight w:val="none"/>
              </w:rPr>
              <w:t>发现一次扣0.5分</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272314C7">
            <w:pPr>
              <w:spacing w:line="160" w:lineRule="atLeast"/>
              <w:ind w:right="44" w:rightChars="21"/>
              <w:jc w:val="center"/>
              <w:rPr>
                <w:rFonts w:hint="eastAsia" w:ascii="宋体"/>
                <w:bCs/>
                <w:color w:val="auto"/>
                <w:sz w:val="22"/>
                <w:szCs w:val="22"/>
                <w:highlight w:val="none"/>
              </w:rPr>
            </w:pPr>
            <w:r>
              <w:rPr>
                <w:rFonts w:hint="eastAsia" w:ascii="宋体"/>
                <w:bCs/>
                <w:color w:val="auto"/>
                <w:sz w:val="22"/>
                <w:szCs w:val="22"/>
                <w:highlight w:val="none"/>
              </w:rPr>
              <w:t>1分</w:t>
            </w:r>
          </w:p>
        </w:tc>
      </w:tr>
      <w:tr w14:paraId="5B1F9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527" w:type="dxa"/>
            <w:vMerge w:val="continue"/>
            <w:tcBorders>
              <w:left w:val="single" w:color="auto" w:sz="4" w:space="0"/>
              <w:right w:val="single" w:color="auto" w:sz="4" w:space="0"/>
            </w:tcBorders>
            <w:noWrap w:val="0"/>
            <w:vAlign w:val="center"/>
          </w:tcPr>
          <w:p w14:paraId="633A56D8">
            <w:pPr>
              <w:widowControl/>
              <w:jc w:val="left"/>
              <w:rPr>
                <w:rFonts w:hint="eastAsia" w:ascii="宋体"/>
                <w:bCs/>
                <w:color w:val="auto"/>
                <w:sz w:val="22"/>
                <w:szCs w:val="22"/>
                <w:highlight w:val="none"/>
              </w:rPr>
            </w:pPr>
          </w:p>
        </w:tc>
        <w:tc>
          <w:tcPr>
            <w:tcW w:w="9574" w:type="dxa"/>
            <w:tcBorders>
              <w:top w:val="single" w:color="auto" w:sz="4" w:space="0"/>
              <w:left w:val="single" w:color="auto" w:sz="4" w:space="0"/>
              <w:bottom w:val="single" w:color="auto" w:sz="4" w:space="0"/>
              <w:right w:val="single" w:color="auto" w:sz="4" w:space="0"/>
            </w:tcBorders>
            <w:noWrap w:val="0"/>
            <w:vAlign w:val="center"/>
          </w:tcPr>
          <w:p w14:paraId="1237EA0E">
            <w:pPr>
              <w:spacing w:line="320" w:lineRule="exact"/>
              <w:rPr>
                <w:rFonts w:hint="eastAsia" w:ascii="宋体"/>
                <w:bCs/>
                <w:color w:val="auto"/>
                <w:sz w:val="22"/>
                <w:szCs w:val="22"/>
                <w:highlight w:val="none"/>
              </w:rPr>
            </w:pPr>
            <w:r>
              <w:rPr>
                <w:rFonts w:hint="eastAsia" w:ascii="宋体"/>
                <w:bCs/>
                <w:color w:val="auto"/>
                <w:sz w:val="22"/>
                <w:szCs w:val="22"/>
                <w:highlight w:val="none"/>
              </w:rPr>
              <w:t>可回收垃圾未分类的；</w:t>
            </w:r>
          </w:p>
        </w:tc>
        <w:tc>
          <w:tcPr>
            <w:tcW w:w="2933" w:type="dxa"/>
            <w:tcBorders>
              <w:top w:val="single" w:color="auto" w:sz="4" w:space="0"/>
              <w:left w:val="single" w:color="auto" w:sz="4" w:space="0"/>
              <w:bottom w:val="single" w:color="auto" w:sz="4" w:space="0"/>
              <w:right w:val="single" w:color="auto" w:sz="4" w:space="0"/>
            </w:tcBorders>
            <w:noWrap w:val="0"/>
            <w:vAlign w:val="center"/>
          </w:tcPr>
          <w:p w14:paraId="649224A6">
            <w:pPr>
              <w:spacing w:line="160" w:lineRule="atLeast"/>
              <w:ind w:right="-466" w:rightChars="-222"/>
              <w:rPr>
                <w:rFonts w:hint="eastAsia" w:ascii="宋体"/>
                <w:bCs/>
                <w:color w:val="auto"/>
                <w:sz w:val="22"/>
                <w:szCs w:val="22"/>
                <w:highlight w:val="none"/>
              </w:rPr>
            </w:pPr>
            <w:r>
              <w:rPr>
                <w:rFonts w:hint="eastAsia" w:ascii="宋体"/>
                <w:bCs/>
                <w:color w:val="auto"/>
                <w:sz w:val="22"/>
                <w:szCs w:val="22"/>
                <w:highlight w:val="none"/>
              </w:rPr>
              <w:t>发现一次扣0.5分</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33FE93DC">
            <w:pPr>
              <w:spacing w:line="160" w:lineRule="atLeast"/>
              <w:ind w:right="44" w:rightChars="21"/>
              <w:jc w:val="center"/>
              <w:rPr>
                <w:rFonts w:hint="eastAsia" w:ascii="宋体"/>
                <w:bCs/>
                <w:color w:val="auto"/>
                <w:sz w:val="22"/>
                <w:szCs w:val="22"/>
                <w:highlight w:val="none"/>
              </w:rPr>
            </w:pPr>
            <w:r>
              <w:rPr>
                <w:rFonts w:hint="eastAsia" w:ascii="宋体"/>
                <w:bCs/>
                <w:color w:val="auto"/>
                <w:sz w:val="22"/>
                <w:szCs w:val="22"/>
                <w:highlight w:val="none"/>
              </w:rPr>
              <w:t>1分</w:t>
            </w:r>
          </w:p>
        </w:tc>
      </w:tr>
      <w:tr w14:paraId="1765A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527" w:type="dxa"/>
            <w:vMerge w:val="continue"/>
            <w:tcBorders>
              <w:left w:val="single" w:color="auto" w:sz="4" w:space="0"/>
              <w:right w:val="single" w:color="auto" w:sz="4" w:space="0"/>
            </w:tcBorders>
            <w:noWrap w:val="0"/>
            <w:vAlign w:val="center"/>
          </w:tcPr>
          <w:p w14:paraId="0118BEE5">
            <w:pPr>
              <w:widowControl/>
              <w:jc w:val="left"/>
              <w:rPr>
                <w:rFonts w:hint="eastAsia" w:ascii="宋体"/>
                <w:bCs/>
                <w:color w:val="auto"/>
                <w:sz w:val="22"/>
                <w:szCs w:val="22"/>
                <w:highlight w:val="none"/>
              </w:rPr>
            </w:pPr>
          </w:p>
        </w:tc>
        <w:tc>
          <w:tcPr>
            <w:tcW w:w="9574" w:type="dxa"/>
            <w:tcBorders>
              <w:top w:val="single" w:color="auto" w:sz="4" w:space="0"/>
              <w:left w:val="single" w:color="auto" w:sz="4" w:space="0"/>
              <w:bottom w:val="single" w:color="auto" w:sz="4" w:space="0"/>
              <w:right w:val="single" w:color="auto" w:sz="4" w:space="0"/>
            </w:tcBorders>
            <w:noWrap w:val="0"/>
            <w:vAlign w:val="center"/>
          </w:tcPr>
          <w:p w14:paraId="10A0BFBC">
            <w:pPr>
              <w:spacing w:line="320" w:lineRule="exact"/>
              <w:rPr>
                <w:rFonts w:hint="eastAsia" w:ascii="宋体"/>
                <w:bCs/>
                <w:color w:val="auto"/>
                <w:sz w:val="22"/>
                <w:szCs w:val="22"/>
                <w:highlight w:val="none"/>
              </w:rPr>
            </w:pPr>
            <w:r>
              <w:rPr>
                <w:rFonts w:hint="eastAsia" w:ascii="宋体"/>
                <w:bCs/>
                <w:color w:val="auto"/>
                <w:sz w:val="22"/>
                <w:szCs w:val="22"/>
                <w:highlight w:val="none"/>
              </w:rPr>
              <w:t>有害垃圾未分类的；</w:t>
            </w:r>
          </w:p>
        </w:tc>
        <w:tc>
          <w:tcPr>
            <w:tcW w:w="2933" w:type="dxa"/>
            <w:tcBorders>
              <w:top w:val="single" w:color="auto" w:sz="4" w:space="0"/>
              <w:left w:val="single" w:color="auto" w:sz="4" w:space="0"/>
              <w:bottom w:val="single" w:color="auto" w:sz="4" w:space="0"/>
              <w:right w:val="single" w:color="auto" w:sz="4" w:space="0"/>
            </w:tcBorders>
            <w:noWrap w:val="0"/>
            <w:vAlign w:val="center"/>
          </w:tcPr>
          <w:p w14:paraId="15CAF165">
            <w:pPr>
              <w:spacing w:line="160" w:lineRule="atLeast"/>
              <w:ind w:right="-466" w:rightChars="-222"/>
              <w:rPr>
                <w:rFonts w:hint="eastAsia" w:ascii="宋体"/>
                <w:bCs/>
                <w:color w:val="auto"/>
                <w:sz w:val="22"/>
                <w:szCs w:val="22"/>
                <w:highlight w:val="none"/>
              </w:rPr>
            </w:pPr>
            <w:r>
              <w:rPr>
                <w:rFonts w:hint="eastAsia" w:ascii="宋体"/>
                <w:bCs/>
                <w:color w:val="auto"/>
                <w:sz w:val="22"/>
                <w:szCs w:val="22"/>
                <w:highlight w:val="none"/>
              </w:rPr>
              <w:t>发现一次扣0.5分</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6266C16E">
            <w:pPr>
              <w:spacing w:line="160" w:lineRule="atLeast"/>
              <w:ind w:right="44" w:rightChars="21"/>
              <w:jc w:val="center"/>
              <w:rPr>
                <w:rFonts w:hint="eastAsia" w:ascii="宋体"/>
                <w:bCs/>
                <w:color w:val="auto"/>
                <w:sz w:val="22"/>
                <w:szCs w:val="22"/>
                <w:highlight w:val="none"/>
              </w:rPr>
            </w:pPr>
            <w:r>
              <w:rPr>
                <w:rFonts w:hint="eastAsia" w:ascii="宋体"/>
                <w:bCs/>
                <w:color w:val="auto"/>
                <w:sz w:val="22"/>
                <w:szCs w:val="22"/>
                <w:highlight w:val="none"/>
              </w:rPr>
              <w:t>1分</w:t>
            </w:r>
          </w:p>
        </w:tc>
      </w:tr>
      <w:tr w14:paraId="643B3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527" w:type="dxa"/>
            <w:vMerge w:val="restart"/>
            <w:tcBorders>
              <w:left w:val="single" w:color="auto" w:sz="4" w:space="0"/>
              <w:right w:val="single" w:color="auto" w:sz="4" w:space="0"/>
            </w:tcBorders>
            <w:noWrap w:val="0"/>
            <w:vAlign w:val="center"/>
          </w:tcPr>
          <w:p w14:paraId="706F41CA">
            <w:pPr>
              <w:widowControl/>
              <w:jc w:val="left"/>
              <w:rPr>
                <w:rFonts w:ascii="宋体"/>
                <w:bCs/>
                <w:color w:val="auto"/>
                <w:sz w:val="22"/>
                <w:szCs w:val="22"/>
                <w:highlight w:val="none"/>
              </w:rPr>
            </w:pPr>
            <w:r>
              <w:rPr>
                <w:rFonts w:hint="eastAsia" w:ascii="宋体"/>
                <w:bCs/>
                <w:color w:val="auto"/>
                <w:sz w:val="22"/>
                <w:szCs w:val="22"/>
                <w:highlight w:val="none"/>
              </w:rPr>
              <w:t>成本控制</w:t>
            </w:r>
          </w:p>
        </w:tc>
        <w:tc>
          <w:tcPr>
            <w:tcW w:w="9574" w:type="dxa"/>
            <w:tcBorders>
              <w:top w:val="single" w:color="auto" w:sz="4" w:space="0"/>
              <w:left w:val="single" w:color="auto" w:sz="4" w:space="0"/>
              <w:bottom w:val="single" w:color="auto" w:sz="4" w:space="0"/>
              <w:right w:val="single" w:color="auto" w:sz="4" w:space="0"/>
            </w:tcBorders>
            <w:noWrap w:val="0"/>
            <w:vAlign w:val="center"/>
          </w:tcPr>
          <w:p w14:paraId="209EA875">
            <w:pPr>
              <w:spacing w:line="320" w:lineRule="exact"/>
              <w:rPr>
                <w:rFonts w:ascii="宋体"/>
                <w:bCs/>
                <w:color w:val="auto"/>
                <w:sz w:val="22"/>
                <w:szCs w:val="22"/>
                <w:highlight w:val="none"/>
              </w:rPr>
            </w:pPr>
            <w:r>
              <w:rPr>
                <w:rFonts w:hint="eastAsia" w:ascii="宋体"/>
                <w:bCs/>
                <w:color w:val="auto"/>
                <w:sz w:val="22"/>
                <w:szCs w:val="22"/>
                <w:highlight w:val="none"/>
              </w:rPr>
              <w:t>1、根据月成本核算结果，每餐成本按照核定标准上下浮动控制在5%以内</w:t>
            </w:r>
          </w:p>
        </w:tc>
        <w:tc>
          <w:tcPr>
            <w:tcW w:w="2933" w:type="dxa"/>
            <w:tcBorders>
              <w:top w:val="single" w:color="auto" w:sz="4" w:space="0"/>
              <w:left w:val="single" w:color="auto" w:sz="4" w:space="0"/>
              <w:bottom w:val="single" w:color="auto" w:sz="4" w:space="0"/>
              <w:right w:val="single" w:color="auto" w:sz="4" w:space="0"/>
            </w:tcBorders>
            <w:noWrap w:val="0"/>
            <w:vAlign w:val="center"/>
          </w:tcPr>
          <w:p w14:paraId="4175E635">
            <w:pPr>
              <w:spacing w:line="160" w:lineRule="atLeast"/>
              <w:ind w:right="-466" w:rightChars="-222"/>
              <w:rPr>
                <w:rFonts w:ascii="宋体"/>
                <w:bCs/>
                <w:color w:val="auto"/>
                <w:sz w:val="22"/>
                <w:szCs w:val="22"/>
                <w:highlight w:val="none"/>
              </w:rPr>
            </w:pPr>
            <w:r>
              <w:rPr>
                <w:rFonts w:hint="eastAsia" w:ascii="宋体"/>
                <w:bCs/>
                <w:color w:val="auto"/>
                <w:sz w:val="22"/>
                <w:szCs w:val="22"/>
                <w:highlight w:val="none"/>
              </w:rPr>
              <w:t>每超1%扣1分</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112EAF48">
            <w:pPr>
              <w:spacing w:line="160" w:lineRule="atLeast"/>
              <w:ind w:right="44" w:rightChars="21"/>
              <w:jc w:val="center"/>
              <w:rPr>
                <w:rFonts w:hint="eastAsia" w:ascii="宋体"/>
                <w:bCs/>
                <w:color w:val="auto"/>
                <w:sz w:val="22"/>
                <w:szCs w:val="22"/>
                <w:highlight w:val="none"/>
              </w:rPr>
            </w:pPr>
            <w:r>
              <w:rPr>
                <w:rFonts w:hint="eastAsia" w:ascii="宋体"/>
                <w:bCs/>
                <w:color w:val="auto"/>
                <w:sz w:val="22"/>
                <w:szCs w:val="22"/>
                <w:highlight w:val="none"/>
              </w:rPr>
              <w:t>5分</w:t>
            </w:r>
          </w:p>
        </w:tc>
      </w:tr>
      <w:tr w14:paraId="0D50E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527" w:type="dxa"/>
            <w:vMerge w:val="continue"/>
            <w:tcBorders>
              <w:left w:val="single" w:color="auto" w:sz="4" w:space="0"/>
              <w:right w:val="single" w:color="auto" w:sz="4" w:space="0"/>
            </w:tcBorders>
            <w:noWrap w:val="0"/>
            <w:vAlign w:val="center"/>
          </w:tcPr>
          <w:p w14:paraId="20FD9FE7">
            <w:pPr>
              <w:widowControl/>
              <w:jc w:val="left"/>
              <w:rPr>
                <w:rFonts w:ascii="宋体"/>
                <w:bCs/>
                <w:color w:val="auto"/>
                <w:sz w:val="22"/>
                <w:szCs w:val="22"/>
                <w:highlight w:val="none"/>
              </w:rPr>
            </w:pPr>
          </w:p>
        </w:tc>
        <w:tc>
          <w:tcPr>
            <w:tcW w:w="9574" w:type="dxa"/>
            <w:tcBorders>
              <w:top w:val="single" w:color="auto" w:sz="4" w:space="0"/>
              <w:left w:val="single" w:color="auto" w:sz="4" w:space="0"/>
              <w:bottom w:val="single" w:color="auto" w:sz="4" w:space="0"/>
              <w:right w:val="single" w:color="auto" w:sz="4" w:space="0"/>
            </w:tcBorders>
            <w:noWrap w:val="0"/>
            <w:vAlign w:val="center"/>
          </w:tcPr>
          <w:p w14:paraId="5790B8F8">
            <w:pPr>
              <w:spacing w:line="320" w:lineRule="exact"/>
              <w:rPr>
                <w:rFonts w:ascii="宋体"/>
                <w:bCs/>
                <w:color w:val="auto"/>
                <w:sz w:val="22"/>
                <w:szCs w:val="22"/>
                <w:highlight w:val="none"/>
              </w:rPr>
            </w:pPr>
            <w:r>
              <w:rPr>
                <w:rFonts w:hint="eastAsia" w:ascii="宋体"/>
                <w:bCs/>
                <w:color w:val="auto"/>
                <w:sz w:val="22"/>
                <w:szCs w:val="22"/>
                <w:highlight w:val="none"/>
              </w:rPr>
              <w:t>2、剩菜剩饭考核</w:t>
            </w:r>
          </w:p>
        </w:tc>
        <w:tc>
          <w:tcPr>
            <w:tcW w:w="2933" w:type="dxa"/>
            <w:tcBorders>
              <w:top w:val="single" w:color="auto" w:sz="4" w:space="0"/>
              <w:left w:val="single" w:color="auto" w:sz="4" w:space="0"/>
              <w:bottom w:val="single" w:color="auto" w:sz="4" w:space="0"/>
              <w:right w:val="single" w:color="auto" w:sz="4" w:space="0"/>
            </w:tcBorders>
            <w:noWrap w:val="0"/>
            <w:vAlign w:val="center"/>
          </w:tcPr>
          <w:p w14:paraId="09DFAF22">
            <w:pPr>
              <w:spacing w:line="160" w:lineRule="atLeast"/>
              <w:ind w:right="-466" w:rightChars="-222"/>
              <w:rPr>
                <w:rFonts w:ascii="宋体"/>
                <w:bCs/>
                <w:color w:val="auto"/>
                <w:sz w:val="22"/>
                <w:szCs w:val="22"/>
                <w:highlight w:val="none"/>
              </w:rPr>
            </w:pPr>
            <w:r>
              <w:rPr>
                <w:rFonts w:hint="eastAsia" w:ascii="宋体"/>
                <w:bCs/>
                <w:color w:val="auto"/>
                <w:sz w:val="22"/>
                <w:szCs w:val="22"/>
                <w:highlight w:val="none"/>
              </w:rPr>
              <w:t>视剩菜剩饭指标扣分</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06357EB0">
            <w:pPr>
              <w:spacing w:line="160" w:lineRule="atLeast"/>
              <w:ind w:right="44" w:rightChars="21"/>
              <w:jc w:val="center"/>
              <w:rPr>
                <w:rFonts w:hint="eastAsia" w:ascii="宋体"/>
                <w:bCs/>
                <w:color w:val="auto"/>
                <w:sz w:val="22"/>
                <w:szCs w:val="22"/>
                <w:highlight w:val="none"/>
              </w:rPr>
            </w:pPr>
            <w:r>
              <w:rPr>
                <w:rFonts w:hint="eastAsia" w:ascii="宋体"/>
                <w:bCs/>
                <w:color w:val="auto"/>
                <w:sz w:val="22"/>
                <w:szCs w:val="22"/>
                <w:highlight w:val="none"/>
              </w:rPr>
              <w:t>3分</w:t>
            </w:r>
          </w:p>
        </w:tc>
      </w:tr>
      <w:tr w14:paraId="0523E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527" w:type="dxa"/>
            <w:vMerge w:val="continue"/>
            <w:tcBorders>
              <w:left w:val="single" w:color="auto" w:sz="4" w:space="0"/>
              <w:right w:val="single" w:color="auto" w:sz="4" w:space="0"/>
            </w:tcBorders>
            <w:noWrap w:val="0"/>
            <w:vAlign w:val="center"/>
          </w:tcPr>
          <w:p w14:paraId="15111DF9">
            <w:pPr>
              <w:widowControl/>
              <w:jc w:val="left"/>
              <w:rPr>
                <w:rFonts w:ascii="宋体"/>
                <w:bCs/>
                <w:color w:val="auto"/>
                <w:sz w:val="22"/>
                <w:szCs w:val="22"/>
                <w:highlight w:val="none"/>
              </w:rPr>
            </w:pPr>
          </w:p>
        </w:tc>
        <w:tc>
          <w:tcPr>
            <w:tcW w:w="9574" w:type="dxa"/>
            <w:tcBorders>
              <w:top w:val="single" w:color="auto" w:sz="4" w:space="0"/>
              <w:left w:val="single" w:color="auto" w:sz="4" w:space="0"/>
              <w:bottom w:val="single" w:color="auto" w:sz="4" w:space="0"/>
              <w:right w:val="single" w:color="auto" w:sz="4" w:space="0"/>
            </w:tcBorders>
            <w:noWrap w:val="0"/>
            <w:vAlign w:val="center"/>
          </w:tcPr>
          <w:p w14:paraId="0D03EF18">
            <w:pPr>
              <w:spacing w:line="320" w:lineRule="exact"/>
              <w:rPr>
                <w:rFonts w:ascii="宋体"/>
                <w:bCs/>
                <w:color w:val="auto"/>
                <w:sz w:val="22"/>
                <w:szCs w:val="22"/>
                <w:highlight w:val="none"/>
              </w:rPr>
            </w:pPr>
            <w:r>
              <w:rPr>
                <w:rFonts w:hint="eastAsia" w:ascii="宋体"/>
                <w:bCs/>
                <w:color w:val="auto"/>
                <w:sz w:val="22"/>
                <w:szCs w:val="22"/>
                <w:highlight w:val="none"/>
              </w:rPr>
              <w:t>3、调味品用量考核表</w:t>
            </w:r>
          </w:p>
        </w:tc>
        <w:tc>
          <w:tcPr>
            <w:tcW w:w="2933" w:type="dxa"/>
            <w:tcBorders>
              <w:top w:val="single" w:color="auto" w:sz="4" w:space="0"/>
              <w:left w:val="single" w:color="auto" w:sz="4" w:space="0"/>
              <w:bottom w:val="single" w:color="auto" w:sz="4" w:space="0"/>
              <w:right w:val="single" w:color="auto" w:sz="4" w:space="0"/>
            </w:tcBorders>
            <w:noWrap w:val="0"/>
            <w:vAlign w:val="center"/>
          </w:tcPr>
          <w:p w14:paraId="45647FB3">
            <w:pPr>
              <w:spacing w:line="320" w:lineRule="exact"/>
              <w:ind w:right="-466" w:rightChars="-222"/>
              <w:rPr>
                <w:rFonts w:ascii="宋体"/>
                <w:bCs/>
                <w:color w:val="auto"/>
                <w:sz w:val="22"/>
                <w:szCs w:val="22"/>
                <w:highlight w:val="none"/>
              </w:rPr>
            </w:pPr>
            <w:r>
              <w:rPr>
                <w:rFonts w:hint="eastAsia" w:ascii="宋体"/>
                <w:bCs/>
                <w:color w:val="auto"/>
                <w:sz w:val="22"/>
                <w:szCs w:val="22"/>
                <w:highlight w:val="none"/>
              </w:rPr>
              <w:t>视控油控盐指标扣分</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30A8E282">
            <w:pPr>
              <w:spacing w:line="160" w:lineRule="atLeast"/>
              <w:ind w:right="44" w:rightChars="21"/>
              <w:jc w:val="center"/>
              <w:rPr>
                <w:rFonts w:hint="eastAsia" w:ascii="宋体"/>
                <w:bCs/>
                <w:color w:val="auto"/>
                <w:sz w:val="22"/>
                <w:szCs w:val="22"/>
                <w:highlight w:val="none"/>
              </w:rPr>
            </w:pPr>
            <w:r>
              <w:rPr>
                <w:rFonts w:hint="eastAsia" w:ascii="宋体"/>
                <w:bCs/>
                <w:color w:val="auto"/>
                <w:sz w:val="22"/>
                <w:szCs w:val="22"/>
                <w:highlight w:val="none"/>
              </w:rPr>
              <w:t>2分</w:t>
            </w:r>
          </w:p>
        </w:tc>
      </w:tr>
      <w:tr w14:paraId="3CCD6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527" w:type="dxa"/>
            <w:tcBorders>
              <w:left w:val="single" w:color="auto" w:sz="4" w:space="0"/>
              <w:bottom w:val="single" w:color="auto" w:sz="4" w:space="0"/>
              <w:right w:val="single" w:color="auto" w:sz="4" w:space="0"/>
            </w:tcBorders>
            <w:noWrap w:val="0"/>
            <w:vAlign w:val="center"/>
          </w:tcPr>
          <w:p w14:paraId="5FDE97AB">
            <w:pPr>
              <w:widowControl/>
              <w:jc w:val="left"/>
              <w:rPr>
                <w:rFonts w:ascii="宋体"/>
                <w:bCs/>
                <w:color w:val="auto"/>
                <w:sz w:val="22"/>
                <w:szCs w:val="22"/>
                <w:highlight w:val="none"/>
              </w:rPr>
            </w:pPr>
            <w:r>
              <w:rPr>
                <w:rFonts w:hint="eastAsia" w:ascii="宋体"/>
                <w:bCs/>
                <w:color w:val="auto"/>
                <w:sz w:val="22"/>
                <w:szCs w:val="22"/>
                <w:highlight w:val="none"/>
              </w:rPr>
              <w:t>满意度调查</w:t>
            </w:r>
          </w:p>
        </w:tc>
        <w:tc>
          <w:tcPr>
            <w:tcW w:w="9574" w:type="dxa"/>
            <w:tcBorders>
              <w:top w:val="single" w:color="auto" w:sz="4" w:space="0"/>
              <w:left w:val="single" w:color="auto" w:sz="4" w:space="0"/>
              <w:bottom w:val="single" w:color="auto" w:sz="4" w:space="0"/>
              <w:right w:val="single" w:color="auto" w:sz="4" w:space="0"/>
            </w:tcBorders>
            <w:noWrap w:val="0"/>
            <w:vAlign w:val="center"/>
          </w:tcPr>
          <w:p w14:paraId="40A50FB2">
            <w:pPr>
              <w:spacing w:line="160" w:lineRule="atLeast"/>
              <w:rPr>
                <w:rFonts w:ascii="宋体"/>
                <w:bCs/>
                <w:color w:val="auto"/>
                <w:sz w:val="22"/>
                <w:szCs w:val="22"/>
                <w:highlight w:val="none"/>
              </w:rPr>
            </w:pPr>
            <w:r>
              <w:rPr>
                <w:rFonts w:hint="eastAsia" w:ascii="宋体"/>
                <w:bCs/>
                <w:color w:val="auto"/>
                <w:sz w:val="22"/>
                <w:szCs w:val="22"/>
                <w:highlight w:val="none"/>
              </w:rPr>
              <w:t>招标人原则上每月组织</w:t>
            </w:r>
            <w:r>
              <w:rPr>
                <w:rFonts w:ascii="宋体"/>
                <w:bCs/>
                <w:color w:val="auto"/>
                <w:sz w:val="22"/>
                <w:szCs w:val="22"/>
                <w:highlight w:val="none"/>
              </w:rPr>
              <w:t>1次对中标人食堂后勤服务、烹饪、卫生、安全等方面进行满意度测评。</w:t>
            </w:r>
          </w:p>
        </w:tc>
        <w:tc>
          <w:tcPr>
            <w:tcW w:w="2933" w:type="dxa"/>
            <w:tcBorders>
              <w:top w:val="single" w:color="auto" w:sz="4" w:space="0"/>
              <w:left w:val="single" w:color="auto" w:sz="4" w:space="0"/>
              <w:bottom w:val="single" w:color="auto" w:sz="4" w:space="0"/>
              <w:right w:val="single" w:color="auto" w:sz="4" w:space="0"/>
            </w:tcBorders>
            <w:noWrap w:val="0"/>
            <w:vAlign w:val="center"/>
          </w:tcPr>
          <w:p w14:paraId="12EE2A1B">
            <w:pPr>
              <w:spacing w:line="160" w:lineRule="atLeast"/>
              <w:ind w:right="-466" w:rightChars="-222"/>
              <w:rPr>
                <w:rFonts w:ascii="宋体"/>
                <w:bCs/>
                <w:color w:val="auto"/>
                <w:sz w:val="22"/>
                <w:szCs w:val="22"/>
                <w:highlight w:val="none"/>
              </w:rPr>
            </w:pPr>
            <w:r>
              <w:rPr>
                <w:rFonts w:hint="eastAsia" w:ascii="宋体"/>
                <w:bCs/>
                <w:color w:val="auto"/>
                <w:sz w:val="22"/>
                <w:szCs w:val="22"/>
                <w:highlight w:val="none"/>
              </w:rPr>
              <w:t>满意度在95%以上不扣分</w:t>
            </w:r>
          </w:p>
          <w:p w14:paraId="5A47D373">
            <w:pPr>
              <w:spacing w:line="160" w:lineRule="atLeast"/>
              <w:ind w:right="-466" w:rightChars="-222"/>
              <w:rPr>
                <w:rFonts w:ascii="宋体"/>
                <w:bCs/>
                <w:color w:val="auto"/>
                <w:sz w:val="22"/>
                <w:szCs w:val="22"/>
                <w:highlight w:val="none"/>
              </w:rPr>
            </w:pPr>
            <w:r>
              <w:rPr>
                <w:rFonts w:hint="eastAsia" w:ascii="宋体"/>
                <w:bCs/>
                <w:color w:val="auto"/>
                <w:sz w:val="22"/>
                <w:szCs w:val="22"/>
                <w:highlight w:val="none"/>
              </w:rPr>
              <w:t>；92%（含）-95%扣1分；</w:t>
            </w:r>
          </w:p>
          <w:p w14:paraId="12D1120D">
            <w:pPr>
              <w:spacing w:line="160" w:lineRule="atLeast"/>
              <w:ind w:right="-466" w:rightChars="-222"/>
              <w:rPr>
                <w:rFonts w:ascii="宋体"/>
                <w:bCs/>
                <w:color w:val="auto"/>
                <w:sz w:val="22"/>
                <w:szCs w:val="22"/>
                <w:highlight w:val="none"/>
              </w:rPr>
            </w:pPr>
            <w:r>
              <w:rPr>
                <w:rFonts w:hint="eastAsia" w:ascii="宋体"/>
                <w:bCs/>
                <w:color w:val="auto"/>
                <w:sz w:val="22"/>
                <w:szCs w:val="22"/>
                <w:highlight w:val="none"/>
              </w:rPr>
              <w:t>90%（含）-92%扣3分；</w:t>
            </w:r>
          </w:p>
          <w:p w14:paraId="71D6D4E1">
            <w:pPr>
              <w:spacing w:line="160" w:lineRule="atLeast"/>
              <w:ind w:right="-466" w:rightChars="-222"/>
              <w:rPr>
                <w:rFonts w:ascii="宋体"/>
                <w:bCs/>
                <w:color w:val="auto"/>
                <w:sz w:val="22"/>
                <w:szCs w:val="22"/>
                <w:highlight w:val="none"/>
              </w:rPr>
            </w:pPr>
            <w:r>
              <w:rPr>
                <w:rFonts w:hint="eastAsia" w:ascii="宋体"/>
                <w:bCs/>
                <w:color w:val="auto"/>
                <w:sz w:val="22"/>
                <w:szCs w:val="22"/>
                <w:highlight w:val="none"/>
              </w:rPr>
              <w:t>85%（含）-90%扣6分；</w:t>
            </w:r>
          </w:p>
          <w:p w14:paraId="3466B4C2">
            <w:pPr>
              <w:spacing w:line="160" w:lineRule="atLeast"/>
              <w:ind w:right="-466" w:rightChars="-222"/>
              <w:rPr>
                <w:rFonts w:ascii="宋体"/>
                <w:bCs/>
                <w:color w:val="auto"/>
                <w:sz w:val="22"/>
                <w:szCs w:val="22"/>
                <w:highlight w:val="none"/>
              </w:rPr>
            </w:pPr>
            <w:r>
              <w:rPr>
                <w:rFonts w:hint="eastAsia" w:ascii="宋体"/>
                <w:bCs/>
                <w:color w:val="auto"/>
                <w:sz w:val="22"/>
                <w:szCs w:val="22"/>
                <w:highlight w:val="none"/>
              </w:rPr>
              <w:t>85%以下不得分</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282C9600">
            <w:pPr>
              <w:spacing w:line="160" w:lineRule="atLeast"/>
              <w:ind w:right="44" w:rightChars="21"/>
              <w:jc w:val="center"/>
              <w:rPr>
                <w:rFonts w:hint="eastAsia" w:ascii="宋体"/>
                <w:bCs/>
                <w:color w:val="auto"/>
                <w:sz w:val="22"/>
                <w:szCs w:val="22"/>
                <w:highlight w:val="none"/>
              </w:rPr>
            </w:pPr>
            <w:r>
              <w:rPr>
                <w:rFonts w:hint="eastAsia" w:ascii="宋体"/>
                <w:bCs/>
                <w:color w:val="auto"/>
                <w:sz w:val="22"/>
                <w:szCs w:val="22"/>
                <w:highlight w:val="none"/>
              </w:rPr>
              <w:t>12分</w:t>
            </w:r>
          </w:p>
        </w:tc>
      </w:tr>
    </w:tbl>
    <w:p w14:paraId="5DE7ACCF">
      <w:pPr>
        <w:spacing w:line="440" w:lineRule="exact"/>
        <w:ind w:left="110"/>
        <w:rPr>
          <w:rFonts w:ascii="宋体" w:hAnsi="宋体" w:cs="宋体"/>
          <w:color w:val="auto"/>
          <w:sz w:val="22"/>
          <w:szCs w:val="22"/>
          <w:highlight w:val="none"/>
        </w:rPr>
      </w:pPr>
    </w:p>
    <w:bookmarkEnd w:id="217"/>
    <w:p w14:paraId="4E20C925">
      <w:pPr>
        <w:rPr>
          <w:rFonts w:hint="eastAsia" w:ascii="宋体" w:hAnsi="宋体" w:eastAsia="宋体" w:cs="宋体"/>
          <w:color w:val="auto"/>
          <w:sz w:val="36"/>
          <w:szCs w:val="36"/>
          <w:highlight w:val="none"/>
        </w:rPr>
        <w:sectPr>
          <w:footerReference r:id="rId13" w:type="first"/>
          <w:headerReference r:id="rId10" w:type="default"/>
          <w:footerReference r:id="rId11" w:type="default"/>
          <w:footerReference r:id="rId12" w:type="even"/>
          <w:pgSz w:w="16838" w:h="11906" w:orient="landscape"/>
          <w:pgMar w:top="1134" w:right="1134" w:bottom="1134" w:left="1134" w:header="851" w:footer="851" w:gutter="0"/>
          <w:pgBorders>
            <w:top w:val="none" w:sz="0" w:space="0"/>
            <w:left w:val="none" w:sz="0" w:space="0"/>
            <w:bottom w:val="none" w:sz="0" w:space="0"/>
            <w:right w:val="none" w:sz="0" w:space="0"/>
          </w:pgBorders>
          <w:cols w:space="720" w:num="1"/>
          <w:titlePg/>
          <w:docGrid w:linePitch="312" w:charSpace="0"/>
        </w:sectPr>
      </w:pPr>
      <w:bookmarkStart w:id="218" w:name="_Toc522173455"/>
      <w:bookmarkEnd w:id="218"/>
      <w:bookmarkStart w:id="219" w:name="_Toc522173456"/>
      <w:bookmarkEnd w:id="219"/>
      <w:bookmarkStart w:id="220" w:name="_Toc522173452"/>
      <w:bookmarkEnd w:id="220"/>
      <w:bookmarkStart w:id="221" w:name="_Toc522173454"/>
      <w:bookmarkEnd w:id="221"/>
      <w:bookmarkStart w:id="222" w:name="_Toc522173453"/>
      <w:bookmarkEnd w:id="222"/>
      <w:r>
        <w:rPr>
          <w:rFonts w:hint="eastAsia" w:ascii="宋体" w:hAnsi="宋体" w:eastAsia="宋体" w:cs="宋体"/>
          <w:color w:val="auto"/>
          <w:sz w:val="36"/>
          <w:szCs w:val="36"/>
          <w:highlight w:val="none"/>
        </w:rPr>
        <w:br w:type="page"/>
      </w:r>
    </w:p>
    <w:p w14:paraId="21817ABC">
      <w:pPr>
        <w:pStyle w:val="5"/>
        <w:rPr>
          <w:rFonts w:hint="eastAsia"/>
          <w:color w:val="auto"/>
          <w:highlight w:val="none"/>
        </w:rPr>
      </w:pPr>
    </w:p>
    <w:p w14:paraId="6703FC37">
      <w:pPr>
        <w:pStyle w:val="5"/>
        <w:rPr>
          <w:rFonts w:ascii="宋体" w:hAnsi="宋体" w:eastAsia="宋体" w:cs="宋体"/>
          <w:color w:val="auto"/>
          <w:sz w:val="36"/>
          <w:szCs w:val="36"/>
          <w:highlight w:val="none"/>
        </w:rPr>
      </w:pPr>
      <w:bookmarkStart w:id="223" w:name="_Toc27250"/>
      <w:r>
        <w:rPr>
          <w:rFonts w:hint="eastAsia" w:ascii="宋体" w:hAnsi="宋体" w:eastAsia="宋体" w:cs="宋体"/>
          <w:color w:val="auto"/>
          <w:sz w:val="36"/>
          <w:szCs w:val="36"/>
          <w:highlight w:val="none"/>
        </w:rPr>
        <w:t>第五部分   附件</w:t>
      </w:r>
      <w:bookmarkEnd w:id="223"/>
    </w:p>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14:paraId="0548A2D4">
      <w:pPr>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附件一</w:t>
      </w:r>
    </w:p>
    <w:p w14:paraId="6295B7FD">
      <w:pPr>
        <w:spacing w:line="46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资格审</w:t>
      </w:r>
      <w:r>
        <w:rPr>
          <w:rFonts w:hint="eastAsia" w:ascii="宋体" w:hAnsi="宋体" w:cs="宋体"/>
          <w:b/>
          <w:bCs/>
          <w:color w:val="auto"/>
          <w:sz w:val="28"/>
          <w:szCs w:val="28"/>
          <w:highlight w:val="none"/>
          <w:lang w:eastAsia="zh-CN"/>
        </w:rPr>
        <w:t>查材</w:t>
      </w:r>
      <w:r>
        <w:rPr>
          <w:rFonts w:hint="eastAsia" w:ascii="宋体" w:hAnsi="宋体" w:cs="宋体"/>
          <w:b/>
          <w:bCs/>
          <w:color w:val="auto"/>
          <w:sz w:val="28"/>
          <w:szCs w:val="28"/>
          <w:highlight w:val="none"/>
        </w:rPr>
        <w:t>料</w:t>
      </w:r>
    </w:p>
    <w:p w14:paraId="351E7C87">
      <w:pPr>
        <w:spacing w:line="460" w:lineRule="exact"/>
        <w:jc w:val="center"/>
        <w:rPr>
          <w:rFonts w:ascii="宋体" w:hAnsi="宋体" w:cs="宋体"/>
          <w:color w:val="auto"/>
          <w:sz w:val="28"/>
          <w:szCs w:val="28"/>
          <w:highlight w:val="none"/>
        </w:rPr>
      </w:pPr>
    </w:p>
    <w:p w14:paraId="3A932AB8">
      <w:pPr>
        <w:spacing w:line="38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（1-1）法定代表人声明书</w:t>
      </w:r>
    </w:p>
    <w:p w14:paraId="0D381F7B">
      <w:pPr>
        <w:spacing w:line="400" w:lineRule="exact"/>
        <w:rPr>
          <w:rFonts w:ascii="宋体" w:hAnsi="宋体" w:cs="宋体"/>
          <w:color w:val="auto"/>
          <w:highlight w:val="none"/>
        </w:rPr>
      </w:pPr>
    </w:p>
    <w:p w14:paraId="368327A1">
      <w:pP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lang w:eastAsia="zh-CN"/>
        </w:rPr>
        <w:t xml:space="preserve">温州市鹿城区人民政府松台街道办事处 </w:t>
      </w:r>
      <w:r>
        <w:rPr>
          <w:rFonts w:hint="eastAsia" w:ascii="宋体" w:hAnsi="宋体" w:cs="宋体"/>
          <w:color w:val="auto"/>
          <w:sz w:val="22"/>
          <w:szCs w:val="22"/>
          <w:highlight w:val="none"/>
        </w:rPr>
        <w:t>：</w:t>
      </w:r>
    </w:p>
    <w:p w14:paraId="18CE38C5">
      <w:pP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lang w:eastAsia="zh-CN"/>
        </w:rPr>
        <w:t>华诚工程咨询集团有限公司</w:t>
      </w:r>
      <w:r>
        <w:rPr>
          <w:rFonts w:hint="eastAsia" w:ascii="宋体" w:hAnsi="宋体" w:cs="宋体"/>
          <w:color w:val="auto"/>
          <w:sz w:val="22"/>
          <w:szCs w:val="22"/>
          <w:highlight w:val="none"/>
        </w:rPr>
        <w:t>：</w:t>
      </w:r>
    </w:p>
    <w:p w14:paraId="774CED2B">
      <w:pPr>
        <w:spacing w:line="460" w:lineRule="exact"/>
        <w:rPr>
          <w:rFonts w:ascii="宋体" w:hAnsi="宋体" w:cs="宋体"/>
          <w:color w:val="auto"/>
          <w:sz w:val="22"/>
          <w:szCs w:val="22"/>
          <w:highlight w:val="none"/>
          <w:u w:val="single"/>
        </w:rPr>
      </w:pPr>
    </w:p>
    <w:p w14:paraId="7470C22C">
      <w:pPr>
        <w:spacing w:line="46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本人</w:t>
      </w:r>
      <w:r>
        <w:rPr>
          <w:rFonts w:hint="eastAsia" w:ascii="宋体" w:hAnsi="宋体" w:cs="宋体"/>
          <w:color w:val="auto"/>
          <w:sz w:val="22"/>
          <w:szCs w:val="22"/>
          <w:highlight w:val="none"/>
          <w:u w:val="single"/>
        </w:rPr>
        <w:t>（法定代表人姓名）</w:t>
      </w:r>
      <w:r>
        <w:rPr>
          <w:rFonts w:hint="eastAsia" w:ascii="宋体" w:hAnsi="宋体" w:cs="宋体"/>
          <w:color w:val="auto"/>
          <w:sz w:val="22"/>
          <w:szCs w:val="22"/>
          <w:highlight w:val="none"/>
        </w:rPr>
        <w:t>为</w:t>
      </w:r>
      <w:r>
        <w:rPr>
          <w:rFonts w:hint="eastAsia" w:ascii="宋体" w:hAnsi="宋体" w:cs="宋体"/>
          <w:color w:val="auto"/>
          <w:sz w:val="22"/>
          <w:szCs w:val="22"/>
          <w:highlight w:val="none"/>
          <w:u w:val="single"/>
        </w:rPr>
        <w:t>（供应商全称）</w:t>
      </w:r>
      <w:r>
        <w:rPr>
          <w:rFonts w:hint="eastAsia" w:ascii="宋体" w:hAnsi="宋体" w:cs="宋体"/>
          <w:color w:val="auto"/>
          <w:sz w:val="22"/>
          <w:szCs w:val="22"/>
          <w:highlight w:val="none"/>
        </w:rPr>
        <w:t>的法定代表人。我公司参加贵处组织的</w:t>
      </w:r>
      <w:r>
        <w:rPr>
          <w:rFonts w:hint="eastAsia" w:ascii="宋体" w:hAnsi="宋体" w:cs="宋体"/>
          <w:color w:val="auto"/>
          <w:sz w:val="22"/>
          <w:szCs w:val="22"/>
          <w:highlight w:val="none"/>
          <w:u w:val="single"/>
        </w:rPr>
        <w:t>（项目名称、采购编号）</w:t>
      </w:r>
      <w:r>
        <w:rPr>
          <w:rFonts w:hint="eastAsia" w:ascii="宋体" w:hAnsi="宋体" w:cs="宋体"/>
          <w:color w:val="auto"/>
          <w:sz w:val="22"/>
          <w:szCs w:val="22"/>
          <w:highlight w:val="none"/>
        </w:rPr>
        <w:t>的采购活动，由我本人全权代表我方处理采购活动中的一切事宜。联系方式如下：</w:t>
      </w:r>
      <w:r>
        <w:rPr>
          <w:rFonts w:hint="eastAsia" w:ascii="宋体" w:hAnsi="宋体" w:cs="宋体"/>
          <w:color w:val="auto"/>
          <w:sz w:val="22"/>
          <w:szCs w:val="22"/>
          <w:highlight w:val="none"/>
          <w:u w:val="single"/>
        </w:rPr>
        <w:t xml:space="preserve">手机号码：       联系邮箱:         详细通讯地址：             </w:t>
      </w:r>
      <w:r>
        <w:rPr>
          <w:rFonts w:hint="eastAsia" w:ascii="宋体" w:hAnsi="宋体" w:cs="宋体"/>
          <w:color w:val="auto"/>
          <w:sz w:val="22"/>
          <w:szCs w:val="22"/>
          <w:highlight w:val="none"/>
        </w:rPr>
        <w:t xml:space="preserve"> 。  </w:t>
      </w:r>
    </w:p>
    <w:p w14:paraId="267A04C9">
      <w:pPr>
        <w:spacing w:line="400" w:lineRule="exact"/>
        <w:rPr>
          <w:rFonts w:ascii="宋体" w:hAnsi="宋体" w:cs="宋体"/>
          <w:color w:val="auto"/>
          <w:highlight w:val="none"/>
        </w:rPr>
      </w:pPr>
    </w:p>
    <w:p w14:paraId="22865268">
      <w:pPr>
        <w:spacing w:line="400" w:lineRule="exact"/>
        <w:rPr>
          <w:rFonts w:ascii="宋体" w:hAnsi="宋体" w:cs="宋体"/>
          <w:color w:val="auto"/>
          <w:highlight w:val="none"/>
        </w:rPr>
      </w:pPr>
    </w:p>
    <w:p w14:paraId="2BA59B2E">
      <w:pPr>
        <w:spacing w:line="400" w:lineRule="exact"/>
        <w:rPr>
          <w:rFonts w:ascii="宋体" w:hAnsi="宋体" w:cs="宋体"/>
          <w:color w:val="auto"/>
          <w:highlight w:val="none"/>
        </w:rPr>
      </w:pPr>
    </w:p>
    <w:p w14:paraId="1D6B5472">
      <w:pPr>
        <w:spacing w:line="460" w:lineRule="exact"/>
        <w:ind w:firstLine="3971" w:firstLineChars="1805"/>
        <w:rPr>
          <w:rFonts w:ascii="宋体" w:hAnsi="宋体" w:cs="宋体"/>
          <w:color w:val="auto"/>
          <w:sz w:val="22"/>
          <w:szCs w:val="22"/>
          <w:highlight w:val="none"/>
        </w:rPr>
      </w:pPr>
    </w:p>
    <w:p w14:paraId="3D105143">
      <w:pPr>
        <w:spacing w:line="46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供应商全称（公章）：</w:t>
      </w:r>
    </w:p>
    <w:p w14:paraId="03A8E997">
      <w:pPr>
        <w:spacing w:line="46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日期：     年    月   日</w:t>
      </w:r>
    </w:p>
    <w:p w14:paraId="7D65E0D7">
      <w:pPr>
        <w:spacing w:line="460" w:lineRule="exact"/>
        <w:rPr>
          <w:rFonts w:ascii="宋体" w:hAnsi="宋体" w:cs="宋体"/>
          <w:color w:val="auto"/>
          <w:sz w:val="22"/>
          <w:szCs w:val="22"/>
          <w:highlight w:val="none"/>
        </w:rPr>
      </w:pPr>
    </w:p>
    <w:p w14:paraId="2A6E9891">
      <w:pPr>
        <w:widowControl/>
        <w:jc w:val="left"/>
        <w:rPr>
          <w:rFonts w:ascii="宋体" w:hAnsi="宋体" w:cs="宋体"/>
          <w:color w:val="auto"/>
          <w:szCs w:val="21"/>
          <w:highlight w:val="none"/>
        </w:rPr>
      </w:pPr>
    </w:p>
    <w:p w14:paraId="233B994D">
      <w:pPr>
        <w:widowControl/>
        <w:jc w:val="left"/>
        <w:rPr>
          <w:rFonts w:ascii="宋体" w:hAnsi="宋体" w:cs="宋体"/>
          <w:color w:val="auto"/>
          <w:szCs w:val="21"/>
          <w:highlight w:val="none"/>
        </w:rPr>
      </w:pPr>
    </w:p>
    <w:p w14:paraId="02C2EF7F">
      <w:pPr>
        <w:widowControl/>
        <w:jc w:val="left"/>
        <w:rPr>
          <w:rFonts w:ascii="宋体" w:hAnsi="宋体" w:cs="宋体"/>
          <w:color w:val="auto"/>
          <w:szCs w:val="21"/>
          <w:highlight w:val="none"/>
        </w:rPr>
      </w:pPr>
      <w:r>
        <w:rPr>
          <w:rFonts w:hint="eastAsia" w:ascii="宋体" w:hAnsi="宋体" w:cs="宋体"/>
          <w:b/>
          <w:color w:val="auto"/>
          <w:sz w:val="22"/>
          <w:szCs w:val="22"/>
          <w:highlight w:val="none"/>
        </w:rPr>
        <w:t>附：法定代表人身份证正反面复印件</w:t>
      </w:r>
      <w:r>
        <w:rPr>
          <w:rFonts w:hint="eastAsia" w:ascii="宋体" w:hAnsi="宋体" w:cs="宋体"/>
          <w:color w:val="auto"/>
          <w:szCs w:val="21"/>
          <w:highlight w:val="none"/>
        </w:rPr>
        <w:br w:type="page"/>
      </w:r>
    </w:p>
    <w:p w14:paraId="152C1E50">
      <w:pPr>
        <w:spacing w:line="360" w:lineRule="exact"/>
        <w:rPr>
          <w:rFonts w:ascii="宋体" w:hAnsi="宋体" w:cs="宋体"/>
          <w:color w:val="auto"/>
          <w:szCs w:val="21"/>
          <w:highlight w:val="none"/>
        </w:rPr>
      </w:pPr>
    </w:p>
    <w:p w14:paraId="59849278">
      <w:pPr>
        <w:spacing w:line="380" w:lineRule="exact"/>
        <w:jc w:val="center"/>
        <w:rPr>
          <w:rFonts w:ascii="宋体" w:hAnsi="宋体" w:cs="宋体"/>
          <w:b/>
          <w:color w:val="auto"/>
          <w:sz w:val="22"/>
          <w:szCs w:val="22"/>
          <w:highlight w:val="none"/>
        </w:rPr>
      </w:pPr>
    </w:p>
    <w:p w14:paraId="7DD4006F">
      <w:pPr>
        <w:spacing w:line="38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（1-2）法定代表人授权书</w:t>
      </w:r>
    </w:p>
    <w:p w14:paraId="4AC71897">
      <w:pPr>
        <w:spacing w:line="400" w:lineRule="exact"/>
        <w:jc w:val="center"/>
        <w:rPr>
          <w:rFonts w:ascii="宋体" w:hAnsi="宋体" w:cs="宋体"/>
          <w:b/>
          <w:bCs/>
          <w:color w:val="auto"/>
          <w:sz w:val="28"/>
          <w:szCs w:val="28"/>
          <w:highlight w:val="none"/>
        </w:rPr>
      </w:pPr>
    </w:p>
    <w:p w14:paraId="2A5A81C6">
      <w:pP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lang w:eastAsia="zh-CN"/>
        </w:rPr>
        <w:t xml:space="preserve">温州市鹿城区人民政府松台街道办事处 </w:t>
      </w:r>
      <w:r>
        <w:rPr>
          <w:rFonts w:hint="eastAsia" w:ascii="宋体" w:hAnsi="宋体" w:cs="宋体"/>
          <w:color w:val="auto"/>
          <w:sz w:val="22"/>
          <w:szCs w:val="22"/>
          <w:highlight w:val="none"/>
        </w:rPr>
        <w:t>：</w:t>
      </w:r>
    </w:p>
    <w:p w14:paraId="23B88CA9">
      <w:pP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lang w:eastAsia="zh-CN"/>
        </w:rPr>
        <w:t>华诚工程咨询集团有限公司</w:t>
      </w:r>
      <w:r>
        <w:rPr>
          <w:rFonts w:hint="eastAsia" w:ascii="宋体" w:hAnsi="宋体" w:cs="宋体"/>
          <w:color w:val="auto"/>
          <w:sz w:val="22"/>
          <w:szCs w:val="22"/>
          <w:highlight w:val="none"/>
        </w:rPr>
        <w:t>：</w:t>
      </w:r>
    </w:p>
    <w:p w14:paraId="376601E5">
      <w:pPr>
        <w:spacing w:line="460" w:lineRule="exact"/>
        <w:rPr>
          <w:rFonts w:ascii="宋体" w:hAnsi="宋体" w:cs="宋体"/>
          <w:color w:val="auto"/>
          <w:sz w:val="22"/>
          <w:szCs w:val="22"/>
          <w:highlight w:val="none"/>
          <w:u w:val="single"/>
        </w:rPr>
      </w:pPr>
    </w:p>
    <w:p w14:paraId="61805F8A">
      <w:pPr>
        <w:spacing w:line="46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u w:val="single"/>
        </w:rPr>
        <w:t>（供应商全称）</w:t>
      </w:r>
      <w:r>
        <w:rPr>
          <w:rFonts w:hint="eastAsia" w:ascii="宋体" w:hAnsi="宋体" w:cs="宋体"/>
          <w:color w:val="auto"/>
          <w:sz w:val="22"/>
          <w:szCs w:val="22"/>
          <w:highlight w:val="none"/>
        </w:rPr>
        <w:t xml:space="preserve">法定代表人 </w:t>
      </w:r>
      <w:r>
        <w:rPr>
          <w:rFonts w:hint="eastAsia" w:ascii="宋体" w:hAnsi="宋体" w:cs="宋体"/>
          <w:color w:val="auto"/>
          <w:sz w:val="22"/>
          <w:szCs w:val="22"/>
          <w:highlight w:val="none"/>
          <w:u w:val="single"/>
        </w:rPr>
        <w:t>（法定代表人姓名）</w:t>
      </w:r>
      <w:r>
        <w:rPr>
          <w:rFonts w:hint="eastAsia" w:ascii="宋体" w:hAnsi="宋体" w:cs="宋体"/>
          <w:color w:val="auto"/>
          <w:sz w:val="22"/>
          <w:szCs w:val="22"/>
          <w:highlight w:val="none"/>
        </w:rPr>
        <w:t xml:space="preserve"> 授权</w:t>
      </w:r>
      <w:r>
        <w:rPr>
          <w:rFonts w:hint="eastAsia" w:ascii="宋体" w:hAnsi="宋体" w:cs="宋体"/>
          <w:color w:val="auto"/>
          <w:sz w:val="22"/>
          <w:szCs w:val="22"/>
          <w:highlight w:val="none"/>
          <w:u w:val="single"/>
        </w:rPr>
        <w:t>（全权代表姓名）</w:t>
      </w:r>
      <w:r>
        <w:rPr>
          <w:rFonts w:hint="eastAsia" w:ascii="宋体" w:hAnsi="宋体" w:cs="宋体"/>
          <w:color w:val="auto"/>
          <w:sz w:val="22"/>
          <w:szCs w:val="22"/>
          <w:highlight w:val="none"/>
        </w:rPr>
        <w:t>为本项目全权代表，参加贵处组织的</w:t>
      </w:r>
      <w:r>
        <w:rPr>
          <w:rFonts w:hint="eastAsia" w:ascii="宋体" w:hAnsi="宋体" w:cs="宋体"/>
          <w:color w:val="auto"/>
          <w:sz w:val="22"/>
          <w:szCs w:val="22"/>
          <w:highlight w:val="none"/>
          <w:u w:val="single"/>
        </w:rPr>
        <w:t>（项目名称、采购编号）</w:t>
      </w:r>
      <w:r>
        <w:rPr>
          <w:rFonts w:hint="eastAsia" w:ascii="宋体" w:hAnsi="宋体" w:cs="宋体"/>
          <w:color w:val="auto"/>
          <w:sz w:val="22"/>
          <w:szCs w:val="22"/>
          <w:highlight w:val="none"/>
        </w:rPr>
        <w:t>的采购活动，全权代表我方处理采购活动中的一切事宜。联系方式如下：</w:t>
      </w:r>
      <w:r>
        <w:rPr>
          <w:rFonts w:hint="eastAsia" w:ascii="宋体" w:hAnsi="宋体" w:cs="宋体"/>
          <w:color w:val="auto"/>
          <w:sz w:val="22"/>
          <w:szCs w:val="22"/>
          <w:highlight w:val="none"/>
          <w:u w:val="single"/>
        </w:rPr>
        <w:t xml:space="preserve">手机号码：       联系邮箱:         详细通讯地址：             </w:t>
      </w:r>
      <w:r>
        <w:rPr>
          <w:rFonts w:hint="eastAsia" w:ascii="宋体" w:hAnsi="宋体" w:cs="宋体"/>
          <w:color w:val="auto"/>
          <w:sz w:val="22"/>
          <w:szCs w:val="22"/>
          <w:highlight w:val="none"/>
        </w:rPr>
        <w:t xml:space="preserve"> 。  </w:t>
      </w:r>
    </w:p>
    <w:p w14:paraId="6BE5909C">
      <w:pPr>
        <w:spacing w:line="460" w:lineRule="exact"/>
        <w:ind w:firstLine="220" w:firstLineChars="100"/>
        <w:rPr>
          <w:rFonts w:ascii="宋体" w:hAnsi="宋体" w:cs="宋体"/>
          <w:color w:val="auto"/>
          <w:sz w:val="22"/>
          <w:szCs w:val="22"/>
          <w:highlight w:val="none"/>
        </w:rPr>
      </w:pPr>
    </w:p>
    <w:p w14:paraId="4FE72C5D">
      <w:pPr>
        <w:spacing w:line="460" w:lineRule="exact"/>
        <w:ind w:firstLine="550" w:firstLineChars="250"/>
        <w:rPr>
          <w:rFonts w:ascii="宋体" w:hAnsi="宋体" w:cs="宋体"/>
          <w:color w:val="auto"/>
          <w:sz w:val="22"/>
          <w:szCs w:val="22"/>
          <w:highlight w:val="none"/>
        </w:rPr>
      </w:pPr>
    </w:p>
    <w:p w14:paraId="34D6F8C8">
      <w:pPr>
        <w:spacing w:line="460" w:lineRule="exact"/>
        <w:ind w:firstLine="2955"/>
        <w:rPr>
          <w:rFonts w:ascii="宋体" w:hAnsi="宋体" w:cs="宋体"/>
          <w:color w:val="auto"/>
          <w:sz w:val="22"/>
          <w:szCs w:val="22"/>
          <w:highlight w:val="none"/>
        </w:rPr>
      </w:pPr>
    </w:p>
    <w:p w14:paraId="4E55E655">
      <w:pPr>
        <w:spacing w:line="460" w:lineRule="exact"/>
        <w:ind w:firstLine="2955"/>
        <w:rPr>
          <w:rFonts w:ascii="宋体" w:hAnsi="宋体" w:cs="宋体"/>
          <w:color w:val="auto"/>
          <w:sz w:val="22"/>
          <w:szCs w:val="22"/>
          <w:highlight w:val="none"/>
        </w:rPr>
      </w:pPr>
    </w:p>
    <w:p w14:paraId="24E97AEB">
      <w:pPr>
        <w:spacing w:line="460" w:lineRule="exact"/>
        <w:ind w:firstLine="3971" w:firstLineChars="1805"/>
        <w:rPr>
          <w:rFonts w:ascii="宋体" w:hAnsi="宋体" w:cs="宋体"/>
          <w:color w:val="auto"/>
          <w:sz w:val="22"/>
          <w:szCs w:val="22"/>
          <w:highlight w:val="none"/>
        </w:rPr>
      </w:pPr>
      <w:r>
        <w:rPr>
          <w:rFonts w:hint="eastAsia" w:ascii="宋体" w:hAnsi="宋体" w:cs="宋体"/>
          <w:color w:val="auto"/>
          <w:sz w:val="22"/>
          <w:szCs w:val="22"/>
          <w:highlight w:val="none"/>
        </w:rPr>
        <w:t>法定代表人 (签字或盖章)：</w:t>
      </w:r>
    </w:p>
    <w:p w14:paraId="1F7CB03E">
      <w:pPr>
        <w:spacing w:line="46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供应商全称（公章）：</w:t>
      </w:r>
    </w:p>
    <w:p w14:paraId="1378AC75">
      <w:pPr>
        <w:spacing w:line="46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日期：     年    月   日</w:t>
      </w:r>
    </w:p>
    <w:p w14:paraId="1F31E57E">
      <w:pPr>
        <w:spacing w:line="460" w:lineRule="exact"/>
        <w:rPr>
          <w:rFonts w:ascii="宋体" w:hAnsi="宋体" w:cs="宋体"/>
          <w:color w:val="auto"/>
          <w:sz w:val="22"/>
          <w:szCs w:val="22"/>
          <w:highlight w:val="none"/>
        </w:rPr>
      </w:pPr>
    </w:p>
    <w:p w14:paraId="60956C9F">
      <w:pPr>
        <w:spacing w:line="460" w:lineRule="exact"/>
        <w:rPr>
          <w:rFonts w:ascii="宋体" w:hAnsi="宋体" w:cs="宋体"/>
          <w:color w:val="auto"/>
          <w:sz w:val="22"/>
          <w:szCs w:val="22"/>
          <w:highlight w:val="none"/>
        </w:rPr>
      </w:pPr>
    </w:p>
    <w:p w14:paraId="29990128">
      <w:pPr>
        <w:spacing w:line="460" w:lineRule="exact"/>
        <w:rPr>
          <w:rFonts w:ascii="宋体" w:hAnsi="宋体" w:cs="宋体"/>
          <w:color w:val="auto"/>
          <w:sz w:val="22"/>
          <w:szCs w:val="22"/>
          <w:highlight w:val="none"/>
        </w:rPr>
      </w:pPr>
      <w:r>
        <w:rPr>
          <w:rFonts w:hint="eastAsia" w:ascii="宋体" w:hAnsi="宋体" w:cs="宋体"/>
          <w:b/>
          <w:color w:val="auto"/>
          <w:sz w:val="22"/>
          <w:szCs w:val="22"/>
          <w:highlight w:val="none"/>
        </w:rPr>
        <w:t>附：法定代表人及授权代表的身份证正反面复印件</w:t>
      </w:r>
    </w:p>
    <w:p w14:paraId="2B8B5B33">
      <w:pPr>
        <w:widowControl/>
        <w:jc w:val="left"/>
        <w:rPr>
          <w:rFonts w:ascii="宋体" w:hAnsi="宋体" w:cs="宋体"/>
          <w:b/>
          <w:bCs/>
          <w:color w:val="auto"/>
          <w:highlight w:val="none"/>
        </w:rPr>
      </w:pPr>
    </w:p>
    <w:p w14:paraId="6B7ACD47">
      <w:pPr>
        <w:widowControl/>
        <w:jc w:val="left"/>
        <w:rPr>
          <w:rFonts w:ascii="宋体" w:hAnsi="宋体" w:cs="宋体"/>
          <w:b/>
          <w:bCs/>
          <w:color w:val="auto"/>
          <w:highlight w:val="none"/>
        </w:rPr>
      </w:pPr>
    </w:p>
    <w:p w14:paraId="7A572461">
      <w:pPr>
        <w:widowControl/>
        <w:jc w:val="left"/>
        <w:rPr>
          <w:rFonts w:ascii="宋体" w:hAnsi="宋体" w:cs="宋体"/>
          <w:b/>
          <w:bCs/>
          <w:color w:val="auto"/>
          <w:highlight w:val="none"/>
        </w:rPr>
      </w:pPr>
    </w:p>
    <w:p w14:paraId="0F137A34">
      <w:pPr>
        <w:widowControl/>
        <w:jc w:val="left"/>
        <w:rPr>
          <w:rFonts w:ascii="宋体" w:hAnsi="宋体" w:cs="宋体"/>
          <w:b/>
          <w:bCs/>
          <w:color w:val="auto"/>
          <w:highlight w:val="none"/>
        </w:rPr>
      </w:pPr>
    </w:p>
    <w:p w14:paraId="595441BF">
      <w:pPr>
        <w:widowControl/>
        <w:jc w:val="left"/>
        <w:rPr>
          <w:rFonts w:ascii="宋体" w:hAnsi="宋体" w:cs="宋体"/>
          <w:b/>
          <w:bCs/>
          <w:color w:val="auto"/>
          <w:highlight w:val="none"/>
        </w:rPr>
      </w:pPr>
    </w:p>
    <w:p w14:paraId="0C953A43">
      <w:pPr>
        <w:widowControl/>
        <w:jc w:val="left"/>
        <w:rPr>
          <w:rFonts w:ascii="宋体" w:hAnsi="宋体" w:cs="宋体"/>
          <w:b/>
          <w:bCs/>
          <w:color w:val="auto"/>
          <w:highlight w:val="none"/>
        </w:rPr>
      </w:pPr>
    </w:p>
    <w:p w14:paraId="07A3344C">
      <w:pPr>
        <w:widowControl/>
        <w:jc w:val="left"/>
        <w:rPr>
          <w:rFonts w:ascii="宋体" w:hAnsi="宋体" w:cs="宋体"/>
          <w:b/>
          <w:bCs/>
          <w:color w:val="auto"/>
          <w:highlight w:val="none"/>
        </w:rPr>
      </w:pPr>
    </w:p>
    <w:p w14:paraId="1C09A615">
      <w:pPr>
        <w:widowControl/>
        <w:jc w:val="left"/>
        <w:rPr>
          <w:rFonts w:ascii="宋体" w:hAnsi="宋体" w:cs="宋体"/>
          <w:b/>
          <w:bCs/>
          <w:color w:val="auto"/>
          <w:highlight w:val="none"/>
        </w:rPr>
      </w:pPr>
    </w:p>
    <w:p w14:paraId="50644F88">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说明：</w:t>
      </w:r>
    </w:p>
    <w:p w14:paraId="32FD50FE">
      <w:pPr>
        <w:spacing w:line="460" w:lineRule="exact"/>
        <w:rPr>
          <w:rFonts w:ascii="宋体" w:hAnsi="宋体" w:cs="宋体"/>
          <w:color w:val="auto"/>
          <w:sz w:val="22"/>
          <w:szCs w:val="22"/>
          <w:highlight w:val="none"/>
        </w:rPr>
      </w:pPr>
      <w:r>
        <w:rPr>
          <w:rFonts w:hint="eastAsia" w:ascii="宋体" w:hAnsi="宋体" w:cs="宋体"/>
          <w:b/>
          <w:color w:val="auto"/>
          <w:sz w:val="22"/>
          <w:szCs w:val="22"/>
          <w:highlight w:val="none"/>
        </w:rPr>
        <w:t>1、若供应商代表为法定代表人，应提供声明书（1-1）并提交法定代表人身份证正反面复印件；</w:t>
      </w:r>
    </w:p>
    <w:p w14:paraId="65689CA3">
      <w:pPr>
        <w:spacing w:line="460" w:lineRule="exact"/>
        <w:rPr>
          <w:rFonts w:ascii="宋体" w:hAnsi="宋体" w:cs="宋体"/>
          <w:color w:val="auto"/>
          <w:sz w:val="22"/>
          <w:szCs w:val="22"/>
          <w:highlight w:val="none"/>
        </w:rPr>
      </w:pPr>
      <w:r>
        <w:rPr>
          <w:rFonts w:hint="eastAsia" w:ascii="宋体" w:hAnsi="宋体" w:cs="宋体"/>
          <w:b/>
          <w:color w:val="auto"/>
          <w:sz w:val="22"/>
          <w:szCs w:val="22"/>
          <w:highlight w:val="none"/>
        </w:rPr>
        <w:t>2、若供应商代表为法定代表人授权的委托代理人，应提供授权书（1-2），并附法定代表人及授权代表的身份证正反面复印件。</w:t>
      </w:r>
    </w:p>
    <w:p w14:paraId="665820EF">
      <w:pPr>
        <w:spacing w:line="460" w:lineRule="exact"/>
        <w:rPr>
          <w:rFonts w:ascii="宋体" w:hAnsi="宋体" w:cs="宋体"/>
          <w:color w:val="auto"/>
          <w:sz w:val="22"/>
          <w:szCs w:val="22"/>
          <w:highlight w:val="none"/>
        </w:rPr>
      </w:pPr>
    </w:p>
    <w:p w14:paraId="47052345">
      <w:pPr>
        <w:spacing w:line="380" w:lineRule="exact"/>
        <w:jc w:val="center"/>
        <w:rPr>
          <w:rFonts w:ascii="宋体" w:hAnsi="宋体" w:cs="宋体"/>
          <w:b/>
          <w:bCs/>
          <w:color w:val="auto"/>
          <w:sz w:val="32"/>
          <w:highlight w:val="none"/>
        </w:rPr>
      </w:pPr>
      <w:r>
        <w:rPr>
          <w:rFonts w:hint="eastAsia" w:ascii="宋体" w:hAnsi="宋体" w:cs="宋体"/>
          <w:b/>
          <w:bCs/>
          <w:color w:val="auto"/>
          <w:sz w:val="32"/>
          <w:highlight w:val="none"/>
        </w:rPr>
        <w:br w:type="page"/>
      </w:r>
    </w:p>
    <w:p w14:paraId="39EFC65A">
      <w:pPr>
        <w:spacing w:line="380" w:lineRule="exact"/>
        <w:jc w:val="center"/>
        <w:rPr>
          <w:rFonts w:ascii="宋体" w:hAnsi="宋体" w:cs="宋体"/>
          <w:b/>
          <w:bCs/>
          <w:color w:val="auto"/>
          <w:sz w:val="32"/>
          <w:highlight w:val="none"/>
        </w:rPr>
      </w:pPr>
    </w:p>
    <w:p w14:paraId="2E4567EB">
      <w:pPr>
        <w:widowControl/>
        <w:adjustRightInd w:val="0"/>
        <w:snapToGrid w:val="0"/>
        <w:spacing w:line="36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（2）</w:t>
      </w:r>
      <w:r>
        <w:rPr>
          <w:rFonts w:hint="eastAsia" w:ascii="宋体" w:hAnsi="宋体" w:cs="宋体"/>
          <w:b/>
          <w:color w:val="auto"/>
          <w:sz w:val="22"/>
          <w:szCs w:val="22"/>
          <w:highlight w:val="none"/>
          <w:lang w:eastAsia="zh-CN"/>
        </w:rPr>
        <w:t>供应商</w:t>
      </w:r>
      <w:r>
        <w:rPr>
          <w:rFonts w:hint="eastAsia" w:ascii="宋体" w:hAnsi="宋体" w:cs="宋体"/>
          <w:b/>
          <w:color w:val="auto"/>
          <w:sz w:val="22"/>
          <w:szCs w:val="22"/>
          <w:highlight w:val="none"/>
        </w:rPr>
        <w:t>参与采购活动投标资格声明函</w:t>
      </w:r>
    </w:p>
    <w:p w14:paraId="1E2AA607">
      <w:pPr>
        <w:widowControl/>
        <w:adjustRightInd w:val="0"/>
        <w:snapToGrid w:val="0"/>
        <w:spacing w:line="360" w:lineRule="auto"/>
        <w:jc w:val="left"/>
        <w:rPr>
          <w:rFonts w:ascii="宋体" w:hAnsi="宋体" w:cs="宋体"/>
          <w:color w:val="auto"/>
          <w:kern w:val="0"/>
          <w:sz w:val="22"/>
          <w:szCs w:val="22"/>
          <w:highlight w:val="none"/>
        </w:rPr>
      </w:pPr>
    </w:p>
    <w:p w14:paraId="56C43B8B">
      <w:pPr>
        <w:widowControl/>
        <w:adjustRightInd w:val="0"/>
        <w:snapToGrid w:val="0"/>
        <w:spacing w:line="360" w:lineRule="auto"/>
        <w:jc w:val="left"/>
        <w:rPr>
          <w:rFonts w:ascii="宋体" w:hAnsi="宋体" w:cs="宋体"/>
          <w:color w:val="auto"/>
          <w:kern w:val="0"/>
          <w:sz w:val="22"/>
          <w:szCs w:val="22"/>
          <w:highlight w:val="none"/>
        </w:rPr>
      </w:pPr>
      <w:r>
        <w:rPr>
          <w:rFonts w:hint="eastAsia" w:ascii="宋体" w:hAnsi="宋体" w:cs="宋体"/>
          <w:color w:val="auto"/>
          <w:sz w:val="22"/>
          <w:szCs w:val="22"/>
          <w:highlight w:val="none"/>
          <w:lang w:eastAsia="zh-CN"/>
        </w:rPr>
        <w:t xml:space="preserve">温州市鹿城区人民政府松台街道办事处 </w:t>
      </w:r>
      <w:r>
        <w:rPr>
          <w:rFonts w:hint="eastAsia" w:ascii="宋体" w:hAnsi="宋体" w:cs="宋体"/>
          <w:color w:val="auto"/>
          <w:kern w:val="0"/>
          <w:sz w:val="22"/>
          <w:szCs w:val="22"/>
          <w:highlight w:val="none"/>
        </w:rPr>
        <w:t>：</w:t>
      </w:r>
    </w:p>
    <w:p w14:paraId="454EBC3B">
      <w:pPr>
        <w:widowControl/>
        <w:adjustRightInd w:val="0"/>
        <w:snapToGrid w:val="0"/>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华诚工程咨询集团有限公司</w:t>
      </w:r>
      <w:r>
        <w:rPr>
          <w:rFonts w:hint="eastAsia" w:ascii="宋体" w:hAnsi="宋体" w:cs="宋体"/>
          <w:color w:val="auto"/>
          <w:kern w:val="0"/>
          <w:sz w:val="22"/>
          <w:szCs w:val="22"/>
          <w:highlight w:val="none"/>
        </w:rPr>
        <w:t>：</w:t>
      </w:r>
    </w:p>
    <w:p w14:paraId="350D2707">
      <w:pPr>
        <w:widowControl/>
        <w:adjustRightInd w:val="0"/>
        <w:snapToGrid w:val="0"/>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我单位参与</w:t>
      </w:r>
      <w:r>
        <w:rPr>
          <w:rFonts w:hint="eastAsia" w:ascii="宋体" w:hAnsi="宋体" w:cs="宋体"/>
          <w:color w:val="auto"/>
          <w:sz w:val="22"/>
          <w:szCs w:val="22"/>
          <w:highlight w:val="none"/>
          <w:u w:val="single"/>
        </w:rPr>
        <w:t xml:space="preserve"> （项目名称） </w:t>
      </w:r>
      <w:r>
        <w:rPr>
          <w:rFonts w:hint="eastAsia" w:ascii="宋体" w:hAnsi="宋体" w:cs="宋体"/>
          <w:color w:val="auto"/>
          <w:kern w:val="0"/>
          <w:sz w:val="22"/>
          <w:szCs w:val="22"/>
          <w:highlight w:val="none"/>
        </w:rPr>
        <w:t>项目的采购活动，现声明如下：</w:t>
      </w:r>
    </w:p>
    <w:p w14:paraId="2451ABFC">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1、我单位具有独立承担民事责任的能力。</w:t>
      </w:r>
    </w:p>
    <w:p w14:paraId="59D79846">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2、我单位具有良好的商业信誉和健全的财务会计制度。</w:t>
      </w:r>
    </w:p>
    <w:p w14:paraId="6AE4A044">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3、我单位具有依法缴纳税收和社会保障资金的良好记录。</w:t>
      </w:r>
    </w:p>
    <w:p w14:paraId="0ED58279">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4、我单位具有履行本项目采购合同所必需的设备和专业技术能力。</w:t>
      </w:r>
    </w:p>
    <w:p w14:paraId="3917E52C">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5、我单位未被列入失信被执行人名单、重大税收违法案件当事人名单、政府采购严重违法失信行为记录名单，参加本次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30B05017">
      <w:pPr>
        <w:pStyle w:val="3"/>
        <w:spacing w:line="360" w:lineRule="auto"/>
        <w:ind w:left="216" w:leftChars="103" w:firstLine="200" w:firstLineChars="91"/>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6、我单位符合本项目特定资格条件： 的要求，并在磋商响应文件中提供了相应的证明材料（磋商文件没有要求特定资格条件的，本条款空格处可以空白）</w:t>
      </w:r>
    </w:p>
    <w:p w14:paraId="085F9BCC">
      <w:pPr>
        <w:widowControl/>
        <w:adjustRightInd w:val="0"/>
        <w:snapToGrid w:val="0"/>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以上事项如有虚假，采购人可取消我方任何资格（投标/中标/签订合同），我方对此无任何异议。</w:t>
      </w:r>
    </w:p>
    <w:p w14:paraId="636E8EEC">
      <w:pPr>
        <w:widowControl/>
        <w:adjustRightInd w:val="0"/>
        <w:snapToGrid w:val="0"/>
        <w:spacing w:line="360" w:lineRule="auto"/>
        <w:ind w:firstLine="440" w:firstLineChars="200"/>
        <w:jc w:val="left"/>
        <w:rPr>
          <w:rFonts w:ascii="宋体" w:hAnsi="宋体" w:cs="宋体"/>
          <w:color w:val="auto"/>
          <w:kern w:val="0"/>
          <w:sz w:val="22"/>
          <w:szCs w:val="22"/>
          <w:highlight w:val="none"/>
        </w:rPr>
      </w:pPr>
    </w:p>
    <w:p w14:paraId="559878AF">
      <w:pPr>
        <w:widowControl/>
        <w:adjustRightInd w:val="0"/>
        <w:snapToGrid w:val="0"/>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特此承诺！</w:t>
      </w:r>
    </w:p>
    <w:p w14:paraId="109A2268">
      <w:pPr>
        <w:widowControl/>
        <w:adjustRightInd w:val="0"/>
        <w:snapToGrid w:val="0"/>
        <w:spacing w:line="360" w:lineRule="auto"/>
        <w:ind w:firstLine="440" w:firstLineChars="200"/>
        <w:jc w:val="left"/>
        <w:rPr>
          <w:rFonts w:ascii="宋体" w:hAnsi="宋体" w:cs="宋体"/>
          <w:color w:val="auto"/>
          <w:kern w:val="0"/>
          <w:sz w:val="22"/>
          <w:szCs w:val="22"/>
          <w:highlight w:val="none"/>
        </w:rPr>
      </w:pPr>
    </w:p>
    <w:p w14:paraId="2766C32E">
      <w:pPr>
        <w:pStyle w:val="3"/>
        <w:rPr>
          <w:rFonts w:ascii="宋体" w:hAnsi="宋体" w:eastAsia="宋体" w:cs="宋体"/>
          <w:color w:val="auto"/>
          <w:highlight w:val="none"/>
        </w:rPr>
      </w:pPr>
    </w:p>
    <w:p w14:paraId="06EC0AE6">
      <w:pPr>
        <w:widowControl/>
        <w:adjustRightInd w:val="0"/>
        <w:snapToGrid w:val="0"/>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供应商名称（盖章） ：</w:t>
      </w:r>
    </w:p>
    <w:p w14:paraId="2FC4D25C">
      <w:pPr>
        <w:widowControl/>
        <w:adjustRightInd w:val="0"/>
        <w:snapToGrid w:val="0"/>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法定代表人（负责人）或其授权代表（签字或盖章）：</w:t>
      </w:r>
    </w:p>
    <w:p w14:paraId="76B624D6">
      <w:pPr>
        <w:widowControl/>
        <w:adjustRightInd w:val="0"/>
        <w:snapToGrid w:val="0"/>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725E1292">
      <w:pPr>
        <w:pStyle w:val="3"/>
        <w:rPr>
          <w:rFonts w:ascii="宋体" w:hAnsi="宋体" w:eastAsia="宋体" w:cs="宋体"/>
          <w:color w:val="auto"/>
          <w:highlight w:val="none"/>
        </w:rPr>
      </w:pPr>
    </w:p>
    <w:p w14:paraId="16A0BA7D">
      <w:pPr>
        <w:widowControl/>
        <w:adjustRightInd w:val="0"/>
        <w:snapToGrid w:val="0"/>
        <w:spacing w:line="360" w:lineRule="auto"/>
        <w:jc w:val="left"/>
        <w:rPr>
          <w:rFonts w:ascii="宋体" w:hAnsi="宋体" w:cs="宋体"/>
          <w:color w:val="auto"/>
          <w:sz w:val="22"/>
          <w:szCs w:val="22"/>
          <w:highlight w:val="none"/>
        </w:rPr>
      </w:pPr>
      <w:r>
        <w:rPr>
          <w:rFonts w:hint="eastAsia" w:ascii="宋体" w:hAnsi="宋体" w:cs="宋体"/>
          <w:color w:val="auto"/>
          <w:kern w:val="0"/>
          <w:sz w:val="22"/>
          <w:szCs w:val="22"/>
          <w:highlight w:val="none"/>
        </w:rPr>
        <w:br w:type="page"/>
      </w:r>
    </w:p>
    <w:p w14:paraId="213FCD37">
      <w:pPr>
        <w:pStyle w:val="24"/>
        <w:snapToGrid w:val="0"/>
        <w:spacing w:line="324" w:lineRule="auto"/>
        <w:jc w:val="center"/>
        <w:rPr>
          <w:rFonts w:hAnsi="宋体" w:cs="宋体"/>
          <w:b/>
          <w:bCs/>
          <w:color w:val="auto"/>
          <w:sz w:val="22"/>
          <w:szCs w:val="22"/>
          <w:highlight w:val="none"/>
        </w:rPr>
      </w:pPr>
      <w:r>
        <w:rPr>
          <w:rFonts w:hint="eastAsia" w:hAnsi="宋体" w:cs="宋体"/>
          <w:b/>
          <w:bCs/>
          <w:color w:val="auto"/>
          <w:sz w:val="22"/>
          <w:szCs w:val="22"/>
          <w:highlight w:val="none"/>
        </w:rPr>
        <w:t>（3）诚信投标承诺书</w:t>
      </w:r>
    </w:p>
    <w:p w14:paraId="73C6D002">
      <w:pPr>
        <w:ind w:right="-153" w:rightChars="-73"/>
        <w:jc w:val="center"/>
        <w:rPr>
          <w:rFonts w:ascii="宋体" w:hAnsi="宋体" w:cs="宋体"/>
          <w:color w:val="auto"/>
          <w:sz w:val="22"/>
          <w:szCs w:val="22"/>
          <w:highlight w:val="none"/>
        </w:rPr>
      </w:pPr>
    </w:p>
    <w:p w14:paraId="2D9DB77F">
      <w:pPr>
        <w:spacing w:line="520" w:lineRule="exact"/>
        <w:ind w:right="-153" w:rightChars="-73"/>
        <w:rPr>
          <w:rFonts w:ascii="宋体" w:hAnsi="宋体" w:cs="宋体"/>
          <w:color w:val="auto"/>
          <w:sz w:val="22"/>
          <w:szCs w:val="22"/>
          <w:highlight w:val="none"/>
        </w:rPr>
      </w:pPr>
      <w:r>
        <w:rPr>
          <w:rFonts w:hint="eastAsia" w:ascii="宋体" w:hAnsi="宋体" w:cs="宋体"/>
          <w:color w:val="auto"/>
          <w:sz w:val="22"/>
          <w:szCs w:val="22"/>
          <w:highlight w:val="none"/>
        </w:rPr>
        <w:t>本企业郑重承诺：</w:t>
      </w:r>
    </w:p>
    <w:p w14:paraId="04782521">
      <w:pPr>
        <w:spacing w:line="5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为了积极配合贵公司组织的</w:t>
      </w:r>
      <w:r>
        <w:rPr>
          <w:rFonts w:hint="eastAsia" w:ascii="宋体" w:hAnsi="宋体" w:cs="宋体"/>
          <w:color w:val="auto"/>
          <w:sz w:val="22"/>
          <w:szCs w:val="22"/>
          <w:highlight w:val="none"/>
          <w:u w:val="single"/>
        </w:rPr>
        <w:t xml:space="preserve"> （项目名称） </w:t>
      </w:r>
      <w:r>
        <w:rPr>
          <w:rFonts w:hint="eastAsia" w:ascii="宋体" w:hAnsi="宋体" w:cs="宋体"/>
          <w:color w:val="auto"/>
          <w:sz w:val="22"/>
          <w:szCs w:val="22"/>
          <w:highlight w:val="none"/>
        </w:rPr>
        <w:t>采购工作，有效遏制不公平竞争和违规违纪问题的发生，确保采购工作的公平、公正、公开，我们保证认真贯彻《中华人民共和国政府采购法》、《中华人民共和国政府采购法实施条例》、《政府采购货物和服务招标投标管理办法》和《关于进一步规范政府采购活动的若干意见》等法律及有关法规相关规定以及有关廉洁要求，特承诺如下事项：</w:t>
      </w:r>
    </w:p>
    <w:p w14:paraId="6EEB6763">
      <w:pPr>
        <w:numPr>
          <w:ilvl w:val="0"/>
          <w:numId w:val="35"/>
        </w:numPr>
        <w:snapToGrid w:val="0"/>
        <w:spacing w:line="500" w:lineRule="exact"/>
        <w:ind w:left="0" w:firstLine="385"/>
        <w:rPr>
          <w:rFonts w:ascii="宋体" w:hAnsi="宋体" w:cs="宋体"/>
          <w:color w:val="auto"/>
          <w:sz w:val="22"/>
          <w:szCs w:val="22"/>
          <w:highlight w:val="none"/>
        </w:rPr>
      </w:pPr>
      <w:r>
        <w:rPr>
          <w:rFonts w:hint="eastAsia" w:ascii="宋体" w:hAnsi="宋体" w:cs="宋体"/>
          <w:color w:val="auto"/>
          <w:sz w:val="22"/>
          <w:szCs w:val="22"/>
          <w:highlight w:val="none"/>
        </w:rPr>
        <w:t>自觉遵守国家法律法规及有关廉政建设制度。</w:t>
      </w:r>
    </w:p>
    <w:p w14:paraId="5EBCFDA7">
      <w:pPr>
        <w:numPr>
          <w:ilvl w:val="0"/>
          <w:numId w:val="35"/>
        </w:numPr>
        <w:snapToGrid w:val="0"/>
        <w:spacing w:line="500" w:lineRule="exact"/>
        <w:ind w:left="0" w:firstLine="385"/>
        <w:rPr>
          <w:rFonts w:ascii="宋体" w:hAnsi="宋体" w:cs="宋体"/>
          <w:color w:val="auto"/>
          <w:sz w:val="22"/>
          <w:szCs w:val="22"/>
          <w:highlight w:val="none"/>
        </w:rPr>
      </w:pPr>
      <w:r>
        <w:rPr>
          <w:rFonts w:hint="eastAsia" w:ascii="宋体" w:hAnsi="宋体" w:cs="宋体"/>
          <w:color w:val="auto"/>
          <w:sz w:val="22"/>
          <w:szCs w:val="22"/>
          <w:highlight w:val="none"/>
        </w:rPr>
        <w:t>主动了解采购人招投标纪律，积极配合采购人执行招投标廉政建设的有关规定。</w:t>
      </w:r>
    </w:p>
    <w:p w14:paraId="5F01BB58">
      <w:pPr>
        <w:numPr>
          <w:ilvl w:val="0"/>
          <w:numId w:val="35"/>
        </w:numPr>
        <w:snapToGrid w:val="0"/>
        <w:spacing w:line="500" w:lineRule="exact"/>
        <w:ind w:left="0" w:firstLine="385"/>
        <w:rPr>
          <w:rFonts w:ascii="宋体" w:hAnsi="宋体" w:cs="宋体"/>
          <w:color w:val="auto"/>
          <w:sz w:val="22"/>
          <w:szCs w:val="22"/>
          <w:highlight w:val="none"/>
        </w:rPr>
      </w:pPr>
      <w:r>
        <w:rPr>
          <w:rFonts w:hint="eastAsia" w:ascii="宋体" w:hAnsi="宋体" w:cs="宋体"/>
          <w:color w:val="auto"/>
          <w:sz w:val="22"/>
          <w:szCs w:val="22"/>
          <w:highlight w:val="none"/>
        </w:rPr>
        <w:t>不使用不正当手段妨碍、排挤</w:t>
      </w:r>
      <w:r>
        <w:rPr>
          <w:rFonts w:hint="eastAsia" w:ascii="宋体" w:hAnsi="宋体" w:cs="宋体"/>
          <w:color w:val="auto"/>
          <w:sz w:val="22"/>
          <w:szCs w:val="22"/>
          <w:highlight w:val="none"/>
          <w:lang w:eastAsia="zh-CN"/>
        </w:rPr>
        <w:t>其他</w:t>
      </w:r>
      <w:r>
        <w:rPr>
          <w:rFonts w:hint="eastAsia" w:ascii="宋体" w:hAnsi="宋体" w:cs="宋体"/>
          <w:color w:val="auto"/>
          <w:sz w:val="22"/>
          <w:szCs w:val="22"/>
          <w:highlight w:val="none"/>
        </w:rPr>
        <w:t>供应商或串通投标。</w:t>
      </w:r>
    </w:p>
    <w:p w14:paraId="016BEA43">
      <w:pPr>
        <w:numPr>
          <w:ilvl w:val="0"/>
          <w:numId w:val="35"/>
        </w:numPr>
        <w:snapToGrid w:val="0"/>
        <w:spacing w:line="500" w:lineRule="exact"/>
        <w:ind w:left="0" w:firstLine="385"/>
        <w:rPr>
          <w:rFonts w:ascii="宋体" w:hAnsi="宋体" w:cs="宋体"/>
          <w:color w:val="auto"/>
          <w:sz w:val="22"/>
          <w:szCs w:val="22"/>
          <w:highlight w:val="none"/>
        </w:rPr>
      </w:pPr>
      <w:r>
        <w:rPr>
          <w:rFonts w:hint="eastAsia" w:ascii="宋体" w:hAnsi="宋体" w:cs="宋体"/>
          <w:color w:val="auto"/>
          <w:sz w:val="22"/>
          <w:szCs w:val="22"/>
          <w:highlight w:val="none"/>
        </w:rPr>
        <w:t>按照本磋商文件规定的方式进行投标，不隐瞒本单位投标资质的真实情况，投标资质符合规定。</w:t>
      </w:r>
    </w:p>
    <w:p w14:paraId="75EFD0F3">
      <w:pPr>
        <w:numPr>
          <w:ilvl w:val="0"/>
          <w:numId w:val="35"/>
        </w:numPr>
        <w:snapToGrid w:val="0"/>
        <w:spacing w:line="500" w:lineRule="exact"/>
        <w:ind w:left="0" w:firstLine="385"/>
        <w:rPr>
          <w:rFonts w:ascii="宋体" w:hAnsi="宋体" w:cs="宋体"/>
          <w:color w:val="auto"/>
          <w:sz w:val="22"/>
          <w:szCs w:val="22"/>
          <w:highlight w:val="none"/>
        </w:rPr>
      </w:pPr>
      <w:r>
        <w:rPr>
          <w:rFonts w:hint="eastAsia" w:ascii="宋体" w:hAnsi="宋体" w:cs="宋体"/>
          <w:color w:val="auto"/>
          <w:sz w:val="22"/>
          <w:szCs w:val="22"/>
          <w:highlight w:val="none"/>
        </w:rPr>
        <w:t>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5B965BEB">
      <w:pPr>
        <w:numPr>
          <w:ilvl w:val="0"/>
          <w:numId w:val="35"/>
        </w:numPr>
        <w:snapToGrid w:val="0"/>
        <w:spacing w:line="500" w:lineRule="exact"/>
        <w:ind w:left="0" w:firstLine="385"/>
        <w:rPr>
          <w:rFonts w:ascii="宋体" w:hAnsi="宋体" w:cs="宋体"/>
          <w:color w:val="auto"/>
          <w:sz w:val="22"/>
          <w:szCs w:val="22"/>
          <w:highlight w:val="none"/>
        </w:rPr>
      </w:pPr>
      <w:r>
        <w:rPr>
          <w:rFonts w:hint="eastAsia" w:ascii="宋体" w:hAnsi="宋体" w:cs="宋体"/>
          <w:color w:val="auto"/>
          <w:sz w:val="22"/>
          <w:szCs w:val="22"/>
          <w:highlight w:val="none"/>
        </w:rPr>
        <w:t>不向采购人及个人购置或提供通讯工具、交通工具和高档办公用品等。</w:t>
      </w:r>
    </w:p>
    <w:p w14:paraId="3377B8DD">
      <w:pPr>
        <w:numPr>
          <w:ilvl w:val="0"/>
          <w:numId w:val="35"/>
        </w:numPr>
        <w:snapToGrid w:val="0"/>
        <w:spacing w:line="500" w:lineRule="exact"/>
        <w:ind w:left="0" w:firstLine="385"/>
        <w:rPr>
          <w:rFonts w:ascii="宋体" w:hAnsi="宋体" w:cs="宋体"/>
          <w:color w:val="auto"/>
          <w:sz w:val="22"/>
          <w:szCs w:val="22"/>
          <w:highlight w:val="none"/>
        </w:rPr>
      </w:pPr>
      <w:r>
        <w:rPr>
          <w:rFonts w:hint="eastAsia" w:ascii="宋体" w:hAnsi="宋体" w:cs="宋体"/>
          <w:color w:val="auto"/>
          <w:sz w:val="22"/>
          <w:szCs w:val="22"/>
          <w:highlight w:val="none"/>
        </w:rPr>
        <w:t>不向采购人涉及采购的人员的配偶、子女分包此次采购项目。</w:t>
      </w:r>
    </w:p>
    <w:p w14:paraId="6D4DA3FC">
      <w:pPr>
        <w:numPr>
          <w:ilvl w:val="0"/>
          <w:numId w:val="35"/>
        </w:numPr>
        <w:snapToGrid w:val="0"/>
        <w:spacing w:line="500" w:lineRule="exact"/>
        <w:ind w:left="0" w:firstLine="385"/>
        <w:rPr>
          <w:rFonts w:ascii="宋体" w:hAnsi="宋体" w:cs="宋体"/>
          <w:color w:val="auto"/>
          <w:sz w:val="22"/>
          <w:szCs w:val="22"/>
          <w:highlight w:val="none"/>
        </w:rPr>
      </w:pPr>
      <w:r>
        <w:rPr>
          <w:rFonts w:hint="eastAsia" w:ascii="宋体" w:hAnsi="宋体" w:cs="宋体"/>
          <w:color w:val="auto"/>
          <w:sz w:val="22"/>
          <w:szCs w:val="22"/>
          <w:highlight w:val="none"/>
        </w:rPr>
        <w:t>不向采购人及个人支付好处费、介绍费。</w:t>
      </w:r>
    </w:p>
    <w:p w14:paraId="529C8648">
      <w:pPr>
        <w:numPr>
          <w:ilvl w:val="0"/>
          <w:numId w:val="35"/>
        </w:numPr>
        <w:snapToGrid w:val="0"/>
        <w:spacing w:line="500" w:lineRule="exact"/>
        <w:ind w:left="0" w:firstLine="385"/>
        <w:rPr>
          <w:rFonts w:ascii="宋体" w:hAnsi="宋体" w:cs="宋体"/>
          <w:color w:val="auto"/>
          <w:sz w:val="22"/>
          <w:szCs w:val="22"/>
          <w:highlight w:val="none"/>
        </w:rPr>
      </w:pPr>
      <w:r>
        <w:rPr>
          <w:rFonts w:hint="eastAsia" w:ascii="宋体" w:hAnsi="宋体" w:cs="宋体"/>
          <w:color w:val="auto"/>
          <w:sz w:val="22"/>
          <w:szCs w:val="22"/>
          <w:highlight w:val="none"/>
        </w:rPr>
        <w:t>一旦发现相关人员在采购过程中的索要财物等不廉洁行为，坚决予以抵制，并及时向有关纪检监察部门举报。</w:t>
      </w:r>
    </w:p>
    <w:p w14:paraId="2C7C6A35">
      <w:pPr>
        <w:numPr>
          <w:ilvl w:val="0"/>
          <w:numId w:val="35"/>
        </w:numPr>
        <w:snapToGrid w:val="0"/>
        <w:spacing w:line="500" w:lineRule="exact"/>
        <w:ind w:left="0" w:firstLine="385"/>
        <w:rPr>
          <w:rFonts w:ascii="宋体" w:hAnsi="宋体" w:cs="宋体"/>
          <w:color w:val="auto"/>
          <w:sz w:val="22"/>
          <w:szCs w:val="22"/>
          <w:highlight w:val="none"/>
        </w:rPr>
      </w:pPr>
      <w:r>
        <w:rPr>
          <w:rFonts w:hint="eastAsia" w:ascii="宋体" w:hAnsi="宋体" w:cs="宋体"/>
          <w:color w:val="auto"/>
          <w:sz w:val="22"/>
          <w:szCs w:val="22"/>
          <w:highlight w:val="none"/>
        </w:rPr>
        <w:t>我们若违反上述承诺，愿接受取消供应商资格及其他任何形式的处理。</w:t>
      </w:r>
    </w:p>
    <w:p w14:paraId="18E2DEE8">
      <w:pPr>
        <w:snapToGrid w:val="0"/>
        <w:spacing w:line="500" w:lineRule="exact"/>
        <w:ind w:firstLine="385" w:firstLineChars="175"/>
        <w:rPr>
          <w:rFonts w:ascii="宋体" w:hAnsi="宋体" w:cs="宋体"/>
          <w:color w:val="auto"/>
          <w:sz w:val="22"/>
          <w:szCs w:val="22"/>
          <w:highlight w:val="none"/>
        </w:rPr>
      </w:pPr>
    </w:p>
    <w:p w14:paraId="68B33541">
      <w:pPr>
        <w:widowControl/>
        <w:adjustRightInd w:val="0"/>
        <w:snapToGrid w:val="0"/>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供应商名称（盖章） ：</w:t>
      </w:r>
    </w:p>
    <w:p w14:paraId="142224D6">
      <w:pPr>
        <w:widowControl/>
        <w:adjustRightInd w:val="0"/>
        <w:snapToGrid w:val="0"/>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法定代表人（负责人）或其授权代表（签字或盖章）：</w:t>
      </w:r>
    </w:p>
    <w:p w14:paraId="43E0D2E2">
      <w:pPr>
        <w:widowControl/>
        <w:adjustRightInd w:val="0"/>
        <w:snapToGrid w:val="0"/>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1BDBC9DC">
      <w:pPr>
        <w:rPr>
          <w:rFonts w:ascii="宋体" w:hAnsi="宋体" w:cs="宋体"/>
          <w:b/>
          <w:bCs/>
          <w:color w:val="auto"/>
          <w:sz w:val="22"/>
          <w:szCs w:val="22"/>
          <w:highlight w:val="none"/>
        </w:rPr>
      </w:pPr>
    </w:p>
    <w:p w14:paraId="6F552052">
      <w:pPr>
        <w:rPr>
          <w:rFonts w:ascii="宋体" w:hAnsi="宋体" w:cs="宋体"/>
          <w:color w:val="auto"/>
          <w:highlight w:val="none"/>
        </w:rPr>
      </w:pPr>
      <w:r>
        <w:rPr>
          <w:rFonts w:hint="eastAsia" w:ascii="宋体" w:hAnsi="宋体" w:cs="宋体"/>
          <w:color w:val="auto"/>
          <w:highlight w:val="none"/>
        </w:rPr>
        <w:br w:type="page"/>
      </w:r>
    </w:p>
    <w:p w14:paraId="13FBE3F1">
      <w:pPr>
        <w:spacing w:line="440" w:lineRule="atLeast"/>
        <w:jc w:val="center"/>
        <w:rPr>
          <w:rFonts w:ascii="宋体" w:hAnsi="宋体" w:cs="宋体"/>
          <w:b/>
          <w:color w:val="auto"/>
          <w:sz w:val="22"/>
          <w:szCs w:val="22"/>
          <w:highlight w:val="none"/>
        </w:rPr>
      </w:pPr>
      <w:r>
        <w:rPr>
          <w:rFonts w:hint="eastAsia" w:ascii="宋体" w:hAnsi="宋体" w:cs="宋体"/>
          <w:b/>
          <w:color w:val="auto"/>
          <w:sz w:val="22"/>
          <w:szCs w:val="22"/>
          <w:highlight w:val="none"/>
        </w:rPr>
        <w:t>（4）中小企业声明函</w:t>
      </w:r>
    </w:p>
    <w:p w14:paraId="15276944">
      <w:pPr>
        <w:spacing w:after="120" w:line="44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中小企业声明函（工程、服务）</w:t>
      </w:r>
    </w:p>
    <w:p w14:paraId="1915CA7E">
      <w:pPr>
        <w:spacing w:before="5" w:after="120" w:line="440" w:lineRule="exact"/>
        <w:rPr>
          <w:rFonts w:ascii="宋体" w:hAnsi="宋体" w:cs="宋体"/>
          <w:b/>
          <w:color w:val="auto"/>
          <w:sz w:val="22"/>
          <w:szCs w:val="22"/>
          <w:highlight w:val="none"/>
        </w:rPr>
      </w:pPr>
    </w:p>
    <w:p w14:paraId="3E35A3D5">
      <w:pPr>
        <w:spacing w:after="120" w:line="480" w:lineRule="exact"/>
        <w:ind w:right="-1"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本公司（联合体）郑重声明，根据《政府采购促进中小企业发展管理办法》（财库﹝2020﹞46号）的规定，本公司（联合体）参加</w:t>
      </w:r>
      <w:r>
        <w:rPr>
          <w:rFonts w:hint="eastAsia" w:ascii="宋体" w:hAnsi="宋体" w:cs="宋体"/>
          <w:i/>
          <w:iCs/>
          <w:color w:val="auto"/>
          <w:sz w:val="22"/>
          <w:szCs w:val="22"/>
          <w:highlight w:val="none"/>
          <w:u w:val="single"/>
        </w:rPr>
        <w:t>（单位名称）</w:t>
      </w:r>
      <w:r>
        <w:rPr>
          <w:rFonts w:hint="eastAsia" w:ascii="宋体" w:hAnsi="宋体" w:cs="宋体"/>
          <w:color w:val="auto"/>
          <w:sz w:val="22"/>
          <w:szCs w:val="22"/>
          <w:highlight w:val="none"/>
        </w:rPr>
        <w:t>的</w:t>
      </w:r>
      <w:r>
        <w:rPr>
          <w:rFonts w:hint="eastAsia" w:ascii="宋体" w:hAnsi="宋体" w:cs="宋体"/>
          <w:i/>
          <w:iCs/>
          <w:color w:val="auto"/>
          <w:sz w:val="22"/>
          <w:szCs w:val="22"/>
          <w:highlight w:val="none"/>
          <w:u w:val="single"/>
        </w:rPr>
        <w:t>（项目名称）</w:t>
      </w:r>
      <w:r>
        <w:rPr>
          <w:rFonts w:hint="eastAsia" w:ascii="宋体" w:hAnsi="宋体" w:cs="宋体"/>
          <w:color w:val="auto"/>
          <w:sz w:val="22"/>
          <w:szCs w:val="22"/>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7F5E3E9">
      <w:pPr>
        <w:pStyle w:val="203"/>
        <w:tabs>
          <w:tab w:val="left" w:pos="1025"/>
        </w:tabs>
        <w:spacing w:line="480" w:lineRule="exact"/>
        <w:ind w:firstLine="440"/>
        <w:jc w:val="left"/>
        <w:rPr>
          <w:rFonts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i/>
          <w:iCs/>
          <w:color w:val="auto"/>
          <w:sz w:val="22"/>
          <w:szCs w:val="22"/>
          <w:highlight w:val="none"/>
          <w:u w:val="single"/>
        </w:rPr>
        <w:t>（标的名称）</w:t>
      </w:r>
      <w:r>
        <w:rPr>
          <w:rFonts w:hint="eastAsia" w:ascii="宋体" w:hAnsi="宋体" w:cs="宋体"/>
          <w:color w:val="auto"/>
          <w:sz w:val="22"/>
          <w:szCs w:val="22"/>
          <w:highlight w:val="none"/>
        </w:rPr>
        <w:t>，属于</w:t>
      </w:r>
      <w:r>
        <w:rPr>
          <w:rFonts w:hint="eastAsia" w:ascii="宋体" w:hAnsi="宋体" w:cs="宋体"/>
          <w:i/>
          <w:iCs/>
          <w:color w:val="auto"/>
          <w:sz w:val="22"/>
          <w:szCs w:val="22"/>
          <w:highlight w:val="none"/>
          <w:u w:val="single"/>
        </w:rPr>
        <w:t>（</w:t>
      </w:r>
      <w:r>
        <w:rPr>
          <w:rFonts w:hint="eastAsia" w:ascii="宋体" w:hAnsi="宋体" w:cs="宋体"/>
          <w:i/>
          <w:iCs/>
          <w:color w:val="auto"/>
          <w:sz w:val="22"/>
          <w:szCs w:val="22"/>
          <w:highlight w:val="none"/>
          <w:u w:val="single"/>
          <w:lang w:eastAsia="zh-CN"/>
        </w:rPr>
        <w:t>磋商文件</w:t>
      </w:r>
      <w:r>
        <w:rPr>
          <w:rFonts w:hint="eastAsia" w:ascii="宋体" w:hAnsi="宋体" w:cs="宋体"/>
          <w:i/>
          <w:iCs/>
          <w:color w:val="auto"/>
          <w:sz w:val="22"/>
          <w:szCs w:val="22"/>
          <w:highlight w:val="none"/>
          <w:u w:val="single"/>
        </w:rPr>
        <w:t>中明确的所属行业）</w:t>
      </w:r>
      <w:r>
        <w:rPr>
          <w:rFonts w:hint="eastAsia" w:ascii="宋体" w:hAnsi="宋体" w:cs="宋体"/>
          <w:color w:val="auto"/>
          <w:sz w:val="22"/>
          <w:szCs w:val="22"/>
          <w:highlight w:val="none"/>
        </w:rPr>
        <w:t>；承建（承接）企业为</w:t>
      </w:r>
      <w:r>
        <w:rPr>
          <w:rFonts w:hint="eastAsia" w:ascii="宋体" w:hAnsi="宋体" w:cs="宋体"/>
          <w:i/>
          <w:iCs/>
          <w:color w:val="auto"/>
          <w:sz w:val="22"/>
          <w:szCs w:val="22"/>
          <w:highlight w:val="none"/>
          <w:u w:val="single"/>
        </w:rPr>
        <w:t>（企业名称）</w:t>
      </w:r>
      <w:r>
        <w:rPr>
          <w:rFonts w:hint="eastAsia" w:ascii="宋体" w:hAnsi="宋体" w:cs="宋体"/>
          <w:color w:val="auto"/>
          <w:sz w:val="22"/>
          <w:szCs w:val="22"/>
          <w:highlight w:val="none"/>
        </w:rPr>
        <w:t>，从业人员人，营业收入为万元，资产总额为万元，属于</w:t>
      </w:r>
      <w:r>
        <w:rPr>
          <w:rFonts w:hint="eastAsia" w:ascii="宋体" w:hAnsi="宋体" w:cs="宋体"/>
          <w:i/>
          <w:iCs/>
          <w:color w:val="auto"/>
          <w:sz w:val="22"/>
          <w:szCs w:val="22"/>
          <w:highlight w:val="none"/>
          <w:u w:val="single"/>
        </w:rPr>
        <w:t>（中型企业、小型企业、微型企业）</w:t>
      </w:r>
      <w:r>
        <w:rPr>
          <w:rFonts w:hint="eastAsia" w:ascii="宋体" w:hAnsi="宋体" w:cs="宋体"/>
          <w:color w:val="auto"/>
          <w:sz w:val="22"/>
          <w:szCs w:val="22"/>
          <w:highlight w:val="none"/>
        </w:rPr>
        <w:t>；</w:t>
      </w:r>
    </w:p>
    <w:p w14:paraId="61082D19">
      <w:pPr>
        <w:pStyle w:val="203"/>
        <w:tabs>
          <w:tab w:val="left" w:pos="1243"/>
          <w:tab w:val="left" w:pos="1806"/>
          <w:tab w:val="left" w:pos="5005"/>
          <w:tab w:val="left" w:pos="7213"/>
        </w:tabs>
        <w:spacing w:line="480" w:lineRule="exact"/>
        <w:ind w:firstLine="440"/>
        <w:jc w:val="left"/>
        <w:rPr>
          <w:rFonts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i/>
          <w:iCs/>
          <w:color w:val="auto"/>
          <w:sz w:val="22"/>
          <w:szCs w:val="22"/>
          <w:highlight w:val="none"/>
          <w:u w:val="single"/>
        </w:rPr>
        <w:t>（标的名称）</w:t>
      </w:r>
      <w:r>
        <w:rPr>
          <w:rFonts w:hint="eastAsia" w:ascii="宋体" w:hAnsi="宋体" w:cs="宋体"/>
          <w:color w:val="auto"/>
          <w:sz w:val="22"/>
          <w:szCs w:val="22"/>
          <w:highlight w:val="none"/>
        </w:rPr>
        <w:t>，属于</w:t>
      </w:r>
      <w:r>
        <w:rPr>
          <w:rFonts w:hint="eastAsia" w:ascii="宋体" w:hAnsi="宋体" w:cs="宋体"/>
          <w:i/>
          <w:iCs/>
          <w:color w:val="auto"/>
          <w:sz w:val="22"/>
          <w:szCs w:val="22"/>
          <w:highlight w:val="none"/>
          <w:u w:val="single"/>
        </w:rPr>
        <w:t>（</w:t>
      </w:r>
      <w:r>
        <w:rPr>
          <w:rFonts w:hint="eastAsia" w:ascii="宋体" w:hAnsi="宋体" w:cs="宋体"/>
          <w:i/>
          <w:iCs/>
          <w:color w:val="auto"/>
          <w:sz w:val="22"/>
          <w:szCs w:val="22"/>
          <w:highlight w:val="none"/>
          <w:u w:val="single"/>
          <w:lang w:eastAsia="zh-CN"/>
        </w:rPr>
        <w:t>磋商文件</w:t>
      </w:r>
      <w:r>
        <w:rPr>
          <w:rFonts w:hint="eastAsia" w:ascii="宋体" w:hAnsi="宋体" w:cs="宋体"/>
          <w:i/>
          <w:iCs/>
          <w:color w:val="auto"/>
          <w:sz w:val="22"/>
          <w:szCs w:val="22"/>
          <w:highlight w:val="none"/>
          <w:u w:val="single"/>
        </w:rPr>
        <w:t>中明确的所属行业）</w:t>
      </w:r>
      <w:r>
        <w:rPr>
          <w:rFonts w:hint="eastAsia" w:ascii="宋体" w:hAnsi="宋体" w:cs="宋体"/>
          <w:color w:val="auto"/>
          <w:sz w:val="22"/>
          <w:szCs w:val="22"/>
          <w:highlight w:val="none"/>
        </w:rPr>
        <w:t>；承建（承接）企业为</w:t>
      </w:r>
      <w:r>
        <w:rPr>
          <w:rFonts w:hint="eastAsia" w:ascii="宋体" w:hAnsi="宋体" w:cs="宋体"/>
          <w:i/>
          <w:iCs/>
          <w:color w:val="auto"/>
          <w:sz w:val="22"/>
          <w:szCs w:val="22"/>
          <w:highlight w:val="none"/>
          <w:u w:val="single"/>
        </w:rPr>
        <w:t>（企业名称）</w:t>
      </w:r>
      <w:r>
        <w:rPr>
          <w:rFonts w:hint="eastAsia" w:ascii="宋体" w:hAnsi="宋体" w:cs="宋体"/>
          <w:color w:val="auto"/>
          <w:sz w:val="22"/>
          <w:szCs w:val="22"/>
          <w:highlight w:val="none"/>
        </w:rPr>
        <w:t>，从业人员人，营业收入为万元，资产总额为万元，属于</w:t>
      </w:r>
      <w:r>
        <w:rPr>
          <w:rFonts w:hint="eastAsia" w:ascii="宋体" w:hAnsi="宋体" w:cs="宋体"/>
          <w:i/>
          <w:iCs/>
          <w:color w:val="auto"/>
          <w:sz w:val="22"/>
          <w:szCs w:val="22"/>
          <w:highlight w:val="none"/>
          <w:u w:val="single"/>
        </w:rPr>
        <w:t>（中型企业、小型企业、微型企业）</w:t>
      </w:r>
      <w:r>
        <w:rPr>
          <w:rFonts w:hint="eastAsia" w:ascii="宋体" w:hAnsi="宋体" w:cs="宋体"/>
          <w:color w:val="auto"/>
          <w:sz w:val="22"/>
          <w:szCs w:val="22"/>
          <w:highlight w:val="none"/>
        </w:rPr>
        <w:t>；</w:t>
      </w:r>
    </w:p>
    <w:p w14:paraId="42D2E7CD">
      <w:pPr>
        <w:spacing w:before="11" w:after="120" w:line="480" w:lineRule="exact"/>
        <w:ind w:left="860"/>
        <w:jc w:val="left"/>
        <w:rPr>
          <w:rFonts w:ascii="宋体" w:hAnsi="宋体" w:cs="宋体"/>
          <w:color w:val="auto"/>
          <w:sz w:val="22"/>
          <w:szCs w:val="22"/>
          <w:highlight w:val="none"/>
        </w:rPr>
      </w:pPr>
      <w:r>
        <w:rPr>
          <w:rFonts w:hint="eastAsia" w:ascii="宋体" w:hAnsi="宋体" w:cs="宋体"/>
          <w:color w:val="auto"/>
          <w:sz w:val="22"/>
          <w:szCs w:val="22"/>
          <w:highlight w:val="none"/>
        </w:rPr>
        <w:t>……</w:t>
      </w:r>
    </w:p>
    <w:p w14:paraId="4E7A1093">
      <w:pPr>
        <w:spacing w:before="108" w:after="120" w:line="480" w:lineRule="exact"/>
        <w:ind w:right="417" w:firstLine="645"/>
        <w:jc w:val="left"/>
        <w:rPr>
          <w:rFonts w:ascii="宋体" w:hAnsi="宋体" w:cs="宋体"/>
          <w:color w:val="auto"/>
          <w:sz w:val="22"/>
          <w:szCs w:val="22"/>
          <w:highlight w:val="none"/>
        </w:rPr>
      </w:pPr>
      <w:r>
        <w:rPr>
          <w:rFonts w:hint="eastAsia" w:ascii="宋体" w:hAnsi="宋体" w:cs="宋体"/>
          <w:color w:val="auto"/>
          <w:sz w:val="22"/>
          <w:szCs w:val="22"/>
          <w:highlight w:val="none"/>
        </w:rPr>
        <w:t>以上企业，不属于大企业的分支机构，不存在控股股东为大企业的情形，也不存在与大企业的负责人为同一人的情形。</w:t>
      </w:r>
    </w:p>
    <w:p w14:paraId="4391DAD6">
      <w:pPr>
        <w:spacing w:after="120" w:line="480" w:lineRule="exact"/>
        <w:ind w:right="375" w:firstLine="860"/>
        <w:jc w:val="left"/>
        <w:rPr>
          <w:rFonts w:ascii="宋体" w:hAnsi="宋体" w:cs="宋体"/>
          <w:color w:val="auto"/>
          <w:sz w:val="22"/>
          <w:szCs w:val="22"/>
          <w:highlight w:val="none"/>
        </w:rPr>
      </w:pPr>
      <w:r>
        <w:rPr>
          <w:rFonts w:hint="eastAsia" w:ascii="宋体" w:hAnsi="宋体" w:cs="宋体"/>
          <w:color w:val="auto"/>
          <w:sz w:val="22"/>
          <w:szCs w:val="22"/>
          <w:highlight w:val="none"/>
        </w:rPr>
        <w:t>本企业对上述声明内容的真实性负责。如有虚假，将依法承担相应责任。</w:t>
      </w:r>
    </w:p>
    <w:p w14:paraId="1C440CA4">
      <w:pPr>
        <w:spacing w:before="29" w:after="120" w:line="480" w:lineRule="exact"/>
        <w:ind w:left="4060" w:right="2166"/>
        <w:jc w:val="left"/>
        <w:rPr>
          <w:rFonts w:ascii="宋体" w:hAnsi="宋体" w:cs="宋体"/>
          <w:color w:val="auto"/>
          <w:sz w:val="22"/>
          <w:szCs w:val="22"/>
          <w:highlight w:val="none"/>
        </w:rPr>
      </w:pPr>
    </w:p>
    <w:p w14:paraId="6BC4BA23">
      <w:pPr>
        <w:widowControl/>
        <w:adjustRightInd w:val="0"/>
        <w:snapToGrid w:val="0"/>
        <w:spacing w:line="400" w:lineRule="exact"/>
        <w:ind w:firstLine="3300" w:firstLineChars="1500"/>
        <w:jc w:val="left"/>
        <w:rPr>
          <w:rFonts w:ascii="宋体" w:hAnsi="宋体" w:cs="宋体"/>
          <w:color w:val="auto"/>
          <w:sz w:val="22"/>
          <w:szCs w:val="22"/>
          <w:highlight w:val="none"/>
        </w:rPr>
      </w:pPr>
      <w:r>
        <w:rPr>
          <w:rFonts w:hint="eastAsia" w:ascii="宋体" w:hAnsi="宋体" w:cs="宋体"/>
          <w:color w:val="auto"/>
          <w:sz w:val="22"/>
          <w:szCs w:val="22"/>
          <w:highlight w:val="none"/>
        </w:rPr>
        <w:t>供应商名称（盖章）：</w:t>
      </w:r>
    </w:p>
    <w:p w14:paraId="0D16B004">
      <w:pPr>
        <w:widowControl/>
        <w:adjustRightInd w:val="0"/>
        <w:snapToGrid w:val="0"/>
        <w:spacing w:line="400" w:lineRule="exact"/>
        <w:ind w:firstLine="3300" w:firstLineChars="1500"/>
        <w:jc w:val="left"/>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14:paraId="4E761F2D">
      <w:pPr>
        <w:pStyle w:val="222"/>
        <w:spacing w:before="60" w:after="60"/>
        <w:ind w:firstLine="46"/>
        <w:rPr>
          <w:rFonts w:ascii="宋体" w:hAnsi="宋体" w:eastAsia="宋体" w:cs="宋体"/>
          <w:color w:val="auto"/>
          <w:sz w:val="22"/>
          <w:szCs w:val="22"/>
          <w:highlight w:val="none"/>
        </w:rPr>
      </w:pPr>
    </w:p>
    <w:p w14:paraId="0FD1AC2D">
      <w:pPr>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说明：</w:t>
      </w:r>
    </w:p>
    <w:p w14:paraId="77F3A59B">
      <w:pPr>
        <w:numPr>
          <w:ilvl w:val="0"/>
          <w:numId w:val="36"/>
        </w:numPr>
        <w:tabs>
          <w:tab w:val="left" w:pos="420"/>
        </w:tabs>
        <w:spacing w:line="400" w:lineRule="exact"/>
        <w:rPr>
          <w:rFonts w:ascii="宋体" w:hAnsi="宋体" w:cs="宋体"/>
          <w:b/>
          <w:color w:val="auto"/>
          <w:sz w:val="22"/>
          <w:szCs w:val="22"/>
          <w:highlight w:val="none"/>
        </w:rPr>
      </w:pPr>
      <w:r>
        <w:rPr>
          <w:rFonts w:hint="eastAsia" w:ascii="宋体" w:hAnsi="宋体" w:cs="宋体"/>
          <w:b/>
          <w:color w:val="auto"/>
          <w:sz w:val="22"/>
          <w:szCs w:val="22"/>
          <w:highlight w:val="none"/>
        </w:rPr>
        <w:t>本项目为对应的中小企业划分标准所属行业：</w:t>
      </w:r>
      <w:r>
        <w:rPr>
          <w:rFonts w:hint="eastAsia" w:ascii="宋体" w:hAnsi="宋体" w:cs="宋体"/>
          <w:b/>
          <w:color w:val="auto"/>
          <w:sz w:val="22"/>
          <w:szCs w:val="22"/>
          <w:highlight w:val="none"/>
          <w:lang w:val="en-US" w:eastAsia="zh-CN"/>
        </w:rPr>
        <w:t>其他未列明行业</w:t>
      </w:r>
      <w:r>
        <w:rPr>
          <w:rFonts w:hint="eastAsia" w:ascii="宋体" w:hAnsi="宋体" w:cs="宋体"/>
          <w:b/>
          <w:color w:val="auto"/>
          <w:sz w:val="22"/>
          <w:szCs w:val="22"/>
          <w:highlight w:val="none"/>
        </w:rPr>
        <w:t>。</w:t>
      </w:r>
    </w:p>
    <w:p w14:paraId="51E85900">
      <w:pPr>
        <w:numPr>
          <w:ilvl w:val="0"/>
          <w:numId w:val="36"/>
        </w:numPr>
        <w:tabs>
          <w:tab w:val="left" w:pos="420"/>
        </w:tabs>
        <w:spacing w:line="400" w:lineRule="exact"/>
        <w:rPr>
          <w:rFonts w:ascii="宋体" w:hAnsi="宋体" w:cs="宋体"/>
          <w:b/>
          <w:color w:val="auto"/>
          <w:sz w:val="22"/>
          <w:szCs w:val="22"/>
          <w:highlight w:val="none"/>
        </w:rPr>
      </w:pPr>
      <w:r>
        <w:rPr>
          <w:rFonts w:hint="eastAsia" w:ascii="宋体" w:hAnsi="宋体" w:cs="宋体"/>
          <w:b/>
          <w:color w:val="auto"/>
          <w:sz w:val="22"/>
          <w:szCs w:val="22"/>
          <w:highlight w:val="none"/>
        </w:rPr>
        <w:t>从业人员、营业收入、资产总额填报上一年度数据，无上一年度数据的新成立企业可不填报。</w:t>
      </w:r>
    </w:p>
    <w:p w14:paraId="176EAC02">
      <w:pPr>
        <w:rPr>
          <w:rFonts w:ascii="宋体" w:hAnsi="宋体" w:cs="宋体"/>
          <w:color w:val="auto"/>
          <w:sz w:val="22"/>
          <w:szCs w:val="22"/>
          <w:highlight w:val="none"/>
        </w:rPr>
      </w:pPr>
      <w:r>
        <w:rPr>
          <w:rFonts w:hint="eastAsia" w:ascii="宋体" w:hAnsi="宋体" w:cs="宋体"/>
          <w:color w:val="auto"/>
          <w:sz w:val="22"/>
          <w:szCs w:val="22"/>
          <w:highlight w:val="none"/>
        </w:rPr>
        <w:br w:type="page"/>
      </w:r>
    </w:p>
    <w:p w14:paraId="1AE30C69">
      <w:pPr>
        <w:spacing w:beforeLines="100" w:line="440" w:lineRule="atLeast"/>
        <w:ind w:firstLine="440" w:firstLineChars="200"/>
        <w:jc w:val="right"/>
        <w:rPr>
          <w:rFonts w:ascii="宋体" w:hAnsi="宋体" w:cs="宋体"/>
          <w:color w:val="auto"/>
          <w:sz w:val="22"/>
          <w:szCs w:val="22"/>
          <w:highlight w:val="none"/>
        </w:rPr>
      </w:pPr>
      <w:r>
        <w:rPr>
          <w:rFonts w:hint="eastAsia" w:ascii="宋体" w:hAnsi="宋体" w:cs="宋体"/>
          <w:color w:val="auto"/>
          <w:sz w:val="22"/>
          <w:szCs w:val="22"/>
          <w:highlight w:val="none"/>
        </w:rPr>
        <w:t>               　　　　　</w:t>
      </w:r>
    </w:p>
    <w:p w14:paraId="7594A3F0">
      <w:pPr>
        <w:spacing w:line="440" w:lineRule="atLeast"/>
        <w:rPr>
          <w:rFonts w:ascii="宋体" w:hAnsi="宋体" w:cs="宋体"/>
          <w:color w:val="auto"/>
          <w:sz w:val="22"/>
          <w:szCs w:val="22"/>
          <w:highlight w:val="none"/>
        </w:rPr>
      </w:pPr>
    </w:p>
    <w:p w14:paraId="16314198">
      <w:pPr>
        <w:spacing w:line="440" w:lineRule="atLeast"/>
        <w:jc w:val="center"/>
        <w:rPr>
          <w:rFonts w:ascii="宋体" w:hAnsi="宋体" w:cs="宋体"/>
          <w:color w:val="auto"/>
          <w:spacing w:val="6"/>
          <w:sz w:val="22"/>
          <w:szCs w:val="22"/>
          <w:highlight w:val="none"/>
        </w:rPr>
      </w:pPr>
      <w:r>
        <w:rPr>
          <w:rFonts w:hint="eastAsia" w:ascii="宋体" w:hAnsi="宋体" w:cs="宋体"/>
          <w:b/>
          <w:color w:val="auto"/>
          <w:sz w:val="22"/>
          <w:szCs w:val="22"/>
          <w:highlight w:val="none"/>
        </w:rPr>
        <w:t>（5）</w:t>
      </w:r>
      <w:r>
        <w:rPr>
          <w:rFonts w:hint="eastAsia" w:ascii="宋体" w:hAnsi="宋体" w:cs="宋体"/>
          <w:b/>
          <w:color w:val="auto"/>
          <w:spacing w:val="6"/>
          <w:sz w:val="22"/>
          <w:szCs w:val="22"/>
          <w:highlight w:val="none"/>
        </w:rPr>
        <w:t>残疾人福利性单位声明函</w:t>
      </w:r>
    </w:p>
    <w:p w14:paraId="608D3CE4">
      <w:pPr>
        <w:widowControl/>
        <w:adjustRightInd w:val="0"/>
        <w:snapToGrid w:val="0"/>
        <w:spacing w:line="324" w:lineRule="auto"/>
        <w:ind w:firstLine="440" w:firstLineChars="20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【不属于残疾人福利性单位的无需填写、递交】</w:t>
      </w:r>
    </w:p>
    <w:p w14:paraId="1183F4F8">
      <w:pPr>
        <w:snapToGrid w:val="0"/>
        <w:spacing w:line="300" w:lineRule="auto"/>
        <w:jc w:val="center"/>
        <w:rPr>
          <w:rFonts w:ascii="宋体" w:hAnsi="宋体" w:cs="宋体"/>
          <w:b/>
          <w:bCs/>
          <w:color w:val="auto"/>
          <w:sz w:val="22"/>
          <w:szCs w:val="22"/>
          <w:highlight w:val="none"/>
        </w:rPr>
      </w:pPr>
    </w:p>
    <w:p w14:paraId="14D40577">
      <w:pPr>
        <w:snapToGrid w:val="0"/>
        <w:spacing w:line="300" w:lineRule="auto"/>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本单位郑重声明，根据《财政部民政部中国残疾人联合会关于促进残疾人就业政府采购政策的通知》（财库</w:t>
      </w:r>
      <w:r>
        <w:rPr>
          <w:rFonts w:hint="eastAsia" w:ascii="宋体" w:hAnsi="宋体" w:cs="宋体"/>
          <w:color w:val="auto"/>
          <w:sz w:val="22"/>
          <w:szCs w:val="22"/>
          <w:highlight w:val="none"/>
        </w:rPr>
        <w:t>〔2017〕141</w:t>
      </w:r>
      <w:r>
        <w:rPr>
          <w:rFonts w:hint="eastAsia" w:ascii="宋体" w:hAnsi="宋体" w:cs="宋体"/>
          <w:color w:val="auto"/>
          <w:spacing w:val="6"/>
          <w:sz w:val="22"/>
          <w:szCs w:val="22"/>
          <w:highlight w:val="none"/>
        </w:rPr>
        <w:t>号）的规定，本单位为符合条件的残疾人福利性单位，且本单位参加</w:t>
      </w:r>
      <w:r>
        <w:rPr>
          <w:rFonts w:hint="eastAsia" w:ascii="宋体" w:hAnsi="宋体" w:cs="宋体"/>
          <w:color w:val="auto"/>
          <w:spacing w:val="6"/>
          <w:sz w:val="22"/>
          <w:szCs w:val="22"/>
          <w:highlight w:val="none"/>
          <w:u w:val="single"/>
        </w:rPr>
        <w:t>（采购人名称）</w:t>
      </w:r>
      <w:r>
        <w:rPr>
          <w:rFonts w:hint="eastAsia" w:ascii="宋体" w:hAnsi="宋体" w:cs="宋体"/>
          <w:color w:val="auto"/>
          <w:spacing w:val="6"/>
          <w:sz w:val="22"/>
          <w:szCs w:val="22"/>
          <w:highlight w:val="none"/>
        </w:rPr>
        <w:t>单位的</w:t>
      </w:r>
      <w:r>
        <w:rPr>
          <w:rFonts w:hint="eastAsia" w:ascii="宋体" w:hAnsi="宋体" w:cs="宋体"/>
          <w:color w:val="auto"/>
          <w:spacing w:val="6"/>
          <w:sz w:val="22"/>
          <w:szCs w:val="22"/>
          <w:highlight w:val="none"/>
          <w:u w:val="single"/>
        </w:rPr>
        <w:t>（项目名称）</w:t>
      </w:r>
      <w:r>
        <w:rPr>
          <w:rFonts w:hint="eastAsia" w:ascii="宋体" w:hAnsi="宋体" w:cs="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14:paraId="3B34B677">
      <w:pPr>
        <w:snapToGrid w:val="0"/>
        <w:spacing w:line="300" w:lineRule="auto"/>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本单位对上述声明的真实性负责。如有虚假，将依法承担相应责任。</w:t>
      </w:r>
    </w:p>
    <w:p w14:paraId="24C7B017">
      <w:pPr>
        <w:snapToGrid w:val="0"/>
        <w:spacing w:line="300" w:lineRule="auto"/>
        <w:ind w:firstLine="464" w:firstLineChars="200"/>
        <w:rPr>
          <w:rFonts w:ascii="宋体" w:hAnsi="宋体" w:cs="宋体"/>
          <w:color w:val="auto"/>
          <w:spacing w:val="6"/>
          <w:sz w:val="22"/>
          <w:szCs w:val="22"/>
          <w:highlight w:val="none"/>
        </w:rPr>
      </w:pPr>
    </w:p>
    <w:p w14:paraId="53C312E8">
      <w:pPr>
        <w:snapToGrid w:val="0"/>
        <w:spacing w:line="300" w:lineRule="auto"/>
        <w:ind w:firstLine="464" w:firstLineChars="200"/>
        <w:rPr>
          <w:rFonts w:ascii="宋体" w:hAnsi="宋体" w:cs="宋体"/>
          <w:color w:val="auto"/>
          <w:spacing w:val="6"/>
          <w:sz w:val="22"/>
          <w:szCs w:val="22"/>
          <w:highlight w:val="none"/>
        </w:rPr>
      </w:pPr>
    </w:p>
    <w:p w14:paraId="76B2D864">
      <w:pPr>
        <w:widowControl/>
        <w:adjustRightInd w:val="0"/>
        <w:snapToGrid w:val="0"/>
        <w:spacing w:line="400" w:lineRule="exact"/>
        <w:ind w:firstLine="3300" w:firstLineChars="1500"/>
        <w:jc w:val="left"/>
        <w:rPr>
          <w:rFonts w:ascii="宋体" w:hAnsi="宋体" w:cs="宋体"/>
          <w:color w:val="auto"/>
          <w:sz w:val="22"/>
          <w:szCs w:val="22"/>
          <w:highlight w:val="none"/>
        </w:rPr>
      </w:pPr>
      <w:r>
        <w:rPr>
          <w:rFonts w:hint="eastAsia" w:ascii="宋体" w:hAnsi="宋体" w:cs="宋体"/>
          <w:color w:val="auto"/>
          <w:sz w:val="22"/>
          <w:szCs w:val="22"/>
          <w:highlight w:val="none"/>
        </w:rPr>
        <w:t>供应商名称（盖章）：</w:t>
      </w:r>
    </w:p>
    <w:p w14:paraId="3DB32BFB">
      <w:pPr>
        <w:widowControl/>
        <w:adjustRightInd w:val="0"/>
        <w:snapToGrid w:val="0"/>
        <w:spacing w:line="400" w:lineRule="exact"/>
        <w:ind w:firstLine="3300" w:firstLineChars="1500"/>
        <w:jc w:val="left"/>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14:paraId="4221A7B0">
      <w:pPr>
        <w:adjustRightInd w:val="0"/>
        <w:snapToGrid w:val="0"/>
        <w:spacing w:line="300" w:lineRule="auto"/>
        <w:ind w:firstLine="440" w:firstLineChars="200"/>
        <w:rPr>
          <w:rFonts w:ascii="宋体" w:hAnsi="宋体" w:cs="宋体"/>
          <w:color w:val="auto"/>
          <w:kern w:val="0"/>
          <w:sz w:val="22"/>
          <w:szCs w:val="22"/>
          <w:highlight w:val="none"/>
        </w:rPr>
      </w:pPr>
    </w:p>
    <w:p w14:paraId="6EA1882E">
      <w:pPr>
        <w:pStyle w:val="28"/>
        <w:rPr>
          <w:rFonts w:ascii="宋体" w:hAnsi="宋体" w:eastAsia="宋体" w:cs="宋体"/>
          <w:color w:val="auto"/>
          <w:highlight w:val="none"/>
        </w:rPr>
      </w:pPr>
    </w:p>
    <w:p w14:paraId="0C49AFD2">
      <w:pPr>
        <w:adjustRightInd w:val="0"/>
        <w:snapToGrid w:val="0"/>
        <w:spacing w:line="300" w:lineRule="auto"/>
        <w:ind w:firstLine="440" w:firstLineChars="200"/>
        <w:rPr>
          <w:rFonts w:ascii="宋体" w:hAnsi="宋体" w:cs="宋体"/>
          <w:color w:val="auto"/>
          <w:kern w:val="0"/>
          <w:sz w:val="22"/>
          <w:szCs w:val="22"/>
          <w:highlight w:val="none"/>
        </w:rPr>
      </w:pPr>
    </w:p>
    <w:p w14:paraId="35171226">
      <w:pPr>
        <w:spacing w:line="440" w:lineRule="atLeast"/>
        <w:rPr>
          <w:rFonts w:ascii="宋体" w:hAnsi="宋体" w:cs="宋体"/>
          <w:color w:val="auto"/>
          <w:sz w:val="22"/>
          <w:szCs w:val="22"/>
          <w:highlight w:val="none"/>
        </w:rPr>
      </w:pPr>
    </w:p>
    <w:p w14:paraId="05AE73BE">
      <w:pPr>
        <w:adjustRightInd w:val="0"/>
        <w:snapToGrid w:val="0"/>
        <w:spacing w:line="300" w:lineRule="auto"/>
        <w:jc w:val="center"/>
        <w:rPr>
          <w:rFonts w:ascii="宋体" w:hAnsi="宋体" w:cs="宋体"/>
          <w:color w:val="auto"/>
          <w:kern w:val="0"/>
          <w:sz w:val="22"/>
          <w:szCs w:val="22"/>
          <w:highlight w:val="none"/>
        </w:rPr>
      </w:pPr>
      <w:r>
        <w:rPr>
          <w:rFonts w:hint="eastAsia" w:ascii="宋体" w:hAnsi="宋体" w:cs="宋体"/>
          <w:b/>
          <w:color w:val="auto"/>
          <w:sz w:val="22"/>
          <w:szCs w:val="22"/>
          <w:highlight w:val="none"/>
        </w:rPr>
        <w:t>（6）</w:t>
      </w:r>
      <w:r>
        <w:rPr>
          <w:rFonts w:hint="eastAsia" w:ascii="宋体" w:hAnsi="宋体" w:cs="宋体"/>
          <w:b/>
          <w:color w:val="auto"/>
          <w:spacing w:val="6"/>
          <w:sz w:val="22"/>
          <w:szCs w:val="22"/>
          <w:highlight w:val="none"/>
        </w:rPr>
        <w:t>监狱企业声明函</w:t>
      </w:r>
    </w:p>
    <w:p w14:paraId="76E1F604">
      <w:pPr>
        <w:snapToGrid w:val="0"/>
        <w:spacing w:line="300" w:lineRule="auto"/>
        <w:ind w:firstLine="464" w:firstLineChars="200"/>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【非监狱企业不用提供】</w:t>
      </w:r>
    </w:p>
    <w:p w14:paraId="40E2C8D3">
      <w:pPr>
        <w:snapToGrid w:val="0"/>
        <w:spacing w:line="300" w:lineRule="auto"/>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本企业郑重声明，根据《关于政府采购支持监狱企业发展有关问题的通知》（财库[2014]68号）的规定，本企业为监狱企业。 </w:t>
      </w:r>
    </w:p>
    <w:p w14:paraId="53188CA2">
      <w:pPr>
        <w:snapToGrid w:val="0"/>
        <w:spacing w:line="300" w:lineRule="auto"/>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根据上述标准，我企业属于监狱企业的理由为：。 </w:t>
      </w:r>
    </w:p>
    <w:p w14:paraId="58DBAF5A">
      <w:pPr>
        <w:snapToGrid w:val="0"/>
        <w:spacing w:line="300" w:lineRule="auto"/>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本企业为参加（项目名称</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）（项目编号</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 xml:space="preserve">）采购活动并承担本工程。 </w:t>
      </w:r>
    </w:p>
    <w:p w14:paraId="397E461B">
      <w:pPr>
        <w:snapToGrid w:val="0"/>
        <w:spacing w:line="300" w:lineRule="auto"/>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本企业对上述声明的真实性负责。如有虚假，将依法承担相应责任。 </w:t>
      </w:r>
    </w:p>
    <w:p w14:paraId="3AECAE7A">
      <w:pPr>
        <w:tabs>
          <w:tab w:val="left" w:pos="4860"/>
        </w:tabs>
        <w:spacing w:line="588" w:lineRule="exact"/>
        <w:ind w:right="1560" w:firstLine="464" w:firstLineChars="200"/>
        <w:jc w:val="center"/>
        <w:rPr>
          <w:rFonts w:ascii="宋体" w:hAnsi="宋体" w:cs="宋体"/>
          <w:color w:val="auto"/>
          <w:spacing w:val="6"/>
          <w:sz w:val="22"/>
          <w:szCs w:val="22"/>
          <w:highlight w:val="none"/>
        </w:rPr>
      </w:pPr>
    </w:p>
    <w:p w14:paraId="2F8417A8">
      <w:pPr>
        <w:widowControl/>
        <w:adjustRightInd w:val="0"/>
        <w:snapToGrid w:val="0"/>
        <w:spacing w:line="400" w:lineRule="exact"/>
        <w:ind w:firstLine="3300" w:firstLineChars="1500"/>
        <w:jc w:val="left"/>
        <w:rPr>
          <w:rFonts w:ascii="宋体" w:hAnsi="宋体" w:cs="宋体"/>
          <w:color w:val="auto"/>
          <w:sz w:val="22"/>
          <w:szCs w:val="22"/>
          <w:highlight w:val="none"/>
        </w:rPr>
      </w:pPr>
      <w:r>
        <w:rPr>
          <w:rFonts w:hint="eastAsia" w:ascii="宋体" w:hAnsi="宋体" w:cs="宋体"/>
          <w:color w:val="auto"/>
          <w:sz w:val="22"/>
          <w:szCs w:val="22"/>
          <w:highlight w:val="none"/>
        </w:rPr>
        <w:t>供应商名称（盖章）：</w:t>
      </w:r>
    </w:p>
    <w:p w14:paraId="295693BF">
      <w:pPr>
        <w:widowControl/>
        <w:adjustRightInd w:val="0"/>
        <w:snapToGrid w:val="0"/>
        <w:spacing w:line="400" w:lineRule="exact"/>
        <w:ind w:firstLine="3300" w:firstLineChars="1500"/>
        <w:jc w:val="left"/>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14:paraId="5828600A">
      <w:pPr>
        <w:pStyle w:val="51"/>
        <w:rPr>
          <w:rFonts w:ascii="宋体" w:hAnsi="宋体" w:cs="宋体"/>
          <w:color w:val="auto"/>
          <w:sz w:val="22"/>
          <w:szCs w:val="22"/>
          <w:highlight w:val="none"/>
        </w:rPr>
      </w:pPr>
    </w:p>
    <w:p w14:paraId="69604CEC">
      <w:pPr>
        <w:pStyle w:val="51"/>
        <w:rPr>
          <w:rFonts w:ascii="宋体" w:hAnsi="宋体" w:cs="宋体"/>
          <w:color w:val="auto"/>
          <w:sz w:val="22"/>
          <w:szCs w:val="22"/>
          <w:highlight w:val="none"/>
        </w:rPr>
      </w:pPr>
    </w:p>
    <w:p w14:paraId="272DEF67">
      <w:pPr>
        <w:rPr>
          <w:rFonts w:ascii="宋体" w:hAnsi="宋体" w:cs="宋体"/>
          <w:color w:val="auto"/>
          <w:sz w:val="22"/>
          <w:szCs w:val="22"/>
          <w:highlight w:val="none"/>
        </w:rPr>
      </w:pPr>
      <w:r>
        <w:rPr>
          <w:rFonts w:hint="eastAsia" w:ascii="宋体" w:hAnsi="宋体" w:cs="宋体"/>
          <w:color w:val="auto"/>
          <w:sz w:val="22"/>
          <w:szCs w:val="22"/>
          <w:highlight w:val="none"/>
        </w:rPr>
        <w:br w:type="page"/>
      </w:r>
    </w:p>
    <w:p w14:paraId="25DBF873">
      <w:pPr>
        <w:pStyle w:val="28"/>
        <w:rPr>
          <w:rFonts w:ascii="宋体" w:hAnsi="宋体" w:eastAsia="宋体" w:cs="宋体"/>
          <w:color w:val="auto"/>
          <w:highlight w:val="none"/>
        </w:rPr>
      </w:pPr>
    </w:p>
    <w:p w14:paraId="622D6150">
      <w:pPr>
        <w:rPr>
          <w:rFonts w:ascii="宋体" w:hAnsi="宋体" w:cs="宋体"/>
          <w:color w:val="auto"/>
          <w:spacing w:val="6"/>
          <w:sz w:val="22"/>
          <w:szCs w:val="22"/>
          <w:highlight w:val="none"/>
        </w:rPr>
      </w:pPr>
    </w:p>
    <w:p w14:paraId="43FA3819">
      <w:pPr>
        <w:spacing w:line="38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 xml:space="preserve">附件二 </w:t>
      </w:r>
    </w:p>
    <w:p w14:paraId="332573F1">
      <w:pPr>
        <w:spacing w:line="460" w:lineRule="exact"/>
        <w:jc w:val="center"/>
        <w:rPr>
          <w:rFonts w:ascii="宋体" w:hAnsi="宋体"/>
          <w:b/>
          <w:bCs/>
          <w:color w:val="auto"/>
          <w:sz w:val="28"/>
          <w:szCs w:val="28"/>
          <w:highlight w:val="none"/>
        </w:rPr>
      </w:pPr>
      <w:r>
        <w:rPr>
          <w:rFonts w:hint="eastAsia" w:ascii="宋体" w:hAnsi="宋体"/>
          <w:b/>
          <w:color w:val="auto"/>
          <w:sz w:val="22"/>
          <w:szCs w:val="22"/>
          <w:highlight w:val="none"/>
        </w:rPr>
        <w:t>（1）</w:t>
      </w:r>
      <w:r>
        <w:rPr>
          <w:rFonts w:hint="eastAsia" w:ascii="宋体" w:hAnsi="宋体"/>
          <w:b/>
          <w:bCs/>
          <w:color w:val="auto"/>
          <w:sz w:val="28"/>
          <w:szCs w:val="28"/>
          <w:highlight w:val="none"/>
        </w:rPr>
        <w:t>报价一览表</w:t>
      </w:r>
    </w:p>
    <w:p w14:paraId="25C486D3">
      <w:pPr>
        <w:spacing w:line="380" w:lineRule="exact"/>
        <w:jc w:val="center"/>
        <w:rPr>
          <w:rFonts w:ascii="宋体" w:hAnsi="宋体"/>
          <w:b/>
          <w:bCs/>
          <w:color w:val="auto"/>
          <w:sz w:val="28"/>
          <w:highlight w:val="none"/>
        </w:rPr>
      </w:pPr>
    </w:p>
    <w:p w14:paraId="6075057B">
      <w:pPr>
        <w:spacing w:line="380" w:lineRule="exact"/>
        <w:ind w:right="349" w:rightChars="166"/>
        <w:rPr>
          <w:rFonts w:hint="eastAsia" w:ascii="宋体" w:hAnsi="宋体" w:eastAsia="宋体" w:cs="宋体"/>
          <w:b/>
          <w:color w:val="auto"/>
          <w:sz w:val="22"/>
          <w:highlight w:val="none"/>
        </w:rPr>
      </w:pPr>
      <w:r>
        <w:rPr>
          <w:rFonts w:hint="eastAsia" w:ascii="宋体" w:hAnsi="宋体"/>
          <w:b/>
          <w:color w:val="auto"/>
          <w:sz w:val="22"/>
          <w:highlight w:val="none"/>
        </w:rPr>
        <w:t xml:space="preserve">             </w:t>
      </w:r>
      <w:r>
        <w:rPr>
          <w:rFonts w:hint="eastAsia" w:ascii="宋体" w:hAnsi="宋体" w:eastAsia="宋体" w:cs="宋体"/>
          <w:b/>
          <w:color w:val="auto"/>
          <w:sz w:val="22"/>
          <w:highlight w:val="none"/>
        </w:rPr>
        <w:t xml:space="preserve">                                                        </w:t>
      </w:r>
    </w:p>
    <w:tbl>
      <w:tblPr>
        <w:tblStyle w:val="39"/>
        <w:tblW w:w="946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298"/>
        <w:gridCol w:w="2017"/>
        <w:gridCol w:w="4443"/>
      </w:tblGrid>
      <w:tr w14:paraId="4BC0F7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8" w:hRule="exact"/>
        </w:trPr>
        <w:tc>
          <w:tcPr>
            <w:tcW w:w="710" w:type="dxa"/>
            <w:noWrap w:val="0"/>
            <w:vAlign w:val="center"/>
          </w:tcPr>
          <w:p w14:paraId="000FB15F">
            <w:pPr>
              <w:spacing w:line="460" w:lineRule="exact"/>
              <w:jc w:val="center"/>
              <w:rPr>
                <w:rFonts w:hint="eastAsia" w:ascii="宋体" w:hAnsi="宋体" w:eastAsia="宋体" w:cs="宋体"/>
                <w:b/>
                <w:snapToGrid w:val="0"/>
                <w:color w:val="auto"/>
                <w:kern w:val="0"/>
                <w:sz w:val="22"/>
                <w:szCs w:val="22"/>
                <w:highlight w:val="none"/>
              </w:rPr>
            </w:pPr>
            <w:r>
              <w:rPr>
                <w:rFonts w:hint="eastAsia" w:ascii="宋体" w:hAnsi="宋体" w:eastAsia="宋体" w:cs="宋体"/>
                <w:b/>
                <w:snapToGrid w:val="0"/>
                <w:color w:val="auto"/>
                <w:kern w:val="0"/>
                <w:sz w:val="22"/>
                <w:szCs w:val="22"/>
                <w:highlight w:val="none"/>
              </w:rPr>
              <w:t>序号</w:t>
            </w:r>
          </w:p>
        </w:tc>
        <w:tc>
          <w:tcPr>
            <w:tcW w:w="4315" w:type="dxa"/>
            <w:gridSpan w:val="2"/>
            <w:noWrap w:val="0"/>
            <w:vAlign w:val="center"/>
          </w:tcPr>
          <w:p w14:paraId="55BE3A21">
            <w:pPr>
              <w:spacing w:line="460" w:lineRule="exact"/>
              <w:jc w:val="center"/>
              <w:rPr>
                <w:rFonts w:hint="eastAsia" w:ascii="宋体" w:hAnsi="宋体" w:eastAsia="宋体" w:cs="宋体"/>
                <w:b/>
                <w:snapToGrid w:val="0"/>
                <w:color w:val="auto"/>
                <w:kern w:val="0"/>
                <w:sz w:val="22"/>
                <w:szCs w:val="22"/>
                <w:highlight w:val="none"/>
              </w:rPr>
            </w:pPr>
            <w:r>
              <w:rPr>
                <w:rFonts w:hint="eastAsia" w:ascii="宋体" w:hAnsi="宋体" w:eastAsia="宋体" w:cs="宋体"/>
                <w:b/>
                <w:snapToGrid w:val="0"/>
                <w:color w:val="auto"/>
                <w:kern w:val="0"/>
                <w:sz w:val="22"/>
                <w:szCs w:val="22"/>
                <w:highlight w:val="none"/>
              </w:rPr>
              <w:t>项目名称</w:t>
            </w:r>
          </w:p>
        </w:tc>
        <w:tc>
          <w:tcPr>
            <w:tcW w:w="4443" w:type="dxa"/>
            <w:noWrap w:val="0"/>
            <w:vAlign w:val="center"/>
          </w:tcPr>
          <w:p w14:paraId="227C1A38">
            <w:pPr>
              <w:spacing w:line="460" w:lineRule="exact"/>
              <w:jc w:val="center"/>
              <w:rPr>
                <w:rFonts w:hint="eastAsia" w:ascii="宋体" w:hAnsi="宋体" w:eastAsia="宋体" w:cs="宋体"/>
                <w:b/>
                <w:snapToGrid w:val="0"/>
                <w:color w:val="auto"/>
                <w:kern w:val="0"/>
                <w:sz w:val="22"/>
                <w:szCs w:val="22"/>
                <w:highlight w:val="none"/>
              </w:rPr>
            </w:pPr>
            <w:r>
              <w:rPr>
                <w:rFonts w:hint="eastAsia" w:ascii="宋体" w:hAnsi="宋体" w:eastAsia="宋体" w:cs="宋体"/>
                <w:b/>
                <w:snapToGrid w:val="0"/>
                <w:color w:val="auto"/>
                <w:kern w:val="0"/>
                <w:sz w:val="22"/>
                <w:szCs w:val="22"/>
                <w:highlight w:val="none"/>
              </w:rPr>
              <w:t>项目负责人</w:t>
            </w:r>
          </w:p>
        </w:tc>
      </w:tr>
      <w:tr w14:paraId="48DAE2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10" w:type="dxa"/>
            <w:noWrap w:val="0"/>
            <w:vAlign w:val="center"/>
          </w:tcPr>
          <w:p w14:paraId="02F3EF9B">
            <w:pPr>
              <w:spacing w:line="460" w:lineRule="exact"/>
              <w:jc w:val="center"/>
              <w:rPr>
                <w:rFonts w:hint="eastAsia" w:ascii="宋体" w:hAnsi="宋体" w:eastAsia="宋体" w:cs="宋体"/>
                <w:bCs/>
                <w:snapToGrid w:val="0"/>
                <w:color w:val="auto"/>
                <w:kern w:val="0"/>
                <w:sz w:val="22"/>
                <w:szCs w:val="22"/>
                <w:highlight w:val="none"/>
              </w:rPr>
            </w:pPr>
            <w:r>
              <w:rPr>
                <w:rFonts w:hint="eastAsia" w:ascii="宋体" w:hAnsi="宋体" w:eastAsia="宋体" w:cs="宋体"/>
                <w:bCs/>
                <w:snapToGrid w:val="0"/>
                <w:color w:val="auto"/>
                <w:kern w:val="0"/>
                <w:sz w:val="22"/>
                <w:szCs w:val="22"/>
                <w:highlight w:val="none"/>
              </w:rPr>
              <w:t>1</w:t>
            </w:r>
          </w:p>
        </w:tc>
        <w:tc>
          <w:tcPr>
            <w:tcW w:w="4315" w:type="dxa"/>
            <w:gridSpan w:val="2"/>
            <w:noWrap w:val="0"/>
            <w:vAlign w:val="center"/>
          </w:tcPr>
          <w:p w14:paraId="734240BF">
            <w:pPr>
              <w:spacing w:line="460" w:lineRule="exact"/>
              <w:jc w:val="center"/>
              <w:rPr>
                <w:rFonts w:hint="default" w:ascii="宋体" w:hAnsi="宋体" w:eastAsia="宋体" w:cs="宋体"/>
                <w:bCs/>
                <w:snapToGrid w:val="0"/>
                <w:color w:val="auto"/>
                <w:kern w:val="0"/>
                <w:sz w:val="22"/>
                <w:szCs w:val="22"/>
                <w:highlight w:val="none"/>
                <w:lang w:val="en-US"/>
              </w:rPr>
            </w:pPr>
          </w:p>
        </w:tc>
        <w:tc>
          <w:tcPr>
            <w:tcW w:w="4443" w:type="dxa"/>
            <w:noWrap w:val="0"/>
            <w:vAlign w:val="center"/>
          </w:tcPr>
          <w:p w14:paraId="3FE23071">
            <w:pPr>
              <w:spacing w:line="460" w:lineRule="exact"/>
              <w:jc w:val="center"/>
              <w:rPr>
                <w:rFonts w:hint="eastAsia" w:ascii="宋体" w:hAnsi="宋体" w:eastAsia="宋体" w:cs="宋体"/>
                <w:bCs/>
                <w:snapToGrid w:val="0"/>
                <w:color w:val="auto"/>
                <w:kern w:val="0"/>
                <w:sz w:val="22"/>
                <w:szCs w:val="22"/>
                <w:highlight w:val="none"/>
              </w:rPr>
            </w:pPr>
          </w:p>
        </w:tc>
      </w:tr>
      <w:tr w14:paraId="351461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3008" w:type="dxa"/>
            <w:gridSpan w:val="2"/>
            <w:noWrap w:val="0"/>
            <w:vAlign w:val="center"/>
          </w:tcPr>
          <w:p w14:paraId="5FDA9AC6">
            <w:pPr>
              <w:spacing w:line="460" w:lineRule="exact"/>
              <w:jc w:val="center"/>
              <w:rPr>
                <w:rFonts w:hint="eastAsia" w:ascii="宋体" w:hAnsi="宋体" w:eastAsia="宋体" w:cs="宋体"/>
                <w:b/>
                <w:snapToGrid w:val="0"/>
                <w:color w:val="auto"/>
                <w:kern w:val="0"/>
                <w:sz w:val="22"/>
                <w:szCs w:val="22"/>
                <w:highlight w:val="none"/>
                <w:lang w:val="en-US" w:eastAsia="zh-CN"/>
              </w:rPr>
            </w:pPr>
            <w:r>
              <w:rPr>
                <w:rFonts w:hint="eastAsia" w:ascii="宋体" w:hAnsi="宋体" w:eastAsia="宋体" w:cs="宋体"/>
                <w:b/>
                <w:snapToGrid w:val="0"/>
                <w:color w:val="auto"/>
                <w:kern w:val="0"/>
                <w:sz w:val="22"/>
                <w:szCs w:val="22"/>
                <w:highlight w:val="none"/>
                <w:lang w:val="en-US" w:eastAsia="zh-CN"/>
              </w:rPr>
              <w:t>报价</w:t>
            </w:r>
          </w:p>
        </w:tc>
        <w:tc>
          <w:tcPr>
            <w:tcW w:w="6460" w:type="dxa"/>
            <w:gridSpan w:val="2"/>
            <w:noWrap w:val="0"/>
            <w:vAlign w:val="center"/>
          </w:tcPr>
          <w:p w14:paraId="1B8C45B8">
            <w:pPr>
              <w:spacing w:line="460" w:lineRule="exact"/>
              <w:rPr>
                <w:rFonts w:hint="eastAsia" w:ascii="宋体" w:hAnsi="宋体" w:eastAsia="宋体" w:cs="宋体"/>
                <w:b/>
                <w:snapToGrid w:val="0"/>
                <w:color w:val="auto"/>
                <w:kern w:val="0"/>
                <w:sz w:val="22"/>
                <w:szCs w:val="22"/>
                <w:highlight w:val="none"/>
              </w:rPr>
            </w:pPr>
            <w:r>
              <w:rPr>
                <w:rFonts w:hint="eastAsia" w:ascii="宋体" w:hAnsi="宋体" w:eastAsia="宋体" w:cs="宋体"/>
                <w:b/>
                <w:snapToGrid w:val="0"/>
                <w:color w:val="auto"/>
                <w:kern w:val="0"/>
                <w:sz w:val="22"/>
                <w:szCs w:val="22"/>
                <w:highlight w:val="none"/>
              </w:rPr>
              <w:t xml:space="preserve">大写：    </w:t>
            </w:r>
          </w:p>
          <w:p w14:paraId="36F432CD">
            <w:pPr>
              <w:spacing w:line="460" w:lineRule="exact"/>
              <w:rPr>
                <w:rFonts w:hint="eastAsia" w:ascii="宋体" w:hAnsi="宋体" w:eastAsia="宋体" w:cs="宋体"/>
                <w:b/>
                <w:snapToGrid w:val="0"/>
                <w:color w:val="auto"/>
                <w:kern w:val="0"/>
                <w:sz w:val="22"/>
                <w:szCs w:val="22"/>
                <w:highlight w:val="none"/>
              </w:rPr>
            </w:pPr>
            <w:r>
              <w:rPr>
                <w:rFonts w:hint="eastAsia" w:ascii="宋体" w:hAnsi="宋体" w:eastAsia="宋体" w:cs="宋体"/>
                <w:b/>
                <w:snapToGrid w:val="0"/>
                <w:color w:val="auto"/>
                <w:kern w:val="0"/>
                <w:sz w:val="22"/>
                <w:szCs w:val="22"/>
                <w:highlight w:val="none"/>
              </w:rPr>
              <w:t xml:space="preserve">小写（￥）：      </w:t>
            </w:r>
          </w:p>
        </w:tc>
      </w:tr>
    </w:tbl>
    <w:p w14:paraId="120B3A58">
      <w:pPr>
        <w:spacing w:line="460" w:lineRule="exact"/>
        <w:rPr>
          <w:rFonts w:hint="eastAsia" w:ascii="宋体" w:hAnsi="宋体" w:eastAsia="宋体" w:cs="宋体"/>
          <w:color w:val="auto"/>
          <w:sz w:val="22"/>
          <w:szCs w:val="22"/>
          <w:highlight w:val="none"/>
        </w:rPr>
      </w:pPr>
    </w:p>
    <w:p w14:paraId="574B95D2">
      <w:pPr>
        <w:spacing w:line="380" w:lineRule="exact"/>
        <w:ind w:right="349" w:rightChars="166" w:firstLine="331" w:firstLineChars="150"/>
        <w:rPr>
          <w:rFonts w:hint="eastAsia" w:ascii="宋体" w:hAnsi="宋体" w:eastAsia="宋体" w:cs="宋体"/>
          <w:b/>
          <w:color w:val="auto"/>
          <w:sz w:val="22"/>
          <w:highlight w:val="none"/>
        </w:rPr>
      </w:pPr>
    </w:p>
    <w:p w14:paraId="1D54CCB4">
      <w:pPr>
        <w:spacing w:line="380" w:lineRule="exact"/>
        <w:ind w:left="528" w:leftChars="-15" w:hanging="559" w:hangingChars="253"/>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说明：</w:t>
      </w:r>
    </w:p>
    <w:p w14:paraId="44204726">
      <w:pPr>
        <w:numPr>
          <w:ilvl w:val="0"/>
          <w:numId w:val="37"/>
        </w:numPr>
        <w:spacing w:line="380" w:lineRule="exact"/>
        <w:ind w:left="530" w:leftChars="-14" w:hanging="559" w:hangingChars="253"/>
        <w:rPr>
          <w:rFonts w:hint="eastAsia" w:ascii="宋体" w:hAnsi="宋体" w:eastAsia="宋体" w:cs="宋体"/>
          <w:b/>
          <w:color w:val="auto"/>
          <w:sz w:val="22"/>
          <w:szCs w:val="22"/>
          <w:highlight w:val="none"/>
          <w:u w:val="single"/>
        </w:rPr>
      </w:pPr>
      <w:r>
        <w:rPr>
          <w:rFonts w:hint="eastAsia" w:ascii="宋体" w:hAnsi="宋体" w:eastAsia="宋体" w:cs="宋体"/>
          <w:b/>
          <w:bCs/>
          <w:color w:val="auto"/>
          <w:sz w:val="22"/>
          <w:szCs w:val="22"/>
          <w:highlight w:val="none"/>
        </w:rPr>
        <w:t>▲</w:t>
      </w:r>
      <w:r>
        <w:rPr>
          <w:rFonts w:hint="eastAsia" w:ascii="宋体" w:hAnsi="宋体" w:eastAsia="宋体" w:cs="宋体"/>
          <w:b/>
          <w:color w:val="auto"/>
          <w:sz w:val="22"/>
          <w:szCs w:val="22"/>
          <w:highlight w:val="none"/>
          <w:u w:val="single"/>
        </w:rPr>
        <w:t>不按要求提供开标一览表的投标文件将被视为未实质性响应采购文件。</w:t>
      </w:r>
    </w:p>
    <w:p w14:paraId="247C0085">
      <w:pPr>
        <w:numPr>
          <w:ilvl w:val="0"/>
          <w:numId w:val="37"/>
        </w:numPr>
        <w:spacing w:line="380" w:lineRule="exact"/>
        <w:ind w:left="530" w:leftChars="-14" w:hanging="559" w:hangingChars="253"/>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本项目</w:t>
      </w:r>
      <w:r>
        <w:rPr>
          <w:rFonts w:hint="eastAsia" w:ascii="宋体" w:hAnsi="宋体" w:eastAsia="宋体" w:cs="宋体"/>
          <w:b/>
          <w:color w:val="auto"/>
          <w:sz w:val="22"/>
          <w:szCs w:val="22"/>
          <w:highlight w:val="none"/>
          <w:u w:val="single"/>
          <w:lang w:val="en-US" w:eastAsia="zh-CN"/>
        </w:rPr>
        <w:t>设有最高限价。</w:t>
      </w:r>
      <w:r>
        <w:rPr>
          <w:rFonts w:hint="eastAsia" w:ascii="宋体" w:hAnsi="宋体" w:eastAsia="宋体" w:cs="宋体"/>
          <w:b/>
          <w:color w:val="auto"/>
          <w:sz w:val="22"/>
          <w:szCs w:val="22"/>
          <w:highlight w:val="none"/>
          <w:u w:val="single"/>
        </w:rPr>
        <w:t>如投标人报价超过</w:t>
      </w:r>
      <w:r>
        <w:rPr>
          <w:rFonts w:hint="eastAsia" w:ascii="宋体" w:hAnsi="宋体" w:eastAsia="宋体" w:cs="宋体"/>
          <w:b/>
          <w:color w:val="auto"/>
          <w:sz w:val="22"/>
          <w:szCs w:val="22"/>
          <w:highlight w:val="none"/>
          <w:u w:val="single"/>
          <w:lang w:val="en-US" w:eastAsia="zh-CN"/>
        </w:rPr>
        <w:t>最高单价限价</w:t>
      </w:r>
      <w:r>
        <w:rPr>
          <w:rFonts w:hint="eastAsia" w:ascii="宋体" w:hAnsi="宋体" w:eastAsia="宋体" w:cs="宋体"/>
          <w:b/>
          <w:color w:val="auto"/>
          <w:sz w:val="22"/>
          <w:szCs w:val="22"/>
          <w:highlight w:val="none"/>
          <w:u w:val="single"/>
        </w:rPr>
        <w:t>，其投标文件作无效标处理。</w:t>
      </w:r>
    </w:p>
    <w:p w14:paraId="24C848EB">
      <w:pPr>
        <w:pStyle w:val="28"/>
        <w:rPr>
          <w:rFonts w:hint="default" w:ascii="宋体" w:hAnsi="宋体" w:eastAsia="宋体" w:cs="宋体"/>
          <w:b/>
          <w:color w:val="auto"/>
          <w:sz w:val="22"/>
          <w:szCs w:val="22"/>
          <w:highlight w:val="none"/>
          <w:u w:val="single"/>
          <w:lang w:val="en-US" w:eastAsia="zh-CN"/>
        </w:rPr>
      </w:pPr>
    </w:p>
    <w:p w14:paraId="7909A02E">
      <w:pPr>
        <w:numPr>
          <w:ilvl w:val="0"/>
          <w:numId w:val="0"/>
        </w:numPr>
        <w:spacing w:line="380" w:lineRule="exact"/>
        <w:ind w:leftChars="-267"/>
        <w:rPr>
          <w:rFonts w:hint="eastAsia" w:ascii="宋体" w:hAnsi="宋体" w:eastAsia="宋体" w:cs="宋体"/>
          <w:b/>
          <w:color w:val="auto"/>
          <w:sz w:val="22"/>
          <w:szCs w:val="22"/>
          <w:highlight w:val="none"/>
          <w:u w:val="single"/>
        </w:rPr>
      </w:pPr>
    </w:p>
    <w:p w14:paraId="3D5F9A97">
      <w:pPr>
        <w:pStyle w:val="2"/>
        <w:rPr>
          <w:rFonts w:hint="eastAsia"/>
          <w:color w:val="auto"/>
          <w:highlight w:val="none"/>
        </w:rPr>
      </w:pPr>
    </w:p>
    <w:p w14:paraId="76670559">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供应商</w:t>
      </w:r>
      <w:r>
        <w:rPr>
          <w:rFonts w:hint="eastAsia" w:ascii="宋体" w:hAnsi="宋体" w:eastAsia="宋体" w:cs="宋体"/>
          <w:color w:val="auto"/>
          <w:sz w:val="22"/>
          <w:szCs w:val="22"/>
          <w:highlight w:val="none"/>
        </w:rPr>
        <w:t>全称（盖章）：</w:t>
      </w:r>
    </w:p>
    <w:p w14:paraId="6AAE51F1">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14:paraId="5B8B8169">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  年  月  日</w:t>
      </w:r>
    </w:p>
    <w:p w14:paraId="59B3B26D">
      <w:pPr>
        <w:spacing w:line="380" w:lineRule="exact"/>
        <w:rPr>
          <w:rFonts w:hint="eastAsia" w:ascii="宋体" w:hAnsi="宋体" w:eastAsia="宋体" w:cs="宋体"/>
          <w:color w:val="auto"/>
          <w:sz w:val="22"/>
          <w:szCs w:val="22"/>
          <w:highlight w:val="none"/>
        </w:rPr>
      </w:pPr>
    </w:p>
    <w:p w14:paraId="7396FE31">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4ACF5636">
      <w:pPr>
        <w:rPr>
          <w:rFonts w:hint="eastAsia"/>
          <w:color w:val="auto"/>
          <w:highlight w:val="none"/>
        </w:rPr>
      </w:pPr>
    </w:p>
    <w:p w14:paraId="592A9FA4">
      <w:pPr>
        <w:spacing w:line="380" w:lineRule="exact"/>
        <w:rPr>
          <w:rFonts w:ascii="宋体" w:hAnsi="宋体"/>
          <w:color w:val="auto"/>
          <w:sz w:val="22"/>
          <w:szCs w:val="22"/>
          <w:highlight w:val="none"/>
        </w:rPr>
      </w:pPr>
    </w:p>
    <w:p w14:paraId="0255DB9A">
      <w:pPr>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附件三</w:t>
      </w:r>
    </w:p>
    <w:p w14:paraId="065F68CB">
      <w:pPr>
        <w:spacing w:line="460" w:lineRule="exact"/>
        <w:rPr>
          <w:rFonts w:ascii="宋体" w:hAnsi="宋体" w:cs="宋体"/>
          <w:b/>
          <w:bCs/>
          <w:color w:val="auto"/>
          <w:highlight w:val="none"/>
        </w:rPr>
      </w:pPr>
    </w:p>
    <w:p w14:paraId="6E29C925">
      <w:pPr>
        <w:spacing w:line="46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磋商函</w:t>
      </w:r>
    </w:p>
    <w:p w14:paraId="4E0AAC1F">
      <w:pP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lang w:eastAsia="zh-CN"/>
        </w:rPr>
        <w:t xml:space="preserve">温州市鹿城区人民政府松台街道办事处 </w:t>
      </w:r>
      <w:r>
        <w:rPr>
          <w:rFonts w:hint="eastAsia" w:ascii="宋体" w:hAnsi="宋体" w:cs="宋体"/>
          <w:color w:val="auto"/>
          <w:sz w:val="22"/>
          <w:szCs w:val="22"/>
          <w:highlight w:val="none"/>
        </w:rPr>
        <w:t>：</w:t>
      </w:r>
    </w:p>
    <w:p w14:paraId="4634057C">
      <w:pP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lang w:eastAsia="zh-CN"/>
        </w:rPr>
        <w:t>华诚工程咨询集团有限公司</w:t>
      </w:r>
      <w:r>
        <w:rPr>
          <w:rFonts w:hint="eastAsia" w:ascii="宋体" w:hAnsi="宋体" w:cs="宋体"/>
          <w:color w:val="auto"/>
          <w:sz w:val="22"/>
          <w:szCs w:val="22"/>
          <w:highlight w:val="none"/>
        </w:rPr>
        <w:t>：</w:t>
      </w:r>
    </w:p>
    <w:p w14:paraId="1E7C437F">
      <w:pPr>
        <w:spacing w:line="42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根据贵方为项目（采购编号：）的磋商邀请，我方</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（供应商名称）作为供应商正式授权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（授权代表全名，职务）代表我方处理有关本磋商的一切事宜。</w:t>
      </w:r>
    </w:p>
    <w:p w14:paraId="2197A336">
      <w:pPr>
        <w:pStyle w:val="11"/>
        <w:spacing w:line="360" w:lineRule="exact"/>
        <w:ind w:firstLine="440" w:firstLineChars="200"/>
        <w:rPr>
          <w:rFonts w:ascii="宋体" w:hAnsi="宋体" w:cs="宋体"/>
          <w:color w:val="auto"/>
          <w:sz w:val="22"/>
          <w:highlight w:val="none"/>
        </w:rPr>
      </w:pPr>
      <w:r>
        <w:rPr>
          <w:rFonts w:hint="eastAsia" w:ascii="宋体" w:hAnsi="宋体" w:cs="宋体"/>
          <w:color w:val="auto"/>
          <w:sz w:val="22"/>
          <w:szCs w:val="22"/>
          <w:highlight w:val="none"/>
        </w:rPr>
        <w:t>在此提交的磋商响应文件中，包括如下内</w:t>
      </w:r>
      <w:r>
        <w:rPr>
          <w:rFonts w:hint="eastAsia" w:ascii="宋体" w:hAnsi="宋体" w:cs="宋体"/>
          <w:color w:val="auto"/>
          <w:sz w:val="22"/>
          <w:highlight w:val="none"/>
        </w:rPr>
        <w:t>容：</w:t>
      </w:r>
    </w:p>
    <w:p w14:paraId="5BC90E5A">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1、按“供应商须知”要求编制的磋商响应文件资格文件；</w:t>
      </w:r>
    </w:p>
    <w:p w14:paraId="61AED951">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2、按“供应商须知”要求编制的磋商响应文件商务技术文件；</w:t>
      </w:r>
    </w:p>
    <w:p w14:paraId="2D2AA6C3">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3、按“供应商须知”要求编制的磋商响应文件报价文件；</w:t>
      </w:r>
    </w:p>
    <w:p w14:paraId="128B726B">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我方</w:t>
      </w:r>
      <w:r>
        <w:rPr>
          <w:rFonts w:hint="eastAsia" w:ascii="宋体" w:hAnsi="宋体" w:cs="宋体"/>
          <w:color w:val="auto"/>
          <w:sz w:val="22"/>
          <w:highlight w:val="none"/>
          <w:lang w:eastAsia="zh-CN"/>
        </w:rPr>
        <w:t>已完全</w:t>
      </w:r>
      <w:r>
        <w:rPr>
          <w:rFonts w:hint="eastAsia" w:ascii="宋体" w:hAnsi="宋体" w:cs="宋体"/>
          <w:color w:val="auto"/>
          <w:sz w:val="22"/>
          <w:highlight w:val="none"/>
        </w:rPr>
        <w:t>明白磋商文件的所有条款要求，并重申以下几点：</w:t>
      </w:r>
    </w:p>
    <w:p w14:paraId="0C256FC8">
      <w:pPr>
        <w:pStyle w:val="203"/>
        <w:numPr>
          <w:ilvl w:val="1"/>
          <w:numId w:val="38"/>
        </w:numPr>
        <w:spacing w:line="360" w:lineRule="exact"/>
        <w:ind w:left="567" w:hanging="283" w:firstLineChars="0"/>
        <w:rPr>
          <w:rFonts w:ascii="宋体" w:hAnsi="宋体" w:cs="宋体"/>
          <w:color w:val="auto"/>
          <w:sz w:val="22"/>
          <w:highlight w:val="none"/>
        </w:rPr>
      </w:pPr>
      <w:r>
        <w:rPr>
          <w:rFonts w:hint="eastAsia" w:ascii="宋体" w:hAnsi="宋体" w:cs="宋体"/>
          <w:color w:val="auto"/>
          <w:sz w:val="22"/>
          <w:highlight w:val="none"/>
        </w:rPr>
        <w:t>本磋商响应文件的有效期自磋商截止日起  90 天内有效，如中标，有效期将延至合同终止日为止；</w:t>
      </w:r>
    </w:p>
    <w:p w14:paraId="393F3382">
      <w:pPr>
        <w:pStyle w:val="203"/>
        <w:numPr>
          <w:ilvl w:val="1"/>
          <w:numId w:val="38"/>
        </w:numPr>
        <w:spacing w:line="360" w:lineRule="exact"/>
        <w:ind w:left="567" w:hanging="283" w:firstLineChars="0"/>
        <w:rPr>
          <w:rFonts w:ascii="宋体" w:hAnsi="宋体" w:cs="宋体"/>
          <w:color w:val="auto"/>
          <w:sz w:val="22"/>
          <w:highlight w:val="none"/>
        </w:rPr>
      </w:pPr>
      <w:r>
        <w:rPr>
          <w:rFonts w:hint="eastAsia" w:ascii="宋体" w:hAnsi="宋体" w:cs="宋体"/>
          <w:color w:val="auto"/>
          <w:sz w:val="22"/>
          <w:highlight w:val="none"/>
        </w:rPr>
        <w:t>我方已详细研究了磋商文件的所有内容包括修改书（如有）和所有已提供的参考资料以及有关附件，我方完全理解并同意放弃在此方面提出含糊意见或误解的一切权力；</w:t>
      </w:r>
    </w:p>
    <w:p w14:paraId="5F6DACCF">
      <w:pPr>
        <w:pStyle w:val="203"/>
        <w:numPr>
          <w:ilvl w:val="1"/>
          <w:numId w:val="38"/>
        </w:numPr>
        <w:spacing w:line="360" w:lineRule="exact"/>
        <w:ind w:left="567" w:hanging="283" w:firstLineChars="0"/>
        <w:rPr>
          <w:rFonts w:ascii="宋体" w:hAnsi="宋体" w:cs="宋体"/>
          <w:color w:val="auto"/>
          <w:sz w:val="22"/>
          <w:highlight w:val="none"/>
        </w:rPr>
      </w:pPr>
      <w:r>
        <w:rPr>
          <w:rFonts w:hint="eastAsia" w:ascii="宋体" w:hAnsi="宋体" w:cs="宋体"/>
          <w:color w:val="auto"/>
          <w:sz w:val="22"/>
          <w:highlight w:val="none"/>
        </w:rPr>
        <w:t>我方郑重承诺所提供的“信用中国网站”、“中国政府采购网”信用查询证明文件真实有效；</w:t>
      </w:r>
    </w:p>
    <w:p w14:paraId="42591953">
      <w:pPr>
        <w:pStyle w:val="203"/>
        <w:numPr>
          <w:ilvl w:val="1"/>
          <w:numId w:val="38"/>
        </w:numPr>
        <w:spacing w:line="360" w:lineRule="exact"/>
        <w:ind w:left="567" w:hanging="283" w:firstLineChars="0"/>
        <w:rPr>
          <w:rFonts w:ascii="宋体" w:hAnsi="宋体" w:cs="宋体"/>
          <w:color w:val="auto"/>
          <w:sz w:val="22"/>
          <w:highlight w:val="none"/>
        </w:rPr>
      </w:pPr>
      <w:r>
        <w:rPr>
          <w:rFonts w:hint="eastAsia" w:ascii="宋体" w:hAnsi="宋体" w:cs="宋体"/>
          <w:color w:val="auto"/>
          <w:sz w:val="22"/>
          <w:highlight w:val="none"/>
        </w:rPr>
        <w:t>我方在参加本项目前三年内</w:t>
      </w:r>
      <w:r>
        <w:rPr>
          <w:rFonts w:hint="eastAsia" w:ascii="宋体" w:hAnsi="宋体" w:cs="宋体"/>
          <w:color w:val="auto"/>
          <w:sz w:val="22"/>
          <w:highlight w:val="none"/>
          <w:u w:val="single"/>
        </w:rPr>
        <w:t>（被通报或者处罚的违法行为有：               ）</w:t>
      </w:r>
      <w:r>
        <w:rPr>
          <w:rFonts w:hint="eastAsia" w:ascii="宋体" w:hAnsi="宋体" w:cs="宋体"/>
          <w:color w:val="auto"/>
          <w:sz w:val="22"/>
          <w:highlight w:val="none"/>
        </w:rPr>
        <w:t>或（</w:t>
      </w:r>
      <w:r>
        <w:rPr>
          <w:rFonts w:hint="eastAsia" w:ascii="宋体" w:hAnsi="宋体" w:cs="宋体"/>
          <w:color w:val="auto"/>
          <w:sz w:val="22"/>
          <w:highlight w:val="none"/>
          <w:u w:val="single"/>
        </w:rPr>
        <w:t>没有因违法经营受到刑事处罚或者责令停产停业、吊销许可证或者执照、较大数额罚款等行政处罚或处罚）</w:t>
      </w:r>
      <w:r>
        <w:rPr>
          <w:rFonts w:hint="eastAsia" w:ascii="宋体" w:hAnsi="宋体" w:cs="宋体"/>
          <w:color w:val="auto"/>
          <w:sz w:val="22"/>
          <w:highlight w:val="none"/>
        </w:rPr>
        <w:t>或</w:t>
      </w:r>
      <w:r>
        <w:rPr>
          <w:rFonts w:hint="eastAsia" w:ascii="宋体" w:hAnsi="宋体" w:cs="宋体"/>
          <w:color w:val="auto"/>
          <w:sz w:val="22"/>
          <w:highlight w:val="none"/>
          <w:u w:val="single"/>
        </w:rPr>
        <w:t>（在  至  期间禁止参加政府采购活动但是期限届满，须附相关证明文件）</w:t>
      </w:r>
      <w:r>
        <w:rPr>
          <w:rFonts w:hint="eastAsia" w:ascii="宋体" w:hAnsi="宋体" w:cs="宋体"/>
          <w:color w:val="auto"/>
          <w:sz w:val="22"/>
          <w:highlight w:val="none"/>
        </w:rPr>
        <w:t>；</w:t>
      </w:r>
    </w:p>
    <w:p w14:paraId="34AADE6C">
      <w:pPr>
        <w:pStyle w:val="203"/>
        <w:numPr>
          <w:ilvl w:val="1"/>
          <w:numId w:val="38"/>
        </w:numPr>
        <w:spacing w:line="360" w:lineRule="exact"/>
        <w:ind w:left="567" w:hanging="283" w:firstLineChars="0"/>
        <w:rPr>
          <w:rFonts w:ascii="宋体" w:hAnsi="宋体" w:cs="宋体"/>
          <w:color w:val="auto"/>
          <w:sz w:val="22"/>
          <w:highlight w:val="none"/>
        </w:rPr>
      </w:pPr>
      <w:r>
        <w:rPr>
          <w:rFonts w:hint="eastAsia" w:ascii="宋体" w:hAnsi="宋体" w:cs="宋体"/>
          <w:color w:val="auto"/>
          <w:sz w:val="22"/>
          <w:highlight w:val="none"/>
        </w:rPr>
        <w:t>我方同意提供按照贵方可能要求的与磋商有关的一切数据或资料；</w:t>
      </w:r>
    </w:p>
    <w:p w14:paraId="65823228">
      <w:pPr>
        <w:pStyle w:val="203"/>
        <w:numPr>
          <w:ilvl w:val="1"/>
          <w:numId w:val="38"/>
        </w:numPr>
        <w:spacing w:line="360" w:lineRule="exact"/>
        <w:ind w:left="567" w:hanging="283" w:firstLineChars="0"/>
        <w:rPr>
          <w:rFonts w:ascii="宋体" w:hAnsi="宋体" w:cs="宋体"/>
          <w:color w:val="auto"/>
          <w:sz w:val="22"/>
          <w:highlight w:val="none"/>
        </w:rPr>
      </w:pPr>
      <w:r>
        <w:rPr>
          <w:rFonts w:hint="eastAsia" w:ascii="宋体" w:hAnsi="宋体" w:cs="宋体"/>
          <w:color w:val="auto"/>
          <w:sz w:val="22"/>
          <w:highlight w:val="none"/>
        </w:rPr>
        <w:t>我方理解贵方不一定接受最低报价。</w:t>
      </w:r>
      <w:r>
        <w:rPr>
          <w:rFonts w:hint="eastAsia" w:ascii="宋体" w:hAnsi="宋体" w:cs="宋体"/>
          <w:color w:val="auto"/>
          <w:sz w:val="22"/>
          <w:highlight w:val="none"/>
        </w:rPr>
        <w:tab/>
      </w:r>
    </w:p>
    <w:p w14:paraId="25C605B1">
      <w:pPr>
        <w:pStyle w:val="203"/>
        <w:numPr>
          <w:ilvl w:val="1"/>
          <w:numId w:val="38"/>
        </w:numPr>
        <w:spacing w:line="360" w:lineRule="exact"/>
        <w:ind w:left="567" w:hanging="283" w:firstLineChars="0"/>
        <w:rPr>
          <w:rFonts w:ascii="宋体" w:hAnsi="宋体" w:cs="宋体"/>
          <w:color w:val="auto"/>
          <w:sz w:val="22"/>
          <w:highlight w:val="none"/>
        </w:rPr>
      </w:pPr>
      <w:r>
        <w:rPr>
          <w:rFonts w:hint="eastAsia" w:ascii="宋体" w:hAnsi="宋体" w:cs="宋体"/>
          <w:color w:val="auto"/>
          <w:sz w:val="22"/>
          <w:highlight w:val="none"/>
        </w:rPr>
        <w:t>我方如果中标，将保证履行磋商文件以及磋商文件修改书（如有）中的全部责任和义务，按质、按量、按期完成《合同书》中的全部任务。</w:t>
      </w:r>
    </w:p>
    <w:p w14:paraId="679E861A">
      <w:pPr>
        <w:pStyle w:val="203"/>
        <w:numPr>
          <w:ilvl w:val="1"/>
          <w:numId w:val="38"/>
        </w:numPr>
        <w:spacing w:line="360" w:lineRule="exact"/>
        <w:ind w:left="567" w:hanging="283" w:firstLineChars="0"/>
        <w:rPr>
          <w:rFonts w:ascii="宋体" w:hAnsi="宋体" w:cs="宋体"/>
          <w:color w:val="auto"/>
          <w:sz w:val="22"/>
          <w:highlight w:val="none"/>
        </w:rPr>
      </w:pPr>
      <w:r>
        <w:rPr>
          <w:rFonts w:hint="eastAsia" w:ascii="宋体" w:hAnsi="宋体" w:cs="宋体"/>
          <w:color w:val="auto"/>
          <w:sz w:val="22"/>
          <w:highlight w:val="none"/>
        </w:rPr>
        <w:t>所有与本磋商有关的函件请发往下列地址：</w:t>
      </w:r>
    </w:p>
    <w:p w14:paraId="54FE62A5">
      <w:pPr>
        <w:spacing w:line="360" w:lineRule="exact"/>
        <w:ind w:firstLine="435"/>
        <w:rPr>
          <w:rFonts w:ascii="宋体" w:hAnsi="宋体" w:cs="宋体"/>
          <w:color w:val="auto"/>
          <w:sz w:val="22"/>
          <w:szCs w:val="22"/>
          <w:highlight w:val="none"/>
        </w:rPr>
      </w:pPr>
      <w:r>
        <w:rPr>
          <w:rFonts w:hint="eastAsia" w:ascii="宋体" w:hAnsi="宋体" w:cs="宋体"/>
          <w:color w:val="auto"/>
          <w:sz w:val="22"/>
          <w:szCs w:val="22"/>
          <w:highlight w:val="none"/>
        </w:rPr>
        <w:t xml:space="preserve">   地址</w:t>
      </w:r>
    </w:p>
    <w:p w14:paraId="1EC43C62">
      <w:pPr>
        <w:spacing w:line="360" w:lineRule="exact"/>
        <w:ind w:firstLine="435"/>
        <w:rPr>
          <w:rFonts w:ascii="宋体" w:hAnsi="宋体" w:cs="宋体"/>
          <w:color w:val="auto"/>
          <w:sz w:val="22"/>
          <w:szCs w:val="22"/>
          <w:highlight w:val="none"/>
        </w:rPr>
      </w:pPr>
      <w:r>
        <w:rPr>
          <w:rFonts w:hint="eastAsia" w:ascii="宋体" w:hAnsi="宋体" w:cs="宋体"/>
          <w:color w:val="auto"/>
          <w:sz w:val="22"/>
          <w:szCs w:val="22"/>
          <w:highlight w:val="none"/>
        </w:rPr>
        <w:t xml:space="preserve">   电话</w:t>
      </w:r>
    </w:p>
    <w:p w14:paraId="17D584A9">
      <w:pPr>
        <w:spacing w:line="360" w:lineRule="exact"/>
        <w:ind w:firstLine="435"/>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   传真</w:t>
      </w:r>
    </w:p>
    <w:p w14:paraId="313D12FE">
      <w:pPr>
        <w:spacing w:line="360" w:lineRule="exact"/>
        <w:ind w:firstLine="770" w:firstLineChars="350"/>
        <w:rPr>
          <w:rFonts w:ascii="宋体" w:hAnsi="宋体" w:cs="宋体"/>
          <w:color w:val="auto"/>
          <w:sz w:val="22"/>
          <w:szCs w:val="22"/>
          <w:highlight w:val="none"/>
          <w:u w:val="single"/>
        </w:rPr>
      </w:pPr>
      <w:r>
        <w:rPr>
          <w:rFonts w:hint="eastAsia" w:ascii="宋体" w:hAnsi="宋体" w:cs="宋体"/>
          <w:color w:val="auto"/>
          <w:sz w:val="22"/>
          <w:szCs w:val="22"/>
          <w:highlight w:val="none"/>
        </w:rPr>
        <w:t>电子邮件</w:t>
      </w:r>
    </w:p>
    <w:p w14:paraId="18C8BBD1">
      <w:pPr>
        <w:spacing w:line="420" w:lineRule="exact"/>
        <w:ind w:firstLine="435"/>
        <w:rPr>
          <w:rFonts w:ascii="宋体" w:hAnsi="宋体" w:cs="宋体"/>
          <w:color w:val="auto"/>
          <w:sz w:val="22"/>
          <w:szCs w:val="22"/>
          <w:highlight w:val="none"/>
        </w:rPr>
      </w:pPr>
    </w:p>
    <w:p w14:paraId="77B6AFA2">
      <w:pPr>
        <w:spacing w:line="420" w:lineRule="exact"/>
        <w:ind w:firstLine="435"/>
        <w:rPr>
          <w:rFonts w:ascii="宋体" w:hAnsi="宋体" w:cs="宋体"/>
          <w:color w:val="auto"/>
          <w:sz w:val="22"/>
          <w:szCs w:val="22"/>
          <w:highlight w:val="none"/>
        </w:rPr>
      </w:pPr>
      <w:r>
        <w:rPr>
          <w:rFonts w:hint="eastAsia" w:ascii="宋体" w:hAnsi="宋体" w:cs="宋体"/>
          <w:color w:val="auto"/>
          <w:sz w:val="22"/>
          <w:szCs w:val="22"/>
          <w:highlight w:val="none"/>
        </w:rPr>
        <w:t xml:space="preserve">                                   供应商名称（盖章）</w:t>
      </w:r>
    </w:p>
    <w:p w14:paraId="74D99A82">
      <w:pPr>
        <w:spacing w:line="420" w:lineRule="exact"/>
        <w:ind w:firstLine="435"/>
        <w:rPr>
          <w:rFonts w:ascii="宋体" w:hAnsi="宋体" w:cs="宋体"/>
          <w:color w:val="auto"/>
          <w:sz w:val="22"/>
          <w:szCs w:val="22"/>
          <w:highlight w:val="none"/>
        </w:rPr>
      </w:pPr>
      <w:r>
        <w:rPr>
          <w:rFonts w:hint="eastAsia" w:ascii="宋体" w:hAnsi="宋体" w:cs="宋体"/>
          <w:color w:val="auto"/>
          <w:sz w:val="22"/>
          <w:szCs w:val="22"/>
          <w:highlight w:val="none"/>
        </w:rPr>
        <w:t xml:space="preserve">                                   供应商代表（签字或盖章）</w:t>
      </w:r>
    </w:p>
    <w:p w14:paraId="5756746B">
      <w:pPr>
        <w:spacing w:line="460" w:lineRule="exact"/>
        <w:ind w:firstLine="435"/>
        <w:rPr>
          <w:rFonts w:ascii="宋体" w:hAnsi="宋体" w:cs="宋体"/>
          <w:color w:val="auto"/>
          <w:sz w:val="22"/>
          <w:szCs w:val="22"/>
          <w:highlight w:val="none"/>
          <w:u w:val="single"/>
        </w:rPr>
        <w:sectPr>
          <w:pgSz w:w="11906" w:h="16838"/>
          <w:pgMar w:top="1134" w:right="1134" w:bottom="1134" w:left="1134" w:header="851" w:footer="851"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color w:val="auto"/>
          <w:sz w:val="22"/>
          <w:szCs w:val="22"/>
          <w:highlight w:val="none"/>
        </w:rPr>
        <w:t xml:space="preserve">                                   日    期</w:t>
      </w:r>
    </w:p>
    <w:p w14:paraId="1B3EE6D7">
      <w:pPr>
        <w:spacing w:line="460" w:lineRule="exact"/>
        <w:rPr>
          <w:rFonts w:ascii="宋体" w:hAnsi="宋体" w:cs="宋体"/>
          <w:color w:val="auto"/>
          <w:highlight w:val="none"/>
        </w:rPr>
      </w:pPr>
      <w:r>
        <w:rPr>
          <w:rFonts w:hint="eastAsia" w:ascii="宋体" w:hAnsi="宋体" w:cs="宋体"/>
          <w:b/>
          <w:bCs/>
          <w:color w:val="auto"/>
          <w:sz w:val="22"/>
          <w:szCs w:val="22"/>
          <w:highlight w:val="none"/>
        </w:rPr>
        <w:t>附件四</w:t>
      </w:r>
    </w:p>
    <w:p w14:paraId="1794F229">
      <w:pPr>
        <w:spacing w:line="460" w:lineRule="exact"/>
        <w:ind w:firstLine="437"/>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技术规格、商务条款偏离表</w:t>
      </w:r>
    </w:p>
    <w:p w14:paraId="0F1FB0D3">
      <w:pPr>
        <w:spacing w:line="38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供应商名称：                                          采购编号：</w:t>
      </w:r>
    </w:p>
    <w:tbl>
      <w:tblPr>
        <w:tblStyle w:val="39"/>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364"/>
        <w:gridCol w:w="2097"/>
        <w:gridCol w:w="1992"/>
        <w:gridCol w:w="1866"/>
        <w:gridCol w:w="1592"/>
      </w:tblGrid>
      <w:tr w14:paraId="4FDE6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43" w:type="dxa"/>
          </w:tcPr>
          <w:p w14:paraId="72BFEA44">
            <w:pPr>
              <w:spacing w:line="380" w:lineRule="exact"/>
              <w:jc w:val="center"/>
              <w:rPr>
                <w:rFonts w:ascii="宋体" w:hAnsi="宋体" w:cs="宋体"/>
                <w:color w:val="auto"/>
                <w:sz w:val="22"/>
                <w:szCs w:val="22"/>
                <w:highlight w:val="none"/>
              </w:rPr>
            </w:pPr>
          </w:p>
        </w:tc>
        <w:tc>
          <w:tcPr>
            <w:tcW w:w="1364" w:type="dxa"/>
            <w:vAlign w:val="center"/>
          </w:tcPr>
          <w:p w14:paraId="00319BCE">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序号</w:t>
            </w:r>
          </w:p>
        </w:tc>
        <w:tc>
          <w:tcPr>
            <w:tcW w:w="2097" w:type="dxa"/>
            <w:vAlign w:val="center"/>
          </w:tcPr>
          <w:p w14:paraId="5B3348D5">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磋商文件</w:t>
            </w:r>
          </w:p>
          <w:p w14:paraId="53D8B9BB">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条目号</w:t>
            </w:r>
          </w:p>
        </w:tc>
        <w:tc>
          <w:tcPr>
            <w:tcW w:w="1992" w:type="dxa"/>
            <w:vAlign w:val="center"/>
          </w:tcPr>
          <w:p w14:paraId="5100616B">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磋商文件</w:t>
            </w:r>
          </w:p>
          <w:p w14:paraId="3403868C">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规范要求</w:t>
            </w:r>
          </w:p>
        </w:tc>
        <w:tc>
          <w:tcPr>
            <w:tcW w:w="1866" w:type="dxa"/>
            <w:vAlign w:val="center"/>
          </w:tcPr>
          <w:p w14:paraId="076C2FBA">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磋商响应文件</w:t>
            </w:r>
          </w:p>
          <w:p w14:paraId="297C7174">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对应规范</w:t>
            </w:r>
          </w:p>
        </w:tc>
        <w:tc>
          <w:tcPr>
            <w:tcW w:w="1592" w:type="dxa"/>
            <w:vAlign w:val="center"/>
          </w:tcPr>
          <w:p w14:paraId="0115539B">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说明</w:t>
            </w:r>
          </w:p>
        </w:tc>
      </w:tr>
      <w:tr w14:paraId="280F4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943" w:type="dxa"/>
            <w:vMerge w:val="restart"/>
            <w:vAlign w:val="center"/>
          </w:tcPr>
          <w:p w14:paraId="2CF9244B">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技</w:t>
            </w:r>
          </w:p>
          <w:p w14:paraId="0DE9F716">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术</w:t>
            </w:r>
          </w:p>
          <w:p w14:paraId="1B3B37CF">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规</w:t>
            </w:r>
          </w:p>
          <w:p w14:paraId="6D774D90">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格</w:t>
            </w:r>
          </w:p>
        </w:tc>
        <w:tc>
          <w:tcPr>
            <w:tcW w:w="1364" w:type="dxa"/>
            <w:vAlign w:val="center"/>
          </w:tcPr>
          <w:p w14:paraId="74590602">
            <w:pPr>
              <w:spacing w:line="380" w:lineRule="exact"/>
              <w:jc w:val="center"/>
              <w:rPr>
                <w:rFonts w:ascii="宋体" w:hAnsi="宋体" w:cs="宋体"/>
                <w:color w:val="auto"/>
                <w:sz w:val="22"/>
                <w:szCs w:val="22"/>
                <w:highlight w:val="none"/>
              </w:rPr>
            </w:pPr>
          </w:p>
        </w:tc>
        <w:tc>
          <w:tcPr>
            <w:tcW w:w="2097" w:type="dxa"/>
            <w:vAlign w:val="center"/>
          </w:tcPr>
          <w:p w14:paraId="0E1630BC">
            <w:pPr>
              <w:spacing w:line="380" w:lineRule="exact"/>
              <w:jc w:val="center"/>
              <w:rPr>
                <w:rFonts w:ascii="宋体" w:hAnsi="宋体" w:cs="宋体"/>
                <w:color w:val="auto"/>
                <w:sz w:val="22"/>
                <w:szCs w:val="22"/>
                <w:highlight w:val="none"/>
              </w:rPr>
            </w:pPr>
          </w:p>
        </w:tc>
        <w:tc>
          <w:tcPr>
            <w:tcW w:w="1992" w:type="dxa"/>
            <w:vAlign w:val="center"/>
          </w:tcPr>
          <w:p w14:paraId="2B3D449C">
            <w:pPr>
              <w:spacing w:line="380" w:lineRule="exact"/>
              <w:jc w:val="center"/>
              <w:rPr>
                <w:rFonts w:ascii="宋体" w:hAnsi="宋体" w:cs="宋体"/>
                <w:color w:val="auto"/>
                <w:sz w:val="22"/>
                <w:szCs w:val="22"/>
                <w:highlight w:val="none"/>
              </w:rPr>
            </w:pPr>
          </w:p>
        </w:tc>
        <w:tc>
          <w:tcPr>
            <w:tcW w:w="1866" w:type="dxa"/>
            <w:vAlign w:val="center"/>
          </w:tcPr>
          <w:p w14:paraId="0C8B4680">
            <w:pPr>
              <w:spacing w:line="380" w:lineRule="exact"/>
              <w:jc w:val="center"/>
              <w:rPr>
                <w:rFonts w:ascii="宋体" w:hAnsi="宋体" w:cs="宋体"/>
                <w:color w:val="auto"/>
                <w:sz w:val="22"/>
                <w:szCs w:val="22"/>
                <w:highlight w:val="none"/>
              </w:rPr>
            </w:pPr>
          </w:p>
        </w:tc>
        <w:tc>
          <w:tcPr>
            <w:tcW w:w="1592" w:type="dxa"/>
            <w:vAlign w:val="center"/>
          </w:tcPr>
          <w:p w14:paraId="6ECA87C3">
            <w:pPr>
              <w:spacing w:line="380" w:lineRule="exact"/>
              <w:jc w:val="center"/>
              <w:rPr>
                <w:rFonts w:ascii="宋体" w:hAnsi="宋体" w:cs="宋体"/>
                <w:color w:val="auto"/>
                <w:sz w:val="22"/>
                <w:szCs w:val="22"/>
                <w:highlight w:val="none"/>
              </w:rPr>
            </w:pPr>
          </w:p>
        </w:tc>
      </w:tr>
      <w:tr w14:paraId="30B01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32EF7499">
            <w:pPr>
              <w:spacing w:line="380" w:lineRule="exact"/>
              <w:ind w:firstLine="220" w:firstLineChars="100"/>
              <w:rPr>
                <w:rFonts w:ascii="宋体" w:hAnsi="宋体" w:cs="宋体"/>
                <w:color w:val="auto"/>
                <w:sz w:val="22"/>
                <w:szCs w:val="22"/>
                <w:highlight w:val="none"/>
              </w:rPr>
            </w:pPr>
          </w:p>
        </w:tc>
        <w:tc>
          <w:tcPr>
            <w:tcW w:w="1364" w:type="dxa"/>
            <w:vAlign w:val="center"/>
          </w:tcPr>
          <w:p w14:paraId="5D74FC52">
            <w:pPr>
              <w:spacing w:line="380" w:lineRule="exact"/>
              <w:jc w:val="center"/>
              <w:rPr>
                <w:rFonts w:ascii="宋体" w:hAnsi="宋体" w:cs="宋体"/>
                <w:color w:val="auto"/>
                <w:sz w:val="22"/>
                <w:szCs w:val="22"/>
                <w:highlight w:val="none"/>
              </w:rPr>
            </w:pPr>
          </w:p>
        </w:tc>
        <w:tc>
          <w:tcPr>
            <w:tcW w:w="2097" w:type="dxa"/>
            <w:vAlign w:val="center"/>
          </w:tcPr>
          <w:p w14:paraId="0323F8A6">
            <w:pPr>
              <w:spacing w:line="380" w:lineRule="exact"/>
              <w:jc w:val="center"/>
              <w:rPr>
                <w:rFonts w:ascii="宋体" w:hAnsi="宋体" w:cs="宋体"/>
                <w:color w:val="auto"/>
                <w:sz w:val="22"/>
                <w:szCs w:val="22"/>
                <w:highlight w:val="none"/>
              </w:rPr>
            </w:pPr>
          </w:p>
        </w:tc>
        <w:tc>
          <w:tcPr>
            <w:tcW w:w="1992" w:type="dxa"/>
            <w:vAlign w:val="center"/>
          </w:tcPr>
          <w:p w14:paraId="5F311E1D">
            <w:pPr>
              <w:spacing w:line="380" w:lineRule="exact"/>
              <w:jc w:val="center"/>
              <w:rPr>
                <w:rFonts w:ascii="宋体" w:hAnsi="宋体" w:cs="宋体"/>
                <w:color w:val="auto"/>
                <w:sz w:val="22"/>
                <w:szCs w:val="22"/>
                <w:highlight w:val="none"/>
              </w:rPr>
            </w:pPr>
          </w:p>
        </w:tc>
        <w:tc>
          <w:tcPr>
            <w:tcW w:w="1866" w:type="dxa"/>
            <w:vAlign w:val="center"/>
          </w:tcPr>
          <w:p w14:paraId="78E5FB30">
            <w:pPr>
              <w:spacing w:line="380" w:lineRule="exact"/>
              <w:jc w:val="center"/>
              <w:rPr>
                <w:rFonts w:ascii="宋体" w:hAnsi="宋体" w:cs="宋体"/>
                <w:color w:val="auto"/>
                <w:sz w:val="22"/>
                <w:szCs w:val="22"/>
                <w:highlight w:val="none"/>
              </w:rPr>
            </w:pPr>
          </w:p>
        </w:tc>
        <w:tc>
          <w:tcPr>
            <w:tcW w:w="1592" w:type="dxa"/>
            <w:vAlign w:val="center"/>
          </w:tcPr>
          <w:p w14:paraId="458107DF">
            <w:pPr>
              <w:spacing w:line="380" w:lineRule="exact"/>
              <w:jc w:val="center"/>
              <w:rPr>
                <w:rFonts w:ascii="宋体" w:hAnsi="宋体" w:cs="宋体"/>
                <w:color w:val="auto"/>
                <w:sz w:val="22"/>
                <w:szCs w:val="22"/>
                <w:highlight w:val="none"/>
              </w:rPr>
            </w:pPr>
          </w:p>
        </w:tc>
      </w:tr>
      <w:tr w14:paraId="2660B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2C40D816">
            <w:pPr>
              <w:spacing w:line="380" w:lineRule="exact"/>
              <w:jc w:val="center"/>
              <w:rPr>
                <w:rFonts w:ascii="宋体" w:hAnsi="宋体" w:cs="宋体"/>
                <w:color w:val="auto"/>
                <w:sz w:val="22"/>
                <w:szCs w:val="22"/>
                <w:highlight w:val="none"/>
              </w:rPr>
            </w:pPr>
          </w:p>
        </w:tc>
        <w:tc>
          <w:tcPr>
            <w:tcW w:w="1364" w:type="dxa"/>
            <w:vAlign w:val="center"/>
          </w:tcPr>
          <w:p w14:paraId="1DF6A207">
            <w:pPr>
              <w:spacing w:line="380" w:lineRule="exact"/>
              <w:jc w:val="center"/>
              <w:rPr>
                <w:rFonts w:ascii="宋体" w:hAnsi="宋体" w:cs="宋体"/>
                <w:color w:val="auto"/>
                <w:sz w:val="22"/>
                <w:szCs w:val="22"/>
                <w:highlight w:val="none"/>
              </w:rPr>
            </w:pPr>
          </w:p>
        </w:tc>
        <w:tc>
          <w:tcPr>
            <w:tcW w:w="2097" w:type="dxa"/>
            <w:vAlign w:val="center"/>
          </w:tcPr>
          <w:p w14:paraId="10832CDD">
            <w:pPr>
              <w:spacing w:line="380" w:lineRule="exact"/>
              <w:jc w:val="center"/>
              <w:rPr>
                <w:rFonts w:ascii="宋体" w:hAnsi="宋体" w:cs="宋体"/>
                <w:color w:val="auto"/>
                <w:sz w:val="22"/>
                <w:szCs w:val="22"/>
                <w:highlight w:val="none"/>
              </w:rPr>
            </w:pPr>
          </w:p>
        </w:tc>
        <w:tc>
          <w:tcPr>
            <w:tcW w:w="1992" w:type="dxa"/>
            <w:vAlign w:val="center"/>
          </w:tcPr>
          <w:p w14:paraId="3AE6D82B">
            <w:pPr>
              <w:spacing w:line="380" w:lineRule="exact"/>
              <w:jc w:val="center"/>
              <w:rPr>
                <w:rFonts w:ascii="宋体" w:hAnsi="宋体" w:cs="宋体"/>
                <w:color w:val="auto"/>
                <w:sz w:val="22"/>
                <w:szCs w:val="22"/>
                <w:highlight w:val="none"/>
              </w:rPr>
            </w:pPr>
          </w:p>
        </w:tc>
        <w:tc>
          <w:tcPr>
            <w:tcW w:w="1866" w:type="dxa"/>
            <w:vAlign w:val="center"/>
          </w:tcPr>
          <w:p w14:paraId="2FE40848">
            <w:pPr>
              <w:spacing w:line="380" w:lineRule="exact"/>
              <w:jc w:val="center"/>
              <w:rPr>
                <w:rFonts w:ascii="宋体" w:hAnsi="宋体" w:cs="宋体"/>
                <w:color w:val="auto"/>
                <w:sz w:val="22"/>
                <w:szCs w:val="22"/>
                <w:highlight w:val="none"/>
              </w:rPr>
            </w:pPr>
          </w:p>
        </w:tc>
        <w:tc>
          <w:tcPr>
            <w:tcW w:w="1592" w:type="dxa"/>
            <w:vAlign w:val="center"/>
          </w:tcPr>
          <w:p w14:paraId="69F00930">
            <w:pPr>
              <w:spacing w:line="380" w:lineRule="exact"/>
              <w:jc w:val="center"/>
              <w:rPr>
                <w:rFonts w:ascii="宋体" w:hAnsi="宋体" w:cs="宋体"/>
                <w:color w:val="auto"/>
                <w:sz w:val="22"/>
                <w:szCs w:val="22"/>
                <w:highlight w:val="none"/>
              </w:rPr>
            </w:pPr>
          </w:p>
        </w:tc>
      </w:tr>
      <w:tr w14:paraId="6B76E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48AA28BA">
            <w:pPr>
              <w:spacing w:line="380" w:lineRule="exact"/>
              <w:jc w:val="center"/>
              <w:rPr>
                <w:rFonts w:ascii="宋体" w:hAnsi="宋体" w:cs="宋体"/>
                <w:color w:val="auto"/>
                <w:sz w:val="22"/>
                <w:szCs w:val="22"/>
                <w:highlight w:val="none"/>
              </w:rPr>
            </w:pPr>
          </w:p>
        </w:tc>
        <w:tc>
          <w:tcPr>
            <w:tcW w:w="1364" w:type="dxa"/>
            <w:vAlign w:val="center"/>
          </w:tcPr>
          <w:p w14:paraId="77E36138">
            <w:pPr>
              <w:spacing w:line="380" w:lineRule="exact"/>
              <w:jc w:val="center"/>
              <w:rPr>
                <w:rFonts w:ascii="宋体" w:hAnsi="宋体" w:cs="宋体"/>
                <w:color w:val="auto"/>
                <w:sz w:val="22"/>
                <w:szCs w:val="22"/>
                <w:highlight w:val="none"/>
              </w:rPr>
            </w:pPr>
          </w:p>
        </w:tc>
        <w:tc>
          <w:tcPr>
            <w:tcW w:w="2097" w:type="dxa"/>
            <w:vAlign w:val="center"/>
          </w:tcPr>
          <w:p w14:paraId="449DCF5C">
            <w:pPr>
              <w:spacing w:line="380" w:lineRule="exact"/>
              <w:jc w:val="center"/>
              <w:rPr>
                <w:rFonts w:ascii="宋体" w:hAnsi="宋体" w:cs="宋体"/>
                <w:color w:val="auto"/>
                <w:sz w:val="22"/>
                <w:szCs w:val="22"/>
                <w:highlight w:val="none"/>
              </w:rPr>
            </w:pPr>
          </w:p>
        </w:tc>
        <w:tc>
          <w:tcPr>
            <w:tcW w:w="1992" w:type="dxa"/>
            <w:vAlign w:val="center"/>
          </w:tcPr>
          <w:p w14:paraId="49C3C56E">
            <w:pPr>
              <w:spacing w:line="380" w:lineRule="exact"/>
              <w:jc w:val="center"/>
              <w:rPr>
                <w:rFonts w:ascii="宋体" w:hAnsi="宋体" w:cs="宋体"/>
                <w:color w:val="auto"/>
                <w:sz w:val="22"/>
                <w:szCs w:val="22"/>
                <w:highlight w:val="none"/>
              </w:rPr>
            </w:pPr>
          </w:p>
        </w:tc>
        <w:tc>
          <w:tcPr>
            <w:tcW w:w="1866" w:type="dxa"/>
            <w:vAlign w:val="center"/>
          </w:tcPr>
          <w:p w14:paraId="40F81A62">
            <w:pPr>
              <w:spacing w:line="380" w:lineRule="exact"/>
              <w:jc w:val="center"/>
              <w:rPr>
                <w:rFonts w:ascii="宋体" w:hAnsi="宋体" w:cs="宋体"/>
                <w:color w:val="auto"/>
                <w:sz w:val="22"/>
                <w:szCs w:val="22"/>
                <w:highlight w:val="none"/>
              </w:rPr>
            </w:pPr>
          </w:p>
        </w:tc>
        <w:tc>
          <w:tcPr>
            <w:tcW w:w="1592" w:type="dxa"/>
            <w:vAlign w:val="center"/>
          </w:tcPr>
          <w:p w14:paraId="11BF5161">
            <w:pPr>
              <w:spacing w:line="380" w:lineRule="exact"/>
              <w:jc w:val="center"/>
              <w:rPr>
                <w:rFonts w:ascii="宋体" w:hAnsi="宋体" w:cs="宋体"/>
                <w:color w:val="auto"/>
                <w:sz w:val="22"/>
                <w:szCs w:val="22"/>
                <w:highlight w:val="none"/>
              </w:rPr>
            </w:pPr>
          </w:p>
        </w:tc>
      </w:tr>
      <w:tr w14:paraId="58598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67EF2552">
            <w:pPr>
              <w:spacing w:line="380" w:lineRule="exact"/>
              <w:jc w:val="center"/>
              <w:rPr>
                <w:rFonts w:ascii="宋体" w:hAnsi="宋体" w:cs="宋体"/>
                <w:color w:val="auto"/>
                <w:sz w:val="22"/>
                <w:szCs w:val="22"/>
                <w:highlight w:val="none"/>
              </w:rPr>
            </w:pPr>
          </w:p>
        </w:tc>
        <w:tc>
          <w:tcPr>
            <w:tcW w:w="1364" w:type="dxa"/>
            <w:vAlign w:val="center"/>
          </w:tcPr>
          <w:p w14:paraId="658E80F1">
            <w:pPr>
              <w:spacing w:line="380" w:lineRule="exact"/>
              <w:jc w:val="center"/>
              <w:rPr>
                <w:rFonts w:ascii="宋体" w:hAnsi="宋体" w:cs="宋体"/>
                <w:color w:val="auto"/>
                <w:sz w:val="22"/>
                <w:szCs w:val="22"/>
                <w:highlight w:val="none"/>
              </w:rPr>
            </w:pPr>
          </w:p>
        </w:tc>
        <w:tc>
          <w:tcPr>
            <w:tcW w:w="2097" w:type="dxa"/>
            <w:vAlign w:val="center"/>
          </w:tcPr>
          <w:p w14:paraId="4C6722EA">
            <w:pPr>
              <w:spacing w:line="380" w:lineRule="exact"/>
              <w:jc w:val="center"/>
              <w:rPr>
                <w:rFonts w:ascii="宋体" w:hAnsi="宋体" w:cs="宋体"/>
                <w:color w:val="auto"/>
                <w:sz w:val="22"/>
                <w:szCs w:val="22"/>
                <w:highlight w:val="none"/>
              </w:rPr>
            </w:pPr>
          </w:p>
        </w:tc>
        <w:tc>
          <w:tcPr>
            <w:tcW w:w="1992" w:type="dxa"/>
            <w:vAlign w:val="center"/>
          </w:tcPr>
          <w:p w14:paraId="57D03E77">
            <w:pPr>
              <w:spacing w:line="380" w:lineRule="exact"/>
              <w:jc w:val="center"/>
              <w:rPr>
                <w:rFonts w:ascii="宋体" w:hAnsi="宋体" w:cs="宋体"/>
                <w:color w:val="auto"/>
                <w:sz w:val="22"/>
                <w:szCs w:val="22"/>
                <w:highlight w:val="none"/>
              </w:rPr>
            </w:pPr>
          </w:p>
        </w:tc>
        <w:tc>
          <w:tcPr>
            <w:tcW w:w="1866" w:type="dxa"/>
            <w:vAlign w:val="center"/>
          </w:tcPr>
          <w:p w14:paraId="1776A293">
            <w:pPr>
              <w:spacing w:line="380" w:lineRule="exact"/>
              <w:jc w:val="center"/>
              <w:rPr>
                <w:rFonts w:ascii="宋体" w:hAnsi="宋体" w:cs="宋体"/>
                <w:color w:val="auto"/>
                <w:sz w:val="22"/>
                <w:szCs w:val="22"/>
                <w:highlight w:val="none"/>
              </w:rPr>
            </w:pPr>
          </w:p>
        </w:tc>
        <w:tc>
          <w:tcPr>
            <w:tcW w:w="1592" w:type="dxa"/>
            <w:vAlign w:val="center"/>
          </w:tcPr>
          <w:p w14:paraId="1B840570">
            <w:pPr>
              <w:spacing w:line="380" w:lineRule="exact"/>
              <w:jc w:val="center"/>
              <w:rPr>
                <w:rFonts w:ascii="宋体" w:hAnsi="宋体" w:cs="宋体"/>
                <w:color w:val="auto"/>
                <w:sz w:val="22"/>
                <w:szCs w:val="22"/>
                <w:highlight w:val="none"/>
              </w:rPr>
            </w:pPr>
          </w:p>
        </w:tc>
      </w:tr>
      <w:tr w14:paraId="3063C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943" w:type="dxa"/>
            <w:vMerge w:val="restart"/>
            <w:vAlign w:val="center"/>
          </w:tcPr>
          <w:p w14:paraId="1A3D8349">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商</w:t>
            </w:r>
          </w:p>
          <w:p w14:paraId="0BD90AE5">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务</w:t>
            </w:r>
          </w:p>
          <w:p w14:paraId="3FA5789E">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条</w:t>
            </w:r>
          </w:p>
          <w:p w14:paraId="5589B7C8">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款</w:t>
            </w:r>
          </w:p>
        </w:tc>
        <w:tc>
          <w:tcPr>
            <w:tcW w:w="1364" w:type="dxa"/>
            <w:vAlign w:val="center"/>
          </w:tcPr>
          <w:p w14:paraId="41EFCDB1">
            <w:pPr>
              <w:spacing w:line="380" w:lineRule="exact"/>
              <w:jc w:val="center"/>
              <w:rPr>
                <w:rFonts w:ascii="宋体" w:hAnsi="宋体" w:cs="宋体"/>
                <w:color w:val="auto"/>
                <w:sz w:val="22"/>
                <w:szCs w:val="22"/>
                <w:highlight w:val="none"/>
              </w:rPr>
            </w:pPr>
          </w:p>
        </w:tc>
        <w:tc>
          <w:tcPr>
            <w:tcW w:w="2097" w:type="dxa"/>
            <w:vAlign w:val="center"/>
          </w:tcPr>
          <w:p w14:paraId="6E390613">
            <w:pPr>
              <w:spacing w:line="380" w:lineRule="exact"/>
              <w:jc w:val="center"/>
              <w:rPr>
                <w:rFonts w:ascii="宋体" w:hAnsi="宋体" w:cs="宋体"/>
                <w:color w:val="auto"/>
                <w:sz w:val="22"/>
                <w:szCs w:val="22"/>
                <w:highlight w:val="none"/>
              </w:rPr>
            </w:pPr>
          </w:p>
        </w:tc>
        <w:tc>
          <w:tcPr>
            <w:tcW w:w="1992" w:type="dxa"/>
            <w:vAlign w:val="center"/>
          </w:tcPr>
          <w:p w14:paraId="47CD9124">
            <w:pPr>
              <w:spacing w:line="380" w:lineRule="exact"/>
              <w:jc w:val="center"/>
              <w:rPr>
                <w:rFonts w:ascii="宋体" w:hAnsi="宋体" w:cs="宋体"/>
                <w:color w:val="auto"/>
                <w:sz w:val="22"/>
                <w:szCs w:val="22"/>
                <w:highlight w:val="none"/>
              </w:rPr>
            </w:pPr>
          </w:p>
        </w:tc>
        <w:tc>
          <w:tcPr>
            <w:tcW w:w="1866" w:type="dxa"/>
            <w:vAlign w:val="center"/>
          </w:tcPr>
          <w:p w14:paraId="69FC185D">
            <w:pPr>
              <w:spacing w:line="380" w:lineRule="exact"/>
              <w:jc w:val="center"/>
              <w:rPr>
                <w:rFonts w:ascii="宋体" w:hAnsi="宋体" w:cs="宋体"/>
                <w:color w:val="auto"/>
                <w:sz w:val="22"/>
                <w:szCs w:val="22"/>
                <w:highlight w:val="none"/>
              </w:rPr>
            </w:pPr>
          </w:p>
        </w:tc>
        <w:tc>
          <w:tcPr>
            <w:tcW w:w="1592" w:type="dxa"/>
            <w:vAlign w:val="center"/>
          </w:tcPr>
          <w:p w14:paraId="69FD5482">
            <w:pPr>
              <w:spacing w:line="380" w:lineRule="exact"/>
              <w:jc w:val="center"/>
              <w:rPr>
                <w:rFonts w:ascii="宋体" w:hAnsi="宋体" w:cs="宋体"/>
                <w:color w:val="auto"/>
                <w:sz w:val="22"/>
                <w:szCs w:val="22"/>
                <w:highlight w:val="none"/>
              </w:rPr>
            </w:pPr>
          </w:p>
        </w:tc>
      </w:tr>
      <w:tr w14:paraId="08352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77415B85">
            <w:pPr>
              <w:spacing w:line="380" w:lineRule="exact"/>
              <w:jc w:val="center"/>
              <w:rPr>
                <w:rFonts w:ascii="宋体" w:hAnsi="宋体" w:cs="宋体"/>
                <w:color w:val="auto"/>
                <w:sz w:val="22"/>
                <w:szCs w:val="22"/>
                <w:highlight w:val="none"/>
              </w:rPr>
            </w:pPr>
          </w:p>
        </w:tc>
        <w:tc>
          <w:tcPr>
            <w:tcW w:w="1364" w:type="dxa"/>
            <w:vAlign w:val="center"/>
          </w:tcPr>
          <w:p w14:paraId="41331B79">
            <w:pPr>
              <w:spacing w:line="380" w:lineRule="exact"/>
              <w:jc w:val="center"/>
              <w:rPr>
                <w:rFonts w:ascii="宋体" w:hAnsi="宋体" w:cs="宋体"/>
                <w:color w:val="auto"/>
                <w:sz w:val="22"/>
                <w:szCs w:val="22"/>
                <w:highlight w:val="none"/>
              </w:rPr>
            </w:pPr>
          </w:p>
        </w:tc>
        <w:tc>
          <w:tcPr>
            <w:tcW w:w="2097" w:type="dxa"/>
            <w:vAlign w:val="center"/>
          </w:tcPr>
          <w:p w14:paraId="176F0819">
            <w:pPr>
              <w:spacing w:line="380" w:lineRule="exact"/>
              <w:jc w:val="center"/>
              <w:rPr>
                <w:rFonts w:ascii="宋体" w:hAnsi="宋体" w:cs="宋体"/>
                <w:color w:val="auto"/>
                <w:sz w:val="22"/>
                <w:szCs w:val="22"/>
                <w:highlight w:val="none"/>
              </w:rPr>
            </w:pPr>
          </w:p>
        </w:tc>
        <w:tc>
          <w:tcPr>
            <w:tcW w:w="1992" w:type="dxa"/>
            <w:vAlign w:val="center"/>
          </w:tcPr>
          <w:p w14:paraId="151BFA90">
            <w:pPr>
              <w:spacing w:line="380" w:lineRule="exact"/>
              <w:jc w:val="center"/>
              <w:rPr>
                <w:rFonts w:ascii="宋体" w:hAnsi="宋体" w:cs="宋体"/>
                <w:color w:val="auto"/>
                <w:sz w:val="22"/>
                <w:szCs w:val="22"/>
                <w:highlight w:val="none"/>
              </w:rPr>
            </w:pPr>
          </w:p>
        </w:tc>
        <w:tc>
          <w:tcPr>
            <w:tcW w:w="1866" w:type="dxa"/>
            <w:vAlign w:val="center"/>
          </w:tcPr>
          <w:p w14:paraId="31BC2C52">
            <w:pPr>
              <w:spacing w:line="380" w:lineRule="exact"/>
              <w:jc w:val="center"/>
              <w:rPr>
                <w:rFonts w:ascii="宋体" w:hAnsi="宋体" w:cs="宋体"/>
                <w:color w:val="auto"/>
                <w:sz w:val="22"/>
                <w:szCs w:val="22"/>
                <w:highlight w:val="none"/>
              </w:rPr>
            </w:pPr>
          </w:p>
        </w:tc>
        <w:tc>
          <w:tcPr>
            <w:tcW w:w="1592" w:type="dxa"/>
            <w:vAlign w:val="center"/>
          </w:tcPr>
          <w:p w14:paraId="560949CE">
            <w:pPr>
              <w:spacing w:line="380" w:lineRule="exact"/>
              <w:jc w:val="center"/>
              <w:rPr>
                <w:rFonts w:ascii="宋体" w:hAnsi="宋体" w:cs="宋体"/>
                <w:color w:val="auto"/>
                <w:sz w:val="22"/>
                <w:szCs w:val="22"/>
                <w:highlight w:val="none"/>
              </w:rPr>
            </w:pPr>
          </w:p>
        </w:tc>
      </w:tr>
      <w:tr w14:paraId="7C27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2F653759">
            <w:pPr>
              <w:spacing w:line="380" w:lineRule="exact"/>
              <w:jc w:val="center"/>
              <w:rPr>
                <w:rFonts w:ascii="宋体" w:hAnsi="宋体" w:cs="宋体"/>
                <w:color w:val="auto"/>
                <w:sz w:val="22"/>
                <w:szCs w:val="22"/>
                <w:highlight w:val="none"/>
              </w:rPr>
            </w:pPr>
          </w:p>
        </w:tc>
        <w:tc>
          <w:tcPr>
            <w:tcW w:w="1364" w:type="dxa"/>
            <w:vAlign w:val="center"/>
          </w:tcPr>
          <w:p w14:paraId="043D3635">
            <w:pPr>
              <w:spacing w:line="380" w:lineRule="exact"/>
              <w:jc w:val="center"/>
              <w:rPr>
                <w:rFonts w:ascii="宋体" w:hAnsi="宋体" w:cs="宋体"/>
                <w:color w:val="auto"/>
                <w:sz w:val="22"/>
                <w:szCs w:val="22"/>
                <w:highlight w:val="none"/>
              </w:rPr>
            </w:pPr>
          </w:p>
        </w:tc>
        <w:tc>
          <w:tcPr>
            <w:tcW w:w="2097" w:type="dxa"/>
            <w:vAlign w:val="center"/>
          </w:tcPr>
          <w:p w14:paraId="0CBC8476">
            <w:pPr>
              <w:spacing w:line="380" w:lineRule="exact"/>
              <w:jc w:val="center"/>
              <w:rPr>
                <w:rFonts w:ascii="宋体" w:hAnsi="宋体" w:cs="宋体"/>
                <w:color w:val="auto"/>
                <w:sz w:val="22"/>
                <w:szCs w:val="22"/>
                <w:highlight w:val="none"/>
              </w:rPr>
            </w:pPr>
          </w:p>
        </w:tc>
        <w:tc>
          <w:tcPr>
            <w:tcW w:w="1992" w:type="dxa"/>
            <w:vAlign w:val="center"/>
          </w:tcPr>
          <w:p w14:paraId="6CC78EC2">
            <w:pPr>
              <w:spacing w:line="380" w:lineRule="exact"/>
              <w:jc w:val="center"/>
              <w:rPr>
                <w:rFonts w:ascii="宋体" w:hAnsi="宋体" w:cs="宋体"/>
                <w:color w:val="auto"/>
                <w:sz w:val="22"/>
                <w:szCs w:val="22"/>
                <w:highlight w:val="none"/>
              </w:rPr>
            </w:pPr>
          </w:p>
        </w:tc>
        <w:tc>
          <w:tcPr>
            <w:tcW w:w="1866" w:type="dxa"/>
            <w:vAlign w:val="center"/>
          </w:tcPr>
          <w:p w14:paraId="3D55D98F">
            <w:pPr>
              <w:spacing w:line="380" w:lineRule="exact"/>
              <w:jc w:val="center"/>
              <w:rPr>
                <w:rFonts w:ascii="宋体" w:hAnsi="宋体" w:cs="宋体"/>
                <w:color w:val="auto"/>
                <w:sz w:val="22"/>
                <w:szCs w:val="22"/>
                <w:highlight w:val="none"/>
              </w:rPr>
            </w:pPr>
          </w:p>
        </w:tc>
        <w:tc>
          <w:tcPr>
            <w:tcW w:w="1592" w:type="dxa"/>
            <w:vAlign w:val="center"/>
          </w:tcPr>
          <w:p w14:paraId="20FFBB08">
            <w:pPr>
              <w:spacing w:line="380" w:lineRule="exact"/>
              <w:jc w:val="center"/>
              <w:rPr>
                <w:rFonts w:ascii="宋体" w:hAnsi="宋体" w:cs="宋体"/>
                <w:color w:val="auto"/>
                <w:sz w:val="22"/>
                <w:szCs w:val="22"/>
                <w:highlight w:val="none"/>
              </w:rPr>
            </w:pPr>
          </w:p>
        </w:tc>
      </w:tr>
      <w:tr w14:paraId="05210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4DE46067">
            <w:pPr>
              <w:spacing w:line="380" w:lineRule="exact"/>
              <w:jc w:val="center"/>
              <w:rPr>
                <w:rFonts w:ascii="宋体" w:hAnsi="宋体" w:cs="宋体"/>
                <w:color w:val="auto"/>
                <w:sz w:val="22"/>
                <w:szCs w:val="22"/>
                <w:highlight w:val="none"/>
              </w:rPr>
            </w:pPr>
          </w:p>
        </w:tc>
        <w:tc>
          <w:tcPr>
            <w:tcW w:w="1364" w:type="dxa"/>
            <w:vAlign w:val="center"/>
          </w:tcPr>
          <w:p w14:paraId="20529B31">
            <w:pPr>
              <w:spacing w:line="380" w:lineRule="exact"/>
              <w:jc w:val="center"/>
              <w:rPr>
                <w:rFonts w:ascii="宋体" w:hAnsi="宋体" w:cs="宋体"/>
                <w:color w:val="auto"/>
                <w:sz w:val="22"/>
                <w:szCs w:val="22"/>
                <w:highlight w:val="none"/>
              </w:rPr>
            </w:pPr>
          </w:p>
        </w:tc>
        <w:tc>
          <w:tcPr>
            <w:tcW w:w="2097" w:type="dxa"/>
            <w:vAlign w:val="center"/>
          </w:tcPr>
          <w:p w14:paraId="55808D23">
            <w:pPr>
              <w:spacing w:line="380" w:lineRule="exact"/>
              <w:jc w:val="center"/>
              <w:rPr>
                <w:rFonts w:ascii="宋体" w:hAnsi="宋体" w:cs="宋体"/>
                <w:color w:val="auto"/>
                <w:sz w:val="22"/>
                <w:szCs w:val="22"/>
                <w:highlight w:val="none"/>
              </w:rPr>
            </w:pPr>
          </w:p>
        </w:tc>
        <w:tc>
          <w:tcPr>
            <w:tcW w:w="1992" w:type="dxa"/>
            <w:vAlign w:val="center"/>
          </w:tcPr>
          <w:p w14:paraId="4791CC5E">
            <w:pPr>
              <w:spacing w:line="380" w:lineRule="exact"/>
              <w:jc w:val="center"/>
              <w:rPr>
                <w:rFonts w:ascii="宋体" w:hAnsi="宋体" w:cs="宋体"/>
                <w:color w:val="auto"/>
                <w:sz w:val="22"/>
                <w:szCs w:val="22"/>
                <w:highlight w:val="none"/>
              </w:rPr>
            </w:pPr>
          </w:p>
        </w:tc>
        <w:tc>
          <w:tcPr>
            <w:tcW w:w="1866" w:type="dxa"/>
            <w:vAlign w:val="center"/>
          </w:tcPr>
          <w:p w14:paraId="7B26A617">
            <w:pPr>
              <w:spacing w:line="380" w:lineRule="exact"/>
              <w:jc w:val="center"/>
              <w:rPr>
                <w:rFonts w:ascii="宋体" w:hAnsi="宋体" w:cs="宋体"/>
                <w:color w:val="auto"/>
                <w:sz w:val="22"/>
                <w:szCs w:val="22"/>
                <w:highlight w:val="none"/>
              </w:rPr>
            </w:pPr>
          </w:p>
        </w:tc>
        <w:tc>
          <w:tcPr>
            <w:tcW w:w="1592" w:type="dxa"/>
            <w:vAlign w:val="center"/>
          </w:tcPr>
          <w:p w14:paraId="149E4062">
            <w:pPr>
              <w:spacing w:line="380" w:lineRule="exact"/>
              <w:jc w:val="center"/>
              <w:rPr>
                <w:rFonts w:ascii="宋体" w:hAnsi="宋体" w:cs="宋体"/>
                <w:color w:val="auto"/>
                <w:sz w:val="22"/>
                <w:szCs w:val="22"/>
                <w:highlight w:val="none"/>
              </w:rPr>
            </w:pPr>
          </w:p>
        </w:tc>
      </w:tr>
      <w:tr w14:paraId="5E5B7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2EACA869">
            <w:pPr>
              <w:spacing w:line="380" w:lineRule="exact"/>
              <w:jc w:val="center"/>
              <w:rPr>
                <w:rFonts w:ascii="宋体" w:hAnsi="宋体" w:cs="宋体"/>
                <w:color w:val="auto"/>
                <w:sz w:val="22"/>
                <w:szCs w:val="22"/>
                <w:highlight w:val="none"/>
              </w:rPr>
            </w:pPr>
          </w:p>
        </w:tc>
        <w:tc>
          <w:tcPr>
            <w:tcW w:w="1364" w:type="dxa"/>
            <w:vAlign w:val="center"/>
          </w:tcPr>
          <w:p w14:paraId="0463B6AA">
            <w:pPr>
              <w:spacing w:line="380" w:lineRule="exact"/>
              <w:jc w:val="center"/>
              <w:rPr>
                <w:rFonts w:ascii="宋体" w:hAnsi="宋体" w:cs="宋体"/>
                <w:color w:val="auto"/>
                <w:sz w:val="22"/>
                <w:szCs w:val="22"/>
                <w:highlight w:val="none"/>
              </w:rPr>
            </w:pPr>
          </w:p>
        </w:tc>
        <w:tc>
          <w:tcPr>
            <w:tcW w:w="2097" w:type="dxa"/>
            <w:vAlign w:val="center"/>
          </w:tcPr>
          <w:p w14:paraId="6DB32070">
            <w:pPr>
              <w:spacing w:line="380" w:lineRule="exact"/>
              <w:jc w:val="center"/>
              <w:rPr>
                <w:rFonts w:ascii="宋体" w:hAnsi="宋体" w:cs="宋体"/>
                <w:color w:val="auto"/>
                <w:sz w:val="22"/>
                <w:szCs w:val="22"/>
                <w:highlight w:val="none"/>
              </w:rPr>
            </w:pPr>
          </w:p>
        </w:tc>
        <w:tc>
          <w:tcPr>
            <w:tcW w:w="1992" w:type="dxa"/>
            <w:vAlign w:val="center"/>
          </w:tcPr>
          <w:p w14:paraId="54795974">
            <w:pPr>
              <w:spacing w:line="380" w:lineRule="exact"/>
              <w:jc w:val="center"/>
              <w:rPr>
                <w:rFonts w:ascii="宋体" w:hAnsi="宋体" w:cs="宋体"/>
                <w:color w:val="auto"/>
                <w:sz w:val="22"/>
                <w:szCs w:val="22"/>
                <w:highlight w:val="none"/>
              </w:rPr>
            </w:pPr>
          </w:p>
        </w:tc>
        <w:tc>
          <w:tcPr>
            <w:tcW w:w="1866" w:type="dxa"/>
            <w:vAlign w:val="center"/>
          </w:tcPr>
          <w:p w14:paraId="08F26ABE">
            <w:pPr>
              <w:spacing w:line="380" w:lineRule="exact"/>
              <w:jc w:val="center"/>
              <w:rPr>
                <w:rFonts w:ascii="宋体" w:hAnsi="宋体" w:cs="宋体"/>
                <w:color w:val="auto"/>
                <w:sz w:val="22"/>
                <w:szCs w:val="22"/>
                <w:highlight w:val="none"/>
              </w:rPr>
            </w:pPr>
          </w:p>
        </w:tc>
        <w:tc>
          <w:tcPr>
            <w:tcW w:w="1592" w:type="dxa"/>
            <w:vAlign w:val="center"/>
          </w:tcPr>
          <w:p w14:paraId="489E9A33">
            <w:pPr>
              <w:spacing w:line="380" w:lineRule="exact"/>
              <w:jc w:val="center"/>
              <w:rPr>
                <w:rFonts w:ascii="宋体" w:hAnsi="宋体" w:cs="宋体"/>
                <w:color w:val="auto"/>
                <w:sz w:val="22"/>
                <w:szCs w:val="22"/>
                <w:highlight w:val="none"/>
              </w:rPr>
            </w:pPr>
          </w:p>
        </w:tc>
      </w:tr>
    </w:tbl>
    <w:p w14:paraId="7E3ABF3E">
      <w:pPr>
        <w:spacing w:line="380" w:lineRule="exact"/>
        <w:rPr>
          <w:rFonts w:ascii="宋体" w:hAnsi="宋体" w:cs="宋体"/>
          <w:b/>
          <w:color w:val="auto"/>
          <w:sz w:val="22"/>
          <w:szCs w:val="22"/>
          <w:highlight w:val="none"/>
        </w:rPr>
      </w:pPr>
      <w:r>
        <w:rPr>
          <w:rFonts w:hint="eastAsia" w:ascii="宋体" w:hAnsi="宋体" w:cs="宋体"/>
          <w:b/>
          <w:color w:val="auto"/>
          <w:sz w:val="22"/>
          <w:szCs w:val="22"/>
          <w:highlight w:val="none"/>
        </w:rPr>
        <w:t>注：</w:t>
      </w:r>
      <w:r>
        <w:rPr>
          <w:rFonts w:hint="eastAsia" w:ascii="宋体" w:hAnsi="宋体" w:cs="宋体"/>
          <w:b/>
          <w:color w:val="auto"/>
          <w:highlight w:val="none"/>
        </w:rPr>
        <w:t>不填写此表视为完全响应磋商文件内容。</w:t>
      </w:r>
    </w:p>
    <w:p w14:paraId="17445B46">
      <w:pPr>
        <w:spacing w:line="380" w:lineRule="exact"/>
        <w:ind w:firstLine="4417" w:firstLineChars="2000"/>
        <w:rPr>
          <w:rFonts w:ascii="宋体" w:hAnsi="宋体" w:cs="宋体"/>
          <w:b/>
          <w:color w:val="auto"/>
          <w:sz w:val="22"/>
          <w:szCs w:val="22"/>
          <w:highlight w:val="none"/>
        </w:rPr>
      </w:pPr>
    </w:p>
    <w:p w14:paraId="02034135">
      <w:pPr>
        <w:spacing w:line="38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供应商全称（盖章）：</w:t>
      </w:r>
    </w:p>
    <w:p w14:paraId="50E37BC4">
      <w:pPr>
        <w:spacing w:line="38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法定代表人或授权代表（签字或盖章）：</w:t>
      </w:r>
    </w:p>
    <w:p w14:paraId="69B8BB30">
      <w:pPr>
        <w:spacing w:line="38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14:paraId="2BCB3480">
      <w:pPr>
        <w:spacing w:line="460" w:lineRule="exact"/>
        <w:rPr>
          <w:rFonts w:ascii="宋体" w:hAnsi="宋体" w:cs="宋体"/>
          <w:b/>
          <w:color w:val="auto"/>
          <w:sz w:val="22"/>
          <w:szCs w:val="22"/>
          <w:highlight w:val="none"/>
        </w:rPr>
      </w:pPr>
      <w:r>
        <w:rPr>
          <w:rFonts w:hint="eastAsia" w:ascii="宋体" w:hAnsi="宋体" w:cs="宋体"/>
          <w:color w:val="auto"/>
          <w:highlight w:val="none"/>
        </w:rPr>
        <w:br w:type="page"/>
      </w:r>
    </w:p>
    <w:p w14:paraId="360C5FAC">
      <w:pPr>
        <w:spacing w:line="38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附件五</w:t>
      </w:r>
    </w:p>
    <w:p w14:paraId="508FE8FC">
      <w:pPr>
        <w:pStyle w:val="51"/>
        <w:rPr>
          <w:rFonts w:ascii="宋体" w:hAnsi="宋体" w:cs="宋体"/>
          <w:color w:val="auto"/>
          <w:highlight w:val="none"/>
        </w:rPr>
      </w:pPr>
    </w:p>
    <w:p w14:paraId="52BC87DA">
      <w:pPr>
        <w:pStyle w:val="51"/>
        <w:rPr>
          <w:rFonts w:ascii="宋体" w:hAnsi="宋体" w:cs="宋体"/>
          <w:color w:val="auto"/>
          <w:highlight w:val="none"/>
        </w:rPr>
      </w:pPr>
      <w:r>
        <w:rPr>
          <w:color w:val="auto"/>
          <w:highlight w:val="none"/>
        </w:rPr>
        <w:fldChar w:fldCharType="begin"/>
      </w:r>
      <w:r>
        <w:rPr>
          <w:color w:val="auto"/>
          <w:highlight w:val="none"/>
        </w:rPr>
        <w:instrText xml:space="preserve"> HYPERLINK "mailto:（开评标阶段填写，并邮件发送至Yxgcxmgl@126.com邮箱）" </w:instrText>
      </w:r>
      <w:r>
        <w:rPr>
          <w:color w:val="auto"/>
          <w:highlight w:val="none"/>
        </w:rPr>
        <w:fldChar w:fldCharType="separate"/>
      </w:r>
      <w:r>
        <w:rPr>
          <w:rStyle w:val="47"/>
          <w:rFonts w:hint="eastAsia" w:ascii="宋体" w:hAnsi="宋体" w:cs="宋体"/>
          <w:color w:val="auto"/>
          <w:highlight w:val="none"/>
        </w:rPr>
        <w:t>（开评标阶段填写，并邮件发送至</w:t>
      </w:r>
      <w:r>
        <w:rPr>
          <w:rStyle w:val="47"/>
          <w:rFonts w:hint="eastAsia" w:ascii="宋体" w:hAnsi="宋体" w:cs="宋体"/>
          <w:color w:val="auto"/>
          <w:highlight w:val="none"/>
          <w:lang w:eastAsia="zh-CN"/>
        </w:rPr>
        <w:t>244726069@qq.com</w:t>
      </w:r>
      <w:r>
        <w:rPr>
          <w:rStyle w:val="47"/>
          <w:rFonts w:hint="eastAsia" w:ascii="宋体" w:hAnsi="宋体" w:cs="宋体"/>
          <w:color w:val="auto"/>
          <w:highlight w:val="none"/>
        </w:rPr>
        <w:t>邮箱）</w:t>
      </w:r>
      <w:r>
        <w:rPr>
          <w:rStyle w:val="47"/>
          <w:rFonts w:hint="eastAsia" w:ascii="宋体" w:hAnsi="宋体" w:cs="宋体"/>
          <w:color w:val="auto"/>
          <w:highlight w:val="none"/>
        </w:rPr>
        <w:fldChar w:fldCharType="end"/>
      </w:r>
    </w:p>
    <w:p w14:paraId="3AEE05FD">
      <w:pPr>
        <w:pStyle w:val="51"/>
        <w:rPr>
          <w:rFonts w:ascii="宋体" w:hAnsi="宋体" w:cs="宋体"/>
          <w:color w:val="auto"/>
          <w:highlight w:val="none"/>
        </w:rPr>
      </w:pPr>
    </w:p>
    <w:p w14:paraId="37565C70">
      <w:pPr>
        <w:jc w:val="center"/>
        <w:rPr>
          <w:rFonts w:ascii="宋体" w:hAnsi="宋体" w:cs="宋体"/>
          <w:b/>
          <w:color w:val="auto"/>
          <w:spacing w:val="6"/>
          <w:sz w:val="22"/>
          <w:szCs w:val="22"/>
          <w:highlight w:val="none"/>
        </w:rPr>
      </w:pPr>
      <w:r>
        <w:rPr>
          <w:rFonts w:hint="eastAsia" w:ascii="宋体" w:hAnsi="宋体" w:cs="宋体"/>
          <w:b/>
          <w:color w:val="auto"/>
          <w:spacing w:val="6"/>
          <w:sz w:val="22"/>
          <w:szCs w:val="22"/>
          <w:highlight w:val="none"/>
        </w:rPr>
        <w:t>采购活动现场确认声明书</w:t>
      </w:r>
    </w:p>
    <w:p w14:paraId="4A713A7E">
      <w:pPr>
        <w:tabs>
          <w:tab w:val="left" w:pos="795"/>
          <w:tab w:val="center" w:pos="4873"/>
        </w:tabs>
        <w:overflowPunct w:val="0"/>
        <w:spacing w:line="460" w:lineRule="exact"/>
        <w:ind w:firstLine="118" w:firstLineChars="49"/>
        <w:jc w:val="left"/>
        <w:rPr>
          <w:rFonts w:ascii="宋体" w:hAnsi="宋体" w:cs="宋体"/>
          <w:b/>
          <w:bCs/>
          <w:color w:val="auto"/>
          <w:sz w:val="24"/>
          <w:highlight w:val="none"/>
        </w:rPr>
      </w:pPr>
    </w:p>
    <w:p w14:paraId="5E0DA420">
      <w:pPr>
        <w:pStyle w:val="208"/>
        <w:widowControl w:val="0"/>
        <w:snapToGrid w:val="0"/>
        <w:spacing w:line="440" w:lineRule="exact"/>
        <w:jc w:val="both"/>
        <w:rPr>
          <w:rFonts w:hAnsi="宋体" w:cs="宋体"/>
          <w:b/>
          <w:color w:val="auto"/>
          <w:spacing w:val="6"/>
          <w:sz w:val="22"/>
          <w:szCs w:val="22"/>
          <w:highlight w:val="none"/>
          <w:u w:val="single"/>
        </w:rPr>
      </w:pPr>
      <w:r>
        <w:rPr>
          <w:rFonts w:hint="eastAsia" w:hAnsi="宋体" w:cs="宋体"/>
          <w:b/>
          <w:color w:val="auto"/>
          <w:spacing w:val="6"/>
          <w:sz w:val="22"/>
          <w:szCs w:val="22"/>
          <w:highlight w:val="none"/>
          <w:u w:val="single"/>
          <w:lang w:eastAsia="zh-CN"/>
        </w:rPr>
        <w:t xml:space="preserve">温州市鹿城区人民政府松台街道办事处 </w:t>
      </w:r>
      <w:r>
        <w:rPr>
          <w:rFonts w:hint="eastAsia" w:hAnsi="宋体" w:cs="宋体"/>
          <w:b/>
          <w:color w:val="auto"/>
          <w:spacing w:val="6"/>
          <w:sz w:val="22"/>
          <w:szCs w:val="22"/>
          <w:highlight w:val="none"/>
        </w:rPr>
        <w:t>：</w:t>
      </w:r>
    </w:p>
    <w:p w14:paraId="5671FD46">
      <w:pPr>
        <w:pStyle w:val="208"/>
        <w:widowControl w:val="0"/>
        <w:snapToGrid w:val="0"/>
        <w:spacing w:line="440" w:lineRule="exact"/>
        <w:jc w:val="both"/>
        <w:rPr>
          <w:rFonts w:hAnsi="宋体" w:cs="宋体"/>
          <w:b/>
          <w:color w:val="auto"/>
          <w:spacing w:val="6"/>
          <w:sz w:val="22"/>
          <w:szCs w:val="22"/>
          <w:highlight w:val="none"/>
          <w:u w:val="single"/>
        </w:rPr>
      </w:pPr>
      <w:r>
        <w:rPr>
          <w:rFonts w:hint="eastAsia" w:hAnsi="宋体" w:cs="宋体"/>
          <w:b/>
          <w:color w:val="auto"/>
          <w:spacing w:val="6"/>
          <w:sz w:val="22"/>
          <w:szCs w:val="22"/>
          <w:highlight w:val="none"/>
          <w:u w:val="single"/>
          <w:lang w:eastAsia="zh-CN"/>
        </w:rPr>
        <w:t>华诚工程咨询集团有限公司</w:t>
      </w:r>
      <w:r>
        <w:rPr>
          <w:rFonts w:hint="eastAsia" w:hAnsi="宋体" w:cs="宋体"/>
          <w:b/>
          <w:color w:val="auto"/>
          <w:kern w:val="0"/>
          <w:sz w:val="22"/>
          <w:szCs w:val="22"/>
          <w:highlight w:val="none"/>
        </w:rPr>
        <w:t>：</w:t>
      </w:r>
    </w:p>
    <w:p w14:paraId="6DA60443">
      <w:pPr>
        <w:pStyle w:val="208"/>
        <w:widowControl w:val="0"/>
        <w:snapToGrid w:val="0"/>
        <w:spacing w:line="440" w:lineRule="exact"/>
        <w:ind w:firstLine="464" w:firstLineChars="200"/>
        <w:jc w:val="both"/>
        <w:rPr>
          <w:rFonts w:hAnsi="宋体" w:cs="宋体"/>
          <w:color w:val="auto"/>
          <w:spacing w:val="6"/>
          <w:sz w:val="22"/>
          <w:szCs w:val="22"/>
          <w:highlight w:val="none"/>
        </w:rPr>
      </w:pPr>
      <w:r>
        <w:rPr>
          <w:rFonts w:hint="eastAsia" w:hAnsi="宋体" w:cs="宋体"/>
          <w:color w:val="auto"/>
          <w:spacing w:val="6"/>
          <w:sz w:val="22"/>
          <w:szCs w:val="22"/>
          <w:highlight w:val="none"/>
        </w:rPr>
        <w:t>本人经由</w:t>
      </w:r>
      <w:r>
        <w:rPr>
          <w:rFonts w:hint="eastAsia" w:hAnsi="宋体" w:cs="宋体"/>
          <w:color w:val="auto"/>
          <w:spacing w:val="6"/>
          <w:sz w:val="22"/>
          <w:szCs w:val="22"/>
          <w:highlight w:val="none"/>
          <w:u w:val="single"/>
        </w:rPr>
        <w:t xml:space="preserve">                       （单位）</w:t>
      </w:r>
      <w:r>
        <w:rPr>
          <w:rFonts w:hint="eastAsia" w:hAnsi="宋体" w:cs="宋体"/>
          <w:color w:val="auto"/>
          <w:spacing w:val="6"/>
          <w:sz w:val="22"/>
          <w:szCs w:val="22"/>
          <w:highlight w:val="none"/>
        </w:rPr>
        <w:t>负责人</w:t>
      </w:r>
      <w:r>
        <w:rPr>
          <w:rFonts w:hint="eastAsia" w:hAnsi="宋体" w:cs="宋体"/>
          <w:color w:val="auto"/>
          <w:spacing w:val="6"/>
          <w:sz w:val="22"/>
          <w:szCs w:val="22"/>
          <w:highlight w:val="none"/>
          <w:u w:val="single"/>
        </w:rPr>
        <w:t xml:space="preserve">          （姓名）</w:t>
      </w:r>
      <w:r>
        <w:rPr>
          <w:rFonts w:hint="eastAsia" w:hAnsi="宋体" w:cs="宋体"/>
          <w:color w:val="auto"/>
          <w:spacing w:val="6"/>
          <w:sz w:val="22"/>
          <w:szCs w:val="22"/>
          <w:highlight w:val="none"/>
        </w:rPr>
        <w:t>合法授权</w:t>
      </w:r>
      <w:r>
        <w:rPr>
          <w:rFonts w:hint="eastAsia" w:hAnsi="宋体" w:cs="宋体"/>
          <w:color w:val="auto"/>
          <w:sz w:val="22"/>
          <w:szCs w:val="22"/>
          <w:highlight w:val="none"/>
          <w:u w:val="single"/>
        </w:rPr>
        <w:t xml:space="preserve"> （项目名称） </w:t>
      </w:r>
      <w:r>
        <w:rPr>
          <w:rFonts w:hint="eastAsia" w:hAnsi="宋体" w:cs="宋体"/>
          <w:color w:val="auto"/>
          <w:spacing w:val="6"/>
          <w:sz w:val="22"/>
          <w:szCs w:val="22"/>
          <w:highlight w:val="none"/>
        </w:rPr>
        <w:t xml:space="preserve">项目（编号：）采购活动，经与本单位法人代表（负责人）联系确认，现就有关公平竞争事项郑重声明如下： </w:t>
      </w:r>
    </w:p>
    <w:p w14:paraId="2DF46D41">
      <w:pPr>
        <w:pStyle w:val="158"/>
        <w:widowControl/>
        <w:numPr>
          <w:ilvl w:val="0"/>
          <w:numId w:val="39"/>
        </w:numPr>
        <w:snapToGrid w:val="0"/>
        <w:spacing w:line="440" w:lineRule="exact"/>
        <w:ind w:firstLine="415" w:firstLineChars="189"/>
        <w:rPr>
          <w:rFonts w:ascii="宋体" w:hAnsi="宋体" w:cs="宋体"/>
          <w:color w:val="auto"/>
          <w:kern w:val="0"/>
          <w:sz w:val="22"/>
          <w:szCs w:val="22"/>
          <w:highlight w:val="none"/>
        </w:rPr>
      </w:pPr>
      <w:r>
        <w:rPr>
          <w:rFonts w:hint="eastAsia" w:ascii="宋体" w:hAnsi="宋体" w:cs="宋体"/>
          <w:color w:val="auto"/>
          <w:kern w:val="0"/>
          <w:sz w:val="22"/>
          <w:szCs w:val="22"/>
          <w:highlight w:val="none"/>
        </w:rPr>
        <w:t>本单位与采购人之间 □不存在利害关系 □存在下列利害关系：</w:t>
      </w:r>
    </w:p>
    <w:p w14:paraId="17E3E3EA">
      <w:pPr>
        <w:pStyle w:val="158"/>
        <w:widowControl/>
        <w:snapToGrid w:val="0"/>
        <w:spacing w:line="44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A.投资关系    B.行政隶属关系    C.业务指导关系</w:t>
      </w:r>
    </w:p>
    <w:p w14:paraId="3D69B22E">
      <w:pPr>
        <w:pStyle w:val="158"/>
        <w:widowControl/>
        <w:snapToGrid w:val="0"/>
        <w:spacing w:line="44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D.其他可能</w:t>
      </w:r>
      <w:r>
        <w:rPr>
          <w:rFonts w:hint="eastAsia" w:ascii="宋体" w:hAnsi="宋体" w:cs="宋体"/>
          <w:color w:val="auto"/>
          <w:sz w:val="22"/>
          <w:szCs w:val="22"/>
          <w:highlight w:val="none"/>
        </w:rPr>
        <w:t>影响采购公正的</w:t>
      </w:r>
      <w:r>
        <w:rPr>
          <w:rFonts w:hint="eastAsia" w:ascii="宋体" w:hAnsi="宋体" w:cs="宋体"/>
          <w:color w:val="auto"/>
          <w:kern w:val="0"/>
          <w:sz w:val="22"/>
          <w:szCs w:val="22"/>
          <w:highlight w:val="none"/>
        </w:rPr>
        <w:t>利害关系</w:t>
      </w:r>
      <w:r>
        <w:rPr>
          <w:rFonts w:hint="eastAsia" w:ascii="宋体" w:hAnsi="宋体" w:cs="宋体"/>
          <w:color w:val="auto"/>
          <w:kern w:val="0"/>
          <w:sz w:val="22"/>
          <w:szCs w:val="22"/>
          <w:highlight w:val="none"/>
          <w:u w:val="single"/>
        </w:rPr>
        <w:t xml:space="preserve">（如有，请如实说明）                 </w:t>
      </w:r>
      <w:r>
        <w:rPr>
          <w:rFonts w:hint="eastAsia" w:ascii="宋体" w:hAnsi="宋体" w:cs="宋体"/>
          <w:color w:val="auto"/>
          <w:kern w:val="0"/>
          <w:sz w:val="22"/>
          <w:szCs w:val="22"/>
          <w:highlight w:val="none"/>
        </w:rPr>
        <w:t>。</w:t>
      </w:r>
    </w:p>
    <w:p w14:paraId="3CAEC89C">
      <w:pPr>
        <w:pStyle w:val="158"/>
        <w:widowControl/>
        <w:snapToGrid w:val="0"/>
        <w:spacing w:line="440" w:lineRule="exact"/>
        <w:rPr>
          <w:rFonts w:ascii="宋体" w:hAnsi="宋体" w:cs="宋体"/>
          <w:color w:val="auto"/>
          <w:kern w:val="0"/>
          <w:sz w:val="22"/>
          <w:szCs w:val="22"/>
          <w:highlight w:val="none"/>
        </w:rPr>
      </w:pPr>
      <w:r>
        <w:rPr>
          <w:rFonts w:hint="eastAsia" w:ascii="宋体" w:hAnsi="宋体" w:cs="宋体"/>
          <w:color w:val="auto"/>
          <w:spacing w:val="6"/>
          <w:sz w:val="22"/>
          <w:szCs w:val="22"/>
          <w:highlight w:val="none"/>
        </w:rPr>
        <w:t xml:space="preserve">  二、</w:t>
      </w:r>
      <w:r>
        <w:rPr>
          <w:rFonts w:hint="eastAsia" w:ascii="宋体" w:hAnsi="宋体" w:cs="宋体"/>
          <w:color w:val="auto"/>
          <w:kern w:val="0"/>
          <w:sz w:val="22"/>
          <w:szCs w:val="22"/>
          <w:highlight w:val="none"/>
        </w:rPr>
        <w:t>现已清楚知道参加本项目采购活动的其他所有供应商名称，本单位 □与其他所有供应商之间均不存在利害关系 □与</w:t>
      </w:r>
      <w:r>
        <w:rPr>
          <w:rFonts w:hint="eastAsia" w:ascii="宋体" w:hAnsi="宋体" w:cs="宋体"/>
          <w:color w:val="auto"/>
          <w:kern w:val="0"/>
          <w:sz w:val="22"/>
          <w:szCs w:val="22"/>
          <w:highlight w:val="none"/>
          <w:u w:val="single"/>
        </w:rPr>
        <w:t xml:space="preserve">           （供应商名称）</w:t>
      </w:r>
      <w:r>
        <w:rPr>
          <w:rFonts w:hint="eastAsia" w:ascii="宋体" w:hAnsi="宋体" w:cs="宋体"/>
          <w:color w:val="auto"/>
          <w:kern w:val="0"/>
          <w:sz w:val="22"/>
          <w:szCs w:val="22"/>
          <w:highlight w:val="none"/>
        </w:rPr>
        <w:t>之间存在下列利害关系：</w:t>
      </w:r>
    </w:p>
    <w:p w14:paraId="1944FD68">
      <w:pPr>
        <w:pStyle w:val="208"/>
        <w:widowControl w:val="0"/>
        <w:snapToGrid w:val="0"/>
        <w:spacing w:line="440" w:lineRule="exact"/>
        <w:jc w:val="both"/>
        <w:rPr>
          <w:rFonts w:hAnsi="宋体" w:cs="宋体"/>
          <w:color w:val="auto"/>
          <w:kern w:val="0"/>
          <w:sz w:val="22"/>
          <w:szCs w:val="22"/>
          <w:highlight w:val="none"/>
        </w:rPr>
      </w:pPr>
      <w:r>
        <w:rPr>
          <w:rFonts w:hint="eastAsia" w:hAnsi="宋体" w:cs="宋体"/>
          <w:color w:val="auto"/>
          <w:kern w:val="0"/>
          <w:sz w:val="22"/>
          <w:szCs w:val="22"/>
          <w:highlight w:val="none"/>
        </w:rPr>
        <w:t xml:space="preserve">  A.法定代表人或负责人或实际控制人是同一人</w:t>
      </w:r>
    </w:p>
    <w:p w14:paraId="441D2721">
      <w:pPr>
        <w:pStyle w:val="208"/>
        <w:widowControl w:val="0"/>
        <w:snapToGrid w:val="0"/>
        <w:spacing w:line="440" w:lineRule="exact"/>
        <w:jc w:val="both"/>
        <w:rPr>
          <w:rFonts w:hAnsi="宋体" w:cs="宋体"/>
          <w:color w:val="auto"/>
          <w:spacing w:val="6"/>
          <w:sz w:val="22"/>
          <w:szCs w:val="22"/>
          <w:highlight w:val="none"/>
        </w:rPr>
      </w:pPr>
      <w:r>
        <w:rPr>
          <w:rFonts w:hint="eastAsia" w:hAnsi="宋体" w:cs="宋体"/>
          <w:color w:val="auto"/>
          <w:kern w:val="0"/>
          <w:sz w:val="22"/>
          <w:szCs w:val="22"/>
          <w:highlight w:val="none"/>
        </w:rPr>
        <w:t xml:space="preserve">  B.法定代表人或负责人或实际控制人是夫妻关系</w:t>
      </w:r>
    </w:p>
    <w:p w14:paraId="4C85B460">
      <w:pPr>
        <w:pStyle w:val="208"/>
        <w:widowControl w:val="0"/>
        <w:snapToGrid w:val="0"/>
        <w:spacing w:line="440" w:lineRule="exact"/>
        <w:jc w:val="both"/>
        <w:rPr>
          <w:rFonts w:hAnsi="宋体" w:cs="宋体"/>
          <w:color w:val="auto"/>
          <w:spacing w:val="6"/>
          <w:sz w:val="22"/>
          <w:szCs w:val="22"/>
          <w:highlight w:val="none"/>
        </w:rPr>
      </w:pPr>
      <w:r>
        <w:rPr>
          <w:rFonts w:hint="eastAsia" w:hAnsi="宋体" w:cs="宋体"/>
          <w:color w:val="auto"/>
          <w:kern w:val="0"/>
          <w:sz w:val="22"/>
          <w:szCs w:val="22"/>
          <w:highlight w:val="none"/>
        </w:rPr>
        <w:t xml:space="preserve">  C.法定代表人或负责人或实际控制人是直系血亲关系</w:t>
      </w:r>
    </w:p>
    <w:p w14:paraId="29484C55">
      <w:pPr>
        <w:pStyle w:val="208"/>
        <w:widowControl w:val="0"/>
        <w:snapToGrid w:val="0"/>
        <w:spacing w:line="440" w:lineRule="exact"/>
        <w:jc w:val="both"/>
        <w:rPr>
          <w:rFonts w:hAnsi="宋体" w:cs="宋体"/>
          <w:color w:val="auto"/>
          <w:spacing w:val="6"/>
          <w:sz w:val="22"/>
          <w:szCs w:val="22"/>
          <w:highlight w:val="none"/>
        </w:rPr>
      </w:pPr>
      <w:r>
        <w:rPr>
          <w:rFonts w:hint="eastAsia" w:hAnsi="宋体" w:cs="宋体"/>
          <w:color w:val="auto"/>
          <w:kern w:val="0"/>
          <w:sz w:val="22"/>
          <w:szCs w:val="22"/>
          <w:highlight w:val="none"/>
        </w:rPr>
        <w:t xml:space="preserve">  D.法定代表人或负责人或实际控制人存在三代以内旁系血亲关系</w:t>
      </w:r>
    </w:p>
    <w:p w14:paraId="11E2FAD9">
      <w:pPr>
        <w:pStyle w:val="208"/>
        <w:widowControl w:val="0"/>
        <w:snapToGrid w:val="0"/>
        <w:spacing w:line="440" w:lineRule="exact"/>
        <w:jc w:val="both"/>
        <w:rPr>
          <w:rFonts w:hAnsi="宋体" w:cs="宋体"/>
          <w:color w:val="auto"/>
          <w:kern w:val="0"/>
          <w:sz w:val="22"/>
          <w:szCs w:val="22"/>
          <w:highlight w:val="none"/>
        </w:rPr>
      </w:pPr>
      <w:r>
        <w:rPr>
          <w:rFonts w:hint="eastAsia" w:hAnsi="宋体" w:cs="宋体"/>
          <w:color w:val="auto"/>
          <w:kern w:val="0"/>
          <w:sz w:val="22"/>
          <w:szCs w:val="22"/>
          <w:highlight w:val="none"/>
        </w:rPr>
        <w:t xml:space="preserve">  E.法定代表人或负责人或实际控制人存在近姻亲关系</w:t>
      </w:r>
    </w:p>
    <w:p w14:paraId="7DB85EB5">
      <w:pPr>
        <w:pStyle w:val="208"/>
        <w:widowControl w:val="0"/>
        <w:snapToGrid w:val="0"/>
        <w:spacing w:line="440" w:lineRule="exact"/>
        <w:jc w:val="both"/>
        <w:rPr>
          <w:rFonts w:hAnsi="宋体" w:cs="宋体"/>
          <w:color w:val="auto"/>
          <w:kern w:val="0"/>
          <w:sz w:val="22"/>
          <w:szCs w:val="22"/>
          <w:highlight w:val="none"/>
        </w:rPr>
      </w:pPr>
      <w:r>
        <w:rPr>
          <w:rFonts w:hint="eastAsia" w:hAnsi="宋体" w:cs="宋体"/>
          <w:color w:val="auto"/>
          <w:kern w:val="0"/>
          <w:sz w:val="22"/>
          <w:szCs w:val="22"/>
          <w:highlight w:val="none"/>
        </w:rPr>
        <w:t xml:space="preserve">  F.法定代表人或负责人或实际控制人存在股份控制或实际控制关系</w:t>
      </w:r>
    </w:p>
    <w:p w14:paraId="778392E6">
      <w:pPr>
        <w:pStyle w:val="208"/>
        <w:widowControl w:val="0"/>
        <w:snapToGrid w:val="0"/>
        <w:spacing w:line="440" w:lineRule="exact"/>
        <w:jc w:val="both"/>
        <w:outlineLvl w:val="0"/>
        <w:rPr>
          <w:rFonts w:hAnsi="宋体" w:cs="宋体"/>
          <w:color w:val="auto"/>
          <w:kern w:val="0"/>
          <w:sz w:val="22"/>
          <w:szCs w:val="22"/>
          <w:highlight w:val="none"/>
        </w:rPr>
      </w:pPr>
      <w:bookmarkStart w:id="224" w:name="_Toc63"/>
      <w:bookmarkStart w:id="225" w:name="_Toc17819"/>
      <w:r>
        <w:rPr>
          <w:rFonts w:hint="eastAsia" w:hAnsi="宋体" w:cs="宋体"/>
          <w:color w:val="auto"/>
          <w:kern w:val="0"/>
          <w:sz w:val="22"/>
          <w:szCs w:val="22"/>
          <w:highlight w:val="none"/>
        </w:rPr>
        <w:t>G.存在共同直接或间接投资设立子公司、联营企业和合营企业情况</w:t>
      </w:r>
      <w:bookmarkEnd w:id="224"/>
      <w:bookmarkEnd w:id="225"/>
    </w:p>
    <w:p w14:paraId="75019785">
      <w:pPr>
        <w:pStyle w:val="208"/>
        <w:widowControl w:val="0"/>
        <w:snapToGrid w:val="0"/>
        <w:spacing w:line="440" w:lineRule="exact"/>
        <w:jc w:val="both"/>
        <w:rPr>
          <w:rFonts w:hAnsi="宋体" w:cs="宋体"/>
          <w:color w:val="auto"/>
          <w:sz w:val="22"/>
          <w:szCs w:val="22"/>
          <w:highlight w:val="none"/>
        </w:rPr>
      </w:pPr>
      <w:r>
        <w:rPr>
          <w:rFonts w:hint="eastAsia" w:hAnsi="宋体" w:cs="宋体"/>
          <w:color w:val="auto"/>
          <w:kern w:val="0"/>
          <w:sz w:val="22"/>
          <w:szCs w:val="22"/>
          <w:highlight w:val="none"/>
        </w:rPr>
        <w:t xml:space="preserve">  H.存在分级代理或代销关系、同一生产制造商关系、</w:t>
      </w:r>
      <w:r>
        <w:rPr>
          <w:rFonts w:hint="eastAsia" w:hAnsi="宋体" w:cs="宋体"/>
          <w:color w:val="auto"/>
          <w:sz w:val="22"/>
          <w:szCs w:val="22"/>
          <w:highlight w:val="none"/>
        </w:rPr>
        <w:t>管理关系、重要业务（占主营业务收入50%以上）或重要财务往来关系（如融资）等其他实质性控制关系</w:t>
      </w:r>
    </w:p>
    <w:p w14:paraId="4B1BFB94">
      <w:pPr>
        <w:pStyle w:val="208"/>
        <w:widowControl w:val="0"/>
        <w:snapToGrid w:val="0"/>
        <w:spacing w:line="440" w:lineRule="exact"/>
        <w:jc w:val="both"/>
        <w:rPr>
          <w:rFonts w:hAnsi="宋体" w:cs="宋体"/>
          <w:color w:val="auto"/>
          <w:spacing w:val="6"/>
          <w:sz w:val="22"/>
          <w:szCs w:val="22"/>
          <w:highlight w:val="none"/>
        </w:rPr>
      </w:pPr>
      <w:r>
        <w:rPr>
          <w:rFonts w:hint="eastAsia" w:hAnsi="宋体" w:cs="宋体"/>
          <w:color w:val="auto"/>
          <w:sz w:val="22"/>
          <w:szCs w:val="22"/>
          <w:highlight w:val="none"/>
        </w:rPr>
        <w:t xml:space="preserve">  I</w:t>
      </w:r>
      <w:r>
        <w:rPr>
          <w:rFonts w:hint="eastAsia" w:hAnsi="宋体" w:cs="宋体"/>
          <w:color w:val="auto"/>
          <w:kern w:val="0"/>
          <w:sz w:val="22"/>
          <w:szCs w:val="22"/>
          <w:highlight w:val="none"/>
        </w:rPr>
        <w:t>.</w:t>
      </w:r>
      <w:r>
        <w:rPr>
          <w:rFonts w:hint="eastAsia" w:hAnsi="宋体" w:cs="宋体"/>
          <w:color w:val="auto"/>
          <w:sz w:val="22"/>
          <w:szCs w:val="22"/>
          <w:highlight w:val="none"/>
        </w:rPr>
        <w:t>其他利害关系情况</w:t>
      </w:r>
      <w:r>
        <w:rPr>
          <w:rFonts w:hint="eastAsia" w:hAnsi="宋体" w:cs="宋体"/>
          <w:color w:val="auto"/>
          <w:kern w:val="0"/>
          <w:sz w:val="22"/>
          <w:szCs w:val="22"/>
          <w:highlight w:val="none"/>
        </w:rPr>
        <w:t>。</w:t>
      </w:r>
    </w:p>
    <w:p w14:paraId="25B9FC97">
      <w:pPr>
        <w:pStyle w:val="158"/>
        <w:widowControl/>
        <w:numPr>
          <w:ilvl w:val="0"/>
          <w:numId w:val="40"/>
        </w:numPr>
        <w:snapToGrid w:val="0"/>
        <w:spacing w:line="440" w:lineRule="exact"/>
        <w:ind w:firstLine="415" w:firstLineChars="189"/>
        <w:rPr>
          <w:rFonts w:ascii="宋体" w:hAnsi="宋体" w:cs="宋体"/>
          <w:color w:val="auto"/>
          <w:kern w:val="0"/>
          <w:sz w:val="22"/>
          <w:szCs w:val="22"/>
          <w:highlight w:val="none"/>
        </w:rPr>
      </w:pPr>
      <w:r>
        <w:rPr>
          <w:rFonts w:hint="eastAsia" w:ascii="宋体" w:hAnsi="宋体" w:cs="宋体"/>
          <w:color w:val="auto"/>
          <w:sz w:val="22"/>
          <w:szCs w:val="22"/>
          <w:highlight w:val="none"/>
        </w:rPr>
        <w:t>现已清楚知道并</w:t>
      </w:r>
      <w:r>
        <w:rPr>
          <w:rFonts w:hint="eastAsia" w:ascii="宋体" w:hAnsi="宋体" w:cs="宋体"/>
          <w:color w:val="auto"/>
          <w:kern w:val="0"/>
          <w:sz w:val="22"/>
          <w:szCs w:val="22"/>
          <w:highlight w:val="none"/>
        </w:rPr>
        <w:t>严格遵守采购法律法规和现场纪律。</w:t>
      </w:r>
    </w:p>
    <w:p w14:paraId="546963F3">
      <w:pPr>
        <w:pStyle w:val="158"/>
        <w:widowControl/>
        <w:numPr>
          <w:ilvl w:val="0"/>
          <w:numId w:val="40"/>
        </w:numPr>
        <w:snapToGrid w:val="0"/>
        <w:spacing w:line="440" w:lineRule="exact"/>
        <w:ind w:firstLine="415" w:firstLineChars="189"/>
        <w:rPr>
          <w:rFonts w:ascii="宋体" w:hAnsi="宋体" w:cs="宋体"/>
          <w:color w:val="auto"/>
          <w:kern w:val="0"/>
          <w:sz w:val="22"/>
          <w:szCs w:val="22"/>
          <w:highlight w:val="none"/>
        </w:rPr>
      </w:pPr>
      <w:r>
        <w:rPr>
          <w:rFonts w:hint="eastAsia" w:ascii="宋体" w:hAnsi="宋体" w:cs="宋体"/>
          <w:color w:val="auto"/>
          <w:kern w:val="0"/>
          <w:sz w:val="22"/>
          <w:szCs w:val="22"/>
          <w:highlight w:val="none"/>
        </w:rPr>
        <w:t>我发现供应商之间存在或可能存在上述第二条第项利害关系。</w:t>
      </w:r>
    </w:p>
    <w:p w14:paraId="6ABF5016">
      <w:pPr>
        <w:pStyle w:val="208"/>
        <w:widowControl w:val="0"/>
        <w:snapToGrid w:val="0"/>
        <w:spacing w:line="440" w:lineRule="exact"/>
        <w:ind w:firstLine="440" w:firstLineChars="200"/>
        <w:jc w:val="both"/>
        <w:rPr>
          <w:rFonts w:hAnsi="宋体" w:cs="宋体"/>
          <w:color w:val="auto"/>
          <w:sz w:val="22"/>
          <w:szCs w:val="22"/>
          <w:highlight w:val="none"/>
        </w:rPr>
      </w:pPr>
    </w:p>
    <w:p w14:paraId="77C036E2">
      <w:pPr>
        <w:pStyle w:val="208"/>
        <w:widowControl w:val="0"/>
        <w:snapToGrid w:val="0"/>
        <w:spacing w:line="440" w:lineRule="exact"/>
        <w:ind w:firstLine="440" w:firstLineChars="200"/>
        <w:jc w:val="both"/>
        <w:rPr>
          <w:rFonts w:hAnsi="宋体" w:cs="宋体"/>
          <w:color w:val="auto"/>
          <w:sz w:val="22"/>
          <w:szCs w:val="22"/>
          <w:highlight w:val="none"/>
        </w:rPr>
      </w:pPr>
      <w:r>
        <w:rPr>
          <w:rFonts w:hint="eastAsia" w:hAnsi="宋体" w:cs="宋体"/>
          <w:color w:val="auto"/>
          <w:sz w:val="22"/>
          <w:szCs w:val="22"/>
          <w:highlight w:val="none"/>
        </w:rPr>
        <w:t xml:space="preserve">                                供应商代表签名：</w:t>
      </w:r>
    </w:p>
    <w:p w14:paraId="010247E4">
      <w:pPr>
        <w:pStyle w:val="208"/>
        <w:widowControl w:val="0"/>
        <w:snapToGrid w:val="0"/>
        <w:spacing w:line="440" w:lineRule="exact"/>
        <w:ind w:firstLine="440" w:firstLineChars="200"/>
        <w:jc w:val="both"/>
        <w:rPr>
          <w:rFonts w:hAnsi="宋体" w:cs="宋体"/>
          <w:color w:val="auto"/>
          <w:sz w:val="22"/>
          <w:szCs w:val="22"/>
          <w:highlight w:val="none"/>
        </w:rPr>
      </w:pPr>
      <w:r>
        <w:rPr>
          <w:rFonts w:hint="eastAsia" w:hAnsi="宋体" w:cs="宋体"/>
          <w:color w:val="auto"/>
          <w:sz w:val="22"/>
          <w:szCs w:val="22"/>
          <w:highlight w:val="none"/>
        </w:rPr>
        <w:t xml:space="preserve">                                    年   月   日</w:t>
      </w:r>
    </w:p>
    <w:p w14:paraId="7B32DC07">
      <w:pPr>
        <w:spacing w:line="440" w:lineRule="exact"/>
        <w:ind w:left="439" w:leftChars="209"/>
        <w:rPr>
          <w:rFonts w:ascii="宋体" w:hAnsi="宋体" w:cs="宋体"/>
          <w:color w:val="auto"/>
          <w:sz w:val="22"/>
          <w:szCs w:val="22"/>
          <w:highlight w:val="none"/>
        </w:rPr>
      </w:pPr>
    </w:p>
    <w:sectPr>
      <w:headerReference r:id="rId14" w:type="default"/>
      <w:footerReference r:id="rId15" w:type="default"/>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DFKai-SB">
    <w:altName w:val="Microsoft JhengHei Light"/>
    <w:panose1 w:val="03000509000000000000"/>
    <w:charset w:val="88"/>
    <w:family w:val="script"/>
    <w:pitch w:val="default"/>
    <w:sig w:usb0="00000000" w:usb1="00000000" w:usb2="00000016" w:usb3="00000000" w:csb0="00100001"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方正黑体简体">
    <w:altName w:val="黑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MingLiUfalt">
    <w:altName w:val="MingLiU-ExtB"/>
    <w:panose1 w:val="00000000000000000000"/>
    <w:charset w:val="88"/>
    <w:family w:val="modern"/>
    <w:pitch w:val="default"/>
    <w:sig w:usb0="00000000" w:usb1="00000000" w:usb2="00000010" w:usb3="00000000" w:csb0="00100000"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C5F8C">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C6217A0">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2C6217A0">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DC8CE">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A4E88">
    <w:pPr>
      <w:pStyle w:val="28"/>
      <w:tabs>
        <w:tab w:val="clear" w:pos="4153"/>
      </w:tabs>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EA95CF9">
                          <w:pPr>
                            <w:pStyle w:val="2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fill on="f" focussize="0,0"/>
              <v:stroke on="f" weight="0.5pt"/>
              <v:imagedata o:title=""/>
              <o:lock v:ext="edit" aspectratio="f"/>
              <v:textbox inset="0mm,0mm,0mm,0mm" style="mso-fit-shape-to-text:t;">
                <w:txbxContent>
                  <w:p w14:paraId="2EA95CF9">
                    <w:pPr>
                      <w:pStyle w:val="28"/>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8142D09">
                          <w:pPr>
                            <w:pStyle w:val="2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48142D09">
                    <w:pPr>
                      <w:pStyle w:val="28"/>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C8BE3">
    <w:pPr>
      <w:pStyle w:val="28"/>
      <w:pBdr>
        <w:top w:val="single" w:color="auto" w:sz="4" w:space="1"/>
      </w:pBdr>
      <w:tabs>
        <w:tab w:val="center" w:pos="4820"/>
        <w:tab w:val="right" w:pos="9498"/>
        <w:tab w:val="clear" w:pos="4153"/>
        <w:tab w:val="clear" w:pos="8306"/>
      </w:tabs>
      <w:rPr>
        <w:rFonts w:hint="eastAsia" w:eastAsia="宋体"/>
        <w:lang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AB63AF1">
                          <w:pPr>
                            <w:pStyle w:val="28"/>
                            <w:pBdr>
                              <w:top w:val="single" w:color="auto" w:sz="4" w:space="1"/>
                            </w:pBdr>
                            <w:tabs>
                              <w:tab w:val="center" w:pos="4820"/>
                              <w:tab w:val="right" w:pos="9498"/>
                              <w:tab w:val="clear" w:pos="4153"/>
                              <w:tab w:val="clear" w:pos="8306"/>
                            </w:tabs>
                          </w:pPr>
                          <w:r>
                            <w:tab/>
                          </w:r>
                          <w:r>
                            <w:fldChar w:fldCharType="begin"/>
                          </w:r>
                          <w:r>
                            <w:instrText xml:space="preserve">PAGE   \* MERGEFORMAT</w:instrText>
                          </w:r>
                          <w:r>
                            <w:fldChar w:fldCharType="separate"/>
                          </w:r>
                          <w:r>
                            <w:rPr>
                              <w:lang w:val="zh-CN"/>
                            </w:rPr>
                            <w:t>2</w:t>
                          </w:r>
                          <w:r>
                            <w:fldChar w:fldCharType="end"/>
                          </w:r>
                          <w:r>
                            <w:tab/>
                          </w:r>
                          <w:r>
                            <w:rPr>
                              <w:rFonts w:hint="eastAsia" w:ascii="楷体_GB2312" w:eastAsia="楷体_GB2312"/>
                              <w:lang w:eastAsia="zh-CN"/>
                            </w:rPr>
                            <w:t>华诚工程咨询集团有限公司</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1AB63AF1">
                    <w:pPr>
                      <w:pStyle w:val="28"/>
                      <w:pBdr>
                        <w:top w:val="single" w:color="auto" w:sz="4" w:space="1"/>
                      </w:pBdr>
                      <w:tabs>
                        <w:tab w:val="center" w:pos="4820"/>
                        <w:tab w:val="right" w:pos="9498"/>
                        <w:tab w:val="clear" w:pos="4153"/>
                        <w:tab w:val="clear" w:pos="8306"/>
                      </w:tabs>
                    </w:pPr>
                    <w:r>
                      <w:tab/>
                    </w:r>
                    <w:r>
                      <w:fldChar w:fldCharType="begin"/>
                    </w:r>
                    <w:r>
                      <w:instrText xml:space="preserve">PAGE   \* MERGEFORMAT</w:instrText>
                    </w:r>
                    <w:r>
                      <w:fldChar w:fldCharType="separate"/>
                    </w:r>
                    <w:r>
                      <w:rPr>
                        <w:lang w:val="zh-CN"/>
                      </w:rPr>
                      <w:t>2</w:t>
                    </w:r>
                    <w:r>
                      <w:fldChar w:fldCharType="end"/>
                    </w:r>
                    <w:r>
                      <w:tab/>
                    </w:r>
                    <w:r>
                      <w:rPr>
                        <w:rFonts w:hint="eastAsia" w:ascii="楷体_GB2312" w:eastAsia="楷体_GB2312"/>
                        <w:lang w:eastAsia="zh-CN"/>
                      </w:rPr>
                      <w:t>华诚工程咨询集团有限公司</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773F4">
    <w:pPr>
      <w:pStyle w:val="28"/>
      <w:pBdr>
        <w:top w:val="single" w:color="auto" w:sz="4" w:space="1"/>
        <w:left w:val="none" w:color="auto" w:sz="0" w:space="4"/>
        <w:bottom w:val="none" w:color="auto" w:sz="0" w:space="1"/>
        <w:right w:val="none" w:color="auto" w:sz="0" w:space="4"/>
      </w:pBdr>
      <w:tabs>
        <w:tab w:val="clear" w:pos="4153"/>
        <w:tab w:val="clear" w:pos="8306"/>
      </w:tabs>
      <w:rPr>
        <w:rFonts w:hint="eastAsia" w:eastAsia="宋体"/>
        <w:lang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E5ECA03">
                          <w:pPr>
                            <w:pStyle w:val="28"/>
                            <w:pBdr>
                              <w:top w:val="single" w:color="auto" w:sz="4" w:space="1"/>
                              <w:left w:val="none" w:color="auto" w:sz="0" w:space="4"/>
                              <w:bottom w:val="none" w:color="auto" w:sz="0" w:space="1"/>
                              <w:right w:val="none" w:color="auto" w:sz="0" w:space="4"/>
                            </w:pBdr>
                            <w:tabs>
                              <w:tab w:val="clear" w:pos="4153"/>
                              <w:tab w:val="clear" w:pos="8306"/>
                            </w:tabs>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fldChar w:fldCharType="begin"/>
                          </w:r>
                          <w:r>
                            <w:instrText xml:space="preserve">PAGE   \* MERGEFORMAT</w:instrText>
                          </w:r>
                          <w:r>
                            <w:fldChar w:fldCharType="separate"/>
                          </w:r>
                          <w:r>
                            <w:rPr>
                              <w:lang w:val="zh-CN"/>
                            </w:rPr>
                            <w:t>2</w:t>
                          </w:r>
                          <w:r>
                            <w:fldChar w:fldCharType="end"/>
                          </w:r>
                          <w:r>
                            <w:tab/>
                          </w:r>
                          <w:r>
                            <w:rPr>
                              <w:rFonts w:hint="eastAsia"/>
                            </w:rPr>
                            <w:tab/>
                          </w:r>
                          <w:r>
                            <w:rPr>
                              <w:rFonts w:hint="eastAsia"/>
                            </w:rPr>
                            <w:tab/>
                          </w:r>
                          <w:r>
                            <w:rPr>
                              <w:rFonts w:hint="eastAsia"/>
                            </w:rPr>
                            <w:tab/>
                          </w:r>
                          <w:r>
                            <w:rPr>
                              <w:rFonts w:hint="eastAsia"/>
                            </w:rPr>
                            <w:tab/>
                          </w:r>
                          <w:r>
                            <w:rPr>
                              <w:rFonts w:hint="eastAsia" w:ascii="楷体_GB2312" w:eastAsia="楷体_GB2312"/>
                              <w:lang w:eastAsia="zh-CN"/>
                            </w:rPr>
                            <w:t>华诚工程咨询集团有限公司</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14:paraId="3E5ECA03">
                    <w:pPr>
                      <w:pStyle w:val="28"/>
                      <w:pBdr>
                        <w:top w:val="single" w:color="auto" w:sz="4" w:space="1"/>
                        <w:left w:val="none" w:color="auto" w:sz="0" w:space="4"/>
                        <w:bottom w:val="none" w:color="auto" w:sz="0" w:space="1"/>
                        <w:right w:val="none" w:color="auto" w:sz="0" w:space="4"/>
                      </w:pBdr>
                      <w:tabs>
                        <w:tab w:val="clear" w:pos="4153"/>
                        <w:tab w:val="clear" w:pos="8306"/>
                      </w:tabs>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fldChar w:fldCharType="begin"/>
                    </w:r>
                    <w:r>
                      <w:instrText xml:space="preserve">PAGE   \* MERGEFORMAT</w:instrText>
                    </w:r>
                    <w:r>
                      <w:fldChar w:fldCharType="separate"/>
                    </w:r>
                    <w:r>
                      <w:rPr>
                        <w:lang w:val="zh-CN"/>
                      </w:rPr>
                      <w:t>2</w:t>
                    </w:r>
                    <w:r>
                      <w:fldChar w:fldCharType="end"/>
                    </w:r>
                    <w:r>
                      <w:tab/>
                    </w:r>
                    <w:r>
                      <w:rPr>
                        <w:rFonts w:hint="eastAsia"/>
                      </w:rPr>
                      <w:tab/>
                    </w:r>
                    <w:r>
                      <w:rPr>
                        <w:rFonts w:hint="eastAsia"/>
                      </w:rPr>
                      <w:tab/>
                    </w:r>
                    <w:r>
                      <w:rPr>
                        <w:rFonts w:hint="eastAsia"/>
                      </w:rPr>
                      <w:tab/>
                    </w:r>
                    <w:r>
                      <w:rPr>
                        <w:rFonts w:hint="eastAsia"/>
                      </w:rPr>
                      <w:tab/>
                    </w:r>
                    <w:r>
                      <w:rPr>
                        <w:rFonts w:hint="eastAsia" w:ascii="楷体_GB2312" w:eastAsia="楷体_GB2312"/>
                        <w:lang w:eastAsia="zh-CN"/>
                      </w:rPr>
                      <w:t>华诚工程咨询集团有限公司</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D29ED">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EE3B984">
                          <w:pP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lang w:val="zh-CN"/>
                            </w:rPr>
                            <w:t>21</w:t>
                          </w:r>
                          <w:r>
                            <w:rPr>
                              <w:sz w:val="18"/>
                              <w:szCs w:val="18"/>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5EE3B984">
                    <w:pP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lang w:val="zh-CN"/>
                      </w:rPr>
                      <w:t>21</w:t>
                    </w:r>
                    <w:r>
                      <w:rPr>
                        <w:sz w:val="18"/>
                        <w:szCs w:val="18"/>
                        <w:lang w:val="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72C90">
    <w:pPr>
      <w:pStyle w:val="28"/>
      <w:framePr w:wrap="around" w:vAnchor="text" w:hAnchor="margin" w:xAlign="center" w:y="1"/>
      <w:pBdr>
        <w:bottom w:val="single" w:color="auto" w:sz="6" w:space="3"/>
      </w:pBdr>
      <w:rPr>
        <w:rStyle w:val="44"/>
      </w:rPr>
    </w:pPr>
    <w:r>
      <w:rPr>
        <w:rStyle w:val="44"/>
      </w:rPr>
      <w:fldChar w:fldCharType="begin"/>
    </w:r>
    <w:r>
      <w:rPr>
        <w:rStyle w:val="44"/>
      </w:rPr>
      <w:instrText xml:space="preserve">PAGE  </w:instrText>
    </w:r>
    <w:r>
      <w:rPr>
        <w:rStyle w:val="44"/>
      </w:rPr>
      <w:fldChar w:fldCharType="end"/>
    </w:r>
  </w:p>
  <w:p w14:paraId="25905972">
    <w:pPr>
      <w:pStyle w:val="28"/>
      <w:pBdr>
        <w:bottom w:val="single" w:color="auto" w:sz="6" w:space="3"/>
      </w:pBd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55FBD">
    <w:pPr>
      <w:pStyle w:val="28"/>
      <w:tabs>
        <w:tab w:val="clear" w:pos="4153"/>
      </w:tabs>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AF98C26">
                          <w:pPr>
                            <w:pStyle w:val="2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1u+M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pbW74zgCAABxBAAADgAAAAAAAAABACAAAAAfAQAAZHJzL2Uyb0RvYy54&#10;bWxQSwUGAAAAAAYABgBZAQAAyQUAAAAA&#10;">
              <v:fill on="f" focussize="0,0"/>
              <v:stroke on="f" weight="0.5pt"/>
              <v:imagedata o:title=""/>
              <o:lock v:ext="edit" aspectratio="f"/>
              <v:textbox inset="0mm,0mm,0mm,0mm" style="mso-fit-shape-to-text:t;">
                <w:txbxContent>
                  <w:p w14:paraId="5AF98C26">
                    <w:pPr>
                      <w:pStyle w:val="28"/>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F1934A6">
                          <w:pPr>
                            <w:pStyle w:val="2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14:paraId="4F1934A6">
                    <w:pPr>
                      <w:pStyle w:val="28"/>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E1D23">
    <w:pPr>
      <w:pStyle w:val="28"/>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38CD88B">
                          <w:pPr>
                            <w:pStyle w:val="28"/>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538CD88B">
                    <w:pPr>
                      <w:pStyle w:val="28"/>
                    </w:pPr>
                    <w:r>
                      <w:fldChar w:fldCharType="begin"/>
                    </w:r>
                    <w:r>
                      <w:instrText xml:space="preserve"> PAGE  \* MERGEFORMAT </w:instrText>
                    </w:r>
                    <w:r>
                      <w:fldChar w:fldCharType="separate"/>
                    </w:r>
                    <w: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936DB">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6A02C">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FBF39">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FE598">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5ECE2"/>
    <w:multiLevelType w:val="singleLevel"/>
    <w:tmpl w:val="80A5ECE2"/>
    <w:lvl w:ilvl="0" w:tentative="0">
      <w:start w:val="1"/>
      <w:numFmt w:val="decimal"/>
      <w:lvlText w:val="(%1)"/>
      <w:lvlJc w:val="left"/>
      <w:pPr>
        <w:ind w:left="425" w:hanging="425"/>
      </w:pPr>
      <w:rPr>
        <w:rFonts w:hint="default" w:cs="Times New Roman"/>
      </w:rPr>
    </w:lvl>
  </w:abstractNum>
  <w:abstractNum w:abstractNumId="1">
    <w:nsid w:val="84C0E346"/>
    <w:multiLevelType w:val="multilevel"/>
    <w:tmpl w:val="84C0E346"/>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6.%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2">
    <w:nsid w:val="89A0DEE1"/>
    <w:multiLevelType w:val="singleLevel"/>
    <w:tmpl w:val="89A0DEE1"/>
    <w:lvl w:ilvl="0" w:tentative="0">
      <w:start w:val="1"/>
      <w:numFmt w:val="decimal"/>
      <w:lvlText w:val="(%1)"/>
      <w:lvlJc w:val="left"/>
      <w:pPr>
        <w:ind w:left="425" w:hanging="425"/>
      </w:pPr>
      <w:rPr>
        <w:rFonts w:hint="default"/>
      </w:rPr>
    </w:lvl>
  </w:abstractNum>
  <w:abstractNum w:abstractNumId="3">
    <w:nsid w:val="8BA18F3F"/>
    <w:multiLevelType w:val="multilevel"/>
    <w:tmpl w:val="8BA18F3F"/>
    <w:lvl w:ilvl="0" w:tentative="0">
      <w:start w:val="1"/>
      <w:numFmt w:val="decimal"/>
      <w:lvlText w:val="%1."/>
      <w:lvlJc w:val="left"/>
      <w:pPr>
        <w:tabs>
          <w:tab w:val="left" w:pos="562"/>
        </w:tabs>
        <w:ind w:left="562" w:hanging="420"/>
      </w:pPr>
      <w:rPr>
        <w:rFonts w:hint="eastAsia" w:ascii="楷体_GB2312" w:hAnsi="Arial" w:eastAsia="楷体_GB2312" w:cs="Arial"/>
      </w:rPr>
    </w:lvl>
    <w:lvl w:ilvl="1" w:tentative="0">
      <w:start w:val="0"/>
      <w:numFmt w:val="none"/>
      <w:lvlText w:val=""/>
      <w:lvlJc w:val="left"/>
      <w:pPr>
        <w:tabs>
          <w:tab w:val="left" w:pos="360"/>
        </w:tabs>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none"/>
      <w:lvlText w:val=""/>
      <w:lvlJc w:val="left"/>
      <w:pPr>
        <w:tabs>
          <w:tab w:val="left" w:pos="360"/>
        </w:tabs>
      </w:pPr>
      <w:rPr>
        <w:rFonts w:cs="Times New Roman"/>
      </w:rPr>
    </w:lvl>
    <w:lvl w:ilvl="5" w:tentative="0">
      <w:start w:val="0"/>
      <w:numFmt w:val="none"/>
      <w:lvlText w:val=""/>
      <w:lvlJc w:val="left"/>
      <w:pPr>
        <w:tabs>
          <w:tab w:val="left" w:pos="360"/>
        </w:tabs>
      </w:pPr>
      <w:rPr>
        <w:rFonts w:cs="Times New Roman"/>
      </w:rPr>
    </w:lvl>
    <w:lvl w:ilvl="6" w:tentative="0">
      <w:start w:val="0"/>
      <w:numFmt w:val="none"/>
      <w:lvlText w:val=""/>
      <w:lvlJc w:val="left"/>
      <w:pPr>
        <w:tabs>
          <w:tab w:val="left" w:pos="360"/>
        </w:tabs>
      </w:pPr>
      <w:rPr>
        <w:rFonts w:cs="Times New Roman"/>
      </w:rPr>
    </w:lvl>
    <w:lvl w:ilvl="7" w:tentative="0">
      <w:start w:val="0"/>
      <w:numFmt w:val="none"/>
      <w:lvlText w:val=""/>
      <w:lvlJc w:val="left"/>
      <w:pPr>
        <w:tabs>
          <w:tab w:val="left" w:pos="360"/>
        </w:tabs>
      </w:pPr>
      <w:rPr>
        <w:rFonts w:cs="Times New Roman"/>
      </w:rPr>
    </w:lvl>
    <w:lvl w:ilvl="8" w:tentative="0">
      <w:start w:val="0"/>
      <w:numFmt w:val="none"/>
      <w:lvlText w:val=""/>
      <w:lvlJc w:val="left"/>
      <w:pPr>
        <w:tabs>
          <w:tab w:val="left" w:pos="360"/>
        </w:tabs>
      </w:pPr>
      <w:rPr>
        <w:rFonts w:cs="Times New Roman"/>
      </w:rPr>
    </w:lvl>
  </w:abstractNum>
  <w:abstractNum w:abstractNumId="4">
    <w:nsid w:val="A8BB8B81"/>
    <w:multiLevelType w:val="singleLevel"/>
    <w:tmpl w:val="A8BB8B81"/>
    <w:lvl w:ilvl="0" w:tentative="0">
      <w:start w:val="1"/>
      <w:numFmt w:val="decimal"/>
      <w:lvlText w:val="(%1)"/>
      <w:lvlJc w:val="left"/>
      <w:pPr>
        <w:ind w:left="425" w:hanging="425"/>
      </w:pPr>
      <w:rPr>
        <w:rFonts w:hint="default" w:cs="Times New Roman"/>
      </w:rPr>
    </w:lvl>
  </w:abstractNum>
  <w:abstractNum w:abstractNumId="5">
    <w:nsid w:val="B319288F"/>
    <w:multiLevelType w:val="singleLevel"/>
    <w:tmpl w:val="B319288F"/>
    <w:lvl w:ilvl="0" w:tentative="0">
      <w:start w:val="1"/>
      <w:numFmt w:val="decimalEnclosedCircleChinese"/>
      <w:suff w:val="nothing"/>
      <w:lvlText w:val="%1　"/>
      <w:lvlJc w:val="left"/>
      <w:pPr>
        <w:ind w:left="0" w:firstLine="400"/>
      </w:pPr>
      <w:rPr>
        <w:rFonts w:hint="eastAsia"/>
      </w:rPr>
    </w:lvl>
  </w:abstractNum>
  <w:abstractNum w:abstractNumId="6">
    <w:nsid w:val="BB45D9BF"/>
    <w:multiLevelType w:val="multilevel"/>
    <w:tmpl w:val="BB45D9BF"/>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7">
    <w:nsid w:val="BD456B7D"/>
    <w:multiLevelType w:val="singleLevel"/>
    <w:tmpl w:val="BD456B7D"/>
    <w:lvl w:ilvl="0" w:tentative="0">
      <w:start w:val="1"/>
      <w:numFmt w:val="decimalEnclosedCircleChinese"/>
      <w:suff w:val="nothing"/>
      <w:lvlText w:val="%1　"/>
      <w:lvlJc w:val="left"/>
      <w:pPr>
        <w:ind w:left="0" w:firstLine="400"/>
      </w:pPr>
      <w:rPr>
        <w:rFonts w:hint="eastAsia"/>
      </w:rPr>
    </w:lvl>
  </w:abstractNum>
  <w:abstractNum w:abstractNumId="8">
    <w:nsid w:val="BDBF084B"/>
    <w:multiLevelType w:val="multilevel"/>
    <w:tmpl w:val="BDBF084B"/>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9">
    <w:nsid w:val="D10D60C3"/>
    <w:multiLevelType w:val="singleLevel"/>
    <w:tmpl w:val="D10D60C3"/>
    <w:lvl w:ilvl="0" w:tentative="0">
      <w:start w:val="1"/>
      <w:numFmt w:val="decimal"/>
      <w:suff w:val="nothing"/>
      <w:lvlText w:val="%1、"/>
      <w:lvlJc w:val="left"/>
    </w:lvl>
  </w:abstractNum>
  <w:abstractNum w:abstractNumId="10">
    <w:nsid w:val="D527D7BF"/>
    <w:multiLevelType w:val="multilevel"/>
    <w:tmpl w:val="D527D7BF"/>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7.%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11">
    <w:nsid w:val="E055B643"/>
    <w:multiLevelType w:val="singleLevel"/>
    <w:tmpl w:val="E055B643"/>
    <w:lvl w:ilvl="0" w:tentative="0">
      <w:start w:val="1"/>
      <w:numFmt w:val="decimal"/>
      <w:lvlText w:val="(%1)"/>
      <w:lvlJc w:val="left"/>
      <w:pPr>
        <w:ind w:left="425" w:hanging="425"/>
      </w:pPr>
      <w:rPr>
        <w:rFonts w:hint="default" w:cs="Times New Roman"/>
      </w:rPr>
    </w:lvl>
  </w:abstractNum>
  <w:abstractNum w:abstractNumId="12">
    <w:nsid w:val="E375F72A"/>
    <w:multiLevelType w:val="singleLevel"/>
    <w:tmpl w:val="E375F72A"/>
    <w:lvl w:ilvl="0" w:tentative="0">
      <w:start w:val="1"/>
      <w:numFmt w:val="decimal"/>
      <w:lvlText w:val="(%1)"/>
      <w:lvlJc w:val="left"/>
      <w:pPr>
        <w:ind w:left="425" w:hanging="425"/>
      </w:pPr>
      <w:rPr>
        <w:rFonts w:hint="default"/>
      </w:rPr>
    </w:lvl>
  </w:abstractNum>
  <w:abstractNum w:abstractNumId="13">
    <w:nsid w:val="F2547F08"/>
    <w:multiLevelType w:val="multilevel"/>
    <w:tmpl w:val="F2547F08"/>
    <w:lvl w:ilvl="0" w:tentative="0">
      <w:start w:val="1"/>
      <w:numFmt w:val="decimal"/>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4">
    <w:nsid w:val="F90281EB"/>
    <w:multiLevelType w:val="singleLevel"/>
    <w:tmpl w:val="F90281EB"/>
    <w:lvl w:ilvl="0" w:tentative="0">
      <w:start w:val="3"/>
      <w:numFmt w:val="chineseCounting"/>
      <w:suff w:val="nothing"/>
      <w:lvlText w:val="%1．"/>
      <w:lvlJc w:val="left"/>
      <w:rPr>
        <w:rFonts w:hint="eastAsia"/>
      </w:rPr>
    </w:lvl>
  </w:abstractNum>
  <w:abstractNum w:abstractNumId="15">
    <w:nsid w:val="FB0F5EB6"/>
    <w:multiLevelType w:val="singleLevel"/>
    <w:tmpl w:val="FB0F5EB6"/>
    <w:lvl w:ilvl="0" w:tentative="0">
      <w:start w:val="1"/>
      <w:numFmt w:val="decimalEnclosedCircleChinese"/>
      <w:suff w:val="nothing"/>
      <w:lvlText w:val="%1　"/>
      <w:lvlJc w:val="left"/>
      <w:pPr>
        <w:ind w:firstLine="400"/>
      </w:pPr>
      <w:rPr>
        <w:rFonts w:hint="eastAsia" w:cs="Times New Roman"/>
      </w:rPr>
    </w:lvl>
  </w:abstractNum>
  <w:abstractNum w:abstractNumId="16">
    <w:nsid w:val="00000010"/>
    <w:multiLevelType w:val="multilevel"/>
    <w:tmpl w:val="00000010"/>
    <w:lvl w:ilvl="0" w:tentative="0">
      <w:start w:val="1"/>
      <w:numFmt w:val="decimal"/>
      <w:lvlText w:val="（%1）"/>
      <w:lvlJc w:val="left"/>
      <w:pPr>
        <w:tabs>
          <w:tab w:val="left" w:pos="420"/>
        </w:tabs>
        <w:ind w:left="420" w:hanging="420"/>
      </w:pPr>
      <w:rPr>
        <w:rFonts w:hint="default" w:ascii="Times New Roman" w:hAnsi="Times New Roman" w:cs="Tahoma"/>
        <w:b w:val="0"/>
      </w:rPr>
    </w:lvl>
    <w:lvl w:ilvl="1" w:tentative="0">
      <w:start w:val="2"/>
      <w:numFmt w:val="decimal"/>
      <w:lvlText w:val="%2．"/>
      <w:lvlJc w:val="left"/>
      <w:pPr>
        <w:tabs>
          <w:tab w:val="left" w:pos="780"/>
        </w:tabs>
        <w:ind w:left="780" w:hanging="360"/>
      </w:pPr>
      <w:rPr>
        <w:rFonts w:hint="default"/>
        <w:color w:val="000000"/>
        <w:sz w:val="24"/>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31"/>
    <w:multiLevelType w:val="multilevel"/>
    <w:tmpl w:val="00000031"/>
    <w:lvl w:ilvl="0" w:tentative="0">
      <w:start w:val="1"/>
      <w:numFmt w:val="decimal"/>
      <w:lvlText w:val="（%1）"/>
      <w:lvlJc w:val="left"/>
      <w:pPr>
        <w:tabs>
          <w:tab w:val="left" w:pos="420"/>
        </w:tabs>
        <w:ind w:left="420" w:hanging="420"/>
      </w:pPr>
      <w:rPr>
        <w:rFonts w:hint="eastAsia" w:ascii="楷体_GB2312" w:eastAsia="楷体_GB2312"/>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200DDB7"/>
    <w:multiLevelType w:val="multilevel"/>
    <w:tmpl w:val="0200DDB7"/>
    <w:lvl w:ilvl="0" w:tentative="0">
      <w:start w:val="1"/>
      <w:numFmt w:val="decimal"/>
      <w:lvlText w:val="%1."/>
      <w:lvlJc w:val="left"/>
      <w:pPr>
        <w:tabs>
          <w:tab w:val="left" w:pos="562"/>
        </w:tabs>
        <w:ind w:left="562" w:hanging="420"/>
      </w:pPr>
      <w:rPr>
        <w:rFonts w:hint="eastAsia" w:ascii="楷体_GB2312" w:hAnsi="Arial" w:eastAsia="楷体_GB2312" w:cs="Arial"/>
      </w:rPr>
    </w:lvl>
    <w:lvl w:ilvl="1" w:tentative="0">
      <w:start w:val="0"/>
      <w:numFmt w:val="none"/>
      <w:lvlText w:val=""/>
      <w:lvlJc w:val="left"/>
      <w:pPr>
        <w:tabs>
          <w:tab w:val="left" w:pos="360"/>
        </w:tabs>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none"/>
      <w:lvlText w:val=""/>
      <w:lvlJc w:val="left"/>
      <w:pPr>
        <w:tabs>
          <w:tab w:val="left" w:pos="360"/>
        </w:tabs>
      </w:pPr>
      <w:rPr>
        <w:rFonts w:cs="Times New Roman"/>
      </w:rPr>
    </w:lvl>
    <w:lvl w:ilvl="5" w:tentative="0">
      <w:start w:val="0"/>
      <w:numFmt w:val="none"/>
      <w:lvlText w:val=""/>
      <w:lvlJc w:val="left"/>
      <w:pPr>
        <w:tabs>
          <w:tab w:val="left" w:pos="360"/>
        </w:tabs>
      </w:pPr>
      <w:rPr>
        <w:rFonts w:cs="Times New Roman"/>
      </w:rPr>
    </w:lvl>
    <w:lvl w:ilvl="6" w:tentative="0">
      <w:start w:val="0"/>
      <w:numFmt w:val="none"/>
      <w:lvlText w:val=""/>
      <w:lvlJc w:val="left"/>
      <w:pPr>
        <w:tabs>
          <w:tab w:val="left" w:pos="360"/>
        </w:tabs>
      </w:pPr>
      <w:rPr>
        <w:rFonts w:cs="Times New Roman"/>
      </w:rPr>
    </w:lvl>
    <w:lvl w:ilvl="7" w:tentative="0">
      <w:start w:val="0"/>
      <w:numFmt w:val="none"/>
      <w:lvlText w:val=""/>
      <w:lvlJc w:val="left"/>
      <w:pPr>
        <w:tabs>
          <w:tab w:val="left" w:pos="360"/>
        </w:tabs>
      </w:pPr>
      <w:rPr>
        <w:rFonts w:cs="Times New Roman"/>
      </w:rPr>
    </w:lvl>
    <w:lvl w:ilvl="8" w:tentative="0">
      <w:start w:val="0"/>
      <w:numFmt w:val="none"/>
      <w:lvlText w:val=""/>
      <w:lvlJc w:val="left"/>
      <w:pPr>
        <w:tabs>
          <w:tab w:val="left" w:pos="360"/>
        </w:tabs>
      </w:pPr>
      <w:rPr>
        <w:rFonts w:cs="Times New Roman"/>
      </w:rPr>
    </w:lvl>
  </w:abstractNum>
  <w:abstractNum w:abstractNumId="19">
    <w:nsid w:val="0585F458"/>
    <w:multiLevelType w:val="multilevel"/>
    <w:tmpl w:val="0585F458"/>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0">
    <w:nsid w:val="085EDAC4"/>
    <w:multiLevelType w:val="singleLevel"/>
    <w:tmpl w:val="085EDAC4"/>
    <w:lvl w:ilvl="0" w:tentative="0">
      <w:start w:val="1"/>
      <w:numFmt w:val="decimal"/>
      <w:lvlText w:val="(%1)"/>
      <w:lvlJc w:val="left"/>
      <w:pPr>
        <w:ind w:left="425" w:hanging="425"/>
      </w:pPr>
      <w:rPr>
        <w:rFonts w:hint="default"/>
      </w:rPr>
    </w:lvl>
  </w:abstractNum>
  <w:abstractNum w:abstractNumId="21">
    <w:nsid w:val="0D03D146"/>
    <w:multiLevelType w:val="singleLevel"/>
    <w:tmpl w:val="0D03D146"/>
    <w:lvl w:ilvl="0" w:tentative="0">
      <w:start w:val="1"/>
      <w:numFmt w:val="decimal"/>
      <w:lvlText w:val="%1."/>
      <w:lvlJc w:val="left"/>
      <w:pPr>
        <w:ind w:left="425" w:hanging="425"/>
      </w:pPr>
      <w:rPr>
        <w:rFonts w:hint="default"/>
      </w:rPr>
    </w:lvl>
  </w:abstractNum>
  <w:abstractNum w:abstractNumId="22">
    <w:nsid w:val="16410696"/>
    <w:multiLevelType w:val="singleLevel"/>
    <w:tmpl w:val="16410696"/>
    <w:lvl w:ilvl="0" w:tentative="0">
      <w:start w:val="1"/>
      <w:numFmt w:val="decimal"/>
      <w:suff w:val="nothing"/>
      <w:lvlText w:val="%1）"/>
      <w:lvlJc w:val="left"/>
    </w:lvl>
  </w:abstractNum>
  <w:abstractNum w:abstractNumId="23">
    <w:nsid w:val="1B6B396E"/>
    <w:multiLevelType w:val="singleLevel"/>
    <w:tmpl w:val="1B6B396E"/>
    <w:lvl w:ilvl="0" w:tentative="0">
      <w:start w:val="1"/>
      <w:numFmt w:val="decimalEnclosedCircleChinese"/>
      <w:suff w:val="nothing"/>
      <w:lvlText w:val="%1　"/>
      <w:lvlJc w:val="left"/>
      <w:pPr>
        <w:ind w:left="0" w:firstLine="400"/>
      </w:pPr>
      <w:rPr>
        <w:rFonts w:hint="eastAsia"/>
      </w:rPr>
    </w:lvl>
  </w:abstractNum>
  <w:abstractNum w:abstractNumId="24">
    <w:nsid w:val="1DAD1D94"/>
    <w:multiLevelType w:val="singleLevel"/>
    <w:tmpl w:val="1DAD1D94"/>
    <w:lvl w:ilvl="0" w:tentative="0">
      <w:start w:val="1"/>
      <w:numFmt w:val="decimal"/>
      <w:lvlText w:val="(%1)"/>
      <w:lvlJc w:val="left"/>
      <w:pPr>
        <w:ind w:left="425" w:hanging="425"/>
      </w:pPr>
      <w:rPr>
        <w:rFonts w:hint="default"/>
      </w:rPr>
    </w:lvl>
  </w:abstractNum>
  <w:abstractNum w:abstractNumId="25">
    <w:nsid w:val="1E5719E2"/>
    <w:multiLevelType w:val="multilevel"/>
    <w:tmpl w:val="1E5719E2"/>
    <w:lvl w:ilvl="0" w:tentative="0">
      <w:start w:val="1"/>
      <w:numFmt w:val="decimal"/>
      <w:lvlText w:val="%1."/>
      <w:lvlJc w:val="left"/>
      <w:pPr>
        <w:tabs>
          <w:tab w:val="left" w:pos="420"/>
        </w:tabs>
        <w:ind w:left="420" w:hanging="420"/>
      </w:pPr>
      <w:rPr>
        <w:rFonts w:hint="eastAsia" w:ascii="楷体_GB2312" w:hAnsi="Arial" w:eastAsia="楷体_GB2312" w:cs="Arial"/>
      </w:rPr>
    </w:lvl>
    <w:lvl w:ilvl="1" w:tentative="0">
      <w:start w:val="0"/>
      <w:numFmt w:val="none"/>
      <w:lvlText w:val=""/>
      <w:lvlJc w:val="left"/>
      <w:pPr>
        <w:tabs>
          <w:tab w:val="left" w:pos="360"/>
        </w:tabs>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none"/>
      <w:lvlText w:val=""/>
      <w:lvlJc w:val="left"/>
      <w:pPr>
        <w:tabs>
          <w:tab w:val="left" w:pos="360"/>
        </w:tabs>
      </w:pPr>
      <w:rPr>
        <w:rFonts w:cs="Times New Roman"/>
      </w:rPr>
    </w:lvl>
    <w:lvl w:ilvl="5" w:tentative="0">
      <w:start w:val="0"/>
      <w:numFmt w:val="none"/>
      <w:lvlText w:val=""/>
      <w:lvlJc w:val="left"/>
      <w:pPr>
        <w:tabs>
          <w:tab w:val="left" w:pos="360"/>
        </w:tabs>
      </w:pPr>
      <w:rPr>
        <w:rFonts w:cs="Times New Roman"/>
      </w:rPr>
    </w:lvl>
    <w:lvl w:ilvl="6" w:tentative="0">
      <w:start w:val="0"/>
      <w:numFmt w:val="none"/>
      <w:lvlText w:val=""/>
      <w:lvlJc w:val="left"/>
      <w:pPr>
        <w:tabs>
          <w:tab w:val="left" w:pos="360"/>
        </w:tabs>
      </w:pPr>
      <w:rPr>
        <w:rFonts w:cs="Times New Roman"/>
      </w:rPr>
    </w:lvl>
    <w:lvl w:ilvl="7" w:tentative="0">
      <w:start w:val="0"/>
      <w:numFmt w:val="none"/>
      <w:lvlText w:val=""/>
      <w:lvlJc w:val="left"/>
      <w:pPr>
        <w:tabs>
          <w:tab w:val="left" w:pos="360"/>
        </w:tabs>
      </w:pPr>
      <w:rPr>
        <w:rFonts w:cs="Times New Roman"/>
      </w:rPr>
    </w:lvl>
    <w:lvl w:ilvl="8" w:tentative="0">
      <w:start w:val="0"/>
      <w:numFmt w:val="none"/>
      <w:lvlText w:val=""/>
      <w:lvlJc w:val="left"/>
      <w:pPr>
        <w:tabs>
          <w:tab w:val="left" w:pos="360"/>
        </w:tabs>
      </w:pPr>
      <w:rPr>
        <w:rFonts w:cs="Times New Roman"/>
      </w:rPr>
    </w:lvl>
  </w:abstractNum>
  <w:abstractNum w:abstractNumId="26">
    <w:nsid w:val="1F9982C3"/>
    <w:multiLevelType w:val="multilevel"/>
    <w:tmpl w:val="1F9982C3"/>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9.%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27">
    <w:nsid w:val="22DD3438"/>
    <w:multiLevelType w:val="multilevel"/>
    <w:tmpl w:val="22DD3438"/>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2434239E"/>
    <w:multiLevelType w:val="multilevel"/>
    <w:tmpl w:val="2434239E"/>
    <w:lvl w:ilvl="0" w:tentative="0">
      <w:start w:val="1"/>
      <w:numFmt w:val="decimal"/>
      <w:lvlText w:val="%1."/>
      <w:lvlJc w:val="left"/>
      <w:pPr>
        <w:tabs>
          <w:tab w:val="left" w:pos="562"/>
        </w:tabs>
        <w:ind w:left="562" w:hanging="420"/>
      </w:pPr>
      <w:rPr>
        <w:rFonts w:hint="eastAsia" w:ascii="楷体_GB2312" w:hAnsi="Arial" w:eastAsia="楷体_GB2312" w:cs="Arial"/>
      </w:rPr>
    </w:lvl>
    <w:lvl w:ilvl="1" w:tentative="0">
      <w:start w:val="0"/>
      <w:numFmt w:val="none"/>
      <w:lvlText w:val=""/>
      <w:lvlJc w:val="left"/>
      <w:pPr>
        <w:tabs>
          <w:tab w:val="left" w:pos="360"/>
        </w:tabs>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none"/>
      <w:lvlText w:val=""/>
      <w:lvlJc w:val="left"/>
      <w:pPr>
        <w:tabs>
          <w:tab w:val="left" w:pos="360"/>
        </w:tabs>
      </w:pPr>
      <w:rPr>
        <w:rFonts w:cs="Times New Roman"/>
      </w:rPr>
    </w:lvl>
    <w:lvl w:ilvl="5" w:tentative="0">
      <w:start w:val="0"/>
      <w:numFmt w:val="none"/>
      <w:lvlText w:val=""/>
      <w:lvlJc w:val="left"/>
      <w:pPr>
        <w:tabs>
          <w:tab w:val="left" w:pos="360"/>
        </w:tabs>
      </w:pPr>
      <w:rPr>
        <w:rFonts w:cs="Times New Roman"/>
      </w:rPr>
    </w:lvl>
    <w:lvl w:ilvl="6" w:tentative="0">
      <w:start w:val="0"/>
      <w:numFmt w:val="none"/>
      <w:lvlText w:val=""/>
      <w:lvlJc w:val="left"/>
      <w:pPr>
        <w:tabs>
          <w:tab w:val="left" w:pos="360"/>
        </w:tabs>
      </w:pPr>
      <w:rPr>
        <w:rFonts w:cs="Times New Roman"/>
      </w:rPr>
    </w:lvl>
    <w:lvl w:ilvl="7" w:tentative="0">
      <w:start w:val="0"/>
      <w:numFmt w:val="none"/>
      <w:lvlText w:val=""/>
      <w:lvlJc w:val="left"/>
      <w:pPr>
        <w:tabs>
          <w:tab w:val="left" w:pos="360"/>
        </w:tabs>
      </w:pPr>
      <w:rPr>
        <w:rFonts w:cs="Times New Roman"/>
      </w:rPr>
    </w:lvl>
    <w:lvl w:ilvl="8" w:tentative="0">
      <w:start w:val="0"/>
      <w:numFmt w:val="none"/>
      <w:lvlText w:val=""/>
      <w:lvlJc w:val="left"/>
      <w:pPr>
        <w:tabs>
          <w:tab w:val="left" w:pos="360"/>
        </w:tabs>
      </w:pPr>
      <w:rPr>
        <w:rFonts w:cs="Times New Roman"/>
      </w:rPr>
    </w:lvl>
  </w:abstractNum>
  <w:abstractNum w:abstractNumId="29">
    <w:nsid w:val="37E9328B"/>
    <w:multiLevelType w:val="multilevel"/>
    <w:tmpl w:val="37E9328B"/>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30">
    <w:nsid w:val="3CC351E3"/>
    <w:multiLevelType w:val="multilevel"/>
    <w:tmpl w:val="3CC351E3"/>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none"/>
      <w:lvlText w:val=""/>
      <w:lvlJc w:val="left"/>
      <w:pPr>
        <w:tabs>
          <w:tab w:val="left" w:pos="360"/>
        </w:tabs>
      </w:pPr>
      <w:rPr>
        <w:rFonts w:cs="Times New Roman"/>
      </w:rPr>
    </w:lvl>
    <w:lvl w:ilvl="5" w:tentative="0">
      <w:start w:val="0"/>
      <w:numFmt w:val="none"/>
      <w:lvlText w:val=""/>
      <w:lvlJc w:val="left"/>
      <w:pPr>
        <w:tabs>
          <w:tab w:val="left" w:pos="360"/>
        </w:tabs>
      </w:pPr>
      <w:rPr>
        <w:rFonts w:cs="Times New Roman"/>
      </w:rPr>
    </w:lvl>
    <w:lvl w:ilvl="6" w:tentative="0">
      <w:start w:val="0"/>
      <w:numFmt w:val="none"/>
      <w:lvlText w:val=""/>
      <w:lvlJc w:val="left"/>
      <w:pPr>
        <w:tabs>
          <w:tab w:val="left" w:pos="360"/>
        </w:tabs>
      </w:pPr>
      <w:rPr>
        <w:rFonts w:cs="Times New Roman"/>
      </w:rPr>
    </w:lvl>
    <w:lvl w:ilvl="7" w:tentative="0">
      <w:start w:val="0"/>
      <w:numFmt w:val="none"/>
      <w:lvlText w:val=""/>
      <w:lvlJc w:val="left"/>
      <w:pPr>
        <w:tabs>
          <w:tab w:val="left" w:pos="360"/>
        </w:tabs>
      </w:pPr>
      <w:rPr>
        <w:rFonts w:cs="Times New Roman"/>
      </w:rPr>
    </w:lvl>
    <w:lvl w:ilvl="8" w:tentative="0">
      <w:start w:val="0"/>
      <w:numFmt w:val="none"/>
      <w:lvlText w:val=""/>
      <w:lvlJc w:val="left"/>
      <w:pPr>
        <w:tabs>
          <w:tab w:val="left" w:pos="360"/>
        </w:tabs>
      </w:pPr>
      <w:rPr>
        <w:rFonts w:cs="Times New Roman"/>
      </w:rPr>
    </w:lvl>
  </w:abstractNum>
  <w:abstractNum w:abstractNumId="31">
    <w:nsid w:val="3F31A2EA"/>
    <w:multiLevelType w:val="singleLevel"/>
    <w:tmpl w:val="3F31A2EA"/>
    <w:lvl w:ilvl="0" w:tentative="0">
      <w:start w:val="1"/>
      <w:numFmt w:val="decimal"/>
      <w:lvlText w:val="%1."/>
      <w:lvlJc w:val="left"/>
      <w:pPr>
        <w:ind w:left="425" w:hanging="425"/>
      </w:pPr>
      <w:rPr>
        <w:rFonts w:hint="default"/>
      </w:rPr>
    </w:lvl>
  </w:abstractNum>
  <w:abstractNum w:abstractNumId="32">
    <w:nsid w:val="4542E4C5"/>
    <w:multiLevelType w:val="multilevel"/>
    <w:tmpl w:val="4542E4C5"/>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3.%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33">
    <w:nsid w:val="45DC5E2A"/>
    <w:multiLevelType w:val="multilevel"/>
    <w:tmpl w:val="45DC5E2A"/>
    <w:lvl w:ilvl="0" w:tentative="0">
      <w:start w:val="1"/>
      <w:numFmt w:val="decimal"/>
      <w:lvlText w:val="%1."/>
      <w:lvlJc w:val="left"/>
      <w:pPr>
        <w:ind w:left="805" w:hanging="420"/>
      </w:pPr>
    </w:lvl>
    <w:lvl w:ilvl="1" w:tentative="0">
      <w:start w:val="1"/>
      <w:numFmt w:val="lowerLetter"/>
      <w:lvlText w:val="%2)"/>
      <w:lvlJc w:val="left"/>
      <w:pPr>
        <w:ind w:left="1225" w:hanging="420"/>
      </w:pPr>
    </w:lvl>
    <w:lvl w:ilvl="2" w:tentative="0">
      <w:start w:val="1"/>
      <w:numFmt w:val="lowerRoman"/>
      <w:lvlText w:val="%3."/>
      <w:lvlJc w:val="right"/>
      <w:pPr>
        <w:ind w:left="1645" w:hanging="420"/>
      </w:pPr>
    </w:lvl>
    <w:lvl w:ilvl="3" w:tentative="0">
      <w:start w:val="1"/>
      <w:numFmt w:val="decimal"/>
      <w:lvlText w:val="%4."/>
      <w:lvlJc w:val="left"/>
      <w:pPr>
        <w:ind w:left="2065" w:hanging="420"/>
      </w:pPr>
    </w:lvl>
    <w:lvl w:ilvl="4" w:tentative="0">
      <w:start w:val="1"/>
      <w:numFmt w:val="lowerLetter"/>
      <w:lvlText w:val="%5)"/>
      <w:lvlJc w:val="left"/>
      <w:pPr>
        <w:ind w:left="2485" w:hanging="420"/>
      </w:pPr>
    </w:lvl>
    <w:lvl w:ilvl="5" w:tentative="0">
      <w:start w:val="1"/>
      <w:numFmt w:val="lowerRoman"/>
      <w:lvlText w:val="%6."/>
      <w:lvlJc w:val="right"/>
      <w:pPr>
        <w:ind w:left="2905" w:hanging="420"/>
      </w:pPr>
    </w:lvl>
    <w:lvl w:ilvl="6" w:tentative="0">
      <w:start w:val="1"/>
      <w:numFmt w:val="decimal"/>
      <w:lvlText w:val="%7."/>
      <w:lvlJc w:val="left"/>
      <w:pPr>
        <w:ind w:left="3325" w:hanging="420"/>
      </w:pPr>
    </w:lvl>
    <w:lvl w:ilvl="7" w:tentative="0">
      <w:start w:val="1"/>
      <w:numFmt w:val="lowerLetter"/>
      <w:lvlText w:val="%8)"/>
      <w:lvlJc w:val="left"/>
      <w:pPr>
        <w:ind w:left="3745" w:hanging="420"/>
      </w:pPr>
    </w:lvl>
    <w:lvl w:ilvl="8" w:tentative="0">
      <w:start w:val="1"/>
      <w:numFmt w:val="lowerRoman"/>
      <w:lvlText w:val="%9."/>
      <w:lvlJc w:val="right"/>
      <w:pPr>
        <w:ind w:left="4165" w:hanging="420"/>
      </w:pPr>
    </w:lvl>
  </w:abstractNum>
  <w:abstractNum w:abstractNumId="34">
    <w:nsid w:val="4B8E5DBA"/>
    <w:multiLevelType w:val="multilevel"/>
    <w:tmpl w:val="4B8E5DBA"/>
    <w:lvl w:ilvl="0" w:tentative="0">
      <w:start w:val="1"/>
      <w:numFmt w:val="chineseCountingThousand"/>
      <w:lvlText w:val="(%1)"/>
      <w:lvlJc w:val="left"/>
      <w:pPr>
        <w:ind w:left="420" w:hanging="420"/>
      </w:pPr>
      <w:rPr>
        <w:rFonts w:cs="Times New Roman"/>
      </w:rPr>
    </w:lvl>
    <w:lvl w:ilvl="1" w:tentative="0">
      <w:start w:val="1"/>
      <w:numFmt w:val="chineseCountingThousand"/>
      <w:lvlText w:val="(%2)"/>
      <w:lvlJc w:val="left"/>
      <w:pPr>
        <w:ind w:left="272" w:firstLine="148"/>
      </w:pPr>
      <w:rPr>
        <w:rFonts w:hint="eastAsia"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5">
    <w:nsid w:val="54F403B5"/>
    <w:multiLevelType w:val="singleLevel"/>
    <w:tmpl w:val="54F403B5"/>
    <w:lvl w:ilvl="0" w:tentative="0">
      <w:start w:val="1"/>
      <w:numFmt w:val="chineseCounting"/>
      <w:suff w:val="nothing"/>
      <w:lvlText w:val="%1、"/>
      <w:lvlJc w:val="left"/>
      <w:rPr>
        <w:rFonts w:cs="Times New Roman"/>
      </w:rPr>
    </w:lvl>
  </w:abstractNum>
  <w:abstractNum w:abstractNumId="36">
    <w:nsid w:val="557FD3DA"/>
    <w:multiLevelType w:val="singleLevel"/>
    <w:tmpl w:val="557FD3DA"/>
    <w:lvl w:ilvl="0" w:tentative="0">
      <w:start w:val="3"/>
      <w:numFmt w:val="chineseCounting"/>
      <w:suff w:val="nothing"/>
      <w:lvlText w:val="%1、"/>
      <w:lvlJc w:val="left"/>
      <w:rPr>
        <w:rFonts w:cs="Times New Roman"/>
      </w:rPr>
    </w:lvl>
  </w:abstractNum>
  <w:abstractNum w:abstractNumId="37">
    <w:nsid w:val="5FA200D4"/>
    <w:multiLevelType w:val="multilevel"/>
    <w:tmpl w:val="5FA200D4"/>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38">
    <w:nsid w:val="718BE135"/>
    <w:multiLevelType w:val="singleLevel"/>
    <w:tmpl w:val="718BE135"/>
    <w:lvl w:ilvl="0" w:tentative="0">
      <w:start w:val="1"/>
      <w:numFmt w:val="decimal"/>
      <w:suff w:val="nothing"/>
      <w:lvlText w:val="%1．"/>
      <w:lvlJc w:val="left"/>
      <w:pPr>
        <w:ind w:left="0" w:firstLine="400"/>
      </w:pPr>
      <w:rPr>
        <w:rFonts w:hint="default"/>
      </w:rPr>
    </w:lvl>
  </w:abstractNum>
  <w:abstractNum w:abstractNumId="39">
    <w:nsid w:val="75B97CCE"/>
    <w:multiLevelType w:val="multilevel"/>
    <w:tmpl w:val="75B97CCE"/>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3.%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num w:numId="1">
    <w:abstractNumId w:val="2"/>
  </w:num>
  <w:num w:numId="2">
    <w:abstractNumId w:val="7"/>
  </w:num>
  <w:num w:numId="3">
    <w:abstractNumId w:val="23"/>
  </w:num>
  <w:num w:numId="4">
    <w:abstractNumId w:val="15"/>
  </w:num>
  <w:num w:numId="5">
    <w:abstractNumId w:val="31"/>
  </w:num>
  <w:num w:numId="6">
    <w:abstractNumId w:val="28"/>
  </w:num>
  <w:num w:numId="7">
    <w:abstractNumId w:val="1"/>
  </w:num>
  <w:num w:numId="8">
    <w:abstractNumId w:val="18"/>
  </w:num>
  <w:num w:numId="9">
    <w:abstractNumId w:val="25"/>
  </w:num>
  <w:num w:numId="10">
    <w:abstractNumId w:val="32"/>
  </w:num>
  <w:num w:numId="11">
    <w:abstractNumId w:val="6"/>
  </w:num>
  <w:num w:numId="12">
    <w:abstractNumId w:val="3"/>
  </w:num>
  <w:num w:numId="13">
    <w:abstractNumId w:val="5"/>
  </w:num>
  <w:num w:numId="14">
    <w:abstractNumId w:val="39"/>
  </w:num>
  <w:num w:numId="15">
    <w:abstractNumId w:val="37"/>
  </w:num>
  <w:num w:numId="16">
    <w:abstractNumId w:val="10"/>
  </w:num>
  <w:num w:numId="17">
    <w:abstractNumId w:val="17"/>
  </w:num>
  <w:num w:numId="18">
    <w:abstractNumId w:val="26"/>
  </w:num>
  <w:num w:numId="19">
    <w:abstractNumId w:val="30"/>
  </w:num>
  <w:num w:numId="20">
    <w:abstractNumId w:val="29"/>
  </w:num>
  <w:num w:numId="21">
    <w:abstractNumId w:val="8"/>
  </w:num>
  <w:num w:numId="22">
    <w:abstractNumId w:val="11"/>
  </w:num>
  <w:num w:numId="23">
    <w:abstractNumId w:val="0"/>
  </w:num>
  <w:num w:numId="24">
    <w:abstractNumId w:val="4"/>
  </w:num>
  <w:num w:numId="25">
    <w:abstractNumId w:val="16"/>
  </w:num>
  <w:num w:numId="26">
    <w:abstractNumId w:val="20"/>
  </w:num>
  <w:num w:numId="27">
    <w:abstractNumId w:val="24"/>
  </w:num>
  <w:num w:numId="28">
    <w:abstractNumId w:val="12"/>
  </w:num>
  <w:num w:numId="29">
    <w:abstractNumId w:val="27"/>
  </w:num>
  <w:num w:numId="30">
    <w:abstractNumId w:val="22"/>
  </w:num>
  <w:num w:numId="31">
    <w:abstractNumId w:val="19"/>
  </w:num>
  <w:num w:numId="32">
    <w:abstractNumId w:val="13"/>
  </w:num>
  <w:num w:numId="33">
    <w:abstractNumId w:val="14"/>
  </w:num>
  <w:num w:numId="34">
    <w:abstractNumId w:val="38"/>
  </w:num>
  <w:num w:numId="35">
    <w:abstractNumId w:val="33"/>
  </w:num>
  <w:num w:numId="36">
    <w:abstractNumId w:val="21"/>
  </w:num>
  <w:num w:numId="37">
    <w:abstractNumId w:val="9"/>
  </w:num>
  <w:num w:numId="38">
    <w:abstractNumId w:val="34"/>
  </w:num>
  <w:num w:numId="39">
    <w:abstractNumId w:val="35"/>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OTUzYzQ4MGE0MzUyN2JhMmI1MWU4ZjgyOTg1NmYifQ=="/>
  </w:docVars>
  <w:rsids>
    <w:rsidRoot w:val="00172A27"/>
    <w:rsid w:val="0000141E"/>
    <w:rsid w:val="00002648"/>
    <w:rsid w:val="00006DDC"/>
    <w:rsid w:val="000121B8"/>
    <w:rsid w:val="000127DB"/>
    <w:rsid w:val="000165B4"/>
    <w:rsid w:val="00016E22"/>
    <w:rsid w:val="0002209E"/>
    <w:rsid w:val="00026995"/>
    <w:rsid w:val="00034949"/>
    <w:rsid w:val="00036886"/>
    <w:rsid w:val="00036B31"/>
    <w:rsid w:val="00043198"/>
    <w:rsid w:val="00047B5F"/>
    <w:rsid w:val="00050004"/>
    <w:rsid w:val="00052879"/>
    <w:rsid w:val="00052D0F"/>
    <w:rsid w:val="000535A1"/>
    <w:rsid w:val="00054A90"/>
    <w:rsid w:val="00055D42"/>
    <w:rsid w:val="00060E56"/>
    <w:rsid w:val="000614C5"/>
    <w:rsid w:val="000632AC"/>
    <w:rsid w:val="00064C0F"/>
    <w:rsid w:val="00066263"/>
    <w:rsid w:val="000760D6"/>
    <w:rsid w:val="000820F8"/>
    <w:rsid w:val="00082490"/>
    <w:rsid w:val="000829D0"/>
    <w:rsid w:val="000835F2"/>
    <w:rsid w:val="00084021"/>
    <w:rsid w:val="0008542C"/>
    <w:rsid w:val="000857A4"/>
    <w:rsid w:val="00091EB8"/>
    <w:rsid w:val="00092B21"/>
    <w:rsid w:val="000963A6"/>
    <w:rsid w:val="0009658B"/>
    <w:rsid w:val="0009687B"/>
    <w:rsid w:val="00097950"/>
    <w:rsid w:val="000A0CED"/>
    <w:rsid w:val="000A10FE"/>
    <w:rsid w:val="000A1B8E"/>
    <w:rsid w:val="000B01F9"/>
    <w:rsid w:val="000B21A2"/>
    <w:rsid w:val="000B2D87"/>
    <w:rsid w:val="000B45FB"/>
    <w:rsid w:val="000B5CA3"/>
    <w:rsid w:val="000C1990"/>
    <w:rsid w:val="000D01FE"/>
    <w:rsid w:val="000D1A2D"/>
    <w:rsid w:val="000D272C"/>
    <w:rsid w:val="000D484D"/>
    <w:rsid w:val="000D537A"/>
    <w:rsid w:val="000D6A4F"/>
    <w:rsid w:val="000E0825"/>
    <w:rsid w:val="000E091B"/>
    <w:rsid w:val="000E2FE4"/>
    <w:rsid w:val="000E41FB"/>
    <w:rsid w:val="000F1146"/>
    <w:rsid w:val="000F431E"/>
    <w:rsid w:val="000F718F"/>
    <w:rsid w:val="0010148C"/>
    <w:rsid w:val="0010394F"/>
    <w:rsid w:val="00105553"/>
    <w:rsid w:val="00106896"/>
    <w:rsid w:val="00106DAC"/>
    <w:rsid w:val="00110F01"/>
    <w:rsid w:val="001114B4"/>
    <w:rsid w:val="001128A5"/>
    <w:rsid w:val="00114DD2"/>
    <w:rsid w:val="00121855"/>
    <w:rsid w:val="00124923"/>
    <w:rsid w:val="00126EC8"/>
    <w:rsid w:val="00127C3B"/>
    <w:rsid w:val="00131C77"/>
    <w:rsid w:val="00135A8D"/>
    <w:rsid w:val="00136450"/>
    <w:rsid w:val="001415E0"/>
    <w:rsid w:val="001425A5"/>
    <w:rsid w:val="00143586"/>
    <w:rsid w:val="00145B82"/>
    <w:rsid w:val="00147930"/>
    <w:rsid w:val="00155724"/>
    <w:rsid w:val="00155E7F"/>
    <w:rsid w:val="00157B00"/>
    <w:rsid w:val="00161EFD"/>
    <w:rsid w:val="001622FB"/>
    <w:rsid w:val="00164A6A"/>
    <w:rsid w:val="00164BD8"/>
    <w:rsid w:val="0016733F"/>
    <w:rsid w:val="001729C4"/>
    <w:rsid w:val="00172A27"/>
    <w:rsid w:val="00174BD4"/>
    <w:rsid w:val="00176D05"/>
    <w:rsid w:val="00180CCC"/>
    <w:rsid w:val="00183A9D"/>
    <w:rsid w:val="0018607C"/>
    <w:rsid w:val="001916A1"/>
    <w:rsid w:val="001919F1"/>
    <w:rsid w:val="00193603"/>
    <w:rsid w:val="00194D8A"/>
    <w:rsid w:val="00195F4A"/>
    <w:rsid w:val="00196B04"/>
    <w:rsid w:val="001A041D"/>
    <w:rsid w:val="001A16FB"/>
    <w:rsid w:val="001A1733"/>
    <w:rsid w:val="001A2297"/>
    <w:rsid w:val="001A2FED"/>
    <w:rsid w:val="001B3A08"/>
    <w:rsid w:val="001B58E0"/>
    <w:rsid w:val="001B5F87"/>
    <w:rsid w:val="001C5582"/>
    <w:rsid w:val="001D15FC"/>
    <w:rsid w:val="001D313E"/>
    <w:rsid w:val="001D5635"/>
    <w:rsid w:val="001E0A96"/>
    <w:rsid w:val="001E0D58"/>
    <w:rsid w:val="001E2081"/>
    <w:rsid w:val="001E282D"/>
    <w:rsid w:val="001E3ABB"/>
    <w:rsid w:val="001F093B"/>
    <w:rsid w:val="001F3C50"/>
    <w:rsid w:val="001F59B6"/>
    <w:rsid w:val="001F6EDE"/>
    <w:rsid w:val="001F7D38"/>
    <w:rsid w:val="00200FDE"/>
    <w:rsid w:val="00202AB8"/>
    <w:rsid w:val="002103BD"/>
    <w:rsid w:val="00211362"/>
    <w:rsid w:val="00212975"/>
    <w:rsid w:val="00213C70"/>
    <w:rsid w:val="00217D0A"/>
    <w:rsid w:val="00220723"/>
    <w:rsid w:val="00223170"/>
    <w:rsid w:val="00227BE1"/>
    <w:rsid w:val="00232387"/>
    <w:rsid w:val="00233988"/>
    <w:rsid w:val="00235467"/>
    <w:rsid w:val="002370E3"/>
    <w:rsid w:val="002376B8"/>
    <w:rsid w:val="00237AB6"/>
    <w:rsid w:val="00241128"/>
    <w:rsid w:val="00250873"/>
    <w:rsid w:val="00252267"/>
    <w:rsid w:val="002567B5"/>
    <w:rsid w:val="00256EBD"/>
    <w:rsid w:val="00260772"/>
    <w:rsid w:val="00260E8B"/>
    <w:rsid w:val="002615CA"/>
    <w:rsid w:val="002622CB"/>
    <w:rsid w:val="00262565"/>
    <w:rsid w:val="002635D5"/>
    <w:rsid w:val="002635E0"/>
    <w:rsid w:val="00263A77"/>
    <w:rsid w:val="002657D7"/>
    <w:rsid w:val="00265EEA"/>
    <w:rsid w:val="00266C30"/>
    <w:rsid w:val="00274C71"/>
    <w:rsid w:val="00275D64"/>
    <w:rsid w:val="00276A15"/>
    <w:rsid w:val="0028110F"/>
    <w:rsid w:val="00284F61"/>
    <w:rsid w:val="00292A4A"/>
    <w:rsid w:val="002941A0"/>
    <w:rsid w:val="0029448D"/>
    <w:rsid w:val="00294A1D"/>
    <w:rsid w:val="00295B9B"/>
    <w:rsid w:val="002A2663"/>
    <w:rsid w:val="002A5054"/>
    <w:rsid w:val="002A746C"/>
    <w:rsid w:val="002B0958"/>
    <w:rsid w:val="002B1644"/>
    <w:rsid w:val="002B3A52"/>
    <w:rsid w:val="002B7565"/>
    <w:rsid w:val="002C02FE"/>
    <w:rsid w:val="002C2C4F"/>
    <w:rsid w:val="002D591F"/>
    <w:rsid w:val="002E0575"/>
    <w:rsid w:val="002E3D10"/>
    <w:rsid w:val="002F1A18"/>
    <w:rsid w:val="002F69C5"/>
    <w:rsid w:val="00301242"/>
    <w:rsid w:val="00301692"/>
    <w:rsid w:val="00301C08"/>
    <w:rsid w:val="00306D49"/>
    <w:rsid w:val="00307C0E"/>
    <w:rsid w:val="00310C69"/>
    <w:rsid w:val="00312DEB"/>
    <w:rsid w:val="003145BC"/>
    <w:rsid w:val="00317B9C"/>
    <w:rsid w:val="00320795"/>
    <w:rsid w:val="00324628"/>
    <w:rsid w:val="00324BE1"/>
    <w:rsid w:val="00334FD4"/>
    <w:rsid w:val="00335CE6"/>
    <w:rsid w:val="003404F6"/>
    <w:rsid w:val="0034116E"/>
    <w:rsid w:val="003441D5"/>
    <w:rsid w:val="00344BB4"/>
    <w:rsid w:val="00344DF5"/>
    <w:rsid w:val="00344FBB"/>
    <w:rsid w:val="00350909"/>
    <w:rsid w:val="00351CB5"/>
    <w:rsid w:val="0035416E"/>
    <w:rsid w:val="00356370"/>
    <w:rsid w:val="00360F52"/>
    <w:rsid w:val="00363379"/>
    <w:rsid w:val="00363C43"/>
    <w:rsid w:val="00364D5B"/>
    <w:rsid w:val="003661AC"/>
    <w:rsid w:val="003664AD"/>
    <w:rsid w:val="00371D65"/>
    <w:rsid w:val="00371F2F"/>
    <w:rsid w:val="00373691"/>
    <w:rsid w:val="00380B0F"/>
    <w:rsid w:val="00382112"/>
    <w:rsid w:val="00387EF0"/>
    <w:rsid w:val="00392B8B"/>
    <w:rsid w:val="003937D6"/>
    <w:rsid w:val="003979B5"/>
    <w:rsid w:val="00397A98"/>
    <w:rsid w:val="00397AB3"/>
    <w:rsid w:val="003A0166"/>
    <w:rsid w:val="003A0A34"/>
    <w:rsid w:val="003A1C8A"/>
    <w:rsid w:val="003B2A45"/>
    <w:rsid w:val="003B6B64"/>
    <w:rsid w:val="003C2128"/>
    <w:rsid w:val="003C7D51"/>
    <w:rsid w:val="003D218F"/>
    <w:rsid w:val="003D6437"/>
    <w:rsid w:val="003D75FA"/>
    <w:rsid w:val="003E050F"/>
    <w:rsid w:val="003E11A5"/>
    <w:rsid w:val="003F051B"/>
    <w:rsid w:val="003F0B9B"/>
    <w:rsid w:val="003F1859"/>
    <w:rsid w:val="003F25E3"/>
    <w:rsid w:val="003F3F19"/>
    <w:rsid w:val="003F4EF1"/>
    <w:rsid w:val="003F51AE"/>
    <w:rsid w:val="00400616"/>
    <w:rsid w:val="004013C5"/>
    <w:rsid w:val="00401CD6"/>
    <w:rsid w:val="00402198"/>
    <w:rsid w:val="00402D52"/>
    <w:rsid w:val="0040311F"/>
    <w:rsid w:val="00403585"/>
    <w:rsid w:val="00410322"/>
    <w:rsid w:val="004121E7"/>
    <w:rsid w:val="00412DCB"/>
    <w:rsid w:val="00412F5E"/>
    <w:rsid w:val="00415257"/>
    <w:rsid w:val="00421A6F"/>
    <w:rsid w:val="004246BE"/>
    <w:rsid w:val="00426118"/>
    <w:rsid w:val="00432D22"/>
    <w:rsid w:val="0043716C"/>
    <w:rsid w:val="00437446"/>
    <w:rsid w:val="0044260A"/>
    <w:rsid w:val="00444BC9"/>
    <w:rsid w:val="0044657E"/>
    <w:rsid w:val="004506C3"/>
    <w:rsid w:val="00451485"/>
    <w:rsid w:val="004518D0"/>
    <w:rsid w:val="00452E51"/>
    <w:rsid w:val="004541D6"/>
    <w:rsid w:val="004564A1"/>
    <w:rsid w:val="004626A7"/>
    <w:rsid w:val="00470271"/>
    <w:rsid w:val="004715AE"/>
    <w:rsid w:val="00475FA8"/>
    <w:rsid w:val="00484DDE"/>
    <w:rsid w:val="00486E8B"/>
    <w:rsid w:val="00487587"/>
    <w:rsid w:val="00490C24"/>
    <w:rsid w:val="00491F16"/>
    <w:rsid w:val="0049347A"/>
    <w:rsid w:val="00496BB0"/>
    <w:rsid w:val="00496C5D"/>
    <w:rsid w:val="0049721A"/>
    <w:rsid w:val="004A5E0F"/>
    <w:rsid w:val="004B3CD6"/>
    <w:rsid w:val="004B63C9"/>
    <w:rsid w:val="004C1FBB"/>
    <w:rsid w:val="004C47EF"/>
    <w:rsid w:val="004C6142"/>
    <w:rsid w:val="004C6965"/>
    <w:rsid w:val="004D0B59"/>
    <w:rsid w:val="004D0CDF"/>
    <w:rsid w:val="004D18D9"/>
    <w:rsid w:val="004D25DB"/>
    <w:rsid w:val="004D2807"/>
    <w:rsid w:val="004D2C75"/>
    <w:rsid w:val="004D47F9"/>
    <w:rsid w:val="004D4A5F"/>
    <w:rsid w:val="004E2483"/>
    <w:rsid w:val="004E3C48"/>
    <w:rsid w:val="004F1D91"/>
    <w:rsid w:val="004F5CD4"/>
    <w:rsid w:val="004F7891"/>
    <w:rsid w:val="00500121"/>
    <w:rsid w:val="005076FC"/>
    <w:rsid w:val="005110ED"/>
    <w:rsid w:val="00514DCF"/>
    <w:rsid w:val="00516E87"/>
    <w:rsid w:val="00517441"/>
    <w:rsid w:val="00520F3F"/>
    <w:rsid w:val="005213BB"/>
    <w:rsid w:val="00524E75"/>
    <w:rsid w:val="00525027"/>
    <w:rsid w:val="00526613"/>
    <w:rsid w:val="00527011"/>
    <w:rsid w:val="00541316"/>
    <w:rsid w:val="00545044"/>
    <w:rsid w:val="00547574"/>
    <w:rsid w:val="0054780A"/>
    <w:rsid w:val="00553637"/>
    <w:rsid w:val="005546AC"/>
    <w:rsid w:val="00557885"/>
    <w:rsid w:val="005616E0"/>
    <w:rsid w:val="00565F3B"/>
    <w:rsid w:val="00567B0F"/>
    <w:rsid w:val="00567C84"/>
    <w:rsid w:val="0057049C"/>
    <w:rsid w:val="00570836"/>
    <w:rsid w:val="00570D79"/>
    <w:rsid w:val="00571050"/>
    <w:rsid w:val="00571BBE"/>
    <w:rsid w:val="00573612"/>
    <w:rsid w:val="00575E69"/>
    <w:rsid w:val="00576659"/>
    <w:rsid w:val="00587862"/>
    <w:rsid w:val="00587FDB"/>
    <w:rsid w:val="0059042F"/>
    <w:rsid w:val="00590BFD"/>
    <w:rsid w:val="00592304"/>
    <w:rsid w:val="0059616E"/>
    <w:rsid w:val="005A15FD"/>
    <w:rsid w:val="005A1B0C"/>
    <w:rsid w:val="005A4240"/>
    <w:rsid w:val="005A54C4"/>
    <w:rsid w:val="005A58BE"/>
    <w:rsid w:val="005B08DD"/>
    <w:rsid w:val="005B0AA8"/>
    <w:rsid w:val="005B7C92"/>
    <w:rsid w:val="005C66EB"/>
    <w:rsid w:val="005C7EFE"/>
    <w:rsid w:val="005D645D"/>
    <w:rsid w:val="005D6A0B"/>
    <w:rsid w:val="005E0DF7"/>
    <w:rsid w:val="005E4C3B"/>
    <w:rsid w:val="005E5640"/>
    <w:rsid w:val="005F23A5"/>
    <w:rsid w:val="005F5AD2"/>
    <w:rsid w:val="005F7241"/>
    <w:rsid w:val="005F7E60"/>
    <w:rsid w:val="00601DF5"/>
    <w:rsid w:val="00602D5A"/>
    <w:rsid w:val="0060675C"/>
    <w:rsid w:val="00607ABB"/>
    <w:rsid w:val="006118EA"/>
    <w:rsid w:val="006139EF"/>
    <w:rsid w:val="00616A22"/>
    <w:rsid w:val="006179D0"/>
    <w:rsid w:val="00621D3B"/>
    <w:rsid w:val="00623476"/>
    <w:rsid w:val="006243A9"/>
    <w:rsid w:val="006262DE"/>
    <w:rsid w:val="00627795"/>
    <w:rsid w:val="006315F0"/>
    <w:rsid w:val="00631CFD"/>
    <w:rsid w:val="00632294"/>
    <w:rsid w:val="00635B83"/>
    <w:rsid w:val="00637985"/>
    <w:rsid w:val="00641FC0"/>
    <w:rsid w:val="006477F3"/>
    <w:rsid w:val="006516C6"/>
    <w:rsid w:val="00653AD7"/>
    <w:rsid w:val="00655FD6"/>
    <w:rsid w:val="00657684"/>
    <w:rsid w:val="00660502"/>
    <w:rsid w:val="006633D7"/>
    <w:rsid w:val="0066418E"/>
    <w:rsid w:val="0066519D"/>
    <w:rsid w:val="00666528"/>
    <w:rsid w:val="006671FA"/>
    <w:rsid w:val="006674FC"/>
    <w:rsid w:val="006675A5"/>
    <w:rsid w:val="00671FBB"/>
    <w:rsid w:val="006743AA"/>
    <w:rsid w:val="0067484B"/>
    <w:rsid w:val="006856C4"/>
    <w:rsid w:val="00685C52"/>
    <w:rsid w:val="0068702B"/>
    <w:rsid w:val="0069117B"/>
    <w:rsid w:val="00694F25"/>
    <w:rsid w:val="0069624A"/>
    <w:rsid w:val="006974E4"/>
    <w:rsid w:val="006A2C4F"/>
    <w:rsid w:val="006A432B"/>
    <w:rsid w:val="006A5F97"/>
    <w:rsid w:val="006A68C4"/>
    <w:rsid w:val="006B01EB"/>
    <w:rsid w:val="006B2B3D"/>
    <w:rsid w:val="006B6D23"/>
    <w:rsid w:val="006C0BC4"/>
    <w:rsid w:val="006C0E47"/>
    <w:rsid w:val="006C1B0F"/>
    <w:rsid w:val="006C24E0"/>
    <w:rsid w:val="006C321F"/>
    <w:rsid w:val="006C6CC9"/>
    <w:rsid w:val="006C795F"/>
    <w:rsid w:val="006C7A92"/>
    <w:rsid w:val="006D05FC"/>
    <w:rsid w:val="006D3F9C"/>
    <w:rsid w:val="006D4597"/>
    <w:rsid w:val="006D45C0"/>
    <w:rsid w:val="006E0683"/>
    <w:rsid w:val="006E4599"/>
    <w:rsid w:val="006E6354"/>
    <w:rsid w:val="006F08E3"/>
    <w:rsid w:val="006F10A8"/>
    <w:rsid w:val="006F1910"/>
    <w:rsid w:val="006F53FD"/>
    <w:rsid w:val="006F6217"/>
    <w:rsid w:val="006F6773"/>
    <w:rsid w:val="006F6FD6"/>
    <w:rsid w:val="006F73A3"/>
    <w:rsid w:val="006F7407"/>
    <w:rsid w:val="007006D9"/>
    <w:rsid w:val="00700A61"/>
    <w:rsid w:val="00703A0F"/>
    <w:rsid w:val="007100CC"/>
    <w:rsid w:val="007118C2"/>
    <w:rsid w:val="0071754E"/>
    <w:rsid w:val="00717BE8"/>
    <w:rsid w:val="0072154D"/>
    <w:rsid w:val="007232F6"/>
    <w:rsid w:val="00726C50"/>
    <w:rsid w:val="007271F2"/>
    <w:rsid w:val="007309B0"/>
    <w:rsid w:val="00732C1E"/>
    <w:rsid w:val="00737361"/>
    <w:rsid w:val="00742CDF"/>
    <w:rsid w:val="00746787"/>
    <w:rsid w:val="0075314A"/>
    <w:rsid w:val="00753166"/>
    <w:rsid w:val="00754C6D"/>
    <w:rsid w:val="0075510F"/>
    <w:rsid w:val="0076217A"/>
    <w:rsid w:val="00766C1A"/>
    <w:rsid w:val="00770A21"/>
    <w:rsid w:val="00771EAE"/>
    <w:rsid w:val="00774761"/>
    <w:rsid w:val="00775DDD"/>
    <w:rsid w:val="00776D1C"/>
    <w:rsid w:val="00777F4A"/>
    <w:rsid w:val="00781227"/>
    <w:rsid w:val="007823D0"/>
    <w:rsid w:val="0079311B"/>
    <w:rsid w:val="00794D61"/>
    <w:rsid w:val="007A4E26"/>
    <w:rsid w:val="007A6437"/>
    <w:rsid w:val="007B51CE"/>
    <w:rsid w:val="007B6B0B"/>
    <w:rsid w:val="007B6CFB"/>
    <w:rsid w:val="007C11FF"/>
    <w:rsid w:val="007C69CD"/>
    <w:rsid w:val="007D042D"/>
    <w:rsid w:val="007D232E"/>
    <w:rsid w:val="007D2882"/>
    <w:rsid w:val="007D363E"/>
    <w:rsid w:val="007E62D7"/>
    <w:rsid w:val="007F0D3D"/>
    <w:rsid w:val="007F15C9"/>
    <w:rsid w:val="007F1F64"/>
    <w:rsid w:val="007F2B02"/>
    <w:rsid w:val="00802C11"/>
    <w:rsid w:val="00805E54"/>
    <w:rsid w:val="0080683F"/>
    <w:rsid w:val="00807317"/>
    <w:rsid w:val="00810789"/>
    <w:rsid w:val="00811DFB"/>
    <w:rsid w:val="008208C7"/>
    <w:rsid w:val="008211B0"/>
    <w:rsid w:val="00821CA7"/>
    <w:rsid w:val="008260E0"/>
    <w:rsid w:val="0082754D"/>
    <w:rsid w:val="00830095"/>
    <w:rsid w:val="00831135"/>
    <w:rsid w:val="00833575"/>
    <w:rsid w:val="008355EE"/>
    <w:rsid w:val="008361AC"/>
    <w:rsid w:val="00836576"/>
    <w:rsid w:val="0083760F"/>
    <w:rsid w:val="00841DDD"/>
    <w:rsid w:val="008431C6"/>
    <w:rsid w:val="00844E3D"/>
    <w:rsid w:val="00845D96"/>
    <w:rsid w:val="008504F9"/>
    <w:rsid w:val="00852139"/>
    <w:rsid w:val="008560CB"/>
    <w:rsid w:val="0086372A"/>
    <w:rsid w:val="00865DB4"/>
    <w:rsid w:val="00866AEE"/>
    <w:rsid w:val="00870498"/>
    <w:rsid w:val="00871403"/>
    <w:rsid w:val="00873989"/>
    <w:rsid w:val="00877C1E"/>
    <w:rsid w:val="00880C78"/>
    <w:rsid w:val="008813C5"/>
    <w:rsid w:val="008814E3"/>
    <w:rsid w:val="00882A73"/>
    <w:rsid w:val="0088445D"/>
    <w:rsid w:val="00887392"/>
    <w:rsid w:val="00890662"/>
    <w:rsid w:val="0089437F"/>
    <w:rsid w:val="0089647C"/>
    <w:rsid w:val="0089684F"/>
    <w:rsid w:val="0089713A"/>
    <w:rsid w:val="008A0FCE"/>
    <w:rsid w:val="008A1588"/>
    <w:rsid w:val="008A1AA3"/>
    <w:rsid w:val="008A1D0D"/>
    <w:rsid w:val="008A1F5B"/>
    <w:rsid w:val="008A28A5"/>
    <w:rsid w:val="008A406E"/>
    <w:rsid w:val="008A7525"/>
    <w:rsid w:val="008B10FF"/>
    <w:rsid w:val="008B342B"/>
    <w:rsid w:val="008B69CB"/>
    <w:rsid w:val="008C0DED"/>
    <w:rsid w:val="008C6C69"/>
    <w:rsid w:val="008E306E"/>
    <w:rsid w:val="008E45FE"/>
    <w:rsid w:val="008E6063"/>
    <w:rsid w:val="008F2A80"/>
    <w:rsid w:val="008F3B95"/>
    <w:rsid w:val="00900B53"/>
    <w:rsid w:val="00901015"/>
    <w:rsid w:val="00901468"/>
    <w:rsid w:val="0090174C"/>
    <w:rsid w:val="0090330A"/>
    <w:rsid w:val="009037BD"/>
    <w:rsid w:val="00905097"/>
    <w:rsid w:val="009062A2"/>
    <w:rsid w:val="00906C5E"/>
    <w:rsid w:val="00906DA9"/>
    <w:rsid w:val="0092109C"/>
    <w:rsid w:val="009225BE"/>
    <w:rsid w:val="0092583D"/>
    <w:rsid w:val="00932688"/>
    <w:rsid w:val="00933426"/>
    <w:rsid w:val="00934057"/>
    <w:rsid w:val="0093592E"/>
    <w:rsid w:val="0093645A"/>
    <w:rsid w:val="00936A28"/>
    <w:rsid w:val="00936F23"/>
    <w:rsid w:val="00950E78"/>
    <w:rsid w:val="0095470B"/>
    <w:rsid w:val="00955AE5"/>
    <w:rsid w:val="00957F16"/>
    <w:rsid w:val="009603E9"/>
    <w:rsid w:val="00964865"/>
    <w:rsid w:val="00973E8F"/>
    <w:rsid w:val="00975E57"/>
    <w:rsid w:val="009808C4"/>
    <w:rsid w:val="00980C81"/>
    <w:rsid w:val="00983722"/>
    <w:rsid w:val="00985F73"/>
    <w:rsid w:val="009900A9"/>
    <w:rsid w:val="00990B32"/>
    <w:rsid w:val="00990D82"/>
    <w:rsid w:val="0099639D"/>
    <w:rsid w:val="00996C5E"/>
    <w:rsid w:val="009974F5"/>
    <w:rsid w:val="009A0667"/>
    <w:rsid w:val="009A0784"/>
    <w:rsid w:val="009B0F03"/>
    <w:rsid w:val="009B0FD4"/>
    <w:rsid w:val="009B4BE8"/>
    <w:rsid w:val="009B56DA"/>
    <w:rsid w:val="009B5CB3"/>
    <w:rsid w:val="009B7160"/>
    <w:rsid w:val="009C649A"/>
    <w:rsid w:val="009D2136"/>
    <w:rsid w:val="009D4FB3"/>
    <w:rsid w:val="009D76D9"/>
    <w:rsid w:val="009E394B"/>
    <w:rsid w:val="009E627B"/>
    <w:rsid w:val="009E79C1"/>
    <w:rsid w:val="009F0835"/>
    <w:rsid w:val="009F5369"/>
    <w:rsid w:val="00A00D9B"/>
    <w:rsid w:val="00A04FCF"/>
    <w:rsid w:val="00A20710"/>
    <w:rsid w:val="00A27D49"/>
    <w:rsid w:val="00A32F47"/>
    <w:rsid w:val="00A3389F"/>
    <w:rsid w:val="00A34701"/>
    <w:rsid w:val="00A36002"/>
    <w:rsid w:val="00A367FF"/>
    <w:rsid w:val="00A37BCF"/>
    <w:rsid w:val="00A43439"/>
    <w:rsid w:val="00A50E72"/>
    <w:rsid w:val="00A52FFA"/>
    <w:rsid w:val="00A53201"/>
    <w:rsid w:val="00A5722F"/>
    <w:rsid w:val="00A61769"/>
    <w:rsid w:val="00A63C59"/>
    <w:rsid w:val="00A65480"/>
    <w:rsid w:val="00A70CD9"/>
    <w:rsid w:val="00A710C7"/>
    <w:rsid w:val="00A71E90"/>
    <w:rsid w:val="00A72F07"/>
    <w:rsid w:val="00A74241"/>
    <w:rsid w:val="00A74EB7"/>
    <w:rsid w:val="00A75958"/>
    <w:rsid w:val="00A76112"/>
    <w:rsid w:val="00A77843"/>
    <w:rsid w:val="00A83E62"/>
    <w:rsid w:val="00A841B5"/>
    <w:rsid w:val="00A8534B"/>
    <w:rsid w:val="00A863B7"/>
    <w:rsid w:val="00A8686B"/>
    <w:rsid w:val="00A91DE7"/>
    <w:rsid w:val="00A9237C"/>
    <w:rsid w:val="00AA15DE"/>
    <w:rsid w:val="00AA2114"/>
    <w:rsid w:val="00AA323D"/>
    <w:rsid w:val="00AA3CEC"/>
    <w:rsid w:val="00AA4892"/>
    <w:rsid w:val="00AA6C06"/>
    <w:rsid w:val="00AB128E"/>
    <w:rsid w:val="00AB6079"/>
    <w:rsid w:val="00AC117D"/>
    <w:rsid w:val="00AC14C2"/>
    <w:rsid w:val="00AC18D9"/>
    <w:rsid w:val="00AC47AE"/>
    <w:rsid w:val="00AC4F3C"/>
    <w:rsid w:val="00AD111C"/>
    <w:rsid w:val="00AD1A62"/>
    <w:rsid w:val="00AD2F12"/>
    <w:rsid w:val="00AD3113"/>
    <w:rsid w:val="00AD5C23"/>
    <w:rsid w:val="00AE0B6F"/>
    <w:rsid w:val="00AE6391"/>
    <w:rsid w:val="00AE6E9D"/>
    <w:rsid w:val="00AF0806"/>
    <w:rsid w:val="00AF120B"/>
    <w:rsid w:val="00AF2131"/>
    <w:rsid w:val="00AF23E2"/>
    <w:rsid w:val="00AF2EEC"/>
    <w:rsid w:val="00AF3496"/>
    <w:rsid w:val="00AF734C"/>
    <w:rsid w:val="00B036D5"/>
    <w:rsid w:val="00B045C8"/>
    <w:rsid w:val="00B04B09"/>
    <w:rsid w:val="00B07E05"/>
    <w:rsid w:val="00B12496"/>
    <w:rsid w:val="00B133B5"/>
    <w:rsid w:val="00B14AE3"/>
    <w:rsid w:val="00B16746"/>
    <w:rsid w:val="00B16E56"/>
    <w:rsid w:val="00B172B8"/>
    <w:rsid w:val="00B1761F"/>
    <w:rsid w:val="00B22832"/>
    <w:rsid w:val="00B2432D"/>
    <w:rsid w:val="00B26FCE"/>
    <w:rsid w:val="00B27274"/>
    <w:rsid w:val="00B3406B"/>
    <w:rsid w:val="00B346C3"/>
    <w:rsid w:val="00B3580B"/>
    <w:rsid w:val="00B36A2D"/>
    <w:rsid w:val="00B36CF4"/>
    <w:rsid w:val="00B418B8"/>
    <w:rsid w:val="00B42DB4"/>
    <w:rsid w:val="00B45084"/>
    <w:rsid w:val="00B515E8"/>
    <w:rsid w:val="00B51975"/>
    <w:rsid w:val="00B51B83"/>
    <w:rsid w:val="00B56502"/>
    <w:rsid w:val="00B57625"/>
    <w:rsid w:val="00B57DA6"/>
    <w:rsid w:val="00B602ED"/>
    <w:rsid w:val="00B6163A"/>
    <w:rsid w:val="00B623A4"/>
    <w:rsid w:val="00B628A1"/>
    <w:rsid w:val="00B628A8"/>
    <w:rsid w:val="00B65BDE"/>
    <w:rsid w:val="00B73EA6"/>
    <w:rsid w:val="00B74B36"/>
    <w:rsid w:val="00B8050C"/>
    <w:rsid w:val="00B81454"/>
    <w:rsid w:val="00B931DC"/>
    <w:rsid w:val="00B95166"/>
    <w:rsid w:val="00B95420"/>
    <w:rsid w:val="00BA1C85"/>
    <w:rsid w:val="00BA29DF"/>
    <w:rsid w:val="00BA62EF"/>
    <w:rsid w:val="00BA78CA"/>
    <w:rsid w:val="00BB07CA"/>
    <w:rsid w:val="00BB0929"/>
    <w:rsid w:val="00BB573F"/>
    <w:rsid w:val="00BB5B99"/>
    <w:rsid w:val="00BB6727"/>
    <w:rsid w:val="00BB7E48"/>
    <w:rsid w:val="00BC1730"/>
    <w:rsid w:val="00BC2639"/>
    <w:rsid w:val="00BC4ABA"/>
    <w:rsid w:val="00BC60BD"/>
    <w:rsid w:val="00BD1904"/>
    <w:rsid w:val="00BE01AC"/>
    <w:rsid w:val="00BE1254"/>
    <w:rsid w:val="00BE3F99"/>
    <w:rsid w:val="00BE675D"/>
    <w:rsid w:val="00BF0C75"/>
    <w:rsid w:val="00BF0F76"/>
    <w:rsid w:val="00BF2C1E"/>
    <w:rsid w:val="00BF2C64"/>
    <w:rsid w:val="00BF2ECC"/>
    <w:rsid w:val="00BF508C"/>
    <w:rsid w:val="00C023EC"/>
    <w:rsid w:val="00C02B05"/>
    <w:rsid w:val="00C04C5A"/>
    <w:rsid w:val="00C06207"/>
    <w:rsid w:val="00C151EC"/>
    <w:rsid w:val="00C1571F"/>
    <w:rsid w:val="00C15C61"/>
    <w:rsid w:val="00C2127A"/>
    <w:rsid w:val="00C22C97"/>
    <w:rsid w:val="00C246A0"/>
    <w:rsid w:val="00C261BE"/>
    <w:rsid w:val="00C31EF0"/>
    <w:rsid w:val="00C31FFC"/>
    <w:rsid w:val="00C363BD"/>
    <w:rsid w:val="00C374CC"/>
    <w:rsid w:val="00C40FAC"/>
    <w:rsid w:val="00C4313F"/>
    <w:rsid w:val="00C45F46"/>
    <w:rsid w:val="00C46D8F"/>
    <w:rsid w:val="00C51D19"/>
    <w:rsid w:val="00C53B4A"/>
    <w:rsid w:val="00C55170"/>
    <w:rsid w:val="00C56A28"/>
    <w:rsid w:val="00C57D03"/>
    <w:rsid w:val="00C600DF"/>
    <w:rsid w:val="00C60387"/>
    <w:rsid w:val="00C627E4"/>
    <w:rsid w:val="00C70DEE"/>
    <w:rsid w:val="00C8055A"/>
    <w:rsid w:val="00C81783"/>
    <w:rsid w:val="00C8311A"/>
    <w:rsid w:val="00C86F20"/>
    <w:rsid w:val="00C921CA"/>
    <w:rsid w:val="00C9667B"/>
    <w:rsid w:val="00CA0DBF"/>
    <w:rsid w:val="00CA5B16"/>
    <w:rsid w:val="00CB068A"/>
    <w:rsid w:val="00CB0AE1"/>
    <w:rsid w:val="00CB42E8"/>
    <w:rsid w:val="00CB77A6"/>
    <w:rsid w:val="00CC1F16"/>
    <w:rsid w:val="00CC5AC8"/>
    <w:rsid w:val="00CD0CD4"/>
    <w:rsid w:val="00CD1851"/>
    <w:rsid w:val="00CD2830"/>
    <w:rsid w:val="00CD7C0A"/>
    <w:rsid w:val="00CE3A9C"/>
    <w:rsid w:val="00CE3EE4"/>
    <w:rsid w:val="00CE4577"/>
    <w:rsid w:val="00CF3C27"/>
    <w:rsid w:val="00CF47E4"/>
    <w:rsid w:val="00CF7524"/>
    <w:rsid w:val="00D01511"/>
    <w:rsid w:val="00D01A7D"/>
    <w:rsid w:val="00D22BA8"/>
    <w:rsid w:val="00D25958"/>
    <w:rsid w:val="00D32A17"/>
    <w:rsid w:val="00D32AC4"/>
    <w:rsid w:val="00D3347A"/>
    <w:rsid w:val="00D34318"/>
    <w:rsid w:val="00D44E8C"/>
    <w:rsid w:val="00D46D1F"/>
    <w:rsid w:val="00D478A9"/>
    <w:rsid w:val="00D50337"/>
    <w:rsid w:val="00D55DF4"/>
    <w:rsid w:val="00D57078"/>
    <w:rsid w:val="00D57DE3"/>
    <w:rsid w:val="00D6007F"/>
    <w:rsid w:val="00D62F4E"/>
    <w:rsid w:val="00D6319D"/>
    <w:rsid w:val="00D65C21"/>
    <w:rsid w:val="00D72153"/>
    <w:rsid w:val="00D73606"/>
    <w:rsid w:val="00D74D00"/>
    <w:rsid w:val="00D76560"/>
    <w:rsid w:val="00D80018"/>
    <w:rsid w:val="00D80977"/>
    <w:rsid w:val="00D8185E"/>
    <w:rsid w:val="00D844BB"/>
    <w:rsid w:val="00D91F7A"/>
    <w:rsid w:val="00D92FAD"/>
    <w:rsid w:val="00D9712B"/>
    <w:rsid w:val="00D975E0"/>
    <w:rsid w:val="00DA03D1"/>
    <w:rsid w:val="00DA0C4B"/>
    <w:rsid w:val="00DA1D46"/>
    <w:rsid w:val="00DA2364"/>
    <w:rsid w:val="00DA5759"/>
    <w:rsid w:val="00DB4C61"/>
    <w:rsid w:val="00DC0C06"/>
    <w:rsid w:val="00DC4482"/>
    <w:rsid w:val="00DC6F54"/>
    <w:rsid w:val="00DD0D59"/>
    <w:rsid w:val="00DD1E05"/>
    <w:rsid w:val="00DD23F0"/>
    <w:rsid w:val="00DD2CCC"/>
    <w:rsid w:val="00DD72E5"/>
    <w:rsid w:val="00DE136B"/>
    <w:rsid w:val="00DE2473"/>
    <w:rsid w:val="00DE318D"/>
    <w:rsid w:val="00DE4DF0"/>
    <w:rsid w:val="00DE5426"/>
    <w:rsid w:val="00DE7D3A"/>
    <w:rsid w:val="00DE7F49"/>
    <w:rsid w:val="00DF1C04"/>
    <w:rsid w:val="00DF246B"/>
    <w:rsid w:val="00DF2E65"/>
    <w:rsid w:val="00DF322F"/>
    <w:rsid w:val="00DF416C"/>
    <w:rsid w:val="00E018EC"/>
    <w:rsid w:val="00E03116"/>
    <w:rsid w:val="00E06926"/>
    <w:rsid w:val="00E06927"/>
    <w:rsid w:val="00E07CBE"/>
    <w:rsid w:val="00E10961"/>
    <w:rsid w:val="00E17282"/>
    <w:rsid w:val="00E212AB"/>
    <w:rsid w:val="00E235F0"/>
    <w:rsid w:val="00E24523"/>
    <w:rsid w:val="00E27523"/>
    <w:rsid w:val="00E31748"/>
    <w:rsid w:val="00E3295C"/>
    <w:rsid w:val="00E32DF7"/>
    <w:rsid w:val="00E366A0"/>
    <w:rsid w:val="00E37A16"/>
    <w:rsid w:val="00E41CE1"/>
    <w:rsid w:val="00E422F5"/>
    <w:rsid w:val="00E46338"/>
    <w:rsid w:val="00E467D0"/>
    <w:rsid w:val="00E52EDF"/>
    <w:rsid w:val="00E5304F"/>
    <w:rsid w:val="00E54BE1"/>
    <w:rsid w:val="00E60720"/>
    <w:rsid w:val="00E62CC3"/>
    <w:rsid w:val="00E644ED"/>
    <w:rsid w:val="00E721CE"/>
    <w:rsid w:val="00E74757"/>
    <w:rsid w:val="00E86069"/>
    <w:rsid w:val="00E902CD"/>
    <w:rsid w:val="00E90F95"/>
    <w:rsid w:val="00E92541"/>
    <w:rsid w:val="00E942C0"/>
    <w:rsid w:val="00E9525F"/>
    <w:rsid w:val="00E95AB1"/>
    <w:rsid w:val="00EA1A6A"/>
    <w:rsid w:val="00EA51D9"/>
    <w:rsid w:val="00EB4B6A"/>
    <w:rsid w:val="00EB771A"/>
    <w:rsid w:val="00EC0F1A"/>
    <w:rsid w:val="00EC14A7"/>
    <w:rsid w:val="00EC14CE"/>
    <w:rsid w:val="00EC239B"/>
    <w:rsid w:val="00EC5F22"/>
    <w:rsid w:val="00ED31E7"/>
    <w:rsid w:val="00ED6D65"/>
    <w:rsid w:val="00EE0ABA"/>
    <w:rsid w:val="00EE105A"/>
    <w:rsid w:val="00EE1577"/>
    <w:rsid w:val="00EE2F20"/>
    <w:rsid w:val="00EF1409"/>
    <w:rsid w:val="00EF211F"/>
    <w:rsid w:val="00EF6C2D"/>
    <w:rsid w:val="00EF7E66"/>
    <w:rsid w:val="00F0044F"/>
    <w:rsid w:val="00F00A8A"/>
    <w:rsid w:val="00F01076"/>
    <w:rsid w:val="00F03FFF"/>
    <w:rsid w:val="00F07A08"/>
    <w:rsid w:val="00F119AF"/>
    <w:rsid w:val="00F13525"/>
    <w:rsid w:val="00F13E8F"/>
    <w:rsid w:val="00F16CA0"/>
    <w:rsid w:val="00F173B1"/>
    <w:rsid w:val="00F21AAA"/>
    <w:rsid w:val="00F31974"/>
    <w:rsid w:val="00F3376B"/>
    <w:rsid w:val="00F34A7F"/>
    <w:rsid w:val="00F34C55"/>
    <w:rsid w:val="00F350E0"/>
    <w:rsid w:val="00F3555C"/>
    <w:rsid w:val="00F35BE1"/>
    <w:rsid w:val="00F41948"/>
    <w:rsid w:val="00F447B7"/>
    <w:rsid w:val="00F44FE3"/>
    <w:rsid w:val="00F5009E"/>
    <w:rsid w:val="00F51C0E"/>
    <w:rsid w:val="00F5241F"/>
    <w:rsid w:val="00F534C8"/>
    <w:rsid w:val="00F53A92"/>
    <w:rsid w:val="00F55B17"/>
    <w:rsid w:val="00F55BFF"/>
    <w:rsid w:val="00F55E01"/>
    <w:rsid w:val="00F5727D"/>
    <w:rsid w:val="00F60CF6"/>
    <w:rsid w:val="00F62F8E"/>
    <w:rsid w:val="00F63517"/>
    <w:rsid w:val="00F64EC1"/>
    <w:rsid w:val="00F651CE"/>
    <w:rsid w:val="00F67159"/>
    <w:rsid w:val="00F67277"/>
    <w:rsid w:val="00F71B99"/>
    <w:rsid w:val="00F7356E"/>
    <w:rsid w:val="00F812E7"/>
    <w:rsid w:val="00F8392E"/>
    <w:rsid w:val="00F84BC2"/>
    <w:rsid w:val="00F9153F"/>
    <w:rsid w:val="00F94DBF"/>
    <w:rsid w:val="00F95222"/>
    <w:rsid w:val="00F9658C"/>
    <w:rsid w:val="00F97B89"/>
    <w:rsid w:val="00FA1680"/>
    <w:rsid w:val="00FA1B34"/>
    <w:rsid w:val="00FA4899"/>
    <w:rsid w:val="00FA4C3A"/>
    <w:rsid w:val="00FA79F6"/>
    <w:rsid w:val="00FB2120"/>
    <w:rsid w:val="00FB407C"/>
    <w:rsid w:val="00FB5509"/>
    <w:rsid w:val="00FB5B25"/>
    <w:rsid w:val="00FB62B3"/>
    <w:rsid w:val="00FB6DA4"/>
    <w:rsid w:val="00FC2B2D"/>
    <w:rsid w:val="00FC4184"/>
    <w:rsid w:val="00FC50AE"/>
    <w:rsid w:val="00FC6DCD"/>
    <w:rsid w:val="00FC7CC8"/>
    <w:rsid w:val="00FD70D8"/>
    <w:rsid w:val="00FD7B53"/>
    <w:rsid w:val="00FE3B9A"/>
    <w:rsid w:val="00FE46D3"/>
    <w:rsid w:val="00FE46F4"/>
    <w:rsid w:val="00FE4DC9"/>
    <w:rsid w:val="00FE7CA2"/>
    <w:rsid w:val="00FF1D15"/>
    <w:rsid w:val="00FF2F4F"/>
    <w:rsid w:val="00FF4827"/>
    <w:rsid w:val="01393961"/>
    <w:rsid w:val="01720A1B"/>
    <w:rsid w:val="01895F66"/>
    <w:rsid w:val="01AA3877"/>
    <w:rsid w:val="01BB765C"/>
    <w:rsid w:val="01FE3350"/>
    <w:rsid w:val="01FE3B56"/>
    <w:rsid w:val="020D5122"/>
    <w:rsid w:val="027619AC"/>
    <w:rsid w:val="029A38EC"/>
    <w:rsid w:val="02B81FC4"/>
    <w:rsid w:val="02EF314B"/>
    <w:rsid w:val="03224562"/>
    <w:rsid w:val="035B684B"/>
    <w:rsid w:val="03927F86"/>
    <w:rsid w:val="042F48EA"/>
    <w:rsid w:val="0433224A"/>
    <w:rsid w:val="044429C2"/>
    <w:rsid w:val="0492610D"/>
    <w:rsid w:val="04A24CDA"/>
    <w:rsid w:val="04D669EA"/>
    <w:rsid w:val="0534503D"/>
    <w:rsid w:val="053C0C8A"/>
    <w:rsid w:val="05EE0B40"/>
    <w:rsid w:val="065C2940"/>
    <w:rsid w:val="07155C37"/>
    <w:rsid w:val="0753050D"/>
    <w:rsid w:val="084A21A0"/>
    <w:rsid w:val="085B58CB"/>
    <w:rsid w:val="088017D6"/>
    <w:rsid w:val="0956439C"/>
    <w:rsid w:val="09AF57E4"/>
    <w:rsid w:val="0A053D41"/>
    <w:rsid w:val="0A5927C6"/>
    <w:rsid w:val="0A892E48"/>
    <w:rsid w:val="0B646560"/>
    <w:rsid w:val="0BA537DB"/>
    <w:rsid w:val="0BAD0DE9"/>
    <w:rsid w:val="0BB562B0"/>
    <w:rsid w:val="0BCD436B"/>
    <w:rsid w:val="0BDF12EB"/>
    <w:rsid w:val="0C2D6852"/>
    <w:rsid w:val="0C5C611D"/>
    <w:rsid w:val="0CE560AB"/>
    <w:rsid w:val="0D260BD2"/>
    <w:rsid w:val="0D3560FD"/>
    <w:rsid w:val="0D36166F"/>
    <w:rsid w:val="0D6F5208"/>
    <w:rsid w:val="0D7B118C"/>
    <w:rsid w:val="0D8458C4"/>
    <w:rsid w:val="0DA43871"/>
    <w:rsid w:val="0DC3593C"/>
    <w:rsid w:val="0DE77A82"/>
    <w:rsid w:val="0ED82BF1"/>
    <w:rsid w:val="0F17333D"/>
    <w:rsid w:val="0FA933C0"/>
    <w:rsid w:val="0FE84696"/>
    <w:rsid w:val="100F100C"/>
    <w:rsid w:val="10190546"/>
    <w:rsid w:val="105F500C"/>
    <w:rsid w:val="10A2678D"/>
    <w:rsid w:val="10FF17E1"/>
    <w:rsid w:val="11026FCE"/>
    <w:rsid w:val="114E7CFA"/>
    <w:rsid w:val="12706417"/>
    <w:rsid w:val="12CC2248"/>
    <w:rsid w:val="12CF1390"/>
    <w:rsid w:val="1332046B"/>
    <w:rsid w:val="13C96191"/>
    <w:rsid w:val="13D25FD3"/>
    <w:rsid w:val="14107EB2"/>
    <w:rsid w:val="141330FE"/>
    <w:rsid w:val="142457BE"/>
    <w:rsid w:val="14261483"/>
    <w:rsid w:val="142F5989"/>
    <w:rsid w:val="14885E31"/>
    <w:rsid w:val="15033B58"/>
    <w:rsid w:val="15802E15"/>
    <w:rsid w:val="15C34AB0"/>
    <w:rsid w:val="15C743E2"/>
    <w:rsid w:val="161378D0"/>
    <w:rsid w:val="161A49FB"/>
    <w:rsid w:val="162946D6"/>
    <w:rsid w:val="16566776"/>
    <w:rsid w:val="169B5C26"/>
    <w:rsid w:val="16F70EB5"/>
    <w:rsid w:val="17013AE2"/>
    <w:rsid w:val="17587224"/>
    <w:rsid w:val="18061158"/>
    <w:rsid w:val="18090E9B"/>
    <w:rsid w:val="18622AE5"/>
    <w:rsid w:val="18784278"/>
    <w:rsid w:val="18794099"/>
    <w:rsid w:val="187E113A"/>
    <w:rsid w:val="18AC1086"/>
    <w:rsid w:val="18F0755F"/>
    <w:rsid w:val="190B0C48"/>
    <w:rsid w:val="1921710E"/>
    <w:rsid w:val="19397FF3"/>
    <w:rsid w:val="1949053F"/>
    <w:rsid w:val="19B1055A"/>
    <w:rsid w:val="1A1E681A"/>
    <w:rsid w:val="1A5E2EFF"/>
    <w:rsid w:val="1AE16104"/>
    <w:rsid w:val="1B257343"/>
    <w:rsid w:val="1B550FE4"/>
    <w:rsid w:val="1BD8246D"/>
    <w:rsid w:val="1CB93F8E"/>
    <w:rsid w:val="1CF26999"/>
    <w:rsid w:val="1D0870FF"/>
    <w:rsid w:val="1D303373"/>
    <w:rsid w:val="1D666D95"/>
    <w:rsid w:val="1D725541"/>
    <w:rsid w:val="1D81336E"/>
    <w:rsid w:val="1D892180"/>
    <w:rsid w:val="1E024F05"/>
    <w:rsid w:val="1E57588B"/>
    <w:rsid w:val="1EDE428E"/>
    <w:rsid w:val="1EE2069D"/>
    <w:rsid w:val="1F7A2683"/>
    <w:rsid w:val="200308CB"/>
    <w:rsid w:val="204868F0"/>
    <w:rsid w:val="20692E24"/>
    <w:rsid w:val="206D58F6"/>
    <w:rsid w:val="2198293B"/>
    <w:rsid w:val="21FB0BD1"/>
    <w:rsid w:val="22353B2B"/>
    <w:rsid w:val="229E0437"/>
    <w:rsid w:val="22D84291"/>
    <w:rsid w:val="22F97705"/>
    <w:rsid w:val="23122559"/>
    <w:rsid w:val="234F1140"/>
    <w:rsid w:val="23D51490"/>
    <w:rsid w:val="23EB67CD"/>
    <w:rsid w:val="24403DB4"/>
    <w:rsid w:val="24594F5D"/>
    <w:rsid w:val="24727DCD"/>
    <w:rsid w:val="24806868"/>
    <w:rsid w:val="257302A1"/>
    <w:rsid w:val="25E82A3D"/>
    <w:rsid w:val="261B679F"/>
    <w:rsid w:val="26706F3A"/>
    <w:rsid w:val="267C2358"/>
    <w:rsid w:val="2694227D"/>
    <w:rsid w:val="26C541EC"/>
    <w:rsid w:val="26E85CAF"/>
    <w:rsid w:val="26F27C71"/>
    <w:rsid w:val="2791625E"/>
    <w:rsid w:val="279D6630"/>
    <w:rsid w:val="279F7900"/>
    <w:rsid w:val="27CA7114"/>
    <w:rsid w:val="284D24AC"/>
    <w:rsid w:val="28C40D70"/>
    <w:rsid w:val="28F44236"/>
    <w:rsid w:val="29704EF3"/>
    <w:rsid w:val="29814537"/>
    <w:rsid w:val="29B57E38"/>
    <w:rsid w:val="2A0F7564"/>
    <w:rsid w:val="2B0D67AD"/>
    <w:rsid w:val="2B425F3A"/>
    <w:rsid w:val="2B8C5C18"/>
    <w:rsid w:val="2C1F4AA1"/>
    <w:rsid w:val="2C9F3729"/>
    <w:rsid w:val="2CE02702"/>
    <w:rsid w:val="2CE6709D"/>
    <w:rsid w:val="2D000EFA"/>
    <w:rsid w:val="2D104627"/>
    <w:rsid w:val="2D136F42"/>
    <w:rsid w:val="2D200D0E"/>
    <w:rsid w:val="2D4D13D7"/>
    <w:rsid w:val="2DDB2D72"/>
    <w:rsid w:val="2ED90F89"/>
    <w:rsid w:val="2EF00F5D"/>
    <w:rsid w:val="2EF93A12"/>
    <w:rsid w:val="2F4607D4"/>
    <w:rsid w:val="2FC46D1B"/>
    <w:rsid w:val="2FEF6776"/>
    <w:rsid w:val="30023CC8"/>
    <w:rsid w:val="3062163D"/>
    <w:rsid w:val="3077469A"/>
    <w:rsid w:val="308C0433"/>
    <w:rsid w:val="309F37B6"/>
    <w:rsid w:val="30BC518D"/>
    <w:rsid w:val="30F015EC"/>
    <w:rsid w:val="30F86F89"/>
    <w:rsid w:val="31611DA6"/>
    <w:rsid w:val="31D02811"/>
    <w:rsid w:val="32491521"/>
    <w:rsid w:val="33114C55"/>
    <w:rsid w:val="33574AE3"/>
    <w:rsid w:val="336E44D6"/>
    <w:rsid w:val="337819C3"/>
    <w:rsid w:val="33B73A4E"/>
    <w:rsid w:val="34542C62"/>
    <w:rsid w:val="346C6D1E"/>
    <w:rsid w:val="35453974"/>
    <w:rsid w:val="35AE7CB6"/>
    <w:rsid w:val="361E7B80"/>
    <w:rsid w:val="36625EB7"/>
    <w:rsid w:val="37782338"/>
    <w:rsid w:val="37BE0AC6"/>
    <w:rsid w:val="37F3212D"/>
    <w:rsid w:val="37FD7471"/>
    <w:rsid w:val="385126F9"/>
    <w:rsid w:val="38560221"/>
    <w:rsid w:val="386D2F02"/>
    <w:rsid w:val="38783C5E"/>
    <w:rsid w:val="388A6711"/>
    <w:rsid w:val="38984C65"/>
    <w:rsid w:val="39170C14"/>
    <w:rsid w:val="391B07C5"/>
    <w:rsid w:val="392D6CD6"/>
    <w:rsid w:val="398979AF"/>
    <w:rsid w:val="39EE09DF"/>
    <w:rsid w:val="3A01440B"/>
    <w:rsid w:val="3A2B22D6"/>
    <w:rsid w:val="3A2D2688"/>
    <w:rsid w:val="3AE475E1"/>
    <w:rsid w:val="3AF02707"/>
    <w:rsid w:val="3B527932"/>
    <w:rsid w:val="3BFE60F6"/>
    <w:rsid w:val="3C1B31B8"/>
    <w:rsid w:val="3C3771B0"/>
    <w:rsid w:val="3C63394E"/>
    <w:rsid w:val="3C917995"/>
    <w:rsid w:val="3D0B10C1"/>
    <w:rsid w:val="3D45573E"/>
    <w:rsid w:val="3D4C1A5C"/>
    <w:rsid w:val="3D6036D4"/>
    <w:rsid w:val="3D684196"/>
    <w:rsid w:val="3D8250CD"/>
    <w:rsid w:val="3DAD7C7A"/>
    <w:rsid w:val="3DEB2C72"/>
    <w:rsid w:val="3E02481D"/>
    <w:rsid w:val="3E630A5B"/>
    <w:rsid w:val="3E6F38A3"/>
    <w:rsid w:val="3EC41867"/>
    <w:rsid w:val="3EDB5BC6"/>
    <w:rsid w:val="3F240869"/>
    <w:rsid w:val="3F3278E9"/>
    <w:rsid w:val="3F747F01"/>
    <w:rsid w:val="3FD855A8"/>
    <w:rsid w:val="3FF2288E"/>
    <w:rsid w:val="40583EC3"/>
    <w:rsid w:val="40E662B4"/>
    <w:rsid w:val="41183185"/>
    <w:rsid w:val="41193F15"/>
    <w:rsid w:val="41845821"/>
    <w:rsid w:val="419550CE"/>
    <w:rsid w:val="42B21F0C"/>
    <w:rsid w:val="42FB4821"/>
    <w:rsid w:val="4303324A"/>
    <w:rsid w:val="43536811"/>
    <w:rsid w:val="436D789E"/>
    <w:rsid w:val="43880010"/>
    <w:rsid w:val="43994F1E"/>
    <w:rsid w:val="43A531A4"/>
    <w:rsid w:val="43A85B37"/>
    <w:rsid w:val="43D45F57"/>
    <w:rsid w:val="44941F60"/>
    <w:rsid w:val="44B049A7"/>
    <w:rsid w:val="44FB4C6B"/>
    <w:rsid w:val="451A208F"/>
    <w:rsid w:val="463F1DAD"/>
    <w:rsid w:val="465D2786"/>
    <w:rsid w:val="47D75F11"/>
    <w:rsid w:val="47E32E6D"/>
    <w:rsid w:val="47FA4000"/>
    <w:rsid w:val="482D261C"/>
    <w:rsid w:val="484D31A3"/>
    <w:rsid w:val="4860600B"/>
    <w:rsid w:val="486125A1"/>
    <w:rsid w:val="48645885"/>
    <w:rsid w:val="487338BA"/>
    <w:rsid w:val="489F2FD7"/>
    <w:rsid w:val="48AC2E61"/>
    <w:rsid w:val="48B541CA"/>
    <w:rsid w:val="496140CE"/>
    <w:rsid w:val="496D4E83"/>
    <w:rsid w:val="49ED6CA4"/>
    <w:rsid w:val="49FA418A"/>
    <w:rsid w:val="4AAF5028"/>
    <w:rsid w:val="4ABC1F93"/>
    <w:rsid w:val="4AC640FD"/>
    <w:rsid w:val="4ACA0C90"/>
    <w:rsid w:val="4B5A58D3"/>
    <w:rsid w:val="4B887D52"/>
    <w:rsid w:val="4BC92119"/>
    <w:rsid w:val="4BE739E7"/>
    <w:rsid w:val="4C1D5AF9"/>
    <w:rsid w:val="4C6F0F12"/>
    <w:rsid w:val="4C9D46BB"/>
    <w:rsid w:val="4CB26740"/>
    <w:rsid w:val="4CE7337C"/>
    <w:rsid w:val="4D183358"/>
    <w:rsid w:val="4D297313"/>
    <w:rsid w:val="4D5C51F9"/>
    <w:rsid w:val="4D7C5A61"/>
    <w:rsid w:val="4D9E627F"/>
    <w:rsid w:val="4DA50D3A"/>
    <w:rsid w:val="4DE2750C"/>
    <w:rsid w:val="4DEE56A0"/>
    <w:rsid w:val="4E4E354A"/>
    <w:rsid w:val="4E9D2E60"/>
    <w:rsid w:val="4EC516E5"/>
    <w:rsid w:val="4F495A4B"/>
    <w:rsid w:val="4F923D0C"/>
    <w:rsid w:val="4FD15CD0"/>
    <w:rsid w:val="5075461D"/>
    <w:rsid w:val="50F542B0"/>
    <w:rsid w:val="512C1180"/>
    <w:rsid w:val="51712933"/>
    <w:rsid w:val="519B69F0"/>
    <w:rsid w:val="51B80C88"/>
    <w:rsid w:val="51BD44CE"/>
    <w:rsid w:val="52263E21"/>
    <w:rsid w:val="5414351A"/>
    <w:rsid w:val="54202414"/>
    <w:rsid w:val="54286D5D"/>
    <w:rsid w:val="545637E7"/>
    <w:rsid w:val="54772706"/>
    <w:rsid w:val="54D30958"/>
    <w:rsid w:val="55143072"/>
    <w:rsid w:val="55384597"/>
    <w:rsid w:val="55540CA5"/>
    <w:rsid w:val="55C018F1"/>
    <w:rsid w:val="56002E24"/>
    <w:rsid w:val="56132D89"/>
    <w:rsid w:val="56A57AB7"/>
    <w:rsid w:val="56E542AB"/>
    <w:rsid w:val="56F15200"/>
    <w:rsid w:val="56F164C6"/>
    <w:rsid w:val="57413FAD"/>
    <w:rsid w:val="57590062"/>
    <w:rsid w:val="57703E94"/>
    <w:rsid w:val="578B4A84"/>
    <w:rsid w:val="57FF7420"/>
    <w:rsid w:val="58272F15"/>
    <w:rsid w:val="58DF1FDF"/>
    <w:rsid w:val="58F845EC"/>
    <w:rsid w:val="5975743C"/>
    <w:rsid w:val="59A37467"/>
    <w:rsid w:val="59B85CA7"/>
    <w:rsid w:val="5AA8059F"/>
    <w:rsid w:val="5AE42ACB"/>
    <w:rsid w:val="5B321A89"/>
    <w:rsid w:val="5B557D55"/>
    <w:rsid w:val="5B6003E2"/>
    <w:rsid w:val="5B60555B"/>
    <w:rsid w:val="5BB4249E"/>
    <w:rsid w:val="5BC8639F"/>
    <w:rsid w:val="5C2A46FB"/>
    <w:rsid w:val="5C4117ED"/>
    <w:rsid w:val="5C7D6779"/>
    <w:rsid w:val="5CC27B24"/>
    <w:rsid w:val="5DAA543E"/>
    <w:rsid w:val="5DB51D3B"/>
    <w:rsid w:val="5DF66D9E"/>
    <w:rsid w:val="5EB83400"/>
    <w:rsid w:val="5F4D180D"/>
    <w:rsid w:val="5FD71E00"/>
    <w:rsid w:val="60025ECE"/>
    <w:rsid w:val="601C6864"/>
    <w:rsid w:val="60220F9D"/>
    <w:rsid w:val="605B346B"/>
    <w:rsid w:val="60B12922"/>
    <w:rsid w:val="60DF7FBD"/>
    <w:rsid w:val="60F03E6D"/>
    <w:rsid w:val="61185045"/>
    <w:rsid w:val="61650A05"/>
    <w:rsid w:val="61CC515B"/>
    <w:rsid w:val="61E575C5"/>
    <w:rsid w:val="620A1069"/>
    <w:rsid w:val="62D553E4"/>
    <w:rsid w:val="62FA0CB4"/>
    <w:rsid w:val="633E321C"/>
    <w:rsid w:val="63D66B9C"/>
    <w:rsid w:val="64514C47"/>
    <w:rsid w:val="64D70FAB"/>
    <w:rsid w:val="6597224E"/>
    <w:rsid w:val="65A76A5B"/>
    <w:rsid w:val="65B57149"/>
    <w:rsid w:val="65D65D70"/>
    <w:rsid w:val="665E4A20"/>
    <w:rsid w:val="667118C3"/>
    <w:rsid w:val="66A64E36"/>
    <w:rsid w:val="66CA7019"/>
    <w:rsid w:val="66CC3986"/>
    <w:rsid w:val="675B3B14"/>
    <w:rsid w:val="678371C8"/>
    <w:rsid w:val="67CE2B39"/>
    <w:rsid w:val="67F26828"/>
    <w:rsid w:val="67F435FA"/>
    <w:rsid w:val="681532E8"/>
    <w:rsid w:val="685777EC"/>
    <w:rsid w:val="68701274"/>
    <w:rsid w:val="68822FFC"/>
    <w:rsid w:val="68825A9D"/>
    <w:rsid w:val="68860FA4"/>
    <w:rsid w:val="688A18E7"/>
    <w:rsid w:val="68A42935"/>
    <w:rsid w:val="68CD1043"/>
    <w:rsid w:val="68CE57DD"/>
    <w:rsid w:val="6951617B"/>
    <w:rsid w:val="69573FF2"/>
    <w:rsid w:val="69877444"/>
    <w:rsid w:val="69995FF8"/>
    <w:rsid w:val="69BE2739"/>
    <w:rsid w:val="69EA35AF"/>
    <w:rsid w:val="6AEB57B0"/>
    <w:rsid w:val="6B3E2923"/>
    <w:rsid w:val="6B772ACF"/>
    <w:rsid w:val="6B7D68C3"/>
    <w:rsid w:val="6BBC1467"/>
    <w:rsid w:val="6BE72AC9"/>
    <w:rsid w:val="6BF03187"/>
    <w:rsid w:val="6BFE19F3"/>
    <w:rsid w:val="6C186B77"/>
    <w:rsid w:val="6DE2733E"/>
    <w:rsid w:val="6E1811F5"/>
    <w:rsid w:val="6E5A3632"/>
    <w:rsid w:val="6EAD3CE2"/>
    <w:rsid w:val="6EB949BE"/>
    <w:rsid w:val="6EBF7937"/>
    <w:rsid w:val="6EDD027D"/>
    <w:rsid w:val="6EE92E8B"/>
    <w:rsid w:val="6FC104BF"/>
    <w:rsid w:val="700C2ABE"/>
    <w:rsid w:val="702C671A"/>
    <w:rsid w:val="703B5E57"/>
    <w:rsid w:val="705B0CE2"/>
    <w:rsid w:val="706033D6"/>
    <w:rsid w:val="707B0E1A"/>
    <w:rsid w:val="710217B4"/>
    <w:rsid w:val="71976CE9"/>
    <w:rsid w:val="720B4EB8"/>
    <w:rsid w:val="722F5D7F"/>
    <w:rsid w:val="7232674A"/>
    <w:rsid w:val="72707ECF"/>
    <w:rsid w:val="73133C64"/>
    <w:rsid w:val="73917324"/>
    <w:rsid w:val="74C44178"/>
    <w:rsid w:val="75DB5B9D"/>
    <w:rsid w:val="75DC67F6"/>
    <w:rsid w:val="760329D6"/>
    <w:rsid w:val="76F9203A"/>
    <w:rsid w:val="770F7A02"/>
    <w:rsid w:val="778C0F80"/>
    <w:rsid w:val="77CA4A84"/>
    <w:rsid w:val="77F03B44"/>
    <w:rsid w:val="78B239AC"/>
    <w:rsid w:val="790463BB"/>
    <w:rsid w:val="79120D48"/>
    <w:rsid w:val="79347971"/>
    <w:rsid w:val="797D521B"/>
    <w:rsid w:val="798818F8"/>
    <w:rsid w:val="7A3A405E"/>
    <w:rsid w:val="7A49604F"/>
    <w:rsid w:val="7A800A82"/>
    <w:rsid w:val="7AF75AAB"/>
    <w:rsid w:val="7B362A78"/>
    <w:rsid w:val="7B4A2424"/>
    <w:rsid w:val="7B542EFE"/>
    <w:rsid w:val="7B5454F0"/>
    <w:rsid w:val="7B5E5967"/>
    <w:rsid w:val="7B685B22"/>
    <w:rsid w:val="7BE95D3C"/>
    <w:rsid w:val="7C676401"/>
    <w:rsid w:val="7C961A20"/>
    <w:rsid w:val="7D4C3130"/>
    <w:rsid w:val="7D5A0C9F"/>
    <w:rsid w:val="7DB303AF"/>
    <w:rsid w:val="7DCB56F9"/>
    <w:rsid w:val="7DD73A60"/>
    <w:rsid w:val="7E7A6C73"/>
    <w:rsid w:val="7EA67DD6"/>
    <w:rsid w:val="7EB855E3"/>
    <w:rsid w:val="7F1430D0"/>
    <w:rsid w:val="7F3E1EFB"/>
    <w:rsid w:val="7F583DE0"/>
    <w:rsid w:val="FFCD5D9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0"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qFormat="1" w:unhideWhenUsed="0" w:uiPriority="99" w:semiHidden="0"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2"/>
    <w:autoRedefine/>
    <w:qFormat/>
    <w:uiPriority w:val="99"/>
    <w:pPr>
      <w:keepNext/>
      <w:jc w:val="center"/>
      <w:outlineLvl w:val="0"/>
    </w:pPr>
    <w:rPr>
      <w:rFonts w:ascii="楷体_GB2312" w:eastAsia="楷体_GB2312"/>
      <w:b/>
      <w:bCs/>
    </w:rPr>
  </w:style>
  <w:style w:type="paragraph" w:styleId="6">
    <w:name w:val="heading 2"/>
    <w:basedOn w:val="1"/>
    <w:next w:val="1"/>
    <w:link w:val="53"/>
    <w:autoRedefine/>
    <w:qFormat/>
    <w:uiPriority w:val="99"/>
    <w:pPr>
      <w:keepLines/>
      <w:adjustRightInd w:val="0"/>
      <w:spacing w:before="240" w:after="120" w:line="240" w:lineRule="atLeast"/>
      <w:textAlignment w:val="baseline"/>
      <w:outlineLvl w:val="1"/>
    </w:pPr>
    <w:rPr>
      <w:rFonts w:eastAsia="黑体"/>
      <w:b/>
      <w:kern w:val="0"/>
      <w:sz w:val="32"/>
      <w:szCs w:val="20"/>
    </w:rPr>
  </w:style>
  <w:style w:type="paragraph" w:styleId="7">
    <w:name w:val="heading 3"/>
    <w:basedOn w:val="1"/>
    <w:next w:val="1"/>
    <w:link w:val="54"/>
    <w:autoRedefine/>
    <w:qFormat/>
    <w:uiPriority w:val="99"/>
    <w:pPr>
      <w:keepNext/>
      <w:keepLines/>
      <w:spacing w:before="260" w:after="260" w:line="416" w:lineRule="auto"/>
      <w:outlineLvl w:val="2"/>
    </w:pPr>
    <w:rPr>
      <w:rFonts w:eastAsia="等线"/>
      <w:b/>
      <w:bCs/>
      <w:sz w:val="32"/>
      <w:szCs w:val="32"/>
    </w:rPr>
  </w:style>
  <w:style w:type="paragraph" w:styleId="8">
    <w:name w:val="heading 4"/>
    <w:basedOn w:val="1"/>
    <w:next w:val="1"/>
    <w:link w:val="55"/>
    <w:autoRedefine/>
    <w:qFormat/>
    <w:uiPriority w:val="99"/>
    <w:pPr>
      <w:keepNext/>
      <w:keepLines/>
      <w:spacing w:before="280" w:after="290" w:line="376" w:lineRule="auto"/>
      <w:outlineLvl w:val="3"/>
    </w:pPr>
    <w:rPr>
      <w:rFonts w:ascii="Cambria" w:hAnsi="Cambria"/>
      <w:b/>
      <w:bCs/>
      <w:sz w:val="28"/>
      <w:szCs w:val="28"/>
    </w:rPr>
  </w:style>
  <w:style w:type="paragraph" w:styleId="9">
    <w:name w:val="heading 5"/>
    <w:basedOn w:val="1"/>
    <w:next w:val="1"/>
    <w:link w:val="56"/>
    <w:autoRedefine/>
    <w:qFormat/>
    <w:uiPriority w:val="99"/>
    <w:pPr>
      <w:keepNext/>
      <w:keepLines/>
      <w:spacing w:before="280" w:after="290" w:line="376" w:lineRule="auto"/>
      <w:outlineLvl w:val="4"/>
    </w:pPr>
    <w:rPr>
      <w:b/>
      <w:bCs/>
      <w:sz w:val="28"/>
      <w:szCs w:val="28"/>
    </w:rPr>
  </w:style>
  <w:style w:type="paragraph" w:styleId="10">
    <w:name w:val="heading 6"/>
    <w:basedOn w:val="1"/>
    <w:next w:val="11"/>
    <w:link w:val="57"/>
    <w:autoRedefine/>
    <w:qFormat/>
    <w:uiPriority w:val="99"/>
    <w:pPr>
      <w:keepNext/>
      <w:keepLines/>
      <w:spacing w:before="240" w:after="64" w:line="317" w:lineRule="auto"/>
      <w:outlineLvl w:val="5"/>
    </w:pPr>
    <w:rPr>
      <w:rFonts w:ascii="Arial" w:hAnsi="Arial" w:eastAsia="黑体"/>
      <w:b/>
      <w:sz w:val="24"/>
      <w:szCs w:val="20"/>
    </w:rPr>
  </w:style>
  <w:style w:type="paragraph" w:styleId="12">
    <w:name w:val="heading 7"/>
    <w:basedOn w:val="1"/>
    <w:next w:val="11"/>
    <w:link w:val="58"/>
    <w:autoRedefine/>
    <w:qFormat/>
    <w:uiPriority w:val="99"/>
    <w:pPr>
      <w:keepNext/>
      <w:keepLines/>
      <w:spacing w:before="240" w:after="64" w:line="317" w:lineRule="auto"/>
      <w:outlineLvl w:val="6"/>
    </w:pPr>
    <w:rPr>
      <w:b/>
      <w:sz w:val="24"/>
      <w:szCs w:val="20"/>
    </w:rPr>
  </w:style>
  <w:style w:type="paragraph" w:styleId="13">
    <w:name w:val="heading 8"/>
    <w:basedOn w:val="1"/>
    <w:next w:val="11"/>
    <w:link w:val="59"/>
    <w:autoRedefine/>
    <w:qFormat/>
    <w:uiPriority w:val="99"/>
    <w:pPr>
      <w:keepNext/>
      <w:keepLines/>
      <w:spacing w:before="240" w:after="64" w:line="317" w:lineRule="auto"/>
      <w:outlineLvl w:val="7"/>
    </w:pPr>
    <w:rPr>
      <w:rFonts w:ascii="Arial" w:hAnsi="Arial" w:eastAsia="黑体"/>
      <w:sz w:val="24"/>
      <w:szCs w:val="20"/>
    </w:rPr>
  </w:style>
  <w:style w:type="paragraph" w:styleId="14">
    <w:name w:val="heading 9"/>
    <w:basedOn w:val="1"/>
    <w:next w:val="11"/>
    <w:link w:val="60"/>
    <w:autoRedefine/>
    <w:qFormat/>
    <w:uiPriority w:val="99"/>
    <w:pPr>
      <w:keepNext/>
      <w:keepLines/>
      <w:spacing w:before="240" w:after="64" w:line="317" w:lineRule="auto"/>
      <w:outlineLvl w:val="8"/>
    </w:pPr>
    <w:rPr>
      <w:rFonts w:ascii="Arial" w:hAnsi="Arial" w:eastAsia="黑体"/>
      <w:szCs w:val="20"/>
    </w:rPr>
  </w:style>
  <w:style w:type="character" w:default="1" w:styleId="42">
    <w:name w:val="Default Paragraph Font"/>
    <w:autoRedefine/>
    <w:semiHidden/>
    <w:unhideWhenUsed/>
    <w:qFormat/>
    <w:uiPriority w:val="1"/>
  </w:style>
  <w:style w:type="table" w:default="1" w:styleId="3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62"/>
    <w:autoRedefine/>
    <w:qFormat/>
    <w:uiPriority w:val="99"/>
    <w:pPr>
      <w:ind w:firstLine="420" w:firstLineChars="100"/>
    </w:pPr>
  </w:style>
  <w:style w:type="paragraph" w:styleId="3">
    <w:name w:val="Body Text"/>
    <w:basedOn w:val="1"/>
    <w:next w:val="2"/>
    <w:link w:val="61"/>
    <w:autoRedefine/>
    <w:qFormat/>
    <w:uiPriority w:val="99"/>
    <w:pPr>
      <w:spacing w:after="120"/>
    </w:pPr>
    <w:rPr>
      <w:rFonts w:eastAsia="等线"/>
    </w:rPr>
  </w:style>
  <w:style w:type="paragraph" w:styleId="4">
    <w:name w:val="toc 6"/>
    <w:basedOn w:val="1"/>
    <w:next w:val="1"/>
    <w:autoRedefine/>
    <w:qFormat/>
    <w:uiPriority w:val="39"/>
    <w:pPr>
      <w:ind w:left="1050"/>
    </w:pPr>
    <w:rPr>
      <w:sz w:val="18"/>
    </w:rPr>
  </w:style>
  <w:style w:type="paragraph" w:styleId="11">
    <w:name w:val="Normal Indent"/>
    <w:basedOn w:val="1"/>
    <w:next w:val="1"/>
    <w:link w:val="95"/>
    <w:autoRedefine/>
    <w:qFormat/>
    <w:uiPriority w:val="99"/>
    <w:pPr>
      <w:adjustRightInd w:val="0"/>
      <w:spacing w:line="312" w:lineRule="atLeast"/>
      <w:ind w:firstLine="420"/>
      <w:textAlignment w:val="baseline"/>
    </w:pPr>
    <w:rPr>
      <w:kern w:val="0"/>
      <w:szCs w:val="20"/>
    </w:rPr>
  </w:style>
  <w:style w:type="paragraph" w:styleId="15">
    <w:name w:val="List Number"/>
    <w:basedOn w:val="1"/>
    <w:autoRedefine/>
    <w:qFormat/>
    <w:uiPriority w:val="99"/>
    <w:pPr>
      <w:tabs>
        <w:tab w:val="left" w:pos="360"/>
      </w:tabs>
      <w:ind w:left="360" w:hanging="360"/>
      <w:contextualSpacing/>
    </w:pPr>
  </w:style>
  <w:style w:type="paragraph" w:styleId="16">
    <w:name w:val="caption"/>
    <w:basedOn w:val="1"/>
    <w:next w:val="1"/>
    <w:autoRedefine/>
    <w:qFormat/>
    <w:uiPriority w:val="0"/>
    <w:pPr>
      <w:autoSpaceDE w:val="0"/>
      <w:autoSpaceDN w:val="0"/>
      <w:adjustRightInd w:val="0"/>
      <w:jc w:val="left"/>
    </w:pPr>
    <w:rPr>
      <w:rFonts w:ascii="Arial" w:hAnsi="Arial" w:eastAsia="黑体"/>
      <w:kern w:val="0"/>
      <w:sz w:val="20"/>
      <w:szCs w:val="20"/>
    </w:rPr>
  </w:style>
  <w:style w:type="paragraph" w:styleId="17">
    <w:name w:val="Document Map"/>
    <w:basedOn w:val="1"/>
    <w:link w:val="63"/>
    <w:autoRedefine/>
    <w:qFormat/>
    <w:uiPriority w:val="99"/>
    <w:pPr>
      <w:shd w:val="clear" w:color="auto" w:fill="000080"/>
    </w:pPr>
  </w:style>
  <w:style w:type="paragraph" w:styleId="18">
    <w:name w:val="annotation text"/>
    <w:basedOn w:val="1"/>
    <w:link w:val="64"/>
    <w:autoRedefine/>
    <w:qFormat/>
    <w:uiPriority w:val="0"/>
    <w:pPr>
      <w:jc w:val="left"/>
    </w:pPr>
  </w:style>
  <w:style w:type="paragraph" w:styleId="19">
    <w:name w:val="Body Text Indent"/>
    <w:basedOn w:val="1"/>
    <w:next w:val="20"/>
    <w:link w:val="65"/>
    <w:autoRedefine/>
    <w:qFormat/>
    <w:uiPriority w:val="99"/>
    <w:pPr>
      <w:ind w:left="480" w:hanging="480" w:hangingChars="200"/>
    </w:pPr>
    <w:rPr>
      <w:sz w:val="24"/>
    </w:rPr>
  </w:style>
  <w:style w:type="paragraph" w:styleId="20">
    <w:name w:val="envelope return"/>
    <w:basedOn w:val="1"/>
    <w:qFormat/>
    <w:locked/>
    <w:uiPriority w:val="0"/>
    <w:pPr>
      <w:snapToGrid w:val="0"/>
    </w:pPr>
    <w:rPr>
      <w:rFonts w:ascii="Arial" w:hAnsi="Arial"/>
    </w:rPr>
  </w:style>
  <w:style w:type="paragraph" w:styleId="21">
    <w:name w:val="List 2"/>
    <w:basedOn w:val="1"/>
    <w:autoRedefine/>
    <w:qFormat/>
    <w:uiPriority w:val="99"/>
    <w:pPr>
      <w:ind w:left="100" w:leftChars="200" w:hanging="200" w:hangingChars="200"/>
    </w:pPr>
  </w:style>
  <w:style w:type="paragraph" w:styleId="22">
    <w:name w:val="Block Text"/>
    <w:basedOn w:val="1"/>
    <w:autoRedefine/>
    <w:qFormat/>
    <w:locked/>
    <w:uiPriority w:val="99"/>
    <w:pPr>
      <w:adjustRightInd w:val="0"/>
      <w:spacing w:line="360" w:lineRule="atLeast"/>
      <w:ind w:left="1260" w:leftChars="525" w:right="22" w:rightChars="9" w:firstLine="200" w:firstLineChars="200"/>
      <w:jc w:val="left"/>
      <w:textAlignment w:val="baseline"/>
    </w:pPr>
    <w:rPr>
      <w:rFonts w:ascii="DFKai-SB" w:hAnsi="DFKai-SB" w:eastAsia="DFKai-SB" w:cs="DFKai-SB"/>
      <w:kern w:val="0"/>
      <w:sz w:val="28"/>
      <w:szCs w:val="28"/>
      <w:lang w:eastAsia="zh-TW"/>
    </w:rPr>
  </w:style>
  <w:style w:type="paragraph" w:styleId="23">
    <w:name w:val="toc 3"/>
    <w:basedOn w:val="1"/>
    <w:next w:val="1"/>
    <w:autoRedefine/>
    <w:semiHidden/>
    <w:qFormat/>
    <w:uiPriority w:val="99"/>
    <w:pPr>
      <w:ind w:left="840" w:leftChars="400"/>
    </w:pPr>
  </w:style>
  <w:style w:type="paragraph" w:styleId="24">
    <w:name w:val="Plain Text"/>
    <w:basedOn w:val="1"/>
    <w:next w:val="1"/>
    <w:link w:val="66"/>
    <w:autoRedefine/>
    <w:qFormat/>
    <w:uiPriority w:val="99"/>
    <w:pPr>
      <w:widowControl/>
      <w:overflowPunct w:val="0"/>
      <w:autoSpaceDE w:val="0"/>
      <w:autoSpaceDN w:val="0"/>
      <w:adjustRightInd w:val="0"/>
      <w:jc w:val="left"/>
      <w:textAlignment w:val="baseline"/>
    </w:pPr>
    <w:rPr>
      <w:rFonts w:ascii="宋体" w:hAnsi="Courier New"/>
      <w:kern w:val="0"/>
      <w:szCs w:val="21"/>
    </w:rPr>
  </w:style>
  <w:style w:type="paragraph" w:styleId="25">
    <w:name w:val="Date"/>
    <w:basedOn w:val="1"/>
    <w:next w:val="1"/>
    <w:link w:val="67"/>
    <w:autoRedefine/>
    <w:qFormat/>
    <w:uiPriority w:val="99"/>
    <w:pPr>
      <w:ind w:left="100" w:leftChars="2500"/>
    </w:pPr>
  </w:style>
  <w:style w:type="paragraph" w:styleId="26">
    <w:name w:val="Body Text Indent 2"/>
    <w:basedOn w:val="1"/>
    <w:link w:val="68"/>
    <w:autoRedefine/>
    <w:qFormat/>
    <w:uiPriority w:val="99"/>
    <w:pPr>
      <w:spacing w:line="500" w:lineRule="exact"/>
      <w:ind w:firstLine="511" w:firstLineChars="213"/>
    </w:pPr>
    <w:rPr>
      <w:sz w:val="24"/>
    </w:rPr>
  </w:style>
  <w:style w:type="paragraph" w:styleId="27">
    <w:name w:val="Balloon Text"/>
    <w:basedOn w:val="1"/>
    <w:link w:val="69"/>
    <w:autoRedefine/>
    <w:semiHidden/>
    <w:qFormat/>
    <w:uiPriority w:val="99"/>
    <w:rPr>
      <w:sz w:val="18"/>
      <w:szCs w:val="18"/>
    </w:rPr>
  </w:style>
  <w:style w:type="paragraph" w:styleId="28">
    <w:name w:val="footer"/>
    <w:basedOn w:val="1"/>
    <w:link w:val="70"/>
    <w:autoRedefine/>
    <w:qFormat/>
    <w:uiPriority w:val="99"/>
    <w:pPr>
      <w:tabs>
        <w:tab w:val="center" w:pos="4153"/>
        <w:tab w:val="right" w:pos="8306"/>
      </w:tabs>
      <w:snapToGrid w:val="0"/>
      <w:jc w:val="left"/>
    </w:pPr>
    <w:rPr>
      <w:rFonts w:eastAsia="等线"/>
      <w:sz w:val="18"/>
      <w:szCs w:val="18"/>
    </w:rPr>
  </w:style>
  <w:style w:type="paragraph" w:styleId="29">
    <w:name w:val="header"/>
    <w:basedOn w:val="1"/>
    <w:link w:val="140"/>
    <w:autoRedefine/>
    <w:qFormat/>
    <w:uiPriority w:val="99"/>
    <w:pPr>
      <w:pBdr>
        <w:bottom w:val="single" w:color="auto" w:sz="6" w:space="1"/>
      </w:pBdr>
      <w:tabs>
        <w:tab w:val="center" w:pos="4153"/>
        <w:tab w:val="right" w:pos="8306"/>
      </w:tabs>
      <w:snapToGrid w:val="0"/>
      <w:jc w:val="center"/>
    </w:pPr>
    <w:rPr>
      <w:rFonts w:eastAsia="等线"/>
      <w:sz w:val="18"/>
      <w:szCs w:val="20"/>
    </w:rPr>
  </w:style>
  <w:style w:type="paragraph" w:styleId="30">
    <w:name w:val="toc 1"/>
    <w:basedOn w:val="1"/>
    <w:next w:val="1"/>
    <w:autoRedefine/>
    <w:qFormat/>
    <w:uiPriority w:val="99"/>
    <w:pPr>
      <w:tabs>
        <w:tab w:val="right" w:leader="dot" w:pos="9628"/>
      </w:tabs>
      <w:spacing w:line="480" w:lineRule="auto"/>
    </w:pPr>
    <w:rPr>
      <w:rFonts w:ascii="Arial" w:hAnsi="Arial" w:eastAsia="新宋体" w:cs="Arial"/>
      <w:bCs/>
      <w:sz w:val="24"/>
    </w:rPr>
  </w:style>
  <w:style w:type="paragraph" w:styleId="31">
    <w:name w:val="Subtitle"/>
    <w:basedOn w:val="1"/>
    <w:next w:val="1"/>
    <w:link w:val="72"/>
    <w:autoRedefine/>
    <w:qFormat/>
    <w:uiPriority w:val="99"/>
    <w:pPr>
      <w:spacing w:before="240" w:after="60" w:line="312" w:lineRule="auto"/>
      <w:jc w:val="center"/>
      <w:outlineLvl w:val="1"/>
    </w:pPr>
    <w:rPr>
      <w:rFonts w:ascii="Cambria" w:hAnsi="Cambria" w:cs="黑体"/>
      <w:b/>
      <w:bCs/>
      <w:kern w:val="28"/>
      <w:sz w:val="32"/>
      <w:szCs w:val="32"/>
    </w:rPr>
  </w:style>
  <w:style w:type="paragraph" w:styleId="32">
    <w:name w:val="List"/>
    <w:basedOn w:val="1"/>
    <w:autoRedefine/>
    <w:qFormat/>
    <w:uiPriority w:val="99"/>
    <w:pPr>
      <w:ind w:left="200" w:hanging="200" w:hangingChars="200"/>
    </w:pPr>
    <w:rPr>
      <w:sz w:val="28"/>
    </w:rPr>
  </w:style>
  <w:style w:type="paragraph" w:styleId="33">
    <w:name w:val="Body Text Indent 3"/>
    <w:basedOn w:val="1"/>
    <w:link w:val="73"/>
    <w:autoRedefine/>
    <w:qFormat/>
    <w:uiPriority w:val="99"/>
    <w:pPr>
      <w:spacing w:line="500" w:lineRule="exact"/>
      <w:ind w:left="511" w:hanging="511" w:hangingChars="213"/>
    </w:pPr>
    <w:rPr>
      <w:sz w:val="24"/>
    </w:rPr>
  </w:style>
  <w:style w:type="paragraph" w:styleId="34">
    <w:name w:val="toc 2"/>
    <w:basedOn w:val="1"/>
    <w:next w:val="1"/>
    <w:autoRedefine/>
    <w:qFormat/>
    <w:uiPriority w:val="99"/>
    <w:pPr>
      <w:ind w:left="420" w:leftChars="200"/>
    </w:pPr>
  </w:style>
  <w:style w:type="paragraph" w:styleId="35">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74"/>
    <w:autoRedefine/>
    <w:qFormat/>
    <w:uiPriority w:val="99"/>
    <w:pPr>
      <w:spacing w:before="240" w:after="60"/>
      <w:jc w:val="center"/>
      <w:outlineLvl w:val="0"/>
    </w:pPr>
    <w:rPr>
      <w:rFonts w:ascii="Cambria" w:hAnsi="Cambria"/>
      <w:b/>
      <w:bCs/>
      <w:sz w:val="32"/>
      <w:szCs w:val="32"/>
    </w:rPr>
  </w:style>
  <w:style w:type="paragraph" w:styleId="37">
    <w:name w:val="annotation subject"/>
    <w:basedOn w:val="18"/>
    <w:next w:val="18"/>
    <w:link w:val="75"/>
    <w:autoRedefine/>
    <w:semiHidden/>
    <w:qFormat/>
    <w:uiPriority w:val="99"/>
    <w:rPr>
      <w:b/>
      <w:bCs/>
    </w:rPr>
  </w:style>
  <w:style w:type="paragraph" w:styleId="38">
    <w:name w:val="Body Text First Indent 2"/>
    <w:basedOn w:val="19"/>
    <w:link w:val="76"/>
    <w:autoRedefine/>
    <w:qFormat/>
    <w:uiPriority w:val="99"/>
    <w:pPr>
      <w:spacing w:after="120"/>
      <w:ind w:left="420" w:leftChars="200" w:firstLine="420" w:firstLineChars="200"/>
    </w:pPr>
    <w:rPr>
      <w:sz w:val="21"/>
    </w:rPr>
  </w:style>
  <w:style w:type="table" w:styleId="40">
    <w:name w:val="Table Grid"/>
    <w:basedOn w:val="3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1">
    <w:name w:val="Table Professional"/>
    <w:basedOn w:val="39"/>
    <w:autoRedefine/>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43">
    <w:name w:val="Strong"/>
    <w:basedOn w:val="42"/>
    <w:autoRedefine/>
    <w:qFormat/>
    <w:uiPriority w:val="99"/>
    <w:rPr>
      <w:rFonts w:cs="Times New Roman"/>
      <w:b/>
    </w:rPr>
  </w:style>
  <w:style w:type="character" w:styleId="44">
    <w:name w:val="page number"/>
    <w:basedOn w:val="42"/>
    <w:autoRedefine/>
    <w:qFormat/>
    <w:uiPriority w:val="99"/>
    <w:rPr>
      <w:rFonts w:cs="Times New Roman"/>
    </w:rPr>
  </w:style>
  <w:style w:type="character" w:styleId="45">
    <w:name w:val="FollowedHyperlink"/>
    <w:basedOn w:val="42"/>
    <w:autoRedefine/>
    <w:qFormat/>
    <w:uiPriority w:val="99"/>
    <w:rPr>
      <w:rFonts w:cs="Times New Roman"/>
      <w:color w:val="800080"/>
      <w:u w:val="single"/>
    </w:rPr>
  </w:style>
  <w:style w:type="character" w:styleId="46">
    <w:name w:val="Emphasis"/>
    <w:basedOn w:val="42"/>
    <w:autoRedefine/>
    <w:qFormat/>
    <w:uiPriority w:val="99"/>
    <w:rPr>
      <w:rFonts w:cs="Times New Roman"/>
      <w:i/>
    </w:rPr>
  </w:style>
  <w:style w:type="character" w:styleId="47">
    <w:name w:val="Hyperlink"/>
    <w:basedOn w:val="42"/>
    <w:autoRedefine/>
    <w:qFormat/>
    <w:uiPriority w:val="99"/>
    <w:rPr>
      <w:rFonts w:cs="Times New Roman"/>
      <w:color w:val="000000"/>
      <w:sz w:val="20"/>
      <w:u w:val="none"/>
    </w:rPr>
  </w:style>
  <w:style w:type="character" w:styleId="48">
    <w:name w:val="annotation reference"/>
    <w:basedOn w:val="42"/>
    <w:autoRedefine/>
    <w:semiHidden/>
    <w:qFormat/>
    <w:uiPriority w:val="99"/>
    <w:rPr>
      <w:rFonts w:cs="Times New Roman"/>
      <w:sz w:val="21"/>
    </w:rPr>
  </w:style>
  <w:style w:type="paragraph" w:customStyle="1" w:styleId="49">
    <w:name w:val="正文正"/>
    <w:basedOn w:val="1"/>
    <w:qFormat/>
    <w:uiPriority w:val="0"/>
    <w:pPr>
      <w:spacing w:line="560" w:lineRule="exact"/>
      <w:ind w:firstLine="561"/>
    </w:pPr>
    <w:rPr>
      <w:rFonts w:eastAsia="仿宋_GB2312"/>
      <w:sz w:val="28"/>
    </w:rPr>
  </w:style>
  <w:style w:type="paragraph" w:customStyle="1" w:styleId="50">
    <w:name w:val="[Normal]"/>
    <w:autoRedefine/>
    <w:qFormat/>
    <w:uiPriority w:val="99"/>
    <w:rPr>
      <w:rFonts w:ascii="宋体" w:hAnsi="宋体" w:eastAsia="宋体" w:cs="Times New Roman"/>
      <w:sz w:val="24"/>
      <w:szCs w:val="22"/>
      <w:lang w:val="zh-CN" w:eastAsia="zh-CN" w:bidi="ar-SA"/>
    </w:rPr>
  </w:style>
  <w:style w:type="paragraph" w:customStyle="1" w:styleId="51">
    <w:name w:val="样式 10 磅"/>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52">
    <w:name w:val="标题 1 Char2"/>
    <w:basedOn w:val="42"/>
    <w:link w:val="5"/>
    <w:autoRedefine/>
    <w:qFormat/>
    <w:locked/>
    <w:uiPriority w:val="99"/>
    <w:rPr>
      <w:rFonts w:ascii="楷体_GB2312" w:eastAsia="楷体_GB2312" w:cs="Times New Roman"/>
      <w:b/>
      <w:kern w:val="2"/>
      <w:sz w:val="24"/>
    </w:rPr>
  </w:style>
  <w:style w:type="character" w:customStyle="1" w:styleId="53">
    <w:name w:val="标题 2 Char1"/>
    <w:basedOn w:val="42"/>
    <w:link w:val="6"/>
    <w:autoRedefine/>
    <w:qFormat/>
    <w:locked/>
    <w:uiPriority w:val="99"/>
    <w:rPr>
      <w:rFonts w:eastAsia="黑体" w:cs="Times New Roman"/>
      <w:b/>
      <w:sz w:val="32"/>
    </w:rPr>
  </w:style>
  <w:style w:type="character" w:customStyle="1" w:styleId="54">
    <w:name w:val="标题 3 Char2"/>
    <w:basedOn w:val="42"/>
    <w:link w:val="7"/>
    <w:autoRedefine/>
    <w:qFormat/>
    <w:locked/>
    <w:uiPriority w:val="99"/>
    <w:rPr>
      <w:rFonts w:cs="Times New Roman"/>
      <w:b/>
      <w:kern w:val="2"/>
      <w:sz w:val="32"/>
    </w:rPr>
  </w:style>
  <w:style w:type="character" w:customStyle="1" w:styleId="55">
    <w:name w:val="标题 4 Char2"/>
    <w:basedOn w:val="42"/>
    <w:link w:val="8"/>
    <w:autoRedefine/>
    <w:semiHidden/>
    <w:qFormat/>
    <w:locked/>
    <w:uiPriority w:val="99"/>
    <w:rPr>
      <w:rFonts w:ascii="Cambria" w:hAnsi="Cambria" w:eastAsia="宋体" w:cs="Times New Roman"/>
      <w:b/>
      <w:kern w:val="2"/>
      <w:sz w:val="28"/>
    </w:rPr>
  </w:style>
  <w:style w:type="character" w:customStyle="1" w:styleId="56">
    <w:name w:val="标题 5 Char"/>
    <w:basedOn w:val="42"/>
    <w:link w:val="9"/>
    <w:autoRedefine/>
    <w:qFormat/>
    <w:locked/>
    <w:uiPriority w:val="99"/>
    <w:rPr>
      <w:rFonts w:cs="Times New Roman"/>
      <w:b/>
      <w:bCs/>
      <w:kern w:val="2"/>
      <w:sz w:val="28"/>
      <w:szCs w:val="28"/>
    </w:rPr>
  </w:style>
  <w:style w:type="character" w:customStyle="1" w:styleId="57">
    <w:name w:val="标题 6 Char"/>
    <w:basedOn w:val="42"/>
    <w:link w:val="10"/>
    <w:autoRedefine/>
    <w:qFormat/>
    <w:locked/>
    <w:uiPriority w:val="99"/>
    <w:rPr>
      <w:rFonts w:ascii="Arial" w:hAnsi="Arial" w:eastAsia="黑体" w:cs="Times New Roman"/>
      <w:b/>
      <w:kern w:val="2"/>
      <w:sz w:val="24"/>
    </w:rPr>
  </w:style>
  <w:style w:type="character" w:customStyle="1" w:styleId="58">
    <w:name w:val="标题 7 Char"/>
    <w:basedOn w:val="42"/>
    <w:link w:val="12"/>
    <w:autoRedefine/>
    <w:qFormat/>
    <w:locked/>
    <w:uiPriority w:val="99"/>
    <w:rPr>
      <w:rFonts w:cs="Times New Roman"/>
      <w:b/>
      <w:kern w:val="2"/>
      <w:sz w:val="24"/>
    </w:rPr>
  </w:style>
  <w:style w:type="character" w:customStyle="1" w:styleId="59">
    <w:name w:val="标题 8 Char"/>
    <w:basedOn w:val="42"/>
    <w:link w:val="13"/>
    <w:autoRedefine/>
    <w:qFormat/>
    <w:locked/>
    <w:uiPriority w:val="99"/>
    <w:rPr>
      <w:rFonts w:ascii="Arial" w:hAnsi="Arial" w:eastAsia="黑体" w:cs="Times New Roman"/>
      <w:kern w:val="2"/>
      <w:sz w:val="24"/>
    </w:rPr>
  </w:style>
  <w:style w:type="character" w:customStyle="1" w:styleId="60">
    <w:name w:val="标题 9 Char"/>
    <w:basedOn w:val="42"/>
    <w:link w:val="14"/>
    <w:autoRedefine/>
    <w:qFormat/>
    <w:locked/>
    <w:uiPriority w:val="99"/>
    <w:rPr>
      <w:rFonts w:ascii="Arial" w:hAnsi="Arial" w:eastAsia="黑体" w:cs="Times New Roman"/>
      <w:kern w:val="2"/>
      <w:sz w:val="21"/>
    </w:rPr>
  </w:style>
  <w:style w:type="character" w:customStyle="1" w:styleId="61">
    <w:name w:val="正文文本 Char2"/>
    <w:basedOn w:val="42"/>
    <w:link w:val="3"/>
    <w:autoRedefine/>
    <w:qFormat/>
    <w:locked/>
    <w:uiPriority w:val="99"/>
    <w:rPr>
      <w:rFonts w:cs="Times New Roman"/>
      <w:kern w:val="2"/>
      <w:sz w:val="24"/>
    </w:rPr>
  </w:style>
  <w:style w:type="character" w:customStyle="1" w:styleId="62">
    <w:name w:val="正文首行缩进 Char"/>
    <w:basedOn w:val="61"/>
    <w:link w:val="2"/>
    <w:autoRedefine/>
    <w:qFormat/>
    <w:locked/>
    <w:uiPriority w:val="99"/>
    <w:rPr>
      <w:rFonts w:cs="Times New Roman"/>
      <w:kern w:val="2"/>
      <w:sz w:val="24"/>
      <w:szCs w:val="24"/>
    </w:rPr>
  </w:style>
  <w:style w:type="character" w:customStyle="1" w:styleId="63">
    <w:name w:val="文档结构图 Char1"/>
    <w:basedOn w:val="42"/>
    <w:link w:val="17"/>
    <w:autoRedefine/>
    <w:qFormat/>
    <w:locked/>
    <w:uiPriority w:val="99"/>
    <w:rPr>
      <w:rFonts w:cs="Times New Roman"/>
      <w:kern w:val="2"/>
      <w:sz w:val="24"/>
      <w:szCs w:val="24"/>
      <w:shd w:val="clear" w:color="auto" w:fill="000080"/>
    </w:rPr>
  </w:style>
  <w:style w:type="character" w:customStyle="1" w:styleId="64">
    <w:name w:val="批注文字 Char2"/>
    <w:basedOn w:val="42"/>
    <w:link w:val="18"/>
    <w:autoRedefine/>
    <w:semiHidden/>
    <w:qFormat/>
    <w:locked/>
    <w:uiPriority w:val="99"/>
    <w:rPr>
      <w:rFonts w:cs="Times New Roman"/>
      <w:kern w:val="2"/>
      <w:sz w:val="24"/>
      <w:szCs w:val="24"/>
    </w:rPr>
  </w:style>
  <w:style w:type="character" w:customStyle="1" w:styleId="65">
    <w:name w:val="正文文本缩进 Char1"/>
    <w:basedOn w:val="42"/>
    <w:link w:val="19"/>
    <w:autoRedefine/>
    <w:qFormat/>
    <w:locked/>
    <w:uiPriority w:val="99"/>
    <w:rPr>
      <w:rFonts w:cs="Times New Roman"/>
      <w:kern w:val="2"/>
      <w:sz w:val="24"/>
      <w:szCs w:val="24"/>
    </w:rPr>
  </w:style>
  <w:style w:type="character" w:customStyle="1" w:styleId="66">
    <w:name w:val="纯文本 Char2"/>
    <w:basedOn w:val="42"/>
    <w:link w:val="24"/>
    <w:autoRedefine/>
    <w:qFormat/>
    <w:locked/>
    <w:uiPriority w:val="99"/>
    <w:rPr>
      <w:rFonts w:ascii="宋体" w:hAnsi="Courier New" w:eastAsia="宋体" w:cs="Times New Roman"/>
      <w:sz w:val="21"/>
      <w:lang w:val="en-US" w:eastAsia="zh-CN"/>
    </w:rPr>
  </w:style>
  <w:style w:type="character" w:customStyle="1" w:styleId="67">
    <w:name w:val="日期 Char1"/>
    <w:basedOn w:val="42"/>
    <w:link w:val="25"/>
    <w:autoRedefine/>
    <w:qFormat/>
    <w:locked/>
    <w:uiPriority w:val="99"/>
    <w:rPr>
      <w:rFonts w:cs="Times New Roman"/>
      <w:kern w:val="2"/>
      <w:sz w:val="24"/>
      <w:szCs w:val="24"/>
    </w:rPr>
  </w:style>
  <w:style w:type="character" w:customStyle="1" w:styleId="68">
    <w:name w:val="正文文本缩进 2 Char1"/>
    <w:basedOn w:val="42"/>
    <w:link w:val="26"/>
    <w:autoRedefine/>
    <w:qFormat/>
    <w:locked/>
    <w:uiPriority w:val="99"/>
    <w:rPr>
      <w:rFonts w:cs="Times New Roman"/>
      <w:kern w:val="2"/>
      <w:sz w:val="24"/>
      <w:szCs w:val="24"/>
    </w:rPr>
  </w:style>
  <w:style w:type="character" w:customStyle="1" w:styleId="69">
    <w:name w:val="批注框文本 Char1"/>
    <w:basedOn w:val="42"/>
    <w:link w:val="27"/>
    <w:autoRedefine/>
    <w:semiHidden/>
    <w:qFormat/>
    <w:locked/>
    <w:uiPriority w:val="99"/>
    <w:rPr>
      <w:rFonts w:cs="Times New Roman"/>
      <w:kern w:val="2"/>
      <w:sz w:val="18"/>
      <w:szCs w:val="18"/>
    </w:rPr>
  </w:style>
  <w:style w:type="character" w:customStyle="1" w:styleId="70">
    <w:name w:val="页脚 Char2"/>
    <w:basedOn w:val="42"/>
    <w:link w:val="28"/>
    <w:autoRedefine/>
    <w:qFormat/>
    <w:locked/>
    <w:uiPriority w:val="99"/>
    <w:rPr>
      <w:rFonts w:cs="Times New Roman"/>
      <w:kern w:val="2"/>
      <w:sz w:val="18"/>
    </w:rPr>
  </w:style>
  <w:style w:type="character" w:customStyle="1" w:styleId="71">
    <w:name w:val="Header Char"/>
    <w:basedOn w:val="42"/>
    <w:autoRedefine/>
    <w:qFormat/>
    <w:locked/>
    <w:uiPriority w:val="99"/>
    <w:rPr>
      <w:rFonts w:cs="Times New Roman"/>
      <w:sz w:val="18"/>
    </w:rPr>
  </w:style>
  <w:style w:type="character" w:customStyle="1" w:styleId="72">
    <w:name w:val="副标题 Char1"/>
    <w:basedOn w:val="42"/>
    <w:link w:val="31"/>
    <w:autoRedefine/>
    <w:qFormat/>
    <w:locked/>
    <w:uiPriority w:val="99"/>
    <w:rPr>
      <w:rFonts w:ascii="Cambria" w:hAnsi="Cambria" w:cs="黑体"/>
      <w:b/>
      <w:bCs/>
      <w:kern w:val="28"/>
      <w:sz w:val="32"/>
      <w:szCs w:val="32"/>
    </w:rPr>
  </w:style>
  <w:style w:type="character" w:customStyle="1" w:styleId="73">
    <w:name w:val="正文文本缩进 3 Char1"/>
    <w:basedOn w:val="42"/>
    <w:link w:val="33"/>
    <w:autoRedefine/>
    <w:qFormat/>
    <w:locked/>
    <w:uiPriority w:val="99"/>
    <w:rPr>
      <w:rFonts w:cs="Times New Roman"/>
      <w:kern w:val="2"/>
      <w:sz w:val="24"/>
      <w:szCs w:val="24"/>
    </w:rPr>
  </w:style>
  <w:style w:type="character" w:customStyle="1" w:styleId="74">
    <w:name w:val="标题 Char1"/>
    <w:basedOn w:val="42"/>
    <w:link w:val="36"/>
    <w:autoRedefine/>
    <w:qFormat/>
    <w:locked/>
    <w:uiPriority w:val="99"/>
    <w:rPr>
      <w:rFonts w:ascii="Cambria" w:hAnsi="Cambria" w:cs="Times New Roman"/>
      <w:b/>
      <w:bCs/>
      <w:kern w:val="2"/>
      <w:sz w:val="32"/>
      <w:szCs w:val="32"/>
    </w:rPr>
  </w:style>
  <w:style w:type="character" w:customStyle="1" w:styleId="75">
    <w:name w:val="批注主题 Char1"/>
    <w:basedOn w:val="64"/>
    <w:link w:val="37"/>
    <w:autoRedefine/>
    <w:semiHidden/>
    <w:qFormat/>
    <w:locked/>
    <w:uiPriority w:val="99"/>
    <w:rPr>
      <w:rFonts w:cs="Times New Roman"/>
      <w:b/>
      <w:bCs/>
      <w:kern w:val="2"/>
      <w:sz w:val="24"/>
      <w:szCs w:val="24"/>
    </w:rPr>
  </w:style>
  <w:style w:type="character" w:customStyle="1" w:styleId="76">
    <w:name w:val="正文首行缩进 2 Char"/>
    <w:basedOn w:val="65"/>
    <w:link w:val="38"/>
    <w:autoRedefine/>
    <w:semiHidden/>
    <w:qFormat/>
    <w:locked/>
    <w:uiPriority w:val="99"/>
    <w:rPr>
      <w:rFonts w:eastAsia="宋体" w:cs="Times New Roman"/>
      <w:kern w:val="2"/>
      <w:sz w:val="24"/>
      <w:szCs w:val="24"/>
    </w:rPr>
  </w:style>
  <w:style w:type="character" w:customStyle="1" w:styleId="77">
    <w:name w:val="标题 4 Char1"/>
    <w:basedOn w:val="42"/>
    <w:autoRedefine/>
    <w:qFormat/>
    <w:uiPriority w:val="99"/>
    <w:rPr>
      <w:rFonts w:ascii="Times New Roman" w:hAnsi="Times New Roman" w:eastAsia="宋体" w:cs="Times New Roman"/>
      <w:sz w:val="20"/>
      <w:szCs w:val="20"/>
    </w:rPr>
  </w:style>
  <w:style w:type="character" w:customStyle="1" w:styleId="78">
    <w:name w:val="文档结构图 Char"/>
    <w:autoRedefine/>
    <w:qFormat/>
    <w:uiPriority w:val="99"/>
    <w:rPr>
      <w:rFonts w:ascii="宋体" w:hAnsi="Times New Roman" w:eastAsia="宋体"/>
      <w:sz w:val="18"/>
    </w:rPr>
  </w:style>
  <w:style w:type="character" w:customStyle="1" w:styleId="79">
    <w:name w:val="列出段落 Char"/>
    <w:autoRedefine/>
    <w:qFormat/>
    <w:uiPriority w:val="99"/>
    <w:rPr>
      <w:rFonts w:ascii="Times New Roman" w:hAnsi="Times New Roman" w:eastAsia="宋体"/>
      <w:sz w:val="20"/>
    </w:rPr>
  </w:style>
  <w:style w:type="character" w:customStyle="1" w:styleId="80">
    <w:name w:val="标题 9 Char1"/>
    <w:basedOn w:val="42"/>
    <w:autoRedefine/>
    <w:qFormat/>
    <w:uiPriority w:val="99"/>
    <w:rPr>
      <w:rFonts w:ascii="Arial" w:hAnsi="Arial" w:eastAsia="黑体" w:cs="Times New Roman"/>
      <w:sz w:val="21"/>
      <w:szCs w:val="21"/>
    </w:rPr>
  </w:style>
  <w:style w:type="character" w:customStyle="1" w:styleId="81">
    <w:name w:val="批注文字 Char1"/>
    <w:autoRedefine/>
    <w:qFormat/>
    <w:uiPriority w:val="99"/>
    <w:rPr>
      <w:kern w:val="2"/>
      <w:sz w:val="21"/>
    </w:rPr>
  </w:style>
  <w:style w:type="character" w:customStyle="1" w:styleId="82">
    <w:name w:val="正文4 Char"/>
    <w:link w:val="83"/>
    <w:autoRedefine/>
    <w:qFormat/>
    <w:locked/>
    <w:uiPriority w:val="99"/>
    <w:rPr>
      <w:kern w:val="2"/>
      <w:sz w:val="24"/>
    </w:rPr>
  </w:style>
  <w:style w:type="paragraph" w:customStyle="1" w:styleId="83">
    <w:name w:val="正文4"/>
    <w:basedOn w:val="1"/>
    <w:link w:val="82"/>
    <w:autoRedefine/>
    <w:qFormat/>
    <w:uiPriority w:val="99"/>
    <w:pPr>
      <w:tabs>
        <w:tab w:val="left" w:pos="520"/>
      </w:tabs>
      <w:spacing w:before="60" w:after="60" w:line="360" w:lineRule="auto"/>
      <w:ind w:left="520"/>
    </w:pPr>
    <w:rPr>
      <w:rFonts w:eastAsia="等线"/>
      <w:sz w:val="24"/>
      <w:szCs w:val="20"/>
    </w:rPr>
  </w:style>
  <w:style w:type="character" w:customStyle="1" w:styleId="84">
    <w:name w:val="正文文本缩进 2 Char"/>
    <w:link w:val="85"/>
    <w:autoRedefine/>
    <w:qFormat/>
    <w:locked/>
    <w:uiPriority w:val="99"/>
    <w:rPr>
      <w:rFonts w:ascii="仿宋_GB2312" w:eastAsia="仿宋_GB2312"/>
      <w:b/>
      <w:sz w:val="24"/>
    </w:rPr>
  </w:style>
  <w:style w:type="paragraph" w:customStyle="1" w:styleId="85">
    <w:name w:val="正文文本缩进 21"/>
    <w:basedOn w:val="1"/>
    <w:link w:val="84"/>
    <w:autoRedefine/>
    <w:qFormat/>
    <w:uiPriority w:val="99"/>
    <w:pPr>
      <w:snapToGrid w:val="0"/>
      <w:spacing w:line="400" w:lineRule="exact"/>
      <w:ind w:firstLine="562" w:firstLineChars="200"/>
    </w:pPr>
    <w:rPr>
      <w:rFonts w:ascii="仿宋_GB2312" w:eastAsia="仿宋_GB2312"/>
      <w:b/>
      <w:kern w:val="0"/>
      <w:sz w:val="24"/>
      <w:szCs w:val="20"/>
    </w:rPr>
  </w:style>
  <w:style w:type="character" w:customStyle="1" w:styleId="86">
    <w:name w:val="标题 3 Char"/>
    <w:autoRedefine/>
    <w:qFormat/>
    <w:uiPriority w:val="99"/>
    <w:rPr>
      <w:rFonts w:ascii="黑体" w:hAnsi="Times New Roman" w:eastAsia="黑体"/>
      <w:kern w:val="0"/>
      <w:sz w:val="20"/>
    </w:rPr>
  </w:style>
  <w:style w:type="character" w:customStyle="1" w:styleId="87">
    <w:name w:val="文档正文 Char"/>
    <w:link w:val="88"/>
    <w:autoRedefine/>
    <w:qFormat/>
    <w:locked/>
    <w:uiPriority w:val="99"/>
    <w:rPr>
      <w:rFonts w:ascii="Tahoma" w:hAnsi="Tahoma" w:eastAsia="仿宋_GB2312"/>
      <w:sz w:val="28"/>
      <w:lang w:val="en-US" w:eastAsia="zh-CN"/>
    </w:rPr>
  </w:style>
  <w:style w:type="paragraph" w:customStyle="1" w:styleId="88">
    <w:name w:val="文档正文"/>
    <w:basedOn w:val="1"/>
    <w:link w:val="87"/>
    <w:autoRedefine/>
    <w:qFormat/>
    <w:uiPriority w:val="99"/>
    <w:pPr>
      <w:spacing w:line="360" w:lineRule="auto"/>
      <w:ind w:firstLine="480" w:firstLineChars="200"/>
    </w:pPr>
    <w:rPr>
      <w:rFonts w:ascii="Tahoma" w:hAnsi="Tahoma" w:eastAsia="仿宋_GB2312"/>
      <w:kern w:val="0"/>
      <w:sz w:val="28"/>
      <w:szCs w:val="20"/>
    </w:rPr>
  </w:style>
  <w:style w:type="character" w:customStyle="1" w:styleId="89">
    <w:name w:val="标题 Char"/>
    <w:basedOn w:val="42"/>
    <w:autoRedefine/>
    <w:qFormat/>
    <w:uiPriority w:val="99"/>
    <w:rPr>
      <w:rFonts w:ascii="Cambria" w:hAnsi="Cambria" w:cs="Times New Roman"/>
      <w:b/>
      <w:bCs/>
      <w:kern w:val="2"/>
      <w:sz w:val="32"/>
      <w:szCs w:val="32"/>
    </w:rPr>
  </w:style>
  <w:style w:type="character" w:customStyle="1" w:styleId="90">
    <w:name w:val="标题 7 Char1"/>
    <w:basedOn w:val="42"/>
    <w:autoRedefine/>
    <w:qFormat/>
    <w:uiPriority w:val="99"/>
    <w:rPr>
      <w:rFonts w:ascii="Times New Roman" w:hAnsi="Times New Roman" w:eastAsia="宋体" w:cs="Times New Roman"/>
      <w:b/>
      <w:bCs/>
      <w:sz w:val="24"/>
      <w:szCs w:val="24"/>
    </w:rPr>
  </w:style>
  <w:style w:type="character" w:customStyle="1" w:styleId="91">
    <w:name w:val="页眉 Char"/>
    <w:autoRedefine/>
    <w:qFormat/>
    <w:uiPriority w:val="99"/>
    <w:rPr>
      <w:rFonts w:ascii="Times New Roman" w:hAnsi="Times New Roman" w:eastAsia="宋体"/>
      <w:sz w:val="18"/>
    </w:rPr>
  </w:style>
  <w:style w:type="character" w:customStyle="1" w:styleId="92">
    <w:name w:val="Texte Char Char"/>
    <w:autoRedefine/>
    <w:qFormat/>
    <w:uiPriority w:val="99"/>
    <w:rPr>
      <w:rFonts w:ascii="宋体" w:hAnsi="Courier New" w:eastAsia="宋体"/>
      <w:sz w:val="21"/>
      <w:lang w:val="en-US" w:eastAsia="zh-CN"/>
    </w:rPr>
  </w:style>
  <w:style w:type="character" w:customStyle="1" w:styleId="93">
    <w:name w:val="BZ_二级标题 Char"/>
    <w:link w:val="94"/>
    <w:autoRedefine/>
    <w:qFormat/>
    <w:locked/>
    <w:uiPriority w:val="99"/>
    <w:rPr>
      <w:rFonts w:eastAsia="楷体"/>
      <w:b/>
      <w:kern w:val="2"/>
      <w:sz w:val="32"/>
    </w:rPr>
  </w:style>
  <w:style w:type="paragraph" w:customStyle="1" w:styleId="94">
    <w:name w:val="BZ_二级标题"/>
    <w:basedOn w:val="6"/>
    <w:next w:val="1"/>
    <w:link w:val="93"/>
    <w:autoRedefine/>
    <w:qFormat/>
    <w:uiPriority w:val="99"/>
    <w:pPr>
      <w:keepNext/>
      <w:widowControl/>
      <w:tabs>
        <w:tab w:val="left" w:pos="1440"/>
      </w:tabs>
      <w:adjustRightInd/>
      <w:spacing w:beforeLines="50" w:afterLines="50" w:line="240" w:lineRule="auto"/>
      <w:ind w:left="1440" w:hanging="360"/>
      <w:textAlignment w:val="auto"/>
    </w:pPr>
    <w:rPr>
      <w:rFonts w:eastAsia="楷体"/>
      <w:kern w:val="2"/>
    </w:rPr>
  </w:style>
  <w:style w:type="character" w:customStyle="1" w:styleId="95">
    <w:name w:val="正文缩进 Char1"/>
    <w:link w:val="11"/>
    <w:autoRedefine/>
    <w:qFormat/>
    <w:locked/>
    <w:uiPriority w:val="99"/>
    <w:rPr>
      <w:rFonts w:eastAsia="宋体"/>
      <w:sz w:val="21"/>
      <w:lang w:val="en-US" w:eastAsia="zh-CN"/>
    </w:rPr>
  </w:style>
  <w:style w:type="character" w:customStyle="1" w:styleId="96">
    <w:name w:val="正文文本首行缩进 字符"/>
    <w:link w:val="97"/>
    <w:autoRedefine/>
    <w:qFormat/>
    <w:locked/>
    <w:uiPriority w:val="99"/>
    <w:rPr>
      <w:rFonts w:ascii="仿宋_GB2312"/>
      <w:kern w:val="2"/>
      <w:sz w:val="24"/>
    </w:rPr>
  </w:style>
  <w:style w:type="paragraph" w:customStyle="1" w:styleId="97">
    <w:name w:val="1"/>
    <w:basedOn w:val="3"/>
    <w:next w:val="2"/>
    <w:link w:val="96"/>
    <w:autoRedefine/>
    <w:qFormat/>
    <w:uiPriority w:val="99"/>
    <w:pPr>
      <w:ind w:firstLine="420" w:firstLineChars="100"/>
    </w:pPr>
    <w:rPr>
      <w:rFonts w:ascii="仿宋_GB2312"/>
      <w:sz w:val="24"/>
      <w:szCs w:val="20"/>
    </w:rPr>
  </w:style>
  <w:style w:type="character" w:customStyle="1" w:styleId="98">
    <w:name w:val="index-text3"/>
    <w:basedOn w:val="42"/>
    <w:autoRedefine/>
    <w:qFormat/>
    <w:uiPriority w:val="99"/>
    <w:rPr>
      <w:rFonts w:cs="Times New Roman"/>
    </w:rPr>
  </w:style>
  <w:style w:type="character" w:customStyle="1" w:styleId="99">
    <w:name w:val="l正文 Char"/>
    <w:link w:val="100"/>
    <w:autoRedefine/>
    <w:qFormat/>
    <w:locked/>
    <w:uiPriority w:val="99"/>
    <w:rPr>
      <w:rFonts w:ascii="宋体" w:eastAsia="宋体"/>
      <w:sz w:val="24"/>
    </w:rPr>
  </w:style>
  <w:style w:type="paragraph" w:customStyle="1" w:styleId="100">
    <w:name w:val="l正文"/>
    <w:basedOn w:val="1"/>
    <w:link w:val="99"/>
    <w:autoRedefine/>
    <w:qFormat/>
    <w:uiPriority w:val="99"/>
    <w:pPr>
      <w:spacing w:line="360" w:lineRule="auto"/>
      <w:ind w:firstLine="200" w:firstLineChars="200"/>
    </w:pPr>
    <w:rPr>
      <w:rFonts w:ascii="宋体"/>
      <w:kern w:val="0"/>
      <w:sz w:val="24"/>
      <w:szCs w:val="20"/>
    </w:rPr>
  </w:style>
  <w:style w:type="character" w:customStyle="1" w:styleId="101">
    <w:name w:val="￥正文 Char"/>
    <w:link w:val="102"/>
    <w:autoRedefine/>
    <w:qFormat/>
    <w:locked/>
    <w:uiPriority w:val="99"/>
    <w:rPr>
      <w:sz w:val="24"/>
    </w:rPr>
  </w:style>
  <w:style w:type="paragraph" w:customStyle="1" w:styleId="102">
    <w:name w:val="￥正文"/>
    <w:basedOn w:val="1"/>
    <w:link w:val="101"/>
    <w:autoRedefine/>
    <w:qFormat/>
    <w:uiPriority w:val="99"/>
    <w:pPr>
      <w:spacing w:line="360" w:lineRule="auto"/>
      <w:ind w:firstLine="200" w:firstLineChars="200"/>
    </w:pPr>
    <w:rPr>
      <w:rFonts w:eastAsia="等线"/>
      <w:kern w:val="0"/>
      <w:sz w:val="24"/>
      <w:szCs w:val="20"/>
    </w:rPr>
  </w:style>
  <w:style w:type="character" w:customStyle="1" w:styleId="103">
    <w:name w:val="style44"/>
    <w:autoRedefine/>
    <w:qFormat/>
    <w:uiPriority w:val="99"/>
  </w:style>
  <w:style w:type="character" w:customStyle="1" w:styleId="104">
    <w:name w:val="Char Char2"/>
    <w:autoRedefine/>
    <w:qFormat/>
    <w:uiPriority w:val="99"/>
    <w:rPr>
      <w:rFonts w:ascii="宋体" w:hAnsi="Courier New" w:eastAsia="宋体"/>
      <w:kern w:val="2"/>
      <w:sz w:val="21"/>
      <w:lang w:val="en-US" w:eastAsia="zh-CN"/>
    </w:rPr>
  </w:style>
  <w:style w:type="character" w:customStyle="1" w:styleId="105">
    <w:name w:val="页脚 Char1"/>
    <w:basedOn w:val="42"/>
    <w:autoRedefine/>
    <w:qFormat/>
    <w:uiPriority w:val="99"/>
    <w:rPr>
      <w:rFonts w:cs="Times New Roman"/>
      <w:sz w:val="18"/>
      <w:szCs w:val="18"/>
    </w:rPr>
  </w:style>
  <w:style w:type="character" w:customStyle="1" w:styleId="106">
    <w:name w:val="标题 5 Char1"/>
    <w:basedOn w:val="42"/>
    <w:autoRedefine/>
    <w:qFormat/>
    <w:uiPriority w:val="99"/>
    <w:rPr>
      <w:rFonts w:ascii="Times New Roman" w:hAnsi="Times New Roman" w:eastAsia="宋体" w:cs="Times New Roman"/>
      <w:b/>
      <w:bCs/>
      <w:sz w:val="28"/>
      <w:szCs w:val="28"/>
    </w:rPr>
  </w:style>
  <w:style w:type="character" w:customStyle="1" w:styleId="107">
    <w:name w:val="段落文字 Char"/>
    <w:link w:val="108"/>
    <w:autoRedefine/>
    <w:qFormat/>
    <w:locked/>
    <w:uiPriority w:val="99"/>
    <w:rPr>
      <w:sz w:val="24"/>
    </w:rPr>
  </w:style>
  <w:style w:type="paragraph" w:customStyle="1" w:styleId="108">
    <w:name w:val="段落文字"/>
    <w:basedOn w:val="1"/>
    <w:link w:val="107"/>
    <w:autoRedefine/>
    <w:qFormat/>
    <w:uiPriority w:val="99"/>
    <w:pPr>
      <w:spacing w:line="398" w:lineRule="auto"/>
      <w:ind w:firstLine="480" w:firstLineChars="200"/>
    </w:pPr>
    <w:rPr>
      <w:rFonts w:eastAsia="等线"/>
      <w:kern w:val="0"/>
      <w:sz w:val="24"/>
      <w:szCs w:val="20"/>
    </w:rPr>
  </w:style>
  <w:style w:type="character" w:customStyle="1" w:styleId="109">
    <w:name w:val="标题 4 Char"/>
    <w:autoRedefine/>
    <w:qFormat/>
    <w:uiPriority w:val="99"/>
    <w:rPr>
      <w:rFonts w:ascii="Times New Roman" w:hAnsi="Times New Roman" w:eastAsia="宋体"/>
      <w:sz w:val="20"/>
    </w:rPr>
  </w:style>
  <w:style w:type="character" w:customStyle="1" w:styleId="110">
    <w:name w:val="样式6 列表并列 Char"/>
    <w:link w:val="111"/>
    <w:autoRedefine/>
    <w:qFormat/>
    <w:locked/>
    <w:uiPriority w:val="99"/>
    <w:rPr>
      <w:rFonts w:ascii="Arial" w:hAnsi="Arial" w:eastAsia="宋体"/>
      <w:kern w:val="21"/>
      <w:sz w:val="24"/>
      <w:lang w:val="en-US" w:eastAsia="zh-CN"/>
    </w:rPr>
  </w:style>
  <w:style w:type="paragraph" w:customStyle="1" w:styleId="111">
    <w:name w:val="样式6 列表并列"/>
    <w:link w:val="110"/>
    <w:autoRedefine/>
    <w:qFormat/>
    <w:uiPriority w:val="99"/>
    <w:pPr>
      <w:widowControl w:val="0"/>
      <w:tabs>
        <w:tab w:val="left" w:pos="0"/>
      </w:tabs>
      <w:spacing w:before="40" w:after="40" w:line="240" w:lineRule="atLeast"/>
      <w:ind w:left="840" w:hanging="420"/>
    </w:pPr>
    <w:rPr>
      <w:rFonts w:ascii="Arial" w:hAnsi="Arial" w:eastAsia="宋体" w:cs="Arial"/>
      <w:kern w:val="21"/>
      <w:sz w:val="21"/>
      <w:szCs w:val="24"/>
      <w:lang w:val="en-US" w:eastAsia="zh-CN" w:bidi="ar-SA"/>
    </w:rPr>
  </w:style>
  <w:style w:type="character" w:customStyle="1" w:styleId="112">
    <w:name w:val="批注主题 Char"/>
    <w:autoRedefine/>
    <w:semiHidden/>
    <w:qFormat/>
    <w:uiPriority w:val="99"/>
    <w:rPr>
      <w:rFonts w:ascii="Times New Roman" w:hAnsi="Times New Roman" w:eastAsia="宋体"/>
      <w:b/>
      <w:sz w:val="20"/>
    </w:rPr>
  </w:style>
  <w:style w:type="character" w:customStyle="1" w:styleId="113">
    <w:name w:val="标题 8 Char1"/>
    <w:basedOn w:val="42"/>
    <w:autoRedefine/>
    <w:qFormat/>
    <w:uiPriority w:val="99"/>
    <w:rPr>
      <w:rFonts w:ascii="Arial" w:hAnsi="Arial" w:eastAsia="黑体" w:cs="Times New Roman"/>
      <w:sz w:val="24"/>
      <w:szCs w:val="24"/>
    </w:rPr>
  </w:style>
  <w:style w:type="character" w:customStyle="1" w:styleId="114">
    <w:name w:val="Char Char Char"/>
    <w:autoRedefine/>
    <w:qFormat/>
    <w:uiPriority w:val="99"/>
    <w:rPr>
      <w:rFonts w:ascii="宋体" w:hAnsi="Courier New" w:eastAsia="宋体"/>
      <w:sz w:val="21"/>
      <w:lang w:val="en-US" w:eastAsia="zh-CN"/>
    </w:rPr>
  </w:style>
  <w:style w:type="character" w:customStyle="1" w:styleId="115">
    <w:name w:val="style21"/>
    <w:autoRedefine/>
    <w:qFormat/>
    <w:uiPriority w:val="99"/>
    <w:rPr>
      <w:sz w:val="15"/>
    </w:rPr>
  </w:style>
  <w:style w:type="character" w:customStyle="1" w:styleId="116">
    <w:name w:val="哈哈正文 Char"/>
    <w:link w:val="117"/>
    <w:autoRedefine/>
    <w:qFormat/>
    <w:locked/>
    <w:uiPriority w:val="99"/>
    <w:rPr>
      <w:rFonts w:ascii="宋体" w:hAnsi="宋体" w:eastAsia="宋体"/>
      <w:kern w:val="2"/>
      <w:sz w:val="24"/>
      <w:lang w:val="en-US" w:eastAsia="zh-CN"/>
    </w:rPr>
  </w:style>
  <w:style w:type="paragraph" w:customStyle="1" w:styleId="117">
    <w:name w:val="哈哈正文"/>
    <w:basedOn w:val="1"/>
    <w:link w:val="116"/>
    <w:autoRedefine/>
    <w:qFormat/>
    <w:uiPriority w:val="99"/>
    <w:pPr>
      <w:spacing w:line="360" w:lineRule="auto"/>
      <w:ind w:firstLine="200" w:firstLineChars="200"/>
    </w:pPr>
    <w:rPr>
      <w:rFonts w:ascii="宋体" w:hAnsi="宋体"/>
      <w:sz w:val="24"/>
      <w:szCs w:val="20"/>
    </w:rPr>
  </w:style>
  <w:style w:type="character" w:customStyle="1" w:styleId="118">
    <w:name w:val="标题 1 Char1"/>
    <w:basedOn w:val="42"/>
    <w:autoRedefine/>
    <w:qFormat/>
    <w:uiPriority w:val="99"/>
    <w:rPr>
      <w:rFonts w:ascii="方正黑体简体" w:hAnsi="Times New Roman" w:eastAsia="方正黑体简体" w:cs="Times New Roman"/>
      <w:b/>
      <w:kern w:val="0"/>
      <w:sz w:val="28"/>
      <w:szCs w:val="28"/>
    </w:rPr>
  </w:style>
  <w:style w:type="character" w:customStyle="1" w:styleId="119">
    <w:name w:val="Char Char1"/>
    <w:autoRedefine/>
    <w:qFormat/>
    <w:uiPriority w:val="99"/>
    <w:rPr>
      <w:rFonts w:ascii="楷体_GB2312" w:eastAsia="楷体_GB2312"/>
      <w:sz w:val="28"/>
    </w:rPr>
  </w:style>
  <w:style w:type="character" w:customStyle="1" w:styleId="120">
    <w:name w:val="正文文本 Char"/>
    <w:autoRedefine/>
    <w:qFormat/>
    <w:uiPriority w:val="99"/>
    <w:rPr>
      <w:rFonts w:ascii="Times New Roman" w:hAnsi="Times New Roman" w:eastAsia="宋体"/>
      <w:sz w:val="20"/>
    </w:rPr>
  </w:style>
  <w:style w:type="character" w:customStyle="1" w:styleId="121">
    <w:name w:val="*正文 Char"/>
    <w:link w:val="122"/>
    <w:autoRedefine/>
    <w:qFormat/>
    <w:locked/>
    <w:uiPriority w:val="99"/>
    <w:rPr>
      <w:rFonts w:ascii="宋体" w:eastAsia="宋体"/>
      <w:kern w:val="2"/>
      <w:sz w:val="24"/>
    </w:rPr>
  </w:style>
  <w:style w:type="paragraph" w:customStyle="1" w:styleId="122">
    <w:name w:val="*正文"/>
    <w:basedOn w:val="1"/>
    <w:link w:val="121"/>
    <w:autoRedefine/>
    <w:qFormat/>
    <w:uiPriority w:val="99"/>
    <w:pPr>
      <w:spacing w:line="360" w:lineRule="auto"/>
      <w:ind w:firstLine="200" w:firstLineChars="200"/>
    </w:pPr>
    <w:rPr>
      <w:rFonts w:ascii="宋体"/>
      <w:sz w:val="24"/>
      <w:szCs w:val="20"/>
    </w:rPr>
  </w:style>
  <w:style w:type="character" w:customStyle="1" w:styleId="123">
    <w:name w:val="正文缩进 Char"/>
    <w:autoRedefine/>
    <w:qFormat/>
    <w:uiPriority w:val="99"/>
    <w:rPr>
      <w:rFonts w:ascii="仿宋_GB2312" w:eastAsia="宋体"/>
      <w:b/>
      <w:sz w:val="32"/>
      <w:lang w:val="en-US" w:eastAsia="zh-CN"/>
    </w:rPr>
  </w:style>
  <w:style w:type="character" w:customStyle="1" w:styleId="124">
    <w:name w:val="apple-converted-space"/>
    <w:autoRedefine/>
    <w:qFormat/>
    <w:uiPriority w:val="99"/>
  </w:style>
  <w:style w:type="character" w:customStyle="1" w:styleId="125">
    <w:name w:val="BZ_三级标题 Char"/>
    <w:link w:val="126"/>
    <w:autoRedefine/>
    <w:qFormat/>
    <w:locked/>
    <w:uiPriority w:val="99"/>
    <w:rPr>
      <w:rFonts w:eastAsia="黑体"/>
      <w:b/>
      <w:kern w:val="2"/>
      <w:sz w:val="28"/>
    </w:rPr>
  </w:style>
  <w:style w:type="paragraph" w:customStyle="1" w:styleId="126">
    <w:name w:val="BZ_三级标题"/>
    <w:basedOn w:val="7"/>
    <w:next w:val="1"/>
    <w:link w:val="125"/>
    <w:autoRedefine/>
    <w:qFormat/>
    <w:uiPriority w:val="99"/>
    <w:pPr>
      <w:widowControl/>
      <w:tabs>
        <w:tab w:val="left" w:pos="2160"/>
      </w:tabs>
      <w:spacing w:beforeLines="50" w:afterLines="50" w:line="240" w:lineRule="auto"/>
      <w:ind w:left="2160" w:hanging="360"/>
    </w:pPr>
    <w:rPr>
      <w:rFonts w:eastAsia="黑体"/>
      <w:bCs w:val="0"/>
      <w:sz w:val="28"/>
      <w:szCs w:val="20"/>
    </w:rPr>
  </w:style>
  <w:style w:type="character" w:customStyle="1" w:styleId="127">
    <w:name w:val="正文文本 Char1"/>
    <w:basedOn w:val="42"/>
    <w:autoRedefine/>
    <w:qFormat/>
    <w:uiPriority w:val="99"/>
    <w:rPr>
      <w:rFonts w:ascii="Times New Roman" w:hAnsi="Times New Roman" w:eastAsia="宋体" w:cs="Times New Roman"/>
      <w:sz w:val="20"/>
      <w:szCs w:val="20"/>
    </w:rPr>
  </w:style>
  <w:style w:type="character" w:customStyle="1" w:styleId="128">
    <w:name w:val="日期 Char"/>
    <w:autoRedefine/>
    <w:qFormat/>
    <w:uiPriority w:val="99"/>
    <w:rPr>
      <w:rFonts w:ascii="Times New Roman" w:hAnsi="Times New Roman" w:eastAsia="宋体"/>
      <w:sz w:val="20"/>
    </w:rPr>
  </w:style>
  <w:style w:type="character" w:customStyle="1" w:styleId="129">
    <w:name w:val="批注框文本 Char"/>
    <w:autoRedefine/>
    <w:semiHidden/>
    <w:qFormat/>
    <w:uiPriority w:val="99"/>
    <w:rPr>
      <w:rFonts w:ascii="Times New Roman" w:hAnsi="Times New Roman" w:eastAsia="宋体"/>
      <w:sz w:val="18"/>
    </w:rPr>
  </w:style>
  <w:style w:type="character" w:customStyle="1" w:styleId="130">
    <w:name w:val="纯文本 Char"/>
    <w:autoRedefine/>
    <w:qFormat/>
    <w:uiPriority w:val="99"/>
    <w:rPr>
      <w:rFonts w:ascii="宋体" w:hAnsi="Courier New" w:eastAsia="宋体"/>
      <w:sz w:val="21"/>
      <w:lang w:val="en-US" w:eastAsia="zh-CN"/>
    </w:rPr>
  </w:style>
  <w:style w:type="character" w:customStyle="1" w:styleId="131">
    <w:name w:val="Char Char6"/>
    <w:autoRedefine/>
    <w:qFormat/>
    <w:uiPriority w:val="99"/>
    <w:rPr>
      <w:b/>
      <w:kern w:val="2"/>
      <w:sz w:val="32"/>
    </w:rPr>
  </w:style>
  <w:style w:type="character" w:customStyle="1" w:styleId="132">
    <w:name w:val="标题 2 Char"/>
    <w:autoRedefine/>
    <w:qFormat/>
    <w:uiPriority w:val="99"/>
    <w:rPr>
      <w:rFonts w:ascii="Arial" w:hAnsi="Arial" w:eastAsia="黑体"/>
      <w:b/>
      <w:sz w:val="32"/>
    </w:rPr>
  </w:style>
  <w:style w:type="character" w:customStyle="1" w:styleId="133">
    <w:name w:val="BZ_一级标题 Char"/>
    <w:link w:val="134"/>
    <w:autoRedefine/>
    <w:qFormat/>
    <w:locked/>
    <w:uiPriority w:val="99"/>
    <w:rPr>
      <w:rFonts w:eastAsia="华文中宋"/>
      <w:b/>
      <w:kern w:val="44"/>
      <w:sz w:val="36"/>
    </w:rPr>
  </w:style>
  <w:style w:type="paragraph" w:customStyle="1" w:styleId="134">
    <w:name w:val="BZ_一级标题"/>
    <w:basedOn w:val="5"/>
    <w:next w:val="1"/>
    <w:link w:val="133"/>
    <w:autoRedefine/>
    <w:qFormat/>
    <w:uiPriority w:val="99"/>
    <w:pPr>
      <w:keepLines/>
      <w:widowControl/>
      <w:spacing w:beforeLines="50" w:afterLines="50"/>
      <w:ind w:left="432" w:hanging="432"/>
      <w:jc w:val="both"/>
    </w:pPr>
    <w:rPr>
      <w:rFonts w:ascii="Times New Roman" w:eastAsia="华文中宋"/>
      <w:bCs w:val="0"/>
      <w:kern w:val="44"/>
      <w:sz w:val="36"/>
      <w:szCs w:val="20"/>
    </w:rPr>
  </w:style>
  <w:style w:type="character" w:customStyle="1" w:styleId="135">
    <w:name w:val="正文文本缩进 3 Char"/>
    <w:autoRedefine/>
    <w:qFormat/>
    <w:uiPriority w:val="99"/>
    <w:rPr>
      <w:rFonts w:ascii="Times New Roman" w:hAnsi="Times New Roman" w:eastAsia="宋体"/>
      <w:sz w:val="20"/>
    </w:rPr>
  </w:style>
  <w:style w:type="character" w:customStyle="1" w:styleId="136">
    <w:name w:val="标题 6 Char1"/>
    <w:basedOn w:val="42"/>
    <w:autoRedefine/>
    <w:qFormat/>
    <w:uiPriority w:val="99"/>
    <w:rPr>
      <w:rFonts w:ascii="Arial" w:hAnsi="Arial" w:eastAsia="黑体" w:cs="Times New Roman"/>
      <w:b/>
      <w:bCs/>
      <w:sz w:val="24"/>
      <w:szCs w:val="24"/>
    </w:rPr>
  </w:style>
  <w:style w:type="character" w:customStyle="1" w:styleId="137">
    <w:name w:val="style7"/>
    <w:autoRedefine/>
    <w:qFormat/>
    <w:uiPriority w:val="99"/>
  </w:style>
  <w:style w:type="character" w:customStyle="1" w:styleId="138">
    <w:name w:val="批注文字 Char"/>
    <w:autoRedefine/>
    <w:qFormat/>
    <w:uiPriority w:val="99"/>
    <w:rPr>
      <w:rFonts w:ascii="Times New Roman" w:hAnsi="Times New Roman" w:eastAsia="宋体"/>
      <w:sz w:val="24"/>
    </w:rPr>
  </w:style>
  <w:style w:type="character" w:customStyle="1" w:styleId="139">
    <w:name w:val="页脚 Char"/>
    <w:autoRedefine/>
    <w:qFormat/>
    <w:uiPriority w:val="99"/>
    <w:rPr>
      <w:rFonts w:ascii="Times New Roman" w:hAnsi="Times New Roman" w:eastAsia="宋体"/>
      <w:sz w:val="18"/>
    </w:rPr>
  </w:style>
  <w:style w:type="character" w:customStyle="1" w:styleId="140">
    <w:name w:val="页眉 Char2"/>
    <w:link w:val="29"/>
    <w:autoRedefine/>
    <w:qFormat/>
    <w:locked/>
    <w:uiPriority w:val="99"/>
    <w:rPr>
      <w:kern w:val="2"/>
      <w:sz w:val="18"/>
    </w:rPr>
  </w:style>
  <w:style w:type="character" w:customStyle="1" w:styleId="141">
    <w:name w:val="标题 1 Char"/>
    <w:autoRedefine/>
    <w:qFormat/>
    <w:uiPriority w:val="99"/>
    <w:rPr>
      <w:rFonts w:ascii="Times New Roman" w:hAnsi="Times New Roman" w:eastAsia="宋体"/>
      <w:b/>
      <w:kern w:val="44"/>
      <w:sz w:val="44"/>
    </w:rPr>
  </w:style>
  <w:style w:type="character" w:customStyle="1" w:styleId="142">
    <w:name w:val="正文文本缩进 Char"/>
    <w:autoRedefine/>
    <w:qFormat/>
    <w:uiPriority w:val="99"/>
    <w:rPr>
      <w:rFonts w:ascii="楷体_GB2312" w:hAnsi="Times New Roman" w:eastAsia="楷体_GB2312"/>
      <w:kern w:val="0"/>
      <w:sz w:val="20"/>
    </w:rPr>
  </w:style>
  <w:style w:type="character" w:customStyle="1" w:styleId="143">
    <w:name w:val="页眉 Char1"/>
    <w:basedOn w:val="42"/>
    <w:autoRedefine/>
    <w:qFormat/>
    <w:uiPriority w:val="99"/>
    <w:rPr>
      <w:rFonts w:cs="Times New Roman"/>
      <w:sz w:val="18"/>
      <w:szCs w:val="18"/>
    </w:rPr>
  </w:style>
  <w:style w:type="character" w:customStyle="1" w:styleId="144">
    <w:name w:val="正文缩进 Char2"/>
    <w:autoRedefine/>
    <w:qFormat/>
    <w:uiPriority w:val="99"/>
    <w:rPr>
      <w:rFonts w:eastAsia="宋体"/>
      <w:sz w:val="21"/>
      <w:lang w:val="en-US" w:eastAsia="zh-CN"/>
    </w:rPr>
  </w:style>
  <w:style w:type="character" w:customStyle="1" w:styleId="145">
    <w:name w:val="标题 3 Char1"/>
    <w:basedOn w:val="42"/>
    <w:autoRedefine/>
    <w:qFormat/>
    <w:uiPriority w:val="99"/>
    <w:rPr>
      <w:rFonts w:ascii="Arial" w:hAnsi="Arial" w:eastAsia="黑体" w:cs="Times New Roman"/>
      <w:sz w:val="24"/>
      <w:szCs w:val="24"/>
    </w:rPr>
  </w:style>
  <w:style w:type="character" w:customStyle="1" w:styleId="146">
    <w:name w:val="纯文本 Char1"/>
    <w:autoRedefine/>
    <w:qFormat/>
    <w:uiPriority w:val="99"/>
    <w:rPr>
      <w:rFonts w:ascii="宋体" w:hAnsi="Courier New" w:eastAsia="宋体"/>
      <w:sz w:val="21"/>
      <w:lang w:val="en-US" w:eastAsia="zh-CN"/>
    </w:rPr>
  </w:style>
  <w:style w:type="character" w:customStyle="1" w:styleId="147">
    <w:name w:val="副标题 Char"/>
    <w:basedOn w:val="42"/>
    <w:autoRedefine/>
    <w:qFormat/>
    <w:uiPriority w:val="99"/>
    <w:rPr>
      <w:rFonts w:ascii="Cambria" w:hAnsi="Cambria" w:cs="Times New Roman"/>
      <w:b/>
      <w:bCs/>
      <w:kern w:val="28"/>
      <w:sz w:val="32"/>
      <w:szCs w:val="32"/>
    </w:rPr>
  </w:style>
  <w:style w:type="paragraph" w:customStyle="1" w:styleId="148">
    <w:name w:val="正文00"/>
    <w:basedOn w:val="1"/>
    <w:autoRedefine/>
    <w:qFormat/>
    <w:uiPriority w:val="99"/>
    <w:pPr>
      <w:topLinePunct/>
      <w:spacing w:line="360" w:lineRule="auto"/>
      <w:ind w:firstLine="200" w:firstLineChars="200"/>
    </w:pPr>
    <w:rPr>
      <w:sz w:val="24"/>
      <w:szCs w:val="21"/>
    </w:rPr>
  </w:style>
  <w:style w:type="paragraph" w:customStyle="1" w:styleId="149">
    <w:name w:val="style31"/>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150">
    <w:name w:val="Default"/>
    <w:next w:val="17"/>
    <w:autoRedefine/>
    <w:qFormat/>
    <w:uiPriority w:val="99"/>
    <w:pPr>
      <w:widowControl w:val="0"/>
      <w:autoSpaceDE w:val="0"/>
      <w:autoSpaceDN w:val="0"/>
      <w:adjustRightInd w:val="0"/>
    </w:pPr>
    <w:rPr>
      <w:rFonts w:ascii="仿宋_GB2312" w:hAnsi="新宋体" w:eastAsia="仿宋_GB2312" w:cs="仿宋_GB2312"/>
      <w:color w:val="000000"/>
      <w:sz w:val="24"/>
      <w:szCs w:val="24"/>
      <w:lang w:val="en-US" w:eastAsia="zh-CN" w:bidi="ar-SA"/>
    </w:rPr>
  </w:style>
  <w:style w:type="paragraph" w:customStyle="1" w:styleId="151">
    <w:name w:val="Char Char"/>
    <w:basedOn w:val="1"/>
    <w:autoRedefine/>
    <w:qFormat/>
    <w:uiPriority w:val="99"/>
    <w:rPr>
      <w:rFonts w:ascii="仿宋_GB2312" w:eastAsia="仿宋_GB2312"/>
      <w:b/>
      <w:sz w:val="32"/>
      <w:szCs w:val="32"/>
    </w:rPr>
  </w:style>
  <w:style w:type="paragraph" w:customStyle="1" w:styleId="152">
    <w:name w:val="style48"/>
    <w:basedOn w:val="1"/>
    <w:autoRedefine/>
    <w:qFormat/>
    <w:uiPriority w:val="99"/>
    <w:pPr>
      <w:widowControl/>
      <w:jc w:val="left"/>
    </w:pPr>
    <w:rPr>
      <w:rFonts w:ascii="宋体" w:hAnsi="宋体" w:cs="宋体"/>
      <w:kern w:val="0"/>
      <w:sz w:val="24"/>
    </w:rPr>
  </w:style>
  <w:style w:type="paragraph" w:customStyle="1" w:styleId="153">
    <w:name w:val="_Style 2"/>
    <w:basedOn w:val="1"/>
    <w:autoRedefine/>
    <w:qFormat/>
    <w:uiPriority w:val="99"/>
    <w:pPr>
      <w:spacing w:line="360" w:lineRule="auto"/>
      <w:ind w:firstLine="420" w:firstLineChars="200"/>
    </w:pPr>
    <w:rPr>
      <w:rFonts w:cs="黑体"/>
      <w:sz w:val="24"/>
      <w:szCs w:val="21"/>
    </w:rPr>
  </w:style>
  <w:style w:type="paragraph" w:customStyle="1" w:styleId="154">
    <w:name w:val="正文（小四+1.25倍行距）"/>
    <w:basedOn w:val="1"/>
    <w:autoRedefine/>
    <w:qFormat/>
    <w:uiPriority w:val="99"/>
    <w:pPr>
      <w:spacing w:beforeLines="50" w:afterLines="50" w:line="360" w:lineRule="auto"/>
      <w:ind w:firstLine="420"/>
    </w:pPr>
    <w:rPr>
      <w:rFonts w:ascii="Calibri" w:hAnsi="Calibri"/>
      <w:szCs w:val="20"/>
    </w:rPr>
  </w:style>
  <w:style w:type="paragraph" w:customStyle="1" w:styleId="155">
    <w:name w:val="正文 1.1.1"/>
    <w:basedOn w:val="1"/>
    <w:next w:val="1"/>
    <w:autoRedefine/>
    <w:qFormat/>
    <w:uiPriority w:val="99"/>
    <w:pPr>
      <w:tabs>
        <w:tab w:val="left" w:pos="851"/>
      </w:tabs>
      <w:adjustRightInd w:val="0"/>
      <w:spacing w:line="360" w:lineRule="auto"/>
      <w:textAlignment w:val="baseline"/>
      <w:outlineLvl w:val="2"/>
    </w:pPr>
    <w:rPr>
      <w:rFonts w:ascii="宋体" w:hAnsi="宋体"/>
      <w:color w:val="FF0000"/>
      <w:kern w:val="0"/>
      <w:sz w:val="28"/>
      <w:szCs w:val="21"/>
    </w:rPr>
  </w:style>
  <w:style w:type="paragraph" w:customStyle="1" w:styleId="156">
    <w:name w:val="Char Char Char Char Char Char"/>
    <w:basedOn w:val="1"/>
    <w:autoRedefine/>
    <w:qFormat/>
    <w:uiPriority w:val="99"/>
    <w:rPr>
      <w:rFonts w:ascii="Tahoma" w:hAnsi="Tahoma"/>
      <w:sz w:val="24"/>
      <w:szCs w:val="20"/>
    </w:rPr>
  </w:style>
  <w:style w:type="paragraph" w:customStyle="1" w:styleId="157">
    <w:name w:val="标题 55"/>
    <w:basedOn w:val="9"/>
    <w:autoRedefine/>
    <w:qFormat/>
    <w:uiPriority w:val="99"/>
    <w:rPr>
      <w:rFonts w:ascii="方正黑体简体" w:eastAsia="方正黑体简体"/>
      <w:b w:val="0"/>
      <w:bCs w:val="0"/>
    </w:rPr>
  </w:style>
  <w:style w:type="paragraph" w:customStyle="1" w:styleId="158">
    <w:name w:val="正文5"/>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59">
    <w:name w:val="TOC 标题1"/>
    <w:basedOn w:val="5"/>
    <w:next w:val="1"/>
    <w:autoRedefine/>
    <w:qFormat/>
    <w:uiPriority w:val="99"/>
    <w:pPr>
      <w:keepLines/>
      <w:widowControl/>
      <w:spacing w:before="480" w:line="276" w:lineRule="auto"/>
      <w:jc w:val="left"/>
      <w:outlineLvl w:val="9"/>
    </w:pPr>
    <w:rPr>
      <w:rFonts w:ascii="Cambria" w:hAnsi="Cambria" w:eastAsia="方正黑体简体"/>
      <w:bCs w:val="0"/>
      <w:color w:val="365F91"/>
      <w:kern w:val="0"/>
      <w:sz w:val="28"/>
      <w:szCs w:val="28"/>
    </w:rPr>
  </w:style>
  <w:style w:type="paragraph" w:customStyle="1" w:styleId="160">
    <w:name w:val="_Style 36"/>
    <w:basedOn w:val="1"/>
    <w:autoRedefine/>
    <w:qFormat/>
    <w:uiPriority w:val="99"/>
    <w:pPr>
      <w:ind w:firstLine="420" w:firstLineChars="200"/>
    </w:pPr>
    <w:rPr>
      <w:szCs w:val="20"/>
    </w:rPr>
  </w:style>
  <w:style w:type="paragraph" w:customStyle="1" w:styleId="161">
    <w:name w:val="正文_1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CM106"/>
    <w:basedOn w:val="150"/>
    <w:next w:val="150"/>
    <w:autoRedefine/>
    <w:qFormat/>
    <w:uiPriority w:val="99"/>
    <w:rPr>
      <w:rFonts w:ascii="宋体" w:hAnsi="Times New Roman" w:eastAsia="宋体" w:cs="Times New Roman"/>
      <w:color w:val="auto"/>
    </w:rPr>
  </w:style>
  <w:style w:type="paragraph" w:customStyle="1" w:styleId="163">
    <w:name w:val="默认段落字体 Para Char Char Char Char Char Char Char Char Char1 Char Char Char Char Char Char Char"/>
    <w:basedOn w:val="17"/>
    <w:autoRedefine/>
    <w:qFormat/>
    <w:uiPriority w:val="99"/>
    <w:rPr>
      <w:sz w:val="24"/>
    </w:rPr>
  </w:style>
  <w:style w:type="paragraph" w:customStyle="1" w:styleId="164">
    <w:name w:val="列出段落2"/>
    <w:basedOn w:val="1"/>
    <w:autoRedefine/>
    <w:qFormat/>
    <w:uiPriority w:val="99"/>
    <w:pPr>
      <w:ind w:firstLine="420" w:firstLineChars="200"/>
    </w:pPr>
    <w:rPr>
      <w:rFonts w:ascii="Calibri" w:hAnsi="Calibri"/>
      <w:szCs w:val="22"/>
    </w:rPr>
  </w:style>
  <w:style w:type="paragraph" w:customStyle="1" w:styleId="165">
    <w:name w:val="Char Char1 Char Char Char Char Char Char"/>
    <w:basedOn w:val="1"/>
    <w:autoRedefine/>
    <w:qFormat/>
    <w:uiPriority w:val="99"/>
    <w:pPr>
      <w:widowControl/>
      <w:spacing w:after="160" w:line="240" w:lineRule="exact"/>
      <w:jc w:val="left"/>
    </w:pPr>
    <w:rPr>
      <w:rFonts w:ascii="宋体" w:hAnsi="宋体" w:cs="宋体"/>
      <w:kern w:val="0"/>
      <w:szCs w:val="20"/>
    </w:rPr>
  </w:style>
  <w:style w:type="paragraph" w:customStyle="1" w:styleId="166">
    <w:name w:val="内文正文"/>
    <w:basedOn w:val="24"/>
    <w:autoRedefine/>
    <w:qFormat/>
    <w:uiPriority w:val="99"/>
    <w:pPr>
      <w:widowControl w:val="0"/>
      <w:overflowPunct/>
      <w:autoSpaceDE/>
      <w:autoSpaceDN/>
      <w:snapToGrid w:val="0"/>
      <w:spacing w:line="400" w:lineRule="exact"/>
      <w:ind w:firstLine="200" w:firstLineChars="200"/>
      <w:jc w:val="both"/>
      <w:textAlignment w:val="auto"/>
    </w:pPr>
    <w:rPr>
      <w:rFonts w:ascii="Arial" w:hAnsi="Arial" w:cs="Courier New"/>
      <w:color w:val="000000"/>
      <w:kern w:val="2"/>
    </w:rPr>
  </w:style>
  <w:style w:type="paragraph" w:customStyle="1" w:styleId="167">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168">
    <w:name w:val="新定义正文"/>
    <w:basedOn w:val="1"/>
    <w:autoRedefine/>
    <w:qFormat/>
    <w:uiPriority w:val="99"/>
    <w:pPr>
      <w:widowControl/>
    </w:pPr>
    <w:rPr>
      <w:color w:val="000000"/>
      <w:szCs w:val="21"/>
    </w:rPr>
  </w:style>
  <w:style w:type="paragraph" w:customStyle="1" w:styleId="169">
    <w:name w:val="_Style 5"/>
    <w:basedOn w:val="17"/>
    <w:autoRedefine/>
    <w:qFormat/>
    <w:uiPriority w:val="99"/>
  </w:style>
  <w:style w:type="paragraph" w:customStyle="1" w:styleId="170">
    <w:name w:val="正文 第一章"/>
    <w:basedOn w:val="1"/>
    <w:next w:val="171"/>
    <w:autoRedefine/>
    <w:qFormat/>
    <w:uiPriority w:val="99"/>
    <w:pPr>
      <w:pageBreakBefore/>
      <w:adjustRightInd w:val="0"/>
      <w:spacing w:before="240" w:after="240" w:line="480" w:lineRule="auto"/>
      <w:ind w:left="300" w:hanging="420"/>
      <w:jc w:val="center"/>
      <w:textAlignment w:val="baseline"/>
      <w:outlineLvl w:val="0"/>
    </w:pPr>
    <w:rPr>
      <w:rFonts w:ascii="黑体" w:hAnsi="宋体" w:eastAsia="黑体"/>
      <w:kern w:val="0"/>
      <w:sz w:val="36"/>
      <w:szCs w:val="36"/>
    </w:rPr>
  </w:style>
  <w:style w:type="paragraph" w:customStyle="1" w:styleId="171">
    <w:name w:val="正文 1.1"/>
    <w:basedOn w:val="1"/>
    <w:next w:val="155"/>
    <w:autoRedefine/>
    <w:qFormat/>
    <w:uiPriority w:val="99"/>
    <w:pPr>
      <w:adjustRightInd w:val="0"/>
      <w:spacing w:line="360" w:lineRule="auto"/>
      <w:ind w:left="980" w:hanging="980" w:hangingChars="350"/>
      <w:textAlignment w:val="baseline"/>
      <w:outlineLvl w:val="1"/>
    </w:pPr>
    <w:rPr>
      <w:rFonts w:ascii="仿宋" w:hAnsi="仿宋" w:eastAsia="仿宋"/>
      <w:b/>
      <w:kern w:val="0"/>
      <w:sz w:val="28"/>
      <w:szCs w:val="21"/>
    </w:rPr>
  </w:style>
  <w:style w:type="paragraph" w:customStyle="1" w:styleId="172">
    <w:name w:val="Char Char Char Char11"/>
    <w:basedOn w:val="17"/>
    <w:autoRedefine/>
    <w:qFormat/>
    <w:uiPriority w:val="99"/>
    <w:rPr>
      <w:szCs w:val="20"/>
    </w:rPr>
  </w:style>
  <w:style w:type="paragraph" w:customStyle="1" w:styleId="173">
    <w:name w:val="正文空2格  1."/>
    <w:basedOn w:val="1"/>
    <w:autoRedefine/>
    <w:qFormat/>
    <w:uiPriority w:val="99"/>
    <w:pPr>
      <w:adjustRightInd w:val="0"/>
      <w:spacing w:line="360" w:lineRule="auto"/>
      <w:ind w:firstLine="480" w:firstLineChars="200"/>
      <w:textAlignment w:val="baseline"/>
    </w:pPr>
    <w:rPr>
      <w:rFonts w:ascii="宋体" w:eastAsia="仿宋" w:cs="宋体"/>
      <w:kern w:val="0"/>
      <w:sz w:val="28"/>
      <w:szCs w:val="20"/>
    </w:rPr>
  </w:style>
  <w:style w:type="paragraph" w:customStyle="1" w:styleId="174">
    <w:name w:val="正文2"/>
    <w:basedOn w:val="1"/>
    <w:autoRedefine/>
    <w:qFormat/>
    <w:uiPriority w:val="99"/>
    <w:pPr>
      <w:spacing w:before="156" w:line="360" w:lineRule="auto"/>
      <w:ind w:firstLine="510" w:firstLineChars="200"/>
    </w:pPr>
    <w:rPr>
      <w:sz w:val="24"/>
      <w:szCs w:val="20"/>
    </w:rPr>
  </w:style>
  <w:style w:type="paragraph" w:customStyle="1" w:styleId="175">
    <w:name w:val="正文0"/>
    <w:basedOn w:val="1"/>
    <w:autoRedefine/>
    <w:qFormat/>
    <w:uiPriority w:val="99"/>
    <w:pPr>
      <w:adjustRightInd w:val="0"/>
      <w:snapToGrid w:val="0"/>
      <w:spacing w:line="440" w:lineRule="exact"/>
      <w:ind w:left="420" w:leftChars="200" w:firstLine="428" w:firstLineChars="200"/>
    </w:pPr>
    <w:rPr>
      <w:spacing w:val="2"/>
      <w:szCs w:val="21"/>
      <w:u w:val="single"/>
    </w:rPr>
  </w:style>
  <w:style w:type="paragraph" w:customStyle="1" w:styleId="176">
    <w:name w:val="样式6"/>
    <w:basedOn w:val="16"/>
    <w:autoRedefine/>
    <w:qFormat/>
    <w:uiPriority w:val="99"/>
    <w:pPr>
      <w:spacing w:line="360" w:lineRule="auto"/>
      <w:ind w:firstLine="200" w:firstLineChars="200"/>
    </w:pPr>
    <w:rPr>
      <w:sz w:val="24"/>
    </w:rPr>
  </w:style>
  <w:style w:type="paragraph" w:customStyle="1" w:styleId="177">
    <w:name w:val="TOC 标题2"/>
    <w:basedOn w:val="5"/>
    <w:next w:val="1"/>
    <w:autoRedefine/>
    <w:qFormat/>
    <w:uiPriority w:val="99"/>
    <w:pPr>
      <w:keepLines/>
      <w:widowControl/>
      <w:spacing w:before="480" w:line="276" w:lineRule="auto"/>
      <w:jc w:val="left"/>
      <w:outlineLvl w:val="9"/>
    </w:pPr>
    <w:rPr>
      <w:rFonts w:ascii="Cambria" w:hAnsi="Cambria" w:eastAsia="方正黑体简体" w:cs="黑体"/>
      <w:bCs w:val="0"/>
      <w:color w:val="365F90"/>
      <w:kern w:val="0"/>
      <w:sz w:val="28"/>
      <w:szCs w:val="28"/>
    </w:rPr>
  </w:style>
  <w:style w:type="paragraph" w:customStyle="1" w:styleId="178">
    <w:name w:val="ml2"/>
    <w:basedOn w:val="30"/>
    <w:autoRedefine/>
    <w:qFormat/>
    <w:uiPriority w:val="99"/>
    <w:pPr>
      <w:tabs>
        <w:tab w:val="clear" w:pos="9628"/>
      </w:tabs>
      <w:spacing w:before="120" w:after="120" w:line="240" w:lineRule="auto"/>
      <w:ind w:left="420" w:leftChars="200"/>
      <w:jc w:val="left"/>
    </w:pPr>
    <w:rPr>
      <w:rFonts w:ascii="Calibri" w:hAnsi="Calibri" w:eastAsia="宋体" w:cs="Calibri"/>
      <w:b/>
      <w:caps/>
      <w:szCs w:val="20"/>
    </w:rPr>
  </w:style>
  <w:style w:type="paragraph" w:customStyle="1" w:styleId="179">
    <w:name w:val="Char1 Char Char Char"/>
    <w:basedOn w:val="1"/>
    <w:autoRedefine/>
    <w:qFormat/>
    <w:uiPriority w:val="99"/>
    <w:rPr>
      <w:rFonts w:ascii="Tahoma" w:hAnsi="Tahoma"/>
      <w:sz w:val="24"/>
      <w:szCs w:val="20"/>
    </w:rPr>
  </w:style>
  <w:style w:type="paragraph" w:customStyle="1" w:styleId="180">
    <w:name w:val="正文 New New New New"/>
    <w:autoRedefine/>
    <w:qFormat/>
    <w:uiPriority w:val="99"/>
    <w:pPr>
      <w:widowControl w:val="0"/>
      <w:jc w:val="both"/>
    </w:pPr>
    <w:rPr>
      <w:rFonts w:ascii="Times New Roman" w:hAnsi="Times New Roman" w:eastAsia="宋体" w:cs="Times New Roman"/>
      <w:szCs w:val="24"/>
      <w:lang w:val="en-US" w:eastAsia="zh-CN" w:bidi="ar-SA"/>
    </w:rPr>
  </w:style>
  <w:style w:type="paragraph" w:customStyle="1" w:styleId="181">
    <w:name w:val="TOC 标题3"/>
    <w:basedOn w:val="5"/>
    <w:next w:val="1"/>
    <w:autoRedefine/>
    <w:qFormat/>
    <w:uiPriority w:val="99"/>
    <w:pPr>
      <w:keepLines/>
      <w:widowControl/>
      <w:spacing w:before="480" w:line="276" w:lineRule="auto"/>
      <w:jc w:val="left"/>
      <w:outlineLvl w:val="9"/>
    </w:pPr>
    <w:rPr>
      <w:rFonts w:ascii="Cambria" w:hAnsi="Cambria" w:eastAsia="宋体"/>
      <w:bCs w:val="0"/>
      <w:color w:val="365F91"/>
      <w:kern w:val="0"/>
      <w:sz w:val="28"/>
      <w:szCs w:val="28"/>
    </w:rPr>
  </w:style>
  <w:style w:type="paragraph" w:customStyle="1" w:styleId="182">
    <w:name w:val="正文1"/>
    <w:basedOn w:val="1"/>
    <w:autoRedefine/>
    <w:qFormat/>
    <w:uiPriority w:val="99"/>
    <w:pPr>
      <w:spacing w:beforeLines="50" w:afterLines="50" w:line="300" w:lineRule="auto"/>
      <w:ind w:firstLine="480" w:firstLineChars="200"/>
    </w:pPr>
    <w:rPr>
      <w:szCs w:val="20"/>
    </w:rPr>
  </w:style>
  <w:style w:type="paragraph" w:customStyle="1" w:styleId="183">
    <w:name w:val="_Style 32"/>
    <w:basedOn w:val="1"/>
    <w:autoRedefine/>
    <w:qFormat/>
    <w:uiPriority w:val="99"/>
    <w:rPr>
      <w:szCs w:val="20"/>
    </w:rPr>
  </w:style>
  <w:style w:type="paragraph" w:customStyle="1" w:styleId="184">
    <w:name w:val="彩色列表 - 强调文字颜色 11"/>
    <w:basedOn w:val="1"/>
    <w:autoRedefine/>
    <w:qFormat/>
    <w:uiPriority w:val="99"/>
    <w:pPr>
      <w:ind w:firstLine="420" w:firstLineChars="200"/>
    </w:pPr>
  </w:style>
  <w:style w:type="paragraph" w:customStyle="1" w:styleId="185">
    <w:name w:val="Char Char Char Char Char Char Char"/>
    <w:basedOn w:val="1"/>
    <w:autoRedefine/>
    <w:qFormat/>
    <w:uiPriority w:val="99"/>
    <w:rPr>
      <w:rFonts w:ascii="仿宋_GB2312" w:eastAsia="仿宋_GB2312"/>
      <w:b/>
      <w:sz w:val="32"/>
      <w:szCs w:val="32"/>
    </w:rPr>
  </w:style>
  <w:style w:type="paragraph" w:customStyle="1" w:styleId="186">
    <w:name w:val="Char Char Char Char Char Char Char Char Char Char Char Char Char1"/>
    <w:basedOn w:val="1"/>
    <w:autoRedefine/>
    <w:qFormat/>
    <w:uiPriority w:val="99"/>
    <w:rPr>
      <w:rFonts w:ascii="Tahoma" w:hAnsi="Tahoma"/>
      <w:sz w:val="24"/>
      <w:szCs w:val="20"/>
    </w:rPr>
  </w:style>
  <w:style w:type="paragraph" w:customStyle="1" w:styleId="187">
    <w:name w:val="Blockquote"/>
    <w:basedOn w:val="1"/>
    <w:autoRedefine/>
    <w:qFormat/>
    <w:uiPriority w:val="99"/>
    <w:pPr>
      <w:autoSpaceDE w:val="0"/>
      <w:autoSpaceDN w:val="0"/>
      <w:adjustRightInd w:val="0"/>
      <w:spacing w:before="100" w:after="100"/>
      <w:ind w:left="360" w:right="360"/>
      <w:jc w:val="left"/>
    </w:pPr>
    <w:rPr>
      <w:kern w:val="0"/>
      <w:sz w:val="24"/>
      <w:szCs w:val="20"/>
    </w:rPr>
  </w:style>
  <w:style w:type="paragraph" w:customStyle="1" w:styleId="188">
    <w:name w:val="默认段落字体 Para Char"/>
    <w:basedOn w:val="1"/>
    <w:autoRedefine/>
    <w:qFormat/>
    <w:uiPriority w:val="99"/>
    <w:pPr>
      <w:tabs>
        <w:tab w:val="left" w:pos="360"/>
      </w:tabs>
      <w:adjustRightInd w:val="0"/>
      <w:textAlignment w:val="baseline"/>
    </w:pPr>
    <w:rPr>
      <w:kern w:val="0"/>
      <w:sz w:val="24"/>
      <w:szCs w:val="20"/>
    </w:rPr>
  </w:style>
  <w:style w:type="paragraph" w:customStyle="1" w:styleId="189">
    <w:name w:val="Char Char Char Char Char Char Char Char Char Char Char Char Char"/>
    <w:basedOn w:val="1"/>
    <w:autoRedefine/>
    <w:qFormat/>
    <w:uiPriority w:val="99"/>
  </w:style>
  <w:style w:type="paragraph" w:customStyle="1" w:styleId="190">
    <w:name w:val="Char Char Char Char Char Char Char Char Char Char Char Char Char2"/>
    <w:basedOn w:val="1"/>
    <w:autoRedefine/>
    <w:qFormat/>
    <w:uiPriority w:val="99"/>
    <w:rPr>
      <w:rFonts w:ascii="Tahoma" w:hAnsi="Tahoma"/>
      <w:sz w:val="24"/>
      <w:szCs w:val="20"/>
    </w:rPr>
  </w:style>
  <w:style w:type="paragraph" w:customStyle="1" w:styleId="191">
    <w:name w:val="bt1bt1"/>
    <w:basedOn w:val="5"/>
    <w:autoRedefine/>
    <w:qFormat/>
    <w:uiPriority w:val="99"/>
    <w:pPr>
      <w:keepLines/>
      <w:spacing w:before="280" w:after="290"/>
    </w:pPr>
    <w:rPr>
      <w:rFonts w:ascii="黑体" w:eastAsia="黑体"/>
      <w:b w:val="0"/>
      <w:bCs w:val="0"/>
      <w:kern w:val="0"/>
      <w:sz w:val="36"/>
      <w:szCs w:val="36"/>
    </w:rPr>
  </w:style>
  <w:style w:type="paragraph" w:customStyle="1" w:styleId="192">
    <w:name w:val="ml"/>
    <w:basedOn w:val="30"/>
    <w:autoRedefine/>
    <w:qFormat/>
    <w:uiPriority w:val="99"/>
    <w:pPr>
      <w:tabs>
        <w:tab w:val="clear" w:pos="9628"/>
      </w:tabs>
      <w:spacing w:before="120" w:after="120" w:line="240" w:lineRule="auto"/>
      <w:jc w:val="left"/>
    </w:pPr>
    <w:rPr>
      <w:rFonts w:ascii="Calibri" w:hAnsi="Calibri" w:eastAsia="宋体" w:cs="Calibri"/>
      <w:b/>
      <w:bCs w:val="0"/>
      <w:caps/>
      <w:kern w:val="0"/>
      <w:szCs w:val="20"/>
    </w:rPr>
  </w:style>
  <w:style w:type="paragraph" w:customStyle="1" w:styleId="193">
    <w:name w:val="xl55"/>
    <w:basedOn w:val="1"/>
    <w:autoRedefine/>
    <w:qFormat/>
    <w:uiPriority w:val="99"/>
    <w:pPr>
      <w:widowControl/>
      <w:spacing w:before="100" w:beforeAutospacing="1" w:after="100" w:afterAutospacing="1"/>
      <w:jc w:val="center"/>
      <w:textAlignment w:val="center"/>
    </w:pPr>
    <w:rPr>
      <w:rFonts w:ascii="Arial Unicode MS" w:hAnsi="Arial Unicode MS"/>
      <w:kern w:val="0"/>
      <w:sz w:val="24"/>
      <w:szCs w:val="20"/>
    </w:rPr>
  </w:style>
  <w:style w:type="paragraph" w:customStyle="1" w:styleId="194">
    <w:name w:val="标题 10"/>
    <w:basedOn w:val="6"/>
    <w:autoRedefine/>
    <w:qFormat/>
    <w:uiPriority w:val="99"/>
    <w:pPr>
      <w:keepNext/>
      <w:adjustRightInd/>
      <w:spacing w:before="280" w:after="290" w:line="377" w:lineRule="auto"/>
      <w:jc w:val="center"/>
      <w:textAlignment w:val="auto"/>
    </w:pPr>
    <w:rPr>
      <w:rFonts w:ascii="方正黑体简体" w:eastAsia="方正黑体简体"/>
      <w:sz w:val="28"/>
      <w:szCs w:val="28"/>
    </w:rPr>
  </w:style>
  <w:style w:type="paragraph" w:customStyle="1" w:styleId="195">
    <w:name w:val="修订11"/>
    <w:autoRedefine/>
    <w:qFormat/>
    <w:uiPriority w:val="99"/>
    <w:rPr>
      <w:rFonts w:ascii="Times New Roman" w:hAnsi="Times New Roman" w:eastAsia="宋体" w:cs="Times New Roman"/>
      <w:kern w:val="2"/>
      <w:sz w:val="21"/>
      <w:szCs w:val="24"/>
      <w:lang w:val="en-US" w:eastAsia="zh-CN" w:bidi="ar-SA"/>
    </w:rPr>
  </w:style>
  <w:style w:type="paragraph" w:customStyle="1" w:styleId="196">
    <w:name w:val="第四级"/>
    <w:basedOn w:val="1"/>
    <w:next w:val="173"/>
    <w:autoRedefine/>
    <w:qFormat/>
    <w:uiPriority w:val="99"/>
    <w:pPr>
      <w:tabs>
        <w:tab w:val="left" w:pos="1134"/>
      </w:tabs>
      <w:adjustRightInd w:val="0"/>
      <w:spacing w:line="360" w:lineRule="auto"/>
      <w:textAlignment w:val="baseline"/>
    </w:pPr>
    <w:rPr>
      <w:rFonts w:ascii="宋体" w:hAnsi="宋体" w:eastAsia="仿宋"/>
      <w:kern w:val="0"/>
      <w:sz w:val="28"/>
      <w:szCs w:val="21"/>
    </w:rPr>
  </w:style>
  <w:style w:type="paragraph" w:customStyle="1" w:styleId="197">
    <w:name w:val="样式 标题 3 + (中文) 黑体 小四 非加粗 段前: 7.8 磅 段后: 0 磅 行距: 固定值 20 磅"/>
    <w:basedOn w:val="7"/>
    <w:autoRedefine/>
    <w:qFormat/>
    <w:uiPriority w:val="99"/>
    <w:pPr>
      <w:spacing w:before="0" w:after="0" w:line="400" w:lineRule="exact"/>
      <w:ind w:firstLine="480" w:firstLineChars="200"/>
    </w:pPr>
    <w:rPr>
      <w:rFonts w:hAnsi="Arial" w:eastAsia="黑体" w:cs="宋体"/>
      <w:b w:val="0"/>
      <w:bCs w:val="0"/>
      <w:sz w:val="24"/>
      <w:szCs w:val="24"/>
    </w:rPr>
  </w:style>
  <w:style w:type="paragraph" w:customStyle="1" w:styleId="198">
    <w:name w:val="_Style 38"/>
    <w:basedOn w:val="17"/>
    <w:autoRedefine/>
    <w:qFormat/>
    <w:uiPriority w:val="99"/>
    <w:rPr>
      <w:rFonts w:ascii="Tahoma" w:hAnsi="Tahoma"/>
      <w:sz w:val="24"/>
    </w:rPr>
  </w:style>
  <w:style w:type="paragraph" w:customStyle="1" w:styleId="199">
    <w:name w:val="xl35"/>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等线"/>
      <w:kern w:val="0"/>
      <w:sz w:val="24"/>
    </w:rPr>
  </w:style>
  <w:style w:type="paragraph" w:customStyle="1" w:styleId="200">
    <w:name w:val="Char"/>
    <w:basedOn w:val="1"/>
    <w:autoRedefine/>
    <w:qFormat/>
    <w:uiPriority w:val="99"/>
    <w:pPr>
      <w:ind w:left="960" w:leftChars="400" w:firstLine="420" w:firstLineChars="200"/>
    </w:pPr>
    <w:rPr>
      <w:rFonts w:ascii="宋体" w:hAnsi="宋体"/>
      <w:szCs w:val="21"/>
    </w:rPr>
  </w:style>
  <w:style w:type="paragraph" w:customStyle="1" w:styleId="201">
    <w:name w:val="2级"/>
    <w:basedOn w:val="6"/>
    <w:next w:val="38"/>
    <w:autoRedefine/>
    <w:qFormat/>
    <w:uiPriority w:val="99"/>
    <w:pPr>
      <w:keepNext/>
      <w:adjustRightInd/>
      <w:spacing w:before="260" w:after="260" w:line="415" w:lineRule="auto"/>
      <w:ind w:left="420"/>
      <w:textAlignment w:val="auto"/>
    </w:pPr>
    <w:rPr>
      <w:rFonts w:ascii="Cambria" w:hAnsi="Cambria"/>
      <w:bCs/>
      <w:sz w:val="30"/>
      <w:szCs w:val="32"/>
    </w:rPr>
  </w:style>
  <w:style w:type="paragraph" w:customStyle="1" w:styleId="202">
    <w:name w:val="Char1"/>
    <w:basedOn w:val="1"/>
    <w:autoRedefine/>
    <w:qFormat/>
    <w:uiPriority w:val="99"/>
    <w:rPr>
      <w:szCs w:val="20"/>
    </w:rPr>
  </w:style>
  <w:style w:type="paragraph" w:styleId="203">
    <w:name w:val="List Paragraph"/>
    <w:basedOn w:val="1"/>
    <w:autoRedefine/>
    <w:qFormat/>
    <w:uiPriority w:val="99"/>
    <w:pPr>
      <w:ind w:firstLine="420" w:firstLineChars="200"/>
    </w:pPr>
  </w:style>
  <w:style w:type="paragraph" w:customStyle="1" w:styleId="204">
    <w:name w:val="简单回函地址"/>
    <w:basedOn w:val="1"/>
    <w:autoRedefine/>
    <w:qFormat/>
    <w:uiPriority w:val="99"/>
  </w:style>
  <w:style w:type="paragraph" w:customStyle="1" w:styleId="205">
    <w:name w:val="Char Char Char Char1"/>
    <w:basedOn w:val="1"/>
    <w:autoRedefine/>
    <w:qFormat/>
    <w:uiPriority w:val="99"/>
    <w:rPr>
      <w:rFonts w:ascii="Tahoma" w:hAnsi="Tahoma"/>
      <w:sz w:val="24"/>
      <w:szCs w:val="20"/>
    </w:rPr>
  </w:style>
  <w:style w:type="paragraph" w:customStyle="1" w:styleId="206">
    <w:name w:val="Char Char Char Char"/>
    <w:basedOn w:val="17"/>
    <w:autoRedefine/>
    <w:qFormat/>
    <w:uiPriority w:val="99"/>
    <w:rPr>
      <w:rFonts w:ascii="Tahoma" w:hAnsi="Tahoma"/>
      <w:sz w:val="24"/>
    </w:rPr>
  </w:style>
  <w:style w:type="paragraph" w:customStyle="1" w:styleId="207">
    <w:name w:val="彩色列表 - 强调文字颜色 12"/>
    <w:basedOn w:val="1"/>
    <w:autoRedefine/>
    <w:qFormat/>
    <w:uiPriority w:val="99"/>
    <w:pPr>
      <w:ind w:firstLine="420" w:firstLineChars="200"/>
    </w:pPr>
  </w:style>
  <w:style w:type="paragraph" w:customStyle="1" w:styleId="208">
    <w:name w:val="纯文本2"/>
    <w:basedOn w:val="158"/>
    <w:autoRedefine/>
    <w:qFormat/>
    <w:uiPriority w:val="99"/>
    <w:pPr>
      <w:widowControl/>
      <w:jc w:val="left"/>
    </w:pPr>
    <w:rPr>
      <w:rFonts w:ascii="宋体" w:hAnsi="Courier New"/>
    </w:rPr>
  </w:style>
  <w:style w:type="paragraph" w:customStyle="1" w:styleId="209">
    <w:name w:val="节"/>
    <w:basedOn w:val="6"/>
    <w:autoRedefine/>
    <w:qFormat/>
    <w:uiPriority w:val="99"/>
    <w:pPr>
      <w:keepNext/>
      <w:tabs>
        <w:tab w:val="left" w:pos="432"/>
        <w:tab w:val="left" w:pos="576"/>
      </w:tabs>
      <w:adjustRightInd/>
      <w:spacing w:before="280" w:after="290" w:line="240" w:lineRule="auto"/>
      <w:ind w:left="576" w:hanging="576"/>
      <w:textAlignment w:val="auto"/>
    </w:pPr>
    <w:rPr>
      <w:rFonts w:ascii="黑体" w:eastAsia="方正黑体简体"/>
      <w:b w:val="0"/>
      <w:kern w:val="2"/>
      <w:sz w:val="28"/>
      <w:szCs w:val="28"/>
    </w:rPr>
  </w:style>
  <w:style w:type="paragraph" w:customStyle="1" w:styleId="210">
    <w:name w:val="标题 60"/>
    <w:basedOn w:val="10"/>
    <w:autoRedefine/>
    <w:qFormat/>
    <w:uiPriority w:val="99"/>
    <w:pPr>
      <w:spacing w:line="319" w:lineRule="auto"/>
      <w:ind w:firstLine="200" w:firstLineChars="200"/>
    </w:pPr>
    <w:rPr>
      <w:b w:val="0"/>
      <w:szCs w:val="24"/>
    </w:rPr>
  </w:style>
  <w:style w:type="paragraph" w:customStyle="1" w:styleId="211">
    <w:name w:val="ml3"/>
    <w:basedOn w:val="30"/>
    <w:autoRedefine/>
    <w:qFormat/>
    <w:uiPriority w:val="99"/>
    <w:pPr>
      <w:tabs>
        <w:tab w:val="clear" w:pos="9628"/>
      </w:tabs>
      <w:spacing w:before="120" w:after="120" w:line="240" w:lineRule="auto"/>
      <w:ind w:left="840" w:leftChars="400"/>
      <w:jc w:val="left"/>
    </w:pPr>
    <w:rPr>
      <w:rFonts w:ascii="Calibri" w:hAnsi="Calibri" w:eastAsia="宋体" w:cs="Calibri"/>
      <w:b/>
      <w:caps/>
      <w:szCs w:val="20"/>
    </w:rPr>
  </w:style>
  <w:style w:type="paragraph" w:customStyle="1" w:styleId="212">
    <w:name w:val="默认段落字体 Para Char Char Char Char Char Char Char"/>
    <w:basedOn w:val="1"/>
    <w:autoRedefine/>
    <w:qFormat/>
    <w:uiPriority w:val="99"/>
    <w:rPr>
      <w:rFonts w:ascii="Tahoma" w:hAnsi="Tahoma"/>
      <w:sz w:val="24"/>
      <w:szCs w:val="20"/>
    </w:rPr>
  </w:style>
  <w:style w:type="paragraph" w:customStyle="1" w:styleId="213">
    <w:name w:val="p0"/>
    <w:basedOn w:val="1"/>
    <w:autoRedefine/>
    <w:qFormat/>
    <w:uiPriority w:val="99"/>
    <w:pPr>
      <w:widowControl/>
      <w:spacing w:line="360" w:lineRule="auto"/>
    </w:pPr>
    <w:rPr>
      <w:rFonts w:cs="黑体"/>
      <w:kern w:val="0"/>
      <w:szCs w:val="21"/>
    </w:rPr>
  </w:style>
  <w:style w:type="paragraph" w:customStyle="1" w:styleId="214">
    <w:name w:val="保留正文"/>
    <w:basedOn w:val="3"/>
    <w:autoRedefine/>
    <w:qFormat/>
    <w:uiPriority w:val="99"/>
    <w:pPr>
      <w:keepNext/>
      <w:spacing w:after="160"/>
    </w:pPr>
  </w:style>
  <w:style w:type="table" w:customStyle="1" w:styleId="215">
    <w:name w:val="网格型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
    <w:name w:val="网格型2"/>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
    <w:name w:val="专业型1"/>
    <w:autoRedefine/>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style>
  <w:style w:type="paragraph" w:customStyle="1" w:styleId="218">
    <w:name w:val="正文文本 (2)"/>
    <w:basedOn w:val="1"/>
    <w:autoRedefine/>
    <w:qFormat/>
    <w:uiPriority w:val="99"/>
    <w:pPr>
      <w:shd w:val="clear" w:color="auto" w:fill="FFFFFF"/>
      <w:spacing w:line="319" w:lineRule="auto"/>
      <w:ind w:firstLine="120"/>
    </w:pPr>
    <w:rPr>
      <w:sz w:val="19"/>
      <w:szCs w:val="19"/>
      <w:lang w:val="zh-CN"/>
    </w:rPr>
  </w:style>
  <w:style w:type="paragraph" w:customStyle="1" w:styleId="219">
    <w:name w:val="正文文本1"/>
    <w:basedOn w:val="1"/>
    <w:autoRedefine/>
    <w:qFormat/>
    <w:uiPriority w:val="99"/>
    <w:pPr>
      <w:shd w:val="clear" w:color="auto" w:fill="FFFFFF"/>
      <w:spacing w:line="326" w:lineRule="auto"/>
    </w:pPr>
    <w:rPr>
      <w:rFonts w:ascii="MingLiUfalt" w:hAnsi="MingLiUfalt" w:eastAsia="MingLiUfalt" w:cs="MingLiUfalt"/>
      <w:sz w:val="19"/>
      <w:szCs w:val="19"/>
      <w:lang w:val="zh-CN"/>
    </w:rPr>
  </w:style>
  <w:style w:type="paragraph" w:customStyle="1" w:styleId="220">
    <w:name w:val="样式 首行缩进:  2 字符"/>
    <w:basedOn w:val="1"/>
    <w:autoRedefine/>
    <w:qFormat/>
    <w:uiPriority w:val="99"/>
    <w:pPr>
      <w:spacing w:line="360" w:lineRule="auto"/>
      <w:ind w:firstLine="480" w:firstLineChars="200"/>
    </w:pPr>
    <w:rPr>
      <w:rFonts w:ascii="宋体" w:hAnsi="宋体" w:cs="宋体"/>
      <w:color w:val="000000"/>
      <w:sz w:val="24"/>
    </w:rPr>
  </w:style>
  <w:style w:type="paragraph" w:customStyle="1" w:styleId="221">
    <w:name w:val="※正文"/>
    <w:basedOn w:val="1"/>
    <w:next w:val="1"/>
    <w:autoRedefine/>
    <w:qFormat/>
    <w:uiPriority w:val="0"/>
    <w:pPr>
      <w:widowControl/>
      <w:wordWrap w:val="0"/>
      <w:spacing w:line="400" w:lineRule="exact"/>
    </w:pPr>
    <w:rPr>
      <w:rFonts w:ascii="Calibri Light" w:hAnsi="Calibri Light" w:eastAsia="华文仿宋"/>
      <w:sz w:val="28"/>
      <w:szCs w:val="28"/>
    </w:rPr>
  </w:style>
  <w:style w:type="paragraph" w:customStyle="1" w:styleId="222">
    <w:name w:val="表格文字"/>
    <w:basedOn w:val="223"/>
    <w:next w:val="3"/>
    <w:autoRedefine/>
    <w:qFormat/>
    <w:uiPriority w:val="0"/>
    <w:pPr>
      <w:spacing w:line="420" w:lineRule="atLeast"/>
    </w:pPr>
    <w:rPr>
      <w:rFonts w:ascii="Times New Roman" w:hAnsi="Times New Roman"/>
      <w:szCs w:val="24"/>
    </w:rPr>
  </w:style>
  <w:style w:type="paragraph" w:customStyle="1" w:styleId="223">
    <w:name w:val="表格文字（两侧对齐）"/>
    <w:basedOn w:val="1"/>
    <w:qFormat/>
    <w:uiPriority w:val="0"/>
    <w:pPr>
      <w:widowControl w:val="0"/>
      <w:snapToGrid w:val="0"/>
    </w:pPr>
    <w:rPr>
      <w:rFonts w:ascii="Times New Roman" w:hAnsi="Times New Roman" w:cs="Times New Roman"/>
      <w:sz w:val="20"/>
      <w:szCs w:val="20"/>
    </w:rPr>
  </w:style>
  <w:style w:type="paragraph" w:customStyle="1" w:styleId="224">
    <w:name w:val="表格"/>
    <w:basedOn w:val="1"/>
    <w:autoRedefine/>
    <w:qFormat/>
    <w:uiPriority w:val="99"/>
    <w:pPr>
      <w:autoSpaceDE w:val="0"/>
      <w:autoSpaceDN w:val="0"/>
      <w:adjustRightInd w:val="0"/>
      <w:snapToGrid w:val="0"/>
      <w:ind w:firstLine="42" w:firstLineChars="21"/>
      <w:jc w:val="left"/>
    </w:pPr>
    <w:rPr>
      <w:rFonts w:ascii="仿宋_GB2312" w:hAnsi="仿宋_GB2312" w:eastAsia="仿宋_GB2312"/>
      <w:kern w:val="0"/>
      <w:sz w:val="20"/>
      <w:szCs w:val="20"/>
    </w:rPr>
  </w:style>
  <w:style w:type="paragraph" w:customStyle="1" w:styleId="225">
    <w:name w:val="zw1"/>
    <w:basedOn w:val="1"/>
    <w:autoRedefine/>
    <w:qFormat/>
    <w:uiPriority w:val="0"/>
    <w:pPr>
      <w:spacing w:line="360" w:lineRule="auto"/>
      <w:ind w:firstLine="560" w:firstLineChars="200"/>
    </w:pPr>
    <w:rPr>
      <w:sz w:val="28"/>
      <w:szCs w:val="20"/>
    </w:rPr>
  </w:style>
  <w:style w:type="paragraph" w:customStyle="1" w:styleId="226">
    <w:name w:val="Body text|1"/>
    <w:basedOn w:val="1"/>
    <w:autoRedefine/>
    <w:qFormat/>
    <w:uiPriority w:val="0"/>
    <w:pPr>
      <w:spacing w:line="473" w:lineRule="auto"/>
      <w:ind w:firstLine="400"/>
    </w:pPr>
    <w:rPr>
      <w:rFonts w:ascii="宋体" w:hAnsi="宋体" w:cs="宋体"/>
      <w:sz w:val="20"/>
      <w:szCs w:val="20"/>
      <w:lang w:val="zh-TW" w:eastAsia="zh-TW" w:bidi="zh-TW"/>
    </w:rPr>
  </w:style>
  <w:style w:type="paragraph" w:customStyle="1" w:styleId="227">
    <w:name w:val="Table Paragraph"/>
    <w:basedOn w:val="1"/>
    <w:autoRedefine/>
    <w:qFormat/>
    <w:uiPriority w:val="1"/>
    <w:pPr>
      <w:spacing w:before="103"/>
      <w:ind w:left="98"/>
      <w:jc w:val="center"/>
    </w:pPr>
    <w:rPr>
      <w:rFonts w:ascii="宋体" w:hAnsi="宋体" w:cs="宋体"/>
      <w:lang w:eastAsia="en-US" w:bidi="en-US"/>
    </w:rPr>
  </w:style>
  <w:style w:type="character" w:customStyle="1" w:styleId="228">
    <w:name w:val="font11"/>
    <w:basedOn w:val="42"/>
    <w:autoRedefine/>
    <w:qFormat/>
    <w:uiPriority w:val="0"/>
    <w:rPr>
      <w:rFonts w:hint="eastAsia" w:ascii="宋体" w:hAnsi="宋体" w:eastAsia="宋体" w:cs="宋体"/>
      <w:color w:val="000000"/>
      <w:sz w:val="20"/>
      <w:szCs w:val="20"/>
      <w:u w:val="none"/>
    </w:rPr>
  </w:style>
  <w:style w:type="character" w:customStyle="1" w:styleId="229">
    <w:name w:val="font71"/>
    <w:basedOn w:val="42"/>
    <w:autoRedefine/>
    <w:qFormat/>
    <w:uiPriority w:val="0"/>
    <w:rPr>
      <w:rFonts w:hint="eastAsia" w:ascii="宋体" w:hAnsi="宋体" w:eastAsia="宋体" w:cs="宋体"/>
      <w:color w:val="000000"/>
      <w:sz w:val="20"/>
      <w:szCs w:val="20"/>
      <w:u w:val="none"/>
    </w:rPr>
  </w:style>
  <w:style w:type="paragraph" w:customStyle="1" w:styleId="230">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31">
    <w:name w:val="font21"/>
    <w:basedOn w:val="42"/>
    <w:autoRedefine/>
    <w:qFormat/>
    <w:uiPriority w:val="0"/>
    <w:rPr>
      <w:rFonts w:hint="eastAsia" w:ascii="微软雅黑" w:hAnsi="微软雅黑" w:eastAsia="微软雅黑" w:cs="微软雅黑"/>
      <w:color w:val="000000"/>
      <w:sz w:val="12"/>
      <w:szCs w:val="12"/>
      <w:u w:val="none"/>
    </w:rPr>
  </w:style>
  <w:style w:type="character" w:customStyle="1" w:styleId="232">
    <w:name w:val="area_1"/>
    <w:autoRedefine/>
    <w:qFormat/>
    <w:uiPriority w:val="0"/>
    <w:rPr>
      <w:rFonts w:ascii="宋体" w:hAnsi="宋体"/>
      <w:sz w:val="24"/>
    </w:rPr>
  </w:style>
  <w:style w:type="character" w:customStyle="1" w:styleId="233">
    <w:name w:val="font41"/>
    <w:basedOn w:val="42"/>
    <w:autoRedefine/>
    <w:qFormat/>
    <w:uiPriority w:val="0"/>
    <w:rPr>
      <w:rFonts w:hint="eastAsia" w:ascii="宋体" w:hAnsi="宋体" w:eastAsia="宋体" w:cs="宋体"/>
      <w:color w:val="000000"/>
      <w:sz w:val="20"/>
      <w:szCs w:val="20"/>
      <w:u w:val="none"/>
    </w:rPr>
  </w:style>
  <w:style w:type="character" w:customStyle="1" w:styleId="234">
    <w:name w:val="font81"/>
    <w:basedOn w:val="42"/>
    <w:autoRedefine/>
    <w:qFormat/>
    <w:uiPriority w:val="0"/>
    <w:rPr>
      <w:rFonts w:hint="eastAsia" w:ascii="宋体" w:hAnsi="宋体" w:eastAsia="宋体" w:cs="宋体"/>
      <w:color w:val="FF0000"/>
      <w:sz w:val="20"/>
      <w:szCs w:val="20"/>
      <w:u w:val="none"/>
    </w:rPr>
  </w:style>
  <w:style w:type="character" w:customStyle="1" w:styleId="235">
    <w:name w:val="font101"/>
    <w:basedOn w:val="42"/>
    <w:autoRedefine/>
    <w:qFormat/>
    <w:uiPriority w:val="0"/>
    <w:rPr>
      <w:rFonts w:hint="eastAsia" w:ascii="黑体" w:hAnsi="宋体" w:eastAsia="黑体" w:cs="黑体"/>
      <w:color w:val="000000"/>
      <w:sz w:val="16"/>
      <w:szCs w:val="16"/>
      <w:u w:val="none"/>
    </w:rPr>
  </w:style>
  <w:style w:type="character" w:customStyle="1" w:styleId="236">
    <w:name w:val="font121"/>
    <w:basedOn w:val="42"/>
    <w:autoRedefine/>
    <w:qFormat/>
    <w:uiPriority w:val="0"/>
    <w:rPr>
      <w:rFonts w:ascii="华文细黑" w:hAnsi="华文细黑" w:eastAsia="华文细黑" w:cs="华文细黑"/>
      <w:color w:val="000000"/>
      <w:sz w:val="16"/>
      <w:szCs w:val="16"/>
      <w:u w:val="none"/>
    </w:rPr>
  </w:style>
  <w:style w:type="character" w:customStyle="1" w:styleId="237">
    <w:name w:val="font131"/>
    <w:basedOn w:val="42"/>
    <w:autoRedefine/>
    <w:qFormat/>
    <w:uiPriority w:val="0"/>
    <w:rPr>
      <w:rFonts w:hint="eastAsia" w:ascii="宋体" w:hAnsi="宋体" w:eastAsia="宋体" w:cs="宋体"/>
      <w:color w:val="000000"/>
      <w:sz w:val="16"/>
      <w:szCs w:val="16"/>
      <w:u w:val="none"/>
    </w:rPr>
  </w:style>
  <w:style w:type="character" w:customStyle="1" w:styleId="238">
    <w:name w:val="font01"/>
    <w:basedOn w:val="42"/>
    <w:autoRedefine/>
    <w:qFormat/>
    <w:uiPriority w:val="0"/>
    <w:rPr>
      <w:rFonts w:hint="eastAsia" w:ascii="黑体" w:hAnsi="宋体" w:eastAsia="黑体" w:cs="黑体"/>
      <w:color w:val="000000"/>
      <w:sz w:val="16"/>
      <w:szCs w:val="16"/>
      <w:u w:val="none"/>
    </w:rPr>
  </w:style>
  <w:style w:type="character" w:customStyle="1" w:styleId="239">
    <w:name w:val="font111"/>
    <w:basedOn w:val="42"/>
    <w:autoRedefine/>
    <w:qFormat/>
    <w:uiPriority w:val="0"/>
    <w:rPr>
      <w:rFonts w:hint="eastAsia" w:ascii="宋体" w:hAnsi="宋体" w:eastAsia="宋体" w:cs="宋体"/>
      <w:color w:val="000000"/>
      <w:sz w:val="16"/>
      <w:szCs w:val="16"/>
      <w:u w:val="none"/>
    </w:rPr>
  </w:style>
  <w:style w:type="character" w:customStyle="1" w:styleId="240">
    <w:name w:val="font112"/>
    <w:basedOn w:val="42"/>
    <w:autoRedefine/>
    <w:qFormat/>
    <w:uiPriority w:val="0"/>
    <w:rPr>
      <w:rFonts w:hint="eastAsia" w:ascii="宋体" w:hAnsi="宋体" w:eastAsia="宋体" w:cs="宋体"/>
      <w:color w:val="000000"/>
      <w:sz w:val="16"/>
      <w:szCs w:val="16"/>
      <w:u w:val="none"/>
    </w:rPr>
  </w:style>
  <w:style w:type="character" w:customStyle="1" w:styleId="241">
    <w:name w:val="font141"/>
    <w:basedOn w:val="42"/>
    <w:autoRedefine/>
    <w:qFormat/>
    <w:uiPriority w:val="0"/>
    <w:rPr>
      <w:rFonts w:hint="eastAsia" w:ascii="宋体" w:hAnsi="宋体" w:eastAsia="宋体" w:cs="宋体"/>
      <w:color w:val="000000"/>
      <w:sz w:val="16"/>
      <w:szCs w:val="16"/>
      <w:u w:val="none"/>
    </w:rPr>
  </w:style>
  <w:style w:type="character" w:customStyle="1" w:styleId="242">
    <w:name w:val="font151"/>
    <w:basedOn w:val="42"/>
    <w:autoRedefine/>
    <w:qFormat/>
    <w:uiPriority w:val="0"/>
    <w:rPr>
      <w:rFonts w:ascii="华文细黑" w:hAnsi="华文细黑" w:eastAsia="华文细黑" w:cs="华文细黑"/>
      <w:color w:val="000000"/>
      <w:sz w:val="16"/>
      <w:szCs w:val="16"/>
      <w:u w:val="none"/>
    </w:rPr>
  </w:style>
  <w:style w:type="character" w:customStyle="1" w:styleId="243">
    <w:name w:val="font161"/>
    <w:basedOn w:val="42"/>
    <w:autoRedefine/>
    <w:qFormat/>
    <w:uiPriority w:val="0"/>
    <w:rPr>
      <w:rFonts w:hint="eastAsia" w:ascii="宋体" w:hAnsi="宋体" w:eastAsia="宋体" w:cs="宋体"/>
      <w:color w:val="000000"/>
      <w:sz w:val="24"/>
      <w:szCs w:val="24"/>
      <w:u w:val="none"/>
    </w:rPr>
  </w:style>
  <w:style w:type="character" w:customStyle="1" w:styleId="244">
    <w:name w:val="font31"/>
    <w:basedOn w:val="42"/>
    <w:autoRedefine/>
    <w:qFormat/>
    <w:uiPriority w:val="0"/>
    <w:rPr>
      <w:rFonts w:hint="eastAsia" w:ascii="微软雅黑" w:hAnsi="微软雅黑" w:eastAsia="微软雅黑" w:cs="微软雅黑"/>
      <w:color w:val="000000"/>
      <w:sz w:val="20"/>
      <w:szCs w:val="20"/>
      <w:u w:val="none"/>
    </w:rPr>
  </w:style>
  <w:style w:type="character" w:customStyle="1" w:styleId="245">
    <w:name w:val="font61"/>
    <w:basedOn w:val="42"/>
    <w:autoRedefine/>
    <w:qFormat/>
    <w:uiPriority w:val="0"/>
    <w:rPr>
      <w:rFonts w:hint="eastAsia" w:ascii="微软雅黑" w:hAnsi="微软雅黑" w:eastAsia="微软雅黑" w:cs="微软雅黑"/>
      <w:b/>
      <w:bCs/>
      <w:color w:val="FF0000"/>
      <w:sz w:val="20"/>
      <w:szCs w:val="20"/>
      <w:u w:val="none"/>
    </w:rPr>
  </w:style>
  <w:style w:type="character" w:customStyle="1" w:styleId="246">
    <w:name w:val="font51"/>
    <w:basedOn w:val="42"/>
    <w:autoRedefine/>
    <w:qFormat/>
    <w:uiPriority w:val="0"/>
    <w:rPr>
      <w:rFonts w:hint="eastAsia" w:ascii="黑体" w:hAnsi="宋体" w:eastAsia="黑体" w:cs="黑体"/>
      <w:color w:val="000000"/>
      <w:sz w:val="20"/>
      <w:szCs w:val="20"/>
      <w:u w:val="none"/>
    </w:rPr>
  </w:style>
  <w:style w:type="paragraph" w:customStyle="1" w:styleId="247">
    <w:name w:val="列出段落3"/>
    <w:basedOn w:val="1"/>
    <w:autoRedefine/>
    <w:qFormat/>
    <w:uiPriority w:val="0"/>
    <w:pPr>
      <w:spacing w:line="360" w:lineRule="auto"/>
      <w:ind w:firstLine="420" w:firstLineChars="200"/>
    </w:pPr>
    <w:rPr>
      <w:rFonts w:ascii="Calibri" w:hAnsi="Calibri"/>
      <w:sz w:val="24"/>
      <w:szCs w:val="22"/>
    </w:rPr>
  </w:style>
  <w:style w:type="paragraph" w:customStyle="1" w:styleId="248">
    <w:name w:val="BodyText"/>
    <w:basedOn w:val="1"/>
    <w:next w:val="1"/>
    <w:autoRedefine/>
    <w:qFormat/>
    <w:uiPriority w:val="0"/>
    <w:pPr>
      <w:spacing w:after="120"/>
      <w:textAlignment w:val="baseline"/>
    </w:pPr>
    <w:rPr>
      <w:rFonts w:cs="宋体"/>
      <w:szCs w:val="22"/>
    </w:rPr>
  </w:style>
  <w:style w:type="character" w:customStyle="1" w:styleId="249">
    <w:name w:val="NormalCharacter"/>
    <w:autoRedefine/>
    <w:qFormat/>
    <w:uiPriority w:val="0"/>
  </w:style>
  <w:style w:type="paragraph" w:customStyle="1" w:styleId="250">
    <w:name w:val="PlainText"/>
    <w:basedOn w:val="1"/>
    <w:autoRedefine/>
    <w:qFormat/>
    <w:uiPriority w:val="0"/>
    <w:pPr>
      <w:textAlignment w:val="baseline"/>
    </w:pPr>
    <w:rPr>
      <w:rFonts w:ascii="宋体" w:hAnsi="Courier New" w:eastAsia="仿宋_GB2312" w:cs="宋体"/>
      <w:b/>
      <w:bCs/>
      <w:color w:val="000000"/>
      <w:szCs w:val="22"/>
    </w:rPr>
  </w:style>
  <w:style w:type="table" w:customStyle="1" w:styleId="251">
    <w:name w:val="Table Normal"/>
    <w:autoRedefine/>
    <w:semiHidden/>
    <w:unhideWhenUsed/>
    <w:qFormat/>
    <w:uiPriority w:val="0"/>
    <w:tblPr>
      <w:tblCellMar>
        <w:top w:w="0" w:type="dxa"/>
        <w:left w:w="0" w:type="dxa"/>
        <w:bottom w:w="0" w:type="dxa"/>
        <w:right w:w="0" w:type="dxa"/>
      </w:tblCellMar>
    </w:tblPr>
  </w:style>
  <w:style w:type="paragraph" w:customStyle="1" w:styleId="252">
    <w:name w:val="纯文本 New New"/>
    <w:basedOn w:val="1"/>
    <w:autoRedefine/>
    <w:qFormat/>
    <w:uiPriority w:val="0"/>
    <w:pPr>
      <w:widowControl/>
      <w:overflowPunct w:val="0"/>
      <w:autoSpaceDE w:val="0"/>
      <w:autoSpaceDN w:val="0"/>
      <w:adjustRightInd w:val="0"/>
      <w:jc w:val="left"/>
      <w:textAlignment w:val="baseline"/>
    </w:pPr>
    <w:rPr>
      <w:rFonts w:ascii="宋体" w:hAnsi="Courier Ne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36098</Words>
  <Characters>37421</Characters>
  <Lines>230</Lines>
  <Paragraphs>64</Paragraphs>
  <TotalTime>2</TotalTime>
  <ScaleCrop>false</ScaleCrop>
  <LinksUpToDate>false</LinksUpToDate>
  <CharactersWithSpaces>38867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2021-03-18T19:02:00Z</dcterms:created>
  <dc:creator>LCMZX</dc:creator>
  <cp:lastModifiedBy>O0</cp:lastModifiedBy>
  <cp:lastPrinted>2024-09-29T07:49:00Z</cp:lastPrinted>
  <dcterms:modified xsi:type="dcterms:W3CDTF">2024-10-12T09:14:03Z</dcterms:modified>
  <dc:title>温州市政府采购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5178DE552AF9418CB78595BC26A14488_13</vt:lpwstr>
  </property>
  <property fmtid="{D5CDD505-2E9C-101B-9397-08002B2CF9AE}" pid="4" name="commondata">
    <vt:lpwstr>eyJoZGlkIjoiZDRhNzcwYWMxNDc0YjRjN2UxZDk1NTg4ZWEwNTIzZDUifQ==</vt:lpwstr>
  </property>
</Properties>
</file>