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spacing w:line="360" w:lineRule="auto"/>
        <w:jc w:val="center"/>
        <w:rPr>
          <w:rFonts w:ascii="仿宋" w:hAnsi="仿宋" w:eastAsia="仿宋" w:cs="仿宋"/>
          <w:b/>
          <w:color w:val="auto"/>
          <w:sz w:val="48"/>
          <w:szCs w:val="48"/>
          <w:highlight w:val="none"/>
        </w:rPr>
      </w:pPr>
    </w:p>
    <w:p>
      <w:pPr>
        <w:adjustRightInd/>
        <w:spacing w:line="360" w:lineRule="auto"/>
        <w:jc w:val="cente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t>杭州市市政设施管理中心</w:t>
      </w:r>
    </w:p>
    <w:p>
      <w:pPr>
        <w:adjustRightInd/>
        <w:spacing w:line="360" w:lineRule="auto"/>
        <w:jc w:val="cente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t>江东大桥车辆动态称重系统改造工程</w:t>
      </w:r>
    </w:p>
    <w:p>
      <w:pPr>
        <w:adjustRightInd/>
        <w:spacing w:line="360" w:lineRule="auto"/>
        <w:jc w:val="center"/>
        <w:rPr>
          <w:rFonts w:ascii="仿宋" w:hAnsi="仿宋" w:eastAsia="仿宋" w:cs="仿宋"/>
          <w:color w:val="auto"/>
          <w:sz w:val="72"/>
          <w:szCs w:val="72"/>
          <w:highlight w:val="none"/>
        </w:rPr>
      </w:pPr>
      <w:r>
        <w:rPr>
          <w:rFonts w:hint="eastAsia" w:ascii="仿宋" w:hAnsi="仿宋" w:eastAsia="仿宋" w:cs="仿宋"/>
          <w:color w:val="auto"/>
          <w:sz w:val="72"/>
          <w:szCs w:val="72"/>
          <w:highlight w:val="none"/>
        </w:rPr>
        <w:t>招标文件</w:t>
      </w:r>
    </w:p>
    <w:p>
      <w:pPr>
        <w:adjustRightInd/>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（电子招投标）</w:t>
      </w:r>
    </w:p>
    <w:p>
      <w:pPr>
        <w:snapToGrid w:val="0"/>
        <w:spacing w:line="360" w:lineRule="auto"/>
        <w:jc w:val="cente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项目编号:ZJKJ2024-ZSSS001</w:t>
      </w:r>
    </w:p>
    <w:p>
      <w:pPr>
        <w:adjustRightInd/>
        <w:spacing w:line="360" w:lineRule="auto"/>
        <w:rPr>
          <w:rFonts w:ascii="仿宋" w:hAnsi="仿宋" w:eastAsia="仿宋" w:cs="仿宋"/>
          <w:color w:val="auto"/>
          <w:sz w:val="28"/>
          <w:szCs w:val="20"/>
          <w:highlight w:val="none"/>
        </w:rPr>
      </w:pPr>
    </w:p>
    <w:p>
      <w:pPr>
        <w:tabs>
          <w:tab w:val="center" w:pos="4595"/>
          <w:tab w:val="left" w:pos="8203"/>
        </w:tabs>
        <w:spacing w:line="360" w:lineRule="auto"/>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ab/>
      </w:r>
    </w:p>
    <w:p>
      <w:pPr>
        <w:tabs>
          <w:tab w:val="center" w:pos="4595"/>
          <w:tab w:val="left" w:pos="8203"/>
        </w:tabs>
        <w:spacing w:line="360" w:lineRule="auto"/>
        <w:jc w:val="left"/>
        <w:rPr>
          <w:rFonts w:ascii="仿宋" w:hAnsi="仿宋" w:eastAsia="仿宋" w:cs="仿宋"/>
          <w:color w:val="auto"/>
          <w:sz w:val="30"/>
          <w:szCs w:val="30"/>
          <w:highlight w:val="none"/>
        </w:rPr>
      </w:pPr>
    </w:p>
    <w:p>
      <w:pPr>
        <w:autoSpaceDE w:val="0"/>
        <w:autoSpaceDN w:val="0"/>
        <w:spacing w:line="360" w:lineRule="auto"/>
        <w:rPr>
          <w:rFonts w:ascii="仿宋" w:hAnsi="仿宋" w:eastAsia="仿宋" w:cs="仿宋"/>
          <w:snapToGrid w:val="0"/>
          <w:color w:val="auto"/>
          <w:sz w:val="24"/>
          <w:szCs w:val="21"/>
          <w:highlight w:val="none"/>
          <w:lang w:val="zh-CN"/>
        </w:rPr>
      </w:pPr>
    </w:p>
    <w:p>
      <w:pPr>
        <w:tabs>
          <w:tab w:val="center" w:pos="4595"/>
          <w:tab w:val="left" w:pos="8203"/>
        </w:tabs>
        <w:spacing w:line="360" w:lineRule="auto"/>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ab/>
      </w:r>
    </w:p>
    <w:p>
      <w:pPr>
        <w:autoSpaceDE w:val="0"/>
        <w:autoSpaceDN w:val="0"/>
        <w:spacing w:line="360" w:lineRule="auto"/>
        <w:ind w:firstLine="420"/>
        <w:rPr>
          <w:rFonts w:ascii="仿宋" w:hAnsi="仿宋" w:eastAsia="仿宋" w:cs="仿宋"/>
          <w:color w:val="auto"/>
          <w:sz w:val="24"/>
          <w:szCs w:val="20"/>
          <w:highlight w:val="none"/>
          <w:lang w:val="zh-CN"/>
        </w:rPr>
      </w:pPr>
    </w:p>
    <w:p>
      <w:pPr>
        <w:spacing w:line="360" w:lineRule="auto"/>
        <w:rPr>
          <w:rFonts w:ascii="仿宋" w:hAnsi="仿宋" w:eastAsia="仿宋" w:cs="仿宋"/>
          <w:color w:val="auto"/>
          <w:sz w:val="32"/>
          <w:szCs w:val="32"/>
          <w:highlight w:val="none"/>
        </w:rPr>
      </w:pPr>
    </w:p>
    <w:p>
      <w:pPr>
        <w:autoSpaceDE w:val="0"/>
        <w:autoSpaceDN w:val="0"/>
        <w:spacing w:line="360" w:lineRule="auto"/>
        <w:rPr>
          <w:rFonts w:ascii="仿宋" w:hAnsi="仿宋" w:eastAsia="仿宋" w:cs="仿宋"/>
          <w:snapToGrid w:val="0"/>
          <w:color w:val="auto"/>
          <w:sz w:val="32"/>
          <w:szCs w:val="32"/>
          <w:highlight w:val="none"/>
          <w:lang w:val="zh-CN"/>
        </w:rPr>
      </w:pPr>
    </w:p>
    <w:p>
      <w:pPr>
        <w:autoSpaceDE w:val="0"/>
        <w:autoSpaceDN w:val="0"/>
        <w:spacing w:line="360" w:lineRule="auto"/>
        <w:ind w:firstLine="420"/>
        <w:rPr>
          <w:rFonts w:ascii="仿宋" w:hAnsi="仿宋" w:eastAsia="仿宋" w:cs="仿宋"/>
          <w:color w:val="auto"/>
          <w:sz w:val="32"/>
          <w:szCs w:val="32"/>
          <w:highlight w:val="none"/>
          <w:lang w:val="zh-CN"/>
        </w:rPr>
      </w:pPr>
    </w:p>
    <w:p>
      <w:pPr>
        <w:ind w:left="2100" w:leftChars="1000"/>
        <w:rPr>
          <w:rFonts w:ascii="仿宋" w:hAnsi="仿宋" w:eastAsia="仿宋" w:cs="仿宋"/>
          <w:color w:val="auto"/>
          <w:sz w:val="32"/>
          <w:szCs w:val="32"/>
          <w:highlight w:val="none"/>
        </w:rPr>
      </w:pPr>
    </w:p>
    <w:p>
      <w:pPr>
        <w:rPr>
          <w:rFonts w:ascii="仿宋" w:hAnsi="仿宋" w:eastAsia="仿宋" w:cs="仿宋"/>
          <w:color w:val="auto"/>
          <w:sz w:val="32"/>
          <w:szCs w:val="32"/>
          <w:highlight w:val="none"/>
        </w:rPr>
      </w:pPr>
    </w:p>
    <w:p>
      <w:pPr>
        <w:keepNext/>
        <w:keepLines/>
        <w:tabs>
          <w:tab w:val="left" w:pos="432"/>
        </w:tabs>
        <w:adjustRightInd/>
        <w:spacing w:line="360" w:lineRule="auto"/>
        <w:ind w:left="432" w:hanging="432"/>
        <w:jc w:val="left"/>
        <w:rPr>
          <w:rFonts w:ascii="仿宋" w:hAnsi="仿宋" w:eastAsia="仿宋" w:cs="仿宋"/>
          <w:b/>
          <w:bCs/>
          <w:color w:val="auto"/>
          <w:sz w:val="32"/>
          <w:szCs w:val="32"/>
          <w:highlight w:val="none"/>
          <w:lang w:val="zh-CN"/>
        </w:rPr>
      </w:pPr>
    </w:p>
    <w:p>
      <w:pPr>
        <w:rPr>
          <w:rFonts w:ascii="仿宋" w:hAnsi="仿宋" w:eastAsia="仿宋" w:cs="仿宋"/>
          <w:color w:val="auto"/>
          <w:highlight w:val="none"/>
        </w:rPr>
      </w:pPr>
    </w:p>
    <w:p>
      <w:pPr>
        <w:snapToGrid w:val="0"/>
        <w:spacing w:line="360" w:lineRule="auto"/>
        <w:ind w:firstLine="1600" w:firstLineChars="5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采购人：杭州市市政设施管理中心</w:t>
      </w:r>
    </w:p>
    <w:p>
      <w:pPr>
        <w:snapToGrid w:val="0"/>
        <w:spacing w:line="360" w:lineRule="auto"/>
        <w:ind w:firstLine="1600" w:firstLineChars="500"/>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 xml:space="preserve">采购代理机构：浙江科佳工程咨询有限公司 </w:t>
      </w:r>
    </w:p>
    <w:p>
      <w:pPr>
        <w:snapToGrid w:val="0"/>
        <w:spacing w:line="360" w:lineRule="auto"/>
        <w:jc w:val="center"/>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二〇二四年</w:t>
      </w:r>
      <w:r>
        <w:rPr>
          <w:rFonts w:hint="eastAsia" w:ascii="仿宋" w:hAnsi="仿宋" w:eastAsia="仿宋" w:cs="仿宋"/>
          <w:bCs/>
          <w:color w:val="auto"/>
          <w:sz w:val="32"/>
          <w:szCs w:val="32"/>
          <w:highlight w:val="none"/>
          <w:lang w:val="en-US" w:eastAsia="zh-CN"/>
        </w:rPr>
        <w:t>六</w:t>
      </w:r>
      <w:r>
        <w:rPr>
          <w:rFonts w:hint="eastAsia" w:ascii="仿宋" w:hAnsi="仿宋" w:eastAsia="仿宋" w:cs="仿宋"/>
          <w:bCs/>
          <w:color w:val="auto"/>
          <w:sz w:val="32"/>
          <w:szCs w:val="32"/>
          <w:highlight w:val="none"/>
        </w:rPr>
        <w:t>月</w:t>
      </w:r>
    </w:p>
    <w:p>
      <w:pPr>
        <w:wordWrap w:val="0"/>
        <w:spacing w:line="360" w:lineRule="auto"/>
        <w:jc w:val="center"/>
        <w:rPr>
          <w:rFonts w:ascii="仿宋" w:hAnsi="仿宋" w:eastAsia="仿宋" w:cs="仿宋"/>
          <w:color w:val="auto"/>
          <w:sz w:val="24"/>
          <w:highlight w:val="none"/>
        </w:rPr>
      </w:pPr>
    </w:p>
    <w:p>
      <w:pPr>
        <w:wordWrap w:val="0"/>
        <w:spacing w:line="360" w:lineRule="auto"/>
        <w:ind w:firstLine="1103" w:firstLineChars="229"/>
        <w:rPr>
          <w:rFonts w:ascii="仿宋" w:hAnsi="仿宋" w:eastAsia="仿宋" w:cs="仿宋"/>
          <w:b/>
          <w:color w:val="auto"/>
          <w:sz w:val="48"/>
          <w:szCs w:val="48"/>
          <w:highlight w:val="none"/>
        </w:rPr>
      </w:pPr>
      <w:bookmarkStart w:id="0" w:name="_Hlt91233176"/>
      <w:bookmarkEnd w:id="0"/>
      <w:bookmarkStart w:id="1" w:name="_Toc91899869"/>
      <w:r>
        <w:rPr>
          <w:rFonts w:hint="eastAsia" w:ascii="仿宋" w:hAnsi="仿宋" w:eastAsia="仿宋" w:cs="仿宋"/>
          <w:b/>
          <w:color w:val="auto"/>
          <w:sz w:val="48"/>
          <w:szCs w:val="48"/>
          <w:highlight w:val="none"/>
        </w:rPr>
        <w:t xml:space="preserve"> </w:t>
      </w:r>
    </w:p>
    <w:p>
      <w:pPr>
        <w:pStyle w:val="61"/>
        <w:ind w:firstLine="420"/>
        <w:rPr>
          <w:rFonts w:ascii="仿宋" w:hAnsi="仿宋" w:eastAsia="仿宋" w:cs="仿宋"/>
          <w:color w:val="auto"/>
          <w:highlight w:val="none"/>
        </w:rPr>
      </w:pPr>
    </w:p>
    <w:p>
      <w:pPr>
        <w:wordWrap w:val="0"/>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目录</w:t>
      </w:r>
    </w:p>
    <w:p>
      <w:pPr>
        <w:pStyle w:val="43"/>
        <w:tabs>
          <w:tab w:val="right" w:leader="dot" w:pos="9071"/>
        </w:tabs>
        <w:spacing w:line="360" w:lineRule="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"1-1" \h \u </w:instrText>
      </w:r>
      <w:r>
        <w:rPr>
          <w:rFonts w:hint="eastAsia" w:ascii="仿宋" w:hAnsi="仿宋" w:eastAsia="仿宋" w:cs="仿宋"/>
          <w:color w:val="auto"/>
          <w:sz w:val="28"/>
          <w:szCs w:val="28"/>
          <w:highlight w:val="none"/>
        </w:rPr>
        <w:fldChar w:fldCharType="separate"/>
      </w:r>
      <w:r>
        <w:rPr>
          <w:color w:val="auto"/>
          <w:highlight w:val="none"/>
        </w:rPr>
        <w:fldChar w:fldCharType="begin"/>
      </w:r>
      <w:r>
        <w:rPr>
          <w:color w:val="auto"/>
          <w:highlight w:val="none"/>
        </w:rPr>
        <w:instrText xml:space="preserve"> HYPERLINK \l "_Toc20857" </w:instrText>
      </w:r>
      <w:r>
        <w:rPr>
          <w:color w:val="auto"/>
          <w:highlight w:val="none"/>
        </w:rPr>
        <w:fldChar w:fldCharType="separate"/>
      </w:r>
      <w:r>
        <w:rPr>
          <w:rFonts w:hint="eastAsia" w:ascii="仿宋" w:hAnsi="仿宋" w:eastAsia="仿宋" w:cs="仿宋"/>
          <w:color w:val="auto"/>
          <w:sz w:val="28"/>
          <w:szCs w:val="28"/>
          <w:highlight w:val="none"/>
        </w:rPr>
        <w:t>第一部分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_Toc20857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"_Toc24964" </w:instrText>
      </w:r>
      <w:r>
        <w:rPr>
          <w:color w:val="auto"/>
          <w:highlight w:val="none"/>
        </w:rPr>
        <w:fldChar w:fldCharType="separate"/>
      </w:r>
      <w:r>
        <w:rPr>
          <w:rFonts w:hint="eastAsia" w:ascii="仿宋" w:hAnsi="仿宋" w:eastAsia="仿宋" w:cs="仿宋"/>
          <w:color w:val="auto"/>
          <w:sz w:val="28"/>
          <w:szCs w:val="28"/>
          <w:highlight w:val="none"/>
        </w:rPr>
        <w:t>第二部分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_Toc24964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"_Toc377" </w:instrText>
      </w:r>
      <w:r>
        <w:rPr>
          <w:color w:val="auto"/>
          <w:highlight w:val="none"/>
        </w:rPr>
        <w:fldChar w:fldCharType="separate"/>
      </w:r>
      <w:r>
        <w:rPr>
          <w:rFonts w:hint="eastAsia" w:ascii="仿宋" w:hAnsi="仿宋" w:eastAsia="仿宋" w:cs="仿宋"/>
          <w:color w:val="auto"/>
          <w:sz w:val="28"/>
          <w:szCs w:val="28"/>
          <w:highlight w:val="none"/>
        </w:rPr>
        <w:t>第三部分 采购需求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_Toc377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"_Toc14411" </w:instrText>
      </w:r>
      <w:r>
        <w:rPr>
          <w:color w:val="auto"/>
          <w:highlight w:val="none"/>
        </w:rPr>
        <w:fldChar w:fldCharType="separate"/>
      </w:r>
      <w:r>
        <w:rPr>
          <w:rFonts w:hint="eastAsia" w:ascii="仿宋" w:hAnsi="仿宋" w:eastAsia="仿宋" w:cs="仿宋"/>
          <w:color w:val="auto"/>
          <w:sz w:val="28"/>
          <w:szCs w:val="28"/>
          <w:highlight w:val="none"/>
        </w:rPr>
        <w:t>第四部分 评标办法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_Toc14411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"_Toc3651" </w:instrText>
      </w:r>
      <w:r>
        <w:rPr>
          <w:color w:val="auto"/>
          <w:highlight w:val="none"/>
        </w:rPr>
        <w:fldChar w:fldCharType="separate"/>
      </w:r>
      <w:r>
        <w:rPr>
          <w:rFonts w:hint="eastAsia" w:ascii="仿宋" w:hAnsi="仿宋" w:eastAsia="仿宋" w:cs="仿宋"/>
          <w:color w:val="auto"/>
          <w:sz w:val="28"/>
          <w:szCs w:val="28"/>
          <w:highlight w:val="none"/>
        </w:rPr>
        <w:t>第五部分 拟签订的合同文本</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_Toc3651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"_Toc2144" </w:instrText>
      </w:r>
      <w:r>
        <w:rPr>
          <w:color w:val="auto"/>
          <w:highlight w:val="none"/>
        </w:rPr>
        <w:fldChar w:fldCharType="separate"/>
      </w:r>
      <w:r>
        <w:rPr>
          <w:rFonts w:hint="eastAsia" w:ascii="仿宋" w:hAnsi="仿宋" w:eastAsia="仿宋" w:cs="仿宋"/>
          <w:color w:val="auto"/>
          <w:sz w:val="28"/>
          <w:szCs w:val="28"/>
          <w:highlight w:val="none"/>
        </w:rPr>
        <w:t>第六部分 应提交的有关格式范例</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_Toc2144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360" w:lineRule="auto"/>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"_Toc1812" </w:instrText>
      </w:r>
      <w:r>
        <w:rPr>
          <w:color w:val="auto"/>
          <w:highlight w:val="none"/>
        </w:rPr>
        <w:fldChar w:fldCharType="separate"/>
      </w:r>
      <w:r>
        <w:rPr>
          <w:rFonts w:hint="eastAsia" w:ascii="仿宋" w:hAnsi="仿宋" w:eastAsia="仿宋" w:cs="仿宋"/>
          <w:color w:val="auto"/>
          <w:sz w:val="28"/>
          <w:szCs w:val="28"/>
          <w:highlight w:val="none"/>
        </w:rPr>
        <w:t>附件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_Toc1812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90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61"/>
        <w:wordWrap w:val="0"/>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end"/>
      </w: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rPr>
          <w:rFonts w:ascii="仿宋" w:hAnsi="仿宋" w:eastAsia="仿宋" w:cs="仿宋"/>
          <w:color w:val="auto"/>
          <w:sz w:val="24"/>
          <w:highlight w:val="none"/>
        </w:rPr>
      </w:pPr>
    </w:p>
    <w:p>
      <w:pPr>
        <w:wordWrap w:val="0"/>
        <w:adjustRightInd/>
        <w:spacing w:line="360" w:lineRule="auto"/>
        <w:jc w:val="center"/>
        <w:outlineLvl w:val="0"/>
        <w:rPr>
          <w:rFonts w:ascii="仿宋" w:hAnsi="仿宋" w:eastAsia="仿宋" w:cs="仿宋"/>
          <w:b/>
          <w:color w:val="auto"/>
          <w:sz w:val="36"/>
          <w:szCs w:val="20"/>
          <w:highlight w:val="none"/>
        </w:rPr>
      </w:pPr>
      <w:bookmarkStart w:id="2" w:name="第一部分"/>
      <w:r>
        <w:rPr>
          <w:rFonts w:hint="eastAsia" w:ascii="仿宋" w:hAnsi="仿宋" w:eastAsia="仿宋" w:cs="仿宋"/>
          <w:b/>
          <w:color w:val="auto"/>
          <w:sz w:val="36"/>
          <w:szCs w:val="36"/>
          <w:highlight w:val="none"/>
        </w:rPr>
        <w:br w:type="page"/>
      </w:r>
      <w:bookmarkEnd w:id="1"/>
      <w:bookmarkEnd w:id="2"/>
      <w:bookmarkStart w:id="3" w:name="_Hlt74649545"/>
      <w:bookmarkEnd w:id="3"/>
      <w:bookmarkStart w:id="4" w:name="_Hlt74728647"/>
      <w:bookmarkEnd w:id="4"/>
      <w:bookmarkStart w:id="5" w:name="_Hlt74729822"/>
      <w:bookmarkEnd w:id="5"/>
      <w:bookmarkStart w:id="6" w:name="_Hlt74707423"/>
      <w:bookmarkEnd w:id="6"/>
      <w:bookmarkStart w:id="7" w:name="_Toc597"/>
      <w:bookmarkStart w:id="8" w:name="_Toc22995"/>
      <w:bookmarkStart w:id="9" w:name="_Toc20857"/>
      <w:bookmarkStart w:id="10" w:name="_Toc31815"/>
      <w:bookmarkStart w:id="11" w:name="_Toc18065"/>
      <w:bookmarkStart w:id="12" w:name="_Toc14735"/>
      <w:bookmarkStart w:id="13" w:name="第二部分"/>
      <w:bookmarkStart w:id="14" w:name="_Toc91899870"/>
      <w:bookmarkStart w:id="15" w:name="_Toc91899871"/>
      <w:r>
        <w:rPr>
          <w:rFonts w:hint="eastAsia" w:ascii="仿宋" w:hAnsi="仿宋" w:eastAsia="仿宋" w:cs="仿宋"/>
          <w:b/>
          <w:color w:val="auto"/>
          <w:sz w:val="36"/>
          <w:szCs w:val="20"/>
          <w:highlight w:val="none"/>
        </w:rPr>
        <w:t>第一部分 招标公告</w:t>
      </w:r>
      <w:bookmarkEnd w:id="7"/>
      <w:bookmarkEnd w:id="8"/>
      <w:bookmarkEnd w:id="9"/>
      <w:bookmarkEnd w:id="10"/>
      <w:bookmarkEnd w:id="11"/>
      <w:bookmarkEnd w:id="12"/>
    </w:p>
    <w:p>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江东大桥车辆动态称重系统改造工程</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rPr>
        <w:t>4年</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26</w:t>
      </w:r>
      <w:r>
        <w:rPr>
          <w:rStyle w:val="76"/>
          <w:rFonts w:hint="eastAsia" w:ascii="仿宋" w:hAnsi="仿宋" w:eastAsia="仿宋" w:cs="仿宋"/>
          <w:snapToGrid/>
          <w:color w:val="auto"/>
          <w:kern w:val="2"/>
          <w:sz w:val="24"/>
          <w:szCs w:val="24"/>
          <w:highlight w:val="none"/>
        </w:rPr>
        <w:t>日</w:t>
      </w:r>
      <w:r>
        <w:rPr>
          <w:rStyle w:val="76"/>
          <w:rFonts w:ascii="仿宋" w:hAnsi="仿宋" w:eastAsia="仿宋" w:cs="仿宋"/>
          <w:snapToGrid/>
          <w:color w:val="auto"/>
          <w:kern w:val="2"/>
          <w:sz w:val="24"/>
          <w:szCs w:val="24"/>
          <w:highlight w:val="none"/>
        </w:rPr>
        <w:t>14</w:t>
      </w:r>
      <w:r>
        <w:rPr>
          <w:rStyle w:val="76"/>
          <w:rFonts w:hint="eastAsia" w:ascii="仿宋" w:hAnsi="仿宋" w:eastAsia="仿宋" w:cs="仿宋"/>
          <w:snapToGrid/>
          <w:color w:val="auto"/>
          <w:kern w:val="2"/>
          <w:sz w:val="24"/>
          <w:szCs w:val="24"/>
          <w:highlight w:val="none"/>
        </w:rPr>
        <w:t>点</w:t>
      </w:r>
      <w:r>
        <w:rPr>
          <w:rStyle w:val="76"/>
          <w:rFonts w:ascii="仿宋" w:hAnsi="仿宋" w:eastAsia="仿宋" w:cs="仿宋"/>
          <w:snapToGrid/>
          <w:color w:val="auto"/>
          <w:kern w:val="2"/>
          <w:sz w:val="24"/>
          <w:szCs w:val="24"/>
          <w:highlight w:val="none"/>
        </w:rPr>
        <w:t>00分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ascii="仿宋" w:hAnsi="仿宋" w:eastAsia="仿宋" w:cs="仿宋"/>
          <w:color w:val="auto"/>
          <w:sz w:val="24"/>
          <w:highlight w:val="none"/>
        </w:rPr>
        <w:t>ZJKJ2024-ZSSS001</w:t>
      </w:r>
      <w:r>
        <w:rPr>
          <w:rFonts w:hint="eastAsia" w:ascii="仿宋" w:hAnsi="仿宋" w:eastAsia="仿宋" w:cs="仿宋"/>
          <w:color w:val="auto"/>
          <w:sz w:val="24"/>
          <w:highlight w:val="non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bookmarkStart w:id="16" w:name="_Hlk91669529"/>
      <w:r>
        <w:rPr>
          <w:rFonts w:hint="eastAsia" w:ascii="仿宋" w:hAnsi="仿宋" w:eastAsia="仿宋" w:cs="仿宋"/>
          <w:color w:val="auto"/>
          <w:sz w:val="24"/>
          <w:highlight w:val="none"/>
        </w:rPr>
        <w:t>江东大桥车辆动态称重系统改造工程</w:t>
      </w:r>
    </w:p>
    <w:bookmarkEnd w:id="16"/>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color w:val="auto"/>
          <w:sz w:val="24"/>
          <w:highlight w:val="none"/>
        </w:rPr>
        <w:t>2790000.00</w:t>
      </w:r>
    </w:p>
    <w:p>
      <w:pPr>
        <w:wordWrap w:val="0"/>
        <w:spacing w:line="360" w:lineRule="auto"/>
        <w:ind w:firstLine="480"/>
        <w:rPr>
          <w:rFonts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rPr>
        <w:t>2790000.00</w:t>
      </w:r>
    </w:p>
    <w:p>
      <w:pPr>
        <w:snapToGrid w:val="0"/>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采购需求：</w:t>
      </w:r>
      <w:bookmarkStart w:id="17" w:name="_Hlk135386628"/>
      <w:r>
        <w:rPr>
          <w:rFonts w:hint="eastAsia" w:ascii="仿宋" w:hAnsi="仿宋" w:eastAsia="仿宋" w:cs="仿宋"/>
          <w:bCs/>
          <w:color w:val="auto"/>
          <w:sz w:val="24"/>
          <w:highlight w:val="none"/>
        </w:rPr>
        <w:t>江东大桥称重系统改造为S5精度的平板动态称重器，具体内容:1.动态称重平板主体(标准型)、传感器、车检器等更换8车道；2.现场数据处理系统更换8车道；3.车牌识别子系统更换8车道；4.超限信息发布系统更换8车道；5.传输及供电系统更换8车道；6.上桥取证卡口更换8车道；7.调试检定及运输。对原有老旧设备拆除并进行改造，实现对各种正常行驶车辆的动态称重和图片抓拍功能，检测过桥车辆的轴重、总重、车型、速度，抓拍车牌、照片等数据，将所有数据进行匹配，形成完整的车辆信息证据链，并将信息上传至浙江城市道桥隧安全在线-杭州智慧市政平台。</w:t>
      </w:r>
    </w:p>
    <w:bookmarkEnd w:id="17"/>
    <w:p>
      <w:pPr>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具体要求以招标文件第三部分采购需求为准，供应商可点击本公告下方“浏览采购文件”查看采购需求。</w:t>
      </w:r>
    </w:p>
    <w:p>
      <w:pPr>
        <w:wordWrap w:val="0"/>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合同履约期限：</w:t>
      </w:r>
      <w:r>
        <w:rPr>
          <w:rFonts w:hint="eastAsia" w:ascii="仿宋" w:hAnsi="仿宋" w:eastAsia="仿宋" w:cs="仿宋"/>
          <w:bCs/>
          <w:color w:val="auto"/>
          <w:sz w:val="24"/>
          <w:highlight w:val="none"/>
        </w:rPr>
        <w:t>自合同签订后60日历天内完成系统方案深化，全部系统供货、安装及最终验收</w:t>
      </w:r>
      <w:r>
        <w:rPr>
          <w:rFonts w:hint="eastAsia" w:ascii="仿宋" w:hAnsi="仿宋" w:eastAsia="仿宋" w:cs="仿宋"/>
          <w:bCs/>
          <w:color w:val="auto"/>
          <w:sz w:val="24"/>
          <w:highlight w:val="none"/>
          <w:lang w:bidi="ar"/>
        </w:rPr>
        <w:t>。</w:t>
      </w:r>
    </w:p>
    <w:p>
      <w:pPr>
        <w:wordWrap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本项目（是）接受联合体投标。</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wordWrap w:val="0"/>
        <w:spacing w:line="360"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ordWrap w:val="0"/>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2.落实政府采购政策需满足的资格要求：</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wordWrap w:val="0"/>
        <w:spacing w:line="360"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sz w:val="24"/>
          <w:highlight w:val="none"/>
        </w:rPr>
        <w:t>货物全部由符合政策要求的中小企业承接，提供中小企业声明函；</w:t>
      </w:r>
    </w:p>
    <w:p>
      <w:pPr>
        <w:wordWrap w:val="0"/>
        <w:spacing w:line="360" w:lineRule="auto"/>
        <w:ind w:firstLine="897" w:firstLineChars="374"/>
        <w:rPr>
          <w:rFonts w:ascii="仿宋" w:hAnsi="仿宋" w:eastAsia="仿宋" w:cs="仿宋"/>
          <w:color w:val="auto"/>
          <w:highlight w:val="none"/>
        </w:rPr>
      </w:pPr>
      <w:sdt>
        <w:sdtPr>
          <w:rPr>
            <w:rFonts w:hint="eastAsia" w:ascii="仿宋" w:hAnsi="仿宋" w:eastAsia="仿宋" w:cs="仿宋"/>
            <w:color w:val="auto"/>
            <w:kern w:val="0"/>
            <w:sz w:val="24"/>
            <w:highlight w:val="none"/>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货物全部由符合政策要求的小微企业承接，提供中小企业声明函；</w:t>
      </w:r>
    </w:p>
    <w:p>
      <w:pPr>
        <w:wordWrap w:val="0"/>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wordWrap w:val="0"/>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p>
    <w:p>
      <w:pPr>
        <w:numPr>
          <w:ilvl w:val="0"/>
          <w:numId w:val="1"/>
        </w:numPr>
        <w:spacing w:line="360" w:lineRule="auto"/>
        <w:ind w:firstLine="480" w:firstLineChars="200"/>
        <w:outlineLvl w:val="1"/>
        <w:rPr>
          <w:rFonts w:ascii="仿宋" w:hAnsi="仿宋" w:eastAsia="仿宋" w:cs="仿宋"/>
          <w:color w:val="auto"/>
          <w:sz w:val="24"/>
          <w:highlight w:val="none"/>
        </w:rPr>
      </w:pPr>
      <w:r>
        <w:rPr>
          <w:rFonts w:hint="eastAsia" w:ascii="仿宋" w:hAnsi="仿宋" w:eastAsia="仿宋" w:cs="仿宋"/>
          <w:color w:val="auto"/>
          <w:sz w:val="24"/>
          <w:highlight w:val="none"/>
        </w:rPr>
        <w:t>本项目的特定资格要求：/</w:t>
      </w:r>
    </w:p>
    <w:p>
      <w:pPr>
        <w:widowControl/>
        <w:wordWrap w:val="0"/>
        <w:adjustRightInd/>
        <w:spacing w:line="360"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26</w:t>
      </w:r>
      <w:r>
        <w:rPr>
          <w:rFonts w:hint="eastAsia" w:ascii="仿宋" w:hAnsi="仿宋" w:eastAsia="仿宋" w:cs="仿宋"/>
          <w:color w:val="auto"/>
          <w:sz w:val="24"/>
          <w:highlight w:val="none"/>
          <w:u w:val="single"/>
        </w:rPr>
        <w:t>日14点00分</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wordWrap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wordWrap w:val="0"/>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 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26</w:t>
      </w:r>
      <w:r>
        <w:rPr>
          <w:rFonts w:hint="eastAsia" w:ascii="仿宋" w:hAnsi="仿宋" w:eastAsia="仿宋" w:cs="仿宋"/>
          <w:color w:val="auto"/>
          <w:sz w:val="24"/>
          <w:highlight w:val="none"/>
          <w:u w:val="single"/>
        </w:rPr>
        <w:t>日14点00分</w:t>
      </w:r>
      <w:r>
        <w:rPr>
          <w:rFonts w:hint="eastAsia" w:ascii="仿宋" w:hAnsi="仿宋" w:eastAsia="仿宋" w:cs="仿宋"/>
          <w:bCs/>
          <w:color w:val="auto"/>
          <w:sz w:val="24"/>
          <w:highlight w:val="none"/>
          <w:u w:val="single"/>
        </w:rPr>
        <w:t xml:space="preserve">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五、采购意向公开链接</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https://zfcg.czt.zj.gov.cn/site/detail?parentId=600007&amp;articleId=6PGVPcMPGWzQfdsUDWtLDA%3D%3D&amp;utm=site.site-PC-37000.979-pc-websitegroup-zhejiang-secondPage-front.2.7ea82ec0f4a011eeb222dbf7d2430c3a</w:t>
      </w:r>
    </w:p>
    <w:p>
      <w:pPr>
        <w:wordWrap w:val="0"/>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单位负责人为同一人或者存在直接控股、管理关系的不同供应商，不得参加同一合同项下的政府采购活动；为采购项目提供整体设计、规范编制或者项目管理、监理、检测等服务后不得再参加该采购项目的其他采购活动；公益一类事业单位、使用事业编制且由财政拨款保障的群团组织不属于政府购买服务的承接主体，不得参与承接购买服务。</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（2）需要落实的政府采购政策：包括节约资源、保护环境、支持创新、促进中小企业发展等。详见招标文件的第二部分总则。</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（3）电子招投标的说明：</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①电子招投标：本项目以数据电文形式，依托“政府采购云平台（www.zcygov.cn）”进行招投标活动，不接受纸质投标文件；</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③招标文件的获取：使用账号登录或者使用CA登录政采云平台；进入“项目采购”应用，在获取采购文件菜单中选择项目，获取招标文件；</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④投标文件的制作：在“政采云电子交易客户端”中完成“填写基本信息”、“导入投标文件”、“标书关联”、“标书检查”、“电子签名”、“生成电子标书”等操作；</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⑤采购人、采购代理机构将依托政采云平台完成本项目的电子交易活动，平台不接受未按上述方式获取招标文件的供应商进行投标活动；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⑥对未按上述方式获取招标文件的供应商对该文件提出的质疑，采购人或采购代理机构将不予处理；</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⑦不提供招标文件纸质版；</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⑧投标文件的传输递交：投标人在投标截止时间前将加密的投标文件上传至政府采购云平台，还可以在投标截止时间前直接提交或者以快递方式递交备份投标文件1份。备份投标文件的制作、存储、密封详见招标文件第二部分第15点—“备份投标文件”；</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⑩具体操作指南：详见政采云平台“服务中心-帮助文档-项目采购-操作流程-电子招投标-政府采购项目电子交易管理操作指南-供应商”。</w:t>
      </w:r>
    </w:p>
    <w:p>
      <w:pPr>
        <w:wordWrap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（4）招标文件公告期限与招标公告的公告期限一致，公告期限为发布之日起至</w:t>
      </w:r>
      <w:r>
        <w:rPr>
          <w:rFonts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4</w:t>
      </w:r>
      <w:r>
        <w:rPr>
          <w:rFonts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日。</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wordWrap w:val="0"/>
        <w:spacing w:line="440" w:lineRule="exact"/>
        <w:ind w:firstLine="480" w:firstLineChars="200"/>
        <w:jc w:val="left"/>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名称：</w:t>
      </w:r>
      <w:r>
        <w:rPr>
          <w:rFonts w:hint="eastAsia" w:ascii="仿宋" w:hAnsi="仿宋" w:eastAsia="仿宋" w:cs="仿宋"/>
          <w:color w:val="auto"/>
          <w:sz w:val="24"/>
          <w:highlight w:val="none"/>
          <w:lang w:val="zh-TW"/>
        </w:rPr>
        <w:t>杭州市市政设施管理中心</w:t>
      </w:r>
    </w:p>
    <w:p>
      <w:pPr>
        <w:wordWrap w:val="0"/>
        <w:spacing w:line="440" w:lineRule="exact"/>
        <w:ind w:firstLine="480" w:firstLineChars="200"/>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rPr>
        <w:t>地址：杭州市拱墅区</w:t>
      </w:r>
      <w:r>
        <w:rPr>
          <w:rFonts w:hint="eastAsia" w:ascii="仿宋" w:hAnsi="仿宋" w:eastAsia="仿宋" w:cs="仿宋"/>
          <w:color w:val="auto"/>
          <w:sz w:val="24"/>
          <w:highlight w:val="none"/>
        </w:rPr>
        <w:t>体育场路231</w:t>
      </w:r>
      <w:r>
        <w:rPr>
          <w:rFonts w:hint="eastAsia" w:ascii="仿宋" w:hAnsi="仿宋" w:eastAsia="仿宋" w:cs="仿宋"/>
          <w:color w:val="auto"/>
          <w:sz w:val="24"/>
          <w:highlight w:val="none"/>
          <w:lang w:val="zh-TW"/>
        </w:rPr>
        <w:t>号</w:t>
      </w:r>
    </w:p>
    <w:p>
      <w:pPr>
        <w:wordWrap w:val="0"/>
        <w:spacing w:line="440" w:lineRule="exact"/>
        <w:ind w:firstLine="480" w:firstLineChars="20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项目联系人（询问）：</w:t>
      </w:r>
      <w:r>
        <w:rPr>
          <w:rFonts w:hint="eastAsia" w:ascii="仿宋" w:hAnsi="仿宋" w:eastAsia="仿宋" w:cs="仿宋"/>
          <w:color w:val="auto"/>
          <w:sz w:val="24"/>
          <w:highlight w:val="none"/>
          <w:lang w:val="zh-TW"/>
        </w:rPr>
        <w:t>濮</w:t>
      </w:r>
      <w:r>
        <w:rPr>
          <w:rFonts w:hint="eastAsia" w:ascii="仿宋" w:hAnsi="仿宋" w:eastAsia="仿宋" w:cs="仿宋"/>
          <w:color w:val="auto"/>
          <w:sz w:val="24"/>
          <w:highlight w:val="none"/>
        </w:rPr>
        <w:t>青</w:t>
      </w:r>
      <w:r>
        <w:rPr>
          <w:rFonts w:hint="eastAsia" w:ascii="仿宋" w:hAnsi="仿宋" w:eastAsia="仿宋" w:cs="仿宋"/>
          <w:color w:val="auto"/>
          <w:sz w:val="24"/>
          <w:highlight w:val="none"/>
          <w:lang w:val="zh-TW" w:eastAsia="zh-TW"/>
        </w:rPr>
        <w:t> </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项目联系方式（询问）：</w:t>
      </w:r>
      <w:r>
        <w:rPr>
          <w:rFonts w:hint="eastAsia" w:ascii="仿宋" w:hAnsi="仿宋" w:eastAsia="仿宋" w:cs="仿宋"/>
          <w:color w:val="auto"/>
          <w:sz w:val="24"/>
          <w:highlight w:val="none"/>
          <w:lang w:val="zh-TW"/>
        </w:rPr>
        <w:t>0571-</w:t>
      </w:r>
      <w:r>
        <w:rPr>
          <w:rFonts w:hint="eastAsia" w:ascii="仿宋" w:hAnsi="仿宋" w:eastAsia="仿宋" w:cs="仿宋"/>
          <w:color w:val="auto"/>
          <w:sz w:val="24"/>
          <w:highlight w:val="none"/>
        </w:rPr>
        <w:t>85808028</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质疑联系人：</w:t>
      </w:r>
      <w:r>
        <w:rPr>
          <w:rFonts w:hint="eastAsia" w:ascii="仿宋" w:hAnsi="仿宋" w:eastAsia="仿宋" w:cs="仿宋"/>
          <w:color w:val="auto"/>
          <w:sz w:val="24"/>
          <w:highlight w:val="none"/>
        </w:rPr>
        <w:t xml:space="preserve">孟利吉 </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质疑联系方式 ：0571-</w:t>
      </w:r>
      <w:r>
        <w:rPr>
          <w:rFonts w:hint="eastAsia" w:ascii="仿宋" w:hAnsi="仿宋" w:eastAsia="仿宋" w:cs="仿宋"/>
          <w:color w:val="auto"/>
          <w:sz w:val="24"/>
          <w:highlight w:val="none"/>
        </w:rPr>
        <w:t xml:space="preserve">85802933 </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wordWrap w:val="0"/>
        <w:spacing w:line="440" w:lineRule="exact"/>
        <w:ind w:firstLine="480" w:firstLineChars="20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名称：</w:t>
      </w:r>
      <w:r>
        <w:rPr>
          <w:rFonts w:hint="eastAsia" w:ascii="仿宋" w:hAnsi="仿宋" w:eastAsia="仿宋" w:cs="仿宋"/>
          <w:color w:val="auto"/>
          <w:sz w:val="24"/>
          <w:highlight w:val="none"/>
        </w:rPr>
        <w:t>浙江科佳工程咨询有限公司</w:t>
      </w:r>
      <w:r>
        <w:rPr>
          <w:rFonts w:hint="eastAsia" w:ascii="仿宋" w:hAnsi="仿宋" w:eastAsia="仿宋" w:cs="仿宋"/>
          <w:color w:val="auto"/>
          <w:sz w:val="24"/>
          <w:highlight w:val="none"/>
          <w:lang w:val="zh-TW" w:eastAsia="zh-TW"/>
        </w:rPr>
        <w:t>　　　　　　　　　　　</w:t>
      </w:r>
    </w:p>
    <w:p>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zh-TW" w:eastAsia="zh-TW"/>
        </w:rPr>
        <w:t>地址：</w:t>
      </w:r>
      <w:r>
        <w:rPr>
          <w:rFonts w:hint="eastAsia" w:ascii="仿宋" w:hAnsi="仿宋" w:eastAsia="仿宋" w:cs="仿宋"/>
          <w:color w:val="auto"/>
          <w:sz w:val="24"/>
          <w:highlight w:val="none"/>
          <w:lang w:eastAsia="zh-CN"/>
        </w:rPr>
        <w:t>杭州市上城区顺福商务中心3幢10楼</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项目联系人（询问）：</w:t>
      </w:r>
      <w:r>
        <w:rPr>
          <w:rFonts w:hint="eastAsia" w:ascii="仿宋" w:hAnsi="仿宋" w:eastAsia="仿宋" w:cs="仿宋"/>
          <w:color w:val="auto"/>
          <w:sz w:val="24"/>
          <w:highlight w:val="none"/>
        </w:rPr>
        <w:t>费龙生</w:t>
      </w:r>
    </w:p>
    <w:p>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zh-TW" w:eastAsia="zh-TW"/>
        </w:rPr>
        <w:t>项目联系方式（询问）：</w:t>
      </w:r>
      <w:r>
        <w:rPr>
          <w:rFonts w:hint="eastAsia" w:ascii="仿宋" w:hAnsi="仿宋" w:eastAsia="仿宋" w:cs="仿宋"/>
          <w:color w:val="auto"/>
          <w:sz w:val="24"/>
          <w:highlight w:val="none"/>
          <w:lang w:eastAsia="zh-CN"/>
        </w:rPr>
        <w:t>18458898685</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质疑联系人：</w:t>
      </w:r>
      <w:r>
        <w:rPr>
          <w:rFonts w:hint="eastAsia" w:ascii="仿宋" w:hAnsi="仿宋" w:eastAsia="仿宋" w:cs="仿宋"/>
          <w:color w:val="auto"/>
          <w:sz w:val="24"/>
          <w:highlight w:val="none"/>
        </w:rPr>
        <w:t>季晓瑾</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质疑联系方式：</w:t>
      </w:r>
      <w:r>
        <w:rPr>
          <w:rFonts w:hint="eastAsia" w:ascii="仿宋" w:hAnsi="仿宋" w:eastAsia="仿宋" w:cs="仿宋"/>
          <w:color w:val="auto"/>
          <w:sz w:val="24"/>
          <w:highlight w:val="none"/>
        </w:rPr>
        <w:t>15395828515</w:t>
      </w:r>
    </w:p>
    <w:p>
      <w:pPr>
        <w:wordWrap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3.同级政府采购监督管理部门            </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w:t>
      </w:r>
      <w:r>
        <w:rPr>
          <w:rFonts w:ascii="仿宋" w:hAnsi="仿宋" w:eastAsia="仿宋" w:cs="仿宋"/>
          <w:color w:val="auto"/>
          <w:szCs w:val="21"/>
          <w:highlight w:val="none"/>
        </w:rPr>
        <w:t>杭州市财政局政府采购监管处、浙江省政府采购行政裁决服务中心（杭州）</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仿宋"/>
          <w:color w:val="auto"/>
          <w:szCs w:val="21"/>
          <w:highlight w:val="none"/>
        </w:rPr>
        <w:t>杭州市上城区四季青街道新业路市民之家G03办公室（快递仅限ems或顺丰）</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ascii="仿宋" w:hAnsi="仿宋" w:eastAsia="仿宋" w:cs="仿宋"/>
          <w:color w:val="auto"/>
          <w:szCs w:val="21"/>
          <w:highlight w:val="none"/>
        </w:rPr>
        <w:t>朱女士/王女士</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监督投诉电话：0571-85252453</w:t>
      </w:r>
    </w:p>
    <w:p>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wordWrap w:val="0"/>
        <w:spacing w:line="440" w:lineRule="exact"/>
        <w:ind w:firstLine="480" w:firstLineChars="200"/>
        <w:rPr>
          <w:rFonts w:ascii="仿宋" w:hAnsi="仿宋" w:eastAsia="仿宋" w:cs="仿宋"/>
          <w:color w:val="auto"/>
          <w:sz w:val="24"/>
          <w:highlight w:val="none"/>
        </w:rPr>
        <w:sectPr>
          <w:headerReference r:id="rId4" w:type="first"/>
          <w:footerReference r:id="rId7" w:type="first"/>
          <w:headerReference r:id="rId3" w:type="default"/>
          <w:footerReference r:id="rId5" w:type="default"/>
          <w:footerReference r:id="rId6" w:type="even"/>
          <w:pgSz w:w="11905" w:h="16838"/>
          <w:pgMar w:top="652" w:right="1417" w:bottom="680" w:left="1417" w:header="539" w:footer="425" w:gutter="0"/>
          <w:cols w:space="0" w:num="1"/>
          <w:titlePg/>
          <w:docGrid w:linePitch="312" w:charSpace="0"/>
        </w:sectPr>
      </w:pPr>
      <w:r>
        <w:rPr>
          <w:rFonts w:hint="eastAsia" w:ascii="仿宋" w:hAnsi="仿宋" w:eastAsia="仿宋" w:cs="仿宋"/>
          <w:color w:val="auto"/>
          <w:sz w:val="24"/>
          <w:highlight w:val="none"/>
        </w:rPr>
        <w:t>CA问题联系电话（人工）：汇信CA 400-888-4636；天谷CA 400-087-8198。</w:t>
      </w:r>
    </w:p>
    <w:p>
      <w:pPr>
        <w:wordWrap w:val="0"/>
        <w:adjustRightInd/>
        <w:spacing w:line="360" w:lineRule="auto"/>
        <w:jc w:val="center"/>
        <w:outlineLvl w:val="0"/>
        <w:rPr>
          <w:rFonts w:ascii="仿宋" w:hAnsi="仿宋" w:eastAsia="仿宋" w:cs="仿宋"/>
          <w:b/>
          <w:color w:val="auto"/>
          <w:sz w:val="36"/>
          <w:szCs w:val="20"/>
          <w:highlight w:val="none"/>
        </w:rPr>
      </w:pPr>
      <w:bookmarkStart w:id="18" w:name="_Toc27972"/>
      <w:bookmarkStart w:id="19" w:name="_Toc24511"/>
      <w:bookmarkStart w:id="20" w:name="_Toc25593"/>
      <w:bookmarkStart w:id="21" w:name="_Toc26106"/>
      <w:bookmarkStart w:id="22" w:name="_Toc24964"/>
      <w:bookmarkStart w:id="23" w:name="_Toc29805"/>
      <w:r>
        <w:rPr>
          <w:rFonts w:hint="eastAsia" w:ascii="仿宋" w:hAnsi="仿宋" w:eastAsia="仿宋" w:cs="仿宋"/>
          <w:b/>
          <w:color w:val="auto"/>
          <w:sz w:val="36"/>
          <w:szCs w:val="20"/>
          <w:highlight w:val="none"/>
        </w:rPr>
        <w:t>第二部分</w:t>
      </w:r>
      <w:bookmarkEnd w:id="13"/>
      <w:r>
        <w:rPr>
          <w:rFonts w:hint="eastAsia" w:ascii="仿宋" w:hAnsi="仿宋" w:eastAsia="仿宋" w:cs="仿宋"/>
          <w:b/>
          <w:color w:val="auto"/>
          <w:sz w:val="36"/>
          <w:szCs w:val="20"/>
          <w:highlight w:val="none"/>
        </w:rPr>
        <w:t xml:space="preserve"> 投标人须知</w:t>
      </w:r>
      <w:bookmarkEnd w:id="14"/>
      <w:bookmarkEnd w:id="18"/>
      <w:bookmarkEnd w:id="19"/>
      <w:bookmarkEnd w:id="20"/>
      <w:bookmarkEnd w:id="21"/>
      <w:bookmarkEnd w:id="22"/>
      <w:bookmarkEnd w:id="23"/>
    </w:p>
    <w:p>
      <w:pPr>
        <w:wordWrap w:val="0"/>
        <w:snapToGrid w:val="0"/>
        <w:spacing w:line="360" w:lineRule="auto"/>
        <w:jc w:val="center"/>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项目属性</w:t>
            </w:r>
            <w:r>
              <w:rPr>
                <w:rFonts w:hint="eastAsia" w:ascii="宋体" w:hAnsi="宋体" w:cs="宋体"/>
                <w:b/>
                <w:color w:val="auto"/>
                <w:sz w:val="24"/>
                <w:highlight w:val="none"/>
              </w:rPr>
              <w:t>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货物类</w:t>
            </w:r>
            <w:r>
              <w:rPr>
                <w:rFonts w:hint="eastAsia" w:ascii="宋体" w:hAnsi="宋体" w:cs="宋体"/>
                <w:color w:val="auto"/>
                <w:sz w:val="24"/>
                <w:highlight w:val="none"/>
              </w:rPr>
              <w:t>，单一产品或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w:t>
            </w:r>
            <w:r>
              <w:rPr>
                <w:rFonts w:hint="eastAsia" w:ascii="仿宋" w:hAnsi="仿宋" w:eastAsia="仿宋" w:cs="仿宋"/>
                <w:color w:val="auto"/>
                <w:kern w:val="0"/>
                <w:sz w:val="24"/>
                <w:highlight w:val="none"/>
                <w:u w:val="single"/>
              </w:rPr>
              <w:t>平板式称重主体</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江东大桥车辆动态称重系统改造工程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工业（制造）</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是否允许采购</w:t>
            </w:r>
          </w:p>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
                <w:color w:val="auto"/>
                <w:sz w:val="24"/>
                <w:highlight w:val="none"/>
              </w:rPr>
              <w:t>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129664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服务类项目不适用</w:t>
            </w:r>
            <w:r>
              <w:rPr>
                <w:rFonts w:hint="eastAsia" w:ascii="仿宋" w:hAnsi="仿宋" w:eastAsia="仿宋" w:cs="仿宋"/>
                <w:color w:val="auto"/>
                <w:kern w:val="0"/>
                <w:sz w:val="24"/>
                <w:highlight w:val="none"/>
              </w:rPr>
              <w:t>。</w:t>
            </w:r>
          </w:p>
          <w:p>
            <w:pPr>
              <w:wordWrap w:val="0"/>
              <w:snapToGrid w:val="0"/>
              <w:spacing w:line="312"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4241932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项目不允许采购进口产品。</w:t>
            </w:r>
          </w:p>
          <w:p>
            <w:pPr>
              <w:wordWrap w:val="0"/>
              <w:snapToGrid w:val="0"/>
              <w:spacing w:line="312"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1079228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同</w:t>
            </w:r>
            <w:r>
              <w:rPr>
                <w:rFonts w:hint="eastAsia" w:ascii="仿宋" w:hAnsi="仿宋" w:eastAsia="仿宋" w:cs="仿宋"/>
                <w:color w:val="auto"/>
                <w:sz w:val="24"/>
                <w:highlight w:val="none"/>
              </w:rPr>
              <w:t>意分包，同意将非主体、非关键性</w:t>
            </w:r>
            <w:r>
              <w:rPr>
                <w:rFonts w:hint="eastAsia" w:ascii="仿宋" w:hAnsi="仿宋" w:eastAsia="仿宋" w:cs="仿宋"/>
                <w:color w:val="auto"/>
                <w:sz w:val="24"/>
                <w:highlight w:val="none"/>
                <w:u w:val="single"/>
              </w:rPr>
              <w:t xml:space="preserve">  破路及恢复、绿化保护 </w:t>
            </w:r>
            <w:r>
              <w:rPr>
                <w:rFonts w:hint="eastAsia" w:ascii="仿宋" w:hAnsi="仿宋" w:eastAsia="仿宋" w:cs="仿宋"/>
                <w:color w:val="auto"/>
                <w:sz w:val="24"/>
                <w:highlight w:val="none"/>
              </w:rPr>
              <w:t>工作分包。（若非主体、非关键性工作已由联合体成员承担的，则不允许分包。）</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☐非联合体参加的，同意将“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”分包。</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☐不同意分包。</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▲注：分包份额不得超过总包单位。投标人中标后以分包方式履行合同的，提供分包意向协议（附件7）；不以分包方式履行合同的，则无需提供。不得限制大中型企业向小微企业合理分包。</w:t>
            </w:r>
            <w:r>
              <w:rPr>
                <w:rFonts w:ascii="仿宋" w:hAnsi="仿宋" w:eastAsia="仿宋" w:cs="仿宋"/>
                <w:color w:val="auto"/>
                <w:sz w:val="24"/>
                <w:highlight w:val="none"/>
                <w:lang w:bidi="ar"/>
              </w:rPr>
              <w:sym w:font="Wingdings" w:char="00A8"/>
            </w:r>
            <w:r>
              <w:rPr>
                <w:rFonts w:hint="eastAsia" w:ascii="仿宋" w:hAnsi="仿宋" w:eastAsia="仿宋" w:cs="仿宋"/>
                <w:color w:val="auto"/>
                <w:sz w:val="24"/>
                <w:highlight w:val="none"/>
                <w:lang w:bidi="ar"/>
              </w:rPr>
              <w:t>本项目专门面向</w:t>
            </w:r>
            <w:r>
              <w:rPr>
                <w:rFonts w:hint="eastAsia" w:ascii="仿宋" w:hAnsi="仿宋" w:eastAsia="仿宋" w:cs="仿宋"/>
                <w:color w:val="auto"/>
                <w:sz w:val="24"/>
                <w:highlight w:val="none"/>
                <w:u w:val="single"/>
                <w:lang w:bidi="ar"/>
              </w:rPr>
              <w:t xml:space="preserve">  /  </w:t>
            </w:r>
            <w:r>
              <w:rPr>
                <w:rFonts w:hint="eastAsia" w:ascii="仿宋" w:hAnsi="仿宋" w:eastAsia="仿宋" w:cs="仿宋"/>
                <w:color w:val="auto"/>
                <w:sz w:val="24"/>
                <w:highlight w:val="none"/>
                <w:lang w:bidi="ar"/>
              </w:rPr>
              <w:t>企业采购，分包单位必须为</w:t>
            </w:r>
            <w:r>
              <w:rPr>
                <w:rFonts w:hint="eastAsia" w:ascii="仿宋" w:hAnsi="仿宋" w:eastAsia="仿宋" w:cs="仿宋"/>
                <w:color w:val="auto"/>
                <w:sz w:val="24"/>
                <w:highlight w:val="none"/>
                <w:u w:val="single"/>
                <w:lang w:bidi="ar"/>
              </w:rPr>
              <w:t xml:space="preserve"> /  </w:t>
            </w:r>
            <w:r>
              <w:rPr>
                <w:rFonts w:hint="eastAsia" w:ascii="仿宋" w:hAnsi="仿宋" w:eastAsia="仿宋" w:cs="仿宋"/>
                <w:color w:val="auto"/>
                <w:sz w:val="24"/>
                <w:highlight w:val="none"/>
                <w:lang w:bidi="ar"/>
              </w:rPr>
              <w:t>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11051045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投标截止前，投标人可自行到项目所在地予以踏勘，对项目实施现场及周边环境等进行勘察，以获取编制投标文件和签署合同所需的所有资料。无论投标人是否踏勘现场，均被视作对项目现场的了解已完全满足本采购项目投标报价的需要。有关踏勘现场需要发生的一切费用由投标人自理，投标人自行负责在踏勘现场中所发生的任何风险责任和财产损失。</w:t>
            </w:r>
          </w:p>
          <w:p>
            <w:pPr>
              <w:wordWrap w:val="0"/>
              <w:spacing w:line="312"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02683198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wordWrap w:val="0"/>
              <w:spacing w:line="312"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050447242"/>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pPr>
              <w:wordWrap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wordWrap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wordWrap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wordWrap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wordWrap w:val="0"/>
              <w:spacing w:line="312"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25219893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wordWrap w:val="0"/>
              <w:spacing w:line="312"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讲解演示。每个投标人时间不超过</w:t>
            </w:r>
            <w:r>
              <w:rPr>
                <w:rFonts w:hint="eastAsia" w:ascii="仿宋" w:hAnsi="仿宋" w:eastAsia="仿宋" w:cs="仿宋"/>
                <w:color w:val="auto"/>
                <w:kern w:val="0"/>
                <w:sz w:val="24"/>
                <w:highlight w:val="none"/>
                <w:u w:val="single"/>
              </w:rPr>
              <w:t xml:space="preserve">  10 </w:t>
            </w:r>
            <w:r>
              <w:rPr>
                <w:rFonts w:hint="eastAsia" w:ascii="仿宋" w:hAnsi="仿宋" w:eastAsia="仿宋" w:cs="仿宋"/>
                <w:color w:val="auto"/>
                <w:kern w:val="0"/>
                <w:sz w:val="24"/>
                <w:highlight w:val="none"/>
              </w:rPr>
              <w:t>分钟，讲解次序以投标文件解密时间先后次序为准，讲解演示人员（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项目组人员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）不超过</w:t>
            </w:r>
            <w:r>
              <w:rPr>
                <w:rFonts w:hint="eastAsia" w:ascii="仿宋" w:hAnsi="仿宋" w:eastAsia="仿宋" w:cs="仿宋"/>
                <w:color w:val="auto"/>
                <w:kern w:val="0"/>
                <w:sz w:val="24"/>
                <w:highlight w:val="none"/>
                <w:u w:val="single"/>
              </w:rPr>
              <w:t xml:space="preserve"> 2</w:t>
            </w:r>
            <w:r>
              <w:rPr>
                <w:rFonts w:hint="eastAsia" w:ascii="仿宋" w:hAnsi="仿宋" w:eastAsia="仿宋" w:cs="仿宋"/>
                <w:color w:val="auto"/>
                <w:kern w:val="0"/>
                <w:sz w:val="24"/>
                <w:highlight w:val="none"/>
              </w:rPr>
              <w:t>人。讲解演示结束后按要求解答评标委员会提问。</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（2）方案讲解演示按以下方式</w:t>
            </w:r>
            <w:r>
              <w:rPr>
                <w:rFonts w:hint="eastAsia" w:ascii="仿宋" w:hAnsi="仿宋" w:eastAsia="仿宋" w:cs="仿宋"/>
                <w:color w:val="auto"/>
                <w:kern w:val="0"/>
                <w:sz w:val="24"/>
                <w:highlight w:val="none"/>
                <w:u w:val="single"/>
              </w:rPr>
              <w:t xml:space="preserve"> / </w:t>
            </w:r>
            <w:r>
              <w:rPr>
                <w:rFonts w:hint="eastAsia" w:ascii="仿宋" w:hAnsi="仿宋" w:eastAsia="仿宋" w:cs="仿宋"/>
                <w:color w:val="auto"/>
                <w:kern w:val="0"/>
                <w:sz w:val="24"/>
                <w:highlight w:val="none"/>
              </w:rPr>
              <w:t>：</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方式二：代理机构评标场所现场讲解演示。现场讲解地点为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，讲解演示所用电脑等设备由投标人自备。现场讲解演示人员进场时提供讲解人员名单（加盖公章）及身份证明，否则不得讲解演示。</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方式三：采用视频录制方式，用U盘介质储存快递或邮寄至代理机构（公告中列明的地址），视频中演示人应出示身份证。未派遣投标文件中的</w:t>
            </w:r>
            <w:r>
              <w:rPr>
                <w:rFonts w:hint="eastAsia" w:ascii="仿宋" w:hAnsi="仿宋" w:eastAsia="仿宋" w:cs="仿宋"/>
                <w:color w:val="auto"/>
                <w:kern w:val="0"/>
                <w:sz w:val="24"/>
                <w:highlight w:val="none"/>
                <w:u w:val="single"/>
              </w:rPr>
              <w:t>项目组人员</w:t>
            </w:r>
            <w:r>
              <w:rPr>
                <w:rFonts w:hint="eastAsia" w:ascii="仿宋" w:hAnsi="仿宋" w:eastAsia="仿宋" w:cs="仿宋"/>
                <w:color w:val="auto"/>
                <w:kern w:val="0"/>
                <w:sz w:val="24"/>
                <w:highlight w:val="none"/>
              </w:rPr>
              <w:t>进行演示讲解或未提供身份证明的，评分项不得分。若因U盘损坏或打不开则按视为未提交。</w:t>
            </w:r>
          </w:p>
          <w:p>
            <w:pPr>
              <w:wordWrap w:val="0"/>
              <w:snapToGrid w:val="0"/>
              <w:spacing w:line="312"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方式四：采用现场钉钉直播演示的。开标后，演示人请加钉钉号</w:t>
            </w:r>
            <w:r>
              <w:rPr>
                <w:rFonts w:hint="eastAsia" w:ascii="仿宋" w:hAnsi="仿宋" w:eastAsia="仿宋" w:cs="仿宋"/>
                <w:color w:val="auto"/>
                <w:kern w:val="0"/>
                <w:sz w:val="24"/>
                <w:highlight w:val="none"/>
                <w:u w:val="single"/>
              </w:rPr>
              <w:t xml:space="preserve"> /  </w:t>
            </w:r>
            <w:r>
              <w:rPr>
                <w:rFonts w:hint="eastAsia" w:ascii="仿宋" w:hAnsi="仿宋" w:eastAsia="仿宋" w:cs="仿宋"/>
                <w:color w:val="auto"/>
                <w:kern w:val="0"/>
                <w:sz w:val="24"/>
                <w:highlight w:val="none"/>
              </w:rPr>
              <w:t>，请求发送后，代理工作人员将通过好友验证。直播演示前，首先演示人进行身份信息直播核对。未派遣投标文件中的项目组人员进行直播演示讲解或未提供身份证明的，评分项不得分。</w:t>
            </w:r>
          </w:p>
          <w:p>
            <w:pPr>
              <w:wordWrap w:val="0"/>
              <w:spacing w:line="312"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vMerge w:val="restart"/>
            <w:tcBorders>
              <w:top w:val="single" w:color="auto" w:sz="4" w:space="0"/>
              <w:left w:val="single" w:color="000000" w:sz="8"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000000" w:sz="2"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p>
            <w:pPr>
              <w:wordWrap w:val="0"/>
              <w:snapToGrid w:val="0"/>
              <w:spacing w:line="312" w:lineRule="auto"/>
              <w:jc w:val="center"/>
              <w:rPr>
                <w:rFonts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snapToGrid w:val="0"/>
                <w:color w:val="auto"/>
                <w:kern w:val="0"/>
                <w:sz w:val="24"/>
                <w:highlight w:val="none"/>
              </w:rPr>
            </w:pPr>
            <w:r>
              <w:rPr>
                <w:rFonts w:hint="eastAsia" w:ascii="仿宋" w:hAnsi="仿宋" w:eastAsia="仿宋" w:cs="仿宋"/>
                <w:color w:val="auto"/>
                <w:sz w:val="24"/>
                <w:highlight w:val="none"/>
              </w:rPr>
              <w:t>（1）资格证明文件：见招标文件第二部分11.1。</w:t>
            </w: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vMerge w:val="continue"/>
            <w:tcBorders>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r>
              <w:rPr>
                <w:rFonts w:hint="eastAsia" w:ascii="仿宋" w:hAnsi="仿宋" w:eastAsia="仿宋" w:cs="仿宋"/>
                <w:b/>
                <w:color w:val="auto"/>
                <w:sz w:val="24"/>
                <w:highlight w:val="none"/>
                <w:lang w:bidi="ar"/>
              </w:rPr>
              <w:t>（服务项目不适用）</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采购人拟采购的产品属于品目清单范围，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应考虑完成本项目全部内容可能发生的各项费用，即人工费、材料设备（仪器）费、交通费、通讯费、配件更换费、成果资料打印装订费、企业管理费、利润、税金等均计入报价。</w:t>
            </w:r>
          </w:p>
          <w:p>
            <w:pPr>
              <w:wordWrap w:val="0"/>
              <w:snapToGrid w:val="0"/>
              <w:spacing w:line="312"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其中，人员</w:t>
            </w:r>
            <w:r>
              <w:rPr>
                <w:rFonts w:hint="eastAsia" w:ascii="仿宋" w:hAnsi="仿宋" w:eastAsia="仿宋" w:cs="仿宋"/>
                <w:color w:val="auto"/>
                <w:kern w:val="0"/>
                <w:sz w:val="24"/>
                <w:highlight w:val="none"/>
              </w:rPr>
              <w:t>每月</w:t>
            </w:r>
            <w:r>
              <w:rPr>
                <w:rFonts w:hint="eastAsia" w:ascii="仿宋" w:hAnsi="仿宋" w:eastAsia="仿宋" w:cs="仿宋"/>
                <w:color w:val="auto"/>
                <w:kern w:val="0"/>
                <w:sz w:val="24"/>
                <w:highlight w:val="none"/>
                <w:lang w:val="zh-CN"/>
              </w:rPr>
              <w:t>工资不得低于杭州市最低工资标准，</w:t>
            </w:r>
            <w:r>
              <w:rPr>
                <w:rFonts w:hint="eastAsia" w:ascii="仿宋" w:hAnsi="仿宋" w:eastAsia="仿宋" w:cs="仿宋"/>
                <w:color w:val="auto"/>
                <w:kern w:val="0"/>
                <w:sz w:val="24"/>
                <w:highlight w:val="none"/>
              </w:rPr>
              <w:t>每月按时缴纳社会保险</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员工</w:t>
            </w:r>
            <w:r>
              <w:rPr>
                <w:rFonts w:hint="eastAsia" w:ascii="仿宋" w:hAnsi="仿宋" w:eastAsia="仿宋" w:cs="仿宋"/>
                <w:color w:val="auto"/>
                <w:kern w:val="0"/>
                <w:sz w:val="24"/>
                <w:highlight w:val="none"/>
                <w:lang w:val="zh-CN"/>
              </w:rPr>
              <w:t>加班费支付符合《劳动法》规定。</w:t>
            </w:r>
            <w:r>
              <w:rPr>
                <w:rFonts w:hint="eastAsia" w:ascii="仿宋" w:hAnsi="仿宋" w:eastAsia="仿宋" w:cs="仿宋"/>
                <w:b/>
                <w:bCs/>
                <w:color w:val="auto"/>
                <w:kern w:val="0"/>
                <w:sz w:val="24"/>
                <w:highlight w:val="none"/>
                <w:lang w:val="zh-CN"/>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p>
          <w:p>
            <w:pPr>
              <w:widowControl/>
              <w:wordWrap w:val="0"/>
              <w:snapToGrid w:val="0"/>
              <w:spacing w:line="312" w:lineRule="auto"/>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提醒：</w:t>
            </w:r>
            <w:r>
              <w:rPr>
                <w:rFonts w:hint="eastAsia" w:ascii="仿宋" w:hAnsi="仿宋" w:eastAsia="仿宋" w:cs="仿宋"/>
                <w:b/>
                <w:color w:val="auto"/>
                <w:kern w:val="0"/>
                <w:sz w:val="24"/>
                <w:highlight w:val="none"/>
                <w:lang w:val="zh-CN"/>
              </w:rPr>
              <w:sym w:font="Wingdings" w:char="00A8"/>
            </w:r>
            <w:r>
              <w:rPr>
                <w:rFonts w:hint="eastAsia" w:ascii="仿宋" w:hAnsi="仿宋" w:eastAsia="仿宋" w:cs="仿宋"/>
                <w:b/>
                <w:color w:val="auto"/>
                <w:kern w:val="0"/>
                <w:sz w:val="24"/>
                <w:highlight w:val="none"/>
                <w:lang w:val="zh-CN"/>
              </w:rPr>
              <w:t>本项目履约验收时委托第三方</w:t>
            </w:r>
            <w:r>
              <w:rPr>
                <w:rFonts w:hint="eastAsia" w:ascii="仿宋" w:hAnsi="仿宋" w:eastAsia="仿宋" w:cs="仿宋"/>
                <w:b/>
                <w:color w:val="auto"/>
                <w:kern w:val="0"/>
                <w:sz w:val="24"/>
                <w:highlight w:val="none"/>
              </w:rPr>
              <w:t>检测/测量</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首次</w:t>
            </w:r>
            <w:r>
              <w:rPr>
                <w:rFonts w:hint="eastAsia" w:ascii="仿宋" w:hAnsi="仿宋" w:eastAsia="仿宋" w:cs="仿宋"/>
                <w:b/>
                <w:color w:val="auto"/>
                <w:kern w:val="0"/>
                <w:sz w:val="24"/>
                <w:highlight w:val="none"/>
                <w:lang w:val="zh-CN"/>
              </w:rPr>
              <w:t>验收时</w:t>
            </w:r>
            <w:r>
              <w:rPr>
                <w:rFonts w:hint="eastAsia" w:ascii="仿宋" w:hAnsi="仿宋" w:eastAsia="仿宋" w:cs="仿宋"/>
                <w:b/>
                <w:color w:val="auto"/>
                <w:kern w:val="0"/>
                <w:sz w:val="24"/>
                <w:highlight w:val="none"/>
              </w:rPr>
              <w:t>检测/测量</w:t>
            </w:r>
            <w:r>
              <w:rPr>
                <w:rFonts w:hint="eastAsia" w:ascii="仿宋" w:hAnsi="仿宋" w:eastAsia="仿宋" w:cs="仿宋"/>
                <w:b/>
                <w:color w:val="auto"/>
                <w:kern w:val="0"/>
                <w:sz w:val="24"/>
                <w:highlight w:val="none"/>
                <w:lang w:val="zh-CN"/>
              </w:rPr>
              <w:t>费用由采购人承担，不包含在投标总价中。首次验收不合格，重新验收过程中产生的检测</w:t>
            </w:r>
            <w:r>
              <w:rPr>
                <w:rFonts w:hint="eastAsia" w:ascii="仿宋" w:hAnsi="仿宋" w:eastAsia="仿宋" w:cs="仿宋"/>
                <w:b/>
                <w:color w:val="auto"/>
                <w:kern w:val="0"/>
                <w:sz w:val="24"/>
                <w:highlight w:val="none"/>
              </w:rPr>
              <w:t>/测量</w:t>
            </w:r>
            <w:r>
              <w:rPr>
                <w:rFonts w:hint="eastAsia" w:ascii="仿宋" w:hAnsi="仿宋" w:eastAsia="仿宋" w:cs="仿宋"/>
                <w:b/>
                <w:color w:val="auto"/>
                <w:kern w:val="0"/>
                <w:sz w:val="24"/>
                <w:highlight w:val="none"/>
                <w:lang w:val="zh-CN"/>
              </w:rPr>
              <w:t>费用，由</w:t>
            </w:r>
            <w:r>
              <w:rPr>
                <w:rFonts w:hint="eastAsia" w:ascii="仿宋" w:hAnsi="仿宋" w:eastAsia="仿宋" w:cs="仿宋"/>
                <w:b/>
                <w:color w:val="auto"/>
                <w:kern w:val="0"/>
                <w:sz w:val="24"/>
                <w:highlight w:val="none"/>
              </w:rPr>
              <w:t>供应商</w:t>
            </w:r>
            <w:r>
              <w:rPr>
                <w:rFonts w:hint="eastAsia" w:ascii="仿宋" w:hAnsi="仿宋" w:eastAsia="仿宋" w:cs="仿宋"/>
                <w:b/>
                <w:color w:val="auto"/>
                <w:kern w:val="0"/>
                <w:sz w:val="24"/>
                <w:highlight w:val="none"/>
                <w:lang w:val="zh-CN"/>
              </w:rPr>
              <w:t>承担。</w:t>
            </w:r>
            <w:r>
              <w:rPr>
                <w:rFonts w:hint="eastAsia" w:ascii="仿宋" w:hAnsi="仿宋" w:eastAsia="仿宋" w:cs="仿宋"/>
                <w:b/>
                <w:color w:val="auto"/>
                <w:kern w:val="0"/>
                <w:sz w:val="24"/>
                <w:highlight w:val="none"/>
                <w:lang w:val="zh-CN"/>
              </w:rPr>
              <w:sym w:font="Wingdings" w:char="00FE"/>
            </w:r>
            <w:r>
              <w:rPr>
                <w:rFonts w:hint="eastAsia" w:ascii="仿宋" w:hAnsi="仿宋" w:eastAsia="仿宋" w:cs="仿宋"/>
                <w:b/>
                <w:color w:val="auto"/>
                <w:kern w:val="0"/>
                <w:sz w:val="24"/>
                <w:highlight w:val="none"/>
                <w:lang w:val="zh-CN"/>
              </w:rPr>
              <w:t>本项目履约验收时不委托第三方检测</w:t>
            </w:r>
            <w:r>
              <w:rPr>
                <w:rFonts w:hint="eastAsia" w:ascii="仿宋" w:hAnsi="仿宋" w:eastAsia="仿宋" w:cs="仿宋"/>
                <w:b/>
                <w:color w:val="auto"/>
                <w:kern w:val="0"/>
                <w:sz w:val="24"/>
                <w:highlight w:val="none"/>
              </w:rPr>
              <w:t>/测量</w:t>
            </w:r>
            <w:r>
              <w:rPr>
                <w:rFonts w:hint="eastAsia" w:ascii="仿宋" w:hAnsi="仿宋" w:eastAsia="仿宋" w:cs="仿宋"/>
                <w:b/>
                <w:color w:val="auto"/>
                <w:kern w:val="0"/>
                <w:sz w:val="24"/>
                <w:highlight w:val="none"/>
                <w:lang w:val="zh-CN"/>
              </w:rPr>
              <w:t>。</w:t>
            </w:r>
          </w:p>
          <w:p>
            <w:pPr>
              <w:wordWrap w:val="0"/>
              <w:snapToGrid w:val="0"/>
              <w:spacing w:line="312" w:lineRule="auto"/>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pPr>
              <w:wordWrap w:val="0"/>
              <w:snapToGrid w:val="0"/>
              <w:spacing w:line="312" w:lineRule="auto"/>
              <w:ind w:firstLine="482" w:firstLineChars="20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1.</w:t>
            </w:r>
            <w:r>
              <w:rPr>
                <w:rFonts w:hint="eastAsia" w:ascii="仿宋" w:hAnsi="仿宋" w:eastAsia="仿宋" w:cs="仿宋"/>
                <w:b/>
                <w:color w:val="auto"/>
                <w:kern w:val="0"/>
                <w:sz w:val="24"/>
                <w:highlight w:val="none"/>
                <w:lang w:val="zh-CN"/>
              </w:rPr>
              <w:t>投标文件出现不是唯一的、有选择性投标报价的；</w:t>
            </w:r>
          </w:p>
          <w:p>
            <w:pPr>
              <w:wordWrap w:val="0"/>
              <w:snapToGrid w:val="0"/>
              <w:spacing w:line="312" w:lineRule="auto"/>
              <w:ind w:firstLine="482" w:firstLineChars="200"/>
              <w:jc w:val="lef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投标报价超过招标文件中规定的预算金额或者最高限价的;</w:t>
            </w:r>
          </w:p>
          <w:p>
            <w:pPr>
              <w:wordWrap w:val="0"/>
              <w:spacing w:line="312"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rPr>
              <w:t>3.报价明显低于其他通过符合性审查投标人的报价，有可能影响产品质量或者不能诚信履约的，未能按要求提供书面说明或者提交相关证明材料证明其报价合理性的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highlight w:val="none"/>
              </w:rPr>
              <w:t>;</w:t>
            </w:r>
          </w:p>
          <w:p>
            <w:pPr>
              <w:wordWrap w:val="0"/>
              <w:spacing w:line="312"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中小企业信用</w:t>
            </w:r>
          </w:p>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12"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17"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备份投标文件送达地点和签收</w:t>
            </w:r>
          </w:p>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wordWrap w:val="0"/>
              <w:spacing w:line="312"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投标人如提交备份投标文件的，请送至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杭州市上城区顺福商务中心3幢10楼</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rPr>
              <w:t>；备份投标文件签收人员：</w:t>
            </w:r>
            <w:r>
              <w:rPr>
                <w:rFonts w:hint="eastAsia" w:ascii="仿宋" w:hAnsi="仿宋" w:eastAsia="仿宋" w:cs="仿宋"/>
                <w:color w:val="auto"/>
                <w:sz w:val="24"/>
                <w:szCs w:val="24"/>
                <w:highlight w:val="none"/>
                <w:u w:val="single"/>
              </w:rPr>
              <w:t xml:space="preserve">  费龙生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18458898685  </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17"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推荐中标候选人数量</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wordWrap w:val="0"/>
              <w:spacing w:line="312"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推荐中标候选人数量:1名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22" w:hRule="atLeast"/>
        </w:trPr>
        <w:tc>
          <w:tcPr>
            <w:tcW w:w="629" w:type="dxa"/>
            <w:tcBorders>
              <w:top w:val="single" w:color="auto" w:sz="4" w:space="0"/>
              <w:left w:val="single" w:color="000000" w:sz="8" w:space="0"/>
              <w:right w:val="single" w:color="000000" w:sz="2" w:space="0"/>
            </w:tcBorders>
            <w:vAlign w:val="center"/>
          </w:tcPr>
          <w:p>
            <w:pPr>
              <w:wordWrap w:val="0"/>
              <w:snapToGrid w:val="0"/>
              <w:spacing w:line="312"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843" w:type="dxa"/>
            <w:tcBorders>
              <w:top w:val="single" w:color="000000" w:sz="8" w:space="0"/>
              <w:left w:val="single" w:color="000000" w:sz="2" w:space="0"/>
              <w:right w:val="single" w:color="000000" w:sz="8" w:space="0"/>
            </w:tcBorders>
            <w:vAlign w:val="center"/>
          </w:tcPr>
          <w:p>
            <w:pPr>
              <w:wordWrap w:val="0"/>
              <w:snapToGrid w:val="0"/>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1.采购代理服务费：经与采购人签订合同，约定本项目采购代理服务费由中标人支付给采购代理机构。采购代理服务费按杭价费〔2003〕148号中规定的收费标准的</w:t>
            </w:r>
            <w:r>
              <w:rPr>
                <w:rFonts w:hint="eastAsia" w:ascii="仿宋" w:hAnsi="仿宋" w:eastAsia="仿宋" w:cs="仿宋"/>
                <w:color w:val="auto"/>
                <w:sz w:val="24"/>
                <w:highlight w:val="none"/>
                <w:u w:val="single"/>
              </w:rPr>
              <w:t>货物类收费标准60%</w:t>
            </w:r>
            <w:r>
              <w:rPr>
                <w:rFonts w:hint="eastAsia" w:ascii="仿宋" w:hAnsi="仿宋" w:eastAsia="仿宋" w:cs="仿宋"/>
                <w:color w:val="auto"/>
                <w:sz w:val="24"/>
                <w:highlight w:val="none"/>
              </w:rPr>
              <w:t>计取，收费基数为单个项目中标价。投标人在报价时应计入此费用。采购代理服务费交纳形式：汇票/支票/电汇</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采购代理服务费由中标人在收到中标通知书时以人民币方式向采购代理机构支付。汇入以下账户：</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户 名：浙江科佳工程咨询有限公司 </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开户行：中信银行杭州天水支行 </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号：7331110182600053000</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注：主动放弃中标资格或未签订合同的供应商仍应承担代理费。</w:t>
            </w:r>
          </w:p>
          <w:p>
            <w:pPr>
              <w:pStyle w:val="33"/>
              <w:wordWrap w:val="0"/>
              <w:spacing w:line="312"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2.投标文件存在下列情况之一的，视为撤回：</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（1）电子投标文件（含备份文件）无法解密的；</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（2）投标文件未按时解密或备份文件无法成功导入的；</w:t>
            </w:r>
          </w:p>
          <w:p>
            <w:pPr>
              <w:pStyle w:val="33"/>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（3）投标截止时间前，投标人仅递交了“备份投标文件”而未将“电子加密投标文件”成功上传至“政府采购云平台”的。</w:t>
            </w:r>
          </w:p>
          <w:p>
            <w:pPr>
              <w:pStyle w:val="33"/>
              <w:wordWrap w:val="0"/>
              <w:spacing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3.政采云平台如对电子化开标及评审程序有调整的，按调整后的程序操作。</w:t>
            </w:r>
          </w:p>
          <w:p>
            <w:pPr>
              <w:pStyle w:val="33"/>
              <w:wordWrap w:val="0"/>
              <w:spacing w:line="312" w:lineRule="auto"/>
              <w:rPr>
                <w:rFonts w:ascii="仿宋" w:hAnsi="仿宋" w:eastAsia="仿宋" w:cs="仿宋"/>
                <w:color w:val="auto"/>
                <w:sz w:val="24"/>
                <w:szCs w:val="24"/>
                <w:highlight w:val="none"/>
              </w:rPr>
            </w:pPr>
            <w:bookmarkStart w:id="24" w:name="_Hlk96025558"/>
            <w:r>
              <w:rPr>
                <w:rFonts w:hint="eastAsia" w:ascii="仿宋" w:hAnsi="仿宋" w:eastAsia="仿宋" w:cs="仿宋"/>
                <w:color w:val="auto"/>
                <w:sz w:val="24"/>
                <w:szCs w:val="24"/>
                <w:highlight w:val="none"/>
              </w:rPr>
              <w:t>4.</w:t>
            </w:r>
            <w:bookmarkEnd w:id="24"/>
            <w:r>
              <w:rPr>
                <w:rFonts w:hint="eastAsia" w:ascii="仿宋" w:hAnsi="仿宋" w:eastAsia="仿宋" w:cs="仿宋"/>
                <w:color w:val="auto"/>
                <w:sz w:val="24"/>
                <w:highlight w:val="none"/>
                <w:lang w:bidi="ar"/>
              </w:rPr>
              <w:t>中标供应商在领取中标通知书时提供纸质投标文件三份（电子投标文件打印，装订成册，采用胶订或线订；封面再加盖单位公章（物理章））</w:t>
            </w:r>
            <w:r>
              <w:rPr>
                <w:rFonts w:hint="eastAsia" w:ascii="仿宋" w:hAnsi="仿宋" w:eastAsia="仿宋" w:cs="仿宋"/>
                <w:color w:val="auto"/>
                <w:sz w:val="24"/>
                <w:szCs w:val="24"/>
                <w:highlight w:val="none"/>
              </w:rPr>
              <w:t>。</w:t>
            </w:r>
          </w:p>
          <w:p>
            <w:pPr>
              <w:pStyle w:val="33"/>
              <w:wordWrap w:val="0"/>
              <w:spacing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5.联合体：</w:t>
            </w:r>
          </w:p>
          <w:p>
            <w:pPr>
              <w:pStyle w:val="33"/>
              <w:wordWrap w:val="0"/>
              <w:spacing w:line="312"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口联合体投标的，联合体各方均需按招标文件第四部分评标标准要求提供资信证明文件，否则视为不符合相关要求。</w:t>
            </w:r>
            <w:r>
              <w:rPr>
                <w:rFonts w:hint="eastAsia" w:ascii="仿宋" w:hAnsi="仿宋" w:eastAsia="仿宋" w:cs="仿宋"/>
                <w:b/>
                <w:color w:val="auto"/>
                <w:kern w:val="0"/>
                <w:sz w:val="24"/>
                <w:highlight w:val="none"/>
                <w:lang w:val="zh-CN"/>
              </w:rPr>
              <w:sym w:font="Wingdings" w:char="00FE"/>
            </w:r>
            <w:r>
              <w:rPr>
                <w:rFonts w:ascii="仿宋" w:hAnsi="仿宋" w:eastAsia="仿宋" w:cs="仿宋"/>
                <w:color w:val="auto"/>
                <w:sz w:val="24"/>
                <w:szCs w:val="24"/>
                <w:highlight w:val="none"/>
              </w:rPr>
              <w:t>联合体投标的，联合体中有一方或者联合体成员根据分工按招标文件第四部分评标标准要求提供资信证明文件的，视为符合了相关要求。</w:t>
            </w:r>
          </w:p>
          <w:p>
            <w:pPr>
              <w:pStyle w:val="33"/>
              <w:wordWrap w:val="0"/>
              <w:spacing w:line="312" w:lineRule="auto"/>
              <w:rPr>
                <w:rFonts w:ascii="仿宋" w:hAnsi="仿宋" w:eastAsia="仿宋" w:cs="仿宋"/>
                <w:color w:val="auto"/>
                <w:sz w:val="24"/>
                <w:szCs w:val="24"/>
                <w:highlight w:val="none"/>
              </w:rPr>
            </w:pPr>
            <w:r>
              <w:rPr>
                <w:rFonts w:hint="eastAsia" w:ascii="仿宋" w:hAnsi="仿宋" w:eastAsia="仿宋" w:cs="仿宋"/>
                <w:b/>
                <w:color w:val="auto"/>
                <w:kern w:val="0"/>
                <w:sz w:val="24"/>
                <w:highlight w:val="none"/>
                <w:lang w:val="zh-CN"/>
              </w:rPr>
              <w:sym w:font="Wingdings" w:char="00FE"/>
            </w:r>
            <w:r>
              <w:rPr>
                <w:rFonts w:ascii="仿宋" w:hAnsi="仿宋" w:eastAsia="仿宋" w:cs="仿宋"/>
                <w:color w:val="auto"/>
                <w:sz w:val="24"/>
                <w:szCs w:val="24"/>
                <w:highlight w:val="none"/>
              </w:rPr>
              <w:t>本项目允许联合体应标，参加联合体各方均应当具备政府采购法第二十二条规定的条件，联合体应满足相应的特定资格条件，并应当在响应文件中提交联合协议，载明联合体各方承担的工作和义务。联合体各方应当共同与采购人签订采购合同，就采购合同约定的事项对采购人承担连带责任;</w:t>
            </w:r>
          </w:p>
          <w:p>
            <w:pPr>
              <w:pStyle w:val="33"/>
              <w:wordWrap w:val="0"/>
              <w:spacing w:line="312" w:lineRule="auto"/>
              <w:rPr>
                <w:rFonts w:ascii="仿宋" w:hAnsi="仿宋" w:eastAsia="仿宋" w:cs="仿宋"/>
                <w:color w:val="auto"/>
                <w:sz w:val="24"/>
                <w:szCs w:val="24"/>
                <w:highlight w:val="none"/>
              </w:rPr>
            </w:pPr>
            <w:r>
              <w:rPr>
                <w:rFonts w:hint="eastAsia" w:ascii="仿宋" w:hAnsi="仿宋" w:eastAsia="仿宋" w:cs="仿宋"/>
                <w:b/>
                <w:color w:val="auto"/>
                <w:kern w:val="0"/>
                <w:sz w:val="24"/>
                <w:highlight w:val="none"/>
                <w:lang w:val="zh-CN"/>
              </w:rPr>
              <w:sym w:font="Wingdings" w:char="00FE"/>
            </w:r>
            <w:r>
              <w:rPr>
                <w:rFonts w:ascii="仿宋" w:hAnsi="仿宋" w:eastAsia="仿宋" w:cs="仿宋"/>
                <w:color w:val="auto"/>
                <w:sz w:val="24"/>
                <w:szCs w:val="24"/>
                <w:highlight w:val="none"/>
              </w:rPr>
              <w:t>联合体各方需具备与所承担工作内容相适应的资质;</w:t>
            </w:r>
          </w:p>
          <w:p>
            <w:pPr>
              <w:pStyle w:val="33"/>
              <w:wordWrap w:val="0"/>
              <w:spacing w:line="312" w:lineRule="auto"/>
              <w:rPr>
                <w:rFonts w:ascii="仿宋" w:hAnsi="仿宋" w:eastAsia="仿宋" w:cs="仿宋"/>
                <w:color w:val="auto"/>
                <w:sz w:val="24"/>
                <w:szCs w:val="24"/>
                <w:highlight w:val="none"/>
              </w:rPr>
            </w:pPr>
            <w:r>
              <w:rPr>
                <w:rFonts w:hint="eastAsia" w:ascii="仿宋" w:hAnsi="仿宋" w:eastAsia="仿宋" w:cs="仿宋"/>
                <w:b/>
                <w:color w:val="auto"/>
                <w:kern w:val="0"/>
                <w:sz w:val="24"/>
                <w:highlight w:val="none"/>
                <w:lang w:val="zh-CN"/>
              </w:rPr>
              <w:sym w:font="Wingdings" w:char="00FE"/>
            </w:r>
            <w:r>
              <w:rPr>
                <w:rFonts w:ascii="仿宋" w:hAnsi="仿宋" w:eastAsia="仿宋" w:cs="仿宋"/>
                <w:color w:val="auto"/>
                <w:sz w:val="24"/>
                <w:szCs w:val="24"/>
                <w:highlight w:val="none"/>
              </w:rPr>
              <w:t>联合体各方不得再以自己的名义单独或组建新的联合体参与本项目磋商;</w:t>
            </w:r>
          </w:p>
        </w:tc>
      </w:tr>
      <w:bookmarkEnd w:id="15"/>
    </w:tbl>
    <w:p>
      <w:pPr>
        <w:wordWrap w:val="0"/>
        <w:rPr>
          <w:rFonts w:ascii="仿宋" w:hAnsi="仿宋" w:eastAsia="仿宋" w:cs="仿宋"/>
          <w:b/>
          <w:color w:val="auto"/>
          <w:sz w:val="32"/>
          <w:szCs w:val="20"/>
          <w:highlight w:val="none"/>
        </w:rPr>
      </w:pPr>
      <w:bookmarkStart w:id="25" w:name="第三部分"/>
      <w:bookmarkStart w:id="26" w:name="_Toc164416483"/>
      <w:r>
        <w:rPr>
          <w:rFonts w:hint="eastAsia" w:ascii="仿宋" w:hAnsi="仿宋" w:eastAsia="仿宋" w:cs="仿宋"/>
          <w:b/>
          <w:color w:val="auto"/>
          <w:sz w:val="32"/>
          <w:szCs w:val="20"/>
          <w:highlight w:val="none"/>
        </w:rPr>
        <w:br w:type="page"/>
      </w:r>
    </w:p>
    <w:p>
      <w:pPr>
        <w:wordWrap w:val="0"/>
        <w:adjustRightInd/>
        <w:spacing w:line="360" w:lineRule="auto"/>
        <w:ind w:firstLine="3845" w:firstLineChars="1197"/>
        <w:outlineLvl w:val="1"/>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pPr>
        <w:wordWrap w:val="0"/>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wordWrap w:val="0"/>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numPr>
          <w:ilvl w:val="0"/>
          <w:numId w:val="2"/>
        </w:numPr>
        <w:wordWrap w:val="0"/>
        <w:adjustRightInd/>
        <w:spacing w:line="360" w:lineRule="auto"/>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定义</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102383211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本项目不</w:t>
      </w:r>
      <w:r>
        <w:rPr>
          <w:rFonts w:hint="eastAsia" w:ascii="仿宋" w:hAnsi="仿宋" w:eastAsia="仿宋" w:cs="仿宋"/>
          <w:color w:val="auto"/>
          <w:kern w:val="0"/>
          <w:sz w:val="24"/>
          <w:highlight w:val="none"/>
        </w:rPr>
        <w:t>允许采购进口产品</w:t>
      </w:r>
      <w:r>
        <w:rPr>
          <w:rFonts w:hint="eastAsia" w:ascii="仿宋" w:hAnsi="仿宋" w:eastAsia="仿宋" w:cs="仿宋"/>
          <w:color w:val="auto"/>
          <w:sz w:val="24"/>
          <w:highlight w:val="none"/>
        </w:rPr>
        <w:t>）</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wordWrap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3.2.2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本项目为修缮、装修类项目，采购的建材绿色建筑和绿色建材性能、指标等实质性条件详见采购需求和合同。</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或服务项目，以及预留份额政府采购货物或服务项目中的非预留部分标项，对小型和微型企业的投标报价给予10%-20%（本项目具体扣除比例详见“评审办法”）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-6%（本项目具体扣除比例详见“评审办法”）的扣除，用扣除后的价格参加评审。组成联合体或者接受分包的小微企业与联合体内其他企业、分包企业之间存在直接控股、管理关系的，不享受价格扣除优惠政策。</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wordWrap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供应商询问</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供应商质疑</w:t>
      </w:r>
    </w:p>
    <w:p>
      <w:pPr>
        <w:pStyle w:val="33"/>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3"/>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5"/>
        <w:wordWrap w:val="0"/>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pPr>
        <w:pStyle w:val="33"/>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w:t>
      </w:r>
    </w:p>
    <w:p>
      <w:pPr>
        <w:pStyle w:val="33"/>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4.3.2.3对采购结果提出质疑的，质疑期限自采购结果公告期限届满之日起计算。</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供应商提出质疑应当提交质疑函和必要的证明材料。质疑函应当包括下列内容：</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.3.1供应商的姓名或者名称、地址、邮编、联系人及联系电话；</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.3.2质疑项目的名称、编号；</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.3.3具体、明确的质疑事项和与质疑事项相关的请求；</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.3.4事实依据；</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.3.5必要的法律依据；</w:t>
      </w:r>
    </w:p>
    <w:p>
      <w:pPr>
        <w:pStyle w:val="33"/>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.3.6提出质疑的日期。</w:t>
      </w:r>
    </w:p>
    <w:p>
      <w:pPr>
        <w:pStyle w:val="888"/>
        <w:shd w:val="clear" w:color="auto" w:fill="FFFFFF"/>
        <w:wordWrap w:val="0"/>
        <w:snapToGrid w:val="0"/>
        <w:spacing w:before="0" w:beforeAutospacing="0" w:after="0" w:afterAutospacing="0" w:line="360" w:lineRule="auto"/>
        <w:ind w:firstLine="403"/>
        <w:contextualSpacing/>
        <w:rPr>
          <w:rFonts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wordWrap w:val="0"/>
        <w:snapToGrid w:val="0"/>
        <w:spacing w:after="240" w:afterAutospacing="0" w:line="360" w:lineRule="auto"/>
        <w:ind w:firstLine="480" w:firstLineChars="200"/>
        <w:contextualSpacing/>
        <w:rPr>
          <w:rFonts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3.4对同一采购程序环节的质疑，供应商须在法定质疑期内一次性提出。</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3.6询问或者质疑事项可能影响采购结果的，采购人应当暂停签订合同，已经签订合同的，应当中止履行合同。</w:t>
      </w:r>
    </w:p>
    <w:p>
      <w:pPr>
        <w:pStyle w:val="888"/>
        <w:shd w:val="clear" w:color="auto" w:fill="FFFFFF"/>
        <w:wordWrap w:val="0"/>
        <w:snapToGrid w:val="0"/>
        <w:spacing w:after="240" w:afterAutospacing="0" w:line="360" w:lineRule="auto"/>
        <w:ind w:firstLine="480" w:firstLineChars="200"/>
        <w:contextualSpacing/>
        <w:rPr>
          <w:rFonts w:ascii="仿宋" w:hAnsi="仿宋" w:eastAsia="仿宋" w:cs="仿宋"/>
          <w:color w:val="auto"/>
          <w:highlight w:val="none"/>
          <w:lang w:val="zh-CN"/>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4</w:t>
      </w:r>
      <w:r>
        <w:rPr>
          <w:rFonts w:hint="eastAsia" w:ascii="仿宋" w:hAnsi="仿宋" w:eastAsia="仿宋" w:cs="仿宋"/>
          <w:color w:val="auto"/>
          <w:highlight w:val="none"/>
          <w:lang w:val="zh-CN"/>
        </w:rPr>
        <w:t>供应商投诉</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4.4.4 以联合体形式参加政府采购活动的，其投诉应当由组成联合体的所有供应商共同提出。</w:t>
      </w:r>
    </w:p>
    <w:p>
      <w:pPr>
        <w:pStyle w:val="888"/>
        <w:shd w:val="clear" w:color="auto" w:fill="FFFFFF"/>
        <w:wordWrap w:val="0"/>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130"/>
        <w:wordWrap w:val="0"/>
        <w:snapToGrid w:val="0"/>
        <w:spacing w:before="0"/>
        <w:ind w:firstLine="360"/>
        <w:rPr>
          <w:rFonts w:ascii="仿宋" w:hAnsi="仿宋" w:eastAsia="仿宋" w:cs="仿宋"/>
          <w:color w:val="auto"/>
          <w:sz w:val="18"/>
          <w:szCs w:val="18"/>
          <w:highlight w:val="none"/>
        </w:rPr>
      </w:pPr>
    </w:p>
    <w:p>
      <w:pPr>
        <w:wordWrap w:val="0"/>
        <w:adjustRightInd/>
        <w:spacing w:line="360" w:lineRule="auto"/>
        <w:jc w:val="center"/>
        <w:outlineLvl w:val="1"/>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二、招标文件的构成、澄清、修改</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3"/>
        <w:wordWrap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3"/>
        <w:tabs>
          <w:tab w:val="left" w:pos="840"/>
        </w:tabs>
        <w:wordWrap w:val="0"/>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30"/>
        <w:wordWrap w:val="0"/>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6.1已获取招标文件的潜在投标人，若有问题需要澄清，应于投标截止时间前，以书面形式或政采云线上询问方式向采购代理机构提出。</w:t>
      </w:r>
    </w:p>
    <w:p>
      <w:pPr>
        <w:pStyle w:val="130"/>
        <w:wordWrap w:val="0"/>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wordWrap w:val="0"/>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wordWrap w:val="0"/>
        <w:adjustRightInd/>
        <w:spacing w:line="360" w:lineRule="auto"/>
        <w:jc w:val="center"/>
        <w:outlineLvl w:val="1"/>
        <w:rPr>
          <w:rFonts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wordWrap w:val="0"/>
        <w:spacing w:line="360" w:lineRule="auto"/>
        <w:ind w:firstLine="480" w:firstLineChars="200"/>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3"/>
        <w:numPr>
          <w:ilvl w:val="0"/>
          <w:numId w:val="3"/>
        </w:numPr>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p>
      <w:pPr>
        <w:pStyle w:val="33"/>
        <w:wordWrap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numPr>
          <w:ilvl w:val="0"/>
          <w:numId w:val="3"/>
        </w:numPr>
        <w:wordWrap w:val="0"/>
        <w:spacing w:line="360" w:lineRule="auto"/>
        <w:rPr>
          <w:rFonts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投标保证金</w:t>
      </w:r>
    </w:p>
    <w:p>
      <w:pPr>
        <w:pStyle w:val="15"/>
        <w:wordWrap w:val="0"/>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wordWrap w:val="0"/>
        <w:autoSpaceDE w:val="0"/>
        <w:autoSpaceDN w:val="0"/>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11.1.1供应商（联合体参加的指联合体双方）的营业执照或者其他由国家相关部门出具的具有独立承担民事责任能力的证明文件（自然人参加的提供身份证复制件）；        11.1.2符合参加政府采购活动应当具备的一般条件、特殊资格条件的承诺函；</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11.1.3联合协议（联合体参加的提供）；</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11.1.4满足政府采购政策的资格要求证明材料；</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11.1.5满足本项目特定资格要求的证明材料。</w:t>
      </w:r>
    </w:p>
    <w:p>
      <w:pPr>
        <w:wordWrap w:val="0"/>
        <w:snapToGrid w:val="0"/>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11.</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11.2.3分包意向协议（拟分包的提供)；</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pPr>
        <w:wordWrap w:val="0"/>
        <w:snapToGrid w:val="0"/>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rPr>
        <w:t>11.2.6</w:t>
      </w:r>
      <w:r>
        <w:rPr>
          <w:rFonts w:hint="eastAsia" w:ascii="仿宋" w:hAnsi="仿宋" w:eastAsia="仿宋" w:cs="仿宋"/>
          <w:color w:val="auto"/>
          <w:sz w:val="24"/>
          <w:highlight w:val="none"/>
          <w:lang w:val="zh-CN"/>
        </w:rPr>
        <w:t>政府采购供应商廉洁自律承诺书。</w:t>
      </w:r>
    </w:p>
    <w:p>
      <w:pPr>
        <w:wordWrap w:val="0"/>
        <w:snapToGrid w:val="0"/>
        <w:spacing w:line="360" w:lineRule="auto"/>
        <w:ind w:firstLine="480" w:firstLineChars="200"/>
        <w:rPr>
          <w:rFonts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11.3.2投标价格组成明细表；</w:t>
      </w:r>
    </w:p>
    <w:p>
      <w:pPr>
        <w:wordWrap w:val="0"/>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11.3.3中小企业声明函（若有）。</w:t>
      </w:r>
    </w:p>
    <w:p>
      <w:pPr>
        <w:wordWrap w:val="0"/>
        <w:spacing w:line="360" w:lineRule="auto"/>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wordWrap w:val="0"/>
        <w:spacing w:line="360" w:lineRule="auto"/>
        <w:ind w:firstLine="723" w:firstLineChars="3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pPr>
        <w:pStyle w:val="130"/>
        <w:numPr>
          <w:ilvl w:val="0"/>
          <w:numId w:val="4"/>
        </w:numPr>
        <w:wordWrap w:val="0"/>
        <w:snapToGrid w:val="0"/>
        <w:spacing w:before="0"/>
        <w:ind w:firstLine="0" w:firstLineChars="0"/>
        <w:outlineLvl w:val="2"/>
        <w:rPr>
          <w:rFonts w:ascii="仿宋" w:hAnsi="仿宋" w:eastAsia="仿宋" w:cs="仿宋"/>
          <w:b/>
          <w:color w:val="auto"/>
          <w:szCs w:val="24"/>
          <w:highlight w:val="none"/>
        </w:rPr>
      </w:pPr>
      <w:r>
        <w:rPr>
          <w:rFonts w:hint="eastAsia" w:ascii="仿宋" w:hAnsi="仿宋" w:eastAsia="仿宋" w:cs="仿宋"/>
          <w:b/>
          <w:color w:val="auto"/>
          <w:szCs w:val="24"/>
          <w:highlight w:val="none"/>
        </w:rPr>
        <w:t>投标文件的编制</w:t>
      </w:r>
    </w:p>
    <w:p>
      <w:pPr>
        <w:wordWrap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numPr>
          <w:ilvl w:val="0"/>
          <w:numId w:val="4"/>
        </w:numPr>
        <w:wordWrap w:val="0"/>
        <w:snapToGrid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投标文件的签署、盖章</w:t>
      </w:r>
    </w:p>
    <w:p>
      <w:pPr>
        <w:pStyle w:val="130"/>
        <w:wordWrap w:val="0"/>
        <w:snapToGrid w:val="0"/>
        <w:spacing w:before="0"/>
        <w:ind w:firstLine="480"/>
        <w:rPr>
          <w:rFonts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30"/>
        <w:wordWrap w:val="0"/>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0"/>
        <w:wordWrap w:val="0"/>
        <w:snapToGrid w:val="0"/>
        <w:spacing w:before="0"/>
        <w:ind w:firstLine="480"/>
        <w:rPr>
          <w:rFonts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30"/>
        <w:wordWrap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30"/>
        <w:wordWrap w:val="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wordWrap w:val="0"/>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0"/>
        <w:wordWrap w:val="0"/>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3"/>
        <w:wordWrap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 备份投标文件</w:t>
      </w:r>
    </w:p>
    <w:p>
      <w:pPr>
        <w:pStyle w:val="33"/>
        <w:wordWrap w:val="0"/>
        <w:spacing w:line="360" w:lineRule="auto"/>
        <w:ind w:firstLine="360" w:firstLineChars="15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15.1投标人在电子交易平台传输递交投标文件后，可以在投标截止时间前直接提交或者以快递方式递交备份投标文件1份（</w:t>
      </w:r>
      <w:r>
        <w:rPr>
          <w:rFonts w:hint="eastAsia" w:ascii="仿宋" w:hAnsi="仿宋" w:eastAsia="仿宋" w:cs="仿宋"/>
          <w:b/>
          <w:color w:val="auto"/>
          <w:sz w:val="24"/>
          <w:szCs w:val="24"/>
          <w:highlight w:val="none"/>
        </w:rPr>
        <w:t>非强制要求，投标人自行考虑，快递到付或包裹破损拒绝接受）。</w:t>
      </w:r>
    </w:p>
    <w:p>
      <w:pPr>
        <w:pStyle w:val="33"/>
        <w:wordWrap w:val="0"/>
        <w:spacing w:line="360" w:lineRule="auto"/>
        <w:ind w:firstLine="480" w:firstLineChars="20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DVD光盘或U盘</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b/>
          <w:bCs/>
          <w:color w:val="auto"/>
          <w:sz w:val="24"/>
          <w:szCs w:val="24"/>
          <w:highlight w:val="none"/>
        </w:rPr>
        <w:t>联合体投标的，包装物封面需注明联合体投标，并注明联合体成员各方的名称和联合协议中约定的牵头人的名称</w:t>
      </w:r>
      <w:r>
        <w:rPr>
          <w:rFonts w:hint="eastAsia" w:ascii="仿宋" w:hAnsi="仿宋" w:eastAsia="仿宋" w:cs="仿宋"/>
          <w:color w:val="auto"/>
          <w:sz w:val="24"/>
          <w:szCs w:val="24"/>
          <w:highlight w:val="none"/>
        </w:rPr>
        <w:t>)。</w:t>
      </w:r>
      <w:r>
        <w:rPr>
          <w:rFonts w:hint="eastAsia" w:ascii="仿宋" w:hAnsi="仿宋" w:eastAsia="仿宋" w:cs="仿宋"/>
          <w:b/>
          <w:bCs/>
          <w:color w:val="auto"/>
          <w:sz w:val="24"/>
          <w:highlight w:val="none"/>
        </w:rPr>
        <w:t>不符合上述制作、</w:t>
      </w:r>
      <w:r>
        <w:rPr>
          <w:rFonts w:hint="eastAsia" w:ascii="仿宋" w:hAnsi="仿宋" w:eastAsia="仿宋" w:cs="仿宋"/>
          <w:b/>
          <w:bCs/>
          <w:color w:val="auto"/>
          <w:sz w:val="24"/>
          <w:szCs w:val="24"/>
          <w:highlight w:val="none"/>
        </w:rPr>
        <w:t>存储、密封规定的备份投标文件将被视为无效或者被拒绝接收。</w:t>
      </w:r>
    </w:p>
    <w:p>
      <w:pPr>
        <w:pStyle w:val="33"/>
        <w:wordWrap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3"/>
        <w:wordWrap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15.4以快递方式递交备份投标文件的，投标人应先将备份投标文件按要求密封和标记，再进行快递包装后邮寄。备份投标文件须在投标截止时间之前送达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3"/>
        <w:wordWrap w:val="0"/>
        <w:spacing w:line="360" w:lineRule="auto"/>
        <w:ind w:firstLine="479" w:firstLineChars="199"/>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pPr>
        <w:pStyle w:val="130"/>
        <w:numPr>
          <w:ilvl w:val="0"/>
          <w:numId w:val="5"/>
        </w:numPr>
        <w:wordWrap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投标文件的无效处理</w:t>
      </w:r>
    </w:p>
    <w:p>
      <w:pPr>
        <w:pStyle w:val="25"/>
        <w:wordWrap w:val="0"/>
        <w:spacing w:line="360" w:lineRule="auto"/>
        <w:ind w:firstLine="360" w:firstLineChars="150"/>
        <w:rPr>
          <w:rFonts w:ascii="仿宋" w:hAnsi="仿宋" w:eastAsia="仿宋" w:cs="仿宋"/>
          <w:color w:val="auto"/>
          <w:szCs w:val="21"/>
          <w:highlight w:val="none"/>
        </w:rPr>
      </w:pPr>
      <w:r>
        <w:rPr>
          <w:rFonts w:hint="eastAsia" w:ascii="仿宋" w:hAnsi="仿宋" w:eastAsia="仿宋" w:cs="仿宋"/>
          <w:color w:val="auto"/>
          <w:szCs w:val="21"/>
          <w:highlight w:val="none"/>
        </w:rPr>
        <w:t>有招标文件第四部分第</w:t>
      </w:r>
      <w:r>
        <w:rPr>
          <w:rFonts w:hint="eastAsia" w:ascii="仿宋" w:hAnsi="仿宋" w:eastAsia="仿宋" w:cs="仿宋"/>
          <w:color w:val="auto"/>
          <w:highlight w:val="none"/>
        </w:rPr>
        <w:t>4.2项规定</w:t>
      </w:r>
      <w:r>
        <w:rPr>
          <w:rFonts w:hint="eastAsia" w:ascii="仿宋" w:hAnsi="仿宋" w:eastAsia="仿宋" w:cs="仿宋"/>
          <w:color w:val="auto"/>
          <w:szCs w:val="21"/>
          <w:highlight w:val="none"/>
        </w:rPr>
        <w:t>的情形之一的，投标无效。</w:t>
      </w:r>
    </w:p>
    <w:p>
      <w:pPr>
        <w:pStyle w:val="130"/>
        <w:numPr>
          <w:ilvl w:val="0"/>
          <w:numId w:val="5"/>
        </w:numPr>
        <w:wordWrap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投标有效期</w:t>
      </w:r>
    </w:p>
    <w:p>
      <w:pPr>
        <w:wordWrap w:val="0"/>
        <w:spacing w:line="360" w:lineRule="auto"/>
        <w:ind w:firstLine="480" w:firstLineChars="200"/>
        <w:rPr>
          <w:rFonts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0"/>
        <w:wordWrap w:val="0"/>
        <w:spacing w:before="0"/>
        <w:ind w:firstLine="643"/>
        <w:rPr>
          <w:rFonts w:ascii="仿宋" w:hAnsi="仿宋" w:eastAsia="仿宋" w:cs="仿宋"/>
          <w:b/>
          <w:color w:val="auto"/>
          <w:sz w:val="32"/>
          <w:highlight w:val="none"/>
        </w:rPr>
      </w:pPr>
    </w:p>
    <w:p>
      <w:pPr>
        <w:pStyle w:val="130"/>
        <w:wordWrap w:val="0"/>
        <w:spacing w:before="0"/>
        <w:ind w:firstLine="1928" w:firstLineChars="600"/>
        <w:outlineLvl w:val="1"/>
        <w:rPr>
          <w:rFonts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57"/>
        <w:wordWrap w:val="0"/>
        <w:spacing w:before="0" w:line="360" w:lineRule="auto"/>
        <w:ind w:left="0" w:firstLine="0"/>
        <w:contextualSpacing/>
        <w:rPr>
          <w:rFonts w:ascii="仿宋" w:hAnsi="仿宋" w:eastAsia="仿宋" w:cs="仿宋"/>
          <w:color w:val="auto"/>
          <w:sz w:val="24"/>
          <w:highlight w:val="none"/>
        </w:rPr>
      </w:pPr>
      <w:r>
        <w:rPr>
          <w:rFonts w:hint="eastAsia" w:ascii="仿宋" w:hAnsi="仿宋" w:eastAsia="仿宋" w:cs="仿宋"/>
          <w:b/>
          <w:color w:val="auto"/>
          <w:sz w:val="24"/>
          <w:szCs w:val="24"/>
          <w:highlight w:val="none"/>
        </w:rPr>
        <w:t>18. 开标</w:t>
      </w:r>
      <w:r>
        <w:rPr>
          <w:rFonts w:hint="eastAsia" w:ascii="仿宋" w:hAnsi="仿宋" w:eastAsia="仿宋" w:cs="仿宋"/>
          <w:color w:val="auto"/>
          <w:sz w:val="24"/>
          <w:highlight w:val="none"/>
        </w:rPr>
        <w:t xml:space="preserve"> </w:t>
      </w:r>
    </w:p>
    <w:p>
      <w:pPr>
        <w:pStyle w:val="557"/>
        <w:wordWrap w:val="0"/>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18.1采购代理机构按照招标文件规定的时间通过电子交易平台组织开标，所有投标人均应当准时在线参加。投标人不足3家的，不得开标。</w:t>
      </w:r>
    </w:p>
    <w:p>
      <w:pPr>
        <w:pStyle w:val="557"/>
        <w:wordWrap w:val="0"/>
        <w:spacing w:before="0" w:line="360" w:lineRule="auto"/>
        <w:ind w:left="0" w:firstLine="240" w:firstLineChars="1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7"/>
        <w:wordWrap w:val="0"/>
        <w:spacing w:before="0" w:line="360" w:lineRule="auto"/>
        <w:ind w:left="0" w:firstLine="240" w:firstLineChars="100"/>
        <w:contextualSpacing/>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pStyle w:val="557"/>
        <w:wordWrap w:val="0"/>
        <w:spacing w:before="0" w:line="360" w:lineRule="auto"/>
        <w:ind w:left="0" w:firstLine="0"/>
        <w:contextualSpacing/>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19. 资格审查</w:t>
      </w:r>
    </w:p>
    <w:p>
      <w:pPr>
        <w:pStyle w:val="130"/>
        <w:wordWrap w:val="0"/>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19.1开标后，采购人或采购代理机构将依法对投标人的资格进行审查。</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采购人或采购代理机构依据法律法规和招标文件的规定，对投标人的基本资格条件、特定资格条件进行审查。</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19.3投标人未按照招标文件要求提供与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4对未通过资格审查的投标人，采购人或采购代理机构告知其未通过的原因。</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5合格投标人不足3家的，不再继续评标。</w:t>
      </w:r>
    </w:p>
    <w:p>
      <w:pPr>
        <w:pStyle w:val="130"/>
        <w:numPr>
          <w:ilvl w:val="0"/>
          <w:numId w:val="6"/>
        </w:numPr>
        <w:wordWrap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信用信息查询</w:t>
      </w:r>
    </w:p>
    <w:p>
      <w:pPr>
        <w:pStyle w:val="130"/>
        <w:wordWrap w:val="0"/>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pPr>
        <w:pStyle w:val="130"/>
        <w:wordWrap w:val="0"/>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30"/>
        <w:wordWrap w:val="0"/>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0"/>
        <w:wordWrap w:val="0"/>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130"/>
        <w:wordWrap w:val="0"/>
        <w:spacing w:before="0"/>
        <w:ind w:firstLine="0" w:firstLineChars="0"/>
        <w:rPr>
          <w:rFonts w:ascii="仿宋" w:hAnsi="仿宋" w:eastAsia="仿宋" w:cs="仿宋"/>
          <w:color w:val="auto"/>
          <w:kern w:val="0"/>
          <w:szCs w:val="24"/>
          <w:highlight w:val="none"/>
        </w:rPr>
      </w:pPr>
    </w:p>
    <w:p>
      <w:pPr>
        <w:wordWrap w:val="0"/>
        <w:snapToGrid w:val="0"/>
        <w:spacing w:line="360" w:lineRule="auto"/>
        <w:jc w:val="center"/>
        <w:outlineLvl w:val="1"/>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wordWrap w:val="0"/>
        <w:spacing w:line="360" w:lineRule="auto"/>
        <w:ind w:firstLine="241" w:firstLineChars="100"/>
        <w:rPr>
          <w:rFonts w:ascii="仿宋" w:hAnsi="仿宋" w:eastAsia="仿宋" w:cs="仿宋"/>
          <w:b/>
          <w:color w:val="auto"/>
          <w:sz w:val="24"/>
          <w:highlight w:val="none"/>
        </w:rPr>
      </w:pPr>
      <w:bookmarkStart w:id="27"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pPr>
        <w:wordWrap w:val="0"/>
        <w:spacing w:line="360" w:lineRule="auto"/>
        <w:rPr>
          <w:rFonts w:ascii="仿宋" w:hAnsi="仿宋" w:eastAsia="仿宋" w:cs="仿宋"/>
          <w:b/>
          <w:color w:val="auto"/>
          <w:sz w:val="24"/>
          <w:highlight w:val="none"/>
        </w:rPr>
      </w:pPr>
    </w:p>
    <w:p>
      <w:pPr>
        <w:wordWrap w:val="0"/>
        <w:snapToGrid w:val="0"/>
        <w:spacing w:line="360" w:lineRule="auto"/>
        <w:jc w:val="center"/>
        <w:outlineLvl w:val="1"/>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25"/>
        <w:wordWrap w:val="0"/>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22. 确定中标供应商</w:t>
      </w:r>
    </w:p>
    <w:p>
      <w:pPr>
        <w:pStyle w:val="130"/>
        <w:wordWrap w:val="0"/>
        <w:snapToGrid w:val="0"/>
        <w:spacing w:before="0"/>
        <w:ind w:firstLine="480"/>
        <w:rPr>
          <w:rFonts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wordWrap w:val="0"/>
        <w:snapToGrid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fill="FFFFFF"/>
        <w:wordWrap w:val="0"/>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wordWrap w:val="0"/>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wordWrap w:val="0"/>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wordWrap w:val="0"/>
        <w:snapToGrid w:val="0"/>
        <w:spacing w:line="360" w:lineRule="auto"/>
        <w:ind w:left="120" w:leftChars="57" w:firstLine="482" w:firstLineChars="150"/>
        <w:jc w:val="center"/>
        <w:outlineLvl w:val="1"/>
        <w:rPr>
          <w:rFonts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25"/>
        <w:wordWrap w:val="0"/>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pPr>
        <w:pStyle w:val="25"/>
        <w:wordWrap w:val="0"/>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25. 合同的签订</w:t>
      </w:r>
    </w:p>
    <w:p>
      <w:pPr>
        <w:widowControl/>
        <w:shd w:val="clear" w:color="auto" w:fill="FFFFFF"/>
        <w:wordWrap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wordWrap w:val="0"/>
        <w:snapToGrid w:val="0"/>
        <w:spacing w:before="0"/>
        <w:ind w:firstLine="480"/>
        <w:rPr>
          <w:rFonts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0"/>
        <w:wordWrap w:val="0"/>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130"/>
        <w:wordWrap w:val="0"/>
        <w:snapToGrid w:val="0"/>
        <w:spacing w:before="0" w:after="120"/>
        <w:ind w:firstLine="480"/>
        <w:rPr>
          <w:rFonts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25.4中标供应商拒绝与采购人签订合同的，采购人可以按照评标报告推荐的中标候选人名单排序，确定下一候选人为中标供应商，也可以重新开展政府采购活动。</w:t>
      </w:r>
    </w:p>
    <w:p>
      <w:pPr>
        <w:pStyle w:val="130"/>
        <w:wordWrap w:val="0"/>
        <w:snapToGrid w:val="0"/>
        <w:spacing w:before="0" w:after="120"/>
        <w:ind w:firstLine="480"/>
        <w:rPr>
          <w:rFonts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25"/>
        <w:wordWrap w:val="0"/>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26. 履约保证金</w:t>
      </w:r>
    </w:p>
    <w:p>
      <w:pPr>
        <w:tabs>
          <w:tab w:val="left" w:pos="0"/>
        </w:tabs>
        <w:wordWrap w:val="0"/>
        <w:spacing w:line="360" w:lineRule="auto"/>
        <w:ind w:firstLine="482"/>
        <w:rPr>
          <w:rFonts w:ascii="仿宋" w:hAnsi="仿宋" w:eastAsia="仿宋" w:cs="仿宋"/>
          <w:b/>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wordWrap w:val="0"/>
        <w:spacing w:line="360" w:lineRule="auto"/>
        <w:ind w:firstLine="48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27.预付款</w:t>
      </w:r>
    </w:p>
    <w:p>
      <w:pPr>
        <w:tabs>
          <w:tab w:val="left" w:pos="0"/>
        </w:tabs>
        <w:wordWrap w:val="0"/>
        <w:spacing w:line="360" w:lineRule="auto"/>
        <w:ind w:firstLine="48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wordWrap w:val="0"/>
        <w:snapToGrid w:val="0"/>
        <w:spacing w:line="360" w:lineRule="auto"/>
        <w:ind w:firstLine="3357" w:firstLineChars="1045"/>
        <w:rPr>
          <w:rFonts w:ascii="仿宋" w:hAnsi="仿宋" w:eastAsia="仿宋" w:cs="仿宋"/>
          <w:b/>
          <w:color w:val="auto"/>
          <w:sz w:val="32"/>
          <w:highlight w:val="none"/>
        </w:rPr>
      </w:pPr>
    </w:p>
    <w:p>
      <w:pPr>
        <w:wordWrap w:val="0"/>
        <w:snapToGrid w:val="0"/>
        <w:spacing w:line="360" w:lineRule="auto"/>
        <w:ind w:firstLine="3357" w:firstLineChars="1045"/>
        <w:outlineLvl w:val="1"/>
        <w:rPr>
          <w:rFonts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30"/>
        <w:wordWrap w:val="0"/>
        <w:snapToGrid w:val="0"/>
        <w:spacing w:before="0"/>
        <w:ind w:firstLine="0" w:firstLineChars="0"/>
        <w:rPr>
          <w:rFonts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rPr>
        <w:t xml:space="preserve">8. </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28.1电子交易平台发生故障而无法登录访问的； </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28.2电子交易平台应用或数据库出现错误，不能进行正常操作的；</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28.3电子交易平台发现严重安全漏洞，有潜在泄密危险的；</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28.4病毒发作导致不能进行正常操作的； </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28.5其他无法保证电子交易的公平、公正和安全的情况。</w:t>
      </w:r>
    </w:p>
    <w:p>
      <w:pPr>
        <w:tabs>
          <w:tab w:val="left" w:pos="0"/>
        </w:tabs>
        <w:wordWrap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360" w:lineRule="auto"/>
        <w:ind w:left="120" w:leftChars="57" w:firstLine="482" w:firstLineChars="150"/>
        <w:jc w:val="center"/>
        <w:outlineLvl w:val="1"/>
        <w:rPr>
          <w:rFonts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25"/>
        <w:wordWrap w:val="0"/>
        <w:spacing w:line="360" w:lineRule="auto"/>
        <w:ind w:firstLine="0" w:firstLineChars="0"/>
        <w:rPr>
          <w:rFonts w:ascii="仿宋" w:hAnsi="仿宋" w:eastAsia="仿宋" w:cs="仿宋"/>
          <w:b/>
          <w:color w:val="auto"/>
          <w:highlight w:val="none"/>
        </w:rPr>
      </w:pPr>
      <w:r>
        <w:rPr>
          <w:rFonts w:hint="eastAsia" w:ascii="仿宋" w:hAnsi="仿宋" w:eastAsia="仿宋" w:cs="仿宋"/>
          <w:b/>
          <w:color w:val="auto"/>
          <w:highlight w:val="none"/>
        </w:rPr>
        <w:t>30. 验收</w:t>
      </w:r>
    </w:p>
    <w:p>
      <w:pPr>
        <w:tabs>
          <w:tab w:val="left" w:pos="0"/>
        </w:tabs>
        <w:wordWrap w:val="0"/>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wordWrap w:val="0"/>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wordWrap w:val="0"/>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wordWrap w:val="0"/>
        <w:spacing w:line="360" w:lineRule="auto"/>
        <w:ind w:firstLine="480"/>
        <w:rPr>
          <w:rFonts w:ascii="仿宋" w:hAnsi="仿宋" w:eastAsia="仿宋" w:cs="仿宋"/>
          <w:color w:val="auto"/>
          <w:sz w:val="18"/>
          <w:szCs w:val="18"/>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7"/>
    <w:p>
      <w:pPr>
        <w:tabs>
          <w:tab w:val="left" w:pos="0"/>
        </w:tabs>
        <w:wordWrap w:val="0"/>
        <w:spacing w:line="360" w:lineRule="auto"/>
        <w:ind w:firstLine="480"/>
        <w:rPr>
          <w:rFonts w:ascii="仿宋" w:hAnsi="仿宋" w:eastAsia="仿宋" w:cs="仿宋"/>
          <w:color w:val="auto"/>
          <w:kern w:val="0"/>
          <w:sz w:val="24"/>
          <w:highlight w:val="none"/>
        </w:rPr>
        <w:sectPr>
          <w:pgSz w:w="11905" w:h="16838"/>
          <w:pgMar w:top="652" w:right="1417" w:bottom="680" w:left="1417" w:header="539" w:footer="425" w:gutter="0"/>
          <w:cols w:space="0" w:num="1"/>
          <w:titlePg/>
          <w:docGrid w:linePitch="312" w:charSpace="0"/>
        </w:sectPr>
      </w:pPr>
      <w:bookmarkStart w:id="28" w:name="_Hlt68072990"/>
      <w:bookmarkEnd w:id="28"/>
      <w:bookmarkStart w:id="29" w:name="_Hlt75236011"/>
      <w:bookmarkEnd w:id="29"/>
      <w:bookmarkStart w:id="30" w:name="_Hlt68403820"/>
      <w:bookmarkEnd w:id="30"/>
      <w:bookmarkStart w:id="31" w:name="_Hlt68072998"/>
      <w:bookmarkEnd w:id="31"/>
      <w:bookmarkStart w:id="32" w:name="_Hlt74707468"/>
      <w:bookmarkEnd w:id="32"/>
      <w:bookmarkStart w:id="33" w:name="_Hlt74714665"/>
      <w:bookmarkEnd w:id="33"/>
      <w:bookmarkStart w:id="34" w:name="_Hlt75236290"/>
      <w:bookmarkEnd w:id="34"/>
      <w:bookmarkStart w:id="35" w:name="_Hlt75236101"/>
      <w:bookmarkEnd w:id="35"/>
      <w:bookmarkStart w:id="36" w:name="_Hlt74729768"/>
      <w:bookmarkEnd w:id="36"/>
      <w:bookmarkStart w:id="37" w:name="_Hlt74730295"/>
      <w:bookmarkEnd w:id="37"/>
      <w:bookmarkStart w:id="38" w:name="_Hlt68073093"/>
      <w:bookmarkEnd w:id="38"/>
      <w:bookmarkStart w:id="39" w:name="_Hlt68057669"/>
      <w:bookmarkEnd w:id="39"/>
    </w:p>
    <w:bookmarkEnd w:id="25"/>
    <w:bookmarkEnd w:id="26"/>
    <w:p>
      <w:pPr>
        <w:wordWrap w:val="0"/>
        <w:spacing w:line="360" w:lineRule="auto"/>
        <w:jc w:val="center"/>
        <w:outlineLvl w:val="0"/>
        <w:rPr>
          <w:rFonts w:ascii="仿宋" w:hAnsi="仿宋" w:eastAsia="仿宋" w:cs="仿宋"/>
          <w:b/>
          <w:color w:val="auto"/>
          <w:sz w:val="36"/>
          <w:szCs w:val="36"/>
          <w:highlight w:val="none"/>
        </w:rPr>
      </w:pPr>
      <w:bookmarkStart w:id="40" w:name="_Toc23290"/>
      <w:bookmarkStart w:id="41" w:name="_Toc135"/>
      <w:bookmarkStart w:id="42" w:name="_Toc17637"/>
      <w:bookmarkStart w:id="43" w:name="_Toc377"/>
      <w:bookmarkStart w:id="44" w:name="_Toc16672"/>
      <w:bookmarkStart w:id="45" w:name="_Toc10476"/>
      <w:bookmarkStart w:id="46" w:name="第四部分"/>
      <w:r>
        <w:rPr>
          <w:rFonts w:hint="eastAsia" w:ascii="仿宋" w:hAnsi="仿宋" w:eastAsia="仿宋" w:cs="仿宋"/>
          <w:b/>
          <w:color w:val="auto"/>
          <w:sz w:val="36"/>
          <w:szCs w:val="36"/>
          <w:highlight w:val="none"/>
        </w:rPr>
        <w:t>第三部分 采购需求</w:t>
      </w:r>
      <w:bookmarkEnd w:id="40"/>
      <w:bookmarkEnd w:id="41"/>
      <w:bookmarkEnd w:id="42"/>
      <w:bookmarkEnd w:id="43"/>
      <w:bookmarkEnd w:id="44"/>
      <w:bookmarkEnd w:id="45"/>
    </w:p>
    <w:p>
      <w:pPr>
        <w:keepLines/>
        <w:spacing w:line="360" w:lineRule="auto"/>
        <w:jc w:val="left"/>
        <w:outlineLvl w:val="1"/>
        <w:rPr>
          <w:rFonts w:ascii="仿宋" w:hAnsi="仿宋" w:eastAsia="仿宋" w:cs="仿宋"/>
          <w:b/>
          <w:color w:val="auto"/>
          <w:kern w:val="0"/>
          <w:sz w:val="28"/>
          <w:szCs w:val="28"/>
          <w:highlight w:val="none"/>
        </w:rPr>
      </w:pPr>
      <w:bookmarkStart w:id="47" w:name="_Toc17094"/>
      <w:bookmarkStart w:id="48" w:name="_Toc5794"/>
      <w:bookmarkStart w:id="49" w:name="_Toc23824"/>
      <w:r>
        <w:rPr>
          <w:rFonts w:hint="eastAsia" w:ascii="仿宋" w:hAnsi="仿宋" w:eastAsia="仿宋" w:cs="仿宋"/>
          <w:b/>
          <w:color w:val="auto"/>
          <w:kern w:val="0"/>
          <w:sz w:val="28"/>
          <w:szCs w:val="28"/>
          <w:highlight w:val="none"/>
          <w:lang w:bidi="ar"/>
        </w:rPr>
        <w:t>1.总体说明</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为掌握杭州市江东大桥超限超载车辆通行状况，借鉴目前已有的较为成熟的城市道路车辆动态称重检测系统，对原有老旧设备拆除并进行改造，实现对各种正常行驶车辆的动态称重和图片抓拍功能，检测过桥车辆的轴重、总重、车型、速度，抓拍车牌、照片等数据，将所有数据进行匹配，形成完整的车辆信息证据链，并将信息上传至浙江城市道桥隧安全在线-杭州智慧市政平台。</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对于违反机动车超限超载执法标准的超限车辆由相关部门进行事后处罚，达到威慑超限车辆保护桥梁的目的。</w:t>
      </w:r>
    </w:p>
    <w:p>
      <w:pPr>
        <w:keepLines/>
        <w:spacing w:line="360" w:lineRule="auto"/>
        <w:jc w:val="left"/>
        <w:outlineLvl w:val="1"/>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2.建设点位及配置方案</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该点位位于江东大桥西往东、东往西上桥前，此桥为进出杭州城区的货运车辆带来了极大的便捷，同时也存在着日均车流量大，部分时间段超限超载运输车辆偏多的问题，长期的超限超载运输使得该桥存在较大的安全隐患。为了治理此处的超限车辆运输行为，计划在本路段改造8个车道车辆动态称重检测系统，分别对东往西和西往东2个方向进行检测，同时增设上桥取证卡口，用于监测超限超载车辆过桥情况。</w:t>
      </w:r>
    </w:p>
    <w:p>
      <w:pPr>
        <w:jc w:val="left"/>
        <w:rPr>
          <w:rFonts w:ascii="仿宋" w:hAnsi="仿宋" w:eastAsia="仿宋" w:cs="仿宋"/>
          <w:b/>
          <w:color w:val="auto"/>
          <w:sz w:val="24"/>
          <w:szCs w:val="32"/>
          <w:highlight w:val="none"/>
        </w:rPr>
      </w:pPr>
      <w:r>
        <w:rPr>
          <w:rFonts w:hint="eastAsia" w:ascii="仿宋" w:hAnsi="仿宋" w:eastAsia="仿宋" w:cs="仿宋"/>
          <w:b/>
          <w:color w:val="auto"/>
          <w:sz w:val="24"/>
          <w:szCs w:val="32"/>
          <w:highlight w:val="none"/>
          <w:lang w:bidi="ar"/>
        </w:rPr>
        <w:t>2.1 项目点位如下图：</w:t>
      </w:r>
    </w:p>
    <w:p>
      <w:pPr>
        <w:jc w:val="left"/>
        <w:rPr>
          <w:rFonts w:ascii="宋体" w:hAnsi="宋体" w:cs="宋体"/>
          <w:b/>
          <w:color w:val="auto"/>
          <w:highlight w:val="none"/>
        </w:rPr>
      </w:pPr>
      <w:r>
        <w:rPr>
          <w:color w:val="auto"/>
          <w:highlight w:val="none"/>
          <w:lang w:bidi="ar"/>
        </w:rPr>
        <w:drawing>
          <wp:inline distT="0" distB="0" distL="114300" distR="114300">
            <wp:extent cx="5267325" cy="298132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r:link="rId25"/>
                    <a:stretch>
                      <a:fillRect/>
                    </a:stretch>
                  </pic:blipFill>
                  <pic:spPr>
                    <a:xfrm>
                      <a:off x="0" y="0"/>
                      <a:ext cx="5267325" cy="2981325"/>
                    </a:xfrm>
                    <a:prstGeom prst="rect">
                      <a:avLst/>
                    </a:prstGeom>
                    <a:noFill/>
                    <a:ln w="9525">
                      <a:noFill/>
                      <a:miter/>
                    </a:ln>
                  </pic:spPr>
                </pic:pic>
              </a:graphicData>
            </a:graphic>
          </wp:inline>
        </w:drawing>
      </w:r>
    </w:p>
    <w:p>
      <w:pPr>
        <w:pStyle w:val="58"/>
        <w:adjustRightInd/>
        <w:spacing w:before="0" w:beforeAutospacing="0" w:after="0" w:afterAutospacing="0"/>
        <w:jc w:val="center"/>
        <w:rPr>
          <w:color w:val="auto"/>
          <w:highlight w:val="none"/>
        </w:rPr>
      </w:pPr>
    </w:p>
    <w:p>
      <w:pPr>
        <w:pStyle w:val="58"/>
        <w:adjustRightInd/>
        <w:spacing w:before="0" w:beforeAutospacing="0" w:after="0" w:afterAutospacing="0"/>
        <w:jc w:val="center"/>
        <w:rPr>
          <w:color w:val="auto"/>
          <w:highlight w:val="none"/>
        </w:rPr>
      </w:pPr>
    </w:p>
    <w:p>
      <w:pPr>
        <w:jc w:val="left"/>
        <w:rPr>
          <w:rFonts w:ascii="仿宋" w:hAnsi="仿宋" w:eastAsia="仿宋" w:cs="仿宋"/>
          <w:b/>
          <w:color w:val="auto"/>
          <w:sz w:val="24"/>
          <w:highlight w:val="none"/>
        </w:rPr>
      </w:pPr>
      <w:r>
        <w:rPr>
          <w:rFonts w:hint="eastAsia" w:ascii="仿宋" w:hAnsi="仿宋" w:eastAsia="仿宋" w:cs="仿宋"/>
          <w:b/>
          <w:color w:val="auto"/>
          <w:sz w:val="24"/>
          <w:highlight w:val="none"/>
          <w:lang w:bidi="ar"/>
        </w:rPr>
        <w:t>2.2 点位现场图片如下：</w:t>
      </w:r>
    </w:p>
    <w:p>
      <w:pPr>
        <w:jc w:val="left"/>
        <w:rPr>
          <w:rFonts w:ascii="仿宋" w:hAnsi="仿宋" w:eastAsia="仿宋" w:cs="仿宋"/>
          <w:b/>
          <w:color w:val="auto"/>
          <w:sz w:val="24"/>
          <w:highlight w:val="none"/>
        </w:rPr>
      </w:pPr>
      <w:r>
        <w:rPr>
          <w:rFonts w:hint="eastAsia" w:ascii="仿宋" w:hAnsi="仿宋" w:eastAsia="仿宋" w:cs="仿宋"/>
          <w:b/>
          <w:color w:val="auto"/>
          <w:sz w:val="24"/>
          <w:highlight w:val="none"/>
          <w:lang w:bidi="ar"/>
        </w:rPr>
        <w:t>（1）东向西方向：</w:t>
      </w:r>
    </w:p>
    <w:p>
      <w:pPr>
        <w:jc w:val="left"/>
        <w:rPr>
          <w:rFonts w:ascii="宋体" w:hAnsi="宋体" w:cs="宋体"/>
          <w:b/>
          <w:color w:val="auto"/>
          <w:highlight w:val="none"/>
        </w:rPr>
      </w:pPr>
      <w:r>
        <w:rPr>
          <w:rFonts w:hint="eastAsia" w:ascii="宋体" w:hAnsi="宋体" w:cs="宋体"/>
          <w:b/>
          <w:color w:val="auto"/>
          <w:highlight w:val="none"/>
          <w:lang w:bidi="ar"/>
        </w:rPr>
        <w:drawing>
          <wp:inline distT="0" distB="0" distL="114300" distR="114300">
            <wp:extent cx="5276850" cy="3952875"/>
            <wp:effectExtent l="0" t="0" r="0" b="9525"/>
            <wp:docPr id="12" name="图片 12" descr="公路上有许多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公路上有许多车&#10;&#10;描述已自动生成"/>
                    <pic:cNvPicPr>
                      <a:picLocks noChangeAspect="1"/>
                    </pic:cNvPicPr>
                  </pic:nvPicPr>
                  <pic:blipFill>
                    <a:blip r:embed="rId26" r:link="rId27"/>
                    <a:stretch>
                      <a:fillRect/>
                    </a:stretch>
                  </pic:blipFill>
                  <pic:spPr>
                    <a:xfrm>
                      <a:off x="0" y="0"/>
                      <a:ext cx="5276850" cy="3952875"/>
                    </a:xfrm>
                    <a:prstGeom prst="rect">
                      <a:avLst/>
                    </a:prstGeom>
                    <a:noFill/>
                    <a:ln w="9525">
                      <a:noFill/>
                      <a:miter/>
                    </a:ln>
                  </pic:spPr>
                </pic:pic>
              </a:graphicData>
            </a:graphic>
          </wp:inline>
        </w:drawing>
      </w:r>
    </w:p>
    <w:p>
      <w:pPr>
        <w:jc w:val="left"/>
        <w:rPr>
          <w:rFonts w:ascii="宋体" w:hAnsi="宋体" w:cs="宋体"/>
          <w:b/>
          <w:color w:val="auto"/>
          <w:highlight w:val="none"/>
        </w:rPr>
      </w:pPr>
    </w:p>
    <w:p>
      <w:pPr>
        <w:snapToGrid w:val="0"/>
        <w:jc w:val="center"/>
        <w:rPr>
          <w:rFonts w:ascii="宋体" w:hAnsi="宋体" w:cs="宋体"/>
          <w:b/>
          <w:color w:val="auto"/>
          <w:szCs w:val="21"/>
          <w:highlight w:val="none"/>
        </w:rPr>
      </w:pPr>
      <w:r>
        <w:rPr>
          <w:rFonts w:hint="eastAsia" w:ascii="宋体" w:hAnsi="宋体" w:cs="宋体"/>
          <w:b/>
          <w:color w:val="auto"/>
          <w:szCs w:val="21"/>
          <w:highlight w:val="none"/>
          <w:lang w:bidi="ar"/>
        </w:rPr>
        <w:drawing>
          <wp:inline distT="0" distB="0" distL="114300" distR="114300">
            <wp:extent cx="5276850" cy="3952875"/>
            <wp:effectExtent l="0" t="0" r="0" b="9525"/>
            <wp:docPr id="10" name="图片 10" descr="街道边的轨道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街道边的轨道上行驶&#10;&#10;描述已自动生成"/>
                    <pic:cNvPicPr>
                      <a:picLocks noChangeAspect="1"/>
                    </pic:cNvPicPr>
                  </pic:nvPicPr>
                  <pic:blipFill>
                    <a:blip r:embed="rId28" r:link="rId29"/>
                    <a:stretch>
                      <a:fillRect/>
                    </a:stretch>
                  </pic:blipFill>
                  <pic:spPr>
                    <a:xfrm>
                      <a:off x="0" y="0"/>
                      <a:ext cx="5276850" cy="3952875"/>
                    </a:xfrm>
                    <a:prstGeom prst="rect">
                      <a:avLst/>
                    </a:prstGeom>
                    <a:noFill/>
                    <a:ln w="9525">
                      <a:noFill/>
                      <a:miter/>
                    </a:ln>
                  </pic:spPr>
                </pic:pic>
              </a:graphicData>
            </a:graphic>
          </wp:inline>
        </w:drawing>
      </w:r>
    </w:p>
    <w:p>
      <w:pPr>
        <w:snapToGrid w:val="0"/>
        <w:jc w:val="center"/>
        <w:rPr>
          <w:rFonts w:ascii="宋体" w:hAnsi="宋体" w:cs="宋体"/>
          <w:b/>
          <w:color w:val="auto"/>
          <w:szCs w:val="21"/>
          <w:highlight w:val="none"/>
        </w:rPr>
      </w:pPr>
      <w:r>
        <w:rPr>
          <w:rFonts w:hint="eastAsia" w:ascii="宋体" w:hAnsi="宋体" w:cs="宋体"/>
          <w:b/>
          <w:color w:val="auto"/>
          <w:szCs w:val="21"/>
          <w:highlight w:val="none"/>
          <w:lang w:bidi="ar"/>
        </w:rPr>
        <w:drawing>
          <wp:inline distT="0" distB="0" distL="114300" distR="114300">
            <wp:extent cx="5238750" cy="3933825"/>
            <wp:effectExtent l="0" t="0" r="0" b="9525"/>
            <wp:docPr id="9" name="图片 1"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街道上的风景&#10;&#10;描述已自动生成"/>
                    <pic:cNvPicPr>
                      <a:picLocks noChangeAspect="1"/>
                    </pic:cNvPicPr>
                  </pic:nvPicPr>
                  <pic:blipFill>
                    <a:blip r:embed="rId30" r:link="rId31"/>
                    <a:stretch>
                      <a:fillRect/>
                    </a:stretch>
                  </pic:blipFill>
                  <pic:spPr>
                    <a:xfrm>
                      <a:off x="0" y="0"/>
                      <a:ext cx="5238750" cy="3933825"/>
                    </a:xfrm>
                    <a:prstGeom prst="rect">
                      <a:avLst/>
                    </a:prstGeom>
                    <a:noFill/>
                    <a:ln w="9525">
                      <a:noFill/>
                      <a:miter/>
                    </a:ln>
                  </pic:spPr>
                </pic:pic>
              </a:graphicData>
            </a:graphic>
          </wp:inline>
        </w:drawing>
      </w:r>
    </w:p>
    <w:p>
      <w:pPr>
        <w:snapToGrid w:val="0"/>
        <w:jc w:val="center"/>
        <w:rPr>
          <w:rFonts w:ascii="宋体" w:hAnsi="宋体" w:cs="宋体"/>
          <w:b/>
          <w:color w:val="auto"/>
          <w:szCs w:val="21"/>
          <w:highlight w:val="none"/>
        </w:rPr>
      </w:pPr>
    </w:p>
    <w:p>
      <w:pPr>
        <w:pStyle w:val="58"/>
        <w:widowControl w:val="0"/>
        <w:spacing w:before="0" w:beforeAutospacing="0" w:after="0" w:afterAutospacing="0" w:line="360" w:lineRule="auto"/>
        <w:jc w:val="both"/>
        <w:rPr>
          <w:rFonts w:ascii="仿宋" w:hAnsi="仿宋" w:eastAsia="仿宋" w:cs="仿宋"/>
          <w:b/>
          <w:color w:val="auto"/>
          <w:highlight w:val="none"/>
        </w:rPr>
      </w:pPr>
      <w:r>
        <w:rPr>
          <w:rFonts w:hint="eastAsia" w:ascii="仿宋" w:hAnsi="仿宋" w:eastAsia="仿宋" w:cs="仿宋"/>
          <w:b/>
          <w:color w:val="auto"/>
          <w:kern w:val="2"/>
          <w:highlight w:val="none"/>
          <w:lang w:bidi="ar"/>
        </w:rPr>
        <w:t>东向西方向系统配置</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1）称重平板4台，尺寸根据路面实际宽度定制，覆盖4条行车道；边线位置设置围护桩，确保车辆无法在称重平台外行驶。</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2）称重控制机柜1台，安装在路边上；称重数据处理一体机1台，安装在控制机柜中；</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3）900万像素高清号牌抓拍相机10套，用于治超抓拍车辆正面、尾部、侧面图片，车牌照片提取及获取车牌信息。设备安装在L型监控杆上，桩基基础距离称重设备约25米；</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4）900万像素桥梁抓拍相机2套，用于车辆上桥抓拍取证，车牌照片提取及获取车牌信息；</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5）400万监控球机1套，用于路面实时监控；</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6）线圈车检器4车道，分别安装在称重平板前后；</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7）设置1套悬臂式指示牌，内容为：“前方XXm超限检测”，安装基础位于路侧绿化带内；</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8）F型情报板1套，用于显示过往车辆超限超载信息，距离称重平板100m</w:t>
      </w:r>
      <w:r>
        <w:rPr>
          <w:rFonts w:ascii="Arial" w:hAnsi="Arial" w:cs="Arial"/>
          <w:color w:val="auto"/>
          <w:sz w:val="19"/>
          <w:szCs w:val="19"/>
          <w:highlight w:val="none"/>
          <w:shd w:val="clear" w:color="auto" w:fill="FFFFFF"/>
          <w:lang w:bidi="ar"/>
        </w:rPr>
        <w:t>~</w:t>
      </w:r>
      <w:r>
        <w:rPr>
          <w:rFonts w:hint="eastAsia" w:ascii="仿宋" w:hAnsi="仿宋" w:eastAsia="仿宋" w:cs="仿宋"/>
          <w:color w:val="auto"/>
          <w:sz w:val="24"/>
          <w:highlight w:val="none"/>
          <w:lang w:bidi="ar"/>
        </w:rPr>
        <w:t>200m；</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9）外部供电采用既有电路；</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10）采用VPN 100M网络传输至杭州智慧市政平台。</w:t>
      </w:r>
    </w:p>
    <w:p>
      <w:pPr>
        <w:widowControl/>
        <w:adjustRightInd/>
        <w:rPr>
          <w:rFonts w:ascii="仿宋" w:hAnsi="仿宋" w:eastAsia="仿宋" w:cs="仿宋"/>
          <w:b/>
          <w:bCs/>
          <w:color w:val="auto"/>
          <w:sz w:val="24"/>
          <w:highlight w:val="none"/>
        </w:rPr>
      </w:pPr>
      <w:r>
        <w:rPr>
          <w:rFonts w:hint="eastAsia" w:ascii="仿宋" w:hAnsi="仿宋" w:eastAsia="仿宋" w:cs="仿宋"/>
          <w:b/>
          <w:color w:val="auto"/>
          <w:sz w:val="24"/>
          <w:highlight w:val="none"/>
          <w:lang w:bidi="ar"/>
        </w:rPr>
        <w:t>（2）西向东方向：</w:t>
      </w:r>
    </w:p>
    <w:p>
      <w:pPr>
        <w:snapToGrid w:val="0"/>
        <w:jc w:val="center"/>
        <w:rPr>
          <w:rFonts w:ascii="宋体" w:hAnsi="宋体" w:cs="宋体"/>
          <w:b/>
          <w:color w:val="auto"/>
          <w:szCs w:val="21"/>
          <w:highlight w:val="none"/>
        </w:rPr>
      </w:pPr>
      <w:r>
        <w:rPr>
          <w:rFonts w:hint="eastAsia" w:ascii="宋体" w:hAnsi="宋体" w:cs="宋体"/>
          <w:b/>
          <w:color w:val="auto"/>
          <w:szCs w:val="21"/>
          <w:highlight w:val="none"/>
          <w:lang w:bidi="ar"/>
        </w:rPr>
        <w:drawing>
          <wp:inline distT="0" distB="0" distL="114300" distR="114300">
            <wp:extent cx="5200650" cy="3295650"/>
            <wp:effectExtent l="0" t="0" r="0" b="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32" r:link="rId33"/>
                    <a:srcRect t="15587"/>
                    <a:stretch>
                      <a:fillRect/>
                    </a:stretch>
                  </pic:blipFill>
                  <pic:spPr>
                    <a:xfrm>
                      <a:off x="0" y="0"/>
                      <a:ext cx="5200650" cy="3295650"/>
                    </a:xfrm>
                    <a:prstGeom prst="rect">
                      <a:avLst/>
                    </a:prstGeom>
                    <a:noFill/>
                    <a:ln w="9525">
                      <a:noFill/>
                      <a:miter/>
                    </a:ln>
                  </pic:spPr>
                </pic:pic>
              </a:graphicData>
            </a:graphic>
          </wp:inline>
        </w:drawing>
      </w:r>
    </w:p>
    <w:p>
      <w:pPr>
        <w:snapToGrid w:val="0"/>
        <w:jc w:val="center"/>
        <w:rPr>
          <w:rFonts w:ascii="宋体" w:hAnsi="宋体" w:cs="宋体"/>
          <w:b/>
          <w:color w:val="auto"/>
          <w:szCs w:val="21"/>
          <w:highlight w:val="none"/>
        </w:rPr>
      </w:pPr>
      <w:r>
        <w:rPr>
          <w:rFonts w:hint="eastAsia" w:ascii="宋体" w:hAnsi="宋体" w:cs="宋体"/>
          <w:b/>
          <w:color w:val="auto"/>
          <w:szCs w:val="21"/>
          <w:highlight w:val="none"/>
          <w:lang w:bidi="ar"/>
        </w:rPr>
        <w:drawing>
          <wp:inline distT="0" distB="0" distL="114300" distR="114300">
            <wp:extent cx="5276850" cy="3952875"/>
            <wp:effectExtent l="0" t="0" r="0" b="9525"/>
            <wp:docPr id="1"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图片3"/>
                    <pic:cNvPicPr>
                      <a:picLocks noChangeAspect="1"/>
                    </pic:cNvPicPr>
                  </pic:nvPicPr>
                  <pic:blipFill>
                    <a:blip r:embed="rId34" r:link="rId35"/>
                    <a:stretch>
                      <a:fillRect/>
                    </a:stretch>
                  </pic:blipFill>
                  <pic:spPr>
                    <a:xfrm>
                      <a:off x="0" y="0"/>
                      <a:ext cx="5276850" cy="3952875"/>
                    </a:xfrm>
                    <a:prstGeom prst="rect">
                      <a:avLst/>
                    </a:prstGeom>
                    <a:noFill/>
                    <a:ln w="9525">
                      <a:noFill/>
                      <a:miter/>
                    </a:ln>
                  </pic:spPr>
                </pic:pic>
              </a:graphicData>
            </a:graphic>
          </wp:inline>
        </w:drawing>
      </w:r>
      <w:r>
        <w:rPr>
          <w:rFonts w:hint="eastAsia" w:ascii="宋体" w:hAnsi="宋体" w:cs="宋体"/>
          <w:b/>
          <w:color w:val="auto"/>
          <w:szCs w:val="21"/>
          <w:highlight w:val="none"/>
          <w:lang w:bidi="ar"/>
        </w:rPr>
        <w:drawing>
          <wp:inline distT="0" distB="0" distL="114300" distR="114300">
            <wp:extent cx="5267325" cy="3952875"/>
            <wp:effectExtent l="0" t="0" r="9525" b="9525"/>
            <wp:docPr id="13"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图片2"/>
                    <pic:cNvPicPr>
                      <a:picLocks noChangeAspect="1"/>
                    </pic:cNvPicPr>
                  </pic:nvPicPr>
                  <pic:blipFill>
                    <a:blip r:embed="rId36" r:link="rId37"/>
                    <a:stretch>
                      <a:fillRect/>
                    </a:stretch>
                  </pic:blipFill>
                  <pic:spPr>
                    <a:xfrm>
                      <a:off x="0" y="0"/>
                      <a:ext cx="5267325" cy="3952875"/>
                    </a:xfrm>
                    <a:prstGeom prst="rect">
                      <a:avLst/>
                    </a:prstGeom>
                    <a:noFill/>
                    <a:ln w="9525">
                      <a:noFill/>
                      <a:miter/>
                    </a:ln>
                  </pic:spPr>
                </pic:pic>
              </a:graphicData>
            </a:graphic>
          </wp:inline>
        </w:drawing>
      </w:r>
    </w:p>
    <w:p>
      <w:pPr>
        <w:snapToGrid w:val="0"/>
        <w:jc w:val="center"/>
        <w:rPr>
          <w:rFonts w:ascii="宋体" w:hAnsi="宋体" w:cs="宋体"/>
          <w:b/>
          <w:color w:val="auto"/>
          <w:szCs w:val="21"/>
          <w:highlight w:val="none"/>
        </w:rPr>
      </w:pPr>
    </w:p>
    <w:p>
      <w:pPr>
        <w:pStyle w:val="58"/>
        <w:widowControl w:val="0"/>
        <w:spacing w:before="0" w:beforeAutospacing="0" w:after="0" w:afterAutospacing="0" w:line="360" w:lineRule="auto"/>
        <w:jc w:val="both"/>
        <w:rPr>
          <w:rFonts w:ascii="仿宋" w:hAnsi="仿宋" w:eastAsia="仿宋" w:cs="仿宋"/>
          <w:b/>
          <w:color w:val="auto"/>
          <w:highlight w:val="none"/>
        </w:rPr>
      </w:pPr>
      <w:r>
        <w:rPr>
          <w:rFonts w:hint="eastAsia" w:ascii="仿宋" w:hAnsi="仿宋" w:eastAsia="仿宋" w:cs="仿宋"/>
          <w:b/>
          <w:color w:val="auto"/>
          <w:kern w:val="2"/>
          <w:highlight w:val="none"/>
          <w:lang w:bidi="ar"/>
        </w:rPr>
        <w:t>西向东方向系统配置</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1）称重平板4台，尺寸根据路面实际宽度定制，覆盖4条行车道；</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2）称重控制机柜1台，安装在路边上；称重数据处理一体机1台，安装在控制机柜中；</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3）900万像素高清号牌抓拍相机10套，用于治超抓拍车辆正面、尾部、侧面图片，车牌照片提取及获取车牌信息。设备安装在L型监控杆上，桩基基础距离称重设备约25米；</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4）900万像素桥梁抓拍相机2套，用于车辆上桥抓拍取证，车牌照片提取及获取车牌信息；</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5）400万监控球机1套，用于路面实时监控；</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6）线圈车检器4车道，分别安装在称重平板前后；</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7）设置1套悬臂式指示牌，内容为：“前方XXm超限检测”，安装基础位于路侧绿化带内；</w:t>
      </w:r>
    </w:p>
    <w:p>
      <w:pPr>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8）F型情报板1套，用于显示过往车辆超限超载信息，距离称重平板100m</w:t>
      </w:r>
      <w:r>
        <w:rPr>
          <w:rFonts w:ascii="Arial" w:hAnsi="Arial" w:cs="Arial"/>
          <w:color w:val="auto"/>
          <w:sz w:val="19"/>
          <w:szCs w:val="19"/>
          <w:highlight w:val="none"/>
          <w:shd w:val="clear" w:color="auto" w:fill="FFFFFF"/>
          <w:lang w:bidi="ar"/>
        </w:rPr>
        <w:t>~</w:t>
      </w:r>
      <w:r>
        <w:rPr>
          <w:rFonts w:hint="eastAsia" w:ascii="仿宋" w:hAnsi="仿宋" w:eastAsia="仿宋" w:cs="仿宋"/>
          <w:color w:val="auto"/>
          <w:sz w:val="24"/>
          <w:highlight w:val="none"/>
          <w:lang w:bidi="ar"/>
        </w:rPr>
        <w:t>200m；</w:t>
      </w:r>
    </w:p>
    <w:p>
      <w:pPr>
        <w:widowControl/>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9）外部供电采用既有电路；</w:t>
      </w:r>
    </w:p>
    <w:p>
      <w:pPr>
        <w:adjustRightInd/>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10）采用VPN 100M网络传输至杭州智慧市政平台。</w:t>
      </w:r>
    </w:p>
    <w:p>
      <w:pPr>
        <w:keepLines/>
        <w:spacing w:line="360" w:lineRule="auto"/>
        <w:jc w:val="left"/>
        <w:outlineLvl w:val="1"/>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3.技术要求及其他</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3.1总体要求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建立以不限速、高精度称重系统为主体，以计算机网络为依托，对车辆违法超限运输行为自动监测的超限不停车检测系统，实现24小时对货运车辆运输进行不停车超限监控，形成有力威慑，着力解决治超执法人员不足、取证困难、治超安全三大问题，全面降低车辆运输超限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（2）现场信息获取。利用超限不停车检测系统获取车货总重、轴数、速度、轴重数据；利用车牌识别系统获取车辆牌照信息并识别牌号。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3）信息数据传输。将获取的车货总重、车辆轴数、现场照片、车辆牌照等相关信息通过现场处理、本地存储后，利用光纤或无线网桥传至杭州智慧市政平台，现场照片满足公安部《道路交通安全违法行为图像取证技术规范》（GA/T 832-2014）的要求。</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3.2检测准确度</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系统能够及时准确地检测出车辆轴重、车货总重准确度不低于国家E级、5级标准；投标人选用的称重设备必须具备《计量器具型式批准证书》和《制造计量器具许可证》，可以通过检定。</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3.3现场检测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现场检测设备能够获取车货总重、车辆轴数、速度、轴重数据；利用车辆号牌识别系统（即抓拍设施）获取车辆牌照信息并识别牌号。</w:t>
      </w:r>
    </w:p>
    <w:p>
      <w:pPr>
        <w:spacing w:line="360" w:lineRule="auto"/>
        <w:ind w:firstLine="480" w:firstLineChars="200"/>
        <w:rPr>
          <w:rFonts w:ascii="仿宋" w:hAnsi="仿宋" w:eastAsia="仿宋" w:cs="仿宋"/>
          <w:i/>
          <w:color w:val="auto"/>
          <w:sz w:val="24"/>
          <w:highlight w:val="none"/>
        </w:rPr>
      </w:pPr>
      <w:r>
        <w:rPr>
          <w:rFonts w:hint="eastAsia" w:ascii="仿宋" w:hAnsi="仿宋" w:eastAsia="仿宋" w:cs="仿宋"/>
          <w:color w:val="auto"/>
          <w:sz w:val="24"/>
          <w:highlight w:val="none"/>
          <w:lang w:bidi="ar"/>
        </w:rPr>
        <w:t>传感器类型：称重传感器应采用技术成熟，性能稳定，维护方便的电阻应变式传感器</w:t>
      </w:r>
      <w:r>
        <w:rPr>
          <w:rFonts w:hint="eastAsia" w:ascii="仿宋" w:hAnsi="仿宋" w:eastAsia="仿宋" w:cs="仿宋"/>
          <w:i/>
          <w:color w:val="auto"/>
          <w:sz w:val="24"/>
          <w:highlight w:val="none"/>
          <w:lang w:bidi="ar"/>
        </w:rPr>
        <w:t>。</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3.4检测系统速度适应性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为逃避车辆动态称重检测系统的检测，超限违法车辆往往会采用蹲称（即长时间停在称重承载器上不动），超低速过衡、高速冲岗等行为作弊，产品针对以下行为均要求能准确检测：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1）能够在车辆超低速过衡或走走停停的情况下准确称重，即动态称重最低检测车速为0.5km/h；</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2）能够在车辆高速通过时准确称重，即动态称重最高检测速度达到100km/h；</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3.5异常行驶方式的适应性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检测系统应能对以下异常行驶行为进行检测：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1）压秤台接缝行驶；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2）跨双车道行驶；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3）两车并排行驶；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4）检测区走走停停，断续行驶；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5）跨双车道S型行驶。</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3.6单轴称量能力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车辆动态检测系统单轴最大秤量能力40t及以上。</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3.7安装条件适应性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检测系统所选用的动态称重设备应满足江东大桥路面的安装条件，达到对超限车辆高速行驶状态下的称量要求。</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3.8施工要求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应满足交警部门占道施工相应管控要求。</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3.9现场检测数据管理应用要求</w:t>
      </w:r>
    </w:p>
    <w:p>
      <w:pPr>
        <w:snapToGrid w:val="0"/>
        <w:spacing w:line="360" w:lineRule="auto"/>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lang w:bidi="ar"/>
        </w:rPr>
        <w:t>将获取的车货总重、车辆轴数、现场照片、车辆牌照等相关信息通过现场处理后，利用运营商网络传输至杭州智慧市政平台，管理人员可通过内部网络掌握车辆的通行情况。数据平台系统应完成采集、运算、控制、显示、报警、存储等功能要求，减少人员位置限制，促进治超工作第一时间办理，同时系统应能基于各个站点上报的车辆</w:t>
      </w:r>
      <w:r>
        <w:rPr>
          <w:rFonts w:hint="eastAsia" w:ascii="仿宋" w:hAnsi="仿宋" w:eastAsia="仿宋" w:cs="仿宋"/>
          <w:bCs/>
          <w:color w:val="auto"/>
          <w:sz w:val="24"/>
          <w:highlight w:val="none"/>
          <w:lang w:bidi="ar"/>
        </w:rPr>
        <w:t>数据进行数据分析，为管理者决策提供支持。</w:t>
      </w:r>
    </w:p>
    <w:p>
      <w:pPr>
        <w:snapToGrid w:val="0"/>
        <w:spacing w:line="360" w:lineRule="auto"/>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3.10系统性能</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▲1）称重传感器类型：电阻应变式；</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2）称重产品应能准确自动检测出检测时间、轴数、车速、单轴轴重、轴距等信息；</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3）称重产品检测速度范围：0.5至100km/h；</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▲4）称重精度符合JJG 907-2006 动态5级标准，总重误差范围：检定误差≤±2.5%，使用误差≤±5%；</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▲5）荷载能力（单轴）：≥40t；满足对大型超限车辆高速超限精检的要求；</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6）检测系统能应能够对以下异常行驶行为进行检测（准确度达到动态5级标准）：</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①压称台接缝行驶；</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②跨双车道行驶；</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③两车并排行驶；</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④检测区走走停停，断续行驶；</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⑤S型行驶；</w:t>
      </w:r>
    </w:p>
    <w:p>
      <w:pPr>
        <w:snapToGrid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bidi="ar"/>
        </w:rPr>
        <w:t>3.11系统技术参数</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3.11.1称重平板主体</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准确度等级：整车总重量的准确度等级5级；额定容量：最大单轴或轴组载荷：Max≥40t，最小单轴或轴组载荷：Min≤500kg；动态称重运行速度：最小称量运行速度≤0.5km/h，最大称量运行速度≥100km/h；</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首次检定最大允许误差±2.50％，使用中检验最大允许误差±5.00％；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相邻台面之间采用“无缝”拼接技术，保证车辆在碾压台面接缝行驶时也可准确检测；</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整体式结构，承载面板同测力结构部分完全固化，无活动构件；</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秤台采用合金钢材质，秤台横向长度根据车道路面实际检测宽度进行定制，覆盖整个检测道路横断面，无检测死角。</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3.11.2称重传感器</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类型:电阻应变式：</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性能指标:灵敏度:≥1.65±0.01mV/V；</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零点输出:±200uV/10V；</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零点温度漂移:±0.02%FS/10℃；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温度补偿范围:-10℃~+50℃；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灵敏度温度漂移:±0.02%FS/10℃；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工作温度范围:-10℃~+40℃；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非线性:±0.02%FS；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滞后:±0.02%FS；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零点平衡:±0.02%FS；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综合误差:±0.02%FS；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称重传感器防护等级性能符合IP68标准；</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称重传感器随机振动性能符合GB/T 2423.56-2018标准；</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称重传感器机械冲击性能符合GB/T 2423.5-2019标准。</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3.11.3车辆检测器</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电感量自调谐范围20-1000uH,Q值≥5；</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灵敏度4级可调；频率范围20kHz-110kHz，4级可调；</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响应时间≤100ms；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可接入4路地感线圈。</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3.11.4称重数据处理一体机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实现超限检测数据的采集、匹配处理、存储以及数据转发输出。接收抓拍摄像机所抓拍的记录、图像、视频以及称重传感器系统获得的称重记录;对抓拍记录以及称重记录进行整合与匹配处理,合成车辆超限信息与证据链。</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机型：4U机架式；</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数据接收和输出匹配程度一致；</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内存：配置≥8G内存，最大支持4个内存插槽，最高容量可支持256G；</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超限非现场执法数据采集软件通过CPU兼容性认证；</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配置≥1颗CPU，每颗CPU核心数≥4核，每颗CPU主频≥2.8GHz；</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硬盘：主板支持1个M.2槽位，标配1块120G M.2 SSD盘+8T 7200转HDD硬盘，；额外可扩展4个3.5寸盘，同时支持3.5寸和2.5寸转换；</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前面板接口：前面板板载I350芯片双口千兆网络接口不少于3个，至少具有两个串口和两个USB接口；</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前面板具有液晶显示屏；</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扩展插槽：前面板具有2个PCI-E 3.0×8、2个PCI-E 3.0x4；</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系统维护：实际配置2个BMC管理口，千兆百兆自适应；</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支持独立的远程管理控制端口，实现与操作系统无关的远程开机、关机、重启等操作；实时监控服务器内部关键部件运行状态和温度信息，CPU、内存、风扇、电源等。</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3.11.5称重控制机柜</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设备柜采用空调散热，MTBF≥50000h；</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使用条件：环境温度：-40℃~+70℃；环境湿度：≤95﹪（+40℃时）；大气压力：70KPa~106KPa；</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箱体防护等级：IP55级；</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机械强度：各表面承受垂直压力＞980N，门打开后最外端承受垂直压力＞200N；</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供电电源：AC220±5%；</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落地安装；</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含显示器、键盘、鼠标等。</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3.11.6工业交换机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工业三层交换机；包转发率：不小于42Mbps；防护等级：IP30;工作温度：-40〜85°C;相对湿度：5%~95% (无凝结）；</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MTBF:360000hrs。</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3.11.7 900万像素高清抓拍相机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包含摄像机（内置偏振镜）、高清镜头、室外防护罩、风扇、内置补光灯、电源适配器、相机内置防雷模块、安装万向节等</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像素：900W</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分辨率：最大支持4096*2160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帧率：25fps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镜头：25mm镜头</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传感器类型：1英寸全局曝光CMOS（*2）;</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防护等级：IP65;</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工作温度：温度-30℃~70℃；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电源：100VAC～240VAC；频率：48Hz～52Hz;</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工作湿度：湿度5%~95%@40℃，无凝结</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设备的镜头和两个sensor一体化设计，具有独立三角分光棱镜分光结构装置，分别接收可见光和红外光；</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具有车灯去红光设置选项，开启后可去除车灯附近产生的红光；</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具有光晕消除设置选项，开启后可消除交通灯周边的光晕效果；</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支持26块感兴趣区域(ROI)增强编码功能，ROI区域压缩比0～100可设置；</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可识别通过监视画面中的机动车车牌号码，包括大型汽车号牌、挂车号牌、大型新能源汽车号牌、小型汽车号牌、小型新能源汽车号牌、武警车牌、军牌、港澳入出境车号牌、使馆汽车号牌、教练汽车号牌、民航车牌。相机可识别并抓拍垂直倾斜角度≤55°、水平倾斜角度≤35°、俯仰角度≤35°的机动车车牌号码。相机可对80×25至1200 × 380像素的机动车车牌进行抓拍并识别号码；</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支持识别改装牛眼灯的大货车的车牌；</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配合爆闪灯，可穿透车窗遮光条显示驾驶员头部画面；</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具有光晕消除设置选项，开启后可消除交通灯周边的光晕效果。</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3.11.8三合一补光灯</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24颗暖光；</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LED白光爆闪、红外爆闪、带LED光栅；</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铝合金灯体，鳍片式散热结构，面罩采用特殊工艺的耐高温的PC材料，透光效果好；</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采用24颗原装进口高亮度LED芯片，寿命长，稳定性好，发光效率高；</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气体灯管采用专业设计特定灯管，质量可靠，寿命长；</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经专业光学设计，发光均匀，目标光斑显明，有效减少光污染；</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采用步进电机功能，实现红外滤片的切换；</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LED控制采用先进的恒流驱动技术，电流控制准确、稳定，产品稳定性好、可靠性高，有效减少光衰；</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气体光源回电时间小于67ms，支持超速连拍；</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气体补光控制具有峰值抑制功能；</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支持LED灯频闪、白光气体爆闪，红外气体爆闪；</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支持相机误触发保护功能，触发信号输入异常时自动保护、且自动恢复；</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灯体新颖别致、适应性强，安装简单，调节方便；</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结构采用IP66设计，增加透气孔，保持内外压强均衡，可靠防水、防尘；</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不含有害金属铅、汞，绿色环保；</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防护等级：IP66；</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电源：AC220V±10%；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工作湿度：湿度10%~90%@40℃，无凝结；</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工作温度：温度-40℃~70℃。</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3.11.9高清监控球机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像素：400万；</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支持三种智能资源切换：Smart事件、道路监控、人脸抓拍；</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Smart事件：越界侦测，区域入侵侦测，进入/离开区域侦测等智能侦测功能；</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道路监控：支持车辆检测（支持车牌识别，车型/车身颜色/车牌颜色识别）和混行检测，车牌捕获及检索、多场景巡航检测、云存储服务功能；</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人脸抓拍：支持同时抓拍30张人脸，支持对运动人脸进行检测、跟踪、抓拍、评分、筛选，输出最优的人脸抓图；</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摄像机内置两个图像传感器，可分别输出黑白视频图像和彩色视频图像，并可对这两路视频图像进行融合输出,采用双sensor架构，支持超宽光谱感光成像；</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设备补光自动模式，设备具有亮度限制调节功能，限制等级在0~100可调。具有白光增强设置选项，开启后，在夜晚模式下，可开启白光灯，白光亮度等级在0~100可调；</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设备在近光灯、中光灯开启后，在变焦过程中红外光斑形状为矩形，长宽比为16:9；</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设备补光手动模式，可同时调整近光灯、中光灯、远光灯的红外灯和白光灯功率（0~100之间可调）。可仅开启白光灯/红外灯进行补光，在仅开启白光灯进行补光时，可输出彩色视频图像；</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支持GB35114安全加密；</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传感器类型: 1/1.8＂progressive scan CMOS；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最低照度: 彩色：0.0004 Lux @（F1.6，AGC ON），黑白：0.0001 Lux @（F1.6，AGC ON），0 Lux with IR；</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宽动态: 120 dB超宽动态；</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焦距: 6 mm~150 mm，25×光学；</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红外照射距离: 200 m；</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防补光过曝: 支持；</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水平范围: 360°；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垂直范围: -20°~90°（自动翻转）；</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水平速度: 水平键控速度：0.1°~160°/s，速度可设；水平预置点速度：240°/s；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垂直速度: 垂直键控速度：0.1°~120°/s，速度可设；垂直预置点速度：200°/s；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主码流帧率分辨率: 50 Hz：25 fps（2560 × 1440）；60 Hz：30 fps（2560 × 1440）；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视频压缩标准: H.265，H.264，MJPEG；</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Smart图像增强: 120 dB超宽动态，强光抑制，电子防抖，Smart IR；</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网络存储: NAS（NFS，SMB/CIFS）；</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网络接口: RJ45网口，自适应10 M/100 M网络数据；</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SD卡扩展: 支持MicroSD(即TF卡)/MicroSDHC/MicroSDXC卡，最大支持256 GB；</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报警输入: 7路报警输入；</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报警输出: 2路报警输出；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音频输入: 1路音频输入；</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音频输出: 1路音频输出；</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支持RS485接口；</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工作温湿度: -40 ℃~70 ℃；湿度小于95%；</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防护: IP67。</w:t>
      </w:r>
    </w:p>
    <w:p>
      <w:pPr>
        <w:pStyle w:val="58"/>
        <w:keepLines/>
        <w:widowControl w:val="0"/>
        <w:adjustRightInd/>
        <w:spacing w:before="0" w:beforeAutospacing="0" w:after="0" w:afterAutospacing="0" w:line="360" w:lineRule="auto"/>
        <w:outlineLvl w:val="3"/>
        <w:rPr>
          <w:rFonts w:ascii="仿宋" w:hAnsi="仿宋" w:eastAsia="仿宋" w:cs="仿宋"/>
          <w:color w:val="auto"/>
          <w:kern w:val="2"/>
          <w:highlight w:val="none"/>
          <w:lang w:bidi="ar"/>
        </w:rPr>
      </w:pPr>
      <w:r>
        <w:rPr>
          <w:rFonts w:hint="eastAsia" w:ascii="仿宋" w:hAnsi="仿宋" w:eastAsia="仿宋" w:cs="仿宋"/>
          <w:color w:val="auto"/>
          <w:kern w:val="2"/>
          <w:highlight w:val="none"/>
          <w:lang w:bidi="ar"/>
        </w:rPr>
        <w:t>3.11.10信息发布情报板</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尺寸：3.20m×1.60m（F型）；</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LED 像素点间距：10mm；</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LED 配比：双基色；LED 视认角：≥30°；</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显示亮度：≥5000cd/m2；</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LED 平均寿命为≥10000 小时；</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失控率：≤1‰；</w:t>
      </w:r>
    </w:p>
    <w:p>
      <w:pPr>
        <w:pStyle w:val="58"/>
        <w:widowControl w:val="0"/>
        <w:spacing w:before="0" w:beforeAutospacing="0" w:after="0" w:afterAutospacing="0" w:line="520" w:lineRule="exact"/>
        <w:ind w:left="426"/>
        <w:rPr>
          <w:rFonts w:ascii="仿宋" w:hAnsi="仿宋" w:eastAsia="仿宋" w:cs="仿宋"/>
          <w:color w:val="auto"/>
          <w:highlight w:val="none"/>
        </w:rPr>
      </w:pPr>
      <w:r>
        <w:rPr>
          <w:rFonts w:hint="eastAsia" w:ascii="仿宋" w:hAnsi="仿宋" w:eastAsia="仿宋" w:cs="仿宋"/>
          <w:color w:val="auto"/>
          <w:highlight w:val="none"/>
          <w:lang w:bidi="ar"/>
        </w:rPr>
        <w:t>含异步控制卡。</w:t>
      </w:r>
    </w:p>
    <w:p>
      <w:pPr>
        <w:keepLines/>
        <w:spacing w:line="360" w:lineRule="auto"/>
        <w:jc w:val="left"/>
        <w:outlineLvl w:val="2"/>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4、项目进度要求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▲工期：60天。</w:t>
      </w:r>
    </w:p>
    <w:p>
      <w:pPr>
        <w:keepLines/>
        <w:spacing w:line="360" w:lineRule="auto"/>
        <w:jc w:val="left"/>
        <w:outlineLvl w:val="2"/>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5、技术文件</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5.1投标人和提供的技术文件与项目实施及其提供的设备(硬件和软件)达到招标人技术和质量要求。所投产品必须是符合国家有关强制标准和认证，否则验收不合格；是符合国家有关规定的原厂商生产或授权生产的原装正品，否则验收不合格。</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5.2投标人提供的技术文件应该真实、全面、完整、详细，应以中文书写。</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5.3投标人提供的技术文件应是能满足系统进行所需的安装调试、操作使用及维护管理等所有设备的详细技术资料。</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5.4中标单位将所供货物的产品序列号、保修卡、合格证、测验报告等信息逐一进行登记，经采购人核对无误后加盖中标单位项目章，交采购人保管备查。</w:t>
      </w:r>
    </w:p>
    <w:p>
      <w:pPr>
        <w:keepLines/>
        <w:spacing w:line="360" w:lineRule="auto"/>
        <w:jc w:val="left"/>
        <w:outlineLvl w:val="2"/>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6、安装、调试、开通、验收、维护</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6.1投标人负责所提供的设备、软件的安装、调试及开通，用户单位予以配合。</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6.2设备、软件安装、调试所需的工具、仪表及安装材料等应由投标人自行解决。</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6.3投标人应向用户提交测试内容和方法。</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6.4安装要求：</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（1）中标人应在施工前提供详细的安装方案，并提交采购人认可。</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（2）施工过程应严格执行相关的强弱电施工规范，并保证施工安全。</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（3）中标单位应根据采购人的需要，在规定的时间内保证质量完成系统建设。</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6.5施工过程中应科学、合理地掌握与其他工程界面的协调、交叉。</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6.6系统项目建设完成试运行结束后，乙方提出验收申请。验收完成后，双方共同签署验收报告。</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highlight w:val="none"/>
          <w:lang w:bidi="ar"/>
        </w:rPr>
        <w:t>▲</w:t>
      </w:r>
      <w:r>
        <w:rPr>
          <w:rFonts w:hint="eastAsia" w:ascii="仿宋" w:hAnsi="仿宋" w:eastAsia="仿宋" w:cs="仿宋"/>
          <w:color w:val="auto"/>
          <w:sz w:val="24"/>
          <w:szCs w:val="22"/>
          <w:highlight w:val="none"/>
          <w:lang w:bidi="ar"/>
        </w:rPr>
        <w:t>6.7质保期为项目最终验收合格之日起36个月。</w:t>
      </w:r>
    </w:p>
    <w:p>
      <w:pPr>
        <w:keepLines/>
        <w:spacing w:line="360" w:lineRule="auto"/>
        <w:jc w:val="left"/>
        <w:outlineLvl w:val="2"/>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7、技术服务</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7.1投标人应确保其技术建议以及所提供的设备的完整性、实用性，保证全部系统及时投入正常运行。否则若出现因投标人提供的设备不满足要求、不合理，或者其所提供的技术支持和服务不全面，而导致系统无法实现或不能完全实现的状况，投标人负全部责任。</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7.2如在使用过程中发生质量问题，乙方在接到甲方通知后在不超过故障申报</w:t>
      </w:r>
      <w:r>
        <w:rPr>
          <w:rFonts w:hint="eastAsia" w:ascii="仿宋" w:hAnsi="仿宋" w:eastAsia="仿宋" w:cs="仿宋"/>
          <w:color w:val="auto"/>
          <w:sz w:val="24"/>
          <w:szCs w:val="22"/>
          <w:highlight w:val="none"/>
          <w:u w:val="single"/>
          <w:lang w:bidi="ar"/>
        </w:rPr>
        <w:t xml:space="preserve"> 1 </w:t>
      </w:r>
      <w:r>
        <w:rPr>
          <w:rFonts w:hint="eastAsia" w:ascii="仿宋" w:hAnsi="仿宋" w:eastAsia="仿宋" w:cs="仿宋"/>
          <w:color w:val="auto"/>
          <w:sz w:val="24"/>
          <w:szCs w:val="22"/>
          <w:highlight w:val="none"/>
          <w:lang w:bidi="ar"/>
        </w:rPr>
        <w:t>小时内到达现场，</w:t>
      </w:r>
      <w:r>
        <w:rPr>
          <w:rFonts w:hint="eastAsia" w:ascii="仿宋" w:hAnsi="仿宋" w:eastAsia="仿宋" w:cs="仿宋"/>
          <w:color w:val="auto"/>
          <w:sz w:val="24"/>
          <w:szCs w:val="22"/>
          <w:highlight w:val="none"/>
          <w:u w:val="single"/>
          <w:lang w:bidi="ar"/>
        </w:rPr>
        <w:t xml:space="preserve"> 24 </w:t>
      </w:r>
      <w:r>
        <w:rPr>
          <w:rFonts w:hint="eastAsia" w:ascii="仿宋" w:hAnsi="仿宋" w:eastAsia="仿宋" w:cs="仿宋"/>
          <w:color w:val="auto"/>
          <w:sz w:val="24"/>
          <w:szCs w:val="22"/>
          <w:highlight w:val="none"/>
          <w:lang w:bidi="ar"/>
        </w:rPr>
        <w:t>小时内解决问题。</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7.3如果设备在质保期内发生设备故障，投标人应及时予以响应（上门服务），否则用户将自行采取必要的措施，由此产生风险和费用由投标人承担。</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bidi="ar"/>
        </w:rPr>
        <w:t>▲</w:t>
      </w:r>
      <w:r>
        <w:rPr>
          <w:rFonts w:hint="eastAsia" w:ascii="仿宋" w:hAnsi="仿宋" w:eastAsia="仿宋" w:cs="仿宋"/>
          <w:bCs/>
          <w:color w:val="auto"/>
          <w:sz w:val="24"/>
          <w:highlight w:val="none"/>
          <w:lang w:bidi="ar"/>
        </w:rPr>
        <w:t>7.4</w:t>
      </w:r>
      <w:r>
        <w:rPr>
          <w:rFonts w:hint="eastAsia" w:ascii="仿宋" w:hAnsi="仿宋" w:eastAsia="仿宋" w:cs="仿宋"/>
          <w:b/>
          <w:color w:val="auto"/>
          <w:sz w:val="24"/>
          <w:highlight w:val="none"/>
          <w:lang w:bidi="ar"/>
        </w:rPr>
        <w:t>投标人对其提供的所有设备均应提供最终验收合格之日起36个月厂家质保。</w:t>
      </w:r>
    </w:p>
    <w:p>
      <w:pPr>
        <w:spacing w:line="360" w:lineRule="auto"/>
        <w:ind w:firstLine="480" w:firstLineChars="200"/>
        <w:rPr>
          <w:rFonts w:ascii="仿宋" w:hAnsi="仿宋" w:eastAsia="仿宋" w:cs="仿宋"/>
          <w:bCs/>
          <w:color w:val="auto"/>
          <w:sz w:val="24"/>
          <w:highlight w:val="none"/>
          <w:lang w:bidi="ar"/>
        </w:rPr>
      </w:pPr>
      <w:r>
        <w:rPr>
          <w:rFonts w:hint="eastAsia" w:ascii="仿宋" w:hAnsi="仿宋" w:eastAsia="仿宋" w:cs="仿宋"/>
          <w:bCs/>
          <w:color w:val="auto"/>
          <w:sz w:val="24"/>
          <w:highlight w:val="none"/>
          <w:lang w:bidi="ar"/>
        </w:rPr>
        <w:t>主要硬件要求提供原厂商3年7（天）*24（小时）设备保修和售后现场技术服务，系统软件产品的质保执行原厂商的标准（如低于3年，按3年计）质保服务和投标人的承诺，因使用不当更换设备材料费用按不高于投标报价价格收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lang w:bidi="ar"/>
        </w:rPr>
        <w:t>在质保期内，乙方应对货物出现的质量及安全问题负责处理解决并承担一切费用。</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lang w:bidi="ar"/>
        </w:rPr>
        <w:t>质保期内，因人为因素出现的故障不在免费保修范围内。超过保修期的机器设备，终生维修，维修时只收部件成本费。</w:t>
      </w:r>
    </w:p>
    <w:p>
      <w:pPr>
        <w:keepLines/>
        <w:spacing w:line="360" w:lineRule="auto"/>
        <w:jc w:val="left"/>
        <w:outlineLvl w:val="2"/>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bidi="ar"/>
        </w:rPr>
        <w:t>8、培训</w:t>
      </w:r>
    </w:p>
    <w:p>
      <w:pPr>
        <w:spacing w:line="360" w:lineRule="auto"/>
        <w:ind w:firstLine="527"/>
        <w:rPr>
          <w:rFonts w:ascii="仿宋" w:hAnsi="仿宋" w:eastAsia="仿宋" w:cs="仿宋"/>
          <w:color w:val="auto"/>
          <w:sz w:val="24"/>
          <w:szCs w:val="22"/>
          <w:highlight w:val="none"/>
        </w:rPr>
      </w:pPr>
      <w:r>
        <w:rPr>
          <w:rFonts w:hint="eastAsia" w:ascii="仿宋" w:hAnsi="仿宋" w:eastAsia="仿宋" w:cs="仿宋"/>
          <w:color w:val="auto"/>
          <w:sz w:val="24"/>
          <w:szCs w:val="22"/>
          <w:highlight w:val="none"/>
          <w:lang w:bidi="ar"/>
        </w:rPr>
        <w:t>投标人应提供系统操作培训。</w:t>
      </w:r>
    </w:p>
    <w:p>
      <w:pPr>
        <w:numPr>
          <w:ilvl w:val="0"/>
          <w:numId w:val="7"/>
        </w:numPr>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采购设备清单及技术参数</w:t>
      </w:r>
    </w:p>
    <w:tbl>
      <w:tblPr>
        <w:tblStyle w:val="62"/>
        <w:tblW w:w="8774" w:type="dxa"/>
        <w:tblInd w:w="168" w:type="dxa"/>
        <w:tblLayout w:type="fixed"/>
        <w:tblCellMar>
          <w:top w:w="0" w:type="dxa"/>
          <w:left w:w="108" w:type="dxa"/>
          <w:bottom w:w="0" w:type="dxa"/>
          <w:right w:w="108" w:type="dxa"/>
        </w:tblCellMar>
      </w:tblPr>
      <w:tblGrid>
        <w:gridCol w:w="616"/>
        <w:gridCol w:w="1213"/>
        <w:gridCol w:w="627"/>
        <w:gridCol w:w="4148"/>
        <w:gridCol w:w="433"/>
        <w:gridCol w:w="617"/>
        <w:gridCol w:w="1120"/>
      </w:tblGrid>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序号</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设备名称</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配置要求</w:t>
            </w:r>
          </w:p>
        </w:tc>
        <w:tc>
          <w:tcPr>
            <w:tcW w:w="433"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单位</w:t>
            </w:r>
          </w:p>
        </w:tc>
        <w:tc>
          <w:tcPr>
            <w:tcW w:w="617"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数量</w:t>
            </w:r>
          </w:p>
        </w:tc>
        <w:tc>
          <w:tcPr>
            <w:tcW w:w="1120" w:type="dxa"/>
            <w:tcBorders>
              <w:top w:val="single" w:color="auto" w:sz="4" w:space="0"/>
              <w:left w:val="single" w:color="auto" w:sz="4" w:space="0"/>
              <w:bottom w:val="single" w:color="auto" w:sz="4" w:space="0"/>
              <w:right w:val="single" w:color="auto" w:sz="4" w:space="0"/>
              <w:tl2br w:val="nil"/>
              <w:tr2bl w:val="nil"/>
            </w:tcBorders>
            <w:shd w:val="solid" w:color="969696"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备注</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1</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动态高速称重系统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平板式称重主体</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0"/>
                <w:highlight w:val="none"/>
              </w:rPr>
              <w:t>1、平板式动态公路车辆自动衡器准确度等级：整车总重量的准确度等级≥5级；单轴或轴组载荷准确度等级≥E级；最大秤量Max≥40t，最小Min≤0.5t；动态称重运行速度：最小称量运行速度≤0.5km/h，最大称量运行速度≥100km/h；提供《计量器具型式批准证书》和《计量器具型式评价报告》；</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2、采用一体式安装方式布置高速动态平板秤台，每个秤台均能独立称重检测；</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3、首次检定最大允许误差±2.50％，使用中检验最大允许误差±5.00％；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4、相邻台面之间采用“无缝”拼接技术，保证车辆在碾压台面接缝行驶时也可准确检测；</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5、动态称重设备能够适应道路行车时的复杂环境，对于异常行驶行为均能准确秤量；</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6、采用电阻应变式称重传感器，每个车道12-16个传感器；</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7、秤台采用合金钢材质，秤台横向长度根据车道路面实际检测宽度进行定制，无检测死角。</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称重传感器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b/>
                <w:bCs/>
                <w:color w:val="auto"/>
                <w:kern w:val="0"/>
                <w:sz w:val="20"/>
                <w:highlight w:val="none"/>
              </w:rPr>
              <w:t>▲1、</w:t>
            </w:r>
            <w:r>
              <w:rPr>
                <w:rFonts w:hint="eastAsia" w:ascii="仿宋" w:hAnsi="仿宋" w:eastAsia="仿宋" w:cs="仿宋"/>
                <w:color w:val="auto"/>
                <w:sz w:val="20"/>
                <w:highlight w:val="none"/>
              </w:rPr>
              <w:t>类型:电阻应变式：</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2、性能指标:灵敏度:≥1.5±0.01mV/V；</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3、零点输出:±200uV/10V；</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4、零点温度漂移:±0.02%FS/10℃；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5、温度补偿范围:-10℃~+50℃；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6、灵敏度温度漂移:±0.02%FS/10℃；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7、工作温度范围:-10℃~+40℃；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8、非线性:±0.02%FS；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9、滞后:±0.02%FS；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10、零点平衡:±0.02%FS；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11、综合误差:±0.02%FS；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12、每车道≥12只；</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13、称重传感器防护等级性能≥IP68</w:t>
            </w:r>
            <w:r>
              <w:rPr>
                <w:rFonts w:hint="eastAsia" w:ascii="仿宋" w:hAnsi="仿宋" w:eastAsia="仿宋" w:cs="仿宋"/>
                <w:color w:val="auto"/>
                <w:sz w:val="20"/>
                <w:highlight w:val="none"/>
              </w:rPr>
              <w:t>。</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1.3</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平板式称重平台基础</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含路面开挖、碎渣清理、高强度灌浆料或混凝土、钢筋、管材及路面内施工机具人工等费用；水料比14%；容重2200kg/m3；浇筑后无泌水现象，泌水率0%；超细径粒，最大径粒≤2mm；流动性好，初始流动度320mm，30min流动度300mm；微膨胀，3h膨胀率0.1%，24h和3h膨胀率差值0.02；抗油性好，机油浸泡30天后强度增加10%；3小时初凝强度达到C30；7小时终凝强度达到C50；夏季12小时内通行重车；冬季24小时内通行重车。</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2、所投称重系统针对路面工程混凝土板表面的脱皮、印痕、裂纹、石子外露和缺边掉角；路面侧石直顺、曲线圆滑；接缝填筑饱满密实；不污染路面。</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1.4</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地感线圈及浇料</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1、线圈电缆由载面积1.5mm²的多股铜导线组成，应用于超低压电路（AC32V以下）；</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2、含线圈切槽施工及安装浇料等。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1.5</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车辆检测器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电感量自调谐范围20-1000uH,Q值≥5；灵敏度4级可调；频率范围20kHz-110kHz，4级可调；响应时间≤100ms；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可接入4路地感线圈</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台</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1.6</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数据采集器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跨道精检型，AD转换，数据采集，轴数识别；12路同步采样模拟输入，采样率高达248kS/s；24位分辨率，ADC具有114dB动态范围；输入信号的范围从±1V至10V时，可设置2种增益设置，高达+20dB；交流/直流可选；12路通道提供的通道密度适宜大多数NVH；高可靠性。</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台</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1.7</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称重数据处理一体机</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实现超限检测数据的采集、匹配处理、存储以及数据转发输出。接收抓拍摄像机所抓拍的记录、图像、视频以及称重传感器系统获得的称重记录;对抓拍记录以及称重记录进行整合与匹配处理,合成车辆超限信息与证据链；</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2、机型：4U机架式；</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3、数据接收和输出匹配程度一致；</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4、内存：配置≥8G内存，最大支持4个内存插槽，最高容量可支持256G；</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5、x86处理器；</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6、治超非现场执法数据采集软件通过CPU兼容性认证；</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7、配置≥1颗CPU，每颗CPU核心数≥4核，每颗CPU主频≥2.8GHz；</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8、硬盘：标配120G M.2 SSD盘+8T 7200转HDD硬盘；</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9、接口：千兆网络接口≥6个，RS232接口≥2个，USB接口≥2个；</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10、前面板具有液晶显示屏；</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11、支持独立的远程管理控制端口，实现与操作系统无关的远程开机、关机、重启等操作；实时监控服务器内部关键部件运行状态和温度信息，CPU、内存、风扇、电源等；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台</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1.8</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工业交换机</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1、具有固定的≥</w:t>
            </w:r>
            <w:r>
              <w:rPr>
                <w:rFonts w:ascii="仿宋" w:hAnsi="仿宋" w:eastAsia="仿宋" w:cs="仿宋"/>
                <w:color w:val="auto"/>
                <w:sz w:val="20"/>
                <w:highlight w:val="none"/>
              </w:rPr>
              <w:t>24</w:t>
            </w:r>
            <w:r>
              <w:rPr>
                <w:rFonts w:hint="eastAsia" w:ascii="仿宋" w:hAnsi="仿宋" w:eastAsia="仿宋" w:cs="仿宋"/>
                <w:color w:val="auto"/>
                <w:sz w:val="20"/>
                <w:highlight w:val="none"/>
              </w:rPr>
              <w:t>个</w:t>
            </w:r>
            <w:r>
              <w:rPr>
                <w:rFonts w:ascii="仿宋" w:hAnsi="仿宋" w:eastAsia="仿宋" w:cs="仿宋"/>
                <w:color w:val="auto"/>
                <w:sz w:val="20"/>
                <w:highlight w:val="none"/>
              </w:rPr>
              <w:t>10/100/1000Base-T</w:t>
            </w:r>
            <w:r>
              <w:rPr>
                <w:rFonts w:hint="eastAsia" w:ascii="仿宋" w:hAnsi="仿宋" w:eastAsia="仿宋" w:cs="仿宋"/>
                <w:color w:val="auto"/>
                <w:sz w:val="20"/>
                <w:highlight w:val="none"/>
              </w:rPr>
              <w:t>以太网端口，≥</w:t>
            </w:r>
            <w:r>
              <w:rPr>
                <w:rFonts w:ascii="仿宋" w:hAnsi="仿宋" w:eastAsia="仿宋" w:cs="仿宋"/>
                <w:color w:val="auto"/>
                <w:sz w:val="20"/>
                <w:highlight w:val="none"/>
              </w:rPr>
              <w:t>4</w:t>
            </w:r>
            <w:r>
              <w:rPr>
                <w:rFonts w:hint="eastAsia" w:ascii="仿宋" w:hAnsi="仿宋" w:eastAsia="仿宋" w:cs="仿宋"/>
                <w:color w:val="auto"/>
                <w:sz w:val="20"/>
                <w:highlight w:val="none"/>
              </w:rPr>
              <w:t>个</w:t>
            </w:r>
            <w:r>
              <w:rPr>
                <w:rFonts w:ascii="仿宋" w:hAnsi="仿宋" w:eastAsia="仿宋" w:cs="仿宋"/>
                <w:color w:val="auto"/>
                <w:sz w:val="20"/>
                <w:highlight w:val="none"/>
              </w:rPr>
              <w:t>10/100/1000Base-T</w:t>
            </w:r>
            <w:r>
              <w:rPr>
                <w:rFonts w:hint="eastAsia" w:ascii="仿宋" w:hAnsi="仿宋" w:eastAsia="仿宋" w:cs="仿宋"/>
                <w:color w:val="auto"/>
                <w:sz w:val="20"/>
                <w:highlight w:val="none"/>
              </w:rPr>
              <w:t>以太网端口和≥</w:t>
            </w:r>
            <w:r>
              <w:rPr>
                <w:rFonts w:ascii="仿宋" w:hAnsi="仿宋" w:eastAsia="仿宋" w:cs="仿宋"/>
                <w:color w:val="auto"/>
                <w:sz w:val="20"/>
                <w:highlight w:val="none"/>
              </w:rPr>
              <w:t>4</w:t>
            </w:r>
            <w:r>
              <w:rPr>
                <w:rFonts w:hint="eastAsia" w:ascii="仿宋" w:hAnsi="仿宋" w:eastAsia="仿宋" w:cs="仿宋"/>
                <w:color w:val="auto"/>
                <w:sz w:val="20"/>
                <w:highlight w:val="none"/>
              </w:rPr>
              <w:t>个复用的</w:t>
            </w:r>
            <w:r>
              <w:rPr>
                <w:rFonts w:ascii="仿宋" w:hAnsi="仿宋" w:eastAsia="仿宋" w:cs="仿宋"/>
                <w:color w:val="auto"/>
                <w:sz w:val="20"/>
                <w:highlight w:val="none"/>
              </w:rPr>
              <w:t>100/1000Base-X SFP</w:t>
            </w:r>
            <w:r>
              <w:rPr>
                <w:rFonts w:hint="eastAsia" w:ascii="仿宋" w:hAnsi="仿宋" w:eastAsia="仿宋" w:cs="仿宋"/>
                <w:color w:val="auto"/>
                <w:sz w:val="20"/>
                <w:highlight w:val="none"/>
              </w:rPr>
              <w:t>端口，</w:t>
            </w:r>
            <w:r>
              <w:rPr>
                <w:rFonts w:ascii="仿宋" w:hAnsi="仿宋" w:eastAsia="仿宋" w:cs="仿宋"/>
                <w:color w:val="auto"/>
                <w:sz w:val="20"/>
                <w:highlight w:val="none"/>
              </w:rPr>
              <w:t>1</w:t>
            </w:r>
            <w:r>
              <w:rPr>
                <w:rFonts w:hint="eastAsia" w:ascii="仿宋" w:hAnsi="仿宋" w:eastAsia="仿宋" w:cs="仿宋"/>
                <w:color w:val="auto"/>
                <w:sz w:val="20"/>
                <w:highlight w:val="none"/>
              </w:rPr>
              <w:t>个</w:t>
            </w:r>
            <w:r>
              <w:rPr>
                <w:rFonts w:ascii="仿宋" w:hAnsi="仿宋" w:eastAsia="仿宋" w:cs="仿宋"/>
                <w:color w:val="auto"/>
                <w:sz w:val="20"/>
                <w:highlight w:val="none"/>
              </w:rPr>
              <w:t>Console</w:t>
            </w:r>
            <w:r>
              <w:rPr>
                <w:rFonts w:hint="eastAsia" w:ascii="仿宋" w:hAnsi="仿宋" w:eastAsia="仿宋" w:cs="仿宋"/>
                <w:color w:val="auto"/>
                <w:sz w:val="20"/>
                <w:highlight w:val="none"/>
              </w:rPr>
              <w:t>管理口；</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2、整机交换容量≥</w:t>
            </w:r>
            <w:r>
              <w:rPr>
                <w:rFonts w:ascii="仿宋" w:hAnsi="仿宋" w:eastAsia="仿宋" w:cs="仿宋"/>
                <w:color w:val="auto"/>
                <w:sz w:val="20"/>
                <w:highlight w:val="none"/>
              </w:rPr>
              <w:t>256G</w:t>
            </w:r>
            <w:r>
              <w:rPr>
                <w:rFonts w:hint="eastAsia" w:ascii="仿宋" w:hAnsi="仿宋" w:eastAsia="仿宋" w:cs="仿宋"/>
                <w:color w:val="auto"/>
                <w:sz w:val="20"/>
                <w:highlight w:val="none"/>
              </w:rPr>
              <w:t>，包转发率≥</w:t>
            </w:r>
            <w:r>
              <w:rPr>
                <w:rFonts w:ascii="仿宋" w:hAnsi="仿宋" w:eastAsia="仿宋" w:cs="仿宋"/>
                <w:color w:val="auto"/>
                <w:sz w:val="20"/>
                <w:highlight w:val="none"/>
              </w:rPr>
              <w:t>42Mpps</w:t>
            </w:r>
            <w:r>
              <w:rPr>
                <w:rFonts w:hint="eastAsia" w:ascii="仿宋" w:hAnsi="仿宋" w:eastAsia="仿宋" w:cs="仿宋"/>
                <w:color w:val="auto"/>
                <w:sz w:val="20"/>
                <w:highlight w:val="none"/>
              </w:rPr>
              <w:t>，交换方式为存储转发；</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3、支持支持</w:t>
            </w:r>
            <w:r>
              <w:rPr>
                <w:rFonts w:ascii="仿宋" w:hAnsi="仿宋" w:eastAsia="仿宋" w:cs="仿宋"/>
                <w:color w:val="auto"/>
                <w:sz w:val="20"/>
                <w:highlight w:val="none"/>
              </w:rPr>
              <w:t>LLDP</w:t>
            </w:r>
            <w:r>
              <w:rPr>
                <w:rFonts w:hint="eastAsia" w:ascii="仿宋" w:hAnsi="仿宋" w:eastAsia="仿宋" w:cs="仿宋"/>
                <w:color w:val="auto"/>
                <w:sz w:val="20"/>
                <w:highlight w:val="none"/>
              </w:rPr>
              <w:t>、静态</w:t>
            </w:r>
            <w:r>
              <w:rPr>
                <w:rFonts w:ascii="仿宋" w:hAnsi="仿宋" w:eastAsia="仿宋" w:cs="仿宋"/>
                <w:color w:val="auto"/>
                <w:sz w:val="20"/>
                <w:highlight w:val="none"/>
              </w:rPr>
              <w:t>MAC</w:t>
            </w:r>
            <w:r>
              <w:rPr>
                <w:rFonts w:hint="eastAsia" w:ascii="仿宋" w:hAnsi="仿宋" w:eastAsia="仿宋" w:cs="仿宋"/>
                <w:color w:val="auto"/>
                <w:sz w:val="20"/>
                <w:highlight w:val="none"/>
              </w:rPr>
              <w:t>配置、支持</w:t>
            </w:r>
            <w:r>
              <w:rPr>
                <w:rFonts w:ascii="仿宋" w:hAnsi="仿宋" w:eastAsia="仿宋" w:cs="仿宋"/>
                <w:color w:val="auto"/>
                <w:sz w:val="20"/>
                <w:highlight w:val="none"/>
              </w:rPr>
              <w:t>MAC</w:t>
            </w:r>
            <w:r>
              <w:rPr>
                <w:rFonts w:hint="eastAsia" w:ascii="仿宋" w:hAnsi="仿宋" w:eastAsia="仿宋" w:cs="仿宋"/>
                <w:color w:val="auto"/>
                <w:sz w:val="20"/>
                <w:highlight w:val="none"/>
              </w:rPr>
              <w:t>地址学习数目限制</w:t>
            </w:r>
            <w:r>
              <w:rPr>
                <w:rFonts w:ascii="仿宋" w:hAnsi="仿宋" w:eastAsia="仿宋" w:cs="仿宋"/>
                <w:color w:val="auto"/>
                <w:sz w:val="20"/>
                <w:highlight w:val="none"/>
              </w:rPr>
              <w:t>(MAC</w:t>
            </w:r>
            <w:r>
              <w:rPr>
                <w:rFonts w:hint="eastAsia" w:ascii="仿宋" w:hAnsi="仿宋" w:eastAsia="仿宋" w:cs="仿宋"/>
                <w:color w:val="auto"/>
                <w:sz w:val="20"/>
                <w:highlight w:val="none"/>
              </w:rPr>
              <w:t>地址深度最大支持</w:t>
            </w:r>
            <w:r>
              <w:rPr>
                <w:rFonts w:ascii="仿宋" w:hAnsi="仿宋" w:eastAsia="仿宋" w:cs="仿宋"/>
                <w:color w:val="auto"/>
                <w:sz w:val="20"/>
                <w:highlight w:val="none"/>
              </w:rPr>
              <w:t>16K)</w:t>
            </w:r>
            <w:r>
              <w:rPr>
                <w:rFonts w:hint="eastAsia" w:ascii="仿宋" w:hAnsi="仿宋" w:eastAsia="仿宋" w:cs="仿宋"/>
                <w:color w:val="auto"/>
                <w:sz w:val="20"/>
                <w:highlight w:val="none"/>
              </w:rPr>
              <w:t>、支持端口镜像功能、支持端口聚合</w:t>
            </w:r>
            <w:r>
              <w:rPr>
                <w:rFonts w:ascii="仿宋" w:hAnsi="仿宋" w:eastAsia="仿宋" w:cs="仿宋"/>
                <w:color w:val="auto"/>
                <w:sz w:val="20"/>
                <w:highlight w:val="none"/>
              </w:rPr>
              <w:t>(</w:t>
            </w:r>
            <w:r>
              <w:rPr>
                <w:rFonts w:hint="eastAsia" w:ascii="仿宋" w:hAnsi="仿宋" w:eastAsia="仿宋" w:cs="仿宋"/>
                <w:color w:val="auto"/>
                <w:sz w:val="20"/>
                <w:highlight w:val="none"/>
              </w:rPr>
              <w:t>聚合组端口最大</w:t>
            </w:r>
            <w:r>
              <w:rPr>
                <w:rFonts w:ascii="仿宋" w:hAnsi="仿宋" w:eastAsia="仿宋" w:cs="仿宋"/>
                <w:color w:val="auto"/>
                <w:sz w:val="20"/>
                <w:highlight w:val="none"/>
              </w:rPr>
              <w:t>8</w:t>
            </w:r>
            <w:r>
              <w:rPr>
                <w:rFonts w:hint="eastAsia" w:ascii="仿宋" w:hAnsi="仿宋" w:eastAsia="仿宋" w:cs="仿宋"/>
                <w:color w:val="auto"/>
                <w:sz w:val="20"/>
                <w:highlight w:val="none"/>
              </w:rPr>
              <w:t>个端口</w:t>
            </w:r>
            <w:r>
              <w:rPr>
                <w:rFonts w:ascii="仿宋" w:hAnsi="仿宋" w:eastAsia="仿宋" w:cs="仿宋"/>
                <w:color w:val="auto"/>
                <w:sz w:val="20"/>
                <w:highlight w:val="none"/>
              </w:rPr>
              <w:t>)</w:t>
            </w:r>
            <w:r>
              <w:rPr>
                <w:rFonts w:hint="eastAsia" w:ascii="仿宋" w:hAnsi="仿宋" w:eastAsia="仿宋" w:cs="仿宋"/>
                <w:color w:val="auto"/>
                <w:sz w:val="20"/>
                <w:highlight w:val="none"/>
              </w:rPr>
              <w:t>、支持端口隔离；</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4、支持</w:t>
            </w:r>
            <w:r>
              <w:rPr>
                <w:rFonts w:ascii="仿宋" w:hAnsi="仿宋" w:eastAsia="仿宋" w:cs="仿宋"/>
                <w:color w:val="auto"/>
                <w:sz w:val="20"/>
                <w:highlight w:val="none"/>
              </w:rPr>
              <w:t>IEEE 802.3ad</w:t>
            </w:r>
            <w:r>
              <w:rPr>
                <w:rFonts w:hint="eastAsia" w:ascii="仿宋" w:hAnsi="仿宋" w:eastAsia="仿宋" w:cs="仿宋"/>
                <w:color w:val="auto"/>
                <w:sz w:val="20"/>
                <w:highlight w:val="none"/>
              </w:rPr>
              <w:t>（动态链路聚合）、静态端口聚合；</w:t>
            </w:r>
          </w:p>
          <w:p>
            <w:pPr>
              <w:wordWrap w:val="0"/>
              <w:jc w:val="left"/>
              <w:rPr>
                <w:rFonts w:ascii="仿宋" w:hAnsi="仿宋" w:eastAsia="仿宋" w:cs="仿宋"/>
                <w:color w:val="auto"/>
                <w:sz w:val="20"/>
                <w:highlight w:val="none"/>
              </w:rPr>
            </w:pPr>
            <w:r>
              <w:rPr>
                <w:rFonts w:hint="eastAsia" w:ascii="仿宋" w:hAnsi="仿宋" w:eastAsia="仿宋" w:cs="仿宋"/>
                <w:color w:val="auto"/>
                <w:sz w:val="20"/>
                <w:highlight w:val="none"/>
              </w:rPr>
              <w:t>5、支持支持</w:t>
            </w:r>
            <w:r>
              <w:rPr>
                <w:rFonts w:ascii="仿宋" w:hAnsi="仿宋" w:eastAsia="仿宋" w:cs="仿宋"/>
                <w:color w:val="auto"/>
                <w:sz w:val="20"/>
                <w:highlight w:val="none"/>
              </w:rPr>
              <w:t>STP/RSTP/MSTP</w:t>
            </w:r>
            <w:r>
              <w:rPr>
                <w:rFonts w:hint="eastAsia" w:ascii="仿宋" w:hAnsi="仿宋" w:eastAsia="仿宋" w:cs="仿宋"/>
                <w:color w:val="auto"/>
                <w:sz w:val="20"/>
                <w:highlight w:val="none"/>
              </w:rPr>
              <w:t>，支持工业级冗余网络协议及快速环网协议G</w:t>
            </w:r>
            <w:r>
              <w:rPr>
                <w:rFonts w:ascii="仿宋" w:hAnsi="仿宋" w:eastAsia="仿宋" w:cs="仿宋"/>
                <w:color w:val="auto"/>
                <w:sz w:val="20"/>
                <w:highlight w:val="none"/>
              </w:rPr>
              <w:t>.8032(ERPS)；</w:t>
            </w:r>
          </w:p>
          <w:p>
            <w:pPr>
              <w:wordWrap w:val="0"/>
              <w:jc w:val="left"/>
              <w:rPr>
                <w:rFonts w:ascii="仿宋" w:hAnsi="仿宋" w:eastAsia="仿宋" w:cs="仿宋"/>
                <w:color w:val="auto"/>
                <w:sz w:val="20"/>
                <w:highlight w:val="none"/>
              </w:rPr>
            </w:pPr>
            <w:r>
              <w:rPr>
                <w:rFonts w:hint="eastAsia" w:ascii="仿宋" w:hAnsi="仿宋" w:eastAsia="仿宋" w:cs="仿宋"/>
                <w:color w:val="auto"/>
                <w:sz w:val="20"/>
                <w:highlight w:val="none"/>
              </w:rPr>
              <w:t>6、支持静态路由、</w:t>
            </w:r>
            <w:r>
              <w:rPr>
                <w:rFonts w:ascii="仿宋" w:hAnsi="仿宋" w:eastAsia="仿宋" w:cs="仿宋"/>
                <w:color w:val="auto"/>
                <w:sz w:val="20"/>
                <w:highlight w:val="none"/>
              </w:rPr>
              <w:t>RIP</w:t>
            </w:r>
            <w:r>
              <w:rPr>
                <w:rFonts w:hint="eastAsia" w:ascii="仿宋" w:hAnsi="仿宋" w:eastAsia="仿宋" w:cs="仿宋"/>
                <w:color w:val="auto"/>
                <w:sz w:val="20"/>
                <w:highlight w:val="none"/>
              </w:rPr>
              <w:t>、</w:t>
            </w:r>
            <w:r>
              <w:rPr>
                <w:rFonts w:ascii="仿宋" w:hAnsi="仿宋" w:eastAsia="仿宋" w:cs="仿宋"/>
                <w:color w:val="auto"/>
                <w:sz w:val="20"/>
                <w:highlight w:val="none"/>
              </w:rPr>
              <w:t>OSPF</w:t>
            </w:r>
            <w:r>
              <w:rPr>
                <w:rFonts w:hint="eastAsia" w:ascii="仿宋" w:hAnsi="仿宋" w:eastAsia="仿宋" w:cs="仿宋"/>
                <w:color w:val="auto"/>
                <w:sz w:val="20"/>
                <w:highlight w:val="none"/>
              </w:rPr>
              <w:t>协议；</w:t>
            </w:r>
          </w:p>
          <w:p>
            <w:pPr>
              <w:wordWrap w:val="0"/>
              <w:jc w:val="left"/>
              <w:rPr>
                <w:rFonts w:ascii="仿宋" w:hAnsi="仿宋" w:eastAsia="仿宋" w:cs="仿宋"/>
                <w:color w:val="auto"/>
                <w:sz w:val="20"/>
                <w:highlight w:val="none"/>
              </w:rPr>
            </w:pPr>
            <w:r>
              <w:rPr>
                <w:rFonts w:hint="eastAsia" w:ascii="仿宋" w:hAnsi="仿宋" w:eastAsia="仿宋" w:cs="仿宋"/>
                <w:color w:val="auto"/>
                <w:sz w:val="20"/>
                <w:highlight w:val="none"/>
              </w:rPr>
              <w:t>7、支持</w:t>
            </w:r>
            <w:r>
              <w:rPr>
                <w:rFonts w:ascii="仿宋" w:hAnsi="仿宋" w:eastAsia="仿宋" w:cs="仿宋"/>
                <w:color w:val="auto"/>
                <w:sz w:val="20"/>
                <w:highlight w:val="none"/>
              </w:rPr>
              <w:t>DHCP Relay</w:t>
            </w:r>
            <w:r>
              <w:rPr>
                <w:rFonts w:hint="eastAsia" w:ascii="仿宋" w:hAnsi="仿宋" w:eastAsia="仿宋" w:cs="仿宋"/>
                <w:color w:val="auto"/>
                <w:sz w:val="20"/>
                <w:highlight w:val="none"/>
              </w:rPr>
              <w:t>、支持</w:t>
            </w:r>
            <w:r>
              <w:rPr>
                <w:rFonts w:ascii="仿宋" w:hAnsi="仿宋" w:eastAsia="仿宋" w:cs="仿宋"/>
                <w:color w:val="auto"/>
                <w:sz w:val="20"/>
                <w:highlight w:val="none"/>
              </w:rPr>
              <w:t>DHCP Client</w:t>
            </w:r>
            <w:r>
              <w:rPr>
                <w:rFonts w:hint="eastAsia" w:ascii="仿宋" w:hAnsi="仿宋" w:eastAsia="仿宋" w:cs="仿宋"/>
                <w:color w:val="auto"/>
                <w:sz w:val="20"/>
                <w:highlight w:val="none"/>
              </w:rPr>
              <w:t>、支持</w:t>
            </w:r>
            <w:r>
              <w:rPr>
                <w:rFonts w:ascii="仿宋" w:hAnsi="仿宋" w:eastAsia="仿宋" w:cs="仿宋"/>
                <w:color w:val="auto"/>
                <w:sz w:val="20"/>
                <w:highlight w:val="none"/>
              </w:rPr>
              <w:t>DHCP Snooping</w:t>
            </w:r>
            <w:r>
              <w:rPr>
                <w:rFonts w:hint="eastAsia" w:ascii="仿宋" w:hAnsi="仿宋" w:eastAsia="仿宋" w:cs="仿宋"/>
                <w:color w:val="auto"/>
                <w:sz w:val="20"/>
                <w:highlight w:val="none"/>
              </w:rPr>
              <w:t>、支持</w:t>
            </w:r>
            <w:r>
              <w:rPr>
                <w:rFonts w:ascii="仿宋" w:hAnsi="仿宋" w:eastAsia="仿宋" w:cs="仿宋"/>
                <w:color w:val="auto"/>
                <w:sz w:val="20"/>
                <w:highlight w:val="none"/>
              </w:rPr>
              <w:t>DHCP Snooping Option82</w:t>
            </w:r>
            <w:r>
              <w:rPr>
                <w:rFonts w:hint="eastAsia" w:ascii="仿宋" w:hAnsi="仿宋" w:eastAsia="仿宋" w:cs="仿宋"/>
                <w:color w:val="auto"/>
                <w:sz w:val="20"/>
                <w:highlight w:val="none"/>
              </w:rPr>
              <w:t>；</w:t>
            </w:r>
          </w:p>
          <w:p>
            <w:pPr>
              <w:wordWrap w:val="0"/>
              <w:jc w:val="left"/>
              <w:rPr>
                <w:rFonts w:ascii="仿宋" w:hAnsi="仿宋" w:eastAsia="仿宋" w:cs="仿宋"/>
                <w:color w:val="auto"/>
                <w:sz w:val="20"/>
                <w:highlight w:val="none"/>
              </w:rPr>
            </w:pPr>
            <w:r>
              <w:rPr>
                <w:rFonts w:hint="eastAsia" w:ascii="仿宋" w:hAnsi="仿宋" w:eastAsia="仿宋" w:cs="仿宋"/>
                <w:color w:val="auto"/>
                <w:sz w:val="20"/>
                <w:highlight w:val="none"/>
              </w:rPr>
              <w:t>8、支持组播</w:t>
            </w:r>
            <w:r>
              <w:rPr>
                <w:rFonts w:ascii="仿宋" w:hAnsi="仿宋" w:eastAsia="仿宋" w:cs="仿宋"/>
                <w:color w:val="auto"/>
                <w:sz w:val="20"/>
                <w:highlight w:val="none"/>
              </w:rPr>
              <w:t>IGMP V1/V2/V3 Snooping</w:t>
            </w:r>
            <w:r>
              <w:rPr>
                <w:rFonts w:hint="eastAsia" w:ascii="仿宋" w:hAnsi="仿宋" w:eastAsia="仿宋" w:cs="仿宋"/>
                <w:color w:val="auto"/>
                <w:sz w:val="20"/>
                <w:highlight w:val="none"/>
              </w:rPr>
              <w:t>；</w:t>
            </w:r>
          </w:p>
          <w:p>
            <w:pPr>
              <w:wordWrap w:val="0"/>
              <w:jc w:val="left"/>
              <w:rPr>
                <w:rFonts w:ascii="仿宋" w:hAnsi="仿宋" w:eastAsia="仿宋" w:cs="仿宋"/>
                <w:color w:val="auto"/>
                <w:sz w:val="20"/>
                <w:highlight w:val="none"/>
              </w:rPr>
            </w:pPr>
            <w:r>
              <w:rPr>
                <w:rFonts w:hint="eastAsia" w:ascii="仿宋" w:hAnsi="仿宋" w:eastAsia="仿宋" w:cs="仿宋"/>
                <w:color w:val="auto"/>
                <w:sz w:val="20"/>
                <w:highlight w:val="none"/>
              </w:rPr>
              <w:t>9、工作温度：</w:t>
            </w:r>
            <w:r>
              <w:rPr>
                <w:rFonts w:ascii="仿宋" w:hAnsi="仿宋" w:eastAsia="仿宋" w:cs="仿宋"/>
                <w:color w:val="auto"/>
                <w:sz w:val="20"/>
                <w:highlight w:val="none"/>
              </w:rPr>
              <w:t>-40</w:t>
            </w:r>
            <w:r>
              <w:rPr>
                <w:rFonts w:hint="eastAsia" w:ascii="仿宋" w:hAnsi="仿宋" w:eastAsia="仿宋" w:cs="仿宋"/>
                <w:color w:val="auto"/>
                <w:sz w:val="20"/>
                <w:highlight w:val="none"/>
              </w:rPr>
              <w:t>℃</w:t>
            </w:r>
            <w:r>
              <w:rPr>
                <w:rFonts w:ascii="仿宋" w:hAnsi="仿宋" w:eastAsia="仿宋" w:cs="仿宋"/>
                <w:color w:val="auto"/>
                <w:sz w:val="20"/>
                <w:highlight w:val="none"/>
              </w:rPr>
              <w:t>~85</w:t>
            </w:r>
            <w:r>
              <w:rPr>
                <w:rFonts w:hint="eastAsia" w:ascii="仿宋" w:hAnsi="仿宋" w:eastAsia="仿宋" w:cs="仿宋"/>
                <w:color w:val="auto"/>
                <w:sz w:val="20"/>
                <w:highlight w:val="none"/>
              </w:rPr>
              <w:t>℃，</w:t>
            </w:r>
            <w:r>
              <w:rPr>
                <w:rFonts w:ascii="仿宋" w:hAnsi="仿宋" w:eastAsia="仿宋" w:cs="仿宋"/>
                <w:color w:val="auto"/>
                <w:sz w:val="20"/>
                <w:highlight w:val="none"/>
              </w:rPr>
              <w:t>5%~95%</w:t>
            </w:r>
            <w:r>
              <w:rPr>
                <w:rFonts w:hint="eastAsia" w:ascii="仿宋" w:hAnsi="仿宋" w:eastAsia="仿宋" w:cs="仿宋"/>
                <w:color w:val="auto"/>
                <w:sz w:val="20"/>
                <w:highlight w:val="none"/>
              </w:rPr>
              <w:t>，无凝结。</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1.9</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称重控制机柜</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户外柜体</w:t>
            </w: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设备柜，</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1、设备柜采用空调散热，MTBF≥50000h；</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2、使用条件：环境温度：-40℃ ~ +70℃；环境湿度：≤95﹪（+40℃时）；大气压力：70KPa ~ 106KPa；</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3</w:t>
            </w:r>
            <w:r>
              <w:rPr>
                <w:rFonts w:hint="eastAsia" w:ascii="仿宋" w:hAnsi="仿宋" w:eastAsia="仿宋" w:cs="仿宋"/>
                <w:color w:val="auto"/>
                <w:sz w:val="20"/>
                <w:highlight w:val="none"/>
              </w:rPr>
              <w:t>、箱体防护等级：</w:t>
            </w:r>
            <w:r>
              <w:rPr>
                <w:rFonts w:ascii="仿宋" w:hAnsi="仿宋" w:eastAsia="仿宋" w:cs="仿宋"/>
                <w:color w:val="auto"/>
                <w:sz w:val="20"/>
                <w:highlight w:val="none"/>
              </w:rPr>
              <w:t>IP55级；</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4、机械强度：各表面承受垂直压力＞980N，门打开后最外端承受垂直压力＞200N；</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5、供电电源：AC220±5%；</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6、落地安装。</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7、含显示器、键盘、鼠标等。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温度调节单元</w:t>
            </w: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1、制冷量：1500W  能效比：1.8；</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2、输入电压：AC220V；</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3、温控方式：智能温控，可根据舱内温度进行自动调节；</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4、防护等级：IP55；</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5、通信方式：RS485。</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交直流机架式配电单元</w:t>
            </w: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机架式配电模块，高度4U，总输入：63A/2P，情报板机柜：1*25A/2P,监控机柜：1*16A/2P，PDU、空调及预留：4*16A/1P，含C级防雷模块（带32A/2P开关）</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PDU</w:t>
            </w: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机柜PDU，单相16A输入，8位10A国标输出</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稳压器</w:t>
            </w: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1、输入电压：单相 185V-250V，三相 320V-430V；</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2、输出电压：单相 220V±1%，三相 380V±1%；</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3、频率：50±2Hz；负载效应：&lt;=±0.5%；</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4、效率：&gt;90%；功率：500VA；</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5、响应时间 20ms-100ms；</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柜内辅材</w:t>
            </w: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内部连接使用的线材、扎带等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1.10</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机柜基础及接地</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含机柜基础施工、接地等。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1.11</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公路治超称重算法系统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软件用来判别车辆特殊过衡状态行驶行为；自动判断正向、逆向行驶行为，准确定义行驶方向和车道；自动判断单车跨道模块，压缝行驶行为，准确合并车辆数据；加强反作弊能力，自动判断超低速、走走停停行为，保证车辆判断不断轴。</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1.12</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车辆实时超重预警抓拍系统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可根据不同路段设置的监控要求，实现单车道，双车道，及多车道的实时抓拍和监控；完成车牌等图像抓拍数据与车辆重量数据的自动匹配，形成完整检测数据；</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1.13</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公路车辆动态行驶数据自动采集系统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车辆通过自动分车，准确判断车辆轴数；全速度段称重满足动态衡器5级标准；0-1km/h超低速修正模块，确保超低速能够准确称重；完成车辆称重数据检测，自动上传匹配完整检测数据。</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车辆识别系统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超限高清号牌抓拍相机(前抓、尾抓、侧抓)</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1、包含摄像机（内置偏振镜）、高清镜头、室外防护罩、风扇、内置补光灯、电源适配器、相机内置防雷模块、安装万向节等</w:t>
            </w:r>
          </w:p>
          <w:p>
            <w:pPr>
              <w:jc w:val="left"/>
              <w:rPr>
                <w:rFonts w:ascii="仿宋" w:hAnsi="仿宋" w:eastAsia="仿宋" w:cs="仿宋"/>
                <w:color w:val="auto"/>
                <w:sz w:val="20"/>
                <w:highlight w:val="none"/>
              </w:rPr>
            </w:pPr>
            <w:r>
              <w:rPr>
                <w:rFonts w:hint="eastAsia" w:ascii="仿宋" w:hAnsi="仿宋" w:eastAsia="仿宋" w:cs="仿宋"/>
                <w:b/>
                <w:bCs/>
                <w:color w:val="auto"/>
                <w:kern w:val="0"/>
                <w:sz w:val="20"/>
                <w:highlight w:val="none"/>
              </w:rPr>
              <w:t>▲</w:t>
            </w:r>
            <w:r>
              <w:rPr>
                <w:rFonts w:hint="eastAsia" w:ascii="仿宋" w:hAnsi="仿宋" w:eastAsia="仿宋" w:cs="仿宋"/>
                <w:color w:val="auto"/>
                <w:sz w:val="20"/>
                <w:highlight w:val="none"/>
              </w:rPr>
              <w:t>2、像素：900W</w:t>
            </w:r>
          </w:p>
          <w:p>
            <w:pPr>
              <w:jc w:val="left"/>
              <w:rPr>
                <w:rFonts w:ascii="仿宋" w:hAnsi="仿宋" w:eastAsia="仿宋" w:cs="仿宋"/>
                <w:color w:val="auto"/>
                <w:sz w:val="20"/>
                <w:highlight w:val="none"/>
              </w:rPr>
            </w:pPr>
            <w:r>
              <w:rPr>
                <w:rFonts w:hint="eastAsia" w:ascii="仿宋" w:hAnsi="仿宋" w:eastAsia="仿宋" w:cs="仿宋"/>
                <w:b/>
                <w:bCs/>
                <w:color w:val="auto"/>
                <w:kern w:val="0"/>
                <w:sz w:val="20"/>
                <w:highlight w:val="none"/>
              </w:rPr>
              <w:t>▲</w:t>
            </w:r>
            <w:r>
              <w:rPr>
                <w:rFonts w:hint="eastAsia" w:ascii="仿宋" w:hAnsi="仿宋" w:eastAsia="仿宋" w:cs="仿宋"/>
                <w:color w:val="auto"/>
                <w:sz w:val="20"/>
                <w:highlight w:val="none"/>
              </w:rPr>
              <w:t>3、分辨率：最大支持4096*2160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4、帧率：25fps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5、镜头：25mm镜头</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6、传感器类型：1英寸全局曝光CMOS（*2）;</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7、防护等级：IP65;</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8、工作温度：温度-30℃~70℃；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9、电源：100VAC～240VAC；频率：48Hz～52Hz;</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10、工作湿度：湿度5%~95%@40℃，无凝结</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11、设备的镜头和两个sensor一体化设计，具有独立三角分光棱镜分光结构装置，分别接收可见光和红外光；</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12、具有车灯去红光设置选项，开启后可去除车灯附近产生的红光；</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13、具有光晕消除设置选项，开启后可消除交通灯周边的光晕效果；</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14、支持26块感兴趣区域(ROI)增强编码功能，ROI区域压缩比0～100可设置；</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15、可识别通过监视画面中的机动车车牌号码，包括大型汽车号牌、挂车号牌、大型新能源汽车号牌、小型汽车号牌、小型新能源汽车号牌、武警车牌、军牌、港澳入出境车号牌、使馆汽车号牌、教练汽车号牌、民航车牌。相机可识别并抓拍垂直倾斜角度≤55°、水平倾斜角度≤35°、俯仰角度≤35°的机动车车牌号码。相机可对80×25至1200 × 380像素的机动车车牌进行抓拍并识别号码；</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16、支持识别改装牛眼灯的大货车的车牌；</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17、配合爆闪灯，可穿透车窗遮光条显示驾驶员头部画面；</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18、具有光晕消除设置选项，开启后可消除交通灯周边的光晕效果。</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三合一补光灯</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1、光源类型：原装进口大功率暖光LED、进口疝气灯管双光源；</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2、LED灯珠数量：24颗暖光，原装进口高亮度LED芯片，寿命长，稳定性好，发光效率高；</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3、功能特性：支持LED暖灯频闪/爆闪，白光气体爆闪，红外爆闪（四种组合补光）；</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4、色温：暖光≤4000K，红外光；</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5、发光角度：经专业光学设计，发光均匀，目标光斑显明，有效减少光污染；</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6、功率：LED最大60W，气体200J（实际功率与控制方式相关）；</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7、爆闪峰值闪光持续时间1/30ms；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8、气体爆闪回电时间：&lt;40ms，在环境光照度小于5001x时能自动关闭；</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9、气体单次闪光能量200J；（气体补光控制具有峰值抑制功能）</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10、闪光指数：≥64m；</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11、响应时间：≤20us；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12、RS485及触发接口：1路RS485，1路频闪触发接口，1路爆闪接口，1路光源切换接口；</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13、防护等级：IP66 可靠防水、防尘；</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14、电源：AC220V±20%，47Hz~63Hz；</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15、工作环境：工作温度-40℃～+70℃，工作湿度10%～90%，无凝结。</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L型监控杆件</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利旧</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2.4</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L杆基础</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利旧</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2.5</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智能抱杆机柜</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抱杆机柜，含强电模块，总输入：不小于1*16A/2P,设备：不小于3*10A/1P。防护等级IP55。</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1、输入断电监测和断网故障诊断；</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2、机箱门异常开启现场声光报警，并将报警信号上传。箱门支持布防/撤防设定，撤防时间可设定，可与维护光源联动；</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3、至少3路可控的220VAC 2A接线端子。至少1路12VDC 1.5A供电，均可远程及本地逻辑控制；</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至少1路12VDC 1A供电端子。远程对1路24VAC与2路12VDC外接适配器输出电源进行控制。</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1路RS485接口、1路RS232接口、一路以太网接口；</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4、监测电量参数，包含但不限于AC220v交流电压、各负载电流等数据；</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5、软件平台B/S架构设计、可开放数据接口与其他系统对接；支持GIS地图管理；支持通过站点反查迅速地图定位；</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支持主流视频厂家图像预览；支持多种数据类型的报表统计与导出；支持大屏展示功能。</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3</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路面视频监控系统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3.1</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高清红外球形摄像机</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400万像素8寸网络高清高速智能球机</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w:t>
            </w:r>
            <w:r>
              <w:rPr>
                <w:rFonts w:ascii="仿宋" w:hAnsi="仿宋" w:eastAsia="仿宋" w:cs="仿宋"/>
                <w:color w:val="auto"/>
                <w:sz w:val="20"/>
                <w:highlight w:val="none"/>
              </w:rPr>
              <w:t>1、传感器类型</w:t>
            </w:r>
            <w:r>
              <w:rPr>
                <w:rFonts w:hint="eastAsia" w:ascii="仿宋" w:hAnsi="仿宋" w:eastAsia="仿宋" w:cs="仿宋"/>
                <w:color w:val="auto"/>
                <w:sz w:val="20"/>
                <w:highlight w:val="none"/>
              </w:rPr>
              <w:t>：</w:t>
            </w:r>
            <w:r>
              <w:rPr>
                <w:rFonts w:ascii="仿宋" w:hAnsi="仿宋" w:eastAsia="仿宋" w:cs="仿宋"/>
                <w:color w:val="auto"/>
                <w:sz w:val="20"/>
                <w:highlight w:val="none"/>
              </w:rPr>
              <w:t xml:space="preserve"> 1/1.8＂progressive scan CMOS</w:t>
            </w:r>
            <w:r>
              <w:rPr>
                <w:rFonts w:hint="eastAsia" w:ascii="仿宋" w:hAnsi="仿宋" w:eastAsia="仿宋" w:cs="仿宋"/>
                <w:color w:val="auto"/>
                <w:sz w:val="20"/>
                <w:highlight w:val="none"/>
              </w:rPr>
              <w:t>；</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2、最低照度: 彩色：0.0004 Lux @（F1.6，AGC ON），黑白：0.0001 Lux @（F1.6，AGC ON），0 Lux with IR；</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3、宽动态: 120 dB超宽动态；</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4、焦距: 6 mm~150 mm，25×光学；</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5、红外照射距离: 200 m；</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6、主码流帧率分辨率: 50 Hz：25 fps（2560 × 1440）；60 Hz：30 fps（2560 × 1440）；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7、防护: IP67；</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8、支持三种智能资源切换：Smart事件、道路监控、人脸抓拍；</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9、Smart事件：越界侦测，区域入侵侦测，进入/离开区域侦测等智能侦测功能；</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10、道路监控：支持车辆检测（支持车牌识别，车型/车身颜色/车牌颜色识别）和混行检测，车牌捕获及检索、多场景巡航检测、云存储服务功能；</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11、人脸抓拍：支持同时抓拍30张人脸，支持对运动人脸进行检测、跟踪、抓拍、评分、筛选，输出最优的人脸抓图；</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12、支持GB35114安全加密；</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13、设备补光自动模式，设备具有亮度限制调节功能，限制等级在0~100可调。具有白光增强设置选项，开启后，在夜晚模式下，可开启白光灯，白光亮度等级在0~100可调；</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14、白光灯色温为：3000K，红外灯光波长为：750nm；</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15、设备红外光利用率不小于80%；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16、在IE浏览器下，可通过手机扫描预览界面上的二维码获取设备资料。</w:t>
            </w:r>
          </w:p>
        </w:tc>
        <w:tc>
          <w:tcPr>
            <w:tcW w:w="43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3.2</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硬盘录像机</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1、1U标准机架式，3盘位录像机，ATX电源，可满配30T；</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2、报警IO接口：4路报警输入， 1路报警输出；</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3、串行接口：1路全双工485接口；</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4、输入带宽：320Mbps；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5、输出带宽：256Mbps；</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6、接入能力：32路H.264、H.265格式高清码流接入；</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7、解码能力：最大支持24×1080P解码；</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8、CVBS接口支持10档亮度调节；支持PAL和NTSC制式切换；</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9、设备具有1个HDMI接口，1个VGA接口，1个CVBS接口，支持3组异源输出，每组输出可独立配置全局音频预览；</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10、支持OTA升级功能，支持手动检查和设备自动检查云端升级包，自动升级，支持云端定向升级发布包，可根据设备序列号范围推送指定的升级包。</w:t>
            </w:r>
          </w:p>
        </w:tc>
        <w:tc>
          <w:tcPr>
            <w:tcW w:w="43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3.3</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监控硬盘</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4T</w:t>
            </w:r>
          </w:p>
        </w:tc>
        <w:tc>
          <w:tcPr>
            <w:tcW w:w="43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块</w:t>
            </w:r>
          </w:p>
        </w:tc>
        <w:tc>
          <w:tcPr>
            <w:tcW w:w="61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3</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4</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路面情报发布系统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F式情报板</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1、尺寸：3.2m×1.6m（F 型）；</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2、LED 像素点间距：10mm；</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3、LED 配比：双基色；LED 视认角：≥30°；</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4、显示亮度：≥5000cd/m2；LED 平均寿命为≥10000 小时；</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5、失控率：≤1‰；</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6、含异步控制卡。</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4.2</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F型杆件</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F型立杆φ325*8mm，杆架进行热镀锌处理；屏体安装后最下部离地不小于5.5m。</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F杆基础及接地</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含情报杆基础施工、支模、吊装等。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4.4</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智能抱杆机柜</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参数要求同2.5</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4.5</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熔纤盒</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4口光纤熔接盒</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个</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4.6</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光纤收发器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4电1光，单模，20km级</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5</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桥梁抓拍系统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超限高清号牌抓拍相机（上桥取证）</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参数要求同2.1</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三合一补光灯</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参数要求同2.2</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L型监控杆件</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借交警杆</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5.4</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L杆基础</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借交警杆</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5.5</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智能抱杆机柜</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参数要求同2.5</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5.6</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熔纤盒</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4口光纤熔接盒</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个</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5.7</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光纤收发器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4电1光，单模，20km级</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6</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路面安全防护设施及标志</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6.1</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道路交通标识线</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称重区域前后标线重新改造实线，满足道路交通标志和标线(GB5768.2-2022)设计规范。</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约100</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6.2</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点位提示牌</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超限超载提示牌（悬臂式），符合国家规范；版面内容：“限重40t，前方X00m，超限检测”； 版面尺寸：3m*1.8m。</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悬臂式标牌杆件</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悬臂式标牌杆件：立柱φ273*6mm，杆架进行热镀锌处理。</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6.4</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悬臂式标牌杆件基础</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含标志杆基础施工、支模、吊装等。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6.5</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抓拍提示牌</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版面内容：“限重40t，超限抓拍”； 版面尺寸：1300mm*380mm</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块</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2</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抱后抓拍杆件安装</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6.6</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预告提示牌</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版面内容：“限重40t，左转/右转/直行X00m，超限检测”；版面尺寸：1800mm*1550mm</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6（视现场情况可调整）</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视现场情况借杆或立杆安装，费用由投标人综合考虑，后续不做调整</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6.7</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安全施工保障措施</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封路设施、设备、人员、安全、环保等文明施工相关费用，包干。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7</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综合管线系统</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用电初装</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卡点既有电路接入。</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运营商专线接入</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卡点数据上传，3年治超数据专线租赁费用。</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年</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3</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卡点电力引入线</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名称：电力电缆；规格:YJV22-3*16mm2;敷设方式:管内敷设；敷设部位:室外；费用包干。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约500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7.4</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电力电缆YJV22-3*6mm2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名称：电力电缆；规格:YJV22-3*6mm2;敷设方式:管内敷设；敷设部位:室外；费用包干。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约460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7.5</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电力电缆YJV22-3*4mm2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名称：电力电缆；规格:YJV22-3*4mm2;敷设方式:管内敷设；敷设部位:室外；费用包干。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约200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7.6</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电源线RVV-3*6.0mm2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名称：信号电缆；规格:RVV-3*6.0mm2;敷设方式:管内敷设；敷设部位:室外；费用包干。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约20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7.7</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电源线RVV-3*1.0mm2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名称：信号电缆；规格:RVV-3*1.0;敷设方式:管内敷设；敷设部位:室外；费用包干。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约800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7.8</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电源线RVV-2*1.0mm2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名称：信号电缆；规格:RVV-2*1.0mm2;敷设方式:管内敷设；敷设部位:室外；费用包干。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约100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7.9</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信号线RVVP-2*1.0mm2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名称：信号电缆；规格:RVVP-2*1.0mm2;敷设方式:管内敷设；敷设部位:室外；费用包干。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约1050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7.10</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信号线RVVP-4*1.5mm2</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名称：信号电缆；规格:RVVP-4*1.5mm2;敷设方式:管内敷设；敷设部位:室外；费用包干。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约100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7.11</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4芯双屏蔽软电缆</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名称：信号电缆；规格:4芯双屏蔽软电缆;敷设方式:管内敷设；敷设部位:室外；费用包干。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约480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7.12</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线缆保护PE管φ50（含施工）</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名称：电缆保护管；材质:PE管；规格φ50;配置形式及部位:室外；费用包干。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约1200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7.13</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线缆保护钢管φ100（含施工）</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名称：电缆过路钢管；材质:钢管；规格φ100;配置形式及部位:室外；费用包干。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约75</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7.14</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室外单模光缆（4芯）</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1、配线形式:管内穿线；</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2、导线型号、材质、规格:室外单模光缆 4芯；</w:t>
            </w:r>
          </w:p>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3、敷设部位:室外；费用包干。。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约500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7.15</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室外网线</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室外六类防水网线</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米</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约600</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超出范围均包干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7.16</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接地装置</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接地铜排3*30，接地引下装置，静电释放网线BVR-6mm²，BVR-16mm²等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7.17</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破路及修复</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传输供电施工时沥青或混凝土，人行道路面开挖和修复，费用包干。</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包干</w:t>
            </w: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7.18</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手孔井</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手孔井500*500*700mm、井盖</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7.19</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线路辅材</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网络防雷、尾纤、水晶头等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8</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计量及检定</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8.1</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称重系统标定调试费</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现场标定调试、车辆租用、</w:t>
            </w:r>
            <w:r>
              <w:rPr>
                <w:rFonts w:hint="eastAsia" w:ascii="宋体" w:hAnsi="宋体" w:cs="宋体"/>
                <w:color w:val="auto"/>
                <w:kern w:val="0"/>
                <w:sz w:val="20"/>
                <w:szCs w:val="20"/>
                <w:highlight w:val="none"/>
              </w:rPr>
              <w:t>交通维护相关费用</w:t>
            </w:r>
            <w:r>
              <w:rPr>
                <w:rFonts w:hint="eastAsia" w:ascii="仿宋" w:hAnsi="仿宋" w:eastAsia="仿宋" w:cs="仿宋"/>
                <w:color w:val="auto"/>
                <w:sz w:val="20"/>
                <w:highlight w:val="none"/>
              </w:rPr>
              <w:t>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9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计量及检定费用</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Cs w:val="21"/>
                <w:highlight w:val="none"/>
              </w:rPr>
              <w:t>计量及检定费用“计量单位首次计量检定，在检定时产生的交通维护相关费用等，及3年质保期内的每年一次计量检定，在检定时产生的</w:t>
            </w:r>
            <w:r>
              <w:rPr>
                <w:rFonts w:hint="eastAsia" w:ascii="仿宋" w:hAnsi="仿宋" w:eastAsia="仿宋" w:cs="仿宋"/>
                <w:color w:val="auto"/>
                <w:kern w:val="0"/>
                <w:szCs w:val="21"/>
                <w:highlight w:val="none"/>
              </w:rPr>
              <w:t>交通维护相关费用</w:t>
            </w:r>
            <w:r>
              <w:rPr>
                <w:rFonts w:hint="eastAsia" w:ascii="仿宋" w:hAnsi="仿宋" w:eastAsia="仿宋" w:cs="仿宋"/>
                <w:color w:val="auto"/>
                <w:szCs w:val="21"/>
                <w:highlight w:val="none"/>
              </w:rPr>
              <w:t>等。”</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车道</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8.3</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非现场处罚视频证据链数据接入</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数据接入“杭州智慧市政平台”</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9</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调试运输费</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9.1</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系统联合调试费</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设备调试费用</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9.2</w:t>
            </w:r>
          </w:p>
        </w:tc>
        <w:tc>
          <w:tcPr>
            <w:tcW w:w="1213"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设备运输费</w:t>
            </w:r>
          </w:p>
        </w:tc>
        <w:tc>
          <w:tcPr>
            <w:tcW w:w="627" w:type="dxa"/>
            <w:tcBorders>
              <w:top w:val="single" w:color="auto" w:sz="4" w:space="0"/>
              <w:left w:val="single" w:color="auto" w:sz="4" w:space="0"/>
              <w:bottom w:val="single" w:color="auto" w:sz="4" w:space="0"/>
              <w:right w:val="single" w:color="auto" w:sz="4" w:space="0"/>
              <w:tl2br w:val="nil"/>
              <w:tr2bl w:val="nil"/>
            </w:tcBorders>
            <w:shd w:val="clear" w:color="auto" w:fill="auto"/>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FFFFFF" w:fill="auto"/>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台面运输及现场小件运输费</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r>
        <w:tblPrEx>
          <w:tblCellMar>
            <w:top w:w="0" w:type="dxa"/>
            <w:left w:w="108" w:type="dxa"/>
            <w:bottom w:w="0" w:type="dxa"/>
            <w:right w:w="108" w:type="dxa"/>
          </w:tblCellMar>
        </w:tblPrEx>
        <w:trPr>
          <w:trHeight w:val="480" w:hRule="atLeast"/>
        </w:trPr>
        <w:tc>
          <w:tcPr>
            <w:tcW w:w="616"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10</w:t>
            </w:r>
          </w:p>
        </w:tc>
        <w:tc>
          <w:tcPr>
            <w:tcW w:w="121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r>
              <w:rPr>
                <w:rFonts w:hint="eastAsia" w:ascii="仿宋" w:hAnsi="仿宋" w:eastAsia="仿宋" w:cs="仿宋"/>
                <w:b/>
                <w:color w:val="auto"/>
                <w:sz w:val="20"/>
                <w:highlight w:val="none"/>
              </w:rPr>
              <w:t>老设备拆除</w:t>
            </w:r>
          </w:p>
        </w:tc>
        <w:tc>
          <w:tcPr>
            <w:tcW w:w="62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433"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617"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c>
          <w:tcPr>
            <w:tcW w:w="1120" w:type="dxa"/>
            <w:tcBorders>
              <w:top w:val="single" w:color="auto" w:sz="4" w:space="0"/>
              <w:left w:val="single" w:color="auto" w:sz="4" w:space="0"/>
              <w:bottom w:val="single" w:color="auto" w:sz="4" w:space="0"/>
              <w:right w:val="single" w:color="auto" w:sz="4" w:space="0"/>
              <w:tl2br w:val="nil"/>
              <w:tr2bl w:val="nil"/>
            </w:tcBorders>
            <w:shd w:val="solid" w:color="C0C0C0" w:fill="auto"/>
          </w:tcPr>
          <w:p>
            <w:pPr>
              <w:jc w:val="center"/>
              <w:rPr>
                <w:rFonts w:ascii="仿宋" w:hAnsi="仿宋" w:eastAsia="仿宋" w:cs="仿宋"/>
                <w:b/>
                <w:color w:val="auto"/>
                <w:sz w:val="20"/>
                <w:highlight w:val="none"/>
              </w:rPr>
            </w:pPr>
          </w:p>
        </w:tc>
      </w:tr>
      <w:tr>
        <w:tblPrEx>
          <w:tblCellMar>
            <w:top w:w="0" w:type="dxa"/>
            <w:left w:w="108" w:type="dxa"/>
            <w:bottom w:w="0" w:type="dxa"/>
            <w:right w:w="108" w:type="dxa"/>
          </w:tblCellMar>
        </w:tblPrEx>
        <w:trPr>
          <w:trHeight w:val="500" w:hRule="atLeast"/>
        </w:trPr>
        <w:tc>
          <w:tcPr>
            <w:tcW w:w="616"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10.1</w:t>
            </w:r>
          </w:p>
        </w:tc>
        <w:tc>
          <w:tcPr>
            <w:tcW w:w="121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老设备拆除费用</w:t>
            </w:r>
          </w:p>
        </w:tc>
        <w:tc>
          <w:tcPr>
            <w:tcW w:w="62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c>
          <w:tcPr>
            <w:tcW w:w="4148" w:type="dxa"/>
            <w:tcBorders>
              <w:top w:val="single" w:color="auto" w:sz="4" w:space="0"/>
              <w:left w:val="single" w:color="auto" w:sz="4" w:space="0"/>
              <w:bottom w:val="single" w:color="auto" w:sz="4" w:space="0"/>
              <w:right w:val="single" w:color="auto" w:sz="4" w:space="0"/>
              <w:tl2br w:val="nil"/>
              <w:tr2bl w:val="nil"/>
            </w:tcBorders>
          </w:tcPr>
          <w:p>
            <w:pPr>
              <w:jc w:val="left"/>
              <w:rPr>
                <w:rFonts w:ascii="仿宋" w:hAnsi="仿宋" w:eastAsia="仿宋" w:cs="仿宋"/>
                <w:color w:val="auto"/>
                <w:sz w:val="20"/>
                <w:highlight w:val="none"/>
              </w:rPr>
            </w:pPr>
            <w:r>
              <w:rPr>
                <w:rFonts w:hint="eastAsia" w:ascii="仿宋" w:hAnsi="仿宋" w:eastAsia="仿宋" w:cs="仿宋"/>
                <w:color w:val="auto"/>
                <w:sz w:val="20"/>
                <w:highlight w:val="none"/>
              </w:rPr>
              <w:t>原石英称台、混凝土路面、废弃情报板及部分杆件设备等的拆除清运费用</w:t>
            </w:r>
          </w:p>
        </w:tc>
        <w:tc>
          <w:tcPr>
            <w:tcW w:w="433"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项</w:t>
            </w:r>
          </w:p>
        </w:tc>
        <w:tc>
          <w:tcPr>
            <w:tcW w:w="617"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r>
              <w:rPr>
                <w:rFonts w:hint="eastAsia" w:ascii="仿宋" w:hAnsi="仿宋" w:eastAsia="仿宋" w:cs="仿宋"/>
                <w:color w:val="auto"/>
                <w:sz w:val="20"/>
                <w:highlight w:val="none"/>
              </w:rPr>
              <w:t>1</w:t>
            </w:r>
          </w:p>
        </w:tc>
        <w:tc>
          <w:tcPr>
            <w:tcW w:w="1120" w:type="dxa"/>
            <w:tcBorders>
              <w:top w:val="single" w:color="auto" w:sz="4" w:space="0"/>
              <w:left w:val="single" w:color="auto" w:sz="4" w:space="0"/>
              <w:bottom w:val="single" w:color="auto" w:sz="4" w:space="0"/>
              <w:right w:val="single" w:color="auto" w:sz="4" w:space="0"/>
              <w:tl2br w:val="nil"/>
              <w:tr2bl w:val="nil"/>
            </w:tcBorders>
          </w:tcPr>
          <w:p>
            <w:pPr>
              <w:jc w:val="center"/>
              <w:rPr>
                <w:rFonts w:ascii="仿宋" w:hAnsi="仿宋" w:eastAsia="仿宋" w:cs="仿宋"/>
                <w:color w:val="auto"/>
                <w:sz w:val="20"/>
                <w:highlight w:val="none"/>
              </w:rPr>
            </w:pPr>
          </w:p>
        </w:tc>
      </w:tr>
    </w:tbl>
    <w:p>
      <w:pPr>
        <w:ind w:firstLine="422" w:firstLineChars="200"/>
        <w:rPr>
          <w:rFonts w:ascii="仿宋" w:hAnsi="仿宋" w:eastAsia="仿宋" w:cs="仿宋"/>
          <w:b/>
          <w:bCs/>
          <w:color w:val="auto"/>
          <w:highlight w:val="none"/>
        </w:rPr>
      </w:pPr>
      <w:r>
        <w:rPr>
          <w:rFonts w:hint="eastAsia" w:ascii="仿宋" w:hAnsi="仿宋" w:eastAsia="仿宋" w:cs="仿宋"/>
          <w:b/>
          <w:bCs/>
          <w:color w:val="auto"/>
          <w:highlight w:val="none"/>
        </w:rPr>
        <w:t>备注：</w:t>
      </w:r>
    </w:p>
    <w:p>
      <w:pPr>
        <w:ind w:firstLine="422" w:firstLineChars="200"/>
        <w:rPr>
          <w:rFonts w:ascii="仿宋" w:hAnsi="仿宋" w:eastAsia="仿宋" w:cs="仿宋"/>
          <w:b/>
          <w:bCs/>
          <w:color w:val="auto"/>
          <w:highlight w:val="none"/>
        </w:rPr>
      </w:pPr>
      <w:r>
        <w:rPr>
          <w:rFonts w:hint="eastAsia" w:ascii="仿宋" w:hAnsi="仿宋" w:eastAsia="仿宋" w:cs="仿宋"/>
          <w:b/>
          <w:bCs/>
          <w:color w:val="auto"/>
          <w:highlight w:val="none"/>
        </w:rPr>
        <w:t>（1）本项目为“交钥匙”项目，投标人根据采购需求和技术要求深化系统方案、供货、安装、调试、试运行，直至验收合格，若投标人认为完成本项目应增加设施设备的，在报价表里单列；本项目中采购软件均要求正版。</w:t>
      </w:r>
      <w:bookmarkEnd w:id="47"/>
      <w:bookmarkEnd w:id="48"/>
      <w:bookmarkEnd w:id="49"/>
      <w:bookmarkStart w:id="50" w:name="_Toc6657"/>
      <w:bookmarkStart w:id="51" w:name="_Toc24799"/>
      <w:bookmarkStart w:id="52" w:name="_Toc14411"/>
      <w:bookmarkStart w:id="53" w:name="_Toc28895"/>
      <w:bookmarkStart w:id="54" w:name="_Toc12173"/>
      <w:bookmarkStart w:id="55" w:name="_Toc22598"/>
    </w:p>
    <w:p>
      <w:pPr>
        <w:ind w:firstLine="422" w:firstLineChars="200"/>
        <w:rPr>
          <w:rFonts w:ascii="仿宋" w:hAnsi="仿宋" w:eastAsia="仿宋" w:cs="仿宋"/>
          <w:b/>
          <w:bCs/>
          <w:color w:val="auto"/>
          <w:highlight w:val="none"/>
        </w:rPr>
      </w:pPr>
      <w:r>
        <w:rPr>
          <w:rFonts w:hint="eastAsia" w:ascii="仿宋" w:hAnsi="仿宋" w:eastAsia="仿宋" w:cs="仿宋"/>
          <w:b/>
          <w:bCs/>
          <w:color w:val="auto"/>
          <w:highlight w:val="none"/>
        </w:rPr>
        <w:t>（</w:t>
      </w:r>
      <w:r>
        <w:rPr>
          <w:rFonts w:ascii="仿宋" w:hAnsi="仿宋" w:eastAsia="仿宋" w:cs="仿宋"/>
          <w:b/>
          <w:bCs/>
          <w:color w:val="auto"/>
          <w:highlight w:val="none"/>
        </w:rPr>
        <w:t>2</w:t>
      </w:r>
      <w:r>
        <w:rPr>
          <w:rFonts w:hint="eastAsia" w:ascii="仿宋" w:hAnsi="仿宋" w:eastAsia="仿宋" w:cs="仿宋"/>
          <w:b/>
          <w:bCs/>
          <w:color w:val="auto"/>
          <w:highlight w:val="none"/>
        </w:rPr>
        <w:t>）拆除的老旧设备按招标人要求堆放到指定地点。</w:t>
      </w:r>
    </w:p>
    <w:p>
      <w:pPr>
        <w:pStyle w:val="2"/>
        <w:rPr>
          <w:color w:val="auto"/>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p>
    <w:p>
      <w:pPr>
        <w:wordWrap w:val="0"/>
        <w:snapToGrid w:val="0"/>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56" w:name="_Toc184314435"/>
      <w:bookmarkEnd w:id="56"/>
      <w:bookmarkStart w:id="57" w:name="_Toc184310291"/>
      <w:bookmarkEnd w:id="57"/>
      <w:bookmarkStart w:id="58" w:name="_Toc184310274"/>
      <w:bookmarkEnd w:id="58"/>
      <w:bookmarkStart w:id="59" w:name="_Toc184310330"/>
      <w:bookmarkEnd w:id="59"/>
      <w:bookmarkStart w:id="60" w:name="_Toc184313296"/>
      <w:bookmarkEnd w:id="60"/>
      <w:bookmarkStart w:id="61" w:name="_Toc184310344"/>
      <w:bookmarkEnd w:id="61"/>
      <w:bookmarkStart w:id="62" w:name="_Toc184312109"/>
      <w:bookmarkEnd w:id="62"/>
      <w:bookmarkStart w:id="63" w:name="_Toc184312133"/>
      <w:bookmarkEnd w:id="63"/>
      <w:bookmarkStart w:id="64" w:name="_Toc184310294"/>
      <w:bookmarkEnd w:id="64"/>
      <w:bookmarkStart w:id="65" w:name="_Toc184308071"/>
      <w:bookmarkEnd w:id="65"/>
      <w:bookmarkStart w:id="66" w:name="_Toc184310290"/>
      <w:bookmarkEnd w:id="66"/>
      <w:bookmarkStart w:id="67" w:name="_Toc184308052"/>
      <w:bookmarkEnd w:id="67"/>
      <w:bookmarkStart w:id="68" w:name="_Toc184312098"/>
      <w:bookmarkEnd w:id="68"/>
      <w:bookmarkStart w:id="69" w:name="_Toc184314426"/>
      <w:bookmarkEnd w:id="69"/>
      <w:bookmarkStart w:id="70" w:name="_Toc184310284"/>
      <w:bookmarkEnd w:id="70"/>
      <w:bookmarkStart w:id="71" w:name="_Toc184308073"/>
      <w:bookmarkEnd w:id="71"/>
      <w:bookmarkStart w:id="72" w:name="_Toc184308077"/>
      <w:bookmarkEnd w:id="72"/>
      <w:bookmarkStart w:id="73" w:name="_Toc184314447"/>
      <w:bookmarkEnd w:id="73"/>
      <w:bookmarkStart w:id="74" w:name="_Toc184313293"/>
      <w:bookmarkEnd w:id="74"/>
      <w:bookmarkStart w:id="75" w:name="_Toc184314477"/>
      <w:bookmarkEnd w:id="75"/>
      <w:bookmarkStart w:id="76" w:name="_Toc184313245"/>
      <w:bookmarkEnd w:id="76"/>
      <w:bookmarkStart w:id="77" w:name="_Toc184308065"/>
      <w:bookmarkEnd w:id="77"/>
      <w:bookmarkStart w:id="78" w:name="_Toc184313248"/>
      <w:bookmarkEnd w:id="78"/>
      <w:bookmarkStart w:id="79" w:name="_Toc184313271"/>
      <w:bookmarkEnd w:id="79"/>
      <w:bookmarkStart w:id="80" w:name="_Toc184314448"/>
      <w:bookmarkEnd w:id="80"/>
      <w:bookmarkStart w:id="81" w:name="_Toc184312094"/>
      <w:bookmarkEnd w:id="81"/>
      <w:bookmarkStart w:id="82" w:name="_Toc184313246"/>
      <w:bookmarkEnd w:id="82"/>
      <w:bookmarkStart w:id="83" w:name="_Toc184310318"/>
      <w:bookmarkEnd w:id="83"/>
      <w:bookmarkStart w:id="84" w:name="_Toc184314481"/>
      <w:bookmarkEnd w:id="84"/>
      <w:bookmarkStart w:id="85" w:name="_Toc184312093"/>
      <w:bookmarkEnd w:id="85"/>
      <w:bookmarkStart w:id="86" w:name="_Toc184313249"/>
      <w:bookmarkEnd w:id="86"/>
      <w:bookmarkStart w:id="87" w:name="_Toc184312128"/>
      <w:bookmarkEnd w:id="87"/>
      <w:bookmarkStart w:id="88" w:name="_Toc184308089"/>
      <w:bookmarkEnd w:id="88"/>
      <w:bookmarkStart w:id="89" w:name="_Toc184313283"/>
      <w:bookmarkEnd w:id="89"/>
      <w:bookmarkStart w:id="90" w:name="_Toc184313252"/>
      <w:bookmarkEnd w:id="90"/>
      <w:bookmarkStart w:id="91" w:name="_Toc184308061"/>
      <w:bookmarkEnd w:id="91"/>
      <w:bookmarkStart w:id="92" w:name="_Toc184310325"/>
      <w:bookmarkEnd w:id="92"/>
      <w:bookmarkStart w:id="93" w:name="_Toc184312103"/>
      <w:bookmarkEnd w:id="93"/>
      <w:bookmarkStart w:id="94" w:name="_Toc184310336"/>
      <w:bookmarkEnd w:id="94"/>
      <w:bookmarkStart w:id="95" w:name="_Toc184312106"/>
      <w:bookmarkEnd w:id="95"/>
      <w:bookmarkStart w:id="96" w:name="_Toc184313264"/>
      <w:bookmarkEnd w:id="96"/>
      <w:bookmarkStart w:id="97" w:name="_Toc184314471"/>
      <w:bookmarkEnd w:id="97"/>
      <w:bookmarkStart w:id="98" w:name="_Toc184312068"/>
      <w:bookmarkEnd w:id="98"/>
      <w:bookmarkStart w:id="99" w:name="_Toc184313284"/>
      <w:bookmarkEnd w:id="99"/>
      <w:bookmarkStart w:id="100" w:name="_Toc184312079"/>
      <w:bookmarkEnd w:id="100"/>
      <w:bookmarkStart w:id="101" w:name="_Toc184314427"/>
      <w:bookmarkEnd w:id="101"/>
      <w:bookmarkStart w:id="102" w:name="_Toc184312069"/>
      <w:bookmarkEnd w:id="102"/>
      <w:bookmarkStart w:id="103" w:name="_Toc184312115"/>
      <w:bookmarkEnd w:id="103"/>
      <w:bookmarkStart w:id="104" w:name="_Toc184314424"/>
      <w:bookmarkEnd w:id="104"/>
      <w:bookmarkStart w:id="105" w:name="_Toc184312075"/>
      <w:bookmarkEnd w:id="105"/>
      <w:bookmarkStart w:id="106" w:name="_Toc184313268"/>
      <w:bookmarkEnd w:id="106"/>
      <w:bookmarkStart w:id="107" w:name="_Toc184313295"/>
      <w:bookmarkEnd w:id="107"/>
      <w:bookmarkStart w:id="108" w:name="_Toc184313300"/>
      <w:bookmarkEnd w:id="108"/>
      <w:bookmarkStart w:id="109" w:name="_Toc184310343"/>
      <w:bookmarkEnd w:id="109"/>
      <w:bookmarkStart w:id="110" w:name="_Toc184314419"/>
      <w:bookmarkEnd w:id="110"/>
      <w:bookmarkStart w:id="111" w:name="_Toc184314440"/>
      <w:bookmarkEnd w:id="111"/>
      <w:bookmarkStart w:id="112" w:name="_Toc184308102"/>
      <w:bookmarkEnd w:id="112"/>
      <w:bookmarkStart w:id="113" w:name="_Toc184308094"/>
      <w:bookmarkEnd w:id="113"/>
      <w:bookmarkStart w:id="114" w:name="_Toc184308082"/>
      <w:bookmarkEnd w:id="114"/>
      <w:bookmarkStart w:id="115" w:name="_Toc184310295"/>
      <w:bookmarkEnd w:id="115"/>
      <w:bookmarkStart w:id="116" w:name="_Toc184314438"/>
      <w:bookmarkEnd w:id="116"/>
      <w:bookmarkStart w:id="117" w:name="_Toc184313294"/>
      <w:bookmarkEnd w:id="117"/>
      <w:bookmarkStart w:id="118" w:name="_Toc184314445"/>
      <w:bookmarkEnd w:id="118"/>
      <w:bookmarkStart w:id="119" w:name="_Toc184310300"/>
      <w:bookmarkEnd w:id="119"/>
      <w:bookmarkStart w:id="120" w:name="_Toc184310319"/>
      <w:bookmarkEnd w:id="120"/>
      <w:bookmarkStart w:id="121" w:name="_Toc184314416"/>
      <w:bookmarkEnd w:id="121"/>
      <w:bookmarkStart w:id="122" w:name="_Toc184312080"/>
      <w:bookmarkEnd w:id="122"/>
      <w:bookmarkStart w:id="123" w:name="_Toc184310310"/>
      <w:bookmarkEnd w:id="123"/>
      <w:bookmarkStart w:id="124" w:name="_Toc184314450"/>
      <w:bookmarkEnd w:id="124"/>
      <w:bookmarkStart w:id="125" w:name="_Toc184308055"/>
      <w:bookmarkEnd w:id="125"/>
      <w:bookmarkStart w:id="126" w:name="_Toc184312097"/>
      <w:bookmarkEnd w:id="126"/>
      <w:bookmarkStart w:id="127" w:name="_Toc184313288"/>
      <w:bookmarkEnd w:id="127"/>
      <w:bookmarkStart w:id="128" w:name="_Toc184313274"/>
      <w:bookmarkEnd w:id="128"/>
      <w:bookmarkStart w:id="129" w:name="_Toc184310314"/>
      <w:bookmarkEnd w:id="129"/>
      <w:bookmarkStart w:id="130" w:name="_Toc184308107"/>
      <w:bookmarkEnd w:id="130"/>
      <w:bookmarkStart w:id="131" w:name="_Toc184313298"/>
      <w:bookmarkEnd w:id="131"/>
      <w:bookmarkStart w:id="132" w:name="_Toc184308054"/>
      <w:bookmarkEnd w:id="132"/>
      <w:bookmarkStart w:id="133" w:name="_Toc184310292"/>
      <w:bookmarkEnd w:id="133"/>
      <w:bookmarkStart w:id="134" w:name="_Toc184308039"/>
      <w:bookmarkEnd w:id="134"/>
      <w:bookmarkStart w:id="135" w:name="_Toc184310280"/>
      <w:bookmarkEnd w:id="135"/>
      <w:bookmarkStart w:id="136" w:name="_Toc184310316"/>
      <w:bookmarkEnd w:id="136"/>
      <w:bookmarkStart w:id="137" w:name="_Toc184310298"/>
      <w:bookmarkEnd w:id="137"/>
      <w:bookmarkStart w:id="138" w:name="_Toc184312089"/>
      <w:bookmarkEnd w:id="138"/>
      <w:bookmarkStart w:id="139" w:name="_Toc184313276"/>
      <w:bookmarkEnd w:id="139"/>
      <w:bookmarkStart w:id="140" w:name="_Toc184312138"/>
      <w:bookmarkEnd w:id="140"/>
      <w:bookmarkStart w:id="141" w:name="_Toc184314468"/>
      <w:bookmarkEnd w:id="141"/>
      <w:bookmarkStart w:id="142" w:name="_Toc184312130"/>
      <w:bookmarkEnd w:id="142"/>
      <w:bookmarkStart w:id="143" w:name="_Toc184313282"/>
      <w:bookmarkEnd w:id="143"/>
      <w:bookmarkStart w:id="144" w:name="_Toc184310303"/>
      <w:bookmarkEnd w:id="144"/>
      <w:bookmarkStart w:id="145" w:name="_Toc184308050"/>
      <w:bookmarkEnd w:id="145"/>
      <w:bookmarkStart w:id="146" w:name="_Toc184312078"/>
      <w:bookmarkEnd w:id="146"/>
      <w:bookmarkStart w:id="147" w:name="_Toc184313306"/>
      <w:bookmarkEnd w:id="147"/>
      <w:bookmarkStart w:id="148" w:name="_Toc184314418"/>
      <w:bookmarkEnd w:id="148"/>
      <w:bookmarkStart w:id="149" w:name="_Toc184312137"/>
      <w:bookmarkEnd w:id="149"/>
      <w:bookmarkStart w:id="150" w:name="_Toc184308042"/>
      <w:bookmarkEnd w:id="150"/>
      <w:bookmarkStart w:id="151" w:name="_Toc184312095"/>
      <w:bookmarkEnd w:id="151"/>
      <w:bookmarkStart w:id="152" w:name="_Toc184310312"/>
      <w:bookmarkEnd w:id="152"/>
      <w:bookmarkStart w:id="153" w:name="_Toc184308072"/>
      <w:bookmarkEnd w:id="153"/>
      <w:bookmarkStart w:id="154" w:name="_Toc184312127"/>
      <w:bookmarkEnd w:id="154"/>
      <w:bookmarkStart w:id="155" w:name="_Toc184313263"/>
      <w:bookmarkEnd w:id="155"/>
      <w:bookmarkStart w:id="156" w:name="_Toc184314431"/>
      <w:bookmarkEnd w:id="156"/>
      <w:bookmarkStart w:id="157" w:name="_Toc184308088"/>
      <w:bookmarkEnd w:id="157"/>
      <w:bookmarkStart w:id="158" w:name="_Toc184308086"/>
      <w:bookmarkEnd w:id="158"/>
      <w:bookmarkStart w:id="159" w:name="_Toc184313272"/>
      <w:bookmarkEnd w:id="159"/>
      <w:bookmarkStart w:id="160" w:name="_Toc184313261"/>
      <w:bookmarkEnd w:id="160"/>
      <w:bookmarkStart w:id="161" w:name="_Toc184313266"/>
      <w:bookmarkEnd w:id="161"/>
      <w:bookmarkStart w:id="162" w:name="_Toc184310301"/>
      <w:bookmarkEnd w:id="162"/>
      <w:bookmarkStart w:id="163" w:name="_Toc184312067"/>
      <w:bookmarkEnd w:id="163"/>
      <w:bookmarkStart w:id="164" w:name="_Toc184310289"/>
      <w:bookmarkEnd w:id="164"/>
      <w:bookmarkStart w:id="165" w:name="_Toc184308100"/>
      <w:bookmarkEnd w:id="165"/>
      <w:bookmarkStart w:id="166" w:name="_Toc184310311"/>
      <w:bookmarkEnd w:id="166"/>
      <w:bookmarkStart w:id="167" w:name="_Toc184313267"/>
      <w:bookmarkEnd w:id="167"/>
      <w:bookmarkStart w:id="168" w:name="_Toc184310299"/>
      <w:bookmarkEnd w:id="168"/>
      <w:bookmarkStart w:id="169" w:name="_Toc184314461"/>
      <w:bookmarkEnd w:id="169"/>
      <w:bookmarkStart w:id="170" w:name="_Toc184310278"/>
      <w:bookmarkEnd w:id="170"/>
      <w:bookmarkStart w:id="171" w:name="_Toc184313290"/>
      <w:bookmarkEnd w:id="171"/>
      <w:bookmarkStart w:id="172" w:name="_Toc184308064"/>
      <w:bookmarkEnd w:id="172"/>
      <w:bookmarkStart w:id="173" w:name="_Toc184314441"/>
      <w:bookmarkEnd w:id="173"/>
      <w:bookmarkStart w:id="174" w:name="_Toc184308062"/>
      <w:bookmarkEnd w:id="174"/>
      <w:bookmarkStart w:id="175" w:name="_Toc184308051"/>
      <w:bookmarkEnd w:id="175"/>
      <w:bookmarkStart w:id="176" w:name="_Toc184308076"/>
      <w:bookmarkEnd w:id="176"/>
      <w:bookmarkStart w:id="177" w:name="_Toc184308090"/>
      <w:bookmarkEnd w:id="177"/>
      <w:bookmarkStart w:id="178" w:name="_Toc184312110"/>
      <w:bookmarkEnd w:id="178"/>
      <w:bookmarkStart w:id="179" w:name="_Toc184314437"/>
      <w:bookmarkEnd w:id="179"/>
      <w:bookmarkStart w:id="180" w:name="_Toc184312111"/>
      <w:bookmarkEnd w:id="180"/>
      <w:bookmarkStart w:id="181" w:name="_Toc184308047"/>
      <w:bookmarkEnd w:id="181"/>
      <w:bookmarkStart w:id="182" w:name="_Toc184312070"/>
      <w:bookmarkEnd w:id="182"/>
      <w:bookmarkStart w:id="183" w:name="_Toc184313255"/>
      <w:bookmarkEnd w:id="183"/>
      <w:bookmarkStart w:id="184" w:name="_Toc184310328"/>
      <w:bookmarkEnd w:id="184"/>
      <w:bookmarkStart w:id="185" w:name="_Toc184312118"/>
      <w:bookmarkEnd w:id="185"/>
      <w:bookmarkStart w:id="186" w:name="_Toc184308096"/>
      <w:bookmarkEnd w:id="186"/>
      <w:bookmarkStart w:id="187" w:name="_Toc184313260"/>
      <w:bookmarkEnd w:id="187"/>
      <w:bookmarkStart w:id="188" w:name="_Toc184313257"/>
      <w:bookmarkEnd w:id="188"/>
      <w:bookmarkStart w:id="189" w:name="_Toc184308103"/>
      <w:bookmarkEnd w:id="189"/>
      <w:bookmarkStart w:id="190" w:name="_Toc184308091"/>
      <w:bookmarkEnd w:id="190"/>
      <w:bookmarkStart w:id="191" w:name="_Toc184314482"/>
      <w:bookmarkEnd w:id="191"/>
      <w:bookmarkStart w:id="192" w:name="_Toc184312085"/>
      <w:bookmarkEnd w:id="192"/>
      <w:bookmarkStart w:id="193" w:name="_Toc184312119"/>
      <w:bookmarkEnd w:id="193"/>
      <w:bookmarkStart w:id="194" w:name="_Toc184313310"/>
      <w:bookmarkEnd w:id="194"/>
      <w:bookmarkStart w:id="195" w:name="_Toc184314423"/>
      <w:bookmarkEnd w:id="195"/>
      <w:bookmarkStart w:id="196" w:name="_Toc184308037"/>
      <w:bookmarkEnd w:id="196"/>
      <w:bookmarkStart w:id="197" w:name="_Toc184308045"/>
      <w:bookmarkEnd w:id="197"/>
      <w:bookmarkStart w:id="198" w:name="_Toc184313269"/>
      <w:bookmarkEnd w:id="198"/>
      <w:bookmarkStart w:id="199" w:name="_Toc184313305"/>
      <w:bookmarkEnd w:id="199"/>
      <w:bookmarkStart w:id="200" w:name="_Toc184310323"/>
      <w:bookmarkEnd w:id="200"/>
      <w:bookmarkStart w:id="201" w:name="_Toc184308105"/>
      <w:bookmarkEnd w:id="201"/>
      <w:bookmarkStart w:id="202" w:name="_Toc184308063"/>
      <w:bookmarkEnd w:id="202"/>
      <w:bookmarkStart w:id="203" w:name="_Toc184313309"/>
      <w:bookmarkEnd w:id="203"/>
      <w:bookmarkStart w:id="204" w:name="_Toc184308041"/>
      <w:bookmarkEnd w:id="204"/>
      <w:bookmarkStart w:id="205" w:name="_Toc184310342"/>
      <w:bookmarkEnd w:id="205"/>
      <w:bookmarkStart w:id="206" w:name="_Toc184308108"/>
      <w:bookmarkEnd w:id="206"/>
      <w:bookmarkStart w:id="207" w:name="_Toc184313299"/>
      <w:bookmarkEnd w:id="207"/>
      <w:bookmarkStart w:id="208" w:name="_Toc184314411"/>
      <w:bookmarkEnd w:id="208"/>
      <w:bookmarkStart w:id="209" w:name="_Toc184308080"/>
      <w:bookmarkEnd w:id="209"/>
      <w:bookmarkStart w:id="210" w:name="_Toc184312120"/>
      <w:bookmarkEnd w:id="210"/>
      <w:bookmarkStart w:id="211" w:name="_Toc184314460"/>
      <w:bookmarkEnd w:id="211"/>
      <w:bookmarkStart w:id="212" w:name="_Toc184313258"/>
      <w:bookmarkEnd w:id="212"/>
      <w:bookmarkStart w:id="213" w:name="_Toc184312096"/>
      <w:bookmarkEnd w:id="213"/>
      <w:bookmarkStart w:id="214" w:name="_Toc184310309"/>
      <w:bookmarkEnd w:id="214"/>
      <w:bookmarkStart w:id="215" w:name="_Toc184310337"/>
      <w:bookmarkEnd w:id="215"/>
      <w:bookmarkStart w:id="216" w:name="_Toc184313285"/>
      <w:bookmarkEnd w:id="216"/>
      <w:bookmarkStart w:id="217" w:name="_Toc184312086"/>
      <w:bookmarkEnd w:id="217"/>
      <w:bookmarkStart w:id="218" w:name="_Toc184310321"/>
      <w:bookmarkEnd w:id="218"/>
      <w:bookmarkStart w:id="219" w:name="_Toc184312121"/>
      <w:bookmarkEnd w:id="219"/>
      <w:bookmarkStart w:id="220" w:name="_Toc184312083"/>
      <w:bookmarkEnd w:id="220"/>
      <w:bookmarkStart w:id="221" w:name="_Toc184313242"/>
      <w:bookmarkEnd w:id="221"/>
      <w:bookmarkStart w:id="222" w:name="_Toc184313304"/>
      <w:bookmarkEnd w:id="222"/>
      <w:bookmarkStart w:id="223" w:name="_Toc184312071"/>
      <w:bookmarkEnd w:id="223"/>
      <w:bookmarkStart w:id="224" w:name="_Toc184314444"/>
      <w:bookmarkEnd w:id="224"/>
      <w:bookmarkStart w:id="225" w:name="_Toc184314425"/>
      <w:bookmarkEnd w:id="225"/>
      <w:bookmarkStart w:id="226" w:name="_Toc184313289"/>
      <w:bookmarkEnd w:id="226"/>
      <w:bookmarkStart w:id="227" w:name="_Toc184313291"/>
      <w:bookmarkEnd w:id="227"/>
      <w:bookmarkStart w:id="228" w:name="_Toc184308049"/>
      <w:bookmarkEnd w:id="228"/>
      <w:bookmarkStart w:id="229" w:name="_Toc184313240"/>
      <w:bookmarkEnd w:id="229"/>
      <w:bookmarkStart w:id="230" w:name="_Toc184310338"/>
      <w:bookmarkEnd w:id="230"/>
      <w:bookmarkStart w:id="231" w:name="_Toc184312134"/>
      <w:bookmarkEnd w:id="231"/>
      <w:bookmarkStart w:id="232" w:name="_Toc184314432"/>
      <w:bookmarkEnd w:id="232"/>
      <w:bookmarkStart w:id="233" w:name="_Toc184310308"/>
      <w:bookmarkEnd w:id="233"/>
      <w:bookmarkStart w:id="234" w:name="_Toc184314446"/>
      <w:bookmarkEnd w:id="234"/>
      <w:bookmarkStart w:id="235" w:name="_Toc184310332"/>
      <w:bookmarkEnd w:id="235"/>
      <w:bookmarkStart w:id="236" w:name="_Toc184313254"/>
      <w:bookmarkEnd w:id="236"/>
      <w:bookmarkStart w:id="237" w:name="_Toc184314443"/>
      <w:bookmarkEnd w:id="237"/>
      <w:bookmarkStart w:id="238" w:name="_Toc184310277"/>
      <w:bookmarkEnd w:id="238"/>
      <w:bookmarkStart w:id="239" w:name="_Toc184308075"/>
      <w:bookmarkEnd w:id="239"/>
      <w:bookmarkStart w:id="240" w:name="_Toc184312090"/>
      <w:bookmarkEnd w:id="240"/>
      <w:bookmarkStart w:id="241" w:name="_Toc184310306"/>
      <w:bookmarkEnd w:id="241"/>
      <w:bookmarkStart w:id="242" w:name="_Toc184314449"/>
      <w:bookmarkEnd w:id="242"/>
      <w:bookmarkStart w:id="243" w:name="_Toc184313287"/>
      <w:bookmarkEnd w:id="243"/>
      <w:bookmarkStart w:id="244" w:name="_Toc184314412"/>
      <w:bookmarkEnd w:id="244"/>
      <w:bookmarkStart w:id="245" w:name="_Toc184308068"/>
      <w:bookmarkEnd w:id="245"/>
      <w:bookmarkStart w:id="246" w:name="_Toc184308084"/>
      <w:bookmarkEnd w:id="246"/>
      <w:bookmarkStart w:id="247" w:name="_Toc184313307"/>
      <w:bookmarkEnd w:id="247"/>
      <w:bookmarkStart w:id="248" w:name="_Toc184308093"/>
      <w:bookmarkEnd w:id="248"/>
      <w:bookmarkStart w:id="249" w:name="_Toc184314466"/>
      <w:bookmarkEnd w:id="249"/>
      <w:bookmarkStart w:id="250" w:name="_Toc184310293"/>
      <w:bookmarkEnd w:id="250"/>
      <w:bookmarkStart w:id="251" w:name="_Toc184313308"/>
      <w:bookmarkEnd w:id="251"/>
      <w:bookmarkStart w:id="252" w:name="_Toc184312087"/>
      <w:bookmarkEnd w:id="252"/>
      <w:bookmarkStart w:id="253" w:name="_Toc184308081"/>
      <w:bookmarkEnd w:id="253"/>
      <w:bookmarkStart w:id="254" w:name="_Toc184314413"/>
      <w:bookmarkEnd w:id="254"/>
      <w:bookmarkStart w:id="255" w:name="_Toc184312107"/>
      <w:bookmarkEnd w:id="255"/>
      <w:bookmarkStart w:id="256" w:name="_Toc184313251"/>
      <w:bookmarkEnd w:id="256"/>
      <w:bookmarkStart w:id="257" w:name="_Toc184310333"/>
      <w:bookmarkEnd w:id="257"/>
      <w:bookmarkStart w:id="258" w:name="_Toc184314467"/>
      <w:bookmarkEnd w:id="258"/>
      <w:bookmarkStart w:id="259" w:name="_Toc184310340"/>
      <w:bookmarkEnd w:id="259"/>
      <w:bookmarkStart w:id="260" w:name="_Toc184308074"/>
      <w:bookmarkEnd w:id="260"/>
      <w:bookmarkStart w:id="261" w:name="_Toc184310339"/>
      <w:bookmarkEnd w:id="261"/>
      <w:bookmarkStart w:id="262" w:name="_Toc184308106"/>
      <w:bookmarkEnd w:id="262"/>
      <w:bookmarkStart w:id="263" w:name="_Toc184312082"/>
      <w:bookmarkEnd w:id="263"/>
      <w:bookmarkStart w:id="264" w:name="_Toc184310335"/>
      <w:bookmarkEnd w:id="264"/>
      <w:bookmarkStart w:id="265" w:name="_Toc184312100"/>
      <w:bookmarkEnd w:id="265"/>
      <w:bookmarkStart w:id="266" w:name="_Toc184312139"/>
      <w:bookmarkEnd w:id="266"/>
      <w:bookmarkStart w:id="267" w:name="_Toc184310285"/>
      <w:bookmarkEnd w:id="267"/>
      <w:bookmarkStart w:id="268" w:name="_Toc184310282"/>
      <w:bookmarkEnd w:id="268"/>
      <w:bookmarkStart w:id="269" w:name="_Toc184312091"/>
      <w:bookmarkEnd w:id="269"/>
      <w:bookmarkStart w:id="270" w:name="_Toc184312123"/>
      <w:bookmarkEnd w:id="270"/>
      <w:bookmarkStart w:id="271" w:name="_Toc184313273"/>
      <w:bookmarkEnd w:id="271"/>
      <w:bookmarkStart w:id="272" w:name="_Toc184314451"/>
      <w:bookmarkEnd w:id="272"/>
      <w:bookmarkStart w:id="273" w:name="_Toc184308067"/>
      <w:bookmarkEnd w:id="273"/>
      <w:bookmarkStart w:id="274" w:name="_Toc184308059"/>
      <w:bookmarkEnd w:id="274"/>
      <w:bookmarkStart w:id="275" w:name="_Toc184314433"/>
      <w:bookmarkEnd w:id="275"/>
      <w:bookmarkStart w:id="276" w:name="_Toc184312081"/>
      <w:bookmarkEnd w:id="276"/>
      <w:bookmarkStart w:id="277" w:name="_Toc184312124"/>
      <w:bookmarkEnd w:id="277"/>
      <w:bookmarkStart w:id="278" w:name="_Toc184312074"/>
      <w:bookmarkEnd w:id="278"/>
      <w:bookmarkStart w:id="279" w:name="_Toc184310286"/>
      <w:bookmarkEnd w:id="279"/>
      <w:bookmarkStart w:id="280" w:name="_Toc184308079"/>
      <w:bookmarkEnd w:id="280"/>
      <w:bookmarkStart w:id="281" w:name="_Toc184312099"/>
      <w:bookmarkEnd w:id="281"/>
      <w:bookmarkStart w:id="282" w:name="_Toc184314476"/>
      <w:bookmarkEnd w:id="282"/>
      <w:bookmarkStart w:id="283" w:name="_Toc184310297"/>
      <w:bookmarkEnd w:id="283"/>
      <w:bookmarkStart w:id="284" w:name="_Toc184314436"/>
      <w:bookmarkEnd w:id="284"/>
      <w:bookmarkStart w:id="285" w:name="_Toc184308046"/>
      <w:bookmarkEnd w:id="285"/>
      <w:bookmarkStart w:id="286" w:name="_Toc184314414"/>
      <w:bookmarkEnd w:id="286"/>
      <w:bookmarkStart w:id="287" w:name="_Toc184310329"/>
      <w:bookmarkEnd w:id="287"/>
      <w:bookmarkStart w:id="288" w:name="_Toc184308101"/>
      <w:bookmarkEnd w:id="288"/>
      <w:bookmarkStart w:id="289" w:name="_Toc184314456"/>
      <w:bookmarkEnd w:id="289"/>
      <w:bookmarkStart w:id="290" w:name="_Toc184310287"/>
      <w:bookmarkEnd w:id="290"/>
      <w:bookmarkStart w:id="291" w:name="_Toc184308087"/>
      <w:bookmarkEnd w:id="291"/>
      <w:bookmarkStart w:id="292" w:name="_Toc184314470"/>
      <w:bookmarkEnd w:id="292"/>
      <w:bookmarkStart w:id="293" w:name="_Toc184308057"/>
      <w:bookmarkEnd w:id="293"/>
      <w:bookmarkStart w:id="294" w:name="_Toc184313301"/>
      <w:bookmarkEnd w:id="294"/>
      <w:bookmarkStart w:id="295" w:name="_Toc184314479"/>
      <w:bookmarkEnd w:id="295"/>
      <w:bookmarkStart w:id="296" w:name="_Toc184310341"/>
      <w:bookmarkEnd w:id="296"/>
      <w:bookmarkStart w:id="297" w:name="_Toc184310273"/>
      <w:bookmarkEnd w:id="297"/>
      <w:bookmarkStart w:id="298" w:name="_Toc184312076"/>
      <w:bookmarkEnd w:id="298"/>
      <w:bookmarkStart w:id="299" w:name="_Toc184313265"/>
      <w:bookmarkEnd w:id="299"/>
      <w:bookmarkStart w:id="300" w:name="_Toc184314439"/>
      <w:bookmarkEnd w:id="300"/>
      <w:bookmarkStart w:id="301" w:name="_Toc184310317"/>
      <w:bookmarkEnd w:id="301"/>
      <w:bookmarkStart w:id="302" w:name="_Toc184310331"/>
      <w:bookmarkEnd w:id="302"/>
      <w:bookmarkStart w:id="303" w:name="_Toc184314453"/>
      <w:bookmarkEnd w:id="303"/>
      <w:bookmarkStart w:id="304" w:name="_Toc184308048"/>
      <w:bookmarkEnd w:id="304"/>
      <w:bookmarkStart w:id="305" w:name="_Toc184308066"/>
      <w:bookmarkEnd w:id="305"/>
      <w:bookmarkStart w:id="306" w:name="_Toc184314429"/>
      <w:bookmarkEnd w:id="306"/>
      <w:bookmarkStart w:id="307" w:name="_Toc184310304"/>
      <w:bookmarkEnd w:id="307"/>
      <w:bookmarkStart w:id="308" w:name="_Toc184314474"/>
      <w:bookmarkEnd w:id="308"/>
      <w:bookmarkStart w:id="309" w:name="_Toc184312135"/>
      <w:bookmarkEnd w:id="309"/>
      <w:bookmarkStart w:id="310" w:name="_Toc184312132"/>
      <w:bookmarkEnd w:id="310"/>
      <w:bookmarkStart w:id="311" w:name="_Toc184313302"/>
      <w:bookmarkEnd w:id="311"/>
      <w:bookmarkStart w:id="312" w:name="_Toc184313303"/>
      <w:bookmarkEnd w:id="312"/>
      <w:bookmarkStart w:id="313" w:name="_Toc184310320"/>
      <w:bookmarkEnd w:id="313"/>
      <w:bookmarkStart w:id="314" w:name="_Toc184308092"/>
      <w:bookmarkEnd w:id="314"/>
      <w:bookmarkStart w:id="315" w:name="_Toc184314428"/>
      <w:bookmarkEnd w:id="315"/>
      <w:bookmarkStart w:id="316" w:name="_Toc184310324"/>
      <w:bookmarkEnd w:id="316"/>
      <w:bookmarkStart w:id="317" w:name="_Toc184308085"/>
      <w:bookmarkEnd w:id="317"/>
      <w:bookmarkStart w:id="318" w:name="_Toc184310322"/>
      <w:bookmarkEnd w:id="318"/>
      <w:bookmarkStart w:id="319" w:name="_Toc184313244"/>
      <w:bookmarkEnd w:id="319"/>
      <w:bookmarkStart w:id="320" w:name="_Toc184308070"/>
      <w:bookmarkEnd w:id="320"/>
      <w:bookmarkStart w:id="321" w:name="_Toc184312104"/>
      <w:bookmarkEnd w:id="321"/>
      <w:bookmarkStart w:id="322" w:name="_Toc184314465"/>
      <w:bookmarkEnd w:id="322"/>
      <w:bookmarkStart w:id="323" w:name="_Toc184308099"/>
      <w:bookmarkEnd w:id="323"/>
      <w:bookmarkStart w:id="324" w:name="_Toc184314473"/>
      <w:bookmarkEnd w:id="324"/>
      <w:bookmarkStart w:id="325" w:name="_Toc184314457"/>
      <w:bookmarkEnd w:id="325"/>
      <w:bookmarkStart w:id="326" w:name="_Toc184313250"/>
      <w:bookmarkEnd w:id="326"/>
      <w:bookmarkStart w:id="327" w:name="_Toc184312116"/>
      <w:bookmarkEnd w:id="327"/>
      <w:bookmarkStart w:id="328" w:name="_Toc184308083"/>
      <w:bookmarkEnd w:id="328"/>
      <w:bookmarkStart w:id="329" w:name="_Toc184314458"/>
      <w:bookmarkEnd w:id="329"/>
      <w:bookmarkStart w:id="330" w:name="_Toc184313243"/>
      <w:bookmarkEnd w:id="330"/>
      <w:bookmarkStart w:id="331" w:name="_Toc184312129"/>
      <w:bookmarkEnd w:id="331"/>
      <w:bookmarkStart w:id="332" w:name="_Toc184312122"/>
      <w:bookmarkEnd w:id="332"/>
      <w:bookmarkStart w:id="333" w:name="_Toc184314463"/>
      <w:bookmarkEnd w:id="333"/>
      <w:bookmarkStart w:id="334" w:name="_Toc184314422"/>
      <w:bookmarkEnd w:id="334"/>
      <w:bookmarkStart w:id="335" w:name="_Toc184310334"/>
      <w:bookmarkEnd w:id="335"/>
      <w:bookmarkStart w:id="336" w:name="_Toc184314415"/>
      <w:bookmarkEnd w:id="336"/>
      <w:bookmarkStart w:id="337" w:name="_Toc184310327"/>
      <w:bookmarkEnd w:id="337"/>
      <w:bookmarkStart w:id="338" w:name="_Toc184313280"/>
      <w:bookmarkEnd w:id="338"/>
      <w:bookmarkStart w:id="339" w:name="_Toc184312113"/>
      <w:bookmarkEnd w:id="339"/>
      <w:bookmarkStart w:id="340" w:name="_Toc184314410"/>
      <w:bookmarkEnd w:id="340"/>
      <w:bookmarkStart w:id="341" w:name="_Toc184310307"/>
      <w:bookmarkEnd w:id="341"/>
      <w:bookmarkStart w:id="342" w:name="_Toc184310313"/>
      <w:bookmarkEnd w:id="342"/>
      <w:bookmarkStart w:id="343" w:name="_Toc184313241"/>
      <w:bookmarkEnd w:id="343"/>
      <w:bookmarkStart w:id="344" w:name="_Toc184308038"/>
      <w:bookmarkEnd w:id="344"/>
      <w:bookmarkStart w:id="345" w:name="_Toc184313297"/>
      <w:bookmarkEnd w:id="345"/>
      <w:bookmarkStart w:id="346" w:name="_Toc184313270"/>
      <w:bookmarkEnd w:id="346"/>
      <w:bookmarkStart w:id="347" w:name="_Toc184312105"/>
      <w:bookmarkEnd w:id="347"/>
      <w:bookmarkStart w:id="348" w:name="_Toc184308036"/>
      <w:bookmarkEnd w:id="348"/>
      <w:bookmarkStart w:id="349" w:name="_Toc184312131"/>
      <w:bookmarkEnd w:id="349"/>
      <w:bookmarkStart w:id="350" w:name="_Toc184310275"/>
      <w:bookmarkEnd w:id="350"/>
      <w:bookmarkStart w:id="351" w:name="_Toc184313247"/>
      <w:bookmarkEnd w:id="351"/>
      <w:bookmarkStart w:id="352" w:name="_Toc184308095"/>
      <w:bookmarkEnd w:id="352"/>
      <w:bookmarkStart w:id="353" w:name="_Toc184314464"/>
      <w:bookmarkEnd w:id="353"/>
      <w:bookmarkStart w:id="354" w:name="_Toc184308060"/>
      <w:bookmarkEnd w:id="354"/>
      <w:bookmarkStart w:id="355" w:name="_Toc184314469"/>
      <w:bookmarkEnd w:id="355"/>
      <w:bookmarkStart w:id="356" w:name="_Toc184312108"/>
      <w:bookmarkEnd w:id="356"/>
      <w:bookmarkStart w:id="357" w:name="_Toc184310276"/>
      <w:bookmarkEnd w:id="357"/>
      <w:bookmarkStart w:id="358" w:name="_Toc184310283"/>
      <w:bookmarkEnd w:id="358"/>
      <w:bookmarkStart w:id="359" w:name="_Toc184312114"/>
      <w:bookmarkEnd w:id="359"/>
      <w:bookmarkStart w:id="360" w:name="_Toc184308097"/>
      <w:bookmarkEnd w:id="360"/>
      <w:bookmarkStart w:id="361" w:name="_Toc184314452"/>
      <w:bookmarkEnd w:id="361"/>
      <w:bookmarkStart w:id="362" w:name="_Toc184314442"/>
      <w:bookmarkEnd w:id="362"/>
      <w:bookmarkStart w:id="363" w:name="_Toc184312073"/>
      <w:bookmarkEnd w:id="363"/>
      <w:bookmarkStart w:id="364" w:name="_Toc184310296"/>
      <w:bookmarkEnd w:id="364"/>
      <w:bookmarkStart w:id="365" w:name="_Toc184312072"/>
      <w:bookmarkEnd w:id="365"/>
      <w:bookmarkStart w:id="366" w:name="_Toc184314421"/>
      <w:bookmarkEnd w:id="366"/>
      <w:bookmarkStart w:id="367" w:name="_Toc184313238"/>
      <w:bookmarkEnd w:id="367"/>
      <w:bookmarkStart w:id="368" w:name="_Toc184314480"/>
      <w:bookmarkEnd w:id="368"/>
      <w:bookmarkStart w:id="369" w:name="_Toc184314420"/>
      <w:bookmarkEnd w:id="369"/>
      <w:bookmarkStart w:id="370" w:name="_Toc184310326"/>
      <w:bookmarkEnd w:id="370"/>
      <w:bookmarkStart w:id="371" w:name="_Toc184310302"/>
      <w:bookmarkEnd w:id="371"/>
      <w:bookmarkStart w:id="372" w:name="_Toc184313259"/>
      <w:bookmarkEnd w:id="372"/>
      <w:bookmarkStart w:id="373" w:name="_Toc184312077"/>
      <w:bookmarkEnd w:id="373"/>
      <w:bookmarkStart w:id="374" w:name="_Toc184312117"/>
      <w:bookmarkEnd w:id="374"/>
      <w:bookmarkStart w:id="375" w:name="_Toc184312092"/>
      <w:bookmarkEnd w:id="375"/>
      <w:bookmarkStart w:id="376" w:name="_Toc184308098"/>
      <w:bookmarkEnd w:id="376"/>
      <w:bookmarkStart w:id="377" w:name="_Toc184314430"/>
      <w:bookmarkEnd w:id="377"/>
      <w:bookmarkStart w:id="378" w:name="_Toc184314459"/>
      <w:bookmarkEnd w:id="378"/>
      <w:bookmarkStart w:id="379" w:name="_Toc184314434"/>
      <w:bookmarkEnd w:id="379"/>
      <w:bookmarkStart w:id="380" w:name="_Toc184308044"/>
      <w:bookmarkEnd w:id="380"/>
      <w:bookmarkStart w:id="381" w:name="_Toc184313262"/>
      <w:bookmarkEnd w:id="381"/>
      <w:bookmarkStart w:id="382" w:name="_Toc184313256"/>
      <w:bookmarkEnd w:id="382"/>
      <w:bookmarkStart w:id="383" w:name="_Toc184313275"/>
      <w:bookmarkEnd w:id="383"/>
      <w:bookmarkStart w:id="384" w:name="_Toc184312102"/>
      <w:bookmarkEnd w:id="384"/>
      <w:bookmarkStart w:id="385" w:name="_Toc184308053"/>
      <w:bookmarkEnd w:id="385"/>
      <w:bookmarkStart w:id="386" w:name="_Toc184313279"/>
      <w:bookmarkEnd w:id="386"/>
      <w:bookmarkStart w:id="387" w:name="_Toc184310288"/>
      <w:bookmarkEnd w:id="387"/>
      <w:bookmarkStart w:id="388" w:name="_Toc184312126"/>
      <w:bookmarkEnd w:id="388"/>
      <w:bookmarkStart w:id="389" w:name="_Toc184314454"/>
      <w:bookmarkEnd w:id="389"/>
      <w:bookmarkStart w:id="390" w:name="_Toc184313239"/>
      <w:bookmarkEnd w:id="390"/>
      <w:bookmarkStart w:id="391" w:name="_Toc184308078"/>
      <w:bookmarkEnd w:id="391"/>
      <w:bookmarkStart w:id="392" w:name="_Toc184313277"/>
      <w:bookmarkEnd w:id="392"/>
      <w:bookmarkStart w:id="393" w:name="_Toc184313278"/>
      <w:bookmarkEnd w:id="393"/>
      <w:bookmarkStart w:id="394" w:name="_Toc184308104"/>
      <w:bookmarkEnd w:id="394"/>
      <w:bookmarkStart w:id="395" w:name="_Toc184308043"/>
      <w:bookmarkEnd w:id="395"/>
      <w:bookmarkStart w:id="396" w:name="_Toc184312112"/>
      <w:bookmarkEnd w:id="396"/>
      <w:bookmarkStart w:id="397" w:name="_Toc184308069"/>
      <w:bookmarkEnd w:id="397"/>
      <w:bookmarkStart w:id="398" w:name="_Toc184314478"/>
      <w:bookmarkEnd w:id="398"/>
      <w:bookmarkStart w:id="399" w:name="_Toc184312125"/>
      <w:bookmarkEnd w:id="399"/>
      <w:bookmarkStart w:id="400" w:name="_Toc184310305"/>
      <w:bookmarkEnd w:id="400"/>
      <w:bookmarkStart w:id="401" w:name="_Toc184314472"/>
      <w:bookmarkEnd w:id="401"/>
      <w:bookmarkStart w:id="402" w:name="_Toc184313286"/>
      <w:bookmarkEnd w:id="402"/>
      <w:bookmarkStart w:id="403" w:name="_Toc184314475"/>
      <w:bookmarkEnd w:id="403"/>
      <w:bookmarkStart w:id="404" w:name="_Toc184310281"/>
      <w:bookmarkEnd w:id="404"/>
      <w:bookmarkStart w:id="405" w:name="_Toc184312084"/>
      <w:bookmarkEnd w:id="405"/>
      <w:bookmarkStart w:id="406" w:name="_Toc184310315"/>
      <w:bookmarkEnd w:id="406"/>
      <w:bookmarkStart w:id="407" w:name="_Toc184308058"/>
      <w:bookmarkEnd w:id="407"/>
      <w:bookmarkStart w:id="408" w:name="_Toc184313281"/>
      <w:bookmarkEnd w:id="408"/>
      <w:bookmarkStart w:id="409" w:name="_Toc184312101"/>
      <w:bookmarkEnd w:id="409"/>
      <w:bookmarkStart w:id="410" w:name="_Toc184308056"/>
      <w:bookmarkEnd w:id="410"/>
      <w:bookmarkStart w:id="411" w:name="_Toc184313292"/>
      <w:bookmarkEnd w:id="411"/>
      <w:bookmarkStart w:id="412" w:name="_Toc184314455"/>
      <w:bookmarkEnd w:id="412"/>
      <w:bookmarkStart w:id="413" w:name="_Toc184310272"/>
      <w:bookmarkEnd w:id="413"/>
      <w:bookmarkStart w:id="414" w:name="_Toc184312136"/>
      <w:bookmarkEnd w:id="414"/>
      <w:bookmarkStart w:id="415" w:name="_Toc184313253"/>
      <w:bookmarkEnd w:id="415"/>
      <w:bookmarkStart w:id="416" w:name="_Toc184314417"/>
      <w:bookmarkEnd w:id="416"/>
      <w:bookmarkStart w:id="417" w:name="_Toc184310279"/>
      <w:bookmarkEnd w:id="417"/>
      <w:bookmarkStart w:id="418" w:name="_Toc184308040"/>
      <w:bookmarkEnd w:id="418"/>
      <w:bookmarkStart w:id="419" w:name="_Toc184314462"/>
      <w:bookmarkEnd w:id="419"/>
      <w:bookmarkStart w:id="420" w:name="_Toc184312088"/>
      <w:bookmarkEnd w:id="420"/>
      <w:r>
        <w:rPr>
          <w:rFonts w:hint="eastAsia" w:ascii="仿宋" w:hAnsi="仿宋" w:eastAsia="仿宋" w:cs="仿宋"/>
          <w:b/>
          <w:color w:val="auto"/>
          <w:sz w:val="36"/>
          <w:szCs w:val="36"/>
          <w:highlight w:val="none"/>
        </w:rPr>
        <w:t>评标办法</w:t>
      </w:r>
      <w:bookmarkEnd w:id="50"/>
      <w:bookmarkEnd w:id="51"/>
      <w:bookmarkEnd w:id="52"/>
      <w:bookmarkEnd w:id="53"/>
      <w:bookmarkEnd w:id="54"/>
      <w:bookmarkEnd w:id="55"/>
    </w:p>
    <w:p>
      <w:pPr>
        <w:wordWrap w:val="0"/>
        <w:snapToGrid w:val="0"/>
        <w:spacing w:line="360" w:lineRule="auto"/>
        <w:jc w:val="center"/>
        <w:outlineLvl w:val="1"/>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115"/>
        <w:gridCol w:w="810"/>
        <w:gridCol w:w="3797"/>
        <w:gridCol w:w="1029"/>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序号</w:t>
            </w:r>
          </w:p>
        </w:tc>
        <w:tc>
          <w:tcPr>
            <w:tcW w:w="1115"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名称</w:t>
            </w:r>
          </w:p>
        </w:tc>
        <w:tc>
          <w:tcPr>
            <w:tcW w:w="810"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分值</w:t>
            </w:r>
          </w:p>
        </w:tc>
        <w:tc>
          <w:tcPr>
            <w:tcW w:w="3797" w:type="dxa"/>
            <w:vAlign w:val="center"/>
          </w:tcPr>
          <w:p>
            <w:pPr>
              <w:autoSpaceDE w:val="0"/>
              <w:autoSpaceDN w:val="0"/>
              <w:spacing w:line="400" w:lineRule="exact"/>
              <w:ind w:firstLine="420" w:firstLineChars="200"/>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评审因素</w:t>
            </w:r>
          </w:p>
        </w:tc>
        <w:tc>
          <w:tcPr>
            <w:tcW w:w="1029" w:type="dxa"/>
            <w:vAlign w:val="center"/>
          </w:tcPr>
          <w:p>
            <w:pPr>
              <w:autoSpaceDE w:val="0"/>
              <w:autoSpaceDN w:val="0"/>
              <w:spacing w:line="400" w:lineRule="exact"/>
              <w:rPr>
                <w:rStyle w:val="78"/>
                <w:rFonts w:ascii="仿宋" w:hAnsi="仿宋" w:eastAsia="仿宋" w:cs="仿宋"/>
                <w:bCs/>
                <w:color w:val="auto"/>
                <w:highlight w:val="none"/>
              </w:rPr>
            </w:pPr>
            <w:r>
              <w:rPr>
                <w:rStyle w:val="78"/>
                <w:rFonts w:hint="eastAsia" w:ascii="仿宋" w:hAnsi="仿宋" w:eastAsia="仿宋" w:cs="仿宋"/>
                <w:bCs/>
                <w:color w:val="auto"/>
                <w:sz w:val="15"/>
                <w:szCs w:val="15"/>
                <w:highlight w:val="none"/>
              </w:rPr>
              <w:t>投标文件中评标标准相应的商务技术资料目录</w:t>
            </w:r>
          </w:p>
        </w:tc>
        <w:tc>
          <w:tcPr>
            <w:tcW w:w="1038" w:type="dxa"/>
            <w:vAlign w:val="center"/>
          </w:tcPr>
          <w:p>
            <w:pPr>
              <w:autoSpaceDE w:val="0"/>
              <w:autoSpaceDN w:val="0"/>
              <w:spacing w:line="400" w:lineRule="exact"/>
              <w:jc w:val="center"/>
              <w:rPr>
                <w:rStyle w:val="78"/>
                <w:rFonts w:ascii="仿宋" w:hAnsi="仿宋" w:eastAsia="仿宋" w:cs="仿宋"/>
                <w:bCs/>
                <w:color w:val="auto"/>
                <w:sz w:val="18"/>
                <w:szCs w:val="18"/>
                <w:highlight w:val="none"/>
              </w:rPr>
            </w:pPr>
            <w:r>
              <w:rPr>
                <w:rStyle w:val="78"/>
                <w:rFonts w:hint="eastAsia" w:ascii="仿宋" w:hAnsi="仿宋" w:eastAsia="仿宋" w:cs="仿宋"/>
                <w:bCs/>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一</w:t>
            </w:r>
          </w:p>
        </w:tc>
        <w:tc>
          <w:tcPr>
            <w:tcW w:w="5722" w:type="dxa"/>
            <w:gridSpan w:val="3"/>
            <w:vAlign w:val="center"/>
          </w:tcPr>
          <w:p>
            <w:pPr>
              <w:autoSpaceDE w:val="0"/>
              <w:autoSpaceDN w:val="0"/>
              <w:spacing w:line="400" w:lineRule="exact"/>
              <w:rPr>
                <w:rStyle w:val="78"/>
                <w:rFonts w:ascii="仿宋" w:hAnsi="仿宋" w:eastAsia="仿宋" w:cs="仿宋"/>
                <w:bCs/>
                <w:color w:val="auto"/>
                <w:highlight w:val="none"/>
              </w:rPr>
            </w:pPr>
            <w:r>
              <w:rPr>
                <w:rStyle w:val="78"/>
                <w:rFonts w:hint="eastAsia" w:ascii="仿宋" w:hAnsi="仿宋" w:eastAsia="仿宋" w:cs="仿宋"/>
                <w:bCs/>
                <w:color w:val="auto"/>
                <w:highlight w:val="none"/>
              </w:rPr>
              <w:t>技术，64分</w:t>
            </w:r>
          </w:p>
        </w:tc>
        <w:tc>
          <w:tcPr>
            <w:tcW w:w="1029" w:type="dxa"/>
            <w:vAlign w:val="center"/>
          </w:tcPr>
          <w:p>
            <w:pPr>
              <w:autoSpaceDE w:val="0"/>
              <w:autoSpaceDN w:val="0"/>
              <w:spacing w:line="400" w:lineRule="exact"/>
              <w:rPr>
                <w:rStyle w:val="78"/>
                <w:rFonts w:ascii="仿宋" w:hAnsi="仿宋" w:eastAsia="仿宋" w:cs="仿宋"/>
                <w:bCs/>
                <w:color w:val="auto"/>
                <w:highlight w:val="none"/>
              </w:rPr>
            </w:pPr>
          </w:p>
        </w:tc>
        <w:tc>
          <w:tcPr>
            <w:tcW w:w="1038" w:type="dxa"/>
            <w:vAlign w:val="center"/>
          </w:tcPr>
          <w:p>
            <w:pPr>
              <w:autoSpaceDE w:val="0"/>
              <w:autoSpaceDN w:val="0"/>
              <w:spacing w:line="400" w:lineRule="exact"/>
              <w:jc w:val="center"/>
              <w:rPr>
                <w:rStyle w:val="78"/>
                <w:rFonts w:ascii="仿宋" w:hAnsi="仿宋" w:eastAsia="仿宋" w:cs="仿宋"/>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1</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技术参数</w:t>
            </w:r>
          </w:p>
          <w:p>
            <w:pPr>
              <w:spacing w:line="400" w:lineRule="exact"/>
              <w:jc w:val="center"/>
              <w:rPr>
                <w:rStyle w:val="78"/>
                <w:rFonts w:ascii="仿宋" w:hAnsi="仿宋" w:eastAsia="仿宋" w:cs="仿宋"/>
                <w:bCs/>
                <w:color w:val="auto"/>
                <w:highlight w:val="none"/>
              </w:rPr>
            </w:pPr>
            <w:r>
              <w:rPr>
                <w:rFonts w:hint="eastAsia" w:ascii="仿宋" w:hAnsi="仿宋" w:eastAsia="仿宋" w:cs="仿宋"/>
                <w:color w:val="auto"/>
                <w:szCs w:val="21"/>
                <w:highlight w:val="none"/>
              </w:rPr>
              <w:t>响应</w:t>
            </w:r>
          </w:p>
        </w:tc>
        <w:tc>
          <w:tcPr>
            <w:tcW w:w="810" w:type="dxa"/>
            <w:vAlign w:val="center"/>
          </w:tcPr>
          <w:p>
            <w:pPr>
              <w:spacing w:line="400" w:lineRule="exact"/>
              <w:jc w:val="center"/>
              <w:rPr>
                <w:rStyle w:val="78"/>
                <w:rFonts w:ascii="仿宋" w:hAnsi="仿宋" w:eastAsia="仿宋" w:cs="仿宋"/>
                <w:bCs/>
                <w:color w:val="auto"/>
                <w:highlight w:val="none"/>
              </w:rPr>
            </w:pPr>
            <w:r>
              <w:rPr>
                <w:rFonts w:hint="eastAsia" w:ascii="仿宋" w:hAnsi="仿宋" w:eastAsia="仿宋" w:cs="仿宋"/>
                <w:color w:val="auto"/>
                <w:szCs w:val="21"/>
                <w:highlight w:val="none"/>
              </w:rPr>
              <w:t>0-25</w:t>
            </w:r>
          </w:p>
        </w:tc>
        <w:tc>
          <w:tcPr>
            <w:tcW w:w="3797" w:type="dxa"/>
            <w:vAlign w:val="center"/>
          </w:tcPr>
          <w:p>
            <w:pPr>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完全满足招标文件“第三部分采购需求-“9采购设备清单及技术参数”中的打</w:t>
            </w:r>
            <w:r>
              <w:rPr>
                <w:rFonts w:hint="eastAsia" w:ascii="仿宋" w:hAnsi="仿宋" w:eastAsia="仿宋" w:cs="仿宋"/>
                <w:color w:val="auto"/>
                <w:sz w:val="20"/>
                <w:highlight w:val="none"/>
              </w:rPr>
              <w:t>☆条款，</w:t>
            </w:r>
            <w:r>
              <w:rPr>
                <w:rFonts w:hint="eastAsia" w:ascii="仿宋" w:hAnsi="仿宋" w:eastAsia="仿宋" w:cs="仿宋"/>
                <w:color w:val="auto"/>
                <w:szCs w:val="21"/>
                <w:highlight w:val="none"/>
              </w:rPr>
              <w:t>全部满足得25分，每负偏离一项，扣2.5分，扣完为止。若发现有虚假应答的技术偏离项，则作无效标处理。</w:t>
            </w:r>
          </w:p>
          <w:p>
            <w:pPr>
              <w:spacing w:line="400" w:lineRule="exact"/>
              <w:rPr>
                <w:rStyle w:val="78"/>
                <w:rFonts w:hint="eastAsia" w:ascii="仿宋" w:hAnsi="仿宋" w:eastAsia="仿宋" w:cs="仿宋"/>
                <w:bCs/>
                <w:color w:val="auto"/>
                <w:highlight w:val="none"/>
              </w:rPr>
            </w:pPr>
            <w:r>
              <w:rPr>
                <w:rFonts w:hint="eastAsia" w:ascii="仿宋" w:hAnsi="仿宋" w:eastAsia="仿宋" w:cs="仿宋"/>
                <w:color w:val="auto"/>
                <w:szCs w:val="21"/>
                <w:highlight w:val="none"/>
              </w:rPr>
              <w:t>需提供产品介绍彩页或产品说明书或官网产品介绍（需同时提供网址链接）等有效证明材料。</w:t>
            </w:r>
          </w:p>
        </w:tc>
        <w:tc>
          <w:tcPr>
            <w:tcW w:w="1029" w:type="dxa"/>
            <w:vAlign w:val="center"/>
          </w:tcPr>
          <w:p>
            <w:pPr>
              <w:spacing w:line="400" w:lineRule="exac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2</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所投产品节能、环保证书</w:t>
            </w:r>
          </w:p>
        </w:tc>
        <w:tc>
          <w:tcPr>
            <w:tcW w:w="810" w:type="dxa"/>
            <w:vAlign w:val="center"/>
          </w:tcPr>
          <w:p>
            <w:pPr>
              <w:tabs>
                <w:tab w:val="left" w:pos="248"/>
              </w:tabs>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0-2</w:t>
            </w:r>
          </w:p>
        </w:tc>
        <w:tc>
          <w:tcPr>
            <w:tcW w:w="3797" w:type="dxa"/>
            <w:vAlign w:val="center"/>
          </w:tcPr>
          <w:p>
            <w:pPr>
              <w:pStyle w:val="79"/>
              <w:numPr>
                <w:ilvl w:val="0"/>
                <w:numId w:val="8"/>
              </w:numPr>
              <w:spacing w:after="120" w:line="400" w:lineRule="exact"/>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除政府强制采购要求外，所投产品属于“节能产品政府采购品目清单”范围并具有有效的节能产品认证证书的每个得0.5分，最高得1分</w:t>
            </w:r>
          </w:p>
          <w:p>
            <w:pPr>
              <w:pStyle w:val="79"/>
              <w:spacing w:after="120" w:line="400" w:lineRule="exact"/>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（2）除政府强制采购要求外，所投产品属于“环境标志产品政府采购品目清单”范围并具有有效的环境标志产品认证证书的每个得0.5分，最高得1分。</w:t>
            </w:r>
          </w:p>
          <w:p>
            <w:pPr>
              <w:pStyle w:val="79"/>
              <w:spacing w:after="12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证明材料提供有效的认证证书。</w:t>
            </w:r>
          </w:p>
        </w:tc>
        <w:tc>
          <w:tcPr>
            <w:tcW w:w="1029" w:type="dxa"/>
            <w:vAlign w:val="center"/>
          </w:tcPr>
          <w:p>
            <w:pPr>
              <w:spacing w:line="400" w:lineRule="exac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3</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拟派项目负责人</w:t>
            </w:r>
          </w:p>
          <w:p>
            <w:pPr>
              <w:spacing w:line="400" w:lineRule="exact"/>
              <w:jc w:val="center"/>
              <w:rPr>
                <w:rFonts w:ascii="仿宋" w:hAnsi="仿宋" w:eastAsia="仿宋" w:cs="仿宋"/>
                <w:color w:val="auto"/>
                <w:szCs w:val="21"/>
                <w:highlight w:val="none"/>
              </w:rPr>
            </w:pP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0-3</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具有相关专业（指电子或自动化或机电工程或交通工程等专业）工程师职称证书，中级得2分，高级及以上得3分。</w:t>
            </w:r>
          </w:p>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证明材料提供资职称证书以及在投标单位连续缴纳三个月社保的证明。</w:t>
            </w:r>
          </w:p>
        </w:tc>
        <w:tc>
          <w:tcPr>
            <w:tcW w:w="1029" w:type="dxa"/>
            <w:vAlign w:val="center"/>
          </w:tcPr>
          <w:p>
            <w:pPr>
              <w:spacing w:line="400" w:lineRule="exact"/>
              <w:jc w:val="lef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4</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项目实施组织方案</w:t>
            </w: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0-7</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方案（包括项目组织机构人员配备、供货方案、安装方案、集成方案、调测方案、验收方案）完整性、需求满足性，方案齐全、内容完整，满足采购需求的得7分，方案齐全、内容基本完整、基本满足采购需求的得4分，方案比较齐全、内容基本完整、基本满足采购需求的，得3分，方案不太齐全、内容较不完整、不能完全满足采购需求的得2分，不能满足或未提供的不得分。</w:t>
            </w:r>
          </w:p>
        </w:tc>
        <w:tc>
          <w:tcPr>
            <w:tcW w:w="1029" w:type="dxa"/>
            <w:vAlign w:val="center"/>
          </w:tcPr>
          <w:p>
            <w:pPr>
              <w:spacing w:line="400" w:lineRule="exact"/>
              <w:jc w:val="lef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47" w:type="dxa"/>
            <w:vAlign w:val="center"/>
          </w:tcPr>
          <w:p>
            <w:pPr>
              <w:autoSpaceDE w:val="0"/>
              <w:autoSpaceDN w:val="0"/>
              <w:spacing w:line="400" w:lineRule="exact"/>
              <w:jc w:val="center"/>
              <w:rPr>
                <w:rFonts w:ascii="仿宋" w:hAnsi="仿宋" w:eastAsia="仿宋" w:cs="仿宋"/>
                <w:bCs/>
                <w:color w:val="auto"/>
                <w:szCs w:val="21"/>
                <w:highlight w:val="none"/>
              </w:rPr>
            </w:pPr>
            <w:r>
              <w:rPr>
                <w:rStyle w:val="78"/>
                <w:rFonts w:hint="eastAsia" w:ascii="仿宋" w:hAnsi="仿宋" w:eastAsia="仿宋" w:cs="仿宋"/>
                <w:bCs/>
                <w:color w:val="auto"/>
                <w:highlight w:val="none"/>
              </w:rPr>
              <w:t>5</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安装现场安全管理</w:t>
            </w: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0-6</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人员安全规范、安全措施完全符合本项目安装现场施工要求情况的得6分，人员安全规范、安全措施基本符合本项目安装现场施工要求情况的得4分，人员安全规范基本符合，安全措施与本项目相差较大的的得3分，人员安全规范，安全措施与本项目要求相差较大的得2分，无法满足或不提供的不得分。</w:t>
            </w:r>
          </w:p>
        </w:tc>
        <w:tc>
          <w:tcPr>
            <w:tcW w:w="1029" w:type="dxa"/>
            <w:vAlign w:val="center"/>
          </w:tcPr>
          <w:p>
            <w:pPr>
              <w:spacing w:line="400" w:lineRule="exact"/>
              <w:jc w:val="lef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6</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重点、难点分析及合理化建议</w:t>
            </w: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0-6</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根据投标人针对本项目现场勘踏情况，实施重点、难点分析及解决方案全面，建议合理可行的得6分，实施重点符合、难点分析及解决方案全面基本可行的得4分，实施重点基本符合、难点分析及解决方案全面基本可行的得2分，不完善的不得分。</w:t>
            </w:r>
          </w:p>
        </w:tc>
        <w:tc>
          <w:tcPr>
            <w:tcW w:w="1029" w:type="dxa"/>
            <w:vAlign w:val="center"/>
          </w:tcPr>
          <w:p>
            <w:pPr>
              <w:spacing w:line="400" w:lineRule="exact"/>
              <w:jc w:val="lef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47" w:type="dxa"/>
            <w:vAlign w:val="center"/>
          </w:tcPr>
          <w:p>
            <w:pPr>
              <w:autoSpaceDE w:val="0"/>
              <w:autoSpaceDN w:val="0"/>
              <w:spacing w:line="400" w:lineRule="exact"/>
              <w:jc w:val="center"/>
              <w:rPr>
                <w:rFonts w:ascii="仿宋" w:hAnsi="仿宋" w:eastAsia="仿宋" w:cs="仿宋"/>
                <w:bCs/>
                <w:color w:val="auto"/>
                <w:szCs w:val="21"/>
                <w:highlight w:val="none"/>
              </w:rPr>
            </w:pPr>
            <w:r>
              <w:rPr>
                <w:rStyle w:val="78"/>
                <w:rFonts w:hint="eastAsia" w:ascii="仿宋" w:hAnsi="仿宋" w:eastAsia="仿宋" w:cs="仿宋"/>
                <w:bCs/>
                <w:color w:val="auto"/>
                <w:highlight w:val="none"/>
              </w:rPr>
              <w:t>7</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优化工期计划 </w:t>
            </w: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0-2</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工期优于采购要求</w:t>
            </w:r>
            <w:r>
              <w:rPr>
                <w:rFonts w:ascii="仿宋" w:hAnsi="仿宋" w:eastAsia="仿宋" w:cs="仿宋"/>
                <w:color w:val="auto"/>
                <w:szCs w:val="21"/>
                <w:highlight w:val="none"/>
              </w:rPr>
              <w:t>60日历天的，每少1日历天，得0.</w:t>
            </w:r>
            <w:r>
              <w:rPr>
                <w:rFonts w:hint="eastAsia" w:ascii="仿宋" w:hAnsi="仿宋" w:eastAsia="仿宋" w:cs="仿宋"/>
                <w:color w:val="auto"/>
                <w:szCs w:val="21"/>
                <w:highlight w:val="none"/>
              </w:rPr>
              <w:t>2分，最高得2分。</w:t>
            </w:r>
          </w:p>
        </w:tc>
        <w:tc>
          <w:tcPr>
            <w:tcW w:w="1029" w:type="dxa"/>
            <w:vAlign w:val="center"/>
          </w:tcPr>
          <w:p>
            <w:pPr>
              <w:spacing w:line="400" w:lineRule="exact"/>
              <w:jc w:val="lef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8</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应急</w:t>
            </w:r>
          </w:p>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方案</w:t>
            </w:r>
          </w:p>
        </w:tc>
        <w:tc>
          <w:tcPr>
            <w:tcW w:w="810"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0-6</w:t>
            </w:r>
          </w:p>
        </w:tc>
        <w:tc>
          <w:tcPr>
            <w:tcW w:w="3797" w:type="dxa"/>
            <w:vAlign w:val="center"/>
          </w:tcPr>
          <w:p>
            <w:pPr>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（1）针对设备厂家延期供货提供详细有效的应急响应方案得3分，基本有效的得2分，未提供方案或无效的得0分；</w:t>
            </w:r>
          </w:p>
          <w:p>
            <w:pPr>
              <w:spacing w:line="400" w:lineRule="exact"/>
              <w:rPr>
                <w:rFonts w:eastAsia="仿宋"/>
                <w:color w:val="auto"/>
                <w:highlight w:val="none"/>
              </w:rPr>
            </w:pPr>
            <w:r>
              <w:rPr>
                <w:rFonts w:hint="eastAsia" w:ascii="仿宋" w:hAnsi="仿宋" w:eastAsia="仿宋" w:cs="仿宋"/>
                <w:color w:val="auto"/>
                <w:szCs w:val="21"/>
                <w:highlight w:val="none"/>
              </w:rPr>
              <w:t>（2）针对交警临时管制时间较长提供详细有效的应急响应方案得3分，基本有效的得2分，未提供方案或无效的得0分。</w:t>
            </w:r>
          </w:p>
        </w:tc>
        <w:tc>
          <w:tcPr>
            <w:tcW w:w="1029" w:type="dxa"/>
            <w:vAlign w:val="center"/>
          </w:tcPr>
          <w:p>
            <w:pPr>
              <w:spacing w:line="400" w:lineRule="exac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9</w:t>
            </w:r>
          </w:p>
        </w:tc>
        <w:tc>
          <w:tcPr>
            <w:tcW w:w="1115"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售后</w:t>
            </w:r>
          </w:p>
          <w:p>
            <w:pPr>
              <w:spacing w:line="400" w:lineRule="exact"/>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服务</w:t>
            </w:r>
          </w:p>
        </w:tc>
        <w:tc>
          <w:tcPr>
            <w:tcW w:w="810"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0-7</w:t>
            </w:r>
          </w:p>
        </w:tc>
        <w:tc>
          <w:tcPr>
            <w:tcW w:w="3797" w:type="dxa"/>
            <w:vAlign w:val="center"/>
          </w:tcPr>
          <w:p>
            <w:pPr>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（1）如在使用过程中发生质量问题，投标人在接到甲方通知后在不超过故障申报1小时内到达现场，得2分。证明材料：提供1小时内到达现场的承诺，未承诺不得分。</w:t>
            </w:r>
          </w:p>
          <w:p>
            <w:pPr>
              <w:spacing w:line="400" w:lineRule="exact"/>
              <w:rPr>
                <w:color w:val="auto"/>
                <w:highlight w:val="none"/>
              </w:rPr>
            </w:pPr>
            <w:r>
              <w:rPr>
                <w:rFonts w:hint="eastAsia" w:ascii="仿宋" w:hAnsi="仿宋" w:eastAsia="仿宋" w:cs="仿宋"/>
                <w:color w:val="auto"/>
                <w:szCs w:val="21"/>
                <w:highlight w:val="none"/>
              </w:rPr>
              <w:t>（2）投标人在杭州市售后服务人员配置情况：人数5人及以上的，得2分；10人及以上的，得3分。证明材料提供与供应商已签订的劳动合同、工资发放凭证和最近一期的社保缴纳记录。</w:t>
            </w:r>
            <w:r>
              <w:rPr>
                <w:rFonts w:ascii="仿宋" w:hAnsi="仿宋" w:eastAsia="仿宋" w:cs="仿宋"/>
                <w:color w:val="auto"/>
                <w:szCs w:val="21"/>
                <w:highlight w:val="none"/>
              </w:rPr>
              <w:t>若</w:t>
            </w:r>
            <w:r>
              <w:rPr>
                <w:rFonts w:hint="eastAsia" w:ascii="仿宋" w:hAnsi="仿宋" w:eastAsia="仿宋" w:cs="仿宋"/>
                <w:color w:val="auto"/>
                <w:szCs w:val="21"/>
                <w:highlight w:val="none"/>
              </w:rPr>
              <w:t>投标截止前</w:t>
            </w:r>
            <w:r>
              <w:rPr>
                <w:rFonts w:ascii="仿宋" w:hAnsi="仿宋" w:eastAsia="仿宋" w:cs="仿宋"/>
                <w:color w:val="auto"/>
                <w:szCs w:val="21"/>
                <w:highlight w:val="none"/>
              </w:rPr>
              <w:t>不具备的，则提供承诺书（承诺在中标通知书发出之日起15天内配备到位，否则视为主动放弃中标资格）</w:t>
            </w:r>
            <w:r>
              <w:rPr>
                <w:rFonts w:hint="eastAsia" w:ascii="仿宋" w:hAnsi="仿宋" w:eastAsia="仿宋" w:cs="仿宋"/>
                <w:color w:val="auto"/>
                <w:szCs w:val="21"/>
                <w:highlight w:val="none"/>
              </w:rPr>
              <w:t>。</w:t>
            </w:r>
          </w:p>
          <w:p>
            <w:pPr>
              <w:spacing w:line="400" w:lineRule="exact"/>
              <w:rPr>
                <w:rFonts w:eastAsia="仿宋_GB2312"/>
                <w:color w:val="auto"/>
                <w:highlight w:val="none"/>
              </w:rPr>
            </w:pPr>
            <w:r>
              <w:rPr>
                <w:rFonts w:hint="eastAsia" w:ascii="仿宋" w:eastAsia="仿宋" w:cs="仿宋"/>
                <w:color w:val="auto"/>
                <w:szCs w:val="21"/>
                <w:highlight w:val="none"/>
              </w:rPr>
              <w:t>（3）</w:t>
            </w:r>
            <w:r>
              <w:rPr>
                <w:rFonts w:hint="eastAsia" w:ascii="仿宋" w:hAnsi="仿宋" w:eastAsia="仿宋" w:cs="仿宋"/>
                <w:color w:val="auto"/>
                <w:szCs w:val="21"/>
                <w:highlight w:val="none"/>
              </w:rPr>
              <w:t>延长质保期：在原有质保期基础上，承诺质保期延长12个月的，得1分；延长24个月的，得2分。</w:t>
            </w:r>
          </w:p>
        </w:tc>
        <w:tc>
          <w:tcPr>
            <w:tcW w:w="1029" w:type="dxa"/>
            <w:vAlign w:val="center"/>
          </w:tcPr>
          <w:p>
            <w:pPr>
              <w:spacing w:line="400" w:lineRule="exac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二</w:t>
            </w:r>
          </w:p>
        </w:tc>
        <w:tc>
          <w:tcPr>
            <w:tcW w:w="5722" w:type="dxa"/>
            <w:gridSpan w:val="3"/>
            <w:vAlign w:val="center"/>
          </w:tcPr>
          <w:p>
            <w:pPr>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资信业绩，6分</w:t>
            </w:r>
          </w:p>
        </w:tc>
        <w:tc>
          <w:tcPr>
            <w:tcW w:w="1029" w:type="dxa"/>
            <w:vAlign w:val="center"/>
          </w:tcPr>
          <w:p>
            <w:pPr>
              <w:spacing w:line="400" w:lineRule="exact"/>
              <w:rPr>
                <w:rFonts w:ascii="仿宋" w:hAnsi="仿宋" w:eastAsia="仿宋" w:cs="仿宋"/>
                <w:color w:val="auto"/>
                <w:szCs w:val="21"/>
                <w:highlight w:val="none"/>
              </w:rPr>
            </w:pPr>
          </w:p>
        </w:tc>
        <w:tc>
          <w:tcPr>
            <w:tcW w:w="1038" w:type="dxa"/>
            <w:vAlign w:val="center"/>
          </w:tcPr>
          <w:p>
            <w:pPr>
              <w:spacing w:line="400" w:lineRule="exact"/>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1</w:t>
            </w:r>
          </w:p>
        </w:tc>
        <w:tc>
          <w:tcPr>
            <w:tcW w:w="1115" w:type="dxa"/>
            <w:vAlign w:val="center"/>
          </w:tcPr>
          <w:p>
            <w:pPr>
              <w:autoSpaceDE w:val="0"/>
              <w:autoSpaceDN w:val="0"/>
              <w:spacing w:line="400" w:lineRule="exact"/>
              <w:jc w:val="center"/>
              <w:rPr>
                <w:rStyle w:val="78"/>
                <w:rFonts w:ascii="仿宋" w:hAnsi="仿宋" w:eastAsia="仿宋" w:cs="仿宋"/>
                <w:bCs/>
                <w:color w:val="auto"/>
                <w:kern w:val="0"/>
                <w:highlight w:val="none"/>
              </w:rPr>
            </w:pPr>
            <w:r>
              <w:rPr>
                <w:rStyle w:val="78"/>
                <w:rFonts w:hint="eastAsia" w:ascii="仿宋" w:hAnsi="仿宋" w:eastAsia="仿宋" w:cs="仿宋"/>
                <w:bCs/>
                <w:color w:val="auto"/>
                <w:kern w:val="0"/>
                <w:highlight w:val="none"/>
              </w:rPr>
              <w:t>管理体系</w:t>
            </w:r>
          </w:p>
          <w:p>
            <w:pPr>
              <w:autoSpaceDE w:val="0"/>
              <w:autoSpaceDN w:val="0"/>
              <w:spacing w:line="400" w:lineRule="exact"/>
              <w:jc w:val="center"/>
              <w:rPr>
                <w:rFonts w:ascii="仿宋" w:hAnsi="仿宋" w:eastAsia="仿宋" w:cs="仿宋"/>
                <w:color w:val="auto"/>
                <w:szCs w:val="21"/>
                <w:highlight w:val="none"/>
              </w:rPr>
            </w:pPr>
            <w:r>
              <w:rPr>
                <w:rStyle w:val="78"/>
                <w:rFonts w:hint="eastAsia" w:ascii="仿宋" w:hAnsi="仿宋" w:eastAsia="仿宋" w:cs="仿宋"/>
                <w:bCs/>
                <w:color w:val="auto"/>
                <w:kern w:val="0"/>
                <w:highlight w:val="none"/>
              </w:rPr>
              <w:t>认证</w:t>
            </w:r>
          </w:p>
        </w:tc>
        <w:tc>
          <w:tcPr>
            <w:tcW w:w="810"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0-3</w:t>
            </w:r>
          </w:p>
        </w:tc>
        <w:tc>
          <w:tcPr>
            <w:tcW w:w="3797" w:type="dxa"/>
            <w:vAlign w:val="center"/>
          </w:tcPr>
          <w:p>
            <w:pPr>
              <w:autoSpaceDE w:val="0"/>
              <w:autoSpaceDN w:val="0"/>
              <w:spacing w:line="400" w:lineRule="exact"/>
              <w:rPr>
                <w:rFonts w:ascii="仿宋" w:hAnsi="仿宋" w:eastAsia="仿宋" w:cs="仿宋"/>
                <w:color w:val="auto"/>
                <w:szCs w:val="21"/>
                <w:highlight w:val="none"/>
              </w:rPr>
            </w:pPr>
            <w:r>
              <w:rPr>
                <w:rStyle w:val="78"/>
                <w:rFonts w:hint="eastAsia" w:ascii="仿宋" w:hAnsi="仿宋" w:eastAsia="仿宋" w:cs="仿宋"/>
                <w:bCs/>
                <w:color w:val="auto"/>
                <w:kern w:val="0"/>
                <w:highlight w:val="none"/>
              </w:rPr>
              <w:t>投标人具有ISO9001质量管理体系认证、ISO14001环境管理体系认证和ISO45001职业健康安全管理体系认证证书，每个得1分，最高得3分。（</w:t>
            </w:r>
            <w:r>
              <w:rPr>
                <w:rFonts w:hint="eastAsia" w:ascii="仿宋" w:hAnsi="仿宋" w:eastAsia="仿宋" w:cs="仿宋"/>
                <w:color w:val="auto"/>
                <w:szCs w:val="21"/>
                <w:highlight w:val="none"/>
              </w:rPr>
              <w:t>（证明材料：在国家市场监督管理总局全国认证认可信息公共服务平台 http://cx.cnca.cn/CertECloud/result/skipResultList 查询打印页面（加盖公章）为准。未按要求提供证明材料的不得分。）</w:t>
            </w:r>
          </w:p>
        </w:tc>
        <w:tc>
          <w:tcPr>
            <w:tcW w:w="1029" w:type="dxa"/>
            <w:vAlign w:val="center"/>
          </w:tcPr>
          <w:p>
            <w:pPr>
              <w:autoSpaceDE w:val="0"/>
              <w:autoSpaceDN w:val="0"/>
              <w:spacing w:line="400" w:lineRule="exact"/>
              <w:rPr>
                <w:rStyle w:val="78"/>
                <w:rFonts w:ascii="仿宋" w:hAnsi="仿宋" w:eastAsia="仿宋" w:cs="仿宋"/>
                <w:bCs/>
                <w:color w:val="auto"/>
                <w:kern w:val="0"/>
                <w:highlight w:val="none"/>
              </w:rPr>
            </w:pPr>
          </w:p>
        </w:tc>
        <w:tc>
          <w:tcPr>
            <w:tcW w:w="1038" w:type="dxa"/>
            <w:vAlign w:val="center"/>
          </w:tcPr>
          <w:p>
            <w:pPr>
              <w:autoSpaceDE w:val="0"/>
              <w:autoSpaceDN w:val="0"/>
              <w:spacing w:line="400" w:lineRule="exact"/>
              <w:jc w:val="center"/>
              <w:rPr>
                <w:rStyle w:val="78"/>
                <w:rFonts w:ascii="仿宋" w:hAnsi="仿宋" w:eastAsia="仿宋" w:cs="仿宋"/>
                <w:bCs/>
                <w:color w:val="auto"/>
                <w:kern w:val="0"/>
                <w:highlight w:val="none"/>
              </w:rPr>
            </w:pPr>
            <w:r>
              <w:rPr>
                <w:rStyle w:val="78"/>
                <w:rFonts w:hint="eastAsia" w:ascii="仿宋" w:hAnsi="仿宋" w:eastAsia="仿宋" w:cs="仿宋"/>
                <w:bCs/>
                <w:color w:val="auto"/>
                <w:kern w:val="0"/>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2</w:t>
            </w:r>
          </w:p>
        </w:tc>
        <w:tc>
          <w:tcPr>
            <w:tcW w:w="1115" w:type="dxa"/>
            <w:vAlign w:val="center"/>
          </w:tcPr>
          <w:p>
            <w:pPr>
              <w:autoSpaceDE w:val="0"/>
              <w:autoSpaceDN w:val="0"/>
              <w:spacing w:line="400" w:lineRule="exact"/>
              <w:jc w:val="center"/>
              <w:rPr>
                <w:rFonts w:ascii="仿宋" w:hAnsi="仿宋" w:eastAsia="仿宋" w:cs="仿宋"/>
                <w:bCs/>
                <w:color w:val="auto"/>
                <w:kern w:val="0"/>
                <w:szCs w:val="21"/>
                <w:highlight w:val="none"/>
              </w:rPr>
            </w:pPr>
            <w:r>
              <w:rPr>
                <w:rStyle w:val="78"/>
                <w:rFonts w:hint="eastAsia" w:ascii="仿宋" w:hAnsi="仿宋" w:eastAsia="仿宋" w:cs="仿宋"/>
                <w:bCs/>
                <w:color w:val="auto"/>
                <w:highlight w:val="none"/>
              </w:rPr>
              <w:t>类似项目业绩</w:t>
            </w:r>
          </w:p>
        </w:tc>
        <w:tc>
          <w:tcPr>
            <w:tcW w:w="810" w:type="dxa"/>
            <w:vAlign w:val="center"/>
          </w:tcPr>
          <w:p>
            <w:pPr>
              <w:autoSpaceDE w:val="0"/>
              <w:autoSpaceDN w:val="0"/>
              <w:spacing w:line="400" w:lineRule="exact"/>
              <w:jc w:val="center"/>
              <w:rPr>
                <w:rFonts w:ascii="仿宋" w:hAnsi="仿宋" w:eastAsia="仿宋" w:cs="仿宋"/>
                <w:bCs/>
                <w:color w:val="auto"/>
                <w:kern w:val="0"/>
                <w:szCs w:val="21"/>
                <w:highlight w:val="none"/>
              </w:rPr>
            </w:pPr>
            <w:r>
              <w:rPr>
                <w:rStyle w:val="78"/>
                <w:rFonts w:hint="eastAsia" w:ascii="仿宋" w:hAnsi="仿宋" w:eastAsia="仿宋" w:cs="仿宋"/>
                <w:bCs/>
                <w:color w:val="auto"/>
                <w:highlight w:val="none"/>
              </w:rPr>
              <w:t>0-3</w:t>
            </w:r>
          </w:p>
        </w:tc>
        <w:tc>
          <w:tcPr>
            <w:tcW w:w="3797" w:type="dxa"/>
            <w:vAlign w:val="center"/>
          </w:tcPr>
          <w:p>
            <w:pPr>
              <w:autoSpaceDE w:val="0"/>
              <w:autoSpaceDN w:val="0"/>
              <w:spacing w:line="400" w:lineRule="exact"/>
              <w:rPr>
                <w:rFonts w:ascii="仿宋" w:hAnsi="仿宋" w:eastAsia="仿宋" w:cs="仿宋"/>
                <w:bCs/>
                <w:color w:val="auto"/>
                <w:kern w:val="0"/>
                <w:szCs w:val="21"/>
                <w:highlight w:val="none"/>
              </w:rPr>
            </w:pPr>
            <w:r>
              <w:rPr>
                <w:rStyle w:val="78"/>
                <w:rFonts w:hint="eastAsia" w:ascii="仿宋" w:hAnsi="仿宋" w:eastAsia="仿宋" w:cs="仿宋"/>
                <w:bCs/>
                <w:color w:val="auto"/>
                <w:kern w:val="0"/>
                <w:highlight w:val="none"/>
              </w:rPr>
              <w:t>投标人自2021年1月1日以来具有类似项目供货业绩的【类似项目指车辆动态称重供货及安装项目</w:t>
            </w:r>
            <w:r>
              <w:rPr>
                <w:rStyle w:val="78"/>
                <w:rFonts w:hint="eastAsia" w:ascii="仿宋" w:hAnsi="仿宋" w:eastAsia="仿宋" w:cs="仿宋"/>
                <w:bCs/>
                <w:color w:val="auto"/>
                <w:kern w:val="0"/>
                <w:sz w:val="24"/>
                <w:highlight w:val="none"/>
                <w:lang w:val="en-GB"/>
              </w:rPr>
              <w:t>业绩</w:t>
            </w:r>
            <w:r>
              <w:rPr>
                <w:rStyle w:val="78"/>
                <w:rFonts w:hint="eastAsia" w:ascii="仿宋" w:hAnsi="仿宋" w:eastAsia="仿宋" w:cs="仿宋"/>
                <w:bCs/>
                <w:color w:val="auto"/>
                <w:kern w:val="0"/>
                <w:highlight w:val="none"/>
              </w:rPr>
              <w:t>】时间为合同签订时间，每1例得1分，最高得3分。证明材料提供合同。若合同未能体现业绩特征指标的，另行提供验收资料或甲方证明。</w:t>
            </w:r>
          </w:p>
        </w:tc>
        <w:tc>
          <w:tcPr>
            <w:tcW w:w="1029" w:type="dxa"/>
            <w:vAlign w:val="center"/>
          </w:tcPr>
          <w:p>
            <w:pPr>
              <w:autoSpaceDE w:val="0"/>
              <w:autoSpaceDN w:val="0"/>
              <w:spacing w:line="400" w:lineRule="exact"/>
              <w:rPr>
                <w:rStyle w:val="78"/>
                <w:rFonts w:ascii="仿宋" w:hAnsi="仿宋" w:eastAsia="仿宋" w:cs="仿宋"/>
                <w:bCs/>
                <w:color w:val="auto"/>
                <w:kern w:val="0"/>
                <w:highlight w:val="none"/>
              </w:rPr>
            </w:pPr>
          </w:p>
        </w:tc>
        <w:tc>
          <w:tcPr>
            <w:tcW w:w="1038" w:type="dxa"/>
            <w:vAlign w:val="center"/>
          </w:tcPr>
          <w:p>
            <w:pPr>
              <w:autoSpaceDE w:val="0"/>
              <w:autoSpaceDN w:val="0"/>
              <w:spacing w:line="400" w:lineRule="exact"/>
              <w:jc w:val="center"/>
              <w:rPr>
                <w:rStyle w:val="78"/>
                <w:rFonts w:ascii="仿宋" w:hAnsi="仿宋" w:eastAsia="仿宋" w:cs="仿宋"/>
                <w:bCs/>
                <w:color w:val="auto"/>
                <w:kern w:val="0"/>
                <w:highlight w:val="none"/>
              </w:rPr>
            </w:pPr>
            <w:r>
              <w:rPr>
                <w:rStyle w:val="78"/>
                <w:rFonts w:hint="eastAsia" w:ascii="仿宋" w:hAnsi="仿宋" w:eastAsia="仿宋" w:cs="仿宋"/>
                <w:bCs/>
                <w:color w:val="auto"/>
                <w:kern w:val="0"/>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r>
              <w:rPr>
                <w:rStyle w:val="78"/>
                <w:rFonts w:hint="eastAsia" w:ascii="仿宋" w:hAnsi="仿宋" w:eastAsia="仿宋" w:cs="仿宋"/>
                <w:bCs/>
                <w:color w:val="auto"/>
                <w:highlight w:val="none"/>
              </w:rPr>
              <w:t>三</w:t>
            </w:r>
          </w:p>
        </w:tc>
        <w:tc>
          <w:tcPr>
            <w:tcW w:w="5722" w:type="dxa"/>
            <w:gridSpan w:val="3"/>
            <w:vAlign w:val="center"/>
          </w:tcPr>
          <w:p>
            <w:pPr>
              <w:autoSpaceDE w:val="0"/>
              <w:autoSpaceDN w:val="0"/>
              <w:spacing w:line="400" w:lineRule="exact"/>
              <w:rPr>
                <w:rStyle w:val="78"/>
                <w:rFonts w:ascii="仿宋" w:hAnsi="仿宋" w:eastAsia="仿宋" w:cs="仿宋"/>
                <w:bCs/>
                <w:color w:val="auto"/>
                <w:kern w:val="0"/>
                <w:highlight w:val="none"/>
              </w:rPr>
            </w:pPr>
            <w:r>
              <w:rPr>
                <w:rStyle w:val="78"/>
                <w:rFonts w:hint="eastAsia" w:ascii="仿宋" w:hAnsi="仿宋" w:eastAsia="仿宋" w:cs="仿宋"/>
                <w:bCs/>
                <w:color w:val="auto"/>
                <w:highlight w:val="none"/>
              </w:rPr>
              <w:t>报价，30分</w:t>
            </w:r>
          </w:p>
        </w:tc>
        <w:tc>
          <w:tcPr>
            <w:tcW w:w="1029" w:type="dxa"/>
            <w:vAlign w:val="center"/>
          </w:tcPr>
          <w:p>
            <w:pPr>
              <w:autoSpaceDE w:val="0"/>
              <w:autoSpaceDN w:val="0"/>
              <w:spacing w:line="400" w:lineRule="exact"/>
              <w:rPr>
                <w:rStyle w:val="78"/>
                <w:rFonts w:ascii="仿宋" w:hAnsi="仿宋" w:eastAsia="仿宋" w:cs="仿宋"/>
                <w:bCs/>
                <w:color w:val="auto"/>
                <w:kern w:val="0"/>
                <w:highlight w:val="none"/>
              </w:rPr>
            </w:pPr>
          </w:p>
        </w:tc>
        <w:tc>
          <w:tcPr>
            <w:tcW w:w="1038" w:type="dxa"/>
            <w:vAlign w:val="center"/>
          </w:tcPr>
          <w:p>
            <w:pPr>
              <w:autoSpaceDE w:val="0"/>
              <w:autoSpaceDN w:val="0"/>
              <w:spacing w:line="400" w:lineRule="exact"/>
              <w:jc w:val="center"/>
              <w:rPr>
                <w:rStyle w:val="78"/>
                <w:rFonts w:ascii="仿宋" w:hAnsi="仿宋" w:eastAsia="仿宋" w:cs="仿宋"/>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7" w:type="dxa"/>
            <w:vAlign w:val="center"/>
          </w:tcPr>
          <w:p>
            <w:pPr>
              <w:autoSpaceDE w:val="0"/>
              <w:autoSpaceDN w:val="0"/>
              <w:spacing w:line="400" w:lineRule="exact"/>
              <w:jc w:val="center"/>
              <w:rPr>
                <w:rStyle w:val="78"/>
                <w:rFonts w:ascii="仿宋" w:hAnsi="仿宋" w:eastAsia="仿宋" w:cs="仿宋"/>
                <w:bCs/>
                <w:color w:val="auto"/>
                <w:highlight w:val="none"/>
              </w:rPr>
            </w:pPr>
          </w:p>
        </w:tc>
        <w:tc>
          <w:tcPr>
            <w:tcW w:w="5722" w:type="dxa"/>
            <w:gridSpan w:val="3"/>
            <w:vAlign w:val="center"/>
          </w:tcPr>
          <w:p>
            <w:pPr>
              <w:autoSpaceDE w:val="0"/>
              <w:autoSpaceDN w:val="0"/>
              <w:spacing w:line="400" w:lineRule="exact"/>
              <w:rPr>
                <w:rFonts w:ascii="仿宋" w:hAnsi="仿宋" w:eastAsia="仿宋" w:cs="仿宋"/>
                <w:color w:val="auto"/>
                <w:szCs w:val="21"/>
                <w:highlight w:val="none"/>
                <w:lang w:bidi="ar"/>
              </w:rPr>
            </w:pPr>
            <w:bookmarkStart w:id="421" w:name="_Toc12786"/>
            <w:bookmarkStart w:id="422" w:name="_Toc8584"/>
            <w:bookmarkStart w:id="423" w:name="_Toc26075"/>
            <w:bookmarkStart w:id="424" w:name="_Toc24938"/>
            <w:r>
              <w:rPr>
                <w:rFonts w:hint="eastAsia" w:ascii="仿宋" w:hAnsi="仿宋" w:eastAsia="仿宋" w:cs="仿宋"/>
                <w:color w:val="auto"/>
                <w:szCs w:val="21"/>
                <w:highlight w:val="none"/>
                <w:lang w:bidi="ar"/>
              </w:rPr>
              <w:t>有效投标报价的最低价作为评标基准价，其最低报价为满分；按［投标报价得分=（评标基准价/投标报价）*30］的计算公式计算。</w:t>
            </w:r>
            <w:bookmarkEnd w:id="421"/>
            <w:bookmarkEnd w:id="422"/>
            <w:bookmarkEnd w:id="423"/>
            <w:bookmarkEnd w:id="424"/>
          </w:p>
          <w:p>
            <w:pPr>
              <w:autoSpaceDE w:val="0"/>
              <w:autoSpaceDN w:val="0"/>
              <w:spacing w:line="400" w:lineRule="exact"/>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评标过程中，不得去掉报价中的最高报价和最低报价。</w:t>
            </w:r>
          </w:p>
          <w:p>
            <w:pPr>
              <w:autoSpaceDE w:val="0"/>
              <w:autoSpaceDN w:val="0"/>
              <w:spacing w:line="400" w:lineRule="exact"/>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本项目非专门面向中小企业采购项目，按《优化政府采购营商环境举措》（杭财采监〔2021〕13号）文件，对小型和微型企业的投标报价给予10%的扣除，用扣除后的价格参与评审。残疾人福利性企业、监狱企业参照小微企业执行。</w:t>
            </w:r>
          </w:p>
          <w:p>
            <w:pPr>
              <w:autoSpaceDE w:val="0"/>
              <w:autoSpaceDN w:val="0"/>
              <w:spacing w:line="400" w:lineRule="exact"/>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 %（4%-6%）的扣除，用扣除后的价格参加评审。</w:t>
            </w:r>
          </w:p>
          <w:p>
            <w:pPr>
              <w:autoSpaceDE w:val="0"/>
              <w:autoSpaceDN w:val="0"/>
              <w:spacing w:line="400" w:lineRule="exact"/>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组成联合体或者接受分包的小微企业与联合体内其他企业、分包企业之间存在直接控股、管理关系的，不享受价格扣除优惠政策。</w:t>
            </w:r>
          </w:p>
        </w:tc>
        <w:tc>
          <w:tcPr>
            <w:tcW w:w="1029" w:type="dxa"/>
            <w:vAlign w:val="center"/>
          </w:tcPr>
          <w:p>
            <w:pPr>
              <w:autoSpaceDE w:val="0"/>
              <w:autoSpaceDN w:val="0"/>
              <w:spacing w:line="400" w:lineRule="exact"/>
              <w:rPr>
                <w:rStyle w:val="78"/>
                <w:rFonts w:ascii="仿宋" w:hAnsi="仿宋" w:eastAsia="仿宋" w:cs="仿宋"/>
                <w:bCs/>
                <w:color w:val="auto"/>
                <w:kern w:val="0"/>
                <w:highlight w:val="none"/>
              </w:rPr>
            </w:pPr>
          </w:p>
        </w:tc>
        <w:tc>
          <w:tcPr>
            <w:tcW w:w="1038" w:type="dxa"/>
            <w:vAlign w:val="center"/>
          </w:tcPr>
          <w:p>
            <w:pPr>
              <w:autoSpaceDE w:val="0"/>
              <w:autoSpaceDN w:val="0"/>
              <w:spacing w:line="400" w:lineRule="exact"/>
              <w:jc w:val="center"/>
              <w:rPr>
                <w:rStyle w:val="78"/>
                <w:rFonts w:ascii="仿宋" w:hAnsi="仿宋" w:eastAsia="仿宋" w:cs="仿宋"/>
                <w:bCs/>
                <w:color w:val="auto"/>
                <w:kern w:val="0"/>
                <w:highlight w:val="none"/>
              </w:rPr>
            </w:pPr>
            <w:r>
              <w:rPr>
                <w:rStyle w:val="78"/>
                <w:rFonts w:hint="eastAsia" w:ascii="仿宋" w:hAnsi="仿宋" w:eastAsia="仿宋" w:cs="仿宋"/>
                <w:bCs/>
                <w:color w:val="auto"/>
                <w:kern w:val="0"/>
                <w:highlight w:val="none"/>
              </w:rPr>
              <w:t>客观分</w:t>
            </w:r>
          </w:p>
        </w:tc>
      </w:tr>
    </w:tbl>
    <w:p>
      <w:pPr>
        <w:wordWrap w:val="0"/>
        <w:snapToGrid w:val="0"/>
        <w:spacing w:line="336" w:lineRule="auto"/>
        <w:rPr>
          <w:rFonts w:ascii="仿宋" w:hAnsi="仿宋" w:eastAsia="仿宋" w:cs="仿宋"/>
          <w:b/>
          <w:color w:val="auto"/>
          <w:szCs w:val="21"/>
          <w:highlight w:val="none"/>
        </w:rPr>
      </w:pPr>
      <w:r>
        <w:rPr>
          <w:rFonts w:hint="eastAsia" w:ascii="仿宋" w:hAnsi="仿宋" w:eastAsia="仿宋" w:cs="仿宋"/>
          <w:color w:val="auto"/>
          <w:szCs w:val="21"/>
          <w:highlight w:val="none"/>
          <w:shd w:val="clear" w:color="auto" w:fill="FFFFFF"/>
        </w:rPr>
        <w:t xml:space="preserve">   </w:t>
      </w:r>
      <w:r>
        <w:rPr>
          <w:rFonts w:hint="eastAsia" w:ascii="仿宋" w:hAnsi="仿宋" w:eastAsia="仿宋" w:cs="仿宋"/>
          <w:b/>
          <w:color w:val="auto"/>
          <w:szCs w:val="21"/>
          <w:highlight w:val="none"/>
        </w:rPr>
        <w:t>备注：1.</w:t>
      </w:r>
      <w:r>
        <w:rPr>
          <w:rFonts w:hint="eastAsia" w:ascii="仿宋" w:hAnsi="仿宋" w:eastAsia="仿宋" w:cs="仿宋"/>
          <w:color w:val="auto"/>
          <w:szCs w:val="21"/>
          <w:highlight w:val="none"/>
        </w:rPr>
        <w:t>投标人编制投标文件（商务技术文件部分）时，建议按此目录（序号和内容）提供评标标准相应的商务技术资料。 </w:t>
      </w:r>
    </w:p>
    <w:p>
      <w:pPr>
        <w:wordWrap w:val="0"/>
        <w:spacing w:line="336" w:lineRule="auto"/>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u w:val="single"/>
        </w:rPr>
        <w:t>2.证明材料提供扫描件或复制件，未提供或提供不全的不得分。</w:t>
      </w:r>
    </w:p>
    <w:p>
      <w:pPr>
        <w:wordWrap w:val="0"/>
        <w:spacing w:line="336" w:lineRule="auto"/>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u w:val="single"/>
        </w:rPr>
        <w:t>3.评标委员会将对实质上响应招标文件的投标人，各自独立记名打分，小数点后最多保留一位小数。投标人商务技术分=评标委员会所有成员评分合计数/评标委员会组成人员数（小数点后保留二位小数，第三位四舍五入）。投标人价格得分小数点后保留两位小数。</w:t>
      </w:r>
    </w:p>
    <w:p>
      <w:pPr>
        <w:spacing w:line="336" w:lineRule="auto"/>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u w:val="single"/>
        </w:rPr>
        <w:t>4.拟派项目组人员同一人不得兼任两个岗位。兼任的按一个最高岗位得分计。</w:t>
      </w:r>
    </w:p>
    <w:p>
      <w:pPr>
        <w:wordWrap w:val="0"/>
        <w:spacing w:line="336" w:lineRule="auto"/>
        <w:ind w:firstLine="420" w:firstLineChars="200"/>
        <w:rPr>
          <w:rFonts w:ascii="仿宋" w:hAnsi="仿宋" w:eastAsia="仿宋" w:cs="仿宋"/>
          <w:b/>
          <w:color w:val="auto"/>
          <w:sz w:val="32"/>
          <w:highlight w:val="none"/>
        </w:rPr>
      </w:pPr>
      <w:r>
        <w:rPr>
          <w:rFonts w:hint="eastAsia" w:ascii="仿宋" w:hAnsi="仿宋" w:eastAsia="仿宋" w:cs="仿宋"/>
          <w:color w:val="auto"/>
          <w:szCs w:val="21"/>
          <w:highlight w:val="none"/>
          <w:u w:val="single"/>
        </w:rPr>
        <w:t>▲5.若联合体参加的，联合体成员应根据联合协议书中相应承担的工作内容、合同份额进行各自配备相应人员和设施设备，项目负</w:t>
      </w:r>
      <w:bookmarkStart w:id="557" w:name="_GoBack"/>
      <w:bookmarkEnd w:id="557"/>
      <w:r>
        <w:rPr>
          <w:rFonts w:hint="eastAsia" w:ascii="仿宋" w:hAnsi="仿宋" w:eastAsia="仿宋" w:cs="仿宋"/>
          <w:color w:val="auto"/>
          <w:szCs w:val="21"/>
          <w:highlight w:val="none"/>
          <w:u w:val="single"/>
        </w:rPr>
        <w:t>责人、技术负责人由牵头人派遣。</w:t>
      </w:r>
      <w:r>
        <w:rPr>
          <w:rFonts w:hint="eastAsia" w:ascii="仿宋" w:hAnsi="仿宋" w:eastAsia="仿宋" w:cs="仿宋"/>
          <w:b/>
          <w:color w:val="auto"/>
          <w:sz w:val="32"/>
          <w:highlight w:val="none"/>
        </w:rPr>
        <w:br w:type="page"/>
      </w:r>
    </w:p>
    <w:p>
      <w:pPr>
        <w:wordWrap w:val="0"/>
        <w:snapToGrid w:val="0"/>
        <w:spacing w:line="360" w:lineRule="auto"/>
        <w:ind w:firstLine="321" w:firstLineChars="100"/>
        <w:outlineLvl w:val="1"/>
        <w:rPr>
          <w:rFonts w:ascii="仿宋" w:hAnsi="仿宋" w:eastAsia="仿宋" w:cs="仿宋"/>
          <w:b/>
          <w:color w:val="auto"/>
          <w:sz w:val="28"/>
          <w:szCs w:val="28"/>
          <w:highlight w:val="none"/>
        </w:rPr>
      </w:pPr>
      <w:r>
        <w:rPr>
          <w:rFonts w:hint="eastAsia" w:ascii="仿宋" w:hAnsi="仿宋" w:eastAsia="仿宋" w:cs="仿宋"/>
          <w:b/>
          <w:color w:val="auto"/>
          <w:sz w:val="32"/>
          <w:highlight w:val="none"/>
        </w:rPr>
        <w:t>1.评标方法</w:t>
      </w:r>
    </w:p>
    <w:p>
      <w:pPr>
        <w:wordWrap w:val="0"/>
        <w:adjustRightInd/>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1.1本项目采用综合评分法。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wordWrap w:val="0"/>
        <w:adjustRightInd/>
        <w:spacing w:line="360" w:lineRule="auto"/>
        <w:ind w:firstLine="321" w:firstLineChars="100"/>
        <w:outlineLvl w:val="1"/>
        <w:rPr>
          <w:rFonts w:ascii="仿宋" w:hAnsi="仿宋" w:eastAsia="仿宋" w:cs="仿宋"/>
          <w:color w:val="auto"/>
          <w:kern w:val="0"/>
          <w:sz w:val="24"/>
          <w:highlight w:val="none"/>
        </w:rPr>
      </w:pPr>
      <w:r>
        <w:rPr>
          <w:rFonts w:hint="eastAsia" w:ascii="仿宋" w:hAnsi="仿宋" w:eastAsia="仿宋" w:cs="仿宋"/>
          <w:b/>
          <w:color w:val="auto"/>
          <w:sz w:val="32"/>
          <w:highlight w:val="none"/>
        </w:rPr>
        <w:t>2.评标标准</w:t>
      </w:r>
    </w:p>
    <w:p>
      <w:pPr>
        <w:wordWrap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kern w:val="0"/>
          <w:sz w:val="24"/>
          <w:highlight w:val="none"/>
        </w:rPr>
        <w:t>见评标办法前附表。</w:t>
      </w:r>
    </w:p>
    <w:p>
      <w:pPr>
        <w:wordWrap w:val="0"/>
        <w:spacing w:line="360" w:lineRule="auto"/>
        <w:ind w:firstLine="361" w:firstLineChars="100"/>
        <w:outlineLvl w:val="1"/>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3.评标程序</w:t>
      </w:r>
    </w:p>
    <w:p>
      <w:pPr>
        <w:wordWrap w:val="0"/>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wordWrap w:val="0"/>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wordWrap w:val="0"/>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wordWrap w:val="0"/>
        <w:spacing w:line="360" w:lineRule="auto"/>
        <w:ind w:firstLine="472" w:firstLineChars="196"/>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30"/>
        <w:wordWrap w:val="0"/>
        <w:spacing w:before="0"/>
        <w:ind w:firstLine="508" w:firstLineChars="212"/>
        <w:rPr>
          <w:rFonts w:ascii="仿宋" w:hAnsi="仿宋" w:eastAsia="仿宋" w:cs="仿宋"/>
          <w:color w:val="auto"/>
          <w:kern w:val="0"/>
          <w:highlight w:val="none"/>
        </w:rPr>
      </w:pPr>
      <w:r>
        <w:rPr>
          <w:rFonts w:hint="eastAsia" w:ascii="仿宋" w:hAnsi="仿宋" w:eastAsia="仿宋" w:cs="仿宋"/>
          <w:color w:val="auto"/>
          <w:kern w:val="0"/>
          <w:highlight w:val="none"/>
        </w:rPr>
        <w:t>3.4.1 报价文件开启后，如发现开标结果与报价文件不一致者，以报价文件为准。由评标委员会根据报价文件内容进行修正。</w:t>
      </w:r>
    </w:p>
    <w:p>
      <w:pPr>
        <w:pStyle w:val="130"/>
        <w:wordWrap w:val="0"/>
        <w:spacing w:before="0"/>
        <w:ind w:firstLine="508" w:firstLineChars="212"/>
        <w:rPr>
          <w:rFonts w:ascii="仿宋" w:hAnsi="仿宋" w:eastAsia="仿宋" w:cs="仿宋"/>
          <w:color w:val="auto"/>
          <w:kern w:val="0"/>
          <w:highlight w:val="none"/>
        </w:rPr>
      </w:pPr>
      <w:r>
        <w:rPr>
          <w:rFonts w:hint="eastAsia" w:ascii="仿宋" w:hAnsi="仿宋" w:eastAsia="仿宋" w:cs="仿宋"/>
          <w:color w:val="auto"/>
          <w:kern w:val="0"/>
          <w:highlight w:val="none"/>
        </w:rPr>
        <w:t>3.4.2投标文件报价出现前后不一致的，按照下列规定修正：</w:t>
      </w:r>
    </w:p>
    <w:p>
      <w:pPr>
        <w:pStyle w:val="130"/>
        <w:wordWrap w:val="0"/>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w:t>
      </w:r>
      <w:r>
        <w:rPr>
          <w:rFonts w:hint="eastAsia" w:ascii="仿宋" w:hAnsi="仿宋" w:eastAsia="仿宋" w:cs="仿宋"/>
          <w:color w:val="auto"/>
          <w:kern w:val="0"/>
          <w:szCs w:val="24"/>
          <w:highlight w:val="none"/>
        </w:rPr>
        <w:t>2</w:t>
      </w:r>
      <w:r>
        <w:rPr>
          <w:rFonts w:ascii="仿宋" w:hAnsi="仿宋" w:eastAsia="仿宋" w:cs="仿宋"/>
          <w:color w:val="auto"/>
          <w:kern w:val="0"/>
          <w:szCs w:val="24"/>
          <w:highlight w:val="none"/>
        </w:rPr>
        <w:t>.1投标文件中开标一览表(报价表)内容与投标文件中相应内容不一致的，以开标一览表(报价表)为准;</w:t>
      </w:r>
      <w:r>
        <w:rPr>
          <w:rFonts w:hint="eastAsia" w:ascii="仿宋" w:hAnsi="仿宋" w:eastAsia="仿宋" w:cs="仿宋"/>
          <w:color w:val="auto"/>
          <w:kern w:val="0"/>
          <w:szCs w:val="24"/>
          <w:highlight w:val="none"/>
        </w:rPr>
        <w:t>但开标一览表(报价表)存在明显单位、文字错误的，则澄清、说明、补正；</w:t>
      </w:r>
    </w:p>
    <w:p>
      <w:pPr>
        <w:pStyle w:val="130"/>
        <w:wordWrap w:val="0"/>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w:t>
      </w:r>
      <w:r>
        <w:rPr>
          <w:rFonts w:hint="eastAsia" w:ascii="仿宋" w:hAnsi="仿宋" w:eastAsia="仿宋" w:cs="仿宋"/>
          <w:color w:val="auto"/>
          <w:kern w:val="0"/>
          <w:szCs w:val="24"/>
          <w:highlight w:val="none"/>
        </w:rPr>
        <w:t>2</w:t>
      </w:r>
      <w:r>
        <w:rPr>
          <w:rFonts w:ascii="仿宋" w:hAnsi="仿宋" w:eastAsia="仿宋" w:cs="仿宋"/>
          <w:color w:val="auto"/>
          <w:kern w:val="0"/>
          <w:szCs w:val="24"/>
          <w:highlight w:val="none"/>
        </w:rPr>
        <w:t>.2大写金额和小写金额不一致的，以大写金额为准;</w:t>
      </w:r>
      <w:r>
        <w:rPr>
          <w:rFonts w:hint="eastAsia" w:ascii="仿宋" w:hAnsi="仿宋" w:eastAsia="仿宋" w:cs="仿宋"/>
          <w:color w:val="auto"/>
          <w:kern w:val="0"/>
          <w:szCs w:val="24"/>
          <w:highlight w:val="none"/>
        </w:rPr>
        <w:t>但大写有明显单位、文字错误外的除外;</w:t>
      </w:r>
    </w:p>
    <w:p>
      <w:pPr>
        <w:pStyle w:val="130"/>
        <w:wordWrap w:val="0"/>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w:t>
      </w:r>
      <w:r>
        <w:rPr>
          <w:rFonts w:hint="eastAsia" w:ascii="仿宋" w:hAnsi="仿宋" w:eastAsia="仿宋" w:cs="仿宋"/>
          <w:color w:val="auto"/>
          <w:kern w:val="0"/>
          <w:szCs w:val="24"/>
          <w:highlight w:val="none"/>
        </w:rPr>
        <w:t>2</w:t>
      </w:r>
      <w:r>
        <w:rPr>
          <w:rFonts w:ascii="仿宋" w:hAnsi="仿宋" w:eastAsia="仿宋" w:cs="仿宋"/>
          <w:color w:val="auto"/>
          <w:kern w:val="0"/>
          <w:szCs w:val="24"/>
          <w:highlight w:val="none"/>
        </w:rPr>
        <w:t>.3单价金额小数点或者百分比有明显错位的，以开标一览表的总价为准，并修改单价;</w:t>
      </w:r>
    </w:p>
    <w:p>
      <w:pPr>
        <w:pStyle w:val="130"/>
        <w:wordWrap w:val="0"/>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w:t>
      </w:r>
      <w:r>
        <w:rPr>
          <w:rFonts w:hint="eastAsia" w:ascii="仿宋" w:hAnsi="仿宋" w:eastAsia="仿宋" w:cs="仿宋"/>
          <w:color w:val="auto"/>
          <w:kern w:val="0"/>
          <w:szCs w:val="24"/>
          <w:highlight w:val="none"/>
        </w:rPr>
        <w:t>2</w:t>
      </w:r>
      <w:r>
        <w:rPr>
          <w:rFonts w:ascii="仿宋" w:hAnsi="仿宋" w:eastAsia="仿宋" w:cs="仿宋"/>
          <w:color w:val="auto"/>
          <w:kern w:val="0"/>
          <w:szCs w:val="24"/>
          <w:highlight w:val="none"/>
        </w:rPr>
        <w:t>.4总价金额与按单价汇总金额不一致的，以单价金额计算结果为准。</w:t>
      </w:r>
    </w:p>
    <w:p>
      <w:pPr>
        <w:pStyle w:val="130"/>
        <w:wordWrap w:val="0"/>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同时出现两种以上不一致的，按照3.4.</w:t>
      </w:r>
      <w:r>
        <w:rPr>
          <w:rFonts w:hint="eastAsia" w:ascii="仿宋" w:hAnsi="仿宋" w:eastAsia="仿宋" w:cs="仿宋"/>
          <w:color w:val="auto"/>
          <w:kern w:val="0"/>
          <w:szCs w:val="24"/>
          <w:highlight w:val="none"/>
        </w:rPr>
        <w:t>2规定的顺序修正。修正后的报价按照财政部第</w:t>
      </w:r>
      <w:r>
        <w:rPr>
          <w:rFonts w:ascii="仿宋" w:hAnsi="仿宋" w:eastAsia="仿宋" w:cs="仿宋"/>
          <w:color w:val="auto"/>
          <w:kern w:val="0"/>
          <w:szCs w:val="24"/>
          <w:highlight w:val="none"/>
        </w:rPr>
        <w:t xml:space="preserve">87号令 </w:t>
      </w:r>
      <w:r>
        <w:rPr>
          <w:rFonts w:hint="eastAsia" w:ascii="仿宋" w:hAnsi="仿宋" w:eastAsia="仿宋" w:cs="仿宋"/>
          <w:color w:val="auto"/>
          <w:kern w:val="0"/>
          <w:szCs w:val="24"/>
          <w:highlight w:val="none"/>
        </w:rPr>
        <w:t>《政府采购货物和服务招标投标管理办法》第五十一条第二款的规定经投标人确认后产生约束力。</w:t>
      </w:r>
    </w:p>
    <w:p>
      <w:pPr>
        <w:wordWrap w:val="0"/>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w:t>
      </w:r>
      <w:r>
        <w:rPr>
          <w:rFonts w:hint="eastAsia" w:ascii="仿宋" w:hAnsi="仿宋" w:eastAsia="仿宋" w:cs="仿宋"/>
          <w:color w:val="auto"/>
          <w:kern w:val="0"/>
          <w:sz w:val="24"/>
          <w:highlight w:val="none"/>
        </w:rPr>
        <w:t>3投标文件出现不是唯一的、有选择性投标报价的，投标无效。</w:t>
      </w:r>
    </w:p>
    <w:p>
      <w:pPr>
        <w:wordWrap w:val="0"/>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w:t>
      </w:r>
      <w:r>
        <w:rPr>
          <w:rFonts w:hint="eastAsia" w:ascii="仿宋" w:hAnsi="仿宋" w:eastAsia="仿宋" w:cs="仿宋"/>
          <w:color w:val="auto"/>
          <w:kern w:val="0"/>
          <w:sz w:val="24"/>
          <w:highlight w:val="none"/>
        </w:rPr>
        <w:t>4投标报价超过招标文件中规定的预算金额或者最高限价的，投标无效。</w:t>
      </w:r>
    </w:p>
    <w:p>
      <w:pPr>
        <w:pStyle w:val="130"/>
        <w:wordWrap w:val="0"/>
        <w:spacing w:before="0"/>
        <w:ind w:firstLine="482"/>
        <w:rPr>
          <w:rFonts w:ascii="仿宋" w:hAnsi="仿宋" w:eastAsia="仿宋" w:cs="仿宋"/>
          <w:b/>
          <w:bCs/>
          <w:color w:val="auto"/>
          <w:kern w:val="0"/>
          <w:szCs w:val="24"/>
          <w:highlight w:val="none"/>
        </w:rPr>
      </w:pPr>
      <w:r>
        <w:rPr>
          <w:rFonts w:ascii="仿宋" w:hAnsi="仿宋" w:eastAsia="仿宋" w:cs="仿宋"/>
          <w:b/>
          <w:bCs/>
          <w:color w:val="auto"/>
          <w:kern w:val="0"/>
          <w:szCs w:val="24"/>
          <w:highlight w:val="none"/>
        </w:rPr>
        <w:t>3.4.</w:t>
      </w:r>
      <w:r>
        <w:rPr>
          <w:rFonts w:hint="eastAsia" w:ascii="仿宋" w:hAnsi="仿宋" w:eastAsia="仿宋" w:cs="仿宋"/>
          <w:b/>
          <w:bCs/>
          <w:color w:val="auto"/>
          <w:kern w:val="0"/>
          <w:szCs w:val="24"/>
          <w:highlight w:val="none"/>
        </w:rPr>
        <w:t>5评标委员会认为投标人的报价明显低于其他通过符合性审查投标人的报价，有可能影响产品质量或者不能诚信履约的，应当要求其在合理的时间内提供书面说明，必要时提交相关证明材料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b/>
          <w:bCs/>
          <w:color w:val="auto"/>
          <w:kern w:val="0"/>
          <w:szCs w:val="24"/>
          <w:highlight w:val="none"/>
        </w:rPr>
        <w:t>;投标人不能证明其报价合理性的，评标委员会应当将其作为无效投标处理。</w:t>
      </w:r>
    </w:p>
    <w:p>
      <w:pPr>
        <w:pStyle w:val="130"/>
        <w:wordWrap w:val="0"/>
        <w:spacing w:before="0"/>
        <w:ind w:firstLine="480"/>
        <w:rPr>
          <w:rFonts w:ascii="仿宋" w:hAnsi="仿宋" w:eastAsia="仿宋" w:cs="仿宋"/>
          <w:b/>
          <w:bCs/>
          <w:color w:val="auto"/>
          <w:kern w:val="0"/>
          <w:szCs w:val="24"/>
          <w:highlight w:val="none"/>
        </w:rPr>
      </w:pPr>
      <w:r>
        <w:rPr>
          <w:rFonts w:ascii="仿宋" w:hAnsi="仿宋" w:eastAsia="仿宋" w:cs="仿宋"/>
          <w:color w:val="auto"/>
          <w:kern w:val="0"/>
          <w:szCs w:val="24"/>
          <w:highlight w:val="none"/>
        </w:rPr>
        <w:t>3.4.</w:t>
      </w:r>
      <w:r>
        <w:rPr>
          <w:rFonts w:hint="eastAsia" w:ascii="仿宋" w:hAnsi="仿宋" w:eastAsia="仿宋" w:cs="仿宋"/>
          <w:color w:val="auto"/>
          <w:kern w:val="0"/>
          <w:szCs w:val="24"/>
          <w:highlight w:val="none"/>
        </w:rPr>
        <w:t>6对于未预留份额专门面向中小企业的政府采购货物或服务项目，以及预留份额政府采购货物或服务项目中的非预留部分标项，对小型和微型企业的投标报价给予</w:t>
      </w:r>
      <w:r>
        <w:rPr>
          <w:rFonts w:ascii="仿宋" w:hAnsi="仿宋" w:eastAsia="仿宋" w:cs="仿宋"/>
          <w:b/>
          <w:bCs/>
          <w:color w:val="auto"/>
          <w:kern w:val="0"/>
          <w:szCs w:val="24"/>
          <w:highlight w:val="none"/>
          <w:u w:val="single"/>
        </w:rPr>
        <w:t>10</w:t>
      </w:r>
      <w:r>
        <w:rPr>
          <w:rFonts w:hint="eastAsia" w:ascii="仿宋" w:hAnsi="仿宋" w:eastAsia="仿宋" w:cs="仿宋"/>
          <w:b/>
          <w:bCs/>
          <w:color w:val="auto"/>
          <w:kern w:val="0"/>
          <w:szCs w:val="24"/>
          <w:highlight w:val="none"/>
          <w:u w:val="single"/>
        </w:rPr>
        <w:t xml:space="preserve"> </w:t>
      </w:r>
      <w:r>
        <w:rPr>
          <w:rFonts w:ascii="仿宋" w:hAnsi="仿宋" w:eastAsia="仿宋" w:cs="仿宋"/>
          <w:b/>
          <w:bCs/>
          <w:color w:val="auto"/>
          <w:kern w:val="0"/>
          <w:szCs w:val="24"/>
          <w:highlight w:val="none"/>
          <w:u w:val="single"/>
        </w:rPr>
        <w:t>%</w:t>
      </w:r>
      <w:r>
        <w:rPr>
          <w:rFonts w:hint="eastAsia" w:ascii="仿宋" w:hAnsi="仿宋" w:eastAsia="仿宋" w:cs="仿宋"/>
          <w:color w:val="auto"/>
          <w:kern w:val="0"/>
          <w:szCs w:val="24"/>
          <w:highlight w:val="none"/>
        </w:rPr>
        <w:t>（10%-20%）</w:t>
      </w:r>
      <w:r>
        <w:rPr>
          <w:rFonts w:ascii="仿宋" w:hAnsi="仿宋" w:eastAsia="仿宋" w:cs="仿宋"/>
          <w:color w:val="auto"/>
          <w:kern w:val="0"/>
          <w:szCs w:val="24"/>
          <w:highlight w:val="none"/>
        </w:rPr>
        <w:t>的扣除，用扣除后的价格参与评审。</w:t>
      </w:r>
      <w:r>
        <w:rPr>
          <w:rFonts w:ascii="仿宋" w:hAnsi="仿宋" w:eastAsia="仿宋" w:cs="仿宋"/>
          <w:b/>
          <w:bCs/>
          <w:color w:val="auto"/>
          <w:kern w:val="0"/>
          <w:szCs w:val="24"/>
          <w:highlight w:val="none"/>
        </w:rPr>
        <w:t>接受大中型企业与小</w:t>
      </w:r>
      <w:r>
        <w:rPr>
          <w:rFonts w:hint="eastAsia" w:ascii="仿宋" w:hAnsi="仿宋" w:eastAsia="仿宋" w:cs="仿宋"/>
          <w:b/>
          <w:bCs/>
          <w:color w:val="auto"/>
          <w:kern w:val="0"/>
          <w:szCs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b/>
          <w:bCs/>
          <w:color w:val="auto"/>
          <w:kern w:val="0"/>
          <w:szCs w:val="24"/>
          <w:highlight w:val="none"/>
        </w:rPr>
        <w:t>30%以上的，对联合体或者大中型企业的报价给予</w:t>
      </w:r>
      <w:r>
        <w:rPr>
          <w:rFonts w:hint="eastAsia" w:ascii="仿宋" w:hAnsi="仿宋" w:eastAsia="仿宋" w:cs="仿宋"/>
          <w:b/>
          <w:bCs/>
          <w:color w:val="auto"/>
          <w:kern w:val="0"/>
          <w:szCs w:val="24"/>
          <w:highlight w:val="none"/>
          <w:u w:val="single"/>
        </w:rPr>
        <w:t>4 %</w:t>
      </w:r>
      <w:r>
        <w:rPr>
          <w:rFonts w:hint="eastAsia" w:ascii="仿宋" w:hAnsi="仿宋" w:eastAsia="仿宋" w:cs="仿宋"/>
          <w:color w:val="auto"/>
          <w:kern w:val="0"/>
          <w:szCs w:val="24"/>
          <w:highlight w:val="none"/>
        </w:rPr>
        <w:t>（4%-6%）</w:t>
      </w:r>
      <w:r>
        <w:rPr>
          <w:rFonts w:ascii="仿宋" w:hAnsi="仿宋" w:eastAsia="仿宋" w:cs="仿宋"/>
          <w:b/>
          <w:bCs/>
          <w:color w:val="auto"/>
          <w:kern w:val="0"/>
          <w:szCs w:val="24"/>
          <w:highlight w:val="none"/>
        </w:rPr>
        <w:t>的扣除，用扣除后的价格参加评审。</w:t>
      </w:r>
    </w:p>
    <w:p>
      <w:pPr>
        <w:pStyle w:val="130"/>
        <w:wordWrap w:val="0"/>
        <w:spacing w:before="0"/>
        <w:ind w:firstLine="482"/>
        <w:rPr>
          <w:rFonts w:ascii="仿宋" w:hAnsi="仿宋" w:eastAsia="仿宋" w:cs="仿宋"/>
          <w:b/>
          <w:bCs/>
          <w:color w:val="auto"/>
          <w:kern w:val="0"/>
          <w:szCs w:val="24"/>
          <w:highlight w:val="none"/>
        </w:rPr>
      </w:pPr>
      <w:r>
        <w:rPr>
          <w:rFonts w:ascii="仿宋" w:hAnsi="仿宋" w:eastAsia="仿宋" w:cs="仿宋"/>
          <w:b/>
          <w:bCs/>
          <w:color w:val="auto"/>
          <w:kern w:val="0"/>
          <w:szCs w:val="24"/>
          <w:highlight w:val="none"/>
        </w:rPr>
        <w:t>组成联合体或者接受分包的小</w:t>
      </w:r>
      <w:r>
        <w:rPr>
          <w:rFonts w:hint="eastAsia" w:ascii="仿宋" w:hAnsi="仿宋" w:eastAsia="仿宋" w:cs="仿宋"/>
          <w:b/>
          <w:bCs/>
          <w:color w:val="auto"/>
          <w:kern w:val="0"/>
          <w:szCs w:val="24"/>
          <w:highlight w:val="none"/>
        </w:rPr>
        <w:t>微企业与联合体内其他企业、分包企业之间存在直接控股、管理关系的，不享受价格扣除优惠政策。</w:t>
      </w:r>
    </w:p>
    <w:p>
      <w:pPr>
        <w:wordWrap w:val="0"/>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u w:val="single"/>
        </w:rPr>
        <w:t>本项目推荐1名中标候选人</w:t>
      </w:r>
      <w:r>
        <w:rPr>
          <w:rFonts w:hint="eastAsia" w:ascii="仿宋" w:hAnsi="仿宋" w:eastAsia="仿宋" w:cs="仿宋"/>
          <w:color w:val="auto"/>
          <w:kern w:val="0"/>
          <w:sz w:val="24"/>
          <w:highlight w:val="none"/>
        </w:rPr>
        <w:t>。</w:t>
      </w:r>
    </w:p>
    <w:p>
      <w:pPr>
        <w:wordWrap w:val="0"/>
        <w:spacing w:line="360" w:lineRule="auto"/>
        <w:ind w:firstLine="480" w:firstLineChars="200"/>
        <w:rPr>
          <w:rFonts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本项目不适用）</w:t>
      </w:r>
    </w:p>
    <w:p>
      <w:pPr>
        <w:wordWrap w:val="0"/>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wordWrap w:val="0"/>
        <w:adjustRightInd/>
        <w:spacing w:after="225" w:line="315" w:lineRule="atLeast"/>
        <w:jc w:val="left"/>
        <w:outlineLvl w:val="1"/>
        <w:rPr>
          <w:rFonts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30"/>
        <w:wordWrap w:val="0"/>
        <w:spacing w:before="0"/>
        <w:ind w:firstLine="472" w:firstLineChars="196"/>
        <w:rPr>
          <w:rFonts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wordWrap w:val="0"/>
        <w:spacing w:line="360" w:lineRule="auto"/>
        <w:ind w:left="954" w:leftChars="226" w:hanging="479" w:firstLineChars="0"/>
        <w:rPr>
          <w:rFonts w:ascii="仿宋" w:hAnsi="仿宋" w:eastAsia="仿宋" w:cs="仿宋"/>
          <w:b/>
          <w:color w:val="auto"/>
          <w:kern w:val="0"/>
          <w:highlight w:val="none"/>
        </w:rPr>
      </w:pPr>
      <w:r>
        <w:rPr>
          <w:rFonts w:hint="eastAsia" w:ascii="仿宋" w:hAnsi="仿宋" w:eastAsia="仿宋" w:cs="仿宋"/>
          <w:b/>
          <w:color w:val="auto"/>
          <w:kern w:val="0"/>
          <w:highlight w:val="none"/>
        </w:rPr>
        <w:t>4.2投标无效</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有下列情况之一的，投标无效：</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4.2.3采购人拟采购的产品属于政府强制采购的节能产品品目清单范围的，投标人未按招标文件要求提供国家确定的认证机构出具的、处于有效期之内的节能产品认证证书的；（服务项目不适用）</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wordWrap w:val="0"/>
        <w:snapToGrid w:val="0"/>
        <w:spacing w:line="360" w:lineRule="auto"/>
        <w:ind w:firstLine="120" w:firstLineChars="5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wordWrap w:val="0"/>
        <w:spacing w:line="360" w:lineRule="auto"/>
        <w:ind w:firstLine="240" w:firstLine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pStyle w:val="2"/>
        <w:keepNext w:val="0"/>
        <w:keepLines w:val="0"/>
        <w:wordWrap w:val="0"/>
        <w:ind w:left="862" w:leftChars="205"/>
        <w:rPr>
          <w:rFonts w:ascii="仿宋" w:eastAsia="仿宋" w:cs="仿宋"/>
          <w:b w:val="0"/>
          <w:bCs w:val="0"/>
          <w:color w:val="auto"/>
          <w:kern w:val="0"/>
          <w:sz w:val="24"/>
          <w:szCs w:val="24"/>
          <w:highlight w:val="none"/>
          <w:lang w:val="en-US"/>
        </w:rPr>
      </w:pPr>
      <w:r>
        <w:rPr>
          <w:rFonts w:hint="eastAsia" w:ascii="仿宋" w:eastAsia="仿宋" w:cs="仿宋"/>
          <w:b w:val="0"/>
          <w:bCs w:val="0"/>
          <w:color w:val="auto"/>
          <w:kern w:val="0"/>
          <w:sz w:val="24"/>
          <w:szCs w:val="24"/>
          <w:highlight w:val="none"/>
          <w:lang w:val="en-US"/>
        </w:rPr>
        <w:t>4.2.13 投标文件不满足招标文件的其它实质性要求的；</w:t>
      </w:r>
    </w:p>
    <w:p>
      <w:pPr>
        <w:pStyle w:val="2"/>
        <w:keepNext w:val="0"/>
        <w:keepLines w:val="0"/>
        <w:wordWrap w:val="0"/>
        <w:ind w:left="862" w:leftChars="205"/>
        <w:rPr>
          <w:rFonts w:ascii="仿宋" w:eastAsia="仿宋" w:cs="仿宋"/>
          <w:b w:val="0"/>
          <w:bCs w:val="0"/>
          <w:color w:val="auto"/>
          <w:sz w:val="24"/>
          <w:szCs w:val="24"/>
          <w:highlight w:val="none"/>
        </w:rPr>
      </w:pPr>
      <w:r>
        <w:rPr>
          <w:rFonts w:hint="eastAsia" w:ascii="仿宋" w:eastAsia="仿宋" w:cs="仿宋"/>
          <w:b w:val="0"/>
          <w:bCs w:val="0"/>
          <w:color w:val="auto"/>
          <w:kern w:val="0"/>
          <w:sz w:val="24"/>
          <w:highlight w:val="none"/>
        </w:rPr>
        <w:t>4.2.14</w:t>
      </w:r>
      <w:r>
        <w:rPr>
          <w:rFonts w:hint="eastAsia" w:ascii="仿宋" w:eastAsia="仿宋" w:cs="仿宋"/>
          <w:b w:val="0"/>
          <w:bCs w:val="0"/>
          <w:color w:val="auto"/>
          <w:kern w:val="0"/>
          <w:sz w:val="24"/>
          <w:highlight w:val="none"/>
          <w:lang w:val="en-US"/>
        </w:rPr>
        <w:t xml:space="preserve"> </w:t>
      </w:r>
      <w:r>
        <w:rPr>
          <w:rFonts w:hint="eastAsia" w:ascii="仿宋" w:eastAsia="仿宋" w:cs="仿宋"/>
          <w:b w:val="0"/>
          <w:bCs w:val="0"/>
          <w:color w:val="auto"/>
          <w:sz w:val="24"/>
          <w:szCs w:val="24"/>
          <w:highlight w:val="none"/>
        </w:rPr>
        <w:t>法律、法规、规章（适用本市的）及省级以上规范性文件（适用本市的）规</w:t>
      </w:r>
    </w:p>
    <w:p>
      <w:pPr>
        <w:pStyle w:val="2"/>
        <w:keepNext w:val="0"/>
        <w:keepLines w:val="0"/>
        <w:wordWrap w:val="0"/>
        <w:ind w:left="0" w:firstLine="0"/>
        <w:rPr>
          <w:rFonts w:ascii="仿宋" w:eastAsia="仿宋" w:cs="仿宋"/>
          <w:color w:val="auto"/>
          <w:kern w:val="0"/>
          <w:sz w:val="24"/>
          <w:highlight w:val="none"/>
          <w:lang w:val="en-US"/>
        </w:rPr>
      </w:pPr>
      <w:r>
        <w:rPr>
          <w:rFonts w:hint="eastAsia" w:ascii="仿宋" w:eastAsia="仿宋" w:cs="仿宋"/>
          <w:b w:val="0"/>
          <w:bCs w:val="0"/>
          <w:color w:val="auto"/>
          <w:sz w:val="24"/>
          <w:szCs w:val="24"/>
          <w:highlight w:val="none"/>
        </w:rPr>
        <w:t>定的其他无效情形。</w:t>
      </w:r>
    </w:p>
    <w:p>
      <w:pPr>
        <w:pStyle w:val="25"/>
        <w:wordWrap w:val="0"/>
        <w:snapToGrid w:val="0"/>
        <w:spacing w:line="360" w:lineRule="auto"/>
        <w:ind w:firstLine="472" w:firstLineChars="196"/>
        <w:rPr>
          <w:rFonts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废标后，采购代理机构应当将废标理由通知所有投标人。</w:t>
      </w:r>
    </w:p>
    <w:p>
      <w:pPr>
        <w:pStyle w:val="25"/>
        <w:wordWrap w:val="0"/>
        <w:snapToGrid w:val="0"/>
        <w:spacing w:line="360" w:lineRule="auto"/>
        <w:ind w:firstLine="590" w:firstLineChars="245"/>
        <w:rPr>
          <w:rFonts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wordWrap w:val="0"/>
        <w:snapToGrid w:val="0"/>
        <w:spacing w:line="360" w:lineRule="auto"/>
        <w:ind w:firstLine="590" w:firstLineChars="245"/>
        <w:rPr>
          <w:rFonts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25"/>
        <w:wordWrap w:val="0"/>
        <w:snapToGrid w:val="0"/>
        <w:spacing w:line="360" w:lineRule="auto"/>
        <w:ind w:firstLine="600" w:firstLineChars="250"/>
        <w:rPr>
          <w:rFonts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25"/>
        <w:wordWrap w:val="0"/>
        <w:snapToGrid w:val="0"/>
        <w:spacing w:line="360" w:lineRule="auto"/>
        <w:ind w:firstLine="600" w:firstLineChars="250"/>
        <w:rPr>
          <w:rFonts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5"/>
        <w:wordWrap w:val="0"/>
        <w:snapToGrid w:val="0"/>
        <w:spacing w:line="360" w:lineRule="auto"/>
        <w:ind w:firstLine="600" w:firstLineChars="250"/>
        <w:rPr>
          <w:rFonts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25"/>
        <w:wordWrap w:val="0"/>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pPr>
        <w:pStyle w:val="25"/>
        <w:wordWrap w:val="0"/>
        <w:snapToGrid w:val="0"/>
        <w:spacing w:line="360" w:lineRule="auto"/>
        <w:ind w:firstLine="0" w:firstLineChars="0"/>
        <w:rPr>
          <w:rFonts w:ascii="仿宋" w:hAnsi="仿宋" w:eastAsia="仿宋" w:cs="仿宋"/>
          <w:color w:val="auto"/>
          <w:highlight w:val="none"/>
        </w:rPr>
      </w:pPr>
    </w:p>
    <w:bookmarkEnd w:id="46"/>
    <w:p>
      <w:pPr>
        <w:wordWrap w:val="0"/>
        <w:spacing w:line="360" w:lineRule="auto"/>
        <w:ind w:left="720" w:leftChars="343" w:firstLine="1084" w:firstLineChars="300"/>
        <w:rPr>
          <w:rFonts w:ascii="仿宋" w:hAnsi="仿宋" w:eastAsia="仿宋" w:cs="仿宋"/>
          <w:b/>
          <w:color w:val="auto"/>
          <w:sz w:val="36"/>
          <w:szCs w:val="36"/>
          <w:highlight w:val="none"/>
        </w:rPr>
      </w:pPr>
      <w:bookmarkStart w:id="425" w:name="第五部分"/>
      <w:bookmarkStart w:id="426" w:name="_Toc86217003"/>
    </w:p>
    <w:p>
      <w:pPr>
        <w:wordWrap w:val="0"/>
        <w:spacing w:line="360" w:lineRule="auto"/>
        <w:ind w:left="720" w:leftChars="343" w:firstLine="1084" w:firstLineChars="300"/>
        <w:rPr>
          <w:rFonts w:ascii="仿宋" w:hAnsi="仿宋" w:eastAsia="仿宋" w:cs="仿宋"/>
          <w:b/>
          <w:color w:val="auto"/>
          <w:sz w:val="36"/>
          <w:szCs w:val="36"/>
          <w:highlight w:val="none"/>
        </w:rPr>
      </w:pPr>
    </w:p>
    <w:p>
      <w:pPr>
        <w:wordWrap w:val="0"/>
        <w:spacing w:line="360" w:lineRule="auto"/>
        <w:ind w:left="720" w:leftChars="343" w:firstLine="1084" w:firstLineChars="300"/>
        <w:rPr>
          <w:rFonts w:ascii="仿宋" w:hAnsi="仿宋" w:eastAsia="仿宋" w:cs="仿宋"/>
          <w:b/>
          <w:color w:val="auto"/>
          <w:sz w:val="36"/>
          <w:szCs w:val="36"/>
          <w:highlight w:val="none"/>
        </w:rPr>
      </w:pPr>
    </w:p>
    <w:p>
      <w:pPr>
        <w:wordWrap w:val="0"/>
        <w:spacing w:line="360" w:lineRule="auto"/>
        <w:ind w:left="720" w:leftChars="343" w:firstLine="1084" w:firstLineChars="300"/>
        <w:rPr>
          <w:rFonts w:ascii="仿宋" w:hAnsi="仿宋" w:eastAsia="仿宋" w:cs="仿宋"/>
          <w:b/>
          <w:color w:val="auto"/>
          <w:sz w:val="36"/>
          <w:szCs w:val="36"/>
          <w:highlight w:val="none"/>
        </w:rPr>
      </w:pPr>
    </w:p>
    <w:p>
      <w:pPr>
        <w:tabs>
          <w:tab w:val="left" w:pos="1792"/>
        </w:tabs>
        <w:wordWrap w:val="0"/>
        <w:spacing w:line="360" w:lineRule="auto"/>
        <w:ind w:left="720" w:leftChars="343" w:firstLine="1084" w:firstLineChars="30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ab/>
      </w:r>
    </w:p>
    <w:p>
      <w:pPr>
        <w:wordWrap w:val="0"/>
        <w:ind w:firstLine="1807" w:firstLineChars="500"/>
        <w:outlineLvl w:val="0"/>
        <w:rPr>
          <w:rFonts w:ascii="仿宋" w:hAnsi="仿宋" w:eastAsia="仿宋" w:cs="仿宋"/>
          <w:b/>
          <w:color w:val="auto"/>
          <w:sz w:val="36"/>
          <w:szCs w:val="36"/>
          <w:highlight w:val="none"/>
        </w:rPr>
        <w:sectPr>
          <w:footerReference r:id="rId10" w:type="first"/>
          <w:headerReference r:id="rId8" w:type="default"/>
          <w:footerReference r:id="rId9" w:type="default"/>
          <w:pgSz w:w="11905" w:h="16838"/>
          <w:pgMar w:top="652" w:right="1417" w:bottom="680" w:left="1417" w:header="539" w:footer="425" w:gutter="0"/>
          <w:cols w:space="0" w:num="1"/>
          <w:titlePg/>
        </w:sectPr>
      </w:pPr>
      <w:bookmarkStart w:id="427" w:name="_Toc12903"/>
      <w:bookmarkStart w:id="428" w:name="_Toc28629"/>
      <w:bookmarkStart w:id="429" w:name="_Toc22290"/>
    </w:p>
    <w:p>
      <w:pPr>
        <w:wordWrap w:val="0"/>
        <w:ind w:firstLine="1807" w:firstLineChars="500"/>
        <w:outlineLvl w:val="0"/>
        <w:rPr>
          <w:rFonts w:ascii="仿宋" w:hAnsi="仿宋" w:eastAsia="仿宋" w:cs="仿宋"/>
          <w:b/>
          <w:color w:val="auto"/>
          <w:sz w:val="36"/>
          <w:szCs w:val="36"/>
          <w:highlight w:val="none"/>
        </w:rPr>
      </w:pPr>
      <w:bookmarkStart w:id="430" w:name="_Toc12722"/>
      <w:bookmarkStart w:id="431" w:name="_Toc8068"/>
      <w:bookmarkStart w:id="432" w:name="_Toc3651"/>
      <w:r>
        <w:rPr>
          <w:rFonts w:hint="eastAsia" w:ascii="仿宋" w:hAnsi="仿宋" w:eastAsia="仿宋" w:cs="仿宋"/>
          <w:b/>
          <w:color w:val="auto"/>
          <w:sz w:val="36"/>
          <w:szCs w:val="36"/>
          <w:highlight w:val="none"/>
        </w:rPr>
        <w:t>第五部分 拟签订的合同文本</w:t>
      </w:r>
      <w:bookmarkEnd w:id="427"/>
      <w:bookmarkEnd w:id="428"/>
      <w:bookmarkEnd w:id="429"/>
      <w:bookmarkEnd w:id="430"/>
      <w:bookmarkEnd w:id="431"/>
      <w:bookmarkEnd w:id="432"/>
    </w:p>
    <w:p>
      <w:pPr>
        <w:rPr>
          <w:rFonts w:ascii="仿宋" w:hAnsi="仿宋" w:eastAsia="仿宋" w:cs="仿宋"/>
          <w:color w:val="auto"/>
          <w:sz w:val="24"/>
          <w:highlight w:val="none"/>
        </w:rPr>
      </w:pP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政府采购合同（货物类）</w:t>
      </w:r>
    </w:p>
    <w:p>
      <w:pPr>
        <w:pStyle w:val="701"/>
        <w:ind w:left="0" w:leftChars="0" w:firstLine="0" w:firstLineChars="0"/>
        <w:jc w:val="center"/>
        <w:rPr>
          <w:rFonts w:ascii="仿宋" w:hAnsi="仿宋" w:eastAsia="仿宋" w:cs="仿宋"/>
          <w:b/>
          <w:color w:val="auto"/>
          <w:sz w:val="32"/>
          <w:szCs w:val="32"/>
          <w:highlight w:val="none"/>
        </w:rPr>
      </w:pPr>
    </w:p>
    <w:p>
      <w:pPr>
        <w:pStyle w:val="701"/>
        <w:ind w:left="0" w:leftChars="0" w:firstLine="0" w:firstLineChars="0"/>
        <w:jc w:val="center"/>
        <w:rPr>
          <w:rFonts w:ascii="仿宋" w:hAnsi="仿宋" w:eastAsia="仿宋" w:cs="仿宋"/>
          <w:b/>
          <w:color w:val="auto"/>
          <w:sz w:val="32"/>
          <w:szCs w:val="32"/>
          <w:highlight w:val="none"/>
        </w:rPr>
      </w:pPr>
      <w:bookmarkStart w:id="433" w:name="_Toc28437"/>
      <w:bookmarkStart w:id="434" w:name="_Toc23916"/>
      <w:bookmarkStart w:id="435" w:name="_Toc27969"/>
      <w:r>
        <w:rPr>
          <w:rFonts w:hint="eastAsia" w:ascii="仿宋" w:hAnsi="仿宋" w:eastAsia="仿宋" w:cs="仿宋"/>
          <w:b/>
          <w:color w:val="auto"/>
          <w:sz w:val="32"/>
          <w:szCs w:val="32"/>
          <w:highlight w:val="none"/>
        </w:rPr>
        <w:t>第一部分 合同书</w:t>
      </w:r>
      <w:bookmarkEnd w:id="433"/>
      <w:bookmarkEnd w:id="434"/>
      <w:bookmarkEnd w:id="435"/>
    </w:p>
    <w:p>
      <w:pPr>
        <w:pStyle w:val="701"/>
        <w:rPr>
          <w:rFonts w:ascii="仿宋" w:hAnsi="仿宋" w:eastAsia="仿宋" w:cs="仿宋"/>
          <w:color w:val="auto"/>
          <w:szCs w:val="24"/>
          <w:highlight w:val="none"/>
        </w:rPr>
      </w:pPr>
    </w:p>
    <w:p>
      <w:pPr>
        <w:pStyle w:val="701"/>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江东大桥车辆动态称重系统改造工程  </w:t>
      </w:r>
    </w:p>
    <w:p>
      <w:pPr>
        <w:pStyle w:val="599"/>
        <w:spacing w:before="120" w:line="22" w:lineRule="atLeast"/>
        <w:rPr>
          <w:rFonts w:ascii="仿宋" w:hAnsi="仿宋" w:eastAsia="仿宋" w:cs="仿宋"/>
          <w:color w:val="auto"/>
          <w:sz w:val="28"/>
          <w:szCs w:val="28"/>
          <w:highlight w:val="none"/>
        </w:rPr>
      </w:pPr>
    </w:p>
    <w:p>
      <w:pPr>
        <w:rPr>
          <w:rFonts w:ascii="仿宋" w:hAnsi="仿宋" w:eastAsia="仿宋" w:cs="仿宋"/>
          <w:color w:val="auto"/>
          <w:sz w:val="28"/>
          <w:szCs w:val="28"/>
          <w:highlight w:val="none"/>
        </w:rPr>
      </w:pPr>
    </w:p>
    <w:p>
      <w:pPr>
        <w:spacing w:before="120" w:line="22" w:lineRule="atLeast"/>
        <w:ind w:left="96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u w:val="single"/>
        </w:rPr>
        <w:t xml:space="preserve">         杭州市市政设施管理中心           </w:t>
      </w:r>
    </w:p>
    <w:p>
      <w:pPr>
        <w:spacing w:before="120" w:line="22" w:lineRule="atLeast"/>
        <w:rPr>
          <w:rFonts w:ascii="仿宋" w:hAnsi="仿宋" w:eastAsia="仿宋" w:cs="仿宋"/>
          <w:color w:val="auto"/>
          <w:sz w:val="28"/>
          <w:szCs w:val="28"/>
          <w:highlight w:val="none"/>
        </w:rPr>
      </w:pPr>
    </w:p>
    <w:p>
      <w:pPr>
        <w:spacing w:before="120" w:line="22" w:lineRule="atLeast"/>
        <w:ind w:left="96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乙方：</w:t>
      </w:r>
      <w:r>
        <w:rPr>
          <w:rFonts w:hint="eastAsia" w:ascii="仿宋" w:hAnsi="仿宋" w:eastAsia="仿宋" w:cs="仿宋"/>
          <w:color w:val="auto"/>
          <w:sz w:val="28"/>
          <w:szCs w:val="28"/>
          <w:highlight w:val="none"/>
          <w:u w:val="single"/>
        </w:rPr>
        <w:t xml:space="preserve">                                          </w:t>
      </w:r>
    </w:p>
    <w:p>
      <w:pPr>
        <w:spacing w:before="120" w:line="22" w:lineRule="atLeast"/>
        <w:rPr>
          <w:rFonts w:ascii="仿宋" w:hAnsi="仿宋" w:eastAsia="仿宋" w:cs="仿宋"/>
          <w:color w:val="auto"/>
          <w:sz w:val="28"/>
          <w:szCs w:val="28"/>
          <w:highlight w:val="none"/>
        </w:rPr>
      </w:pPr>
    </w:p>
    <w:p>
      <w:pPr>
        <w:spacing w:before="120" w:line="22" w:lineRule="atLeast"/>
        <w:ind w:firstLine="840" w:firstLineChars="30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签订地：</w:t>
      </w:r>
      <w:r>
        <w:rPr>
          <w:rFonts w:hint="eastAsia" w:ascii="仿宋" w:hAnsi="仿宋" w:eastAsia="仿宋" w:cs="仿宋"/>
          <w:color w:val="auto"/>
          <w:sz w:val="28"/>
          <w:szCs w:val="28"/>
          <w:highlight w:val="none"/>
          <w:u w:val="single"/>
        </w:rPr>
        <w:t xml:space="preserve">            杭州市                 </w:t>
      </w:r>
    </w:p>
    <w:p>
      <w:pPr>
        <w:spacing w:before="120" w:line="22" w:lineRule="atLeast"/>
        <w:rPr>
          <w:rFonts w:ascii="仿宋" w:hAnsi="仿宋" w:eastAsia="仿宋" w:cs="仿宋"/>
          <w:color w:val="auto"/>
          <w:sz w:val="28"/>
          <w:szCs w:val="28"/>
          <w:highlight w:val="none"/>
        </w:rPr>
      </w:pPr>
    </w:p>
    <w:p>
      <w:pPr>
        <w:spacing w:before="120" w:line="22" w:lineRule="atLeast"/>
        <w:ind w:firstLine="840" w:firstLineChars="30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签订日期：</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widowControl/>
        <w:jc w:val="left"/>
        <w:rPr>
          <w:rFonts w:ascii="仿宋" w:hAnsi="仿宋" w:eastAsia="仿宋" w:cs="仿宋"/>
          <w:color w:val="auto"/>
          <w:kern w:val="0"/>
          <w:sz w:val="28"/>
          <w:szCs w:val="28"/>
          <w:highlight w:val="none"/>
        </w:rPr>
        <w:sectPr>
          <w:pgSz w:w="11905" w:h="16838"/>
          <w:pgMar w:top="652" w:right="1417" w:bottom="680" w:left="1417" w:header="539" w:footer="482" w:gutter="0"/>
          <w:cols w:space="0" w:num="1"/>
          <w:titlePg/>
        </w:sect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2024</w:t>
      </w:r>
      <w:r>
        <w:rPr>
          <w:rFonts w:hint="eastAsia" w:ascii="宋体" w:hAnsi="宋体" w:cs="宋体"/>
          <w:color w:val="auto"/>
          <w:sz w:val="24"/>
          <w:highlight w:val="none"/>
          <w:lang w:val="zh-CN"/>
        </w:rPr>
        <w:t>年</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杭州市市政设施管理中心</w:t>
      </w:r>
      <w:r>
        <w:rPr>
          <w:rFonts w:hint="eastAsia" w:ascii="宋体" w:hAnsi="宋体" w:cs="宋体"/>
          <w:color w:val="auto"/>
          <w:sz w:val="24"/>
          <w:highlight w:val="none"/>
        </w:rPr>
        <w:t>以</w:t>
      </w:r>
      <w:r>
        <w:rPr>
          <w:rFonts w:hint="eastAsia" w:ascii="宋体" w:hAnsi="宋体" w:cs="宋体"/>
          <w:color w:val="auto"/>
          <w:sz w:val="24"/>
          <w:highlight w:val="none"/>
          <w:u w:val="single"/>
        </w:rPr>
        <w:t>公开招标</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江东大桥车辆动态称重系统改造工程 ( 招标编号：    )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评标委员会</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杭州市市政设施管理中心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360" w:lineRule="auto"/>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1.1 合同组成部分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w:t>
      </w:r>
      <w:r>
        <w:rPr>
          <w:rFonts w:hint="eastAsia" w:ascii="宋体" w:hAnsi="宋体" w:cs="宋体"/>
          <w:color w:val="auto"/>
          <w:sz w:val="24"/>
          <w:highlight w:val="none"/>
        </w:rPr>
        <w:t>或者成交</w:t>
      </w:r>
      <w:r>
        <w:rPr>
          <w:rFonts w:hint="eastAsia" w:ascii="仿宋" w:hAnsi="仿宋" w:eastAsia="仿宋" w:cs="仿宋"/>
          <w:color w:val="auto"/>
          <w:sz w:val="24"/>
          <w:highlight w:val="none"/>
        </w:rPr>
        <w:t>通知书；</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1.1.3 </w:t>
      </w:r>
      <w:r>
        <w:rPr>
          <w:rFonts w:hint="eastAsia" w:ascii="宋体" w:hAnsi="宋体" w:cs="宋体"/>
          <w:color w:val="auto"/>
          <w:sz w:val="24"/>
          <w:highlight w:val="none"/>
        </w:rPr>
        <w:t>投标或者响应文件</w:t>
      </w:r>
      <w:r>
        <w:rPr>
          <w:rFonts w:hint="eastAsia" w:ascii="仿宋" w:hAnsi="仿宋" w:eastAsia="仿宋" w:cs="仿宋"/>
          <w:color w:val="auto"/>
          <w:sz w:val="24"/>
          <w:highlight w:val="none"/>
        </w:rPr>
        <w:t>（含澄清或者说明文件）；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1.1.4 </w:t>
      </w:r>
      <w:r>
        <w:rPr>
          <w:rFonts w:hint="eastAsia" w:ascii="宋体" w:hAnsi="宋体" w:cs="宋体"/>
          <w:color w:val="auto"/>
          <w:sz w:val="24"/>
          <w:highlight w:val="none"/>
        </w:rPr>
        <w:t>采购文件</w:t>
      </w:r>
      <w:r>
        <w:rPr>
          <w:rFonts w:hint="eastAsia" w:ascii="仿宋" w:hAnsi="仿宋" w:eastAsia="仿宋" w:cs="仿宋"/>
          <w:color w:val="auto"/>
          <w:sz w:val="24"/>
          <w:highlight w:val="none"/>
        </w:rPr>
        <w:t>（含澄清或者修改文件）；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360" w:lineRule="auto"/>
        <w:ind w:firstLine="482" w:firstLineChars="200"/>
        <w:outlineLvl w:val="1"/>
        <w:rPr>
          <w:rFonts w:ascii="仿宋" w:hAnsi="仿宋" w:eastAsia="仿宋" w:cs="仿宋"/>
          <w:b/>
          <w:color w:val="auto"/>
          <w:sz w:val="24"/>
          <w:highlight w:val="none"/>
        </w:rPr>
      </w:pPr>
      <w:bookmarkStart w:id="436" w:name="_Toc27126"/>
      <w:bookmarkStart w:id="437" w:name="_Toc21295"/>
      <w:bookmarkStart w:id="438" w:name="_Toc24300"/>
      <w:r>
        <w:rPr>
          <w:rFonts w:hint="eastAsia" w:ascii="仿宋" w:hAnsi="仿宋" w:eastAsia="仿宋" w:cs="仿宋"/>
          <w:b/>
          <w:color w:val="auto"/>
          <w:sz w:val="24"/>
          <w:highlight w:val="none"/>
        </w:rPr>
        <w:t>1.2 货物</w:t>
      </w:r>
      <w:bookmarkEnd w:id="436"/>
      <w:bookmarkEnd w:id="437"/>
      <w:bookmarkEnd w:id="438"/>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货物清单一栏表</w:t>
      </w:r>
    </w:p>
    <w:tbl>
      <w:tblPr>
        <w:tblStyle w:val="6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8"/>
        <w:gridCol w:w="755"/>
        <w:gridCol w:w="863"/>
        <w:gridCol w:w="408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28" w:type="dxa"/>
            <w:vAlign w:val="center"/>
          </w:tcPr>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产品名称</w:t>
            </w:r>
          </w:p>
        </w:tc>
        <w:tc>
          <w:tcPr>
            <w:tcW w:w="755" w:type="dxa"/>
            <w:vAlign w:val="center"/>
          </w:tcPr>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863" w:type="dxa"/>
            <w:vAlign w:val="center"/>
          </w:tcPr>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4080" w:type="dxa"/>
          </w:tcPr>
          <w:p>
            <w:pPr>
              <w:spacing w:line="360" w:lineRule="auto"/>
              <w:ind w:firstLine="1920" w:firstLineChars="800"/>
              <w:jc w:val="left"/>
              <w:rPr>
                <w:rFonts w:ascii="仿宋" w:hAnsi="仿宋" w:eastAsia="仿宋" w:cs="仿宋"/>
                <w:color w:val="auto"/>
                <w:sz w:val="24"/>
                <w:highlight w:val="none"/>
              </w:rPr>
            </w:pPr>
            <w:r>
              <w:rPr>
                <w:rFonts w:hint="eastAsia" w:ascii="仿宋" w:hAnsi="仿宋" w:eastAsia="仿宋" w:cs="仿宋"/>
                <w:color w:val="auto"/>
                <w:sz w:val="24"/>
                <w:highlight w:val="none"/>
              </w:rPr>
              <w:t>技术参数</w:t>
            </w:r>
          </w:p>
        </w:tc>
        <w:tc>
          <w:tcPr>
            <w:tcW w:w="1497" w:type="dxa"/>
          </w:tcPr>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ascii="仿宋" w:hAnsi="仿宋" w:eastAsia="仿宋" w:cs="仿宋"/>
                <w:color w:val="auto"/>
                <w:sz w:val="24"/>
                <w:highlight w:val="none"/>
              </w:rPr>
            </w:pPr>
          </w:p>
        </w:tc>
        <w:tc>
          <w:tcPr>
            <w:tcW w:w="1228" w:type="dxa"/>
            <w:vAlign w:val="center"/>
          </w:tcPr>
          <w:p>
            <w:pPr>
              <w:spacing w:line="360" w:lineRule="auto"/>
              <w:ind w:firstLine="480" w:firstLineChars="200"/>
              <w:jc w:val="left"/>
              <w:rPr>
                <w:rFonts w:ascii="仿宋" w:hAnsi="仿宋" w:eastAsia="仿宋" w:cs="仿宋"/>
                <w:color w:val="auto"/>
                <w:sz w:val="24"/>
                <w:highlight w:val="none"/>
              </w:rPr>
            </w:pPr>
          </w:p>
        </w:tc>
        <w:tc>
          <w:tcPr>
            <w:tcW w:w="755" w:type="dxa"/>
            <w:vAlign w:val="center"/>
          </w:tcPr>
          <w:p>
            <w:pPr>
              <w:spacing w:line="360" w:lineRule="auto"/>
              <w:ind w:firstLine="480" w:firstLineChars="200"/>
              <w:jc w:val="left"/>
              <w:rPr>
                <w:rFonts w:ascii="仿宋" w:hAnsi="仿宋" w:eastAsia="仿宋" w:cs="仿宋"/>
                <w:color w:val="auto"/>
                <w:sz w:val="24"/>
                <w:highlight w:val="none"/>
              </w:rPr>
            </w:pPr>
          </w:p>
        </w:tc>
        <w:tc>
          <w:tcPr>
            <w:tcW w:w="863" w:type="dxa"/>
            <w:vAlign w:val="center"/>
          </w:tcPr>
          <w:p>
            <w:pPr>
              <w:spacing w:line="360" w:lineRule="auto"/>
              <w:ind w:firstLine="480" w:firstLineChars="200"/>
              <w:jc w:val="left"/>
              <w:rPr>
                <w:rFonts w:ascii="仿宋" w:hAnsi="仿宋" w:eastAsia="仿宋" w:cs="仿宋"/>
                <w:color w:val="auto"/>
                <w:sz w:val="24"/>
                <w:highlight w:val="none"/>
              </w:rPr>
            </w:pPr>
          </w:p>
        </w:tc>
        <w:tc>
          <w:tcPr>
            <w:tcW w:w="4080" w:type="dxa"/>
          </w:tcPr>
          <w:p>
            <w:pPr>
              <w:spacing w:line="360" w:lineRule="auto"/>
              <w:ind w:firstLine="480" w:firstLineChars="200"/>
              <w:jc w:val="left"/>
              <w:rPr>
                <w:rFonts w:ascii="仿宋" w:hAnsi="仿宋" w:eastAsia="仿宋" w:cs="仿宋"/>
                <w:color w:val="auto"/>
                <w:sz w:val="24"/>
                <w:highlight w:val="none"/>
              </w:rPr>
            </w:pPr>
          </w:p>
        </w:tc>
        <w:tc>
          <w:tcPr>
            <w:tcW w:w="1497" w:type="dxa"/>
          </w:tcPr>
          <w:p>
            <w:pPr>
              <w:spacing w:line="360" w:lineRule="auto"/>
              <w:ind w:firstLine="480" w:firstLineChars="200"/>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ascii="仿宋" w:hAnsi="仿宋" w:eastAsia="仿宋" w:cs="仿宋"/>
                <w:color w:val="auto"/>
                <w:sz w:val="24"/>
                <w:highlight w:val="none"/>
              </w:rPr>
            </w:pPr>
          </w:p>
        </w:tc>
        <w:tc>
          <w:tcPr>
            <w:tcW w:w="1228" w:type="dxa"/>
            <w:vAlign w:val="center"/>
          </w:tcPr>
          <w:p>
            <w:pPr>
              <w:spacing w:line="360" w:lineRule="auto"/>
              <w:ind w:firstLine="480" w:firstLineChars="200"/>
              <w:jc w:val="left"/>
              <w:rPr>
                <w:rFonts w:ascii="仿宋" w:hAnsi="仿宋" w:eastAsia="仿宋" w:cs="仿宋"/>
                <w:color w:val="auto"/>
                <w:sz w:val="24"/>
                <w:highlight w:val="none"/>
              </w:rPr>
            </w:pPr>
          </w:p>
        </w:tc>
        <w:tc>
          <w:tcPr>
            <w:tcW w:w="755" w:type="dxa"/>
            <w:vAlign w:val="center"/>
          </w:tcPr>
          <w:p>
            <w:pPr>
              <w:spacing w:line="360" w:lineRule="auto"/>
              <w:ind w:firstLine="480" w:firstLineChars="200"/>
              <w:jc w:val="left"/>
              <w:rPr>
                <w:rFonts w:ascii="仿宋" w:hAnsi="仿宋" w:eastAsia="仿宋" w:cs="仿宋"/>
                <w:color w:val="auto"/>
                <w:sz w:val="24"/>
                <w:highlight w:val="none"/>
              </w:rPr>
            </w:pPr>
          </w:p>
        </w:tc>
        <w:tc>
          <w:tcPr>
            <w:tcW w:w="863" w:type="dxa"/>
            <w:vAlign w:val="center"/>
          </w:tcPr>
          <w:p>
            <w:pPr>
              <w:spacing w:line="360" w:lineRule="auto"/>
              <w:ind w:firstLine="480" w:firstLineChars="200"/>
              <w:jc w:val="left"/>
              <w:rPr>
                <w:rFonts w:ascii="仿宋" w:hAnsi="仿宋" w:eastAsia="仿宋" w:cs="仿宋"/>
                <w:color w:val="auto"/>
                <w:sz w:val="24"/>
                <w:highlight w:val="none"/>
              </w:rPr>
            </w:pPr>
          </w:p>
        </w:tc>
        <w:tc>
          <w:tcPr>
            <w:tcW w:w="4080" w:type="dxa"/>
          </w:tcPr>
          <w:p>
            <w:pPr>
              <w:spacing w:line="360" w:lineRule="auto"/>
              <w:ind w:firstLine="480" w:firstLineChars="200"/>
              <w:jc w:val="left"/>
              <w:rPr>
                <w:rFonts w:ascii="仿宋" w:hAnsi="仿宋" w:eastAsia="仿宋" w:cs="仿宋"/>
                <w:color w:val="auto"/>
                <w:sz w:val="24"/>
                <w:highlight w:val="none"/>
              </w:rPr>
            </w:pPr>
          </w:p>
        </w:tc>
        <w:tc>
          <w:tcPr>
            <w:tcW w:w="1497" w:type="dxa"/>
          </w:tcPr>
          <w:p>
            <w:pPr>
              <w:spacing w:line="360" w:lineRule="auto"/>
              <w:ind w:firstLine="480" w:firstLineChars="200"/>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ascii="仿宋" w:hAnsi="仿宋" w:eastAsia="仿宋" w:cs="仿宋"/>
                <w:color w:val="auto"/>
                <w:sz w:val="24"/>
                <w:highlight w:val="none"/>
              </w:rPr>
            </w:pPr>
          </w:p>
        </w:tc>
        <w:tc>
          <w:tcPr>
            <w:tcW w:w="1228" w:type="dxa"/>
            <w:vAlign w:val="center"/>
          </w:tcPr>
          <w:p>
            <w:pPr>
              <w:spacing w:line="360" w:lineRule="auto"/>
              <w:ind w:firstLine="480" w:firstLineChars="200"/>
              <w:jc w:val="left"/>
              <w:rPr>
                <w:rFonts w:ascii="仿宋" w:hAnsi="仿宋" w:eastAsia="仿宋" w:cs="仿宋"/>
                <w:color w:val="auto"/>
                <w:sz w:val="24"/>
                <w:highlight w:val="none"/>
              </w:rPr>
            </w:pPr>
          </w:p>
        </w:tc>
        <w:tc>
          <w:tcPr>
            <w:tcW w:w="755" w:type="dxa"/>
            <w:vAlign w:val="center"/>
          </w:tcPr>
          <w:p>
            <w:pPr>
              <w:spacing w:line="360" w:lineRule="auto"/>
              <w:ind w:firstLine="480" w:firstLineChars="200"/>
              <w:jc w:val="left"/>
              <w:rPr>
                <w:rFonts w:ascii="仿宋" w:hAnsi="仿宋" w:eastAsia="仿宋" w:cs="仿宋"/>
                <w:color w:val="auto"/>
                <w:sz w:val="24"/>
                <w:highlight w:val="none"/>
              </w:rPr>
            </w:pPr>
          </w:p>
        </w:tc>
        <w:tc>
          <w:tcPr>
            <w:tcW w:w="863" w:type="dxa"/>
            <w:vAlign w:val="center"/>
          </w:tcPr>
          <w:p>
            <w:pPr>
              <w:spacing w:line="360" w:lineRule="auto"/>
              <w:ind w:firstLine="480" w:firstLineChars="200"/>
              <w:jc w:val="left"/>
              <w:rPr>
                <w:rFonts w:ascii="仿宋" w:hAnsi="仿宋" w:eastAsia="仿宋" w:cs="仿宋"/>
                <w:color w:val="auto"/>
                <w:sz w:val="24"/>
                <w:highlight w:val="none"/>
              </w:rPr>
            </w:pPr>
          </w:p>
        </w:tc>
        <w:tc>
          <w:tcPr>
            <w:tcW w:w="4080" w:type="dxa"/>
          </w:tcPr>
          <w:p>
            <w:pPr>
              <w:spacing w:line="360" w:lineRule="auto"/>
              <w:ind w:firstLine="480" w:firstLineChars="200"/>
              <w:jc w:val="left"/>
              <w:rPr>
                <w:rFonts w:ascii="仿宋" w:hAnsi="仿宋" w:eastAsia="仿宋" w:cs="仿宋"/>
                <w:color w:val="auto"/>
                <w:sz w:val="24"/>
                <w:highlight w:val="none"/>
              </w:rPr>
            </w:pPr>
          </w:p>
        </w:tc>
        <w:tc>
          <w:tcPr>
            <w:tcW w:w="1497" w:type="dxa"/>
          </w:tcPr>
          <w:p>
            <w:pPr>
              <w:spacing w:line="360" w:lineRule="auto"/>
              <w:ind w:firstLine="480" w:firstLineChars="200"/>
              <w:jc w:val="left"/>
              <w:rPr>
                <w:rFonts w:ascii="仿宋" w:hAnsi="仿宋" w:eastAsia="仿宋" w:cs="仿宋"/>
                <w:color w:val="auto"/>
                <w:sz w:val="24"/>
                <w:highlight w:val="none"/>
              </w:rPr>
            </w:pPr>
          </w:p>
        </w:tc>
      </w:tr>
    </w:tbl>
    <w:p>
      <w:pPr>
        <w:spacing w:line="360" w:lineRule="auto"/>
        <w:ind w:firstLine="482" w:firstLineChars="200"/>
        <w:outlineLvl w:val="1"/>
        <w:rPr>
          <w:rFonts w:ascii="仿宋" w:hAnsi="仿宋" w:eastAsia="仿宋" w:cs="仿宋"/>
          <w:b/>
          <w:color w:val="auto"/>
          <w:sz w:val="24"/>
          <w:highlight w:val="none"/>
        </w:rPr>
      </w:pPr>
      <w:bookmarkStart w:id="439" w:name="_Toc21631"/>
      <w:bookmarkStart w:id="440" w:name="_Toc21551"/>
      <w:bookmarkStart w:id="441" w:name="_Toc23292"/>
      <w:r>
        <w:rPr>
          <w:rFonts w:hint="eastAsia" w:ascii="仿宋" w:hAnsi="仿宋" w:eastAsia="仿宋" w:cs="仿宋"/>
          <w:b/>
          <w:color w:val="auto"/>
          <w:sz w:val="24"/>
          <w:highlight w:val="none"/>
        </w:rPr>
        <w:t>1.3 价款</w:t>
      </w:r>
      <w:bookmarkEnd w:id="439"/>
      <w:bookmarkEnd w:id="440"/>
      <w:bookmarkEnd w:id="441"/>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关本项目所需的材料设备费、运输费、装卸费、保险费、安装费、调试费、试运行费、验收</w:t>
      </w:r>
      <w:r>
        <w:rPr>
          <w:rFonts w:hint="eastAsia" w:ascii="宋体" w:hAnsi="宋体" w:cs="宋体"/>
          <w:color w:val="auto"/>
          <w:sz w:val="24"/>
          <w:highlight w:val="none"/>
        </w:rPr>
        <w:t>检测</w:t>
      </w:r>
      <w:r>
        <w:rPr>
          <w:rFonts w:hint="eastAsia" w:ascii="宋体" w:hAnsi="宋体" w:cs="宋体"/>
          <w:color w:val="auto"/>
          <w:sz w:val="24"/>
          <w:highlight w:val="none"/>
          <w:lang w:val="zh-CN"/>
        </w:rPr>
        <w:t>费（</w:t>
      </w:r>
      <w:r>
        <w:rPr>
          <w:rFonts w:hint="eastAsia" w:ascii="宋体" w:hAnsi="宋体" w:cs="宋体"/>
          <w:color w:val="auto"/>
          <w:sz w:val="24"/>
          <w:highlight w:val="none"/>
        </w:rPr>
        <w:t>特种设备检测</w:t>
      </w:r>
      <w:r>
        <w:rPr>
          <w:rFonts w:hint="eastAsia" w:ascii="宋体" w:hAnsi="宋体" w:cs="宋体"/>
          <w:color w:val="auto"/>
          <w:sz w:val="24"/>
          <w:highlight w:val="none"/>
          <w:lang w:val="zh-CN"/>
        </w:rPr>
        <w:t>）、售后服务费、质保费、管理费、利润、税金等等</w:t>
      </w:r>
      <w:r>
        <w:rPr>
          <w:rFonts w:hint="eastAsia" w:ascii="宋体" w:hAnsi="宋体" w:cs="宋体"/>
          <w:color w:val="auto"/>
          <w:sz w:val="24"/>
          <w:highlight w:val="none"/>
        </w:rPr>
        <w:t>一切相关费用</w:t>
      </w:r>
      <w:r>
        <w:rPr>
          <w:rFonts w:hint="eastAsia" w:ascii="宋体" w:hAnsi="宋体" w:cs="宋体"/>
          <w:color w:val="auto"/>
          <w:sz w:val="24"/>
          <w:highlight w:val="none"/>
          <w:lang w:val="zh-CN"/>
        </w:rPr>
        <w:t>均计入报价，</w:t>
      </w:r>
      <w:r>
        <w:rPr>
          <w:rFonts w:hint="eastAsia" w:ascii="宋体" w:hAnsi="宋体" w:cs="宋体"/>
          <w:color w:val="auto"/>
          <w:sz w:val="24"/>
          <w:highlight w:val="none"/>
        </w:rPr>
        <w:t>采购人</w:t>
      </w:r>
      <w:r>
        <w:rPr>
          <w:rFonts w:hint="eastAsia" w:ascii="宋体" w:hAnsi="宋体" w:cs="宋体"/>
          <w:color w:val="auto"/>
          <w:sz w:val="24"/>
          <w:highlight w:val="none"/>
          <w:lang w:val="zh-CN"/>
        </w:rPr>
        <w:t>不再支付额外费用。</w:t>
      </w:r>
    </w:p>
    <w:p>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分项价格表详见附件。</w:t>
      </w:r>
    </w:p>
    <w:p>
      <w:pPr>
        <w:pStyle w:val="959"/>
        <w:spacing w:before="0" w:beforeAutospacing="0" w:after="0" w:afterAutospacing="0" w:line="360" w:lineRule="auto"/>
        <w:ind w:firstLine="480"/>
        <w:rPr>
          <w:b/>
          <w:color w:val="auto"/>
          <w:highlight w:val="none"/>
        </w:rPr>
      </w:pPr>
      <w:bookmarkStart w:id="442" w:name="_Toc10340"/>
      <w:bookmarkStart w:id="443" w:name="_Toc1814"/>
      <w:bookmarkStart w:id="444" w:name="_Toc22618"/>
      <w:r>
        <w:rPr>
          <w:rFonts w:hint="eastAsia"/>
          <w:b/>
          <w:color w:val="auto"/>
          <w:highlight w:val="none"/>
        </w:rPr>
        <w:t>1.4履约保证金</w:t>
      </w:r>
    </w:p>
    <w:p>
      <w:pPr>
        <w:pStyle w:val="959"/>
        <w:spacing w:before="0" w:beforeAutospacing="0" w:after="0" w:afterAutospacing="0" w:line="360" w:lineRule="auto"/>
        <w:ind w:firstLine="480"/>
        <w:rPr>
          <w:color w:val="auto"/>
          <w:highlight w:val="none"/>
        </w:rPr>
      </w:pPr>
      <w:r>
        <w:rPr>
          <w:rFonts w:hint="eastAsia"/>
          <w:color w:val="auto"/>
          <w:highlight w:val="none"/>
        </w:rPr>
        <w:t>乙方（是）需要支付履约保证金。若需要支付履约保证金的，则：</w:t>
      </w:r>
    </w:p>
    <w:p>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1.4.1履约保证金的比例为合同金额的0.3%；</w:t>
      </w:r>
    </w:p>
    <w:p>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rPr>
        <w:t>；</w:t>
      </w:r>
    </w:p>
    <w:p>
      <w:pPr>
        <w:pStyle w:val="2"/>
        <w:tabs>
          <w:tab w:val="left" w:pos="0"/>
          <w:tab w:val="clear" w:pos="432"/>
        </w:tabs>
        <w:ind w:left="0" w:firstLine="480" w:firstLineChars="200"/>
        <w:rPr>
          <w:rFonts w:eastAsia="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outlineLvl w:val="0"/>
        <w:rPr>
          <w:color w:val="auto"/>
          <w:highlight w:val="none"/>
        </w:rPr>
      </w:pPr>
      <w:r>
        <w:rPr>
          <w:rFonts w:hint="eastAsia" w:ascii="宋体" w:hAnsi="宋体" w:cs="宋体"/>
          <w:color w:val="auto"/>
          <w:kern w:val="0"/>
          <w:sz w:val="24"/>
          <w:highlight w:val="none"/>
        </w:rPr>
        <w:t>1.4.4 甲方在项目验收结束后及时退还履约保证金。甲方在项目通过验收之日起5个工作日内将履约保证金无息退还乙方，逾期退还的，乙方可要求甲方支付违约金，违约金按每迟延退还一日的应退还而未退还金额的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1.5预付款</w:t>
      </w:r>
    </w:p>
    <w:p>
      <w:pPr>
        <w:pStyle w:val="959"/>
        <w:spacing w:before="0" w:beforeAutospacing="0" w:after="0" w:afterAutospacing="0" w:line="360" w:lineRule="auto"/>
        <w:ind w:firstLine="480"/>
        <w:rPr>
          <w:color w:val="auto"/>
          <w:highlight w:val="none"/>
        </w:rPr>
      </w:pPr>
      <w:r>
        <w:rPr>
          <w:rFonts w:hint="eastAsia"/>
          <w:color w:val="auto"/>
          <w:highlight w:val="none"/>
        </w:rPr>
        <w:t>甲方（是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rPr>
        <w:t>；</w:t>
      </w:r>
    </w:p>
    <w:p>
      <w:pPr>
        <w:pStyle w:val="959"/>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b/>
          <w:i/>
          <w:color w:val="auto"/>
          <w:highlight w:val="none"/>
          <w:u w:val="single"/>
        </w:rPr>
        <w:t>合同专用条款</w:t>
      </w:r>
      <w:r>
        <w:rPr>
          <w:rFonts w:hint="eastAsia"/>
          <w:color w:val="auto"/>
          <w:highlight w:val="none"/>
        </w:rPr>
        <w:t>；</w:t>
      </w:r>
    </w:p>
    <w:p>
      <w:pPr>
        <w:pStyle w:val="959"/>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b/>
          <w:i/>
          <w:color w:val="auto"/>
          <w:highlight w:val="none"/>
          <w:u w:val="single"/>
        </w:rPr>
        <w:t>合同专用条款</w:t>
      </w:r>
      <w:r>
        <w:rPr>
          <w:rFonts w:hint="eastAsia"/>
          <w:color w:val="auto"/>
          <w:highlight w:val="none"/>
        </w:rPr>
        <w:t>。</w:t>
      </w:r>
    </w:p>
    <w:p>
      <w:pPr>
        <w:pStyle w:val="959"/>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959"/>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1.7货物交付期限、地点和方式</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1.8违约责任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除不可抗力和财政预算调整外，如果甲方没有按照本合同约定的付款方式付款，那么乙方可要求甲方支付违约金，违约金按每迟延付款一日的应付而未付款的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360" w:lineRule="auto"/>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1.9合同争议的解决</w:t>
      </w:r>
    </w:p>
    <w:p>
      <w:pPr>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    条款规定的方式解决：</w:t>
      </w:r>
    </w:p>
    <w:p>
      <w:pPr>
        <w:spacing w:line="360" w:lineRule="auto"/>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360" w:lineRule="auto"/>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2.0 合同生效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本合同自双方当事人盖章签字时生效。</w:t>
      </w:r>
    </w:p>
    <w:p>
      <w:pPr>
        <w:pStyle w:val="2"/>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lang w:val="zh-CN"/>
        </w:rPr>
      </w:pPr>
    </w:p>
    <w:p>
      <w:pPr>
        <w:autoSpaceDE w:val="0"/>
        <w:autoSpaceDN w:val="0"/>
        <w:spacing w:line="360" w:lineRule="auto"/>
        <w:rPr>
          <w:rFonts w:ascii="仿宋" w:hAnsi="仿宋" w:eastAsia="仿宋" w:cs="仿宋"/>
          <w:bCs/>
          <w:color w:val="auto"/>
          <w:sz w:val="24"/>
          <w:highlight w:val="none"/>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r>
        <w:rPr>
          <w:rFonts w:hint="eastAsia" w:ascii="仿宋" w:hAnsi="仿宋" w:eastAsia="仿宋" w:cs="仿宋"/>
          <w:bCs/>
          <w:color w:val="auto"/>
          <w:sz w:val="24"/>
          <w:highlight w:val="none"/>
        </w:rPr>
        <w:t xml:space="preserve"> </w:t>
      </w:r>
    </w:p>
    <w:p>
      <w:pPr>
        <w:autoSpaceDE w:val="0"/>
        <w:autoSpaceDN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 xml:space="preserve">                    </w:t>
      </w:r>
      <w:r>
        <w:rPr>
          <w:rFonts w:hint="eastAsia" w:ascii="仿宋" w:hAnsi="仿宋" w:eastAsia="仿宋" w:cs="仿宋"/>
          <w:bCs/>
          <w:color w:val="auto"/>
          <w:sz w:val="24"/>
          <w:highlight w:val="none"/>
        </w:rPr>
        <w:t xml:space="preserve"> </w:t>
      </w:r>
    </w:p>
    <w:p>
      <w:pPr>
        <w:autoSpaceDE w:val="0"/>
        <w:autoSpaceDN w:val="0"/>
        <w:spacing w:line="360" w:lineRule="auto"/>
        <w:ind w:left="6240" w:hanging="6240" w:hangingChars="2600"/>
        <w:rPr>
          <w:rFonts w:ascii="宋体" w:hAnsi="宋体" w:cs="宋体"/>
          <w:color w:val="auto"/>
          <w:sz w:val="24"/>
          <w:highlight w:val="none"/>
        </w:rPr>
      </w:pPr>
      <w:r>
        <w:rPr>
          <w:rFonts w:hint="eastAsia" w:ascii="宋体" w:hAnsi="宋体" w:cs="宋体"/>
          <w:color w:val="auto"/>
          <w:sz w:val="24"/>
          <w:highlight w:val="none"/>
          <w:lang w:val="zh-CN"/>
        </w:rPr>
        <w:t>住所</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住所</w:t>
      </w:r>
      <w:r>
        <w:rPr>
          <w:rFonts w:hint="eastAsia" w:ascii="宋体" w:hAnsi="宋体" w:cs="宋体"/>
          <w:color w:val="auto"/>
          <w:sz w:val="24"/>
          <w:highlight w:val="none"/>
        </w:rPr>
        <w:t>：</w:t>
      </w:r>
    </w:p>
    <w:p>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lang w:val="zh-CN"/>
        </w:rPr>
        <w:t>法定代表人或</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法定代表人</w:t>
      </w:r>
    </w:p>
    <w:p>
      <w:pPr>
        <w:autoSpaceDE w:val="0"/>
        <w:autoSpaceDN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lang w:val="zh-CN"/>
        </w:rPr>
        <w:t xml:space="preserve">联系人：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联系人：</w:t>
      </w:r>
    </w:p>
    <w:p>
      <w:pPr>
        <w:autoSpaceDE w:val="0"/>
        <w:autoSpaceDN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widowControl/>
        <w:jc w:val="left"/>
        <w:rPr>
          <w:rFonts w:ascii="宋体" w:hAnsi="宋体" w:cs="宋体"/>
          <w:color w:val="auto"/>
          <w:sz w:val="24"/>
          <w:highlight w:val="none"/>
          <w:lang w:val="zh-CN"/>
        </w:rPr>
      </w:pPr>
      <w:r>
        <w:rPr>
          <w:rFonts w:hint="eastAsia" w:ascii="宋体" w:hAnsi="宋体" w:cs="宋体"/>
          <w:color w:val="auto"/>
          <w:sz w:val="24"/>
          <w:highlight w:val="none"/>
          <w:lang w:val="zh-CN"/>
        </w:rPr>
        <w:t>电话:</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电话: </w:t>
      </w:r>
    </w:p>
    <w:p>
      <w:pPr>
        <w:autoSpaceDE w:val="0"/>
        <w:autoSpaceDN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pacing w:line="360" w:lineRule="auto"/>
        <w:ind w:left="6240" w:hanging="6240" w:hangingChars="2600"/>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开户名称：                              开户名称：</w:t>
      </w:r>
    </w:p>
    <w:p>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开户账号：                              开户账号：</w:t>
      </w:r>
    </w:p>
    <w:p>
      <w:pPr>
        <w:pStyle w:val="701"/>
        <w:ind w:firstLine="482"/>
        <w:jc w:val="center"/>
        <w:rPr>
          <w:rFonts w:ascii="宋体" w:hAnsi="宋体" w:cs="宋体"/>
          <w:b/>
          <w:color w:val="auto"/>
          <w:szCs w:val="24"/>
          <w:highlight w:val="none"/>
        </w:rPr>
      </w:pPr>
    </w:p>
    <w:p>
      <w:pPr>
        <w:pStyle w:val="701"/>
        <w:ind w:firstLine="482"/>
        <w:jc w:val="center"/>
        <w:rPr>
          <w:rFonts w:ascii="宋体" w:hAnsi="宋体" w:cs="宋体"/>
          <w:b/>
          <w:color w:val="auto"/>
          <w:szCs w:val="24"/>
          <w:highlight w:val="none"/>
        </w:rPr>
      </w:pPr>
    </w:p>
    <w:p>
      <w:pPr>
        <w:pStyle w:val="701"/>
        <w:ind w:firstLine="482"/>
        <w:jc w:val="center"/>
        <w:rPr>
          <w:rFonts w:ascii="宋体" w:hAnsi="宋体" w:cs="宋体"/>
          <w:b/>
          <w:color w:val="auto"/>
          <w:szCs w:val="24"/>
          <w:highlight w:val="none"/>
        </w:rPr>
      </w:pPr>
    </w:p>
    <w:bookmarkEnd w:id="442"/>
    <w:bookmarkEnd w:id="443"/>
    <w:bookmarkEnd w:id="444"/>
    <w:p>
      <w:pPr>
        <w:pStyle w:val="701"/>
        <w:ind w:firstLine="482"/>
        <w:jc w:val="center"/>
        <w:rPr>
          <w:rFonts w:ascii="宋体" w:hAnsi="宋体" w:cs="宋体"/>
          <w:b/>
          <w:color w:val="auto"/>
          <w:szCs w:val="24"/>
          <w:highlight w:val="none"/>
        </w:rPr>
      </w:pPr>
      <w:bookmarkStart w:id="445" w:name="_Toc15715"/>
      <w:bookmarkStart w:id="446" w:name="_Toc12784"/>
      <w:bookmarkStart w:id="447" w:name="_Toc331685783"/>
      <w:bookmarkStart w:id="448" w:name="_Toc18009"/>
      <w:bookmarkStart w:id="449" w:name="_Toc3723"/>
      <w:r>
        <w:rPr>
          <w:rFonts w:hint="eastAsia" w:ascii="宋体" w:hAnsi="宋体" w:cs="宋体"/>
          <w:b/>
          <w:color w:val="auto"/>
          <w:szCs w:val="24"/>
          <w:highlight w:val="none"/>
        </w:rPr>
        <w:t>第二部分 合同一般条款</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 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2.1.4 “甲方”系指与中标或成交供应商签署合同的采购人；采购人委托采购代理机构代表其与乙方签订合同的，采购人的授权委托书作为合同附件。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 “现场”系指合同约定货物将要运至或者安装的地点。</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2.2 技术规范</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2.3 知识产权</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2.4 包装和装运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2.5 履约检查和问题反馈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2.6 技术资料和保密义务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2.7 质量保证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2.8 货物的风险负担</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2.9 延迟交货</w:t>
      </w:r>
    </w:p>
    <w:p>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2.10 合同变更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2.11 合同转让和分包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2.12 不可抗力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2.13 税费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2.14乙方破产</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2.15 合同中止、终止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2.16检验和验收</w:t>
      </w:r>
    </w:p>
    <w:p>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2.17 通知和送达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2.18 计量单位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2.19 合同使用的文字和适用的法律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2.20 合同份数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bookmarkEnd w:id="445"/>
    <w:bookmarkEnd w:id="446"/>
    <w:bookmarkEnd w:id="447"/>
    <w:bookmarkEnd w:id="448"/>
    <w:bookmarkEnd w:id="449"/>
    <w:p>
      <w:pPr>
        <w:pStyle w:val="701"/>
        <w:spacing w:after="0"/>
        <w:ind w:left="0" w:leftChars="0" w:firstLine="0" w:firstLineChars="0"/>
        <w:jc w:val="center"/>
        <w:outlineLvl w:val="0"/>
        <w:rPr>
          <w:rFonts w:ascii="仿宋" w:hAnsi="仿宋" w:eastAsia="仿宋" w:cs="仿宋"/>
          <w:b/>
          <w:color w:val="auto"/>
          <w:sz w:val="36"/>
          <w:szCs w:val="36"/>
          <w:highlight w:val="none"/>
        </w:rPr>
      </w:pPr>
      <w:r>
        <w:rPr>
          <w:rFonts w:hint="eastAsia" w:ascii="仿宋" w:hAnsi="仿宋" w:eastAsia="仿宋" w:cs="仿宋"/>
          <w:color w:val="auto"/>
          <w:kern w:val="0"/>
          <w:szCs w:val="24"/>
          <w:highlight w:val="none"/>
        </w:rPr>
        <w:br w:type="page"/>
      </w:r>
      <w:bookmarkStart w:id="450" w:name="_Toc6622"/>
      <w:bookmarkStart w:id="451" w:name="_Toc24383"/>
      <w:bookmarkStart w:id="452" w:name="_Toc2409"/>
      <w:bookmarkStart w:id="453" w:name="_Toc25969"/>
      <w:r>
        <w:rPr>
          <w:rFonts w:hint="eastAsia" w:ascii="仿宋" w:hAnsi="仿宋" w:eastAsia="仿宋" w:cs="仿宋"/>
          <w:b/>
          <w:color w:val="auto"/>
          <w:sz w:val="36"/>
          <w:szCs w:val="36"/>
          <w:highlight w:val="none"/>
        </w:rPr>
        <w:t>第三部分  合同专用条款</w:t>
      </w:r>
      <w:bookmarkEnd w:id="450"/>
      <w:bookmarkEnd w:id="451"/>
      <w:bookmarkEnd w:id="452"/>
      <w:bookmarkEnd w:id="453"/>
      <w:r>
        <w:rPr>
          <w:rFonts w:hint="eastAsia" w:ascii="仿宋" w:hAnsi="仿宋" w:eastAsia="仿宋" w:cs="仿宋"/>
          <w:b/>
          <w:color w:val="auto"/>
          <w:sz w:val="36"/>
          <w:szCs w:val="36"/>
          <w:highlight w:val="none"/>
        </w:rPr>
        <w:t xml:space="preserve"> </w:t>
      </w:r>
    </w:p>
    <w:p>
      <w:pPr>
        <w:spacing w:line="560" w:lineRule="exact"/>
        <w:ind w:left="-420" w:leftChars="-200" w:right="-420" w:rightChars="-200" w:firstLine="480" w:firstLineChars="200"/>
        <w:rPr>
          <w:rFonts w:ascii="宋体" w:hAnsi="宋体" w:cs="宋体"/>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314" w:type="dxa"/>
        <w:tblInd w:w="-53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34"/>
        <w:gridCol w:w="82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034" w:type="dxa"/>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28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1.4.2</w:t>
            </w:r>
          </w:p>
        </w:tc>
        <w:tc>
          <w:tcPr>
            <w:tcW w:w="8280" w:type="dxa"/>
            <w:vAlign w:val="center"/>
          </w:tcPr>
          <w:p>
            <w:pPr>
              <w:pStyle w:val="959"/>
              <w:spacing w:before="0" w:beforeAutospacing="0" w:after="0" w:afterAutospacing="0" w:line="400" w:lineRule="exact"/>
              <w:rPr>
                <w:color w:val="auto"/>
                <w:highlight w:val="none"/>
              </w:rPr>
            </w:pPr>
            <w:r>
              <w:rPr>
                <w:rFonts w:hint="eastAsia"/>
                <w:color w:val="auto"/>
                <w:highlight w:val="none"/>
              </w:rPr>
              <w:t>乙方应在合同签订后十个工作日内提交合同金额0.3%的履约保函或履约保证金。以支票、汇票、本票或者金融机构、担保机构出具的保函等非现金形式，</w:t>
            </w:r>
            <w:r>
              <w:rPr>
                <w:color w:val="auto"/>
                <w:highlight w:val="none"/>
              </w:rPr>
              <w:t>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1.5.1</w:t>
            </w:r>
          </w:p>
        </w:tc>
        <w:tc>
          <w:tcPr>
            <w:tcW w:w="8280" w:type="dxa"/>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1.5.1预付款比例、支付方式、时间：合同签订且履约担保缴纳后十个工作日内乙方凭甲方签字盖章的支付通知书、发票，向甲方办理合同总价40%预付款的支付手续；同时乙方提交银行、保险公司出具的预付款保函（如不提供预付款担保的，在中期验收后支付首期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1.6.2</w:t>
            </w:r>
          </w:p>
        </w:tc>
        <w:tc>
          <w:tcPr>
            <w:tcW w:w="8280" w:type="dxa"/>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资金支付的方式、时间和条件：</w:t>
            </w:r>
          </w:p>
          <w:p>
            <w:pPr>
              <w:spacing w:line="400" w:lineRule="exact"/>
              <w:rPr>
                <w:rFonts w:ascii="宋体" w:hAnsi="宋体" w:cs="宋体"/>
                <w:color w:val="auto"/>
                <w:sz w:val="24"/>
                <w:highlight w:val="none"/>
              </w:rPr>
            </w:pPr>
            <w:r>
              <w:rPr>
                <w:rFonts w:hint="eastAsia" w:ascii="宋体" w:hAnsi="宋体" w:cs="宋体"/>
                <w:color w:val="auto"/>
                <w:sz w:val="24"/>
                <w:highlight w:val="none"/>
              </w:rPr>
              <w:t>（1）第一期付款：预付款（同上1.5.1条款）。</w:t>
            </w:r>
          </w:p>
          <w:p>
            <w:pPr>
              <w:spacing w:line="400" w:lineRule="exact"/>
              <w:rPr>
                <w:rFonts w:ascii="宋体" w:hAnsi="宋体" w:cs="宋体"/>
                <w:color w:val="auto"/>
                <w:sz w:val="24"/>
                <w:highlight w:val="none"/>
              </w:rPr>
            </w:pPr>
            <w:r>
              <w:rPr>
                <w:rFonts w:hint="eastAsia" w:ascii="宋体" w:hAnsi="宋体" w:cs="宋体"/>
                <w:color w:val="auto"/>
                <w:sz w:val="24"/>
                <w:highlight w:val="none"/>
              </w:rPr>
              <w:t>（2）第二期付款：系统设备全部安装、调试完毕并投入试运行后无质量问题且通过最终验收后10个工作日内，乙方凭甲方签字盖章的支付通知书、发票复印件、终验报告、结算书等向甲方办理剩余款的结算手续。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1.7.1</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交付期限:</w:t>
            </w:r>
            <w:r>
              <w:rPr>
                <w:rFonts w:hint="eastAsia" w:ascii="宋体" w:hAnsi="宋体" w:cs="宋体"/>
                <w:bCs/>
                <w:color w:val="auto"/>
                <w:sz w:val="24"/>
                <w:highlight w:val="none"/>
              </w:rPr>
              <w:t xml:space="preserve"> 乙方应在合同签订生效之日起</w:t>
            </w:r>
            <w:r>
              <w:rPr>
                <w:rFonts w:hint="eastAsia" w:ascii="宋体" w:hAnsi="宋体" w:cs="宋体"/>
                <w:bCs/>
                <w:color w:val="auto"/>
                <w:sz w:val="24"/>
                <w:highlight w:val="none"/>
                <w:u w:val="single"/>
              </w:rPr>
              <w:t xml:space="preserve"> 60日历天</w:t>
            </w:r>
            <w:r>
              <w:rPr>
                <w:rFonts w:hint="eastAsia" w:ascii="宋体" w:hAnsi="宋体" w:cs="宋体"/>
                <w:bCs/>
                <w:color w:val="auto"/>
                <w:sz w:val="24"/>
                <w:highlight w:val="none"/>
              </w:rPr>
              <w:t>内完成供货、安装、调试、试运行及验收等。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ascii="宋体" w:hAnsi="宋体" w:cs="宋体"/>
                <w:color w:val="auto"/>
                <w:sz w:val="24"/>
                <w:highlight w:val="none"/>
              </w:rPr>
              <w:t>1.7.2</w:t>
            </w:r>
          </w:p>
        </w:tc>
        <w:tc>
          <w:tcPr>
            <w:tcW w:w="8280" w:type="dxa"/>
            <w:vAlign w:val="center"/>
          </w:tcPr>
          <w:p>
            <w:pPr>
              <w:spacing w:line="400" w:lineRule="exact"/>
              <w:rPr>
                <w:rFonts w:ascii="宋体" w:hAnsi="宋体" w:cs="宋体"/>
                <w:bCs/>
                <w:color w:val="auto"/>
                <w:sz w:val="24"/>
                <w:highlight w:val="none"/>
              </w:rPr>
            </w:pPr>
            <w:r>
              <w:rPr>
                <w:rFonts w:hint="eastAsia" w:ascii="宋体" w:hAnsi="宋体" w:cs="宋体"/>
                <w:bCs/>
                <w:color w:val="auto"/>
                <w:sz w:val="24"/>
                <w:highlight w:val="none"/>
              </w:rPr>
              <w:t>交付地点</w:t>
            </w:r>
            <w:r>
              <w:rPr>
                <w:rFonts w:ascii="宋体" w:hAnsi="宋体" w:cs="宋体"/>
                <w:bCs/>
                <w:color w:val="auto"/>
                <w:sz w:val="24"/>
                <w:highlight w:val="none"/>
              </w:rPr>
              <w:t xml:space="preserve">: </w:t>
            </w:r>
            <w:r>
              <w:rPr>
                <w:rFonts w:hint="eastAsia" w:ascii="宋体" w:hAnsi="宋体" w:cs="宋体"/>
                <w:bCs/>
                <w:color w:val="auto"/>
                <w:sz w:val="24"/>
                <w:highlight w:val="none"/>
                <w:u w:val="single"/>
              </w:rPr>
              <w:t>江东大桥</w:t>
            </w:r>
            <w:r>
              <w:rPr>
                <w:rFonts w:ascii="宋体" w:hAnsi="宋体" w:cs="宋体"/>
                <w:bCs/>
                <w:color w:val="auto"/>
                <w:sz w:val="24"/>
                <w:highlight w:val="none"/>
                <w:u w:val="single"/>
              </w:rPr>
              <w:t xml:space="preserve">   </w:t>
            </w:r>
            <w:r>
              <w:rPr>
                <w:rFonts w:ascii="宋体" w:hAnsi="宋体" w:cs="宋体"/>
                <w:bCs/>
                <w:color w:val="auto"/>
                <w:sz w:val="24"/>
                <w:highlight w:val="none"/>
              </w:rPr>
              <w:t xml:space="preserve"> </w:t>
            </w:r>
            <w:r>
              <w:rPr>
                <w:rFonts w:hint="eastAsia" w:ascii="宋体" w:hAnsi="宋体" w:cs="宋体"/>
                <w:bCs/>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1.7.3</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交付方式:验收合格后交付。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1.8.6</w:t>
            </w:r>
          </w:p>
        </w:tc>
        <w:tc>
          <w:tcPr>
            <w:tcW w:w="8280" w:type="dxa"/>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1.9</w:t>
            </w:r>
          </w:p>
        </w:tc>
        <w:tc>
          <w:tcPr>
            <w:tcW w:w="8280" w:type="dxa"/>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本项目选择以下第1.9.2 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1.9.1</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将争议提交</w:t>
            </w:r>
            <w:r>
              <w:rPr>
                <w:rFonts w:hint="eastAsia" w:ascii="宋体" w:hAnsi="宋体"/>
                <w:b/>
                <w:i/>
                <w:color w:val="auto"/>
                <w:sz w:val="24"/>
                <w:highlight w:val="none"/>
                <w:u w:val="single"/>
              </w:rPr>
              <w:t>杭州</w:t>
            </w:r>
            <w:r>
              <w:rPr>
                <w:rFonts w:hint="eastAsia" w:ascii="宋体" w:hAnsi="宋体"/>
                <w:color w:val="auto"/>
                <w:sz w:val="24"/>
                <w:highlight w:val="none"/>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1.9.2</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向</w:t>
            </w:r>
            <w:r>
              <w:rPr>
                <w:rFonts w:hint="eastAsia" w:ascii="宋体" w:hAnsi="宋体"/>
                <w:b/>
                <w:i/>
                <w:color w:val="auto"/>
                <w:sz w:val="24"/>
                <w:highlight w:val="none"/>
                <w:u w:val="single"/>
              </w:rPr>
              <w:t>甲方所在地</w:t>
            </w:r>
            <w:r>
              <w:rPr>
                <w:rFonts w:hint="eastAsia" w:ascii="宋体" w:hAnsi="宋体"/>
                <w:color w:val="auto"/>
                <w:sz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2.3.2</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2.4.1</w:t>
            </w:r>
          </w:p>
        </w:tc>
        <w:tc>
          <w:tcPr>
            <w:tcW w:w="8280" w:type="dxa"/>
            <w:vAlign w:val="center"/>
          </w:tcPr>
          <w:p>
            <w:pPr>
              <w:spacing w:line="400" w:lineRule="exact"/>
              <w:ind w:right="-420" w:rightChars="-200"/>
              <w:rPr>
                <w:rFonts w:ascii="宋体" w:hAnsi="宋体" w:cs="宋体"/>
                <w:color w:val="auto"/>
                <w:sz w:val="24"/>
                <w:highlight w:val="none"/>
              </w:rPr>
            </w:pPr>
            <w:r>
              <w:rPr>
                <w:rFonts w:hint="eastAsia" w:ascii="宋体" w:hAnsi="宋体" w:cs="宋体"/>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2.4.3</w:t>
            </w:r>
          </w:p>
        </w:tc>
        <w:tc>
          <w:tcPr>
            <w:tcW w:w="8280" w:type="dxa"/>
            <w:vAlign w:val="center"/>
          </w:tcPr>
          <w:p>
            <w:pPr>
              <w:spacing w:line="400" w:lineRule="exact"/>
              <w:rPr>
                <w:rFonts w:ascii="宋体" w:hAnsi="宋体" w:cs="宋体"/>
                <w:color w:val="auto"/>
                <w:sz w:val="24"/>
                <w:highlight w:val="none"/>
              </w:rPr>
            </w:pPr>
            <w:r>
              <w:rPr>
                <w:rFonts w:hint="eastAsia" w:ascii="宋体" w:hAnsi="宋体" w:cs="宋体"/>
                <w:bCs/>
                <w:color w:val="auto"/>
                <w:sz w:val="24"/>
                <w:highlight w:val="none"/>
              </w:rPr>
              <w:t>乙方在货物发运手续办理完毕后24小时内或货到甲方48小时前通知甲方，以准备接货。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tcPr>
          <w:p>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2.8 </w:t>
            </w:r>
          </w:p>
        </w:tc>
        <w:tc>
          <w:tcPr>
            <w:tcW w:w="8280" w:type="dxa"/>
          </w:tcPr>
          <w:p>
            <w:pPr>
              <w:spacing w:line="400" w:lineRule="exact"/>
              <w:rPr>
                <w:rFonts w:ascii="宋体" w:hAnsi="宋体" w:cs="宋体"/>
                <w:color w:val="auto"/>
                <w:sz w:val="24"/>
                <w:highlight w:val="none"/>
              </w:rPr>
            </w:pPr>
            <w:r>
              <w:rPr>
                <w:rFonts w:hint="eastAsia" w:ascii="宋体" w:hAnsi="宋体" w:cs="宋体"/>
                <w:bCs/>
                <w:color w:val="auto"/>
                <w:sz w:val="24"/>
                <w:highlight w:val="none"/>
              </w:rPr>
              <w:t>货物在交付甲方前发生的风险均由乙方负责。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2.12.3</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因不可抗力致使合同有变更必要的，双方当事人应在</w:t>
            </w:r>
            <w:r>
              <w:rPr>
                <w:rFonts w:hint="eastAsia" w:ascii="宋体" w:hAnsi="宋体"/>
                <w:b/>
                <w:i/>
                <w:color w:val="auto"/>
                <w:sz w:val="24"/>
                <w:highlight w:val="none"/>
                <w:u w:val="single"/>
                <w:lang w:val="en-US" w:eastAsia="zh-CN"/>
              </w:rPr>
              <w:t>10</w:t>
            </w:r>
            <w:r>
              <w:rPr>
                <w:rFonts w:hint="eastAsia" w:ascii="宋体" w:hAnsi="宋体"/>
                <w:b/>
                <w:i/>
                <w:color w:val="auto"/>
                <w:sz w:val="24"/>
                <w:highlight w:val="none"/>
                <w:u w:val="single"/>
              </w:rPr>
              <w:t>日内</w:t>
            </w:r>
            <w:r>
              <w:rPr>
                <w:rFonts w:hint="eastAsia" w:ascii="宋体" w:hAnsi="宋体"/>
                <w:color w:val="auto"/>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2.12.4</w:t>
            </w:r>
          </w:p>
        </w:tc>
        <w:tc>
          <w:tcPr>
            <w:tcW w:w="8280" w:type="dxa"/>
            <w:vAlign w:val="center"/>
          </w:tcPr>
          <w:p>
            <w:pPr>
              <w:spacing w:line="400" w:lineRule="exact"/>
              <w:rPr>
                <w:rFonts w:ascii="宋体" w:hAnsi="宋体"/>
                <w:color w:val="auto"/>
                <w:sz w:val="24"/>
                <w:highlight w:val="none"/>
              </w:rPr>
            </w:pPr>
            <w:r>
              <w:rPr>
                <w:rFonts w:ascii="宋体" w:hAnsi="宋体"/>
                <w:color w:val="auto"/>
                <w:sz w:val="24"/>
                <w:highlight w:val="none"/>
              </w:rPr>
              <w:t>受不可抗力影响的一方在不可抗力发生后，应在</w:t>
            </w:r>
            <w:r>
              <w:rPr>
                <w:rFonts w:hint="eastAsia" w:ascii="宋体" w:hAnsi="宋体"/>
                <w:b/>
                <w:i/>
                <w:color w:val="auto"/>
                <w:sz w:val="24"/>
                <w:highlight w:val="none"/>
                <w:u w:val="single"/>
              </w:rPr>
              <w:t>3日内</w:t>
            </w:r>
            <w:r>
              <w:rPr>
                <w:rFonts w:hint="eastAsia" w:ascii="宋体" w:hAnsi="宋体"/>
                <w:color w:val="auto"/>
                <w:sz w:val="24"/>
                <w:highlight w:val="none"/>
              </w:rPr>
              <w:t>内以书面形式通知对方当事人，并在</w:t>
            </w:r>
            <w:r>
              <w:rPr>
                <w:rFonts w:hint="eastAsia" w:ascii="宋体" w:hAnsi="宋体"/>
                <w:b/>
                <w:i/>
                <w:color w:val="auto"/>
                <w:sz w:val="24"/>
                <w:highlight w:val="none"/>
                <w:u w:val="single"/>
              </w:rPr>
              <w:t>事故发生后</w:t>
            </w:r>
            <w:r>
              <w:rPr>
                <w:rFonts w:hint="eastAsia" w:ascii="宋体" w:hAnsi="宋体"/>
                <w:b/>
                <w:i/>
                <w:color w:val="auto"/>
                <w:sz w:val="24"/>
                <w:highlight w:val="none"/>
                <w:u w:val="single"/>
                <w:lang w:val="en-US" w:eastAsia="zh-CN"/>
              </w:rPr>
              <w:t>7</w:t>
            </w:r>
            <w:r>
              <w:rPr>
                <w:rFonts w:hint="eastAsia" w:ascii="宋体" w:hAnsi="宋体"/>
                <w:b/>
                <w:i/>
                <w:color w:val="auto"/>
                <w:sz w:val="24"/>
                <w:highlight w:val="none"/>
                <w:u w:val="single"/>
              </w:rPr>
              <w:t>天</w:t>
            </w:r>
            <w:r>
              <w:rPr>
                <w:rFonts w:hint="eastAsia" w:ascii="宋体" w:hAnsi="宋体"/>
                <w:color w:val="auto"/>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2.16.1</w:t>
            </w:r>
          </w:p>
        </w:tc>
        <w:tc>
          <w:tcPr>
            <w:tcW w:w="8280" w:type="dxa"/>
            <w:vAlign w:val="center"/>
          </w:tcPr>
          <w:p>
            <w:pPr>
              <w:spacing w:line="400" w:lineRule="exact"/>
              <w:rPr>
                <w:rFonts w:ascii="宋体" w:hAnsi="宋体"/>
                <w:color w:val="auto"/>
                <w:sz w:val="24"/>
                <w:highlight w:val="none"/>
              </w:rPr>
            </w:pPr>
            <w:r>
              <w:rPr>
                <w:rFonts w:hint="eastAsia" w:ascii="宋体" w:hAnsi="宋体" w:cs="宋体"/>
                <w:bCs/>
                <w:color w:val="auto"/>
                <w:sz w:val="24"/>
                <w:highlight w:val="none"/>
              </w:rPr>
              <w:t>安装、调试、试运行等完成后</w:t>
            </w:r>
            <w:r>
              <w:rPr>
                <w:rFonts w:ascii="宋体" w:hAnsi="宋体"/>
                <w:color w:val="auto"/>
                <w:sz w:val="24"/>
                <w:highlight w:val="none"/>
              </w:rPr>
              <w:t>，</w:t>
            </w:r>
            <w:r>
              <w:rPr>
                <w:rFonts w:hint="eastAsia" w:ascii="宋体" w:hAnsi="宋体"/>
                <w:color w:val="auto"/>
                <w:sz w:val="24"/>
                <w:highlight w:val="none"/>
              </w:rPr>
              <w:t>甲</w:t>
            </w:r>
            <w:r>
              <w:rPr>
                <w:rFonts w:ascii="宋体" w:hAnsi="宋体"/>
                <w:color w:val="auto"/>
                <w:sz w:val="24"/>
                <w:highlight w:val="none"/>
              </w:rPr>
              <w:t>方在</w:t>
            </w:r>
            <w:r>
              <w:rPr>
                <w:rFonts w:ascii="宋体" w:hAnsi="宋体"/>
                <w:b/>
                <w:i/>
                <w:color w:val="auto"/>
                <w:sz w:val="24"/>
                <w:highlight w:val="none"/>
                <w:u w:val="single"/>
              </w:rPr>
              <w:t>10日</w:t>
            </w:r>
            <w:r>
              <w:rPr>
                <w:rFonts w:hint="eastAsia" w:ascii="宋体" w:hAnsi="宋体"/>
                <w:color w:val="auto"/>
                <w:sz w:val="24"/>
                <w:highlight w:val="none"/>
              </w:rPr>
              <w:t>内组织验收。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034" w:type="dxa"/>
            <w:tcBorders>
              <w:left w:val="single" w:color="auto" w:sz="4" w:space="0"/>
            </w:tcBorders>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2.16.3</w:t>
            </w:r>
          </w:p>
        </w:tc>
        <w:tc>
          <w:tcPr>
            <w:tcW w:w="8280" w:type="dxa"/>
            <w:vAlign w:val="center"/>
          </w:tcPr>
          <w:p>
            <w:pPr>
              <w:spacing w:line="400" w:lineRule="exact"/>
              <w:rPr>
                <w:rFonts w:ascii="宋体" w:hAnsi="宋体"/>
                <w:color w:val="auto"/>
                <w:sz w:val="24"/>
                <w:highlight w:val="none"/>
              </w:rPr>
            </w:pPr>
            <w:r>
              <w:rPr>
                <w:rFonts w:hint="eastAsia" w:ascii="宋体" w:hAnsi="宋体"/>
                <w:color w:val="auto"/>
                <w:sz w:val="24"/>
                <w:highlight w:val="none"/>
              </w:rPr>
              <w:t>（1）检验和验收标准：①满足采购需求及技术文件的要求，达到国家及行业现行规范的合格标准；②资金支付及履约保证金返还条件、争议处理、验收费用支付、采购人及供应商各自权利义务等内容按国家，省，市现行规定和合同约定的内容。</w:t>
            </w:r>
          </w:p>
          <w:p>
            <w:pPr>
              <w:spacing w:line="400" w:lineRule="exact"/>
              <w:rPr>
                <w:rFonts w:ascii="宋体" w:hAnsi="宋体"/>
                <w:color w:val="auto"/>
                <w:sz w:val="24"/>
                <w:highlight w:val="none"/>
              </w:rPr>
            </w:pPr>
            <w:r>
              <w:rPr>
                <w:rFonts w:hint="eastAsia" w:ascii="宋体" w:hAnsi="宋体"/>
                <w:color w:val="auto"/>
                <w:sz w:val="24"/>
                <w:highlight w:val="none"/>
              </w:rPr>
              <w:t>（2）验收程序：根据《杭州市政府采购履约验收暂行办法》规定，按照一般程序进行验收。验收方法为</w:t>
            </w:r>
            <w:r>
              <w:rPr>
                <w:rFonts w:hint="eastAsia" w:ascii="宋体" w:hAnsi="宋体"/>
                <w:color w:val="auto"/>
                <w:sz w:val="24"/>
                <w:highlight w:val="none"/>
              </w:rPr>
              <w:sym w:font="Wingdings" w:char="00FE"/>
            </w:r>
            <w:r>
              <w:rPr>
                <w:rFonts w:hint="eastAsia" w:ascii="宋体" w:hAnsi="宋体"/>
                <w:color w:val="auto"/>
                <w:sz w:val="24"/>
                <w:highlight w:val="none"/>
              </w:rPr>
              <w:t>一次性验收、</w:t>
            </w:r>
            <w:r>
              <w:rPr>
                <w:rFonts w:hint="eastAsia" w:ascii="宋体" w:hAnsi="宋体"/>
                <w:color w:val="auto"/>
                <w:sz w:val="24"/>
                <w:highlight w:val="none"/>
              </w:rPr>
              <w:sym w:font="Wingdings" w:char="00A8"/>
            </w:r>
            <w:r>
              <w:rPr>
                <w:rFonts w:hint="eastAsia" w:ascii="宋体" w:hAnsi="宋体"/>
                <w:color w:val="auto"/>
                <w:sz w:val="24"/>
                <w:highlight w:val="none"/>
              </w:rPr>
              <w:t>分段验收、</w:t>
            </w:r>
            <w:r>
              <w:rPr>
                <w:rFonts w:hint="eastAsia" w:ascii="宋体" w:hAnsi="宋体"/>
                <w:color w:val="auto"/>
                <w:sz w:val="24"/>
                <w:highlight w:val="none"/>
              </w:rPr>
              <w:sym w:font="Wingdings" w:char="F0A8"/>
            </w:r>
            <w:r>
              <w:rPr>
                <w:rFonts w:hint="eastAsia" w:ascii="宋体" w:hAnsi="宋体"/>
                <w:color w:val="auto"/>
                <w:sz w:val="24"/>
                <w:highlight w:val="none"/>
              </w:rPr>
              <w:t>分期验收。</w:t>
            </w:r>
          </w:p>
          <w:p>
            <w:pPr>
              <w:spacing w:line="400" w:lineRule="exact"/>
              <w:rPr>
                <w:rFonts w:ascii="宋体" w:hAnsi="宋体"/>
                <w:color w:val="auto"/>
                <w:sz w:val="24"/>
                <w:highlight w:val="none"/>
              </w:rPr>
            </w:pPr>
            <w:r>
              <w:rPr>
                <w:rFonts w:hint="eastAsia" w:ascii="宋体" w:hAnsi="宋体"/>
                <w:color w:val="auto"/>
                <w:sz w:val="24"/>
                <w:highlight w:val="none"/>
              </w:rPr>
              <w:t>（3）以上内容以及验收书具有同等法律效力，以上内容有冲突时以较严格的要求为准。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034" w:type="dxa"/>
            <w:tcBorders>
              <w:left w:val="single" w:color="auto" w:sz="4" w:space="0"/>
            </w:tcBorders>
            <w:vAlign w:val="center"/>
          </w:tcPr>
          <w:p>
            <w:pPr>
              <w:spacing w:line="400" w:lineRule="exact"/>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8280" w:type="dxa"/>
            <w:vAlign w:val="center"/>
          </w:tcPr>
          <w:p>
            <w:pPr>
              <w:spacing w:line="400" w:lineRule="exact"/>
              <w:rPr>
                <w:rFonts w:ascii="宋体" w:hAnsi="宋体" w:cs="宋体"/>
                <w:color w:val="auto"/>
                <w:sz w:val="24"/>
                <w:highlight w:val="none"/>
              </w:rPr>
            </w:pPr>
            <w:r>
              <w:rPr>
                <w:rFonts w:hint="eastAsia" w:ascii="宋体" w:hAnsi="宋体"/>
                <w:color w:val="auto"/>
                <w:sz w:val="24"/>
                <w:highlight w:val="none"/>
              </w:rPr>
              <w:t>本合同一式六份，甲方三份，乙方三份。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034" w:type="dxa"/>
            <w:tcBorders>
              <w:left w:val="single" w:color="auto" w:sz="4" w:space="0"/>
            </w:tcBorders>
            <w:vAlign w:val="center"/>
          </w:tcPr>
          <w:p>
            <w:pPr>
              <w:spacing w:line="400" w:lineRule="exact"/>
              <w:ind w:left="-420" w:leftChars="-200" w:right="-420" w:rightChars="-200" w:firstLine="480" w:firstLineChars="200"/>
              <w:outlineLvl w:val="0"/>
              <w:rPr>
                <w:rFonts w:ascii="宋体" w:hAnsi="宋体" w:cs="宋体"/>
                <w:color w:val="auto"/>
                <w:sz w:val="24"/>
                <w:highlight w:val="none"/>
              </w:rPr>
            </w:pPr>
          </w:p>
        </w:tc>
        <w:tc>
          <w:tcPr>
            <w:tcW w:w="8280" w:type="dxa"/>
            <w:vAlign w:val="center"/>
          </w:tcPr>
          <w:p>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质量保证：</w:t>
            </w:r>
          </w:p>
          <w:p>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1）投标人应确保其技术建议以及所提供的设备的完整性、实用性，保证全部系统及时投入正常运行。否则若出现因投标人提供的设备不满足要求、不合理，或者其所提供的技术支持和服务不全面，而导致系统无法实现或不能完全实现的状况，投标人负全部责任。</w:t>
            </w:r>
          </w:p>
          <w:p>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（2）如在使用过程中发生质量问题，乙方在接到甲方通知后在不超过故障申报 1小时内到达现场，24小时内解决问题。</w:t>
            </w:r>
          </w:p>
          <w:p>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（3）如果设备在质保期内发生设备故障，投标人应及时予以响应（上门服务），否则用户将自行采取必要的措施，由此产生风险和费用由投标人承担。</w:t>
            </w:r>
          </w:p>
          <w:p>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4）投标人对其提供的所有设备均应提供最终验收合格之日起36个月厂家质保。主要硬件要求提供原厂商3年7（天）*24（小时）设备保修和售后现场技术服务，系统软件产品的质保执行原厂商的标准（如低于3年，按3年计）质保服务和投标人的承诺，因使用不当更换设备材料费用按不高于投标报价价格收费。产品质保期内应及时解决问题，不及时解决的，按2000元/次予以处罚。在质保期内，乙方应对货物出现的质量及安全问题负责处理解决并承担一切费用。质保期内，因人为因素出现的故障不在保修范围内。超过保修期的机器设备，终生维修，维修时只收部件成本费。</w:t>
            </w:r>
          </w:p>
          <w:p>
            <w:pPr>
              <w:spacing w:line="400" w:lineRule="exact"/>
              <w:rPr>
                <w:rFonts w:eastAsia="仿宋_GB2312"/>
                <w:color w:val="auto"/>
                <w:highlight w:val="none"/>
              </w:rPr>
            </w:pPr>
            <w:r>
              <w:rPr>
                <w:rFonts w:hint="eastAsia" w:ascii="宋体" w:hAnsi="宋体" w:cs="宋体"/>
                <w:color w:val="auto"/>
                <w:kern w:val="0"/>
                <w:sz w:val="24"/>
                <w:highlight w:val="none"/>
              </w:rPr>
              <w:t>（5）运营商专线接入卡点数据上传3年的治超数据专线租赁费用及3年质保内的每一年一次计量检定及检定期间交通维护相关费用包含在投标报价中，今后不予调整。</w:t>
            </w:r>
          </w:p>
        </w:tc>
      </w:tr>
    </w:tbl>
    <w:p>
      <w:pPr>
        <w:rPr>
          <w:rFonts w:cs="Arial"/>
          <w:bCs/>
          <w:snapToGrid w:val="0"/>
          <w:color w:val="auto"/>
          <w:szCs w:val="21"/>
          <w:highlight w:val="none"/>
        </w:rPr>
      </w:pPr>
      <w:r>
        <w:rPr>
          <w:color w:val="auto"/>
          <w:highlight w:val="none"/>
        </w:rPr>
        <w:br w:type="page"/>
      </w:r>
      <w:r>
        <w:rPr>
          <w:rFonts w:hint="eastAsia" w:cs="Arial"/>
          <w:bCs/>
          <w:snapToGrid w:val="0"/>
          <w:color w:val="auto"/>
          <w:szCs w:val="21"/>
          <w:highlight w:val="none"/>
        </w:rPr>
        <w:t>合同附件：</w:t>
      </w:r>
    </w:p>
    <w:p>
      <w:pPr>
        <w:pStyle w:val="79"/>
        <w:rPr>
          <w:rFonts w:cs="Arial"/>
          <w:bCs/>
          <w:snapToGrid w:val="0"/>
          <w:color w:val="auto"/>
          <w:szCs w:val="21"/>
          <w:highlight w:val="none"/>
          <w:lang w:val="en-US"/>
        </w:rPr>
      </w:pPr>
    </w:p>
    <w:p>
      <w:pPr>
        <w:widowControl/>
        <w:snapToGrid w:val="0"/>
        <w:spacing w:line="360" w:lineRule="auto"/>
        <w:jc w:val="center"/>
        <w:rPr>
          <w:rFonts w:ascii="宋体" w:hAnsi="宋体"/>
          <w:b/>
          <w:snapToGrid w:val="0"/>
          <w:color w:val="auto"/>
          <w:kern w:val="0"/>
          <w:sz w:val="30"/>
          <w:szCs w:val="30"/>
          <w:highlight w:val="none"/>
        </w:rPr>
      </w:pPr>
      <w:r>
        <w:rPr>
          <w:rFonts w:hint="eastAsia" w:ascii="宋体" w:hAnsi="宋体"/>
          <w:b/>
          <w:snapToGrid w:val="0"/>
          <w:color w:val="auto"/>
          <w:kern w:val="0"/>
          <w:sz w:val="30"/>
          <w:szCs w:val="30"/>
          <w:highlight w:val="none"/>
        </w:rPr>
        <w:t>廉 政 协 议</w:t>
      </w:r>
    </w:p>
    <w:p>
      <w:pPr>
        <w:snapToGrid w:val="0"/>
        <w:spacing w:line="400" w:lineRule="exact"/>
        <w:ind w:right="17" w:rightChars="8"/>
        <w:jc w:val="left"/>
        <w:rPr>
          <w:rFonts w:ascii="宋体" w:hAnsi="宋体" w:cs="仿宋"/>
          <w:snapToGrid w:val="0"/>
          <w:color w:val="auto"/>
          <w:kern w:val="0"/>
          <w:sz w:val="24"/>
          <w:highlight w:val="none"/>
        </w:rPr>
      </w:pPr>
      <w:r>
        <w:rPr>
          <w:rFonts w:hint="eastAsia" w:ascii="宋体" w:hAnsi="宋体" w:cs="仿宋"/>
          <w:snapToGrid w:val="0"/>
          <w:color w:val="auto"/>
          <w:kern w:val="0"/>
          <w:sz w:val="24"/>
          <w:highlight w:val="none"/>
        </w:rPr>
        <w:t>甲方：杭州市市政设施管理中心</w:t>
      </w:r>
    </w:p>
    <w:p>
      <w:pPr>
        <w:snapToGrid w:val="0"/>
        <w:spacing w:line="400" w:lineRule="exact"/>
        <w:ind w:right="17" w:rightChars="8"/>
        <w:rPr>
          <w:rFonts w:ascii="宋体" w:hAnsi="宋体" w:cs="仿宋"/>
          <w:snapToGrid w:val="0"/>
          <w:color w:val="auto"/>
          <w:kern w:val="0"/>
          <w:sz w:val="24"/>
          <w:highlight w:val="none"/>
        </w:rPr>
      </w:pPr>
      <w:r>
        <w:rPr>
          <w:rFonts w:hint="eastAsia" w:ascii="宋体" w:hAnsi="宋体" w:cs="仿宋"/>
          <w:snapToGrid w:val="0"/>
          <w:color w:val="auto"/>
          <w:kern w:val="0"/>
          <w:sz w:val="24"/>
          <w:highlight w:val="none"/>
        </w:rPr>
        <w:t>乙方：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根据国家、省、市有关廉政建设的规定，为做好</w:t>
      </w:r>
      <w:r>
        <w:rPr>
          <w:rFonts w:hint="eastAsia" w:ascii="宋体" w:hAnsi="宋体" w:cs="宋体"/>
          <w:color w:val="auto"/>
          <w:sz w:val="24"/>
          <w:highlight w:val="none"/>
          <w:u w:val="single"/>
        </w:rPr>
        <w:t xml:space="preserve"> </w:t>
      </w:r>
      <w:r>
        <w:rPr>
          <w:rFonts w:hint="eastAsia" w:ascii="仿宋" w:hAnsi="仿宋" w:eastAsia="仿宋" w:cs="仿宋"/>
          <w:color w:val="auto"/>
          <w:sz w:val="24"/>
          <w:highlight w:val="none"/>
          <w:u w:val="single"/>
        </w:rPr>
        <w:t>江东大桥车辆动态称重系统改造工程</w:t>
      </w:r>
      <w:r>
        <w:rPr>
          <w:rFonts w:hint="eastAsia" w:ascii="宋体" w:hAnsi="宋体" w:cs="宋体"/>
          <w:color w:val="auto"/>
          <w:sz w:val="24"/>
          <w:highlight w:val="none"/>
          <w:u w:val="single"/>
        </w:rPr>
        <w:t xml:space="preserve"> </w:t>
      </w:r>
      <w:r>
        <w:rPr>
          <w:rFonts w:hint="eastAsia" w:ascii="宋体" w:hAnsi="宋体" w:cs="仿宋"/>
          <w:color w:val="auto"/>
          <w:sz w:val="24"/>
          <w:highlight w:val="none"/>
        </w:rPr>
        <w:t>项目的廉政建设，保证财政资金的安全和有效使用以及投资效益，甲乙双方订立本协议，具体如下：</w:t>
      </w:r>
    </w:p>
    <w:p>
      <w:pPr>
        <w:spacing w:line="400" w:lineRule="exact"/>
        <w:ind w:firstLine="570"/>
        <w:rPr>
          <w:rFonts w:ascii="宋体" w:hAnsi="宋体" w:cs="仿宋"/>
          <w:b/>
          <w:bCs/>
          <w:color w:val="auto"/>
          <w:sz w:val="24"/>
          <w:highlight w:val="none"/>
        </w:rPr>
      </w:pPr>
      <w:r>
        <w:rPr>
          <w:rFonts w:hint="eastAsia" w:ascii="宋体" w:hAnsi="宋体" w:cs="仿宋"/>
          <w:b/>
          <w:bCs/>
          <w:color w:val="auto"/>
          <w:sz w:val="24"/>
          <w:highlight w:val="none"/>
        </w:rPr>
        <w:t>第一条  甲乙双方的权利和义务</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w:t>
      </w:r>
      <w:r>
        <w:rPr>
          <w:rFonts w:hint="eastAsia" w:ascii="宋体" w:hAnsi="宋体" w:cs="仿宋"/>
          <w:snapToGrid w:val="0"/>
          <w:color w:val="auto"/>
          <w:kern w:val="0"/>
          <w:sz w:val="24"/>
          <w:highlight w:val="none"/>
        </w:rPr>
        <w:t>甲乙双方应当自觉遵守党的纪律、国家法律及廉政建设的各项规定</w:t>
      </w:r>
      <w:r>
        <w:rPr>
          <w:rFonts w:hint="eastAsia" w:ascii="宋体" w:hAnsi="宋体" w:cs="仿宋"/>
          <w:color w:val="auto"/>
          <w:sz w:val="24"/>
          <w:highlight w:val="none"/>
        </w:rPr>
        <w:t>。</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（二）严格执行合同文件，按合同办事。</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（三）双方的业务活动坚持公开、公正、诚信、透明的原则（除法律认定的商业秘密和合同文件另有规定之外），不得损害国家和集体利益，违反政府采购管理规章制度。</w:t>
      </w:r>
    </w:p>
    <w:p>
      <w:pPr>
        <w:spacing w:line="400" w:lineRule="exact"/>
        <w:ind w:firstLine="480"/>
        <w:rPr>
          <w:rFonts w:ascii="宋体" w:hAnsi="宋体" w:cs="仿宋"/>
          <w:color w:val="auto"/>
          <w:sz w:val="24"/>
          <w:highlight w:val="none"/>
        </w:rPr>
      </w:pPr>
      <w:r>
        <w:rPr>
          <w:rFonts w:hint="eastAsia" w:ascii="宋体" w:hAnsi="宋体" w:cs="仿宋"/>
          <w:color w:val="auto"/>
          <w:sz w:val="24"/>
          <w:highlight w:val="none"/>
        </w:rPr>
        <w:t>（四）建立健全廉政制度，开展廉政教育，公布举报电话（甲方：</w:t>
      </w:r>
      <w:r>
        <w:rPr>
          <w:rFonts w:hint="eastAsia" w:ascii="宋体" w:hAnsi="宋体" w:cs="仿宋"/>
          <w:color w:val="auto"/>
          <w:sz w:val="24"/>
          <w:highlight w:val="none"/>
          <w:u w:val="single"/>
        </w:rPr>
        <w:t xml:space="preserve">0571-85808123 </w:t>
      </w:r>
      <w:r>
        <w:rPr>
          <w:rFonts w:hint="eastAsia" w:ascii="宋体" w:hAnsi="宋体" w:cs="仿宋"/>
          <w:color w:val="auto"/>
          <w:sz w:val="24"/>
          <w:highlight w:val="none"/>
        </w:rPr>
        <w:t>乙方：</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），监督并认真查处违法违纪行为。</w:t>
      </w:r>
    </w:p>
    <w:p>
      <w:pPr>
        <w:spacing w:line="400" w:lineRule="exact"/>
        <w:ind w:firstLine="480"/>
        <w:rPr>
          <w:rFonts w:ascii="宋体" w:hAnsi="宋体" w:cs="仿宋"/>
          <w:color w:val="auto"/>
          <w:sz w:val="24"/>
          <w:highlight w:val="none"/>
        </w:rPr>
      </w:pPr>
      <w:r>
        <w:rPr>
          <w:rFonts w:hint="eastAsia" w:ascii="宋体" w:hAnsi="宋体" w:cs="仿宋"/>
          <w:color w:val="auto"/>
          <w:sz w:val="24"/>
          <w:highlight w:val="none"/>
        </w:rPr>
        <w:t>（五）发现对方在业务活动中有违反廉政规定的行为，及时提醒对方纠正。</w:t>
      </w:r>
    </w:p>
    <w:p>
      <w:pPr>
        <w:spacing w:line="400" w:lineRule="exact"/>
        <w:ind w:firstLine="480"/>
        <w:rPr>
          <w:rFonts w:ascii="宋体" w:hAnsi="宋体" w:cs="仿宋"/>
          <w:color w:val="auto"/>
          <w:sz w:val="24"/>
          <w:highlight w:val="none"/>
        </w:rPr>
      </w:pPr>
      <w:r>
        <w:rPr>
          <w:rFonts w:hint="eastAsia" w:ascii="宋体" w:hAnsi="宋体" w:cs="仿宋"/>
          <w:color w:val="auto"/>
          <w:sz w:val="24"/>
          <w:highlight w:val="none"/>
        </w:rPr>
        <w:t>（六）发现对方严重违反本协议义务条款的行为，有向其上级有关部门举报、建议给予处理并要求告知处理结果的权利。</w:t>
      </w:r>
    </w:p>
    <w:p>
      <w:pPr>
        <w:spacing w:line="400" w:lineRule="exact"/>
        <w:ind w:firstLine="480"/>
        <w:rPr>
          <w:rFonts w:ascii="宋体" w:hAnsi="宋体" w:cs="仿宋"/>
          <w:b/>
          <w:bCs/>
          <w:color w:val="auto"/>
          <w:sz w:val="24"/>
          <w:highlight w:val="none"/>
        </w:rPr>
      </w:pPr>
      <w:r>
        <w:rPr>
          <w:rFonts w:hint="eastAsia" w:ascii="宋体" w:hAnsi="宋体" w:cs="仿宋"/>
          <w:b/>
          <w:bCs/>
          <w:color w:val="auto"/>
          <w:sz w:val="24"/>
          <w:highlight w:val="none"/>
        </w:rPr>
        <w:t>第二条 甲方义务</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（一）严格执行中央政治局审议通过的《关于改进工作作风、密切联系群众的八项规定》。</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w:t>
      </w:r>
      <w:r>
        <w:rPr>
          <w:rFonts w:hint="eastAsia" w:ascii="宋体" w:hAnsi="宋体" w:cs="仿宋"/>
          <w:snapToGrid w:val="0"/>
          <w:color w:val="auto"/>
          <w:kern w:val="0"/>
          <w:sz w:val="24"/>
          <w:highlight w:val="none"/>
        </w:rPr>
        <w:t>甲方及其工作人员不得以任何形式向乙方索要和收受回扣等好处费。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（三）甲方及其工作人员不得索要或接受乙方的礼金、有价证券和贵重物品，不得在乙方处报销任何应由甲方或个人支付的费用等。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（四）甲方工作人员不得参加乙方安排的宴请和娱乐活动，不得接受乙方提供的通讯工具、交通工具和高档办公用品等。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（五）甲方及其工作人员不得要求或者接受乙方为其住房装修、婚丧嫁娶活动、配偶子女的工作安排以及出国出境、旅游等提供方便等。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（六）甲方工作人员的配偶、子女不得从事与甲方工程有关的材料设备供应、工程分包、劳务等经济活动等。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（七）甲方工作人员不得向乙方介绍家属或者亲友从事与甲方项目有关的材料设备供应、项目分包等经济活动。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（八）甲方及其工作人员不得以任何理由向乙方推荐分包单位，不得要求乙方购买合同外的材料和设备。</w:t>
      </w:r>
    </w:p>
    <w:p>
      <w:pPr>
        <w:pStyle w:val="79"/>
        <w:spacing w:line="400" w:lineRule="exact"/>
        <w:rPr>
          <w:rFonts w:cs="仿宋"/>
          <w:b/>
          <w:bCs/>
          <w:color w:val="auto"/>
          <w:szCs w:val="24"/>
          <w:highlight w:val="none"/>
        </w:rPr>
      </w:pPr>
      <w:r>
        <w:rPr>
          <w:rFonts w:hint="eastAsia" w:cs="仿宋"/>
          <w:b/>
          <w:bCs/>
          <w:color w:val="auto"/>
          <w:szCs w:val="24"/>
          <w:highlight w:val="none"/>
        </w:rPr>
        <w:t>第</w:t>
      </w:r>
      <w:r>
        <w:rPr>
          <w:rFonts w:hint="eastAsia" w:cs="仿宋"/>
          <w:b/>
          <w:bCs/>
          <w:color w:val="auto"/>
          <w:szCs w:val="24"/>
          <w:highlight w:val="none"/>
          <w:lang w:val="en-US"/>
        </w:rPr>
        <w:t>三</w:t>
      </w:r>
      <w:r>
        <w:rPr>
          <w:rFonts w:hint="eastAsia" w:cs="仿宋"/>
          <w:b/>
          <w:bCs/>
          <w:color w:val="auto"/>
          <w:szCs w:val="24"/>
          <w:highlight w:val="none"/>
        </w:rPr>
        <w:t>条乙方义务</w:t>
      </w:r>
    </w:p>
    <w:p>
      <w:pPr>
        <w:spacing w:line="400" w:lineRule="exact"/>
        <w:ind w:firstLine="480"/>
        <w:rPr>
          <w:rFonts w:ascii="宋体" w:hAnsi="宋体" w:cs="仿宋"/>
          <w:color w:val="auto"/>
          <w:sz w:val="24"/>
          <w:highlight w:val="none"/>
        </w:rPr>
      </w:pPr>
      <w:r>
        <w:rPr>
          <w:rFonts w:hint="eastAsia" w:ascii="宋体" w:hAnsi="宋体" w:cs="仿宋"/>
          <w:color w:val="auto"/>
          <w:sz w:val="24"/>
          <w:highlight w:val="none"/>
        </w:rPr>
        <w:t>（一）乙方不得以任何理由向甲方及其工作人员行贿或馈赠礼金，有价证券、贵重礼品。</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（二）乙方不得以任何名义为甲方及其工作人员报销应由甲方单位或个人支付的任何费用。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（三）乙方不得以任何理由安排甲方工作人员参加宴请及娱乐活动。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（四）乙方不得为甲方单位和个人购置或提供通讯工具、交通工具和高档办公用品等。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（五）乙方不得为谋取私利擅自与甲方工作人员就项目招投标、项目采购、项目费用、材料设备供应、采购量变动、项目验收、项目质量问题处理等进行私下商谈或者达成默契。</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（六）乙方不得以洽谈业务、签订经济合同为借口，邀请甲方工作人员外出旅游和进入高档娱乐性场所。</w:t>
      </w:r>
    </w:p>
    <w:p>
      <w:pPr>
        <w:spacing w:line="400" w:lineRule="exact"/>
        <w:ind w:firstLine="482" w:firstLineChars="200"/>
        <w:rPr>
          <w:rFonts w:ascii="宋体" w:hAnsi="宋体" w:cs="仿宋"/>
          <w:b/>
          <w:bCs/>
          <w:color w:val="auto"/>
          <w:sz w:val="24"/>
          <w:highlight w:val="none"/>
        </w:rPr>
      </w:pPr>
      <w:r>
        <w:rPr>
          <w:rFonts w:hint="eastAsia" w:ascii="宋体" w:hAnsi="宋体" w:cs="仿宋"/>
          <w:b/>
          <w:bCs/>
          <w:color w:val="auto"/>
          <w:sz w:val="24"/>
          <w:highlight w:val="none"/>
        </w:rPr>
        <w:t>第四条 违约责任</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（一）甲方及其工作人员违反本协议，依据有关规定给予党纪、政纪或组织处理；给乙方单位造成经济损失的，应予以赔偿；涉嫌犯罪的，移交司法机关追究刑事责任。</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乙方及其工作人员违反本协议，依据有关规定、给予党纪、政纪或组织处理；给甲方单位造成经济损失的，应予以赔偿；情节严重的，甲方建议财政部门给予乙方一至三年内不得进入其主管的政府采购市场等处罚；涉嫌犯罪的，移交司法机关追究刑事责任。</w:t>
      </w:r>
    </w:p>
    <w:p>
      <w:pPr>
        <w:snapToGrid w:val="0"/>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(三）因乙方违反本协议或者采用不正当的手段给甲方造成损失的，由乙方负责赔偿损失，甲方有权追缴乙方获得的不正当利益，并根据情节和后果要求乙方支付3万元至5万元的违约金。</w:t>
      </w:r>
    </w:p>
    <w:p>
      <w:pPr>
        <w:spacing w:line="400" w:lineRule="exact"/>
        <w:ind w:firstLine="482" w:firstLineChars="200"/>
        <w:rPr>
          <w:rFonts w:ascii="宋体" w:hAnsi="宋体" w:cs="仿宋"/>
          <w:color w:val="auto"/>
          <w:sz w:val="24"/>
          <w:highlight w:val="none"/>
        </w:rPr>
      </w:pPr>
      <w:r>
        <w:rPr>
          <w:rFonts w:hint="eastAsia" w:ascii="宋体" w:hAnsi="宋体" w:cs="仿宋"/>
          <w:b/>
          <w:bCs/>
          <w:color w:val="auto"/>
          <w:sz w:val="24"/>
          <w:highlight w:val="none"/>
        </w:rPr>
        <w:t xml:space="preserve">第五条  </w:t>
      </w:r>
      <w:r>
        <w:rPr>
          <w:rFonts w:hint="eastAsia" w:ascii="宋体" w:hAnsi="宋体" w:cs="仿宋"/>
          <w:color w:val="auto"/>
          <w:sz w:val="24"/>
          <w:highlight w:val="none"/>
        </w:rPr>
        <w:t>本廉政协议作为合同的附件，与合同具有同等法律效力，经协议双方签署后立即生效。</w:t>
      </w:r>
    </w:p>
    <w:p>
      <w:pPr>
        <w:pStyle w:val="33"/>
        <w:widowControl/>
        <w:spacing w:line="400" w:lineRule="exact"/>
        <w:ind w:left="7595" w:leftChars="188" w:hanging="7200" w:hangingChars="3000"/>
        <w:rPr>
          <w:rFonts w:hAnsi="宋体" w:cs="仿宋"/>
          <w:color w:val="auto"/>
          <w:sz w:val="24"/>
          <w:szCs w:val="24"/>
          <w:highlight w:val="none"/>
        </w:rPr>
      </w:pPr>
      <w:r>
        <w:rPr>
          <w:rFonts w:hint="eastAsia" w:hAnsi="宋体" w:cs="仿宋"/>
          <w:color w:val="auto"/>
          <w:sz w:val="24"/>
          <w:szCs w:val="24"/>
          <w:highlight w:val="none"/>
        </w:rPr>
        <w:tab/>
      </w:r>
    </w:p>
    <w:p>
      <w:pPr>
        <w:tabs>
          <w:tab w:val="left" w:pos="309"/>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甲方（盖章）：                         乙方（盖章）：</w:t>
      </w:r>
    </w:p>
    <w:p>
      <w:pPr>
        <w:spacing w:line="400" w:lineRule="exact"/>
        <w:ind w:firstLine="480" w:firstLineChars="200"/>
        <w:rPr>
          <w:rFonts w:ascii="宋体" w:hAnsi="宋体" w:cs="仿宋"/>
          <w:color w:val="auto"/>
          <w:sz w:val="24"/>
          <w:highlight w:val="none"/>
        </w:rPr>
      </w:pP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法定代表人                             法定代表人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或委托代表人：                         或委托代表人：</w:t>
      </w:r>
    </w:p>
    <w:p>
      <w:pPr>
        <w:spacing w:line="400" w:lineRule="exact"/>
        <w:ind w:firstLine="480" w:firstLineChars="200"/>
        <w:rPr>
          <w:rFonts w:ascii="宋体" w:hAnsi="宋体" w:cs="仿宋"/>
          <w:color w:val="auto"/>
          <w:sz w:val="24"/>
          <w:highlight w:val="none"/>
        </w:rPr>
      </w:pPr>
    </w:p>
    <w:p>
      <w:pPr>
        <w:spacing w:line="400" w:lineRule="exact"/>
        <w:ind w:firstLine="480" w:firstLineChars="200"/>
        <w:rPr>
          <w:rFonts w:ascii="宋体" w:hAnsi="宋体"/>
          <w:color w:val="auto"/>
          <w:highlight w:val="none"/>
        </w:rPr>
      </w:pPr>
      <w:r>
        <w:rPr>
          <w:rFonts w:hint="eastAsia" w:ascii="宋体" w:hAnsi="宋体" w:cs="仿宋"/>
          <w:color w:val="auto"/>
          <w:sz w:val="24"/>
          <w:highlight w:val="none"/>
        </w:rPr>
        <w:t>年    月    日                               年    月    日</w:t>
      </w:r>
    </w:p>
    <w:p>
      <w:pPr>
        <w:rPr>
          <w:color w:val="auto"/>
          <w:highlight w:val="none"/>
        </w:rPr>
      </w:pP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rPr>
          <w:rFonts w:ascii="仿宋" w:hAnsi="仿宋" w:eastAsia="仿宋" w:cs="仿宋"/>
          <w:color w:val="auto"/>
          <w:highlight w:val="none"/>
        </w:rPr>
      </w:pPr>
      <w:bookmarkStart w:id="454" w:name="_Toc24059"/>
      <w:bookmarkStart w:id="455" w:name="_Toc3029"/>
      <w:bookmarkStart w:id="456" w:name="_Toc2232"/>
    </w:p>
    <w:bookmarkEnd w:id="454"/>
    <w:bookmarkEnd w:id="455"/>
    <w:bookmarkEnd w:id="456"/>
    <w:p>
      <w:pPr>
        <w:wordWrap w:val="0"/>
        <w:spacing w:line="360" w:lineRule="auto"/>
        <w:ind w:left="720" w:firstLine="723" w:firstLineChars="200"/>
        <w:outlineLvl w:val="0"/>
        <w:rPr>
          <w:rFonts w:ascii="仿宋" w:hAnsi="仿宋" w:eastAsia="仿宋" w:cs="仿宋"/>
          <w:b/>
          <w:color w:val="auto"/>
          <w:sz w:val="36"/>
          <w:szCs w:val="20"/>
          <w:highlight w:val="none"/>
        </w:rPr>
      </w:pPr>
      <w:bookmarkStart w:id="457" w:name="_Toc25525"/>
      <w:bookmarkStart w:id="458" w:name="_Toc2144"/>
      <w:bookmarkStart w:id="459" w:name="_Toc17376"/>
      <w:bookmarkStart w:id="460" w:name="_Toc23526"/>
      <w:bookmarkStart w:id="461" w:name="_Toc22489"/>
      <w:bookmarkStart w:id="462" w:name="_Toc3441"/>
      <w:r>
        <w:rPr>
          <w:rFonts w:hint="eastAsia" w:ascii="仿宋" w:hAnsi="仿宋" w:eastAsia="仿宋" w:cs="仿宋"/>
          <w:b/>
          <w:color w:val="auto"/>
          <w:sz w:val="36"/>
          <w:szCs w:val="20"/>
          <w:highlight w:val="none"/>
        </w:rPr>
        <w:t>第六部分</w:t>
      </w:r>
      <w:bookmarkEnd w:id="425"/>
      <w:r>
        <w:rPr>
          <w:rFonts w:hint="eastAsia" w:ascii="仿宋" w:hAnsi="仿宋" w:eastAsia="仿宋" w:cs="仿宋"/>
          <w:b/>
          <w:color w:val="auto"/>
          <w:sz w:val="36"/>
          <w:szCs w:val="20"/>
          <w:highlight w:val="none"/>
        </w:rPr>
        <w:t xml:space="preserve"> </w:t>
      </w:r>
      <w:bookmarkEnd w:id="426"/>
      <w:r>
        <w:rPr>
          <w:rFonts w:hint="eastAsia" w:ascii="仿宋" w:hAnsi="仿宋" w:eastAsia="仿宋" w:cs="仿宋"/>
          <w:b/>
          <w:color w:val="auto"/>
          <w:sz w:val="36"/>
          <w:szCs w:val="20"/>
          <w:highlight w:val="none"/>
        </w:rPr>
        <w:t>应提交的有关格式范例</w:t>
      </w:r>
      <w:bookmarkEnd w:id="457"/>
      <w:bookmarkEnd w:id="458"/>
      <w:bookmarkEnd w:id="459"/>
      <w:bookmarkEnd w:id="460"/>
      <w:bookmarkEnd w:id="461"/>
      <w:bookmarkEnd w:id="462"/>
    </w:p>
    <w:p>
      <w:pPr>
        <w:wordWrap w:val="0"/>
        <w:spacing w:line="360" w:lineRule="auto"/>
        <w:jc w:val="center"/>
        <w:rPr>
          <w:rFonts w:ascii="仿宋" w:hAnsi="仿宋" w:eastAsia="仿宋" w:cs="仿宋"/>
          <w:b/>
          <w:color w:val="auto"/>
          <w:kern w:val="0"/>
          <w:sz w:val="36"/>
          <w:szCs w:val="36"/>
          <w:highlight w:val="none"/>
        </w:rPr>
      </w:pPr>
    </w:p>
    <w:p>
      <w:pPr>
        <w:wordWrap w:val="0"/>
        <w:spacing w:line="360" w:lineRule="auto"/>
        <w:jc w:val="center"/>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wordWrap w:val="0"/>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rPr>
          <w:rFonts w:ascii="仿宋" w:hAnsi="仿宋" w:eastAsia="仿宋" w:cs="仿宋"/>
          <w:b/>
          <w:color w:val="auto"/>
          <w:kern w:val="0"/>
          <w:sz w:val="36"/>
          <w:szCs w:val="36"/>
          <w:highlight w:val="none"/>
        </w:rPr>
      </w:pP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供应商（联合体参加的指联合体双方）的营业执照或者其他由国家相关部门出具的具有独立承担民事责任能力的证明文件（自然人参加的提供身份证复制件）………………………………………………………………………………（页码）</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（2）符合参加政府采购活动应当具备的一般条件、特殊资格条件的承诺函的承诺函…………………………………………………………………………………（页码）</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（3）联合协议（联合体参加的提供）…………………………………………（页码）</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（4）满足政府采购政策资格要求证明材料……………………………………（页码）</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（5）满足本项目特定资格要求证明材料………………………………………（页码）</w:t>
      </w:r>
    </w:p>
    <w:p>
      <w:pPr>
        <w:rPr>
          <w:rFonts w:ascii="仿宋" w:hAnsi="仿宋" w:eastAsia="仿宋" w:cs="仿宋"/>
          <w:color w:val="auto"/>
          <w:highlight w:val="none"/>
        </w:rPr>
      </w:pPr>
    </w:p>
    <w:p>
      <w:pPr>
        <w:wordWrap w:val="0"/>
        <w:spacing w:line="360" w:lineRule="auto"/>
        <w:ind w:firstLine="480" w:firstLineChars="200"/>
        <w:rPr>
          <w:rFonts w:ascii="仿宋" w:hAnsi="仿宋" w:eastAsia="仿宋" w:cs="仿宋"/>
          <w:color w:val="auto"/>
          <w:sz w:val="24"/>
          <w:highlight w:val="none"/>
        </w:rPr>
      </w:pPr>
    </w:p>
    <w:p>
      <w:pPr>
        <w:numPr>
          <w:ilvl w:val="0"/>
          <w:numId w:val="9"/>
        </w:numPr>
        <w:wordWrap w:val="0"/>
        <w:snapToGrid w:val="0"/>
        <w:spacing w:line="288" w:lineRule="auto"/>
        <w:ind w:right="482"/>
        <w:jc w:val="center"/>
        <w:outlineLvl w:val="2"/>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供应商（联合体参加的指联合体双方）的营业执照或者其他由国家相关部门出具的具有独立承担民事责任能力的证明文件（自然人参加的提供身份证复制件）</w:t>
      </w:r>
    </w:p>
    <w:p>
      <w:pPr>
        <w:numPr>
          <w:ilvl w:val="255"/>
          <w:numId w:val="0"/>
        </w:numPr>
        <w:wordWrap w:val="0"/>
        <w:snapToGrid w:val="0"/>
        <w:spacing w:line="288" w:lineRule="auto"/>
        <w:ind w:right="482"/>
        <w:rPr>
          <w:rFonts w:ascii="仿宋" w:hAnsi="仿宋" w:eastAsia="仿宋" w:cs="仿宋"/>
          <w:b/>
          <w:color w:val="auto"/>
          <w:kern w:val="0"/>
          <w:sz w:val="32"/>
          <w:szCs w:val="32"/>
          <w:highlight w:val="none"/>
        </w:rPr>
      </w:pPr>
    </w:p>
    <w:p>
      <w:pPr>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numPr>
          <w:ilvl w:val="255"/>
          <w:numId w:val="0"/>
        </w:numPr>
        <w:wordWrap w:val="0"/>
        <w:snapToGrid w:val="0"/>
        <w:spacing w:line="288" w:lineRule="auto"/>
        <w:ind w:right="482"/>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二、符合参加政府采购活动应当具备的一般条件、特殊资格条件的承诺函</w:t>
      </w:r>
    </w:p>
    <w:p>
      <w:pPr>
        <w:wordWrap w:val="0"/>
        <w:snapToGrid w:val="0"/>
        <w:spacing w:line="360" w:lineRule="auto"/>
        <w:rPr>
          <w:rFonts w:ascii="仿宋" w:hAnsi="仿宋" w:eastAsia="仿宋" w:cs="仿宋"/>
          <w:color w:val="auto"/>
          <w:sz w:val="48"/>
          <w:szCs w:val="48"/>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48"/>
          <w:szCs w:val="48"/>
          <w:highlight w:val="none"/>
        </w:rPr>
        <w:t xml:space="preserve"> 承诺函</w:t>
      </w:r>
    </w:p>
    <w:p>
      <w:pPr>
        <w:wordWrap w:val="0"/>
        <w:snapToGrid w:val="0"/>
        <w:spacing w:line="312"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杭州市市政设施管理中心、浙江科佳工程咨询有限公司</w:t>
      </w:r>
      <w:r>
        <w:rPr>
          <w:rFonts w:hint="eastAsia" w:ascii="仿宋" w:hAnsi="仿宋" w:eastAsia="仿宋" w:cs="仿宋"/>
          <w:color w:val="auto"/>
          <w:sz w:val="24"/>
          <w:highlight w:val="none"/>
        </w:rPr>
        <w:t>：</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我方（若联合体投标的指联合体所有成员）参与</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color w:val="auto"/>
          <w:sz w:val="24"/>
          <w:highlight w:val="none"/>
        </w:rPr>
        <w:t>政府采购活动，郑重承诺：</w:t>
      </w:r>
    </w:p>
    <w:p>
      <w:pPr>
        <w:wordWrap w:val="0"/>
        <w:snapToGrid w:val="0"/>
        <w:spacing w:line="312"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w:t>
      </w:r>
      <w:r>
        <w:rPr>
          <w:rFonts w:hint="eastAsia" w:ascii="仿宋" w:hAnsi="仿宋" w:eastAsia="仿宋" w:cs="仿宋"/>
          <w:color w:val="auto"/>
          <w:sz w:val="24"/>
          <w:highlight w:val="none"/>
          <w:u w:val="single"/>
        </w:rPr>
        <w:t>本项目</w:t>
      </w:r>
      <w:r>
        <w:rPr>
          <w:rFonts w:hint="eastAsia" w:ascii="仿宋" w:hAnsi="仿宋" w:eastAsia="仿宋" w:cs="仿宋"/>
          <w:color w:val="auto"/>
          <w:sz w:val="24"/>
          <w:highlight w:val="none"/>
        </w:rPr>
        <w:t>政府采购活动前三年内，在经营活动中没有重大违法记录（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wordWrap w:val="0"/>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wordWrap w:val="0"/>
        <w:snapToGrid w:val="0"/>
        <w:spacing w:line="360" w:lineRule="auto"/>
        <w:ind w:firstLine="480" w:firstLineChars="200"/>
        <w:rPr>
          <w:rFonts w:ascii="仿宋" w:hAnsi="仿宋" w:eastAsia="仿宋" w:cs="仿宋"/>
          <w:color w:val="auto"/>
          <w:kern w:val="0"/>
          <w:sz w:val="24"/>
          <w:highlight w:val="none"/>
          <w:lang w:val="zh-CN"/>
        </w:rPr>
      </w:pPr>
    </w:p>
    <w:p>
      <w:pPr>
        <w:wordWrap w:val="0"/>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p>
    <w:p>
      <w:pPr>
        <w:wordWrap w:val="0"/>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napToGrid w:val="0"/>
        <w:spacing w:line="360" w:lineRule="auto"/>
        <w:ind w:right="48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备注：联合体投标的，联合体成员均应提供。非牵头人可提供加盖单位物理公章的原件扫描件。</w:t>
      </w:r>
    </w:p>
    <w:p>
      <w:pPr>
        <w:wordWrap w:val="0"/>
        <w:snapToGrid w:val="0"/>
        <w:spacing w:line="360" w:lineRule="auto"/>
        <w:ind w:right="480"/>
        <w:rPr>
          <w:rFonts w:ascii="仿宋" w:hAnsi="仿宋" w:eastAsia="仿宋" w:cs="仿宋"/>
          <w:b/>
          <w:color w:val="auto"/>
          <w:kern w:val="0"/>
          <w:sz w:val="24"/>
          <w:highlight w:val="none"/>
        </w:rPr>
      </w:pPr>
    </w:p>
    <w:p>
      <w:pPr>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wordWrap w:val="0"/>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三、联合协议（联合体参加的提供）</w:t>
      </w:r>
    </w:p>
    <w:p>
      <w:pPr>
        <w:widowControl/>
        <w:wordWrap w:val="0"/>
        <w:spacing w:line="360" w:lineRule="auto"/>
        <w:ind w:left="147" w:firstLine="482" w:firstLineChars="200"/>
        <w:rPr>
          <w:rFonts w:ascii="仿宋" w:hAnsi="仿宋" w:eastAsia="仿宋" w:cs="仿宋"/>
          <w:b/>
          <w:bCs/>
          <w:color w:val="auto"/>
          <w:sz w:val="24"/>
          <w:highlight w:val="none"/>
        </w:rPr>
      </w:pPr>
    </w:p>
    <w:p>
      <w:pPr>
        <w:widowControl/>
        <w:wordWrap w:val="0"/>
        <w:spacing w:line="360" w:lineRule="auto"/>
        <w:ind w:left="147" w:firstLine="482" w:firstLineChars="200"/>
        <w:rPr>
          <w:rFonts w:ascii="仿宋" w:hAnsi="仿宋" w:eastAsia="仿宋" w:cs="仿宋"/>
          <w:b/>
          <w:bCs/>
          <w:color w:val="auto"/>
          <w:sz w:val="24"/>
          <w:highlight w:val="none"/>
        </w:rPr>
        <w:sectPr>
          <w:pgSz w:w="11905" w:h="16838"/>
          <w:pgMar w:top="652" w:right="1417" w:bottom="680" w:left="1417" w:header="539" w:footer="482" w:gutter="0"/>
          <w:cols w:space="0" w:num="1"/>
          <w:titlePg/>
          <w:docGrid w:linePitch="312" w:charSpace="0"/>
        </w:sectPr>
      </w:pPr>
      <w:r>
        <w:rPr>
          <w:rFonts w:hint="eastAsia" w:ascii="仿宋" w:hAnsi="仿宋" w:eastAsia="仿宋" w:cs="仿宋"/>
          <w:b/>
          <w:bCs/>
          <w:color w:val="auto"/>
          <w:sz w:val="24"/>
          <w:highlight w:val="none"/>
        </w:rPr>
        <w:t>[以联合体形式投标的，提供联合协议（附件6）。]</w:t>
      </w:r>
    </w:p>
    <w:p>
      <w:pPr>
        <w:wordWrap w:val="0"/>
        <w:snapToGrid w:val="0"/>
        <w:spacing w:line="360" w:lineRule="auto"/>
        <w:ind w:right="48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四、满足政府采购政策资格要求证明材料</w:t>
      </w:r>
    </w:p>
    <w:p>
      <w:pPr>
        <w:wordWrap w:val="0"/>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A.</w:t>
      </w:r>
      <w:r>
        <w:rPr>
          <w:rFonts w:hint="eastAsia" w:ascii="仿宋" w:hAnsi="仿宋" w:eastAsia="仿宋" w:cs="仿宋"/>
          <w:bCs/>
          <w:color w:val="auto"/>
          <w:sz w:val="24"/>
          <w:highlight w:val="none"/>
        </w:rPr>
        <w:t xml:space="preserve">本项目专门面向中小企业，服务全部由符合政策要求的中小企业（或小微企业）承接的，提供相应的中小企业声明函（附件5）。 </w:t>
      </w:r>
    </w:p>
    <w:p>
      <w:pPr>
        <w:widowControl/>
        <w:wordWrap w:val="0"/>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6）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7）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wordWrap w:val="0"/>
        <w:snapToGrid w:val="0"/>
        <w:spacing w:before="50" w:after="50"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widowControl/>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wordWrap w:val="0"/>
        <w:spacing w:line="360" w:lineRule="auto"/>
        <w:ind w:left="15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五、满足本项目特定资格要求的证明材料</w:t>
      </w:r>
    </w:p>
    <w:p>
      <w:pPr>
        <w:wordWrap w:val="0"/>
        <w:rPr>
          <w:rFonts w:ascii="仿宋" w:hAnsi="仿宋" w:eastAsia="仿宋" w:cs="仿宋"/>
          <w:color w:val="auto"/>
          <w:highlight w:val="none"/>
        </w:rPr>
      </w:pP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1.承诺函(同符合参加政府采购活动应当具备的一般条件、特殊资格要求的承诺函，不用重复提供）。</w:t>
      </w:r>
    </w:p>
    <w:p>
      <w:pPr>
        <w:snapToGrid w:val="0"/>
        <w:spacing w:line="360" w:lineRule="auto"/>
        <w:ind w:right="480"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2.联合体协议（联合体投标的提供，格式见附件6）</w:t>
      </w:r>
    </w:p>
    <w:p>
      <w:pPr>
        <w:snapToGrid w:val="0"/>
        <w:spacing w:line="360" w:lineRule="auto"/>
        <w:ind w:right="480"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分包意向协议（中标后以分包方式履行合同的，提供分包意向协议,格式见附件7）</w:t>
      </w:r>
    </w:p>
    <w:p>
      <w:pPr>
        <w:snapToGrid w:val="0"/>
        <w:spacing w:line="360" w:lineRule="auto"/>
        <w:ind w:right="480"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注：证明材料提供原件扫描件。</w:t>
      </w:r>
    </w:p>
    <w:p>
      <w:pPr>
        <w:wordWrap w:val="0"/>
        <w:snapToGrid w:val="0"/>
        <w:spacing w:line="360" w:lineRule="auto"/>
        <w:ind w:right="480"/>
        <w:jc w:val="center"/>
        <w:rPr>
          <w:rFonts w:ascii="仿宋" w:hAnsi="仿宋" w:eastAsia="仿宋" w:cs="仿宋"/>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pacing w:line="360" w:lineRule="auto"/>
        <w:jc w:val="center"/>
        <w:rPr>
          <w:rFonts w:ascii="仿宋" w:hAnsi="仿宋" w:eastAsia="仿宋" w:cs="仿宋"/>
          <w:b/>
          <w:color w:val="auto"/>
          <w:kern w:val="0"/>
          <w:sz w:val="36"/>
          <w:szCs w:val="36"/>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pacing w:line="360" w:lineRule="auto"/>
        <w:jc w:val="center"/>
        <w:rPr>
          <w:rFonts w:ascii="仿宋" w:hAnsi="仿宋" w:eastAsia="仿宋" w:cs="仿宋"/>
          <w:b/>
          <w:color w:val="auto"/>
          <w:kern w:val="0"/>
          <w:sz w:val="36"/>
          <w:szCs w:val="36"/>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pacing w:line="360" w:lineRule="auto"/>
        <w:jc w:val="center"/>
        <w:rPr>
          <w:rFonts w:ascii="仿宋" w:hAnsi="仿宋" w:eastAsia="仿宋" w:cs="仿宋"/>
          <w:b/>
          <w:color w:val="auto"/>
          <w:kern w:val="0"/>
          <w:sz w:val="36"/>
          <w:szCs w:val="36"/>
          <w:highlight w:val="none"/>
        </w:rPr>
      </w:pPr>
    </w:p>
    <w:p>
      <w:pPr>
        <w:wordWrap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wordWrap w:val="0"/>
        <w:spacing w:line="360" w:lineRule="auto"/>
        <w:ind w:right="420" w:firstLine="3614" w:firstLineChars="1000"/>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wordWrap w:val="0"/>
        <w:spacing w:line="360" w:lineRule="auto"/>
        <w:jc w:val="center"/>
        <w:rPr>
          <w:rFonts w:ascii="仿宋" w:hAnsi="仿宋" w:eastAsia="仿宋" w:cs="仿宋"/>
          <w:b/>
          <w:color w:val="auto"/>
          <w:kern w:val="0"/>
          <w:sz w:val="24"/>
          <w:highlight w:val="none"/>
        </w:rPr>
      </w:pPr>
    </w:p>
    <w:p>
      <w:pPr>
        <w:wordWrap w:val="0"/>
        <w:spacing w:line="360" w:lineRule="auto"/>
        <w:jc w:val="center"/>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wordWrap w:val="0"/>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（3）分包意向协议（拟分包的提供）</w:t>
      </w:r>
      <w:r>
        <w:rPr>
          <w:rFonts w:hint="eastAsia" w:ascii="仿宋" w:hAnsi="仿宋" w:eastAsia="仿宋" w:cs="仿宋"/>
          <w:color w:val="auto"/>
          <w:highlight w:val="none"/>
        </w:rPr>
        <w:t>…………………………………………………（页码）</w:t>
      </w:r>
    </w:p>
    <w:p>
      <w:pPr>
        <w:wordWrap w:val="0"/>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pPr>
        <w:wordWrap w:val="0"/>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wordWrap w:val="0"/>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rPr>
          <w:rFonts w:ascii="仿宋" w:hAnsi="仿宋" w:eastAsia="仿宋" w:cs="仿宋"/>
          <w:color w:val="auto"/>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jc w:val="center"/>
        <w:rPr>
          <w:rFonts w:ascii="仿宋" w:hAnsi="仿宋" w:eastAsia="仿宋" w:cs="仿宋"/>
          <w:b/>
          <w:color w:val="auto"/>
          <w:kern w:val="0"/>
          <w:sz w:val="32"/>
          <w:szCs w:val="32"/>
          <w:highlight w:val="none"/>
        </w:rPr>
      </w:pPr>
    </w:p>
    <w:p>
      <w:pPr>
        <w:wordWrap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ordWrap w:val="0"/>
        <w:snapToGrid w:val="0"/>
        <w:spacing w:line="360" w:lineRule="auto"/>
        <w:jc w:val="center"/>
        <w:outlineLvl w:val="2"/>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wordWrap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杭州市市政设施管理中心、浙江科佳工程咨询有限公司</w:t>
      </w:r>
      <w:r>
        <w:rPr>
          <w:rFonts w:hint="eastAsia" w:ascii="仿宋" w:hAnsi="仿宋" w:eastAsia="仿宋" w:cs="仿宋"/>
          <w:color w:val="auto"/>
          <w:sz w:val="24"/>
          <w:highlight w:val="none"/>
        </w:rPr>
        <w:t>：</w:t>
      </w:r>
    </w:p>
    <w:p>
      <w:pPr>
        <w:wordWrap w:val="0"/>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我方（若联合体投标的，指联合体所有成员）参加你方组织的</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color w:val="auto"/>
          <w:sz w:val="24"/>
          <w:highlight w:val="none"/>
        </w:rPr>
        <w:t>招标的有关活动，并对此项目进行投标。为此：</w:t>
      </w:r>
    </w:p>
    <w:p>
      <w:pPr>
        <w:wordWrap w:val="0"/>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wordWrap w:val="0"/>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2.1资格文件：</w:t>
      </w:r>
    </w:p>
    <w:p>
      <w:pPr>
        <w:wordWrap w:val="0"/>
        <w:snapToGrid w:val="0"/>
        <w:spacing w:line="288" w:lineRule="auto"/>
        <w:ind w:left="420" w:leftChars="200" w:firstLine="480" w:firstLineChars="200"/>
        <w:rPr>
          <w:rFonts w:ascii="仿宋" w:hAnsi="仿宋" w:eastAsia="仿宋" w:cs="仿宋"/>
          <w:color w:val="auto"/>
          <w:sz w:val="24"/>
          <w:highlight w:val="none"/>
        </w:rPr>
      </w:pPr>
      <w:bookmarkStart w:id="463" w:name="_Hlk109322875"/>
      <w:r>
        <w:rPr>
          <w:rFonts w:hint="eastAsia" w:ascii="仿宋" w:hAnsi="仿宋" w:eastAsia="仿宋" w:cs="仿宋"/>
          <w:color w:val="auto"/>
          <w:sz w:val="24"/>
          <w:highlight w:val="none"/>
        </w:rPr>
        <w:t>2.1.1供应商（联合体参加的指联合体双方）的营业执照或者其他由国家相关部门出具的具有独立承担民事责任能力的证明文件（自然人参加的提供身份证复制件）；</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2.1.2符合参加政府采购活动应当具备的一般条件、特殊资格条件的承诺函；</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2.1.3联合协议（联合体参加的提供)；</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2.1.4满足政府采购政策资格要求的证明材料；</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2.1.5满足本项目特定资格要求的证明材料。</w:t>
      </w:r>
    </w:p>
    <w:bookmarkEnd w:id="463"/>
    <w:p>
      <w:pPr>
        <w:wordWrap w:val="0"/>
        <w:snapToGrid w:val="0"/>
        <w:spacing w:line="288" w:lineRule="auto"/>
        <w:ind w:left="210" w:leftChars="100"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2.2.3分包意向协议（拟分包的提供）；</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pPr>
        <w:wordWrap w:val="0"/>
        <w:snapToGrid w:val="0"/>
        <w:spacing w:line="288" w:lineRule="auto"/>
        <w:ind w:left="420" w:leftChars="200"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政府采购供应商廉洁自律承诺书；</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2.3.2投标价格组成明细表；</w:t>
      </w:r>
    </w:p>
    <w:p>
      <w:pPr>
        <w:wordWrap w:val="0"/>
        <w:snapToGrid w:val="0"/>
        <w:spacing w:line="288"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2.3.3中小企业声明函（若有）。</w:t>
      </w:r>
    </w:p>
    <w:p>
      <w:pPr>
        <w:wordWrap w:val="0"/>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wordWrap w:val="0"/>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wordWrap w:val="0"/>
        <w:snapToGrid w:val="0"/>
        <w:spacing w:line="288"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①本项目工期为</w:t>
      </w:r>
      <w:r>
        <w:rPr>
          <w:rFonts w:hint="eastAsia" w:ascii="仿宋" w:hAnsi="仿宋" w:eastAsia="仿宋" w:cs="仿宋"/>
          <w:color w:val="auto"/>
          <w:kern w:val="0"/>
          <w:szCs w:val="21"/>
          <w:highlight w:val="none"/>
        </w:rPr>
        <w:t>60日历天；</w:t>
      </w:r>
      <w:r>
        <w:rPr>
          <w:rFonts w:hint="eastAsia" w:ascii="仿宋" w:hAnsi="仿宋" w:eastAsia="仿宋" w:cs="仿宋"/>
          <w:color w:val="auto"/>
          <w:sz w:val="24"/>
          <w:highlight w:val="none"/>
          <w:u w:val="single"/>
        </w:rPr>
        <w:t>②</w:t>
      </w:r>
      <w:r>
        <w:rPr>
          <w:rFonts w:hint="eastAsia" w:ascii="仿宋" w:hAnsi="仿宋" w:eastAsia="仿宋" w:cs="仿宋"/>
          <w:color w:val="auto"/>
          <w:kern w:val="0"/>
          <w:szCs w:val="21"/>
          <w:highlight w:val="none"/>
        </w:rPr>
        <w:t>维保期最少为36个月。</w:t>
      </w:r>
      <w:r>
        <w:rPr>
          <w:rFonts w:hint="eastAsia" w:ascii="仿宋" w:hAnsi="仿宋" w:eastAsia="仿宋" w:cs="仿宋"/>
          <w:color w:val="auto"/>
          <w:sz w:val="24"/>
          <w:highlight w:val="none"/>
          <w:u w:val="single"/>
        </w:rPr>
        <w:t xml:space="preserve">   </w:t>
      </w:r>
    </w:p>
    <w:p>
      <w:pPr>
        <w:wordWrap w:val="0"/>
        <w:spacing w:line="360" w:lineRule="auto"/>
        <w:ind w:firstLine="4320" w:firstLineChars="1800"/>
        <w:rPr>
          <w:rFonts w:ascii="仿宋" w:hAnsi="仿宋" w:eastAsia="仿宋" w:cs="仿宋"/>
          <w:color w:val="auto"/>
          <w:sz w:val="24"/>
          <w:highlight w:val="none"/>
        </w:rPr>
      </w:pPr>
    </w:p>
    <w:p>
      <w:pPr>
        <w:wordWrap w:val="0"/>
        <w:spacing w:line="360" w:lineRule="auto"/>
        <w:ind w:firstLine="4320" w:firstLineChars="1800"/>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sz w:val="24"/>
          <w:highlight w:val="none"/>
        </w:rPr>
        <w:t>）：                                          日期：  年   月   日</w:t>
      </w: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jc w:val="left"/>
        <w:outlineLvl w:val="2"/>
        <w:rPr>
          <w:rFonts w:ascii="仿宋" w:hAnsi="仿宋" w:eastAsia="仿宋" w:cs="仿宋"/>
          <w:b/>
          <w:color w:val="auto"/>
          <w:kern w:val="0"/>
          <w:sz w:val="32"/>
          <w:szCs w:val="32"/>
          <w:highlight w:val="none"/>
          <w:lang w:val="zh-CN"/>
        </w:rPr>
        <w:sectPr>
          <w:headerReference r:id="rId12" w:type="first"/>
          <w:footerReference r:id="rId14" w:type="first"/>
          <w:headerReference r:id="rId11" w:type="default"/>
          <w:footerReference r:id="rId13" w:type="default"/>
          <w:pgSz w:w="11905" w:h="16838"/>
          <w:pgMar w:top="652" w:right="1417" w:bottom="680" w:left="1417" w:header="539" w:footer="425" w:gutter="0"/>
          <w:cols w:space="0" w:num="1"/>
          <w:titlePg/>
          <w:docGrid w:linePitch="312" w:charSpace="0"/>
        </w:sectPr>
      </w:pPr>
    </w:p>
    <w:p>
      <w:pPr>
        <w:wordWrap w:val="0"/>
        <w:jc w:val="left"/>
        <w:outlineLvl w:val="2"/>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wordWrap w:val="0"/>
        <w:snapToGrid w:val="0"/>
        <w:spacing w:line="360" w:lineRule="auto"/>
        <w:ind w:firstLine="2872" w:firstLineChars="894"/>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非联合体投标</w:t>
      </w:r>
      <w:r>
        <w:rPr>
          <w:rFonts w:hint="eastAsia" w:ascii="仿宋" w:hAnsi="仿宋" w:eastAsia="仿宋" w:cs="仿宋"/>
          <w:b/>
          <w:color w:val="auto"/>
          <w:kern w:val="0"/>
          <w:sz w:val="32"/>
          <w:szCs w:val="32"/>
          <w:highlight w:val="none"/>
          <w:lang w:val="zh-CN"/>
        </w:rPr>
        <w:t>授权委托书</w:t>
      </w:r>
    </w:p>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（适用于非</w:t>
      </w:r>
      <w:r>
        <w:rPr>
          <w:rFonts w:hint="eastAsia" w:ascii="仿宋" w:hAnsi="仿宋" w:eastAsia="仿宋" w:cs="仿宋"/>
          <w:b/>
          <w:color w:val="auto"/>
          <w:kern w:val="0"/>
          <w:sz w:val="24"/>
          <w:highlight w:val="none"/>
        </w:rPr>
        <w:t>法定代表人、单位负责人或自然人本人代表供应商参加投标</w:t>
      </w:r>
      <w:r>
        <w:rPr>
          <w:rFonts w:hint="eastAsia" w:ascii="仿宋" w:hAnsi="仿宋" w:eastAsia="仿宋" w:cs="仿宋"/>
          <w:b/>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rPr>
        <w:t>杭州市市政设施管理中心、浙江科佳工程咨询有限公司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我单位法定代表人为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color w:val="auto"/>
          <w:kern w:val="0"/>
          <w:sz w:val="24"/>
          <w:highlight w:val="none"/>
          <w:lang w:val="zh-CN"/>
        </w:rPr>
        <w:t>政府采购投标的一切事项，其法律后果由我方自行承担。</w:t>
      </w:r>
    </w:p>
    <w:p>
      <w:pPr>
        <w:wordWrap w:val="0"/>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wordWrap w:val="0"/>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特此告知。</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wordWrap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 xml:space="preserve">     联合体投标授权委托书</w:t>
      </w:r>
    </w:p>
    <w:p>
      <w:pPr>
        <w:wordWrap w:val="0"/>
        <w:rPr>
          <w:rFonts w:ascii="仿宋" w:hAnsi="仿宋" w:eastAsia="仿宋" w:cs="仿宋"/>
          <w:color w:val="auto"/>
          <w:sz w:val="22"/>
          <w:szCs w:val="22"/>
          <w:highlight w:val="none"/>
        </w:rPr>
      </w:pPr>
    </w:p>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（适用于非</w:t>
      </w:r>
      <w:r>
        <w:rPr>
          <w:rFonts w:hint="eastAsia" w:ascii="仿宋" w:hAnsi="仿宋" w:eastAsia="仿宋" w:cs="仿宋"/>
          <w:b/>
          <w:color w:val="auto"/>
          <w:kern w:val="0"/>
          <w:sz w:val="24"/>
          <w:highlight w:val="none"/>
        </w:rPr>
        <w:t>法定代表人、单位负责人或自然人本人代表供应商参加投标</w:t>
      </w:r>
      <w:r>
        <w:rPr>
          <w:rFonts w:hint="eastAsia" w:ascii="仿宋" w:hAnsi="仿宋" w:eastAsia="仿宋" w:cs="仿宋"/>
          <w:b/>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杭州市市政设施管理中心、浙江科佳工程咨询有限公司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作为牵头人，法定代表人为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，我单位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作为联合体成员，法定代表人为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u w:val="single"/>
        </w:rPr>
        <w:t>江东大桥车辆动态称重系统改造工程【项目编号：】</w:t>
      </w:r>
      <w:r>
        <w:rPr>
          <w:rFonts w:hint="eastAsia" w:ascii="仿宋" w:hAnsi="仿宋" w:eastAsia="仿宋" w:cs="仿宋"/>
          <w:color w:val="auto"/>
          <w:kern w:val="0"/>
          <w:sz w:val="24"/>
          <w:highlight w:val="none"/>
          <w:lang w:val="zh-CN"/>
        </w:rPr>
        <w:t>政府采购投标的一切事项，其法律后果由我方自行承担。</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wordWrap w:val="0"/>
        <w:rPr>
          <w:rFonts w:ascii="仿宋" w:hAnsi="仿宋" w:eastAsia="仿宋" w:cs="仿宋"/>
          <w:color w:val="auto"/>
          <w:highlight w:val="none"/>
        </w:rPr>
      </w:pP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联合体牵头人名称</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物理公章</w:t>
      </w:r>
      <w:r>
        <w:rPr>
          <w:rFonts w:hint="eastAsia" w:ascii="仿宋" w:hAnsi="仿宋" w:eastAsia="仿宋" w:cs="仿宋"/>
          <w:color w:val="auto"/>
          <w:kern w:val="0"/>
          <w:sz w:val="24"/>
          <w:highlight w:val="none"/>
          <w:lang w:val="zh-CN"/>
        </w:rPr>
        <w:t>)：</w:t>
      </w:r>
    </w:p>
    <w:p>
      <w:pPr>
        <w:wordWrap w:val="0"/>
        <w:rPr>
          <w:rFonts w:ascii="仿宋" w:hAnsi="仿宋" w:eastAsia="仿宋" w:cs="仿宋"/>
          <w:b/>
          <w:color w:val="auto"/>
          <w:kern w:val="0"/>
          <w:sz w:val="32"/>
          <w:szCs w:val="32"/>
          <w:highlight w:val="none"/>
          <w:lang w:val="zh-CN"/>
        </w:rPr>
      </w:pPr>
      <w:r>
        <w:rPr>
          <w:rFonts w:hint="eastAsia" w:ascii="仿宋" w:hAnsi="仿宋" w:eastAsia="仿宋" w:cs="仿宋"/>
          <w:color w:val="auto"/>
          <w:kern w:val="0"/>
          <w:sz w:val="24"/>
          <w:highlight w:val="none"/>
          <w:lang w:val="zh-CN"/>
        </w:rPr>
        <w:t xml:space="preserve">                                               日期：  年  月   日</w:t>
      </w:r>
      <w:r>
        <w:rPr>
          <w:rFonts w:hint="eastAsia" w:ascii="仿宋" w:hAnsi="仿宋" w:eastAsia="仿宋" w:cs="仿宋"/>
          <w:b/>
          <w:color w:val="auto"/>
          <w:kern w:val="0"/>
          <w:sz w:val="32"/>
          <w:szCs w:val="32"/>
          <w:highlight w:val="none"/>
          <w:lang w:val="zh-CN"/>
        </w:rPr>
        <w:br w:type="page"/>
      </w:r>
    </w:p>
    <w:p>
      <w:pPr>
        <w:wordWrap w:val="0"/>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48"/>
        <w:wordWrap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pPr>
              <w:pStyle w:val="148"/>
              <w:wordWrap w:val="0"/>
              <w:adjustRightIn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48"/>
              <w:wordWrap w:val="0"/>
              <w:adjustRightInd w:val="0"/>
              <w:spacing w:line="360" w:lineRule="auto"/>
              <w:rPr>
                <w:rFonts w:ascii="仿宋" w:hAnsi="仿宋" w:eastAsia="仿宋" w:cs="仿宋"/>
                <w:bCs/>
                <w:color w:val="auto"/>
                <w:sz w:val="24"/>
                <w:highlight w:val="none"/>
              </w:rPr>
            </w:pPr>
          </w:p>
        </w:tc>
      </w:tr>
    </w:tbl>
    <w:p>
      <w:pPr>
        <w:wordWrap w:val="0"/>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 xml:space="preserve">)：                              </w:t>
      </w:r>
    </w:p>
    <w:p>
      <w:pPr>
        <w:wordWrap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rPr>
          <w:rFonts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b/>
          <w:color w:val="auto"/>
          <w:kern w:val="0"/>
          <w:sz w:val="32"/>
          <w:szCs w:val="32"/>
          <w:highlight w:val="none"/>
        </w:rPr>
        <w:br w:type="page"/>
      </w:r>
    </w:p>
    <w:p>
      <w:pPr>
        <w:wordWrap w:val="0"/>
        <w:snapToGrid w:val="0"/>
        <w:spacing w:line="360" w:lineRule="auto"/>
        <w:ind w:firstLine="3534" w:firstLineChars="11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w:t>
      </w:r>
    </w:p>
    <w:p>
      <w:pPr>
        <w:widowControl/>
        <w:wordWrap w:val="0"/>
        <w:spacing w:line="360" w:lineRule="auto"/>
        <w:ind w:left="147"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本项目同意将非主体、非关键性工作分包，</w:t>
      </w:r>
      <w:r>
        <w:rPr>
          <w:rFonts w:hint="eastAsia" w:ascii="仿宋" w:hAnsi="仿宋" w:eastAsia="仿宋" w:cs="仿宋"/>
          <w:b/>
          <w:bCs/>
          <w:color w:val="auto"/>
          <w:sz w:val="24"/>
          <w:highlight w:val="none"/>
        </w:rPr>
        <w:t>若非主体、非关键性工作已由</w:t>
      </w:r>
      <w:r>
        <w:rPr>
          <w:rFonts w:hint="eastAsia" w:ascii="仿宋" w:hAnsi="仿宋" w:eastAsia="仿宋" w:cs="仿宋"/>
          <w:b/>
          <w:color w:val="auto"/>
          <w:sz w:val="24"/>
          <w:highlight w:val="none"/>
        </w:rPr>
        <w:t>联合体成员承担的，则不允许分包。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分包份额不得超过总包单位。</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投标人中标后以分包方式履行合同的，另行提供分包意向协议（附件7）；</w:t>
      </w:r>
      <w:r>
        <w:rPr>
          <w:rFonts w:hint="eastAsia" w:ascii="仿宋" w:hAnsi="仿宋" w:eastAsia="仿宋" w:cs="仿宋"/>
          <w:b/>
          <w:bCs/>
          <w:color w:val="auto"/>
          <w:sz w:val="24"/>
          <w:highlight w:val="none"/>
        </w:rPr>
        <w:t>投标人中标后</w:t>
      </w:r>
      <w:r>
        <w:rPr>
          <w:rFonts w:hint="eastAsia" w:ascii="仿宋" w:hAnsi="仿宋" w:eastAsia="仿宋" w:cs="仿宋"/>
          <w:b/>
          <w:color w:val="auto"/>
          <w:sz w:val="24"/>
          <w:highlight w:val="none"/>
        </w:rPr>
        <w:t>不以分包方式履行合同的，则不需要提供。</w:t>
      </w:r>
      <w:r>
        <w:rPr>
          <w:rFonts w:hint="eastAsia" w:ascii="仿宋" w:hAnsi="仿宋" w:eastAsia="仿宋" w:cs="仿宋"/>
          <w:b/>
          <w:bCs/>
          <w:color w:val="auto"/>
          <w:sz w:val="24"/>
          <w:highlight w:val="none"/>
        </w:rPr>
        <w:t>]</w:t>
      </w:r>
    </w:p>
    <w:p>
      <w:pPr>
        <w:pStyle w:val="61"/>
        <w:spacing w:line="360" w:lineRule="auto"/>
        <w:ind w:firstLine="420"/>
        <w:rPr>
          <w:rFonts w:ascii="仿宋" w:hAnsi="仿宋" w:eastAsia="仿宋" w:cs="仿宋"/>
          <w:color w:val="auto"/>
          <w:highlight w:val="none"/>
        </w:rPr>
      </w:pPr>
    </w:p>
    <w:p>
      <w:pPr>
        <w:wordWrap w:val="0"/>
        <w:spacing w:line="360" w:lineRule="auto"/>
        <w:jc w:val="left"/>
        <w:rPr>
          <w:rFonts w:ascii="仿宋" w:hAnsi="仿宋" w:eastAsia="仿宋" w:cs="仿宋"/>
          <w:b/>
          <w:bCs/>
          <w:color w:val="auto"/>
          <w:kern w:val="0"/>
          <w:sz w:val="32"/>
          <w:szCs w:val="32"/>
          <w:highlight w:val="none"/>
        </w:rPr>
        <w:sectPr>
          <w:pgSz w:w="11905" w:h="16838"/>
          <w:pgMar w:top="652" w:right="1417" w:bottom="680" w:left="1417" w:header="539" w:footer="482" w:gutter="0"/>
          <w:cols w:space="0" w:num="1"/>
          <w:titlePg/>
          <w:docGrid w:linePitch="312" w:charSpace="0"/>
        </w:sectPr>
      </w:pPr>
      <w:r>
        <w:rPr>
          <w:rFonts w:hint="eastAsia" w:ascii="仿宋" w:hAnsi="仿宋" w:eastAsia="仿宋" w:cs="仿宋"/>
          <w:color w:val="auto"/>
          <w:sz w:val="24"/>
          <w:highlight w:val="none"/>
        </w:rPr>
        <w:t xml:space="preserve">   </w:t>
      </w:r>
      <w:r>
        <w:rPr>
          <w:rFonts w:hint="eastAsia" w:ascii="仿宋" w:hAnsi="仿宋" w:eastAsia="仿宋" w:cs="仿宋"/>
          <w:b/>
          <w:bCs/>
          <w:color w:val="auto"/>
          <w:sz w:val="24"/>
          <w:highlight w:val="none"/>
        </w:rPr>
        <w:t xml:space="preserve"> </w:t>
      </w:r>
      <w:bookmarkStart w:id="464" w:name="_Toc22737"/>
      <w:bookmarkStart w:id="465" w:name="_Toc2615"/>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sym w:font="Wingdings" w:char="00A8"/>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本项目专门面向</w:t>
      </w:r>
      <w:r>
        <w:rPr>
          <w:rFonts w:hint="eastAsia" w:ascii="仿宋" w:hAnsi="仿宋" w:eastAsia="仿宋" w:cs="仿宋"/>
          <w:b/>
          <w:bCs/>
          <w:color w:val="auto"/>
          <w:sz w:val="24"/>
          <w:highlight w:val="none"/>
          <w:u w:val="single"/>
        </w:rPr>
        <w:t xml:space="preserve">  /  </w:t>
      </w:r>
      <w:r>
        <w:rPr>
          <w:rFonts w:hint="eastAsia" w:ascii="仿宋" w:hAnsi="仿宋" w:eastAsia="仿宋" w:cs="仿宋"/>
          <w:b/>
          <w:bCs/>
          <w:color w:val="auto"/>
          <w:sz w:val="24"/>
          <w:highlight w:val="none"/>
        </w:rPr>
        <w:t>企业采购，若分包的分包单位必须为</w:t>
      </w:r>
      <w:r>
        <w:rPr>
          <w:rFonts w:hint="eastAsia" w:ascii="仿宋" w:hAnsi="仿宋" w:eastAsia="仿宋" w:cs="仿宋"/>
          <w:b/>
          <w:bCs/>
          <w:color w:val="auto"/>
          <w:sz w:val="24"/>
          <w:highlight w:val="none"/>
          <w:u w:val="single"/>
        </w:rPr>
        <w:t xml:space="preserve">  /  </w:t>
      </w:r>
      <w:r>
        <w:rPr>
          <w:rFonts w:hint="eastAsia" w:ascii="仿宋" w:hAnsi="仿宋" w:eastAsia="仿宋" w:cs="仿宋"/>
          <w:b/>
          <w:bCs/>
          <w:color w:val="auto"/>
          <w:sz w:val="24"/>
          <w:highlight w:val="none"/>
        </w:rPr>
        <w:t>企业。]</w:t>
      </w:r>
      <w:bookmarkEnd w:id="464"/>
      <w:bookmarkEnd w:id="465"/>
    </w:p>
    <w:p>
      <w:pPr>
        <w:wordWrap w:val="0"/>
        <w:rPr>
          <w:rFonts w:ascii="仿宋" w:hAnsi="仿宋" w:eastAsia="仿宋" w:cs="仿宋"/>
          <w:b/>
          <w:color w:val="auto"/>
          <w:kern w:val="0"/>
          <w:sz w:val="32"/>
          <w:szCs w:val="32"/>
          <w:highlight w:val="none"/>
        </w:rPr>
      </w:pPr>
    </w:p>
    <w:p>
      <w:pPr>
        <w:wordWrap w:val="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pPr>
        <w:wordWrap w:val="0"/>
        <w:jc w:val="center"/>
        <w:rPr>
          <w:rFonts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870"/>
        <w:gridCol w:w="3397"/>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wordWrap w:val="0"/>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870" w:type="dxa"/>
            <w:vAlign w:val="center"/>
          </w:tcPr>
          <w:p>
            <w:pPr>
              <w:wordWrap w:val="0"/>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3397" w:type="dxa"/>
            <w:vAlign w:val="center"/>
          </w:tcPr>
          <w:p>
            <w:pPr>
              <w:wordWrap w:val="0"/>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693" w:type="dxa"/>
            <w:vAlign w:val="center"/>
          </w:tcPr>
          <w:p>
            <w:pPr>
              <w:wordWrap w:val="0"/>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wordWrap w:val="0"/>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870" w:type="dxa"/>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3397"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693" w:type="dxa"/>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870" w:type="dxa"/>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3397" w:type="dxa"/>
            <w:vAlign w:val="center"/>
          </w:tcPr>
          <w:p>
            <w:pPr>
              <w:wordWrap w:val="0"/>
              <w:jc w:val="center"/>
              <w:rPr>
                <w:rFonts w:ascii="仿宋" w:hAnsi="仿宋" w:eastAsia="仿宋" w:cs="仿宋"/>
                <w:color w:val="auto"/>
                <w:sz w:val="24"/>
                <w:highlight w:val="none"/>
                <w:u w:val="singl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节能产品认证证书</w:t>
            </w:r>
            <w:r>
              <w:rPr>
                <w:rFonts w:hint="eastAsia" w:ascii="仿宋" w:hAnsi="仿宋" w:eastAsia="仿宋" w:cs="仿宋"/>
                <w:color w:val="auto"/>
                <w:sz w:val="24"/>
                <w:highlight w:val="none"/>
                <w:u w:val="single"/>
              </w:rPr>
              <w:t>（本项目拟采购的产品不属于政府强制采购的节能产品品目清单范围的，无需提供）</w:t>
            </w:r>
          </w:p>
          <w:p>
            <w:pPr>
              <w:wordWrap w:val="0"/>
              <w:jc w:val="center"/>
              <w:rPr>
                <w:rFonts w:ascii="仿宋" w:hAnsi="仿宋" w:eastAsia="仿宋" w:cs="仿宋"/>
                <w:color w:val="auto"/>
                <w:sz w:val="24"/>
                <w:highlight w:val="none"/>
                <w:u w:val="single"/>
              </w:rPr>
            </w:pPr>
          </w:p>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本项目不适用。</w:t>
            </w:r>
          </w:p>
        </w:tc>
        <w:tc>
          <w:tcPr>
            <w:tcW w:w="1693" w:type="dxa"/>
          </w:tcPr>
          <w:p>
            <w:pPr>
              <w:wordWrap w:val="0"/>
              <w:jc w:val="center"/>
              <w:rPr>
                <w:rFonts w:ascii="仿宋" w:hAnsi="仿宋" w:eastAsia="仿宋" w:cs="仿宋"/>
                <w:color w:val="auto"/>
                <w:sz w:val="24"/>
                <w:highlight w:val="none"/>
              </w:rPr>
            </w:pPr>
          </w:p>
          <w:p>
            <w:pPr>
              <w:wordWrap w:val="0"/>
              <w:jc w:val="center"/>
              <w:rPr>
                <w:rFonts w:ascii="仿宋" w:hAnsi="仿宋" w:eastAsia="仿宋" w:cs="仿宋"/>
                <w:color w:val="auto"/>
                <w:sz w:val="24"/>
                <w:highlight w:val="none"/>
              </w:rPr>
            </w:pPr>
          </w:p>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pStyle w:val="2"/>
              <w:keepNext w:val="0"/>
              <w:keepLines w:val="0"/>
              <w:wordWrap w:val="0"/>
              <w:jc w:val="center"/>
              <w:rPr>
                <w:rFonts w:ascii="仿宋" w:eastAsia="仿宋" w:cs="仿宋"/>
                <w:color w:val="auto"/>
                <w:highlight w:val="none"/>
                <w:lang w:val="en-US"/>
              </w:rPr>
            </w:pPr>
            <w:r>
              <w:rPr>
                <w:rFonts w:hint="eastAsia" w:ascii="仿宋" w:eastAsia="仿宋" w:cs="仿宋"/>
                <w:b w:val="0"/>
                <w:bCs w:val="0"/>
                <w:color w:val="auto"/>
                <w:sz w:val="24"/>
                <w:szCs w:val="24"/>
                <w:highlight w:val="none"/>
                <w:lang w:val="en-US"/>
              </w:rPr>
              <w:t>第</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870" w:type="dxa"/>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3397"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693" w:type="dxa"/>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870" w:type="dxa"/>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3397" w:type="dxa"/>
            <w:vAlign w:val="center"/>
          </w:tcPr>
          <w:p>
            <w:pPr>
              <w:wordWrap w:val="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系指实质性要求条款，在商务技术偏离表中逐条填写响应情况）</w:t>
            </w:r>
          </w:p>
        </w:tc>
        <w:tc>
          <w:tcPr>
            <w:tcW w:w="1693" w:type="dxa"/>
          </w:tcPr>
          <w:p>
            <w:pPr>
              <w:wordWrap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wordWrap w:val="0"/>
        <w:jc w:val="center"/>
        <w:rPr>
          <w:rFonts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b/>
          <w:color w:val="auto"/>
          <w:kern w:val="0"/>
          <w:sz w:val="32"/>
          <w:szCs w:val="32"/>
          <w:highlight w:val="none"/>
        </w:rPr>
        <w:t xml:space="preserve"> </w:t>
      </w:r>
    </w:p>
    <w:p>
      <w:pPr>
        <w:wordWrap w:val="0"/>
        <w:jc w:val="center"/>
        <w:outlineLvl w:val="2"/>
        <w:rPr>
          <w:rFonts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pPr>
        <w:snapToGrid w:val="0"/>
        <w:spacing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（一）技术部分</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1.针对本项目的技术和服务响应方案，履行本项目所必需的设备和技术能力的证明；</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2.设备配置清单；（不得出现价格）</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3.技术偏离表；（根据“第三部分项目技术规范和服务要求”中的技术要求部分进行点对点应答）</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4.所投设备取得的相关证书、产品介绍彩页或产品说明书或官网产品介绍(需同时提供网址链接)等有效证明材料等；</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5.投标人为完成本项目组建的工作小组名单，在提交的标书中安排的人员，须为公司职员；（投标文件中提供社保证明)</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6.施工安装组织方案、措施；</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7.应急处理方案；</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8.培训方案；</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9.售后服务承诺；</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10.投标人认为需要提供的其他资料。</w:t>
      </w:r>
    </w:p>
    <w:p>
      <w:pPr>
        <w:snapToGrid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（二）资信部分</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1.单位介绍</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2.管理体系认证证书；</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3.企业资质证书；</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4.企业奖项证明材料；</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5.企业类似项目业绩证明材料；</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6.节能产品、环境标志产品的相关证明材料（如有）；</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①所投产品列入财政部、发展改革委发布的节能产品品目清单的，提供国家市场监督管理总局公布的《参与实施政府采购节能产品认证机构名录》内的认证机构出具的、处于有效期之内的节能标志产品认证证书；</w:t>
      </w:r>
    </w:p>
    <w:p>
      <w:p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②所投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numPr>
          <w:ilvl w:val="0"/>
          <w:numId w:val="10"/>
        </w:num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商务偏离表；</w:t>
      </w:r>
    </w:p>
    <w:p>
      <w:pPr>
        <w:numPr>
          <w:ilvl w:val="0"/>
          <w:numId w:val="10"/>
        </w:numPr>
        <w:snapToGrid w:val="0"/>
        <w:spacing w:line="360" w:lineRule="auto"/>
        <w:ind w:firstLine="481"/>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投标人认为需要提供的其他资料。</w:t>
      </w:r>
    </w:p>
    <w:p>
      <w:pPr>
        <w:numPr>
          <w:ilvl w:val="255"/>
          <w:numId w:val="0"/>
        </w:numPr>
        <w:wordWrap w:val="0"/>
        <w:snapToGrid w:val="0"/>
        <w:spacing w:line="360" w:lineRule="auto"/>
        <w:ind w:firstLine="481"/>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w:t>
      </w:r>
    </w:p>
    <w:p>
      <w:pPr>
        <w:wordWrap w:val="0"/>
        <w:adjustRightInd/>
        <w:spacing w:line="360" w:lineRule="auto"/>
        <w:jc w:val="center"/>
        <w:outlineLvl w:val="1"/>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详细评审索引</w:t>
      </w:r>
    </w:p>
    <w:tbl>
      <w:tblPr>
        <w:tblStyle w:val="62"/>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356" w:type="dxa"/>
            <w:vAlign w:val="center"/>
          </w:tcPr>
          <w:p>
            <w:pPr>
              <w:wordWrap w:val="0"/>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评分/评审细则</w:t>
            </w:r>
          </w:p>
        </w:tc>
        <w:tc>
          <w:tcPr>
            <w:tcW w:w="1276" w:type="dxa"/>
            <w:vAlign w:val="center"/>
          </w:tcPr>
          <w:p>
            <w:pPr>
              <w:wordWrap w:val="0"/>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ascii="仿宋" w:hAnsi="仿宋" w:eastAsia="仿宋" w:cs="仿宋"/>
                <w:color w:val="auto"/>
                <w:sz w:val="24"/>
                <w:highlight w:val="none"/>
              </w:rPr>
            </w:pPr>
          </w:p>
        </w:tc>
        <w:tc>
          <w:tcPr>
            <w:tcW w:w="5356" w:type="dxa"/>
            <w:vAlign w:val="center"/>
          </w:tcPr>
          <w:p>
            <w:pPr>
              <w:wordWrap w:val="0"/>
              <w:snapToGrid w:val="0"/>
              <w:rPr>
                <w:rFonts w:ascii="仿宋" w:hAnsi="仿宋" w:eastAsia="仿宋" w:cs="仿宋"/>
                <w:color w:val="auto"/>
                <w:sz w:val="24"/>
                <w:highlight w:val="none"/>
              </w:rPr>
            </w:pPr>
          </w:p>
        </w:tc>
        <w:tc>
          <w:tcPr>
            <w:tcW w:w="1276" w:type="dxa"/>
            <w:vAlign w:val="center"/>
          </w:tcPr>
          <w:p>
            <w:pPr>
              <w:wordWrap w:val="0"/>
              <w:snapToGrid w:val="0"/>
              <w:jc w:val="center"/>
              <w:rPr>
                <w:rFonts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pPr>
              <w:wordWrap w:val="0"/>
              <w:snapToGrid w:val="0"/>
              <w:jc w:val="center"/>
              <w:rPr>
                <w:rFonts w:ascii="仿宋" w:hAnsi="仿宋" w:eastAsia="仿宋" w:cs="仿宋"/>
                <w:color w:val="auto"/>
                <w:sz w:val="24"/>
                <w:highlight w:val="none"/>
              </w:rPr>
            </w:pPr>
          </w:p>
        </w:tc>
        <w:tc>
          <w:tcPr>
            <w:tcW w:w="5356" w:type="dxa"/>
            <w:vAlign w:val="center"/>
          </w:tcPr>
          <w:p>
            <w:pPr>
              <w:wordWrap w:val="0"/>
              <w:snapToGrid w:val="0"/>
              <w:rPr>
                <w:rFonts w:ascii="仿宋" w:hAnsi="仿宋" w:eastAsia="仿宋" w:cs="仿宋"/>
                <w:color w:val="auto"/>
                <w:sz w:val="24"/>
                <w:highlight w:val="none"/>
              </w:rPr>
            </w:pPr>
          </w:p>
        </w:tc>
        <w:tc>
          <w:tcPr>
            <w:tcW w:w="1276" w:type="dxa"/>
            <w:vAlign w:val="center"/>
          </w:tcPr>
          <w:p>
            <w:pPr>
              <w:wordWrap w:val="0"/>
              <w:snapToGrid w:val="0"/>
              <w:jc w:val="center"/>
              <w:rPr>
                <w:rFonts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ascii="仿宋" w:hAnsi="仿宋" w:eastAsia="仿宋" w:cs="仿宋"/>
                <w:color w:val="auto"/>
                <w:sz w:val="24"/>
                <w:highlight w:val="none"/>
              </w:rPr>
            </w:pPr>
          </w:p>
        </w:tc>
        <w:tc>
          <w:tcPr>
            <w:tcW w:w="5356" w:type="dxa"/>
            <w:vAlign w:val="center"/>
          </w:tcPr>
          <w:p>
            <w:pPr>
              <w:wordWrap w:val="0"/>
              <w:snapToGrid w:val="0"/>
              <w:rPr>
                <w:rFonts w:ascii="仿宋" w:hAnsi="仿宋" w:eastAsia="仿宋" w:cs="仿宋"/>
                <w:color w:val="auto"/>
                <w:sz w:val="24"/>
                <w:highlight w:val="none"/>
              </w:rPr>
            </w:pPr>
          </w:p>
        </w:tc>
        <w:tc>
          <w:tcPr>
            <w:tcW w:w="1276" w:type="dxa"/>
            <w:vAlign w:val="center"/>
          </w:tcPr>
          <w:p>
            <w:pPr>
              <w:wordWrap w:val="0"/>
              <w:snapToGrid w:val="0"/>
              <w:jc w:val="center"/>
              <w:rPr>
                <w:rFonts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ascii="仿宋" w:hAnsi="仿宋" w:eastAsia="仿宋" w:cs="仿宋"/>
                <w:color w:val="auto"/>
                <w:sz w:val="24"/>
                <w:highlight w:val="none"/>
              </w:rPr>
            </w:pPr>
          </w:p>
        </w:tc>
        <w:tc>
          <w:tcPr>
            <w:tcW w:w="5356" w:type="dxa"/>
            <w:vAlign w:val="center"/>
          </w:tcPr>
          <w:p>
            <w:pPr>
              <w:wordWrap w:val="0"/>
              <w:snapToGrid w:val="0"/>
              <w:rPr>
                <w:rFonts w:ascii="仿宋" w:hAnsi="仿宋" w:eastAsia="仿宋" w:cs="仿宋"/>
                <w:color w:val="auto"/>
                <w:sz w:val="24"/>
                <w:highlight w:val="none"/>
              </w:rPr>
            </w:pPr>
          </w:p>
        </w:tc>
        <w:tc>
          <w:tcPr>
            <w:tcW w:w="1276" w:type="dxa"/>
            <w:vAlign w:val="center"/>
          </w:tcPr>
          <w:p>
            <w:pPr>
              <w:wordWrap w:val="0"/>
              <w:snapToGrid w:val="0"/>
              <w:jc w:val="center"/>
              <w:rPr>
                <w:rFonts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ascii="仿宋" w:hAnsi="仿宋" w:eastAsia="仿宋" w:cs="仿宋"/>
                <w:color w:val="auto"/>
                <w:sz w:val="24"/>
                <w:highlight w:val="none"/>
              </w:rPr>
            </w:pPr>
          </w:p>
        </w:tc>
        <w:tc>
          <w:tcPr>
            <w:tcW w:w="5356" w:type="dxa"/>
            <w:vAlign w:val="center"/>
          </w:tcPr>
          <w:p>
            <w:pPr>
              <w:wordWrap w:val="0"/>
              <w:snapToGrid w:val="0"/>
              <w:ind w:left="-2" w:leftChars="-1" w:firstLine="2"/>
              <w:rPr>
                <w:rFonts w:ascii="仿宋" w:hAnsi="仿宋" w:eastAsia="仿宋" w:cs="仿宋"/>
                <w:b/>
                <w:color w:val="auto"/>
                <w:sz w:val="24"/>
                <w:highlight w:val="none"/>
              </w:rPr>
            </w:pPr>
          </w:p>
        </w:tc>
        <w:tc>
          <w:tcPr>
            <w:tcW w:w="1276" w:type="dxa"/>
            <w:vAlign w:val="center"/>
          </w:tcPr>
          <w:p>
            <w:pPr>
              <w:wordWrap w:val="0"/>
              <w:snapToGrid w:val="0"/>
              <w:jc w:val="center"/>
              <w:rPr>
                <w:rFonts w:ascii="仿宋" w:hAnsi="仿宋" w:eastAsia="仿宋" w:cs="仿宋"/>
                <w:b/>
                <w:color w:val="auto"/>
                <w:sz w:val="24"/>
                <w:highlight w:val="none"/>
              </w:rPr>
            </w:pPr>
          </w:p>
        </w:tc>
      </w:tr>
    </w:tbl>
    <w:p>
      <w:pPr>
        <w:wordWrap w:val="0"/>
        <w:adjustRightInd/>
        <w:spacing w:line="440" w:lineRule="exact"/>
        <w:rPr>
          <w:rFonts w:ascii="仿宋" w:hAnsi="仿宋" w:eastAsia="仿宋" w:cs="仿宋"/>
          <w:color w:val="auto"/>
          <w:highlight w:val="none"/>
        </w:rPr>
      </w:pPr>
      <w:r>
        <w:rPr>
          <w:rFonts w:hint="eastAsia" w:ascii="仿宋" w:hAnsi="仿宋" w:eastAsia="仿宋" w:cs="仿宋"/>
          <w:color w:val="auto"/>
          <w:szCs w:val="21"/>
          <w:highlight w:val="none"/>
        </w:rPr>
        <w:t>注：供应商根据评审办法的“评审因素”条款一一对应填写本表。</w:t>
      </w:r>
    </w:p>
    <w:p>
      <w:pPr>
        <w:wordWrap w:val="0"/>
        <w:rPr>
          <w:rFonts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附表：</w:t>
      </w:r>
    </w:p>
    <w:p>
      <w:pPr>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1.商务/技术偏离表</w:t>
      </w:r>
    </w:p>
    <w:p>
      <w:pPr>
        <w:numPr>
          <w:ilvl w:val="255"/>
          <w:numId w:val="0"/>
        </w:numPr>
        <w:jc w:val="center"/>
        <w:rPr>
          <w:rFonts w:ascii="仿宋" w:hAnsi="仿宋" w:eastAsia="仿宋" w:cs="仿宋"/>
          <w:b/>
          <w:color w:val="auto"/>
          <w:kern w:val="0"/>
          <w:sz w:val="32"/>
          <w:szCs w:val="32"/>
          <w:highlight w:val="none"/>
        </w:rPr>
      </w:pPr>
      <w:bookmarkStart w:id="466" w:name="_Toc7348"/>
      <w:bookmarkStart w:id="467" w:name="_Toc25889"/>
      <w:r>
        <w:rPr>
          <w:rFonts w:hint="eastAsia" w:ascii="仿宋" w:hAnsi="仿宋" w:eastAsia="仿宋" w:cs="仿宋"/>
          <w:b/>
          <w:color w:val="auto"/>
          <w:kern w:val="0"/>
          <w:sz w:val="32"/>
          <w:szCs w:val="32"/>
          <w:highlight w:val="none"/>
        </w:rPr>
        <w:t>商务偏离表</w:t>
      </w:r>
      <w:bookmarkEnd w:id="466"/>
      <w:bookmarkEnd w:id="467"/>
    </w:p>
    <w:p>
      <w:pPr>
        <w:numPr>
          <w:ilvl w:val="255"/>
          <w:numId w:val="0"/>
        </w:numPr>
        <w:rPr>
          <w:rFonts w:ascii="仿宋" w:hAnsi="仿宋" w:eastAsia="仿宋" w:cs="仿宋"/>
          <w:b/>
          <w:color w:val="auto"/>
          <w:kern w:val="0"/>
          <w:sz w:val="32"/>
          <w:szCs w:val="32"/>
          <w:highlight w:val="none"/>
        </w:rPr>
      </w:pPr>
    </w:p>
    <w:tbl>
      <w:tblPr>
        <w:tblStyle w:val="63"/>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300"/>
        <w:gridCol w:w="3177"/>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300"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177"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430"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bl>
    <w:p>
      <w:pPr>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注：1.投标人保证：除商务偏离表列出的偏离外，投标人响应招标文件的全部要求。</w:t>
      </w:r>
    </w:p>
    <w:p>
      <w:pPr>
        <w:spacing w:line="360" w:lineRule="auto"/>
        <w:ind w:firstLine="480" w:firstLineChars="200"/>
        <w:rPr>
          <w:rFonts w:ascii="仿宋" w:hAnsi="仿宋" w:eastAsia="仿宋" w:cs="仿宋"/>
          <w:color w:val="auto"/>
          <w:sz w:val="24"/>
          <w:szCs w:val="22"/>
          <w:highlight w:val="none"/>
        </w:rPr>
      </w:pPr>
      <w:r>
        <w:rPr>
          <w:rFonts w:hint="eastAsia" w:ascii="仿宋" w:hAnsi="仿宋" w:eastAsia="仿宋" w:cs="仿宋"/>
          <w:color w:val="auto"/>
          <w:sz w:val="24"/>
          <w:szCs w:val="22"/>
          <w:highlight w:val="none"/>
        </w:rPr>
        <w:t>2.若不填写视为全部响应。</w:t>
      </w:r>
    </w:p>
    <w:p>
      <w:pPr>
        <w:numPr>
          <w:ilvl w:val="255"/>
          <w:numId w:val="0"/>
        </w:numPr>
        <w:jc w:val="left"/>
        <w:rPr>
          <w:rFonts w:ascii="仿宋" w:hAnsi="仿宋" w:eastAsia="仿宋" w:cs="仿宋"/>
          <w:b/>
          <w:color w:val="auto"/>
          <w:kern w:val="0"/>
          <w:sz w:val="32"/>
          <w:szCs w:val="32"/>
          <w:highlight w:val="none"/>
        </w:rPr>
      </w:pPr>
    </w:p>
    <w:p>
      <w:pPr>
        <w:numPr>
          <w:ilvl w:val="255"/>
          <w:numId w:val="0"/>
        </w:numPr>
        <w:jc w:val="left"/>
        <w:rPr>
          <w:rFonts w:ascii="仿宋" w:hAnsi="仿宋" w:eastAsia="仿宋" w:cs="仿宋"/>
          <w:b/>
          <w:color w:val="auto"/>
          <w:kern w:val="0"/>
          <w:sz w:val="32"/>
          <w:szCs w:val="32"/>
          <w:highlight w:val="none"/>
        </w:rPr>
      </w:pPr>
    </w:p>
    <w:p>
      <w:pPr>
        <w:numPr>
          <w:ilvl w:val="255"/>
          <w:numId w:val="0"/>
        </w:numPr>
        <w:jc w:val="left"/>
        <w:rPr>
          <w:rFonts w:ascii="仿宋" w:hAnsi="仿宋" w:eastAsia="仿宋" w:cs="仿宋"/>
          <w:b/>
          <w:color w:val="auto"/>
          <w:kern w:val="0"/>
          <w:sz w:val="32"/>
          <w:szCs w:val="32"/>
          <w:highlight w:val="none"/>
        </w:rPr>
      </w:pPr>
    </w:p>
    <w:p>
      <w:pPr>
        <w:numPr>
          <w:ilvl w:val="255"/>
          <w:numId w:val="0"/>
        </w:numPr>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技术偏离表</w:t>
      </w:r>
    </w:p>
    <w:p>
      <w:pPr>
        <w:numPr>
          <w:ilvl w:val="255"/>
          <w:numId w:val="0"/>
        </w:numPr>
        <w:adjustRightInd/>
        <w:spacing w:after="120"/>
        <w:ind w:left="420" w:leftChars="200" w:firstLine="420" w:firstLineChars="200"/>
        <w:rPr>
          <w:rFonts w:ascii="仿宋" w:hAnsi="仿宋" w:eastAsia="仿宋" w:cs="仿宋"/>
          <w:color w:val="auto"/>
          <w:highlight w:val="none"/>
        </w:rPr>
      </w:pPr>
    </w:p>
    <w:tbl>
      <w:tblPr>
        <w:tblStyle w:val="63"/>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300"/>
        <w:gridCol w:w="3177"/>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300"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招标文件章节设备参数具体内容</w:t>
            </w:r>
          </w:p>
        </w:tc>
        <w:tc>
          <w:tcPr>
            <w:tcW w:w="3177"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投标文件设备参数具体内容</w:t>
            </w:r>
          </w:p>
        </w:tc>
        <w:tc>
          <w:tcPr>
            <w:tcW w:w="1430"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300" w:type="dxa"/>
          </w:tcPr>
          <w:p>
            <w:pPr>
              <w:jc w:val="center"/>
              <w:rPr>
                <w:rFonts w:ascii="仿宋" w:hAnsi="仿宋" w:eastAsia="仿宋" w:cs="仿宋"/>
                <w:b/>
                <w:color w:val="auto"/>
                <w:kern w:val="0"/>
                <w:sz w:val="32"/>
                <w:szCs w:val="32"/>
                <w:highlight w:val="none"/>
              </w:rPr>
            </w:pPr>
          </w:p>
        </w:tc>
        <w:tc>
          <w:tcPr>
            <w:tcW w:w="3177" w:type="dxa"/>
          </w:tcPr>
          <w:p>
            <w:pPr>
              <w:jc w:val="center"/>
              <w:rPr>
                <w:rFonts w:ascii="仿宋" w:hAnsi="仿宋" w:eastAsia="仿宋" w:cs="仿宋"/>
                <w:b/>
                <w:color w:val="auto"/>
                <w:kern w:val="0"/>
                <w:sz w:val="32"/>
                <w:szCs w:val="32"/>
                <w:highlight w:val="none"/>
              </w:rPr>
            </w:pPr>
          </w:p>
        </w:tc>
        <w:tc>
          <w:tcPr>
            <w:tcW w:w="1430" w:type="dxa"/>
          </w:tcPr>
          <w:p>
            <w:pPr>
              <w:jc w:val="center"/>
              <w:rPr>
                <w:rFonts w:ascii="仿宋" w:hAnsi="仿宋" w:eastAsia="仿宋" w:cs="仿宋"/>
                <w:b/>
                <w:color w:val="auto"/>
                <w:kern w:val="0"/>
                <w:sz w:val="32"/>
                <w:szCs w:val="32"/>
                <w:highlight w:val="none"/>
              </w:rPr>
            </w:pPr>
          </w:p>
        </w:tc>
      </w:tr>
    </w:tbl>
    <w:p>
      <w:pPr>
        <w:numPr>
          <w:ilvl w:val="255"/>
          <w:numId w:val="0"/>
        </w:numPr>
        <w:spacing w:line="360" w:lineRule="auto"/>
        <w:rPr>
          <w:rFonts w:ascii="仿宋" w:hAnsi="仿宋" w:eastAsia="仿宋" w:cs="仿宋"/>
          <w:color w:val="auto"/>
          <w:sz w:val="24"/>
          <w:szCs w:val="22"/>
          <w:highlight w:val="none"/>
          <w:lang w:val="zh-CN"/>
        </w:rPr>
      </w:pPr>
      <w:r>
        <w:rPr>
          <w:rFonts w:hint="eastAsia" w:ascii="仿宋" w:hAnsi="仿宋" w:eastAsia="仿宋" w:cs="仿宋"/>
          <w:color w:val="auto"/>
          <w:sz w:val="24"/>
          <w:szCs w:val="22"/>
          <w:highlight w:val="none"/>
          <w:lang w:val="zh-CN"/>
        </w:rPr>
        <w:t>注：</w:t>
      </w:r>
      <w:r>
        <w:rPr>
          <w:rFonts w:hint="eastAsia" w:ascii="仿宋" w:hAnsi="仿宋" w:eastAsia="仿宋" w:cs="仿宋"/>
          <w:color w:val="auto"/>
          <w:sz w:val="24"/>
          <w:szCs w:val="22"/>
          <w:highlight w:val="none"/>
        </w:rPr>
        <w:t>1</w:t>
      </w:r>
      <w:r>
        <w:rPr>
          <w:rFonts w:hint="eastAsia" w:ascii="仿宋" w:hAnsi="仿宋" w:eastAsia="仿宋" w:cs="仿宋"/>
          <w:color w:val="auto"/>
          <w:sz w:val="24"/>
          <w:szCs w:val="22"/>
          <w:highlight w:val="none"/>
          <w:lang w:val="zh-CN"/>
        </w:rPr>
        <w:t>.投标人保证：除技术偏离表列出的偏离外，投标人响应招标文件的全部要求。</w:t>
      </w:r>
    </w:p>
    <w:p>
      <w:pPr>
        <w:autoSpaceDE w:val="0"/>
        <w:autoSpaceDN w:val="0"/>
        <w:spacing w:line="360" w:lineRule="auto"/>
        <w:ind w:firstLine="480" w:firstLineChars="200"/>
        <w:rPr>
          <w:rFonts w:ascii="仿宋" w:hAnsi="仿宋" w:eastAsia="仿宋" w:cs="仿宋"/>
          <w:snapToGrid w:val="0"/>
          <w:color w:val="auto"/>
          <w:sz w:val="24"/>
          <w:szCs w:val="21"/>
          <w:highlight w:val="none"/>
        </w:rPr>
      </w:pPr>
      <w:r>
        <w:rPr>
          <w:rFonts w:hint="eastAsia" w:ascii="仿宋" w:hAnsi="仿宋" w:eastAsia="仿宋" w:cs="仿宋"/>
          <w:snapToGrid w:val="0"/>
          <w:color w:val="auto"/>
          <w:kern w:val="0"/>
          <w:sz w:val="24"/>
          <w:szCs w:val="21"/>
          <w:highlight w:val="none"/>
        </w:rPr>
        <w:t>2.若不填写视为全部响应。</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jc w:val="left"/>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br w:type="page"/>
      </w:r>
    </w:p>
    <w:p>
      <w:pPr>
        <w:widowControl/>
        <w:jc w:val="center"/>
        <w:outlineLvl w:val="2"/>
        <w:rPr>
          <w:rFonts w:ascii="仿宋" w:hAnsi="仿宋" w:eastAsia="仿宋" w:cs="仿宋"/>
          <w:b/>
          <w:bCs/>
          <w:color w:val="auto"/>
          <w:kern w:val="0"/>
          <w:sz w:val="32"/>
          <w:szCs w:val="32"/>
          <w:highlight w:val="none"/>
          <w:lang w:bidi="ar"/>
        </w:rPr>
      </w:pPr>
      <w:r>
        <w:rPr>
          <w:rFonts w:hint="eastAsia" w:ascii="仿宋" w:hAnsi="仿宋" w:eastAsia="仿宋" w:cs="仿宋"/>
          <w:b/>
          <w:bCs/>
          <w:color w:val="auto"/>
          <w:kern w:val="0"/>
          <w:sz w:val="32"/>
          <w:szCs w:val="32"/>
          <w:highlight w:val="none"/>
          <w:lang w:bidi="ar"/>
        </w:rPr>
        <w:t>2.设备配置清单</w:t>
      </w:r>
    </w:p>
    <w:tbl>
      <w:tblPr>
        <w:tblStyle w:val="63"/>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031"/>
        <w:gridCol w:w="1031"/>
        <w:gridCol w:w="1031"/>
        <w:gridCol w:w="1031"/>
        <w:gridCol w:w="1031"/>
        <w:gridCol w:w="1031"/>
        <w:gridCol w:w="1031"/>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29"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序号</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名称</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品牌</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型号</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规格</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单位</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数量</w:t>
            </w:r>
          </w:p>
        </w:tc>
        <w:tc>
          <w:tcPr>
            <w:tcW w:w="1031"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国别</w:t>
            </w:r>
          </w:p>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产地</w:t>
            </w:r>
          </w:p>
        </w:tc>
        <w:tc>
          <w:tcPr>
            <w:tcW w:w="1034" w:type="dxa"/>
            <w:vAlign w:val="center"/>
          </w:tcPr>
          <w:p>
            <w:pPr>
              <w:snapToGrid w:val="0"/>
              <w:spacing w:line="300" w:lineRule="auto"/>
              <w:jc w:val="center"/>
              <w:rPr>
                <w:rFonts w:ascii="仿宋" w:hAnsi="仿宋" w:eastAsia="仿宋" w:cs="仿宋"/>
                <w:color w:val="auto"/>
                <w:kern w:val="40"/>
                <w:sz w:val="24"/>
                <w:highlight w:val="none"/>
              </w:rPr>
            </w:pPr>
            <w:r>
              <w:rPr>
                <w:rFonts w:hint="eastAsia" w:ascii="仿宋" w:hAnsi="仿宋" w:eastAsia="仿宋" w:cs="仿宋"/>
                <w:color w:val="auto"/>
                <w:kern w:val="4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29"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4"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029"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4"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29"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4"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29"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4"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29"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1"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c>
          <w:tcPr>
            <w:tcW w:w="1034" w:type="dxa"/>
            <w:vAlign w:val="center"/>
          </w:tcPr>
          <w:p>
            <w:pPr>
              <w:keepNext/>
              <w:keepLines/>
              <w:tabs>
                <w:tab w:val="left" w:pos="720"/>
              </w:tabs>
              <w:spacing w:before="120" w:line="300" w:lineRule="auto"/>
              <w:jc w:val="center"/>
              <w:rPr>
                <w:rFonts w:ascii="仿宋" w:hAnsi="仿宋" w:eastAsia="仿宋" w:cs="仿宋"/>
                <w:b/>
                <w:bCs/>
                <w:color w:val="auto"/>
                <w:sz w:val="24"/>
                <w:highlight w:val="none"/>
              </w:rPr>
            </w:pPr>
          </w:p>
        </w:tc>
      </w:tr>
    </w:tbl>
    <w:p>
      <w:pPr>
        <w:jc w:val="center"/>
        <w:rPr>
          <w:rFonts w:ascii="仿宋" w:hAnsi="仿宋" w:eastAsia="仿宋" w:cs="仿宋"/>
          <w:b/>
          <w:color w:val="auto"/>
          <w:kern w:val="0"/>
          <w:sz w:val="32"/>
          <w:szCs w:val="32"/>
          <w:highlight w:val="none"/>
        </w:rPr>
      </w:pPr>
    </w:p>
    <w:p>
      <w:pPr>
        <w:rPr>
          <w:rFonts w:ascii="仿宋" w:hAnsi="仿宋" w:eastAsia="仿宋" w:cs="仿宋"/>
          <w:b/>
          <w:bCs/>
          <w:color w:val="auto"/>
          <w:kern w:val="0"/>
          <w:sz w:val="32"/>
          <w:szCs w:val="32"/>
          <w:highlight w:val="none"/>
          <w:lang w:bidi="ar"/>
        </w:rPr>
      </w:pPr>
      <w:r>
        <w:rPr>
          <w:rFonts w:hint="eastAsia" w:ascii="仿宋" w:hAnsi="仿宋" w:eastAsia="仿宋" w:cs="仿宋"/>
          <w:b/>
          <w:bCs/>
          <w:color w:val="auto"/>
          <w:kern w:val="0"/>
          <w:sz w:val="32"/>
          <w:szCs w:val="32"/>
          <w:highlight w:val="none"/>
          <w:lang w:bidi="ar"/>
        </w:rPr>
        <w:br w:type="page"/>
      </w:r>
    </w:p>
    <w:p>
      <w:pPr>
        <w:widowControl/>
        <w:jc w:val="center"/>
        <w:outlineLvl w:val="2"/>
        <w:rPr>
          <w:rFonts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bidi="ar"/>
        </w:rPr>
        <w:t>3.投标人为完成本项目组建的项目组人员名单</w:t>
      </w:r>
    </w:p>
    <w:p>
      <w:pPr>
        <w:widowControl/>
        <w:jc w:val="left"/>
        <w:rPr>
          <w:rFonts w:ascii="仿宋" w:hAnsi="仿宋" w:eastAsia="仿宋" w:cs="仿宋"/>
          <w:color w:val="auto"/>
          <w:kern w:val="0"/>
          <w:sz w:val="24"/>
          <w:highlight w:val="none"/>
          <w:lang w:bidi="ar"/>
        </w:rPr>
      </w:pPr>
    </w:p>
    <w:p>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 xml:space="preserve">（1）项目负责人简历表 </w:t>
      </w:r>
    </w:p>
    <w:tbl>
      <w:tblPr>
        <w:tblStyle w:val="62"/>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4"/>
        <w:gridCol w:w="1583"/>
        <w:gridCol w:w="1583"/>
        <w:gridCol w:w="1583"/>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82"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584" w:type="dxa"/>
            <w:vAlign w:val="center"/>
          </w:tcPr>
          <w:p>
            <w:pPr>
              <w:snapToGrid w:val="0"/>
              <w:spacing w:line="300" w:lineRule="auto"/>
              <w:jc w:val="center"/>
              <w:rPr>
                <w:rFonts w:ascii="仿宋" w:hAnsi="仿宋" w:eastAsia="仿宋" w:cs="仿宋"/>
                <w:color w:val="auto"/>
                <w:sz w:val="24"/>
                <w:highlight w:val="none"/>
              </w:rPr>
            </w:pPr>
          </w:p>
        </w:tc>
        <w:tc>
          <w:tcPr>
            <w:tcW w:w="1583"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583" w:type="dxa"/>
            <w:vAlign w:val="center"/>
          </w:tcPr>
          <w:p>
            <w:pPr>
              <w:snapToGrid w:val="0"/>
              <w:spacing w:line="300" w:lineRule="auto"/>
              <w:jc w:val="center"/>
              <w:rPr>
                <w:rFonts w:ascii="仿宋" w:hAnsi="仿宋" w:eastAsia="仿宋" w:cs="仿宋"/>
                <w:color w:val="auto"/>
                <w:sz w:val="24"/>
                <w:highlight w:val="none"/>
              </w:rPr>
            </w:pPr>
          </w:p>
        </w:tc>
        <w:tc>
          <w:tcPr>
            <w:tcW w:w="1583"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504" w:type="dxa"/>
            <w:vAlign w:val="center"/>
          </w:tcPr>
          <w:p>
            <w:pPr>
              <w:snapToGrid w:val="0"/>
              <w:spacing w:line="30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82"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1584" w:type="dxa"/>
            <w:vAlign w:val="center"/>
          </w:tcPr>
          <w:p>
            <w:pPr>
              <w:snapToGrid w:val="0"/>
              <w:spacing w:line="300" w:lineRule="auto"/>
              <w:jc w:val="center"/>
              <w:rPr>
                <w:rFonts w:ascii="仿宋" w:hAnsi="仿宋" w:eastAsia="仿宋" w:cs="仿宋"/>
                <w:color w:val="auto"/>
                <w:sz w:val="24"/>
                <w:highlight w:val="none"/>
              </w:rPr>
            </w:pPr>
          </w:p>
        </w:tc>
        <w:tc>
          <w:tcPr>
            <w:tcW w:w="1583"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583" w:type="dxa"/>
            <w:vAlign w:val="center"/>
          </w:tcPr>
          <w:p>
            <w:pPr>
              <w:snapToGrid w:val="0"/>
              <w:spacing w:line="300" w:lineRule="auto"/>
              <w:jc w:val="center"/>
              <w:rPr>
                <w:rFonts w:ascii="仿宋" w:hAnsi="仿宋" w:eastAsia="仿宋" w:cs="仿宋"/>
                <w:color w:val="auto"/>
                <w:sz w:val="24"/>
                <w:highlight w:val="none"/>
              </w:rPr>
            </w:pPr>
          </w:p>
        </w:tc>
        <w:tc>
          <w:tcPr>
            <w:tcW w:w="1583"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504" w:type="dxa"/>
            <w:vAlign w:val="center"/>
          </w:tcPr>
          <w:p>
            <w:pPr>
              <w:snapToGrid w:val="0"/>
              <w:spacing w:line="30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166" w:type="dxa"/>
            <w:gridSpan w:val="2"/>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参加工作时间</w:t>
            </w:r>
          </w:p>
        </w:tc>
        <w:tc>
          <w:tcPr>
            <w:tcW w:w="6253" w:type="dxa"/>
            <w:gridSpan w:val="4"/>
            <w:vAlign w:val="center"/>
          </w:tcPr>
          <w:p>
            <w:pPr>
              <w:snapToGrid w:val="0"/>
              <w:spacing w:line="30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419" w:type="dxa"/>
            <w:gridSpan w:val="6"/>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承担过项目情况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82"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采购单位</w:t>
            </w:r>
          </w:p>
        </w:tc>
        <w:tc>
          <w:tcPr>
            <w:tcW w:w="1584"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583"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主要内容</w:t>
            </w:r>
          </w:p>
        </w:tc>
        <w:tc>
          <w:tcPr>
            <w:tcW w:w="3166" w:type="dxa"/>
            <w:gridSpan w:val="2"/>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采购单位联系人</w:t>
            </w:r>
          </w:p>
        </w:tc>
        <w:tc>
          <w:tcPr>
            <w:tcW w:w="1504"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82" w:type="dxa"/>
            <w:vAlign w:val="center"/>
          </w:tcPr>
          <w:p>
            <w:pPr>
              <w:snapToGrid w:val="0"/>
              <w:spacing w:line="300" w:lineRule="auto"/>
              <w:jc w:val="left"/>
              <w:rPr>
                <w:rFonts w:ascii="仿宋" w:hAnsi="仿宋" w:eastAsia="仿宋" w:cs="仿宋"/>
                <w:color w:val="auto"/>
                <w:sz w:val="24"/>
                <w:highlight w:val="none"/>
              </w:rPr>
            </w:pPr>
          </w:p>
        </w:tc>
        <w:tc>
          <w:tcPr>
            <w:tcW w:w="1584" w:type="dxa"/>
            <w:vAlign w:val="center"/>
          </w:tcPr>
          <w:p>
            <w:pPr>
              <w:snapToGrid w:val="0"/>
              <w:spacing w:line="300" w:lineRule="auto"/>
              <w:jc w:val="left"/>
              <w:rPr>
                <w:rFonts w:ascii="仿宋" w:hAnsi="仿宋" w:eastAsia="仿宋" w:cs="仿宋"/>
                <w:color w:val="auto"/>
                <w:sz w:val="24"/>
                <w:highlight w:val="none"/>
              </w:rPr>
            </w:pPr>
          </w:p>
        </w:tc>
        <w:tc>
          <w:tcPr>
            <w:tcW w:w="1583" w:type="dxa"/>
            <w:vAlign w:val="center"/>
          </w:tcPr>
          <w:p>
            <w:pPr>
              <w:snapToGrid w:val="0"/>
              <w:spacing w:line="300" w:lineRule="auto"/>
              <w:jc w:val="left"/>
              <w:rPr>
                <w:rFonts w:ascii="仿宋" w:hAnsi="仿宋" w:eastAsia="仿宋" w:cs="仿宋"/>
                <w:color w:val="auto"/>
                <w:sz w:val="24"/>
                <w:highlight w:val="none"/>
              </w:rPr>
            </w:pPr>
          </w:p>
        </w:tc>
        <w:tc>
          <w:tcPr>
            <w:tcW w:w="3166" w:type="dxa"/>
            <w:gridSpan w:val="2"/>
            <w:vAlign w:val="center"/>
          </w:tcPr>
          <w:p>
            <w:pPr>
              <w:snapToGrid w:val="0"/>
              <w:spacing w:line="300" w:lineRule="auto"/>
              <w:jc w:val="left"/>
              <w:rPr>
                <w:rFonts w:ascii="仿宋" w:hAnsi="仿宋" w:eastAsia="仿宋" w:cs="仿宋"/>
                <w:color w:val="auto"/>
                <w:sz w:val="24"/>
                <w:highlight w:val="none"/>
              </w:rPr>
            </w:pPr>
          </w:p>
        </w:tc>
        <w:tc>
          <w:tcPr>
            <w:tcW w:w="1504" w:type="dxa"/>
            <w:vAlign w:val="center"/>
          </w:tcPr>
          <w:p>
            <w:pPr>
              <w:snapToGrid w:val="0"/>
              <w:spacing w:line="300" w:lineRule="auto"/>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582" w:type="dxa"/>
            <w:vAlign w:val="center"/>
          </w:tcPr>
          <w:p>
            <w:pPr>
              <w:snapToGrid w:val="0"/>
              <w:spacing w:line="300" w:lineRule="auto"/>
              <w:jc w:val="left"/>
              <w:rPr>
                <w:rFonts w:ascii="仿宋" w:hAnsi="仿宋" w:eastAsia="仿宋" w:cs="仿宋"/>
                <w:color w:val="auto"/>
                <w:sz w:val="24"/>
                <w:highlight w:val="none"/>
              </w:rPr>
            </w:pPr>
          </w:p>
        </w:tc>
        <w:tc>
          <w:tcPr>
            <w:tcW w:w="1584" w:type="dxa"/>
            <w:vAlign w:val="center"/>
          </w:tcPr>
          <w:p>
            <w:pPr>
              <w:snapToGrid w:val="0"/>
              <w:spacing w:line="300" w:lineRule="auto"/>
              <w:jc w:val="left"/>
              <w:rPr>
                <w:rFonts w:ascii="仿宋" w:hAnsi="仿宋" w:eastAsia="仿宋" w:cs="仿宋"/>
                <w:color w:val="auto"/>
                <w:sz w:val="24"/>
                <w:highlight w:val="none"/>
              </w:rPr>
            </w:pPr>
          </w:p>
        </w:tc>
        <w:tc>
          <w:tcPr>
            <w:tcW w:w="1583" w:type="dxa"/>
            <w:vAlign w:val="center"/>
          </w:tcPr>
          <w:p>
            <w:pPr>
              <w:snapToGrid w:val="0"/>
              <w:spacing w:line="300" w:lineRule="auto"/>
              <w:jc w:val="left"/>
              <w:rPr>
                <w:rFonts w:ascii="仿宋" w:hAnsi="仿宋" w:eastAsia="仿宋" w:cs="仿宋"/>
                <w:color w:val="auto"/>
                <w:sz w:val="24"/>
                <w:highlight w:val="none"/>
              </w:rPr>
            </w:pPr>
          </w:p>
        </w:tc>
        <w:tc>
          <w:tcPr>
            <w:tcW w:w="3166" w:type="dxa"/>
            <w:gridSpan w:val="2"/>
            <w:vAlign w:val="center"/>
          </w:tcPr>
          <w:p>
            <w:pPr>
              <w:snapToGrid w:val="0"/>
              <w:spacing w:line="300" w:lineRule="auto"/>
              <w:jc w:val="left"/>
              <w:rPr>
                <w:rFonts w:ascii="仿宋" w:hAnsi="仿宋" w:eastAsia="仿宋" w:cs="仿宋"/>
                <w:color w:val="auto"/>
                <w:sz w:val="24"/>
                <w:highlight w:val="none"/>
              </w:rPr>
            </w:pPr>
          </w:p>
        </w:tc>
        <w:tc>
          <w:tcPr>
            <w:tcW w:w="1504" w:type="dxa"/>
            <w:vAlign w:val="center"/>
          </w:tcPr>
          <w:p>
            <w:pPr>
              <w:snapToGrid w:val="0"/>
              <w:spacing w:line="300" w:lineRule="auto"/>
              <w:jc w:val="left"/>
              <w:rPr>
                <w:rFonts w:ascii="仿宋" w:hAnsi="仿宋" w:eastAsia="仿宋" w:cs="仿宋"/>
                <w:color w:val="auto"/>
                <w:sz w:val="24"/>
                <w:highlight w:val="none"/>
              </w:rPr>
            </w:pPr>
          </w:p>
        </w:tc>
      </w:tr>
    </w:tbl>
    <w:p>
      <w:pPr>
        <w:widowControl/>
        <w:jc w:val="left"/>
        <w:rPr>
          <w:rFonts w:ascii="仿宋" w:hAnsi="仿宋" w:eastAsia="仿宋" w:cs="仿宋"/>
          <w:color w:val="auto"/>
          <w:kern w:val="0"/>
          <w:sz w:val="24"/>
          <w:highlight w:val="none"/>
          <w:lang w:bidi="ar"/>
        </w:rPr>
      </w:pPr>
      <w:r>
        <w:rPr>
          <w:rFonts w:hint="eastAsia" w:ascii="仿宋" w:hAnsi="仿宋" w:eastAsia="仿宋" w:cs="仿宋"/>
          <w:b/>
          <w:bCs/>
          <w:color w:val="auto"/>
          <w:sz w:val="24"/>
          <w:highlight w:val="none"/>
        </w:rPr>
        <w:t>注：随表提交评标办法中要求的证明材料。</w:t>
      </w:r>
    </w:p>
    <w:p>
      <w:pPr>
        <w:widowControl/>
        <w:jc w:val="left"/>
        <w:rPr>
          <w:rFonts w:ascii="仿宋" w:hAnsi="仿宋" w:eastAsia="仿宋" w:cs="仿宋"/>
          <w:color w:val="auto"/>
          <w:kern w:val="0"/>
          <w:sz w:val="24"/>
          <w:highlight w:val="none"/>
          <w:lang w:bidi="ar"/>
        </w:rPr>
      </w:pPr>
    </w:p>
    <w:p>
      <w:pPr>
        <w:widowControl/>
        <w:jc w:val="left"/>
        <w:rPr>
          <w:rFonts w:ascii="仿宋" w:hAnsi="仿宋" w:eastAsia="仿宋" w:cs="仿宋"/>
          <w:color w:val="auto"/>
          <w:kern w:val="0"/>
          <w:sz w:val="24"/>
          <w:highlight w:val="none"/>
          <w:lang w:bidi="ar"/>
        </w:rPr>
      </w:pPr>
    </w:p>
    <w:p>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 xml:space="preserve">（2）项目组人员表 </w:t>
      </w:r>
    </w:p>
    <w:tbl>
      <w:tblPr>
        <w:tblStyle w:val="63"/>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013"/>
        <w:gridCol w:w="1013"/>
        <w:gridCol w:w="1137"/>
        <w:gridCol w:w="889"/>
        <w:gridCol w:w="1013"/>
        <w:gridCol w:w="1013"/>
        <w:gridCol w:w="1197"/>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12" w:type="dxa"/>
            <w:vMerge w:val="restart"/>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项目组职务</w:t>
            </w:r>
          </w:p>
        </w:tc>
        <w:tc>
          <w:tcPr>
            <w:tcW w:w="1013" w:type="dxa"/>
            <w:vMerge w:val="restart"/>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姓名</w:t>
            </w:r>
          </w:p>
        </w:tc>
        <w:tc>
          <w:tcPr>
            <w:tcW w:w="1013" w:type="dxa"/>
            <w:vMerge w:val="restart"/>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职称</w:t>
            </w:r>
          </w:p>
        </w:tc>
        <w:tc>
          <w:tcPr>
            <w:tcW w:w="5249" w:type="dxa"/>
            <w:gridSpan w:val="5"/>
            <w:vAlign w:val="center"/>
          </w:tcPr>
          <w:p>
            <w:pPr>
              <w:autoSpaceDE w:val="0"/>
              <w:autoSpaceDN w:val="0"/>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人员所具有的执业或职业资格证明</w:t>
            </w:r>
          </w:p>
        </w:tc>
        <w:tc>
          <w:tcPr>
            <w:tcW w:w="1213"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12" w:type="dxa"/>
            <w:vMerge w:val="continue"/>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Merge w:val="continue"/>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Merge w:val="continue"/>
            <w:vAlign w:val="center"/>
          </w:tcPr>
          <w:p>
            <w:pPr>
              <w:autoSpaceDE w:val="0"/>
              <w:autoSpaceDN w:val="0"/>
              <w:ind w:firstLine="480" w:firstLineChars="200"/>
              <w:jc w:val="center"/>
              <w:rPr>
                <w:rFonts w:ascii="仿宋" w:hAnsi="仿宋" w:eastAsia="仿宋" w:cs="仿宋"/>
                <w:color w:val="auto"/>
                <w:sz w:val="24"/>
                <w:highlight w:val="none"/>
              </w:rPr>
            </w:pPr>
          </w:p>
        </w:tc>
        <w:tc>
          <w:tcPr>
            <w:tcW w:w="1137"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证书名称</w:t>
            </w:r>
          </w:p>
        </w:tc>
        <w:tc>
          <w:tcPr>
            <w:tcW w:w="889"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级别</w:t>
            </w:r>
          </w:p>
        </w:tc>
        <w:tc>
          <w:tcPr>
            <w:tcW w:w="1013"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证号</w:t>
            </w:r>
          </w:p>
        </w:tc>
        <w:tc>
          <w:tcPr>
            <w:tcW w:w="1013"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专业</w:t>
            </w:r>
          </w:p>
        </w:tc>
        <w:tc>
          <w:tcPr>
            <w:tcW w:w="1197" w:type="dxa"/>
            <w:vAlign w:val="center"/>
          </w:tcPr>
          <w:p>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社保缴纳</w:t>
            </w:r>
          </w:p>
        </w:tc>
        <w:tc>
          <w:tcPr>
            <w:tcW w:w="1213" w:type="dxa"/>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人员能力及实施经验说明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12" w:type="dxa"/>
            <w:vAlign w:val="center"/>
          </w:tcPr>
          <w:p>
            <w:pPr>
              <w:autoSpaceDE w:val="0"/>
              <w:autoSpaceDN w:val="0"/>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3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889"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9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213" w:type="dxa"/>
            <w:vAlign w:val="center"/>
          </w:tcPr>
          <w:p>
            <w:pPr>
              <w:autoSpaceDE w:val="0"/>
              <w:autoSpaceDN w:val="0"/>
              <w:ind w:firstLine="480" w:firstLineChars="20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12" w:type="dxa"/>
            <w:vAlign w:val="center"/>
          </w:tcPr>
          <w:p>
            <w:pPr>
              <w:autoSpaceDE w:val="0"/>
              <w:autoSpaceDN w:val="0"/>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3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889"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9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213" w:type="dxa"/>
            <w:vAlign w:val="center"/>
          </w:tcPr>
          <w:p>
            <w:pPr>
              <w:autoSpaceDE w:val="0"/>
              <w:autoSpaceDN w:val="0"/>
              <w:ind w:firstLine="480" w:firstLineChars="20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12" w:type="dxa"/>
            <w:vAlign w:val="center"/>
          </w:tcPr>
          <w:p>
            <w:pPr>
              <w:autoSpaceDE w:val="0"/>
              <w:autoSpaceDN w:val="0"/>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3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889"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9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213" w:type="dxa"/>
            <w:vAlign w:val="center"/>
          </w:tcPr>
          <w:p>
            <w:pPr>
              <w:autoSpaceDE w:val="0"/>
              <w:autoSpaceDN w:val="0"/>
              <w:ind w:firstLine="480" w:firstLineChars="20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12" w:type="dxa"/>
            <w:vAlign w:val="center"/>
          </w:tcPr>
          <w:p>
            <w:pPr>
              <w:autoSpaceDE w:val="0"/>
              <w:autoSpaceDN w:val="0"/>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3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889"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013"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197" w:type="dxa"/>
            <w:vAlign w:val="center"/>
          </w:tcPr>
          <w:p>
            <w:pPr>
              <w:autoSpaceDE w:val="0"/>
              <w:autoSpaceDN w:val="0"/>
              <w:ind w:firstLine="480" w:firstLineChars="200"/>
              <w:jc w:val="center"/>
              <w:rPr>
                <w:rFonts w:ascii="仿宋" w:hAnsi="仿宋" w:eastAsia="仿宋" w:cs="仿宋"/>
                <w:color w:val="auto"/>
                <w:sz w:val="24"/>
                <w:highlight w:val="none"/>
              </w:rPr>
            </w:pPr>
          </w:p>
        </w:tc>
        <w:tc>
          <w:tcPr>
            <w:tcW w:w="1213" w:type="dxa"/>
            <w:vAlign w:val="center"/>
          </w:tcPr>
          <w:p>
            <w:pPr>
              <w:autoSpaceDE w:val="0"/>
              <w:autoSpaceDN w:val="0"/>
              <w:ind w:firstLine="480" w:firstLineChars="200"/>
              <w:jc w:val="center"/>
              <w:rPr>
                <w:rFonts w:ascii="仿宋" w:hAnsi="仿宋" w:eastAsia="仿宋" w:cs="仿宋"/>
                <w:color w:val="auto"/>
                <w:sz w:val="24"/>
                <w:highlight w:val="none"/>
              </w:rPr>
            </w:pPr>
          </w:p>
        </w:tc>
      </w:tr>
    </w:tbl>
    <w:p>
      <w:pPr>
        <w:jc w:val="left"/>
        <w:rPr>
          <w:rFonts w:ascii="仿宋" w:hAnsi="仿宋" w:eastAsia="仿宋" w:cs="仿宋"/>
          <w:b/>
          <w:color w:val="auto"/>
          <w:kern w:val="0"/>
          <w:sz w:val="32"/>
          <w:szCs w:val="32"/>
          <w:highlight w:val="none"/>
        </w:rPr>
      </w:pPr>
      <w:r>
        <w:rPr>
          <w:rFonts w:hint="eastAsia" w:ascii="仿宋" w:hAnsi="仿宋" w:eastAsia="仿宋" w:cs="仿宋"/>
          <w:b/>
          <w:bCs/>
          <w:color w:val="auto"/>
          <w:sz w:val="24"/>
          <w:highlight w:val="none"/>
        </w:rPr>
        <w:t>注：随表提交评标办法中要求的证明材料。</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00" w:lineRule="auto"/>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4.类似项目业绩一栏表</w:t>
      </w:r>
    </w:p>
    <w:p>
      <w:pPr>
        <w:snapToGrid w:val="0"/>
        <w:spacing w:line="300" w:lineRule="auto"/>
        <w:rPr>
          <w:rFonts w:ascii="仿宋" w:hAnsi="仿宋" w:eastAsia="仿宋" w:cs="仿宋"/>
          <w:color w:val="auto"/>
          <w:sz w:val="24"/>
          <w:highlight w:val="none"/>
        </w:rPr>
      </w:pPr>
    </w:p>
    <w:p>
      <w:pPr>
        <w:snapToGrid w:val="0"/>
        <w:spacing w:line="30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pPr>
        <w:snapToGrid w:val="0"/>
        <w:spacing w:line="30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tbl>
      <w:tblPr>
        <w:tblStyle w:val="62"/>
        <w:tblW w:w="9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440"/>
        <w:gridCol w:w="1390"/>
        <w:gridCol w:w="1310"/>
        <w:gridCol w:w="1080"/>
        <w:gridCol w:w="900"/>
        <w:gridCol w:w="90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aps/>
                <w:color w:val="auto"/>
                <w:sz w:val="24"/>
                <w:highlight w:val="none"/>
              </w:rPr>
              <w:t>序号</w:t>
            </w:r>
          </w:p>
        </w:tc>
        <w:tc>
          <w:tcPr>
            <w:tcW w:w="1080"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olor w:val="auto"/>
                <w:sz w:val="24"/>
                <w:highlight w:val="none"/>
              </w:rPr>
              <w:t>项目名称</w:t>
            </w:r>
          </w:p>
        </w:tc>
        <w:tc>
          <w:tcPr>
            <w:tcW w:w="1440"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aps/>
                <w:color w:val="auto"/>
                <w:sz w:val="24"/>
                <w:highlight w:val="none"/>
              </w:rPr>
              <w:t>业主单位</w:t>
            </w:r>
          </w:p>
        </w:tc>
        <w:tc>
          <w:tcPr>
            <w:tcW w:w="1390"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aps/>
                <w:color w:val="auto"/>
                <w:sz w:val="24"/>
                <w:highlight w:val="none"/>
              </w:rPr>
              <w:t>合同内容描述</w:t>
            </w:r>
          </w:p>
        </w:tc>
        <w:tc>
          <w:tcPr>
            <w:tcW w:w="1310"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aps/>
                <w:color w:val="auto"/>
                <w:sz w:val="24"/>
                <w:highlight w:val="none"/>
              </w:rPr>
              <w:t>合同金额</w:t>
            </w:r>
          </w:p>
        </w:tc>
        <w:tc>
          <w:tcPr>
            <w:tcW w:w="1080" w:type="dxa"/>
            <w:vAlign w:val="center"/>
          </w:tcPr>
          <w:p>
            <w:pPr>
              <w:snapToGrid w:val="0"/>
              <w:spacing w:line="300" w:lineRule="auto"/>
              <w:jc w:val="center"/>
              <w:rPr>
                <w:rFonts w:ascii="仿宋" w:hAnsi="仿宋" w:eastAsia="仿宋" w:cs="仿宋"/>
                <w:caps/>
                <w:color w:val="auto"/>
                <w:sz w:val="24"/>
                <w:highlight w:val="none"/>
              </w:rPr>
            </w:pPr>
            <w:r>
              <w:rPr>
                <w:rFonts w:hint="eastAsia" w:ascii="仿宋" w:hAnsi="仿宋" w:eastAsia="仿宋" w:cs="仿宋"/>
                <w:color w:val="auto"/>
                <w:sz w:val="24"/>
                <w:highlight w:val="none"/>
              </w:rPr>
              <w:t>签约及完成日期</w:t>
            </w:r>
          </w:p>
        </w:tc>
        <w:tc>
          <w:tcPr>
            <w:tcW w:w="900"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900"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719" w:type="dxa"/>
            <w:vAlign w:val="center"/>
          </w:tcPr>
          <w:p>
            <w:pPr>
              <w:snapToGrid w:val="0"/>
              <w:spacing w:line="30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1440" w:type="dxa"/>
            <w:vAlign w:val="center"/>
          </w:tcPr>
          <w:p>
            <w:pPr>
              <w:snapToGrid w:val="0"/>
              <w:spacing w:line="300" w:lineRule="auto"/>
              <w:jc w:val="center"/>
              <w:rPr>
                <w:rFonts w:ascii="仿宋" w:hAnsi="仿宋" w:eastAsia="仿宋" w:cs="仿宋"/>
                <w:color w:val="auto"/>
                <w:spacing w:val="20"/>
                <w:sz w:val="24"/>
                <w:highlight w:val="none"/>
              </w:rPr>
            </w:pPr>
          </w:p>
        </w:tc>
        <w:tc>
          <w:tcPr>
            <w:tcW w:w="1390" w:type="dxa"/>
            <w:vAlign w:val="center"/>
          </w:tcPr>
          <w:p>
            <w:pPr>
              <w:snapToGrid w:val="0"/>
              <w:spacing w:line="300" w:lineRule="auto"/>
              <w:jc w:val="center"/>
              <w:rPr>
                <w:rFonts w:ascii="仿宋" w:hAnsi="仿宋" w:eastAsia="仿宋" w:cs="仿宋"/>
                <w:color w:val="auto"/>
                <w:spacing w:val="20"/>
                <w:sz w:val="24"/>
                <w:highlight w:val="none"/>
              </w:rPr>
            </w:pPr>
          </w:p>
        </w:tc>
        <w:tc>
          <w:tcPr>
            <w:tcW w:w="1310" w:type="dxa"/>
            <w:vAlign w:val="center"/>
          </w:tcPr>
          <w:p>
            <w:pPr>
              <w:snapToGrid w:val="0"/>
              <w:spacing w:line="300" w:lineRule="auto"/>
              <w:jc w:val="center"/>
              <w:rPr>
                <w:rFonts w:ascii="仿宋" w:hAnsi="仿宋" w:eastAsia="仿宋" w:cs="仿宋"/>
                <w:color w:val="auto"/>
                <w:spacing w:val="20"/>
                <w:sz w:val="24"/>
                <w:highlight w:val="none"/>
              </w:rPr>
            </w:pPr>
          </w:p>
        </w:tc>
        <w:tc>
          <w:tcPr>
            <w:tcW w:w="108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900" w:type="dxa"/>
            <w:vAlign w:val="center"/>
          </w:tcPr>
          <w:p>
            <w:pPr>
              <w:snapToGrid w:val="0"/>
              <w:spacing w:line="300" w:lineRule="auto"/>
              <w:jc w:val="center"/>
              <w:rPr>
                <w:rFonts w:ascii="仿宋" w:hAnsi="仿宋" w:eastAsia="仿宋" w:cs="仿宋"/>
                <w:color w:val="auto"/>
                <w:spacing w:val="20"/>
                <w:sz w:val="24"/>
                <w:highlight w:val="none"/>
              </w:rPr>
            </w:pPr>
          </w:p>
        </w:tc>
        <w:tc>
          <w:tcPr>
            <w:tcW w:w="719" w:type="dxa"/>
            <w:vAlign w:val="center"/>
          </w:tcPr>
          <w:p>
            <w:pPr>
              <w:snapToGrid w:val="0"/>
              <w:spacing w:line="300" w:lineRule="auto"/>
              <w:jc w:val="center"/>
              <w:rPr>
                <w:rFonts w:ascii="仿宋" w:hAnsi="仿宋" w:eastAsia="仿宋" w:cs="仿宋"/>
                <w:color w:val="auto"/>
                <w:spacing w:val="20"/>
                <w:sz w:val="24"/>
                <w:highlight w:val="none"/>
              </w:rPr>
            </w:pPr>
          </w:p>
        </w:tc>
      </w:tr>
    </w:tbl>
    <w:p>
      <w:pPr>
        <w:snapToGrid w:val="0"/>
        <w:spacing w:line="30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注：随表提交评标办法中要求的证明材料。</w:t>
      </w:r>
    </w:p>
    <w:p>
      <w:pPr>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ind w:firstLine="1911" w:firstLineChars="595"/>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numPr>
          <w:ilvl w:val="0"/>
          <w:numId w:val="11"/>
        </w:numPr>
        <w:autoSpaceDE w:val="0"/>
        <w:autoSpaceDN w:val="0"/>
        <w:spacing w:line="360" w:lineRule="auto"/>
        <w:ind w:left="481" w:leftChars="229"/>
        <w:jc w:val="left"/>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lang w:val="zh-CN"/>
        </w:rPr>
        <w:t>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right="112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autoSpaceDE w:val="0"/>
        <w:autoSpaceDN w:val="0"/>
        <w:spacing w:line="360" w:lineRule="auto"/>
        <w:ind w:right="1120"/>
        <w:jc w:val="right"/>
        <w:rPr>
          <w:rFonts w:ascii="仿宋" w:hAnsi="仿宋" w:eastAsia="仿宋" w:cs="仿宋"/>
          <w:color w:val="auto"/>
          <w:sz w:val="24"/>
          <w:highlight w:val="none"/>
        </w:rPr>
      </w:pPr>
    </w:p>
    <w:p>
      <w:pPr>
        <w:wordWrap w:val="0"/>
        <w:spacing w:line="360" w:lineRule="auto"/>
        <w:jc w:val="center"/>
        <w:rPr>
          <w:rFonts w:ascii="仿宋" w:hAnsi="仿宋" w:eastAsia="仿宋" w:cs="仿宋"/>
          <w:b/>
          <w:bCs/>
          <w:color w:val="auto"/>
          <w:sz w:val="24"/>
          <w:highlight w:val="none"/>
        </w:rPr>
      </w:pPr>
    </w:p>
    <w:p>
      <w:pPr>
        <w:widowControl/>
        <w:numPr>
          <w:ilvl w:val="255"/>
          <w:numId w:val="0"/>
        </w:numPr>
        <w:jc w:val="left"/>
        <w:rPr>
          <w:rFonts w:ascii="仿宋" w:hAnsi="仿宋" w:eastAsia="仿宋" w:cs="仿宋"/>
          <w:b/>
          <w:color w:val="auto"/>
          <w:kern w:val="0"/>
          <w:sz w:val="32"/>
          <w:szCs w:val="32"/>
          <w:highlight w:val="none"/>
          <w:lang w:bidi="ar"/>
        </w:rPr>
      </w:pPr>
      <w:r>
        <w:rPr>
          <w:rFonts w:hint="eastAsia" w:ascii="仿宋" w:hAnsi="仿宋" w:eastAsia="仿宋" w:cs="仿宋"/>
          <w:b/>
          <w:color w:val="auto"/>
          <w:kern w:val="0"/>
          <w:sz w:val="32"/>
          <w:szCs w:val="32"/>
          <w:highlight w:val="none"/>
          <w:lang w:bidi="ar"/>
        </w:rPr>
        <w:br w:type="page"/>
      </w:r>
    </w:p>
    <w:p>
      <w:pPr>
        <w:wordWrap w:val="0"/>
        <w:spacing w:line="360" w:lineRule="auto"/>
        <w:jc w:val="center"/>
        <w:rPr>
          <w:rFonts w:ascii="仿宋" w:hAnsi="仿宋" w:eastAsia="仿宋" w:cs="仿宋"/>
          <w:b/>
          <w:color w:val="auto"/>
          <w:kern w:val="0"/>
          <w:sz w:val="36"/>
          <w:szCs w:val="36"/>
          <w:highlight w:val="none"/>
        </w:rPr>
      </w:pPr>
    </w:p>
    <w:p>
      <w:pPr>
        <w:wordWrap w:val="0"/>
        <w:spacing w:line="360" w:lineRule="auto"/>
        <w:jc w:val="center"/>
        <w:outlineLvl w:val="2"/>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wordWrap w:val="0"/>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wordWrap w:val="0"/>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（2）投标价格组成明细表………………………………………………………（页码）</w:t>
      </w:r>
    </w:p>
    <w:p>
      <w:pPr>
        <w:wordWrap w:val="0"/>
        <w:snapToGrid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（3）中小企业声明函（若有）…………………………………………………（页码）</w:t>
      </w: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headerReference r:id="rId16" w:type="first"/>
          <w:footerReference r:id="rId18" w:type="first"/>
          <w:headerReference r:id="rId15" w:type="default"/>
          <w:footerReference r:id="rId17" w:type="default"/>
          <w:pgSz w:w="11905" w:h="16838"/>
          <w:pgMar w:top="652" w:right="1417" w:bottom="680" w:left="1417" w:header="539" w:footer="425" w:gutter="0"/>
          <w:cols w:space="0" w:num="1"/>
          <w:titlePg/>
          <w:docGrid w:linePitch="312" w:charSpace="0"/>
        </w:sectPr>
      </w:pPr>
    </w:p>
    <w:p>
      <w:pPr>
        <w:pStyle w:val="692"/>
        <w:keepNext w:val="0"/>
        <w:tabs>
          <w:tab w:val="clear" w:pos="720"/>
        </w:tabs>
        <w:wordWrap w:val="0"/>
        <w:snapToGrid w:val="0"/>
        <w:spacing w:before="120" w:after="120"/>
        <w:ind w:firstLine="643"/>
        <w:outlineLvl w:val="2"/>
        <w:rPr>
          <w:rFonts w:ascii="仿宋" w:hAnsi="仿宋" w:eastAsia="仿宋" w:cs="仿宋"/>
          <w:color w:val="auto"/>
          <w:kern w:val="2"/>
          <w:sz w:val="32"/>
          <w:szCs w:val="32"/>
          <w:highlight w:val="none"/>
        </w:rPr>
      </w:pPr>
      <w:bookmarkStart w:id="468" w:name="_Toc4763"/>
      <w:bookmarkStart w:id="469" w:name="_Toc8787"/>
      <w:bookmarkStart w:id="470" w:name="_Toc14192"/>
      <w:bookmarkStart w:id="471" w:name="_Toc23456"/>
      <w:bookmarkStart w:id="472" w:name="_Toc11634"/>
      <w:bookmarkStart w:id="473" w:name="_Toc10436"/>
      <w:bookmarkStart w:id="474" w:name="_Toc22252"/>
      <w:bookmarkStart w:id="475" w:name="_Toc7330"/>
      <w:r>
        <w:rPr>
          <w:rFonts w:hint="eastAsia" w:ascii="仿宋" w:hAnsi="仿宋" w:eastAsia="仿宋" w:cs="仿宋"/>
          <w:color w:val="auto"/>
          <w:kern w:val="2"/>
          <w:sz w:val="32"/>
          <w:szCs w:val="32"/>
          <w:highlight w:val="none"/>
        </w:rPr>
        <w:t>一、开标一览表（报价表）</w:t>
      </w:r>
      <w:bookmarkEnd w:id="468"/>
      <w:bookmarkEnd w:id="469"/>
      <w:bookmarkEnd w:id="470"/>
      <w:bookmarkEnd w:id="471"/>
      <w:bookmarkEnd w:id="472"/>
      <w:bookmarkEnd w:id="473"/>
      <w:bookmarkEnd w:id="474"/>
      <w:bookmarkEnd w:id="475"/>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杭州市市政设施管理中心、浙江科佳工程咨询有限公司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如你方接受本投标，我方承诺按照如下开标一览表（报价表）的价格完成</w:t>
      </w:r>
      <w:r>
        <w:rPr>
          <w:rFonts w:hint="eastAsia" w:ascii="仿宋" w:hAnsi="仿宋" w:eastAsia="仿宋" w:cs="仿宋"/>
          <w:color w:val="auto"/>
          <w:kern w:val="0"/>
          <w:sz w:val="24"/>
          <w:highlight w:val="none"/>
          <w:u w:val="single"/>
          <w:lang w:val="zh-CN"/>
        </w:rPr>
        <w:t>江东大桥车辆动态称重系统改造工程【</w:t>
      </w:r>
      <w:r>
        <w:rPr>
          <w:rFonts w:hint="eastAsia" w:ascii="仿宋" w:hAnsi="仿宋" w:eastAsia="仿宋" w:cs="仿宋"/>
          <w:color w:val="auto"/>
          <w:kern w:val="0"/>
          <w:sz w:val="24"/>
          <w:highlight w:val="none"/>
          <w:u w:val="single"/>
        </w:rPr>
        <w:t>项目</w:t>
      </w:r>
      <w:r>
        <w:rPr>
          <w:rFonts w:hint="eastAsia" w:ascii="仿宋" w:hAnsi="仿宋" w:eastAsia="仿宋" w:cs="仿宋"/>
          <w:color w:val="auto"/>
          <w:kern w:val="0"/>
          <w:sz w:val="24"/>
          <w:highlight w:val="none"/>
          <w:u w:val="single"/>
          <w:lang w:val="zh-CN"/>
        </w:rPr>
        <w:t>编号：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wordWrap w:val="0"/>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kern w:val="0"/>
          <w:sz w:val="24"/>
          <w:highlight w:val="none"/>
          <w:lang w:val="zh-CN"/>
        </w:rPr>
        <w:t>(单位均为人民币元)</w:t>
      </w:r>
    </w:p>
    <w:tbl>
      <w:tblPr>
        <w:tblStyle w:val="62"/>
        <w:tblpPr w:leftFromText="180" w:rightFromText="180" w:vertAnchor="text" w:horzAnchor="page" w:tblpX="1441" w:tblpY="360"/>
        <w:tblOverlap w:val="never"/>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087"/>
        <w:gridCol w:w="641"/>
        <w:gridCol w:w="615"/>
        <w:gridCol w:w="2347"/>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64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08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标项名称</w:t>
            </w:r>
          </w:p>
        </w:tc>
        <w:tc>
          <w:tcPr>
            <w:tcW w:w="64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61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234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核心产品</w:t>
            </w: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（称重系统）品牌</w:t>
            </w:r>
          </w:p>
        </w:tc>
        <w:tc>
          <w:tcPr>
            <w:tcW w:w="159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4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3087" w:type="dxa"/>
            <w:vAlign w:val="center"/>
          </w:tcPr>
          <w:p>
            <w:pPr>
              <w:spacing w:line="360" w:lineRule="auto"/>
              <w:jc w:val="center"/>
              <w:rPr>
                <w:rFonts w:ascii="仿宋" w:hAnsi="仿宋" w:eastAsia="仿宋" w:cs="仿宋"/>
                <w:b/>
                <w:color w:val="auto"/>
                <w:sz w:val="24"/>
                <w:highlight w:val="none"/>
              </w:rPr>
            </w:pPr>
          </w:p>
        </w:tc>
        <w:tc>
          <w:tcPr>
            <w:tcW w:w="64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61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套</w:t>
            </w:r>
          </w:p>
        </w:tc>
        <w:tc>
          <w:tcPr>
            <w:tcW w:w="2347" w:type="dxa"/>
            <w:vAlign w:val="center"/>
          </w:tcPr>
          <w:p>
            <w:pPr>
              <w:spacing w:line="360" w:lineRule="auto"/>
              <w:jc w:val="center"/>
              <w:rPr>
                <w:rFonts w:ascii="仿宋" w:hAnsi="仿宋" w:eastAsia="仿宋" w:cs="仿宋"/>
                <w:b/>
                <w:color w:val="auto"/>
                <w:sz w:val="24"/>
                <w:highlight w:val="none"/>
              </w:rPr>
            </w:pPr>
          </w:p>
        </w:tc>
        <w:tc>
          <w:tcPr>
            <w:tcW w:w="1590" w:type="dxa"/>
            <w:vAlign w:val="center"/>
          </w:tcPr>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4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2</w:t>
            </w:r>
          </w:p>
        </w:tc>
        <w:tc>
          <w:tcPr>
            <w:tcW w:w="3087" w:type="dxa"/>
            <w:vAlign w:val="center"/>
          </w:tcPr>
          <w:p>
            <w:pPr>
              <w:spacing w:line="360" w:lineRule="auto"/>
              <w:jc w:val="center"/>
              <w:rPr>
                <w:rFonts w:ascii="仿宋" w:hAnsi="仿宋" w:eastAsia="仿宋" w:cs="仿宋"/>
                <w:b/>
                <w:color w:val="auto"/>
                <w:sz w:val="24"/>
                <w:highlight w:val="none"/>
              </w:rPr>
            </w:pPr>
          </w:p>
        </w:tc>
        <w:tc>
          <w:tcPr>
            <w:tcW w:w="64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61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套</w:t>
            </w:r>
          </w:p>
        </w:tc>
        <w:tc>
          <w:tcPr>
            <w:tcW w:w="2347" w:type="dxa"/>
            <w:vAlign w:val="center"/>
          </w:tcPr>
          <w:p>
            <w:pPr>
              <w:spacing w:line="360" w:lineRule="auto"/>
              <w:jc w:val="center"/>
              <w:rPr>
                <w:rFonts w:ascii="仿宋" w:hAnsi="仿宋" w:eastAsia="仿宋" w:cs="仿宋"/>
                <w:b/>
                <w:color w:val="auto"/>
                <w:sz w:val="24"/>
                <w:highlight w:val="none"/>
              </w:rPr>
            </w:pPr>
          </w:p>
        </w:tc>
        <w:tc>
          <w:tcPr>
            <w:tcW w:w="1590" w:type="dxa"/>
            <w:vAlign w:val="center"/>
          </w:tcPr>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370" w:type="dxa"/>
            <w:gridSpan w:val="3"/>
            <w:vAlign w:val="center"/>
          </w:tcPr>
          <w:p>
            <w:pPr>
              <w:spacing w:line="360" w:lineRule="auto"/>
              <w:jc w:val="center"/>
              <w:rPr>
                <w:rFonts w:ascii="仿宋" w:hAnsi="仿宋" w:eastAsia="仿宋" w:cs="仿宋"/>
                <w:color w:val="auto"/>
                <w:highlight w:val="none"/>
              </w:rPr>
            </w:pPr>
            <w:r>
              <w:rPr>
                <w:rFonts w:hint="eastAsia" w:ascii="仿宋" w:hAnsi="仿宋" w:eastAsia="仿宋" w:cs="仿宋"/>
                <w:b/>
                <w:color w:val="auto"/>
                <w:sz w:val="24"/>
                <w:highlight w:val="none"/>
              </w:rPr>
              <w:t>投标报价（小写）</w:t>
            </w:r>
          </w:p>
        </w:tc>
        <w:tc>
          <w:tcPr>
            <w:tcW w:w="4552" w:type="dxa"/>
            <w:gridSpan w:val="3"/>
            <w:vAlign w:val="center"/>
          </w:tcPr>
          <w:p>
            <w:pPr>
              <w:spacing w:line="360" w:lineRule="auto"/>
              <w:jc w:val="center"/>
              <w:rPr>
                <w:rFonts w:ascii="仿宋" w:hAnsi="仿宋" w:eastAsia="仿宋" w:cs="仿宋"/>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370" w:type="dxa"/>
            <w:gridSpan w:val="3"/>
            <w:vAlign w:val="center"/>
          </w:tcPr>
          <w:p>
            <w:pPr>
              <w:spacing w:line="360" w:lineRule="auto"/>
              <w:jc w:val="center"/>
              <w:rPr>
                <w:rFonts w:ascii="仿宋" w:hAnsi="仿宋" w:eastAsia="仿宋" w:cs="仿宋"/>
                <w:color w:val="auto"/>
                <w:highlight w:val="none"/>
              </w:rPr>
            </w:pPr>
            <w:r>
              <w:rPr>
                <w:rFonts w:hint="eastAsia" w:ascii="仿宋" w:hAnsi="仿宋" w:eastAsia="仿宋" w:cs="仿宋"/>
                <w:b/>
                <w:color w:val="auto"/>
                <w:sz w:val="24"/>
                <w:highlight w:val="none"/>
              </w:rPr>
              <w:t>投标报价（大写）</w:t>
            </w:r>
          </w:p>
        </w:tc>
        <w:tc>
          <w:tcPr>
            <w:tcW w:w="4552" w:type="dxa"/>
            <w:gridSpan w:val="3"/>
            <w:vAlign w:val="center"/>
          </w:tcPr>
          <w:p>
            <w:pPr>
              <w:spacing w:line="360" w:lineRule="auto"/>
              <w:jc w:val="center"/>
              <w:rPr>
                <w:rFonts w:ascii="仿宋" w:hAnsi="仿宋" w:eastAsia="仿宋" w:cs="仿宋"/>
                <w:color w:val="auto"/>
                <w:highlight w:val="none"/>
              </w:rPr>
            </w:pPr>
          </w:p>
        </w:tc>
      </w:tr>
    </w:tbl>
    <w:p>
      <w:pPr>
        <w:wordWrap w:val="0"/>
        <w:spacing w:line="360" w:lineRule="auto"/>
        <w:rPr>
          <w:rFonts w:ascii="仿宋" w:hAnsi="仿宋" w:eastAsia="仿宋" w:cs="仿宋"/>
          <w:b/>
          <w:color w:val="auto"/>
          <w:kern w:val="0"/>
          <w:sz w:val="24"/>
          <w:highlight w:val="none"/>
          <w:lang w:val="zh-CN"/>
        </w:rPr>
      </w:pPr>
    </w:p>
    <w:p>
      <w:pPr>
        <w:wordWrap w:val="0"/>
        <w:snapToGrid w:val="0"/>
        <w:spacing w:line="360" w:lineRule="auto"/>
        <w:ind w:left="48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wordWrap w:val="0"/>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1、投标人需按本表格式填写，格式、已列内容不得自行更改。</w:t>
      </w:r>
    </w:p>
    <w:p>
      <w:pPr>
        <w:wordWrap w:val="0"/>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w:t>
      </w:r>
      <w:r>
        <w:rPr>
          <w:rFonts w:hint="eastAsia" w:ascii="仿宋" w:hAnsi="仿宋" w:eastAsia="仿宋" w:cs="仿宋"/>
          <w:color w:val="auto"/>
          <w:kern w:val="0"/>
          <w:sz w:val="24"/>
          <w:highlight w:val="none"/>
          <w:lang w:val="zh-CN"/>
        </w:rPr>
        <w:sym w:font="Wingdings" w:char="00A8"/>
      </w:r>
      <w:r>
        <w:rPr>
          <w:rFonts w:hint="eastAsia" w:ascii="仿宋" w:hAnsi="仿宋" w:eastAsia="仿宋" w:cs="仿宋"/>
          <w:color w:val="auto"/>
          <w:kern w:val="0"/>
          <w:sz w:val="24"/>
          <w:highlight w:val="none"/>
          <w:lang w:val="zh-CN"/>
        </w:rPr>
        <w:t>货物类项目填写规格型号，</w:t>
      </w:r>
      <w:r>
        <w:rPr>
          <w:rFonts w:hint="eastAsia" w:ascii="仿宋" w:hAnsi="仿宋" w:eastAsia="仿宋" w:cs="仿宋"/>
          <w:color w:val="auto"/>
          <w:kern w:val="0"/>
          <w:sz w:val="24"/>
          <w:highlight w:val="none"/>
          <w:lang w:val="zh-CN"/>
        </w:rPr>
        <w:sym w:font="Wingdings" w:char="00FE"/>
      </w:r>
      <w:r>
        <w:rPr>
          <w:rFonts w:hint="eastAsia" w:ascii="仿宋" w:hAnsi="仿宋" w:eastAsia="仿宋" w:cs="仿宋"/>
          <w:color w:val="auto"/>
          <w:kern w:val="0"/>
          <w:sz w:val="24"/>
          <w:highlight w:val="none"/>
          <w:lang w:val="zh-CN"/>
        </w:rPr>
        <w:t>服务类项目填写具体服务。</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4、特别提示：采购代理机构将对项目名称和项目编号，中标供应商名称、地址和中标金额，主要中标标的的名称、规格型号、数量、单价、服务要求等予以公示。</w:t>
      </w:r>
    </w:p>
    <w:p>
      <w:pPr>
        <w:pStyle w:val="61"/>
        <w:wordWrap w:val="0"/>
        <w:spacing w:after="0" w:line="360" w:lineRule="auto"/>
        <w:ind w:left="0" w:leftChars="0"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sym w:font="Wingdings" w:char="00FE"/>
      </w:r>
      <w:r>
        <w:rPr>
          <w:rFonts w:hint="eastAsia" w:ascii="仿宋" w:hAnsi="仿宋" w:eastAsia="仿宋" w:cs="仿宋"/>
          <w:color w:val="auto"/>
          <w:kern w:val="0"/>
          <w:sz w:val="24"/>
          <w:szCs w:val="22"/>
          <w:highlight w:val="none"/>
          <w:lang w:val="zh-CN"/>
        </w:rPr>
        <w:t>5、</w:t>
      </w:r>
      <w:r>
        <w:rPr>
          <w:rFonts w:hint="eastAsia" w:ascii="仿宋" w:hAnsi="仿宋" w:eastAsia="仿宋" w:cs="仿宋"/>
          <w:b/>
          <w:bCs/>
          <w:color w:val="auto"/>
          <w:kern w:val="0"/>
          <w:sz w:val="24"/>
          <w:szCs w:val="22"/>
          <w:highlight w:val="none"/>
          <w:lang w:val="zh-CN"/>
        </w:rPr>
        <w:t>本项目</w:t>
      </w:r>
      <w:r>
        <w:rPr>
          <w:rFonts w:hint="eastAsia" w:ascii="仿宋" w:hAnsi="仿宋" w:eastAsia="仿宋" w:cs="仿宋"/>
          <w:b/>
          <w:bCs/>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1"/>
        <w:wordWrap w:val="0"/>
        <w:spacing w:after="0" w:line="360" w:lineRule="auto"/>
        <w:ind w:left="0" w:leftChars="0" w:firstLine="480"/>
        <w:jc w:val="right"/>
        <w:rPr>
          <w:rFonts w:ascii="仿宋" w:hAnsi="仿宋" w:eastAsia="仿宋" w:cs="仿宋"/>
          <w:color w:val="auto"/>
          <w:kern w:val="0"/>
          <w:sz w:val="24"/>
          <w:highlight w:val="none"/>
          <w:lang w:val="zh-CN"/>
        </w:rPr>
      </w:pPr>
    </w:p>
    <w:p>
      <w:pPr>
        <w:pStyle w:val="61"/>
        <w:wordWrap w:val="0"/>
        <w:spacing w:after="0" w:line="360" w:lineRule="auto"/>
        <w:ind w:left="0" w:leftChars="0" w:firstLine="48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pStyle w:val="61"/>
        <w:wordWrap w:val="0"/>
        <w:spacing w:after="0" w:line="360" w:lineRule="auto"/>
        <w:ind w:left="0" w:leftChars="0" w:firstLine="48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p>
    <w:p>
      <w:pPr>
        <w:snapToGrid w:val="0"/>
        <w:spacing w:before="120" w:after="120"/>
        <w:ind w:firstLine="643"/>
        <w:outlineLvl w:val="2"/>
        <w:rPr>
          <w:rFonts w:ascii="仿宋" w:hAnsi="仿宋" w:eastAsia="仿宋" w:cs="仿宋"/>
          <w:color w:val="auto"/>
          <w:sz w:val="32"/>
          <w:szCs w:val="32"/>
          <w:highlight w:val="none"/>
        </w:rPr>
      </w:pPr>
      <w:bookmarkStart w:id="476" w:name="_Toc13189"/>
      <w:bookmarkStart w:id="477" w:name="_Toc10363"/>
      <w:bookmarkStart w:id="478" w:name="_Toc336683580"/>
      <w:bookmarkStart w:id="479" w:name="_Toc345575540"/>
      <w:bookmarkStart w:id="480" w:name="_Toc26887"/>
      <w:bookmarkStart w:id="481" w:name="_Toc15901"/>
      <w:bookmarkStart w:id="482" w:name="_Toc29327"/>
      <w:bookmarkStart w:id="483" w:name="_Toc10965"/>
      <w:bookmarkStart w:id="484" w:name="_Toc16669"/>
      <w:bookmarkStart w:id="485" w:name="_Toc19744"/>
      <w:bookmarkStart w:id="486" w:name="_Toc16525"/>
      <w:bookmarkStart w:id="487" w:name="_Toc24377"/>
      <w:r>
        <w:rPr>
          <w:rFonts w:hint="eastAsia" w:ascii="仿宋" w:hAnsi="仿宋" w:eastAsia="仿宋" w:cs="仿宋"/>
          <w:color w:val="auto"/>
          <w:sz w:val="32"/>
          <w:szCs w:val="32"/>
          <w:highlight w:val="none"/>
        </w:rPr>
        <w:br w:type="page"/>
      </w:r>
    </w:p>
    <w:p>
      <w:pPr>
        <w:pStyle w:val="692"/>
        <w:keepNext w:val="0"/>
        <w:pageBreakBefore w:val="0"/>
        <w:tabs>
          <w:tab w:val="clear" w:pos="720"/>
        </w:tabs>
        <w:snapToGrid w:val="0"/>
        <w:spacing w:before="120" w:after="120"/>
        <w:ind w:firstLine="643"/>
        <w:outlineLvl w:val="2"/>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二、投标价格组成明细表</w:t>
      </w:r>
      <w:bookmarkEnd w:id="476"/>
      <w:bookmarkEnd w:id="477"/>
      <w:bookmarkEnd w:id="478"/>
      <w:bookmarkEnd w:id="479"/>
    </w:p>
    <w:p>
      <w:pPr>
        <w:pStyle w:val="33"/>
        <w:snapToGrid w:val="0"/>
        <w:spacing w:line="300" w:lineRule="auto"/>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（详见设施量清单）</w:t>
      </w:r>
    </w:p>
    <w:p>
      <w:pPr>
        <w:pStyle w:val="33"/>
        <w:snapToGrid w:val="0"/>
        <w:spacing w:line="300" w:lineRule="auto"/>
        <w:rPr>
          <w:rFonts w:ascii="仿宋" w:hAnsi="仿宋" w:eastAsia="仿宋" w:cs="仿宋"/>
          <w:color w:val="auto"/>
          <w:kern w:val="0"/>
          <w:sz w:val="24"/>
          <w:szCs w:val="24"/>
          <w:highlight w:val="none"/>
        </w:rPr>
      </w:pPr>
    </w:p>
    <w:p>
      <w:pPr>
        <w:pStyle w:val="33"/>
        <w:snapToGrid w:val="0"/>
        <w:spacing w:line="300" w:lineRule="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说明：</w:t>
      </w:r>
    </w:p>
    <w:p>
      <w:pPr>
        <w:snapToGrid w:val="0"/>
        <w:spacing w:line="30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（1）本项目的投标应以人民币报价，投标人报价应是包括为完成本工程项目可能发生的全部费用及成交人的利润和应交纳的税金等一切费用，采购项目不出具联系单。</w:t>
      </w:r>
    </w:p>
    <w:p>
      <w:pPr>
        <w:snapToGrid w:val="0"/>
        <w:spacing w:line="30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w:t>
      </w:r>
      <w:r>
        <w:rPr>
          <w:rFonts w:hint="eastAsia" w:ascii="仿宋" w:hAnsi="仿宋" w:eastAsia="仿宋" w:cs="仿宋"/>
          <w:b/>
          <w:bCs/>
          <w:color w:val="auto"/>
          <w:kern w:val="0"/>
          <w:sz w:val="24"/>
          <w:highlight w:val="none"/>
          <w:lang w:val="zh-CN"/>
        </w:rPr>
        <w:t>按提供的工程量清单分别报价，报价内容按工程量清单逐一报价，若有漏项，视为已包含在内。</w:t>
      </w:r>
    </w:p>
    <w:p>
      <w:pPr>
        <w:pStyle w:val="33"/>
        <w:snapToGrid w:val="0"/>
        <w:spacing w:line="300" w:lineRule="auto"/>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（3）表中不得有给予采购人的赠品、回扣或者与本项目采购无关的其他商品、服务。</w:t>
      </w:r>
    </w:p>
    <w:p>
      <w:pPr>
        <w:autoSpaceDE w:val="0"/>
        <w:autoSpaceDN w:val="0"/>
        <w:spacing w:line="360" w:lineRule="auto"/>
        <w:ind w:right="1120"/>
        <w:jc w:val="left"/>
        <w:rPr>
          <w:rFonts w:ascii="仿宋" w:hAnsi="仿宋" w:eastAsia="仿宋" w:cs="仿宋"/>
          <w:color w:val="auto"/>
          <w:kern w:val="0"/>
          <w:sz w:val="24"/>
          <w:highlight w:val="none"/>
          <w:lang w:val="zh-CN"/>
        </w:rPr>
      </w:pPr>
    </w:p>
    <w:p>
      <w:pPr>
        <w:autoSpaceDE w:val="0"/>
        <w:autoSpaceDN w:val="0"/>
        <w:spacing w:line="360" w:lineRule="auto"/>
        <w:ind w:right="112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pStyle w:val="61"/>
        <w:spacing w:after="0" w:line="360" w:lineRule="auto"/>
        <w:ind w:left="0" w:leftChars="0" w:firstLine="640"/>
        <w:jc w:val="center"/>
        <w:rPr>
          <w:rFonts w:ascii="仿宋" w:hAnsi="仿宋" w:eastAsia="仿宋" w:cs="仿宋"/>
          <w:color w:val="auto"/>
          <w:sz w:val="32"/>
          <w:szCs w:val="32"/>
          <w:highlight w:val="none"/>
        </w:rPr>
      </w:pPr>
    </w:p>
    <w:p>
      <w:pPr>
        <w:wordWrap w:val="0"/>
        <w:spacing w:line="360" w:lineRule="auto"/>
        <w:ind w:firstLine="480"/>
        <w:jc w:val="righ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692"/>
        <w:keepNext w:val="0"/>
        <w:tabs>
          <w:tab w:val="clear" w:pos="720"/>
        </w:tabs>
        <w:wordWrap w:val="0"/>
        <w:snapToGrid w:val="0"/>
        <w:spacing w:before="120" w:after="120"/>
        <w:ind w:firstLine="643"/>
        <w:outlineLvl w:val="2"/>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sym w:font="Wingdings" w:char="00A8"/>
      </w:r>
      <w:r>
        <w:rPr>
          <w:rFonts w:hint="eastAsia" w:ascii="仿宋" w:hAnsi="仿宋" w:eastAsia="仿宋" w:cs="仿宋"/>
          <w:color w:val="auto"/>
          <w:kern w:val="2"/>
          <w:sz w:val="32"/>
          <w:szCs w:val="32"/>
          <w:highlight w:val="none"/>
        </w:rPr>
        <w:t>三、</w:t>
      </w:r>
      <w:r>
        <w:rPr>
          <w:rFonts w:hint="eastAsia" w:ascii="仿宋" w:hAnsi="仿宋" w:eastAsia="仿宋" w:cs="仿宋"/>
          <w:color w:val="auto"/>
          <w:sz w:val="32"/>
          <w:szCs w:val="32"/>
          <w:highlight w:val="none"/>
        </w:rPr>
        <w:t>中小企业声明函</w:t>
      </w:r>
      <w:bookmarkEnd w:id="480"/>
      <w:bookmarkEnd w:id="481"/>
      <w:bookmarkEnd w:id="482"/>
      <w:bookmarkEnd w:id="483"/>
      <w:bookmarkEnd w:id="484"/>
      <w:bookmarkEnd w:id="485"/>
      <w:bookmarkEnd w:id="486"/>
      <w:bookmarkEnd w:id="487"/>
    </w:p>
    <w:p>
      <w:pPr>
        <w:widowControl/>
        <w:wordWrap w:val="0"/>
        <w:spacing w:line="360" w:lineRule="auto"/>
        <w:ind w:firstLine="120" w:firstLineChars="50"/>
        <w:jc w:val="left"/>
        <w:rPr>
          <w:rFonts w:ascii="仿宋" w:hAnsi="仿宋" w:eastAsia="仿宋" w:cs="仿宋"/>
          <w:b/>
          <w:color w:val="auto"/>
          <w:sz w:val="24"/>
          <w:highlight w:val="none"/>
        </w:rPr>
      </w:pPr>
    </w:p>
    <w:p>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本项目落实政府采购政策需满足的资格要求为“无”，即本项目未预留份额专门面向中小企业，符合《政府采购促进中小企业发展管理办法》规定的小微企业拟享受价格扣除政策的，需在报价文件中提供中小企业声明函（附件5）。]</w:t>
      </w:r>
    </w:p>
    <w:p>
      <w:pPr>
        <w:widowControl/>
        <w:wordWrap w:val="0"/>
        <w:spacing w:line="360" w:lineRule="auto"/>
        <w:ind w:firstLine="120" w:firstLineChars="50"/>
        <w:jc w:val="left"/>
        <w:rPr>
          <w:rFonts w:ascii="仿宋" w:hAnsi="仿宋" w:eastAsia="仿宋" w:cs="仿宋"/>
          <w:b/>
          <w:color w:val="auto"/>
          <w:sz w:val="24"/>
          <w:highlight w:val="none"/>
        </w:rPr>
      </w:pPr>
    </w:p>
    <w:p>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本项目落实政府采购政策需满足的资格要求为“专门面向中小企业”，即本项目为预留份额专门面向中小企业，符合《政府采购促进中小企业发展管理办法》规定的中小企业应在资格文件部分提供中小企业声明函，报价文件中无需重复提供。]</w:t>
      </w: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widowControl/>
        <w:wordWrap w:val="0"/>
        <w:spacing w:before="100" w:beforeAutospacing="1" w:after="100" w:afterAutospacing="1" w:line="360" w:lineRule="auto"/>
        <w:rPr>
          <w:rFonts w:ascii="仿宋" w:hAnsi="仿宋" w:eastAsia="仿宋" w:cs="仿宋"/>
          <w:color w:val="auto"/>
          <w:highlight w:val="none"/>
        </w:rPr>
        <w:sectPr>
          <w:footerReference r:id="rId22" w:type="first"/>
          <w:headerReference r:id="rId19" w:type="default"/>
          <w:footerReference r:id="rId20" w:type="default"/>
          <w:footerReference r:id="rId21" w:type="even"/>
          <w:pgSz w:w="11905" w:h="16838"/>
          <w:pgMar w:top="652" w:right="1417" w:bottom="680" w:left="1417" w:header="539" w:footer="425" w:gutter="0"/>
          <w:cols w:space="0" w:num="1"/>
          <w:titlePg/>
          <w:docGrid w:linePitch="312" w:charSpace="0"/>
        </w:sectPr>
      </w:pPr>
      <w:bookmarkStart w:id="488" w:name="_Toc29548"/>
      <w:bookmarkStart w:id="489" w:name="_Toc21803"/>
      <w:bookmarkStart w:id="490" w:name="_Toc465665161"/>
      <w:bookmarkStart w:id="491" w:name="_Toc11681"/>
      <w:bookmarkStart w:id="492" w:name="_Toc19385"/>
      <w:bookmarkStart w:id="493" w:name="_Toc18247"/>
    </w:p>
    <w:p>
      <w:pPr>
        <w:pStyle w:val="3"/>
        <w:keepNext w:val="0"/>
        <w:keepLines w:val="0"/>
        <w:widowControl/>
        <w:wordWrap w:val="0"/>
        <w:spacing w:before="100" w:beforeAutospacing="1" w:after="100" w:afterAutospacing="1" w:line="360" w:lineRule="auto"/>
        <w:rPr>
          <w:rFonts w:ascii="仿宋" w:hAnsi="仿宋" w:eastAsia="仿宋" w:cs="仿宋"/>
          <w:color w:val="auto"/>
          <w:highlight w:val="none"/>
        </w:rPr>
      </w:pPr>
      <w:bookmarkStart w:id="494" w:name="_Toc1812"/>
      <w:r>
        <w:rPr>
          <w:rFonts w:hint="eastAsia" w:ascii="仿宋" w:hAnsi="仿宋" w:eastAsia="仿宋" w:cs="仿宋"/>
          <w:color w:val="auto"/>
          <w:highlight w:val="none"/>
        </w:rPr>
        <w:t>附件</w:t>
      </w:r>
      <w:bookmarkEnd w:id="488"/>
      <w:bookmarkEnd w:id="489"/>
      <w:bookmarkEnd w:id="490"/>
      <w:bookmarkEnd w:id="491"/>
      <w:bookmarkEnd w:id="492"/>
      <w:bookmarkEnd w:id="493"/>
      <w:bookmarkEnd w:id="494"/>
    </w:p>
    <w:p>
      <w:pPr>
        <w:wordWrap w:val="0"/>
        <w:spacing w:line="360" w:lineRule="auto"/>
        <w:outlineLvl w:val="0"/>
        <w:rPr>
          <w:rFonts w:ascii="仿宋" w:hAnsi="仿宋" w:eastAsia="仿宋" w:cs="仿宋"/>
          <w:b/>
          <w:color w:val="auto"/>
          <w:spacing w:val="6"/>
          <w:sz w:val="32"/>
          <w:szCs w:val="32"/>
          <w:highlight w:val="none"/>
        </w:rPr>
      </w:pPr>
      <w:bookmarkStart w:id="495" w:name="_Toc25826"/>
      <w:bookmarkStart w:id="496" w:name="_Toc4640"/>
      <w:bookmarkStart w:id="497" w:name="_Toc31021"/>
      <w:bookmarkStart w:id="498" w:name="_Toc24540"/>
      <w:bookmarkStart w:id="499" w:name="_Toc19435"/>
      <w:bookmarkStart w:id="500" w:name="_Toc7886"/>
      <w:bookmarkStart w:id="501" w:name="_Toc7995"/>
      <w:bookmarkStart w:id="502" w:name="_Toc14817"/>
      <w:r>
        <w:rPr>
          <w:rFonts w:hint="eastAsia" w:ascii="仿宋" w:hAnsi="仿宋" w:eastAsia="仿宋" w:cs="仿宋"/>
          <w:b/>
          <w:color w:val="auto"/>
          <w:spacing w:val="6"/>
          <w:sz w:val="32"/>
          <w:szCs w:val="32"/>
          <w:highlight w:val="none"/>
        </w:rPr>
        <w:t>附件1：</w:t>
      </w:r>
      <w:bookmarkEnd w:id="495"/>
      <w:bookmarkEnd w:id="496"/>
      <w:bookmarkEnd w:id="497"/>
      <w:bookmarkEnd w:id="498"/>
      <w:bookmarkEnd w:id="499"/>
      <w:bookmarkEnd w:id="500"/>
      <w:bookmarkEnd w:id="501"/>
      <w:bookmarkEnd w:id="502"/>
    </w:p>
    <w:p>
      <w:pPr>
        <w:wordWrap w:val="0"/>
        <w:spacing w:line="360" w:lineRule="auto"/>
        <w:jc w:val="center"/>
        <w:rPr>
          <w:rFonts w:ascii="仿宋" w:hAnsi="仿宋" w:eastAsia="仿宋" w:cs="仿宋"/>
          <w:b/>
          <w:color w:val="auto"/>
          <w:spacing w:val="6"/>
          <w:sz w:val="32"/>
          <w:szCs w:val="32"/>
          <w:highlight w:val="none"/>
        </w:rPr>
      </w:pPr>
      <w:bookmarkStart w:id="503" w:name="OLE_LINK13"/>
      <w:bookmarkStart w:id="504" w:name="OLE_LINK14"/>
      <w:r>
        <w:rPr>
          <w:rFonts w:hint="eastAsia" w:ascii="仿宋" w:hAnsi="仿宋" w:eastAsia="仿宋" w:cs="仿宋"/>
          <w:b/>
          <w:color w:val="auto"/>
          <w:spacing w:val="6"/>
          <w:sz w:val="32"/>
          <w:szCs w:val="32"/>
          <w:highlight w:val="none"/>
        </w:rPr>
        <w:t>残疾人福利性单位声明函</w:t>
      </w:r>
    </w:p>
    <w:bookmarkEnd w:id="503"/>
    <w:bookmarkEnd w:id="504"/>
    <w:p>
      <w:pPr>
        <w:wordWrap w:val="0"/>
        <w:spacing w:line="360" w:lineRule="auto"/>
        <w:rPr>
          <w:rFonts w:ascii="仿宋" w:hAnsi="仿宋" w:eastAsia="仿宋" w:cs="仿宋"/>
          <w:b/>
          <w:color w:val="auto"/>
          <w:spacing w:val="6"/>
          <w:sz w:val="30"/>
          <w:szCs w:val="30"/>
          <w:highlight w:val="none"/>
        </w:rPr>
      </w:pP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杭州市市政设施管理中心  </w:t>
      </w:r>
      <w:r>
        <w:rPr>
          <w:rFonts w:hint="eastAsia" w:ascii="仿宋" w:hAnsi="仿宋" w:eastAsia="仿宋" w:cs="仿宋"/>
          <w:color w:val="auto"/>
          <w:sz w:val="24"/>
          <w:highlight w:val="none"/>
        </w:rPr>
        <w:t>单位的   江东大桥车辆动态称重系统改造工程【项目编号： 】采购活动提供本单位</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制造的货物</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本单位承担工程</w:t>
      </w: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本单位提供服务），或者提供其他残疾人福利性单位制造的货物（不包括使用非残疾人福利性单位注册商标的货物）。</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wordWrap w:val="0"/>
        <w:spacing w:line="360" w:lineRule="auto"/>
        <w:ind w:firstLine="480" w:firstLineChars="200"/>
        <w:rPr>
          <w:rFonts w:ascii="仿宋" w:hAnsi="仿宋" w:eastAsia="仿宋" w:cs="仿宋"/>
          <w:color w:val="auto"/>
          <w:sz w:val="24"/>
          <w:highlight w:val="none"/>
        </w:rPr>
      </w:pPr>
    </w:p>
    <w:p>
      <w:pPr>
        <w:wordWrap w:val="0"/>
        <w:spacing w:line="360" w:lineRule="auto"/>
        <w:ind w:firstLine="480" w:firstLineChars="200"/>
        <w:rPr>
          <w:rFonts w:ascii="仿宋" w:hAnsi="仿宋" w:eastAsia="仿宋" w:cs="仿宋"/>
          <w:color w:val="auto"/>
          <w:sz w:val="24"/>
          <w:highlight w:val="none"/>
        </w:rPr>
      </w:pP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wordWrap w:val="0"/>
        <w:spacing w:line="360" w:lineRule="auto"/>
        <w:ind w:firstLine="480" w:firstLineChars="200"/>
        <w:rPr>
          <w:rFonts w:ascii="仿宋" w:hAnsi="仿宋" w:eastAsia="仿宋" w:cs="仿宋"/>
          <w:color w:val="auto"/>
          <w:sz w:val="24"/>
          <w:highlight w:val="none"/>
        </w:rPr>
      </w:pPr>
    </w:p>
    <w:p>
      <w:pPr>
        <w:wordWrap w:val="0"/>
        <w:spacing w:line="360" w:lineRule="auto"/>
        <w:ind w:firstLine="420" w:firstLineChars="200"/>
        <w:rPr>
          <w:rFonts w:ascii="仿宋" w:hAnsi="仿宋" w:eastAsia="仿宋" w:cs="仿宋"/>
          <w:color w:val="auto"/>
          <w:highlight w:val="none"/>
        </w:rPr>
      </w:pPr>
    </w:p>
    <w:p>
      <w:pPr>
        <w:wordWrap w:val="0"/>
        <w:spacing w:line="360" w:lineRule="auto"/>
        <w:ind w:firstLine="420" w:firstLineChars="200"/>
        <w:rPr>
          <w:rFonts w:ascii="仿宋" w:hAnsi="仿宋" w:eastAsia="仿宋" w:cs="仿宋"/>
          <w:color w:val="auto"/>
          <w:highlight w:val="none"/>
        </w:rPr>
      </w:pPr>
    </w:p>
    <w:p>
      <w:pPr>
        <w:wordWrap w:val="0"/>
        <w:spacing w:line="360" w:lineRule="auto"/>
        <w:ind w:firstLine="420" w:firstLineChars="200"/>
        <w:rPr>
          <w:rFonts w:ascii="仿宋" w:hAnsi="仿宋" w:eastAsia="仿宋" w:cs="仿宋"/>
          <w:color w:val="auto"/>
          <w:highlight w:val="none"/>
        </w:rPr>
      </w:pPr>
    </w:p>
    <w:p>
      <w:pPr>
        <w:wordWrap w:val="0"/>
        <w:spacing w:line="360" w:lineRule="auto"/>
        <w:ind w:firstLine="420" w:firstLineChars="200"/>
        <w:rPr>
          <w:rFonts w:ascii="仿宋" w:hAnsi="仿宋" w:eastAsia="仿宋" w:cs="仿宋"/>
          <w:color w:val="auto"/>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spacing w:line="360" w:lineRule="auto"/>
        <w:jc w:val="left"/>
        <w:outlineLvl w:val="0"/>
        <w:rPr>
          <w:rFonts w:ascii="仿宋" w:hAnsi="仿宋" w:eastAsia="仿宋" w:cs="仿宋"/>
          <w:b/>
          <w:color w:val="auto"/>
          <w:spacing w:val="6"/>
          <w:sz w:val="32"/>
          <w:szCs w:val="32"/>
          <w:highlight w:val="none"/>
        </w:rPr>
      </w:pPr>
      <w:bookmarkStart w:id="505" w:name="_Toc16946"/>
      <w:bookmarkStart w:id="506" w:name="_Toc19664"/>
      <w:bookmarkStart w:id="507" w:name="_Toc3891"/>
      <w:bookmarkStart w:id="508" w:name="_Toc25285"/>
      <w:bookmarkStart w:id="509" w:name="_Toc10890"/>
      <w:bookmarkStart w:id="510" w:name="_Toc16744"/>
      <w:bookmarkStart w:id="511" w:name="_Toc21976"/>
      <w:bookmarkStart w:id="512" w:name="_Toc10405"/>
      <w:r>
        <w:rPr>
          <w:rFonts w:hint="eastAsia" w:ascii="仿宋" w:hAnsi="仿宋" w:eastAsia="仿宋" w:cs="仿宋"/>
          <w:b/>
          <w:color w:val="auto"/>
          <w:spacing w:val="6"/>
          <w:sz w:val="32"/>
          <w:szCs w:val="32"/>
          <w:highlight w:val="none"/>
        </w:rPr>
        <w:t>附件2：质疑函范本及制作说明</w:t>
      </w:r>
      <w:bookmarkEnd w:id="505"/>
      <w:bookmarkEnd w:id="506"/>
      <w:bookmarkEnd w:id="507"/>
      <w:bookmarkEnd w:id="508"/>
      <w:bookmarkEnd w:id="509"/>
      <w:bookmarkEnd w:id="510"/>
      <w:bookmarkEnd w:id="511"/>
      <w:bookmarkEnd w:id="512"/>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wordWrap w:val="0"/>
        <w:snapToGrid w:val="0"/>
        <w:spacing w:before="240" w:beforeLines="100"/>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wordWrap w:val="0"/>
        <w:snapToGrid w:val="0"/>
        <w:rPr>
          <w:rFonts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napToGrid w:val="0"/>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wordWrap w:val="0"/>
        <w:snapToGrid w:val="0"/>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 w:hAnsi="仿宋" w:eastAsia="仿宋" w:cs="仿宋"/>
          <w:color w:val="auto"/>
          <w:sz w:val="30"/>
          <w:szCs w:val="30"/>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left"/>
        <w:outlineLvl w:val="0"/>
        <w:rPr>
          <w:rFonts w:ascii="仿宋" w:hAnsi="仿宋" w:eastAsia="仿宋" w:cs="仿宋"/>
          <w:b/>
          <w:color w:val="auto"/>
          <w:spacing w:val="6"/>
          <w:sz w:val="32"/>
          <w:szCs w:val="32"/>
          <w:highlight w:val="none"/>
        </w:rPr>
      </w:pPr>
      <w:bookmarkStart w:id="513" w:name="_Toc19370"/>
      <w:bookmarkStart w:id="514" w:name="_Toc4759"/>
      <w:bookmarkStart w:id="515" w:name="_Toc14739"/>
      <w:bookmarkStart w:id="516" w:name="_Toc26395"/>
      <w:bookmarkStart w:id="517" w:name="_Toc23740"/>
      <w:bookmarkStart w:id="518" w:name="_Toc1796"/>
      <w:bookmarkStart w:id="519" w:name="_Toc15183"/>
      <w:bookmarkStart w:id="520" w:name="_Toc13719"/>
      <w:r>
        <w:rPr>
          <w:rFonts w:hint="eastAsia" w:ascii="仿宋" w:hAnsi="仿宋" w:eastAsia="仿宋" w:cs="仿宋"/>
          <w:b/>
          <w:color w:val="auto"/>
          <w:spacing w:val="6"/>
          <w:sz w:val="32"/>
          <w:szCs w:val="32"/>
          <w:highlight w:val="none"/>
        </w:rPr>
        <w:t>附件3：投诉书范本及制作说明</w:t>
      </w:r>
      <w:bookmarkEnd w:id="513"/>
      <w:bookmarkEnd w:id="514"/>
      <w:bookmarkEnd w:id="515"/>
      <w:bookmarkEnd w:id="516"/>
      <w:bookmarkEnd w:id="517"/>
      <w:bookmarkEnd w:id="518"/>
      <w:bookmarkEnd w:id="519"/>
      <w:bookmarkEnd w:id="520"/>
    </w:p>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wordWrap w:val="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wordWrap w:val="0"/>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wordWrap w:val="0"/>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wordWrap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rPr>
          <w:rFonts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r>
        <w:rPr>
          <w:rFonts w:hint="eastAsia" w:ascii="仿宋" w:hAnsi="仿宋" w:eastAsia="仿宋" w:cs="仿宋"/>
          <w:b/>
          <w:color w:val="auto"/>
          <w:sz w:val="24"/>
          <w:highlight w:val="none"/>
        </w:rPr>
        <w:br w:type="page"/>
      </w:r>
    </w:p>
    <w:p>
      <w:pPr>
        <w:wordWrap w:val="0"/>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wordWrap w:val="0"/>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wordWrap w:val="0"/>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wordWrap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wordWrap w:val="0"/>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wordWrap w:val="0"/>
        <w:spacing w:line="360" w:lineRule="auto"/>
        <w:rPr>
          <w:rFonts w:ascii="仿宋" w:hAnsi="仿宋" w:eastAsia="仿宋" w:cs="仿宋"/>
          <w:b/>
          <w:color w:val="auto"/>
          <w:sz w:val="24"/>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autoSpaceDE w:val="0"/>
        <w:autoSpaceDN w:val="0"/>
        <w:jc w:val="left"/>
        <w:outlineLvl w:val="0"/>
        <w:rPr>
          <w:rFonts w:ascii="仿宋" w:hAnsi="仿宋" w:eastAsia="仿宋" w:cs="仿宋"/>
          <w:b/>
          <w:bCs/>
          <w:color w:val="auto"/>
          <w:sz w:val="32"/>
          <w:szCs w:val="32"/>
          <w:highlight w:val="none"/>
        </w:rPr>
      </w:pPr>
      <w:bookmarkStart w:id="521" w:name="_Toc30199"/>
      <w:bookmarkStart w:id="522" w:name="_Toc19508"/>
      <w:bookmarkStart w:id="523" w:name="_Toc28414"/>
      <w:bookmarkStart w:id="524" w:name="_Toc31326"/>
      <w:bookmarkStart w:id="525" w:name="_Toc25068"/>
      <w:bookmarkStart w:id="526" w:name="_Toc6620"/>
      <w:bookmarkStart w:id="527" w:name="_Toc14277"/>
      <w:bookmarkStart w:id="528" w:name="_Toc13943"/>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bookmarkEnd w:id="521"/>
      <w:bookmarkEnd w:id="522"/>
      <w:bookmarkEnd w:id="523"/>
      <w:bookmarkEnd w:id="524"/>
      <w:bookmarkEnd w:id="525"/>
      <w:bookmarkEnd w:id="526"/>
      <w:bookmarkEnd w:id="527"/>
      <w:bookmarkEnd w:id="528"/>
    </w:p>
    <w:p>
      <w:pPr>
        <w:wordWrap w:val="0"/>
        <w:spacing w:line="360" w:lineRule="auto"/>
        <w:rPr>
          <w:rFonts w:ascii="仿宋" w:hAnsi="仿宋" w:eastAsia="仿宋" w:cs="仿宋"/>
          <w:color w:val="auto"/>
          <w:sz w:val="24"/>
          <w:highlight w:val="none"/>
          <w:u w:val="single"/>
        </w:rPr>
      </w:pPr>
    </w:p>
    <w:p>
      <w:pPr>
        <w:wordWrap w:val="0"/>
        <w:spacing w:line="360" w:lineRule="auto"/>
        <w:rPr>
          <w:rFonts w:ascii="仿宋" w:hAnsi="仿宋" w:eastAsia="仿宋" w:cs="仿宋"/>
          <w:color w:val="auto"/>
          <w:sz w:val="24"/>
          <w:highlight w:val="none"/>
          <w:u w:val="single"/>
        </w:rPr>
      </w:pP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杭州市市政设施管理中心、浙江科佳工程咨询有限公司</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wordWrap w:val="0"/>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wordWrap w:val="0"/>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autoSpaceDE w:val="0"/>
        <w:autoSpaceDN w:val="0"/>
        <w:outlineLvl w:val="0"/>
        <w:rPr>
          <w:rFonts w:ascii="仿宋" w:hAnsi="仿宋" w:eastAsia="仿宋" w:cs="仿宋"/>
          <w:b/>
          <w:bCs/>
          <w:color w:val="auto"/>
          <w:sz w:val="32"/>
          <w:szCs w:val="32"/>
          <w:highlight w:val="none"/>
        </w:rPr>
      </w:pPr>
      <w:bookmarkStart w:id="529" w:name="_Toc13051"/>
      <w:bookmarkStart w:id="530" w:name="_Toc29318"/>
      <w:bookmarkStart w:id="531" w:name="_Toc23867"/>
      <w:bookmarkStart w:id="532" w:name="_Toc1904"/>
      <w:bookmarkStart w:id="533" w:name="_Toc23962"/>
      <w:bookmarkStart w:id="534" w:name="_Toc25308"/>
      <w:bookmarkStart w:id="535" w:name="_Toc31030"/>
      <w:bookmarkStart w:id="536" w:name="_Toc18469"/>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bookmarkEnd w:id="529"/>
      <w:bookmarkEnd w:id="530"/>
      <w:bookmarkEnd w:id="531"/>
      <w:bookmarkEnd w:id="532"/>
      <w:bookmarkEnd w:id="533"/>
      <w:bookmarkEnd w:id="534"/>
      <w:bookmarkEnd w:id="535"/>
      <w:bookmarkEnd w:id="536"/>
      <w:r>
        <w:rPr>
          <w:rFonts w:hint="eastAsia" w:ascii="仿宋" w:hAnsi="仿宋" w:eastAsia="仿宋" w:cs="仿宋"/>
          <w:b/>
          <w:color w:val="auto"/>
          <w:sz w:val="32"/>
          <w:szCs w:val="32"/>
          <w:highlight w:val="none"/>
        </w:rPr>
        <w:t>(非中小微企业可不填）</w:t>
      </w:r>
    </w:p>
    <w:p>
      <w:pPr>
        <w:wordWrap w:val="0"/>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sym w:font="Wingdings" w:char="00A8"/>
      </w: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w:t>
      </w:r>
      <w:r>
        <w:rPr>
          <w:rFonts w:hint="eastAsia" w:ascii="仿宋" w:hAnsi="仿宋" w:eastAsia="仿宋" w:cs="仿宋"/>
          <w:color w:val="auto"/>
          <w:sz w:val="24"/>
          <w:highlight w:val="none"/>
          <w:u w:val="single"/>
        </w:rPr>
        <w:t>（单位名称。联合体参加的，联合体所有成员名称）</w:t>
      </w:r>
      <w:r>
        <w:rPr>
          <w:rFonts w:hint="eastAsia" w:ascii="仿宋" w:hAnsi="仿宋" w:eastAsia="仿宋" w:cs="仿宋"/>
          <w:color w:val="auto"/>
          <w:sz w:val="24"/>
          <w:highlight w:val="none"/>
        </w:rPr>
        <w:t xml:space="preserve">参加 </w:t>
      </w:r>
      <w:r>
        <w:rPr>
          <w:rFonts w:hint="eastAsia" w:ascii="仿宋" w:hAnsi="仿宋" w:eastAsia="仿宋" w:cs="仿宋"/>
          <w:color w:val="auto"/>
          <w:sz w:val="24"/>
          <w:highlight w:val="none"/>
          <w:u w:val="single"/>
        </w:rPr>
        <w:t>（采购人单位名称）</w:t>
      </w:r>
      <w:r>
        <w:rPr>
          <w:rFonts w:hint="eastAsia" w:ascii="仿宋" w:hAnsi="仿宋" w:eastAsia="仿宋" w:cs="仿宋"/>
          <w:color w:val="auto"/>
          <w:sz w:val="24"/>
          <w:highlight w:val="none"/>
        </w:rPr>
        <w:t xml:space="preserve"> 的 </w:t>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采购活动，提供的货物全部由符合政策要求的  （</w:t>
      </w:r>
      <w:r>
        <w:rPr>
          <w:rFonts w:hint="eastAsia" w:ascii="仿宋" w:hAnsi="仿宋" w:eastAsia="仿宋" w:cs="仿宋"/>
          <w:color w:val="auto"/>
          <w:sz w:val="24"/>
          <w:highlight w:val="none"/>
          <w:u w:val="single"/>
        </w:rPr>
        <w:t>中/小/微</w:t>
      </w:r>
      <w:r>
        <w:rPr>
          <w:rFonts w:hint="eastAsia" w:ascii="仿宋" w:hAnsi="仿宋" w:eastAsia="仿宋" w:cs="仿宋"/>
          <w:color w:val="auto"/>
          <w:sz w:val="24"/>
          <w:highlight w:val="none"/>
        </w:rPr>
        <w:t>）企业制造。相关企业（含联合体中的中小企业、签订分包意向协议的中小企业）的具体情况如下：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平板式称重主体</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工业（制造业）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1"/>
        <w:ind w:left="0" w:leftChars="0" w:firstLine="0" w:firstLineChars="0"/>
        <w:rPr>
          <w:color w:val="auto"/>
          <w:highlight w:val="none"/>
        </w:rPr>
      </w:pPr>
    </w:p>
    <w:p>
      <w:pPr>
        <w:pStyle w:val="61"/>
        <w:ind w:left="0" w:leftChars="0" w:firstLine="0" w:firstLineChars="0"/>
        <w:rPr>
          <w:color w:val="auto"/>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firstLine="422" w:firstLineChars="200"/>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从业人员、营业收入、资产总额填报上一年度数据，无上一年度数据的新成立企业可不填报。</w:t>
      </w:r>
    </w:p>
    <w:p>
      <w:pPr>
        <w:spacing w:line="360" w:lineRule="auto"/>
        <w:ind w:right="155" w:rightChars="7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155" w:rightChars="7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3"/>
        <w:ind w:firstLine="480" w:firstLineChars="200"/>
        <w:rPr>
          <w:color w:val="auto"/>
          <w:highlight w:val="none"/>
          <w:lang w:val="en-US"/>
        </w:rPr>
      </w:pPr>
      <w:r>
        <w:rPr>
          <w:rFonts w:ascii="仿宋" w:hAnsi="仿宋" w:eastAsia="仿宋" w:cs="仿宋"/>
          <w:snapToGrid/>
          <w:color w:val="auto"/>
          <w:szCs w:val="24"/>
          <w:highlight w:val="none"/>
          <w:lang w:val="en-US"/>
        </w:rPr>
        <w:t>3.</w:t>
      </w:r>
      <w:r>
        <w:rPr>
          <w:rFonts w:hint="eastAsia" w:ascii="仿宋" w:hAnsi="仿宋" w:eastAsia="仿宋" w:cs="仿宋"/>
          <w:snapToGrid/>
          <w:color w:val="auto"/>
          <w:szCs w:val="24"/>
          <w:highlight w:val="none"/>
          <w:lang w:val="en-US"/>
        </w:rPr>
        <w:t>招标文件提供的货物清单中每样货物（配件、辅料等材料除外）的制造商均如为中小企业，即每样货物（配件、辅料等材料除外）的制造商均应在声明中填写。标的所属</w:t>
      </w:r>
      <w:r>
        <w:rPr>
          <w:rFonts w:hint="eastAsia" w:ascii="仿宋" w:hAnsi="仿宋" w:eastAsia="仿宋" w:cs="仿宋"/>
          <w:color w:val="auto"/>
          <w:highlight w:val="none"/>
        </w:rPr>
        <w:t>行业中小企业划分标准如下：工业（制造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ordWrap w:val="0"/>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bCs/>
          <w:color w:val="auto"/>
          <w:sz w:val="24"/>
          <w:highlight w:val="none"/>
        </w:rPr>
        <w:t>4.事业单位、社会组织等非企业单位提供的货物、工程、服务，暂不享受政府采购支持中小企业的相关政策。</w:t>
      </w:r>
    </w:p>
    <w:p>
      <w:pPr>
        <w:pStyle w:val="61"/>
        <w:wordWrap w:val="0"/>
        <w:ind w:firstLine="420"/>
        <w:rPr>
          <w:rFonts w:ascii="仿宋" w:hAnsi="仿宋" w:eastAsia="仿宋" w:cs="仿宋"/>
          <w:color w:val="auto"/>
          <w:highlight w:val="none"/>
        </w:rPr>
      </w:pPr>
    </w:p>
    <w:p>
      <w:pPr>
        <w:wordWrap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ordWrap w:val="0"/>
        <w:snapToGrid w:val="0"/>
        <w:spacing w:before="50" w:after="50" w:line="360" w:lineRule="auto"/>
        <w:outlineLvl w:val="0"/>
        <w:rPr>
          <w:rFonts w:ascii="仿宋" w:hAnsi="仿宋" w:eastAsia="仿宋" w:cs="仿宋"/>
          <w:b/>
          <w:color w:val="auto"/>
          <w:kern w:val="0"/>
          <w:sz w:val="32"/>
          <w:szCs w:val="32"/>
          <w:highlight w:val="none"/>
        </w:rPr>
      </w:pPr>
      <w:bookmarkStart w:id="537" w:name="_Toc15498"/>
      <w:bookmarkStart w:id="538" w:name="_Toc8013"/>
      <w:bookmarkStart w:id="539" w:name="_Toc16741"/>
      <w:bookmarkStart w:id="540" w:name="_Toc13984"/>
      <w:bookmarkStart w:id="541" w:name="_Toc25620"/>
      <w:bookmarkStart w:id="542" w:name="_Toc15843"/>
      <w:bookmarkStart w:id="543" w:name="_Toc2500"/>
      <w:bookmarkStart w:id="544" w:name="_Toc28870"/>
      <w:r>
        <w:rPr>
          <w:rFonts w:hint="eastAsia" w:ascii="仿宋" w:hAnsi="仿宋" w:eastAsia="仿宋" w:cs="仿宋"/>
          <w:b/>
          <w:color w:val="auto"/>
          <w:kern w:val="0"/>
          <w:sz w:val="32"/>
          <w:szCs w:val="32"/>
          <w:highlight w:val="none"/>
        </w:rPr>
        <w:t>附件6</w:t>
      </w:r>
      <w:bookmarkEnd w:id="537"/>
      <w:bookmarkEnd w:id="538"/>
      <w:bookmarkEnd w:id="539"/>
      <w:r>
        <w:rPr>
          <w:rFonts w:hint="eastAsia" w:ascii="仿宋" w:hAnsi="仿宋" w:eastAsia="仿宋" w:cs="仿宋"/>
          <w:b/>
          <w:color w:val="auto"/>
          <w:kern w:val="0"/>
          <w:sz w:val="32"/>
          <w:szCs w:val="32"/>
          <w:highlight w:val="none"/>
        </w:rPr>
        <w:t xml:space="preserve"> </w:t>
      </w:r>
      <w:bookmarkEnd w:id="540"/>
      <w:bookmarkEnd w:id="541"/>
      <w:bookmarkEnd w:id="542"/>
      <w:r>
        <w:rPr>
          <w:rFonts w:hint="eastAsia" w:ascii="仿宋" w:hAnsi="仿宋" w:eastAsia="仿宋" w:cs="仿宋"/>
          <w:b/>
          <w:color w:val="auto"/>
          <w:kern w:val="0"/>
          <w:sz w:val="32"/>
          <w:szCs w:val="32"/>
          <w:highlight w:val="none"/>
        </w:rPr>
        <w:t>联合协议</w:t>
      </w:r>
      <w:bookmarkEnd w:id="543"/>
      <w:bookmarkEnd w:id="544"/>
    </w:p>
    <w:p>
      <w:pPr>
        <w:widowControl/>
        <w:wordWrap w:val="0"/>
        <w:spacing w:line="360" w:lineRule="auto"/>
        <w:ind w:firstLine="643" w:firstLineChars="20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widowControl/>
        <w:wordWrap w:val="0"/>
        <w:spacing w:line="360" w:lineRule="auto"/>
        <w:ind w:firstLine="482" w:firstLineChars="20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wordWrap w:val="0"/>
        <w:snapToGrid w:val="0"/>
        <w:ind w:firstLine="578"/>
        <w:rPr>
          <w:rFonts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color w:val="auto"/>
          <w:kern w:val="0"/>
          <w:sz w:val="24"/>
          <w:highlight w:val="none"/>
          <w:lang w:val="zh-CN"/>
        </w:rPr>
        <w:t xml:space="preserve">投标。 </w:t>
      </w:r>
      <w:r>
        <w:rPr>
          <w:rFonts w:hint="eastAsia" w:ascii="仿宋" w:hAnsi="仿宋" w:eastAsia="仿宋" w:cs="仿宋"/>
          <w:color w:val="auto"/>
          <w:kern w:val="0"/>
          <w:sz w:val="24"/>
          <w:highlight w:val="none"/>
        </w:rPr>
        <w:t xml:space="preserve">    </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（填写联合体成员单位名称）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三、本项目项目负责人</w:t>
      </w:r>
      <w:r>
        <w:rPr>
          <w:rFonts w:hint="eastAsia" w:ascii="仿宋" w:hAnsi="仿宋" w:eastAsia="仿宋" w:cs="仿宋"/>
          <w:color w:val="auto"/>
          <w:kern w:val="0"/>
          <w:sz w:val="24"/>
          <w:highlight w:val="none"/>
          <w:u w:val="single"/>
          <w:lang w:val="zh-CN"/>
        </w:rPr>
        <w:t>（</w:t>
      </w:r>
      <w:r>
        <w:rPr>
          <w:rFonts w:hint="eastAsia" w:ascii="仿宋" w:hAnsi="仿宋" w:eastAsia="仿宋" w:cs="仿宋"/>
          <w:color w:val="auto"/>
          <w:kern w:val="0"/>
          <w:sz w:val="24"/>
          <w:highlight w:val="none"/>
          <w:u w:val="single"/>
        </w:rPr>
        <w:t xml:space="preserve">   填写</w:t>
      </w:r>
      <w:r>
        <w:rPr>
          <w:rFonts w:hint="eastAsia" w:ascii="仿宋" w:hAnsi="仿宋" w:eastAsia="仿宋" w:cs="仿宋"/>
          <w:color w:val="auto"/>
          <w:kern w:val="0"/>
          <w:sz w:val="24"/>
          <w:highlight w:val="none"/>
          <w:u w:val="single"/>
          <w:lang w:val="zh-CN"/>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 xml:space="preserve">由 </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single"/>
        </w:rPr>
        <w:t>填写单位名称）</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方派遣。</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四、</w:t>
      </w:r>
      <w:r>
        <w:rPr>
          <w:rFonts w:hint="eastAsia" w:ascii="仿宋" w:hAnsi="仿宋" w:eastAsia="仿宋" w:cs="仿宋"/>
          <w:color w:val="auto"/>
          <w:kern w:val="0"/>
          <w:sz w:val="24"/>
          <w:highlight w:val="none"/>
          <w:lang w:val="zh-CN"/>
        </w:rPr>
        <w:t>本次联合投标中，分工如下：</w:t>
      </w:r>
      <w:r>
        <w:rPr>
          <w:rFonts w:hint="eastAsia" w:ascii="仿宋" w:hAnsi="仿宋" w:eastAsia="仿宋" w:cs="仿宋"/>
          <w:color w:val="auto"/>
          <w:kern w:val="0"/>
          <w:sz w:val="24"/>
          <w:highlight w:val="none"/>
          <w:u w:val="single"/>
        </w:rPr>
        <w:t>（填写联合体其中一方成员名称）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（填写联合体其中一方成员名称）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五</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牵头人</w:t>
      </w:r>
      <w:r>
        <w:rPr>
          <w:rFonts w:hint="eastAsia" w:ascii="仿宋" w:hAnsi="仿宋" w:eastAsia="仿宋" w:cs="仿宋"/>
          <w:color w:val="auto"/>
          <w:sz w:val="24"/>
          <w:highlight w:val="none"/>
        </w:rPr>
        <w:t>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%（应超过50%）。</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六</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七</w:t>
      </w:r>
      <w:r>
        <w:rPr>
          <w:rFonts w:hint="eastAsia" w:ascii="仿宋" w:hAnsi="仿宋" w:eastAsia="仿宋" w:cs="仿宋"/>
          <w:color w:val="auto"/>
          <w:kern w:val="0"/>
          <w:sz w:val="24"/>
          <w:highlight w:val="none"/>
          <w:lang w:val="zh-CN"/>
        </w:rPr>
        <w:t>、有关本次联合投标的其他事宜：</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wordWrap w:val="0"/>
        <w:snapToGrid w:val="0"/>
        <w:ind w:firstLine="578"/>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4、其他联合体双方约定的事项：</w:t>
      </w:r>
      <w:r>
        <w:rPr>
          <w:rFonts w:hint="eastAsia" w:ascii="仿宋" w:hAnsi="仿宋" w:eastAsia="仿宋" w:cs="仿宋"/>
          <w:color w:val="auto"/>
          <w:kern w:val="0"/>
          <w:sz w:val="24"/>
          <w:highlight w:val="none"/>
          <w:u w:val="single"/>
          <w:lang w:bidi="ar"/>
        </w:rPr>
        <w:t xml:space="preserve">                             </w:t>
      </w:r>
    </w:p>
    <w:p>
      <w:pPr>
        <w:wordWrap w:val="0"/>
        <w:snapToGrid w:val="0"/>
        <w:spacing w:line="276" w:lineRule="auto"/>
        <w:ind w:firstLine="578"/>
        <w:rPr>
          <w:rFonts w:ascii="仿宋" w:hAnsi="仿宋" w:eastAsia="仿宋" w:cs="仿宋"/>
          <w:color w:val="auto"/>
          <w:kern w:val="0"/>
          <w:sz w:val="24"/>
          <w:highlight w:val="none"/>
          <w:lang w:val="zh-CN"/>
        </w:rPr>
      </w:pPr>
    </w:p>
    <w:p>
      <w:pPr>
        <w:wordWrap w:val="0"/>
        <w:spacing w:line="276" w:lineRule="auto"/>
        <w:ind w:right="420"/>
        <w:rPr>
          <w:rFonts w:ascii="仿宋" w:hAnsi="仿宋" w:eastAsia="仿宋" w:cs="仿宋"/>
          <w:color w:val="auto"/>
          <w:sz w:val="24"/>
          <w:highlight w:val="none"/>
        </w:rPr>
      </w:pPr>
    </w:p>
    <w:p>
      <w:pPr>
        <w:wordWrap w:val="0"/>
        <w:spacing w:line="276" w:lineRule="auto"/>
        <w:ind w:right="420"/>
        <w:rPr>
          <w:rFonts w:ascii="仿宋" w:hAnsi="仿宋" w:eastAsia="仿宋" w:cs="仿宋"/>
          <w:color w:val="auto"/>
          <w:sz w:val="24"/>
          <w:highlight w:val="none"/>
        </w:rPr>
      </w:pPr>
    </w:p>
    <w:p>
      <w:pPr>
        <w:wordWrap w:val="0"/>
        <w:spacing w:line="276"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注：1.按本格式和要求提供。</w:t>
      </w:r>
    </w:p>
    <w:p>
      <w:pPr>
        <w:wordWrap w:val="0"/>
        <w:autoSpaceDE w:val="0"/>
        <w:autoSpaceDN w:val="0"/>
        <w:spacing w:line="276" w:lineRule="auto"/>
        <w:ind w:firstLine="480" w:firstLineChars="200"/>
        <w:rPr>
          <w:rFonts w:ascii="仿宋" w:hAnsi="仿宋" w:eastAsia="仿宋" w:cs="仿宋"/>
          <w:b/>
          <w:color w:val="auto"/>
          <w:spacing w:val="6"/>
          <w:sz w:val="32"/>
          <w:szCs w:val="32"/>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附项目负责人单位社保缴纳证明。</w:t>
      </w:r>
    </w:p>
    <w:p>
      <w:pPr>
        <w:wordWrap w:val="0"/>
        <w:snapToGrid w:val="0"/>
        <w:spacing w:line="27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联合体牵头人名称</w:t>
      </w:r>
    </w:p>
    <w:p>
      <w:pPr>
        <w:wordWrap w:val="0"/>
        <w:snapToGrid w:val="0"/>
        <w:spacing w:line="27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7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p>
    <w:p>
      <w:pPr>
        <w:wordWrap w:val="0"/>
        <w:snapToGrid w:val="0"/>
        <w:spacing w:line="27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76"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wordWrap w:val="0"/>
        <w:snapToGrid w:val="0"/>
        <w:spacing w:line="360" w:lineRule="auto"/>
        <w:outlineLvl w:val="0"/>
        <w:rPr>
          <w:rFonts w:ascii="仿宋" w:hAnsi="仿宋" w:eastAsia="仿宋" w:cs="仿宋"/>
          <w:b/>
          <w:color w:val="auto"/>
          <w:kern w:val="0"/>
          <w:sz w:val="32"/>
          <w:szCs w:val="32"/>
          <w:highlight w:val="none"/>
        </w:rPr>
      </w:pPr>
      <w:bookmarkStart w:id="545" w:name="_Toc30868"/>
      <w:bookmarkStart w:id="546" w:name="_Toc3992"/>
      <w:bookmarkStart w:id="547" w:name="_Toc32513"/>
      <w:bookmarkStart w:id="548" w:name="_Toc31060"/>
      <w:bookmarkStart w:id="549" w:name="_Toc3962"/>
      <w:bookmarkStart w:id="550" w:name="_Toc29153"/>
      <w:bookmarkStart w:id="551" w:name="_Toc2793"/>
      <w:bookmarkStart w:id="552" w:name="_Toc26897"/>
      <w:r>
        <w:rPr>
          <w:rFonts w:hint="eastAsia" w:ascii="仿宋" w:hAnsi="仿宋" w:eastAsia="仿宋" w:cs="仿宋"/>
          <w:b/>
          <w:color w:val="auto"/>
          <w:kern w:val="0"/>
          <w:sz w:val="32"/>
          <w:szCs w:val="32"/>
          <w:highlight w:val="none"/>
        </w:rPr>
        <w:t>附件7</w:t>
      </w:r>
      <w:bookmarkEnd w:id="545"/>
      <w:bookmarkEnd w:id="546"/>
      <w:bookmarkEnd w:id="547"/>
      <w:r>
        <w:rPr>
          <w:rFonts w:hint="eastAsia" w:ascii="仿宋" w:hAnsi="仿宋" w:eastAsia="仿宋" w:cs="仿宋"/>
          <w:b/>
          <w:color w:val="auto"/>
          <w:kern w:val="0"/>
          <w:sz w:val="32"/>
          <w:szCs w:val="32"/>
          <w:highlight w:val="none"/>
        </w:rPr>
        <w:t xml:space="preserve"> 分包意向协议</w:t>
      </w:r>
      <w:bookmarkEnd w:id="548"/>
      <w:bookmarkEnd w:id="549"/>
      <w:bookmarkEnd w:id="550"/>
      <w:bookmarkEnd w:id="551"/>
      <w:bookmarkEnd w:id="552"/>
    </w:p>
    <w:p>
      <w:pPr>
        <w:wordWrap w:val="0"/>
        <w:snapToGrid w:val="0"/>
        <w:spacing w:line="360" w:lineRule="auto"/>
        <w:ind w:firstLine="3534" w:firstLineChars="11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ordWrap w:val="0"/>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（每个分包商单独提供）</w:t>
      </w:r>
    </w:p>
    <w:p>
      <w:pPr>
        <w:widowControl/>
        <w:wordWrap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同意将非主体、非关键性的工作分包。若非主体、非关键性工作已由联合体成员承担的，则不允许分包。分包份额不得超过总包单位。投标人中标后以分包方式履行合同的，提供分包意向协议；不以分包方式履行合同的，则无需提供。）</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rPr>
        <w:t>江东大桥车辆动态称重系统改造工程【项目编号：  】</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（填写投标人名称）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（填写投标人名称）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wordWrap w:val="0"/>
        <w:snapToGrid w:val="0"/>
        <w:spacing w:line="288"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wordWrap w:val="0"/>
        <w:snapToGrid w:val="0"/>
        <w:spacing w:line="288"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wordWrap w:val="0"/>
        <w:snapToGrid w:val="0"/>
        <w:spacing w:line="360" w:lineRule="auto"/>
        <w:ind w:firstLine="720" w:firstLineChars="3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1.中小企业合同金额达到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wordWrap w:val="0"/>
        <w:snapToGrid w:val="0"/>
        <w:spacing w:line="288"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288" w:lineRule="auto"/>
        <w:ind w:left="5746" w:leftChars="2622" w:hanging="240" w:hangingChars="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88" w:lineRule="auto"/>
        <w:ind w:firstLine="4800" w:firstLineChars="20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88"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Style w:val="61"/>
        <w:wordWrap w:val="0"/>
        <w:spacing w:after="0" w:line="288" w:lineRule="auto"/>
        <w:ind w:firstLine="480"/>
        <w:rPr>
          <w:rFonts w:ascii="仿宋" w:hAnsi="仿宋" w:eastAsia="仿宋" w:cs="仿宋"/>
          <w:color w:val="auto"/>
          <w:highlight w:val="none"/>
        </w:rPr>
      </w:pPr>
      <w:r>
        <w:rPr>
          <w:rFonts w:hint="eastAsia" w:ascii="仿宋" w:hAnsi="仿宋" w:eastAsia="仿宋" w:cs="仿宋"/>
          <w:color w:val="auto"/>
          <w:kern w:val="0"/>
          <w:sz w:val="24"/>
          <w:highlight w:val="none"/>
          <w:lang w:val="zh-CN"/>
        </w:rPr>
        <w:t xml:space="preserve">                                        日期：  年  月   日</w:t>
      </w:r>
    </w:p>
    <w:p>
      <w:pPr>
        <w:wordWrap w:val="0"/>
        <w:spacing w:line="360" w:lineRule="auto"/>
        <w:rPr>
          <w:rFonts w:ascii="仿宋" w:hAnsi="仿宋" w:eastAsia="仿宋" w:cs="仿宋"/>
          <w:color w:val="auto"/>
          <w:highlight w:val="none"/>
        </w:rPr>
      </w:pPr>
      <w:r>
        <w:rPr>
          <w:rFonts w:hint="eastAsia" w:ascii="仿宋" w:hAnsi="仿宋" w:eastAsia="仿宋" w:cs="仿宋"/>
          <w:color w:val="auto"/>
          <w:sz w:val="24"/>
          <w:highlight w:val="none"/>
        </w:rPr>
        <w:t>注：按本格式和要求提供。</w:t>
      </w:r>
    </w:p>
    <w:sectPr>
      <w:pgSz w:w="11905" w:h="16838"/>
      <w:pgMar w:top="652" w:right="1417" w:bottom="680" w:left="1417" w:header="539" w:footer="425"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roma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Futura Bk">
    <w:altName w:val="Segoe Print"/>
    <w:panose1 w:val="00000000000000000000"/>
    <w:charset w:val="00"/>
    <w:family w:val="modern"/>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modern"/>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decorative"/>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modern"/>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Cumberland">
    <w:altName w:val="微软雅黑"/>
    <w:panose1 w:val="00000000000000000000"/>
    <w:charset w:val="00"/>
    <w:family w:val="roma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modern"/>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decorative"/>
    <w:pitch w:val="default"/>
    <w:sig w:usb0="00000000" w:usb1="00000000" w:usb2="00000000" w:usb3="00000000" w:csb0="00000011" w:csb1="00000000"/>
  </w:font>
  <w:font w:name=".PingFang SC">
    <w:altName w:val="微软雅黑"/>
    <w:panose1 w:val="00000000000000000000"/>
    <w:charset w:val="86"/>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separate"/>
    </w:r>
    <w:r>
      <w:rPr>
        <w:rStyle w:val="72"/>
      </w:rPr>
      <w:t>25</w: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53" w:name="_Toc36110187"/>
    <w:bookmarkStart w:id="554" w:name="_Toc131845147"/>
    <w:bookmarkStart w:id="555" w:name="_Toc164085800"/>
    <w:bookmarkStart w:id="556" w:name="_Toc91899912"/>
    <w:r>
      <w:rPr>
        <w:rFonts w:hint="eastAsia" w:ascii="仿宋_GB2312" w:eastAsia="仿宋_GB2312"/>
        <w:kern w:val="0"/>
        <w:szCs w:val="21"/>
      </w:rPr>
      <w:t xml:space="preserve"> 页</w:t>
    </w:r>
    <w:bookmarkEnd w:id="553"/>
    <w:bookmarkEnd w:id="554"/>
    <w:bookmarkEnd w:id="555"/>
    <w:bookmarkEnd w:id="5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4"/>
      </w:pBdr>
      <w:jc w:val="right"/>
      <w:rPr>
        <w:rFonts w:ascii="仿宋_GB2312" w:eastAsia="仿宋_GB2312"/>
        <w:i/>
        <w:u w:val="single"/>
      </w:rP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enter" w:pos="4535"/>
        <w:tab w:val="right" w:pos="9070"/>
        <w:tab w:val="clear" w:pos="4153"/>
        <w:tab w:val="clear" w:pos="8306"/>
      </w:tabs>
      <w:jc w:val="right"/>
    </w:pP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ind w:firstLine="420"/>
    </w:pP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u w:val="single"/>
      </w:rPr>
    </w:pPr>
    <w:r>
      <w:rPr>
        <w:rFonts w:hint="eastAsia"/>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24E00"/>
    <w:multiLevelType w:val="singleLevel"/>
    <w:tmpl w:val="87B24E00"/>
    <w:lvl w:ilvl="0" w:tentative="0">
      <w:start w:val="12"/>
      <w:numFmt w:val="decimal"/>
      <w:suff w:val="space"/>
      <w:lvlText w:val="%1."/>
      <w:lvlJc w:val="left"/>
    </w:lvl>
  </w:abstractNum>
  <w:abstractNum w:abstractNumId="1">
    <w:nsid w:val="A4FBC09B"/>
    <w:multiLevelType w:val="singleLevel"/>
    <w:tmpl w:val="A4FBC09B"/>
    <w:lvl w:ilvl="0" w:tentative="0">
      <w:start w:val="9"/>
      <w:numFmt w:val="decimal"/>
      <w:suff w:val="nothing"/>
      <w:lvlText w:val="%1、"/>
      <w:lvlJc w:val="left"/>
    </w:lvl>
  </w:abstractNum>
  <w:abstractNum w:abstractNumId="2">
    <w:nsid w:val="AD2EE9C4"/>
    <w:multiLevelType w:val="singleLevel"/>
    <w:tmpl w:val="AD2EE9C4"/>
    <w:lvl w:ilvl="0" w:tentative="0">
      <w:start w:val="20"/>
      <w:numFmt w:val="decimal"/>
      <w:suff w:val="space"/>
      <w:lvlText w:val="%1."/>
      <w:lvlJc w:val="left"/>
    </w:lvl>
  </w:abstractNum>
  <w:abstractNum w:abstractNumId="3">
    <w:nsid w:val="C23B31A3"/>
    <w:multiLevelType w:val="singleLevel"/>
    <w:tmpl w:val="C23B31A3"/>
    <w:lvl w:ilvl="0" w:tentative="0">
      <w:start w:val="1"/>
      <w:numFmt w:val="decimal"/>
      <w:suff w:val="nothing"/>
      <w:lvlText w:val="（%1）"/>
      <w:lvlJc w:val="left"/>
    </w:lvl>
  </w:abstractNum>
  <w:abstractNum w:abstractNumId="4">
    <w:nsid w:val="C6C902EB"/>
    <w:multiLevelType w:val="singleLevel"/>
    <w:tmpl w:val="C6C902EB"/>
    <w:lvl w:ilvl="0" w:tentative="0">
      <w:start w:val="16"/>
      <w:numFmt w:val="decimal"/>
      <w:suff w:val="space"/>
      <w:lvlText w:val="%1."/>
      <w:lvlJc w:val="left"/>
    </w:lvl>
  </w:abstractNum>
  <w:abstractNum w:abstractNumId="5">
    <w:nsid w:val="C9362CF7"/>
    <w:multiLevelType w:val="singleLevel"/>
    <w:tmpl w:val="C9362CF7"/>
    <w:lvl w:ilvl="0" w:tentative="0">
      <w:start w:val="7"/>
      <w:numFmt w:val="decimal"/>
      <w:lvlText w:val="%1."/>
      <w:lvlJc w:val="left"/>
      <w:pPr>
        <w:tabs>
          <w:tab w:val="left" w:pos="312"/>
        </w:tabs>
      </w:pPr>
    </w:lvl>
  </w:abstractNum>
  <w:abstractNum w:abstractNumId="6">
    <w:nsid w:val="EEBCB84E"/>
    <w:multiLevelType w:val="singleLevel"/>
    <w:tmpl w:val="EEBCB84E"/>
    <w:lvl w:ilvl="0" w:tentative="0">
      <w:start w:val="1"/>
      <w:numFmt w:val="chineseCounting"/>
      <w:suff w:val="nothing"/>
      <w:lvlText w:val="%1、"/>
      <w:lvlJc w:val="left"/>
      <w:rPr>
        <w:rFonts w:hint="eastAsia"/>
      </w:rPr>
    </w:lvl>
  </w:abstractNum>
  <w:abstractNum w:abstractNumId="7">
    <w:nsid w:val="FE000763"/>
    <w:multiLevelType w:val="singleLevel"/>
    <w:tmpl w:val="FE000763"/>
    <w:lvl w:ilvl="0" w:tentative="0">
      <w:start w:val="8"/>
      <w:numFmt w:val="decimal"/>
      <w:suff w:val="space"/>
      <w:lvlText w:val="%1."/>
      <w:lvlJc w:val="left"/>
    </w:lvl>
  </w:abstractNum>
  <w:abstractNum w:abstractNumId="8">
    <w:nsid w:val="6C352E09"/>
    <w:multiLevelType w:val="singleLevel"/>
    <w:tmpl w:val="6C352E09"/>
    <w:lvl w:ilvl="0" w:tentative="0">
      <w:start w:val="3"/>
      <w:numFmt w:val="decimal"/>
      <w:lvlText w:val="%1."/>
      <w:lvlJc w:val="left"/>
      <w:pPr>
        <w:tabs>
          <w:tab w:val="left" w:pos="312"/>
        </w:tabs>
      </w:pPr>
    </w:lvl>
  </w:abstractNum>
  <w:abstractNum w:abstractNumId="9">
    <w:nsid w:val="7625C79A"/>
    <w:multiLevelType w:val="singleLevel"/>
    <w:tmpl w:val="7625C79A"/>
    <w:lvl w:ilvl="0" w:tentative="0">
      <w:start w:val="2"/>
      <w:numFmt w:val="decimal"/>
      <w:suff w:val="space"/>
      <w:lvlText w:val="%1."/>
      <w:lvlJc w:val="left"/>
    </w:lvl>
  </w:abstractNum>
  <w:abstractNum w:abstractNumId="10">
    <w:nsid w:val="792045E3"/>
    <w:multiLevelType w:val="singleLevel"/>
    <w:tmpl w:val="792045E3"/>
    <w:lvl w:ilvl="0" w:tentative="0">
      <w:start w:val="6"/>
      <w:numFmt w:val="chineseCounting"/>
      <w:suff w:val="nothing"/>
      <w:lvlText w:val="%1、"/>
      <w:lvlJc w:val="left"/>
      <w:rPr>
        <w:rFonts w:hint="eastAsia"/>
      </w:rPr>
    </w:lvl>
  </w:abstractNum>
  <w:num w:numId="1">
    <w:abstractNumId w:val="8"/>
  </w:num>
  <w:num w:numId="2">
    <w:abstractNumId w:val="9"/>
  </w:num>
  <w:num w:numId="3">
    <w:abstractNumId w:val="7"/>
  </w:num>
  <w:num w:numId="4">
    <w:abstractNumId w:val="0"/>
  </w:num>
  <w:num w:numId="5">
    <w:abstractNumId w:val="4"/>
  </w:num>
  <w:num w:numId="6">
    <w:abstractNumId w:val="2"/>
  </w:num>
  <w:num w:numId="7">
    <w:abstractNumId w:val="1"/>
  </w:num>
  <w:num w:numId="8">
    <w:abstractNumId w:val="3"/>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HorizontalSpacing w:val="210"/>
  <w:drawingGridVerticalSpacing w:val="-794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iNDNiZGE1ZmRkMWQzYjkxOWQzMzBjY2M3MGVmYzcifQ=="/>
    <w:docVar w:name="KSO_WPS_MARK_KEY" w:val="4162c88e-7a97-4f8a-914e-66eeeef13e78"/>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58B8"/>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4E"/>
    <w:rsid w:val="000357E4"/>
    <w:rsid w:val="00035ACA"/>
    <w:rsid w:val="00040447"/>
    <w:rsid w:val="00040494"/>
    <w:rsid w:val="00040B70"/>
    <w:rsid w:val="00042441"/>
    <w:rsid w:val="00042533"/>
    <w:rsid w:val="00042DBB"/>
    <w:rsid w:val="00042E65"/>
    <w:rsid w:val="0004347C"/>
    <w:rsid w:val="00043907"/>
    <w:rsid w:val="00044F48"/>
    <w:rsid w:val="00047354"/>
    <w:rsid w:val="000477D5"/>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30F"/>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6AA3"/>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47A"/>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0B7"/>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59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4EA"/>
    <w:rsid w:val="00316CDE"/>
    <w:rsid w:val="0031752D"/>
    <w:rsid w:val="00317709"/>
    <w:rsid w:val="00320688"/>
    <w:rsid w:val="00320B75"/>
    <w:rsid w:val="00321DB7"/>
    <w:rsid w:val="00321E7A"/>
    <w:rsid w:val="0032226D"/>
    <w:rsid w:val="003235E6"/>
    <w:rsid w:val="00324038"/>
    <w:rsid w:val="00324951"/>
    <w:rsid w:val="003249F6"/>
    <w:rsid w:val="00324B2F"/>
    <w:rsid w:val="00324F36"/>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65D"/>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EC2"/>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28B"/>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4DE7"/>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4C7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37AA"/>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3D31"/>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69B7"/>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643"/>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956"/>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E37"/>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57B"/>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6CD"/>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8F7A95"/>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2CA"/>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096"/>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16"/>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34F9"/>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2B4F"/>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2D0"/>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3A6"/>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C9F"/>
    <w:rsid w:val="00B25F8C"/>
    <w:rsid w:val="00B260BE"/>
    <w:rsid w:val="00B26677"/>
    <w:rsid w:val="00B26A96"/>
    <w:rsid w:val="00B274E3"/>
    <w:rsid w:val="00B2765C"/>
    <w:rsid w:val="00B27C4B"/>
    <w:rsid w:val="00B30563"/>
    <w:rsid w:val="00B3069E"/>
    <w:rsid w:val="00B30A76"/>
    <w:rsid w:val="00B31246"/>
    <w:rsid w:val="00B32295"/>
    <w:rsid w:val="00B33AB5"/>
    <w:rsid w:val="00B33CA3"/>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4B0A"/>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66F"/>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1D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373D"/>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8A5"/>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1EC"/>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3E60"/>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E70"/>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44BD"/>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98D"/>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3F68"/>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9C3"/>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BED"/>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8F4ACF"/>
    <w:rsid w:val="019E3EF6"/>
    <w:rsid w:val="019F7441"/>
    <w:rsid w:val="01B37585"/>
    <w:rsid w:val="01D55165"/>
    <w:rsid w:val="01DF6BF8"/>
    <w:rsid w:val="01EB4811"/>
    <w:rsid w:val="01EC2C57"/>
    <w:rsid w:val="02392050"/>
    <w:rsid w:val="026B2E25"/>
    <w:rsid w:val="02824D4D"/>
    <w:rsid w:val="02A86694"/>
    <w:rsid w:val="02AD2356"/>
    <w:rsid w:val="02DA6776"/>
    <w:rsid w:val="02DC4B10"/>
    <w:rsid w:val="02DD76CE"/>
    <w:rsid w:val="02F36323"/>
    <w:rsid w:val="02F5619C"/>
    <w:rsid w:val="03222B47"/>
    <w:rsid w:val="0326446A"/>
    <w:rsid w:val="032D5555"/>
    <w:rsid w:val="033301DC"/>
    <w:rsid w:val="0336740B"/>
    <w:rsid w:val="036634D2"/>
    <w:rsid w:val="03885263"/>
    <w:rsid w:val="039E79AC"/>
    <w:rsid w:val="03C75283"/>
    <w:rsid w:val="03DD35E4"/>
    <w:rsid w:val="03FC5F2A"/>
    <w:rsid w:val="04076900"/>
    <w:rsid w:val="041A5A3B"/>
    <w:rsid w:val="0421121E"/>
    <w:rsid w:val="042311BA"/>
    <w:rsid w:val="042B157A"/>
    <w:rsid w:val="043C694D"/>
    <w:rsid w:val="043E286E"/>
    <w:rsid w:val="046C5C2A"/>
    <w:rsid w:val="048F763B"/>
    <w:rsid w:val="049F330E"/>
    <w:rsid w:val="04AA775C"/>
    <w:rsid w:val="04AF1889"/>
    <w:rsid w:val="04F66F48"/>
    <w:rsid w:val="05164F23"/>
    <w:rsid w:val="0522318E"/>
    <w:rsid w:val="05251E14"/>
    <w:rsid w:val="052845F3"/>
    <w:rsid w:val="05560C2A"/>
    <w:rsid w:val="0559183C"/>
    <w:rsid w:val="055D2919"/>
    <w:rsid w:val="05A16594"/>
    <w:rsid w:val="05A7762D"/>
    <w:rsid w:val="05AA7D56"/>
    <w:rsid w:val="060E5941"/>
    <w:rsid w:val="06110FAF"/>
    <w:rsid w:val="06493CA7"/>
    <w:rsid w:val="065A6178"/>
    <w:rsid w:val="06623713"/>
    <w:rsid w:val="066F1CF3"/>
    <w:rsid w:val="06930BB8"/>
    <w:rsid w:val="069F3F4E"/>
    <w:rsid w:val="06B75E22"/>
    <w:rsid w:val="06D620B4"/>
    <w:rsid w:val="06F131F4"/>
    <w:rsid w:val="06F757B1"/>
    <w:rsid w:val="07245D42"/>
    <w:rsid w:val="07264C62"/>
    <w:rsid w:val="0779354C"/>
    <w:rsid w:val="07A149DB"/>
    <w:rsid w:val="07FE23B9"/>
    <w:rsid w:val="08061376"/>
    <w:rsid w:val="08163393"/>
    <w:rsid w:val="0835002D"/>
    <w:rsid w:val="08452D77"/>
    <w:rsid w:val="086401F8"/>
    <w:rsid w:val="08751CAA"/>
    <w:rsid w:val="087E4C40"/>
    <w:rsid w:val="08992B8D"/>
    <w:rsid w:val="08D66AD6"/>
    <w:rsid w:val="08DA33A3"/>
    <w:rsid w:val="08E80F13"/>
    <w:rsid w:val="08ED4692"/>
    <w:rsid w:val="09265ED9"/>
    <w:rsid w:val="09335624"/>
    <w:rsid w:val="093E1D59"/>
    <w:rsid w:val="0944690F"/>
    <w:rsid w:val="09535675"/>
    <w:rsid w:val="095F057D"/>
    <w:rsid w:val="09642282"/>
    <w:rsid w:val="09733572"/>
    <w:rsid w:val="09772C16"/>
    <w:rsid w:val="097F75FA"/>
    <w:rsid w:val="098353B5"/>
    <w:rsid w:val="099C619C"/>
    <w:rsid w:val="09A92330"/>
    <w:rsid w:val="09B06B87"/>
    <w:rsid w:val="09BD5DBE"/>
    <w:rsid w:val="09C13146"/>
    <w:rsid w:val="09C851E3"/>
    <w:rsid w:val="09E04166"/>
    <w:rsid w:val="0A1C0718"/>
    <w:rsid w:val="0A3E7710"/>
    <w:rsid w:val="0A5B7E63"/>
    <w:rsid w:val="0A67494D"/>
    <w:rsid w:val="0A99714B"/>
    <w:rsid w:val="0A9D6381"/>
    <w:rsid w:val="0AA374A5"/>
    <w:rsid w:val="0AAB7649"/>
    <w:rsid w:val="0ABC5606"/>
    <w:rsid w:val="0B30404E"/>
    <w:rsid w:val="0B3166EB"/>
    <w:rsid w:val="0B4C6C14"/>
    <w:rsid w:val="0B5E5DFE"/>
    <w:rsid w:val="0B631A88"/>
    <w:rsid w:val="0B683D45"/>
    <w:rsid w:val="0B7F3F11"/>
    <w:rsid w:val="0B884417"/>
    <w:rsid w:val="0BBA6DAD"/>
    <w:rsid w:val="0BF34DED"/>
    <w:rsid w:val="0BF6188C"/>
    <w:rsid w:val="0BF7195A"/>
    <w:rsid w:val="0BF73C91"/>
    <w:rsid w:val="0C170175"/>
    <w:rsid w:val="0C571A41"/>
    <w:rsid w:val="0C5C1171"/>
    <w:rsid w:val="0C5E1CBC"/>
    <w:rsid w:val="0C615B50"/>
    <w:rsid w:val="0C812B51"/>
    <w:rsid w:val="0C8445DA"/>
    <w:rsid w:val="0C87121B"/>
    <w:rsid w:val="0CB007AA"/>
    <w:rsid w:val="0CC007F7"/>
    <w:rsid w:val="0CCE74AD"/>
    <w:rsid w:val="0CD53211"/>
    <w:rsid w:val="0CFB02D1"/>
    <w:rsid w:val="0CFE707A"/>
    <w:rsid w:val="0D063BDA"/>
    <w:rsid w:val="0D08375F"/>
    <w:rsid w:val="0D184CFB"/>
    <w:rsid w:val="0D4A7419"/>
    <w:rsid w:val="0D7875D9"/>
    <w:rsid w:val="0D827401"/>
    <w:rsid w:val="0D84094E"/>
    <w:rsid w:val="0D8A00E9"/>
    <w:rsid w:val="0D8D589E"/>
    <w:rsid w:val="0DA01C73"/>
    <w:rsid w:val="0DB13DD6"/>
    <w:rsid w:val="0DD63300"/>
    <w:rsid w:val="0DF50604"/>
    <w:rsid w:val="0DF702FE"/>
    <w:rsid w:val="0E060E51"/>
    <w:rsid w:val="0E363CD9"/>
    <w:rsid w:val="0E5604B2"/>
    <w:rsid w:val="0E6D5D79"/>
    <w:rsid w:val="0E8E54F5"/>
    <w:rsid w:val="0E9D0089"/>
    <w:rsid w:val="0EB803EE"/>
    <w:rsid w:val="0EF8579D"/>
    <w:rsid w:val="0EF94D4B"/>
    <w:rsid w:val="0F12144F"/>
    <w:rsid w:val="0F183AD3"/>
    <w:rsid w:val="0F2928DC"/>
    <w:rsid w:val="0F46111F"/>
    <w:rsid w:val="0F4958DC"/>
    <w:rsid w:val="0F4D6454"/>
    <w:rsid w:val="0F4E001C"/>
    <w:rsid w:val="0F515DF7"/>
    <w:rsid w:val="0F596BA8"/>
    <w:rsid w:val="0F6248D2"/>
    <w:rsid w:val="0F6600DC"/>
    <w:rsid w:val="0F693536"/>
    <w:rsid w:val="0F7B0511"/>
    <w:rsid w:val="0F7B76D9"/>
    <w:rsid w:val="0F816ACD"/>
    <w:rsid w:val="0F9832DB"/>
    <w:rsid w:val="0FA62ACE"/>
    <w:rsid w:val="0FBF3FD2"/>
    <w:rsid w:val="0FBF7FF3"/>
    <w:rsid w:val="10150A56"/>
    <w:rsid w:val="10646583"/>
    <w:rsid w:val="107D4B15"/>
    <w:rsid w:val="108A3C80"/>
    <w:rsid w:val="10A17219"/>
    <w:rsid w:val="10A673BF"/>
    <w:rsid w:val="10C26171"/>
    <w:rsid w:val="10F33360"/>
    <w:rsid w:val="10F4351A"/>
    <w:rsid w:val="10FC16EA"/>
    <w:rsid w:val="110F1D40"/>
    <w:rsid w:val="11266F33"/>
    <w:rsid w:val="1139575D"/>
    <w:rsid w:val="114A2981"/>
    <w:rsid w:val="115E6AF7"/>
    <w:rsid w:val="116374F7"/>
    <w:rsid w:val="118963A1"/>
    <w:rsid w:val="11916802"/>
    <w:rsid w:val="11C6522A"/>
    <w:rsid w:val="11CC0423"/>
    <w:rsid w:val="11E104CC"/>
    <w:rsid w:val="11E20309"/>
    <w:rsid w:val="11F857D4"/>
    <w:rsid w:val="12255233"/>
    <w:rsid w:val="12530213"/>
    <w:rsid w:val="12594386"/>
    <w:rsid w:val="126A32DB"/>
    <w:rsid w:val="127723A9"/>
    <w:rsid w:val="12780BC8"/>
    <w:rsid w:val="12862074"/>
    <w:rsid w:val="1288040F"/>
    <w:rsid w:val="12883966"/>
    <w:rsid w:val="129E45B4"/>
    <w:rsid w:val="12D81596"/>
    <w:rsid w:val="12FB0490"/>
    <w:rsid w:val="13072A44"/>
    <w:rsid w:val="133B576B"/>
    <w:rsid w:val="135F4BE2"/>
    <w:rsid w:val="136913B0"/>
    <w:rsid w:val="138A017E"/>
    <w:rsid w:val="139B1A0A"/>
    <w:rsid w:val="139D25C7"/>
    <w:rsid w:val="13BF3CE4"/>
    <w:rsid w:val="141008D8"/>
    <w:rsid w:val="14125FE6"/>
    <w:rsid w:val="1433345C"/>
    <w:rsid w:val="144E2788"/>
    <w:rsid w:val="146D271E"/>
    <w:rsid w:val="14931BE5"/>
    <w:rsid w:val="14982588"/>
    <w:rsid w:val="149A5AD9"/>
    <w:rsid w:val="14A7619D"/>
    <w:rsid w:val="14AC513B"/>
    <w:rsid w:val="15023D85"/>
    <w:rsid w:val="150536C3"/>
    <w:rsid w:val="150C1963"/>
    <w:rsid w:val="151447A0"/>
    <w:rsid w:val="15327FD5"/>
    <w:rsid w:val="154A6454"/>
    <w:rsid w:val="15611DD0"/>
    <w:rsid w:val="156F6E5A"/>
    <w:rsid w:val="15762120"/>
    <w:rsid w:val="1592490D"/>
    <w:rsid w:val="15C50FB0"/>
    <w:rsid w:val="15CF16A7"/>
    <w:rsid w:val="16100860"/>
    <w:rsid w:val="16106893"/>
    <w:rsid w:val="161C5C8C"/>
    <w:rsid w:val="16331AEA"/>
    <w:rsid w:val="163B6E92"/>
    <w:rsid w:val="1667132F"/>
    <w:rsid w:val="16822B68"/>
    <w:rsid w:val="16A8729C"/>
    <w:rsid w:val="16B33193"/>
    <w:rsid w:val="16B33777"/>
    <w:rsid w:val="16B8356E"/>
    <w:rsid w:val="16BC70A7"/>
    <w:rsid w:val="16C6339E"/>
    <w:rsid w:val="17125209"/>
    <w:rsid w:val="172C16AC"/>
    <w:rsid w:val="172F2D79"/>
    <w:rsid w:val="17557BEF"/>
    <w:rsid w:val="179C00EE"/>
    <w:rsid w:val="17D349C1"/>
    <w:rsid w:val="17EA5838"/>
    <w:rsid w:val="1828689C"/>
    <w:rsid w:val="1830729E"/>
    <w:rsid w:val="186D65EF"/>
    <w:rsid w:val="1870062C"/>
    <w:rsid w:val="18817102"/>
    <w:rsid w:val="18830A15"/>
    <w:rsid w:val="18852B28"/>
    <w:rsid w:val="188B5321"/>
    <w:rsid w:val="18AC2B85"/>
    <w:rsid w:val="18C7730B"/>
    <w:rsid w:val="18D55226"/>
    <w:rsid w:val="190A7A22"/>
    <w:rsid w:val="19786FBD"/>
    <w:rsid w:val="19932372"/>
    <w:rsid w:val="19A20DD5"/>
    <w:rsid w:val="19AE03F1"/>
    <w:rsid w:val="19B33B02"/>
    <w:rsid w:val="19B962C2"/>
    <w:rsid w:val="19C80964"/>
    <w:rsid w:val="19CA4296"/>
    <w:rsid w:val="19DA04BD"/>
    <w:rsid w:val="19DB686C"/>
    <w:rsid w:val="19ED66F3"/>
    <w:rsid w:val="1A071A03"/>
    <w:rsid w:val="1A1F16AE"/>
    <w:rsid w:val="1A3B5C77"/>
    <w:rsid w:val="1A6244AE"/>
    <w:rsid w:val="1A984BAD"/>
    <w:rsid w:val="1AB8220E"/>
    <w:rsid w:val="1AC217DA"/>
    <w:rsid w:val="1ADE66E9"/>
    <w:rsid w:val="1AE4166C"/>
    <w:rsid w:val="1AE85900"/>
    <w:rsid w:val="1AF06CFB"/>
    <w:rsid w:val="1AF11B8D"/>
    <w:rsid w:val="1B11359C"/>
    <w:rsid w:val="1B2A271F"/>
    <w:rsid w:val="1B530544"/>
    <w:rsid w:val="1B5643DD"/>
    <w:rsid w:val="1B713184"/>
    <w:rsid w:val="1BA209CF"/>
    <w:rsid w:val="1BB4777D"/>
    <w:rsid w:val="1BD75AB8"/>
    <w:rsid w:val="1C0459C2"/>
    <w:rsid w:val="1C0B5645"/>
    <w:rsid w:val="1C1B3B4A"/>
    <w:rsid w:val="1C7C01D3"/>
    <w:rsid w:val="1C88086E"/>
    <w:rsid w:val="1CD86393"/>
    <w:rsid w:val="1D266CE1"/>
    <w:rsid w:val="1D3963AF"/>
    <w:rsid w:val="1D602818"/>
    <w:rsid w:val="1D632D08"/>
    <w:rsid w:val="1D660E3D"/>
    <w:rsid w:val="1D6A673C"/>
    <w:rsid w:val="1D9247AE"/>
    <w:rsid w:val="1DB567EC"/>
    <w:rsid w:val="1DCA7323"/>
    <w:rsid w:val="1DF51A98"/>
    <w:rsid w:val="1E3D060F"/>
    <w:rsid w:val="1E3F7D2E"/>
    <w:rsid w:val="1E4134E4"/>
    <w:rsid w:val="1E5062B3"/>
    <w:rsid w:val="1E523514"/>
    <w:rsid w:val="1E714A66"/>
    <w:rsid w:val="1E802593"/>
    <w:rsid w:val="1EA703CC"/>
    <w:rsid w:val="1EAF519E"/>
    <w:rsid w:val="1EB202A6"/>
    <w:rsid w:val="1EB7330C"/>
    <w:rsid w:val="1F0A0FF3"/>
    <w:rsid w:val="1F2B5C6B"/>
    <w:rsid w:val="1F3D2A53"/>
    <w:rsid w:val="1F5771FF"/>
    <w:rsid w:val="1F772AAB"/>
    <w:rsid w:val="1F7942DD"/>
    <w:rsid w:val="1F986864"/>
    <w:rsid w:val="1FAF184C"/>
    <w:rsid w:val="1FB160A1"/>
    <w:rsid w:val="1FB17380"/>
    <w:rsid w:val="1FC94A03"/>
    <w:rsid w:val="1FE868A9"/>
    <w:rsid w:val="1FF83E3E"/>
    <w:rsid w:val="20034907"/>
    <w:rsid w:val="20173E4B"/>
    <w:rsid w:val="204E48BC"/>
    <w:rsid w:val="20672C08"/>
    <w:rsid w:val="208921B3"/>
    <w:rsid w:val="20973DEB"/>
    <w:rsid w:val="209844B3"/>
    <w:rsid w:val="20A16773"/>
    <w:rsid w:val="20B26522"/>
    <w:rsid w:val="20B44310"/>
    <w:rsid w:val="21030097"/>
    <w:rsid w:val="211116EB"/>
    <w:rsid w:val="211C715B"/>
    <w:rsid w:val="216133FC"/>
    <w:rsid w:val="216B497A"/>
    <w:rsid w:val="21746EB6"/>
    <w:rsid w:val="21A5330F"/>
    <w:rsid w:val="21D56769"/>
    <w:rsid w:val="21DA01E2"/>
    <w:rsid w:val="21E52EF3"/>
    <w:rsid w:val="21E855F1"/>
    <w:rsid w:val="21FB5D7B"/>
    <w:rsid w:val="21FD208C"/>
    <w:rsid w:val="220601CB"/>
    <w:rsid w:val="220B1C3D"/>
    <w:rsid w:val="221D1D20"/>
    <w:rsid w:val="22334A87"/>
    <w:rsid w:val="224A1D93"/>
    <w:rsid w:val="22565A1B"/>
    <w:rsid w:val="22BE6801"/>
    <w:rsid w:val="22E1605C"/>
    <w:rsid w:val="233500BF"/>
    <w:rsid w:val="23377FF7"/>
    <w:rsid w:val="235B7AB5"/>
    <w:rsid w:val="236B425F"/>
    <w:rsid w:val="23836192"/>
    <w:rsid w:val="23865A57"/>
    <w:rsid w:val="23901F29"/>
    <w:rsid w:val="239C0061"/>
    <w:rsid w:val="23B908A4"/>
    <w:rsid w:val="23BA47E3"/>
    <w:rsid w:val="23CE0507"/>
    <w:rsid w:val="23D909ED"/>
    <w:rsid w:val="23E95BEF"/>
    <w:rsid w:val="23FD0064"/>
    <w:rsid w:val="23FD24E3"/>
    <w:rsid w:val="245375B0"/>
    <w:rsid w:val="24642C0A"/>
    <w:rsid w:val="246F32AE"/>
    <w:rsid w:val="24B22173"/>
    <w:rsid w:val="24B95AD9"/>
    <w:rsid w:val="24BE24DA"/>
    <w:rsid w:val="24CF5825"/>
    <w:rsid w:val="24D15D89"/>
    <w:rsid w:val="24D663E6"/>
    <w:rsid w:val="24D77F2B"/>
    <w:rsid w:val="25415818"/>
    <w:rsid w:val="258B00E2"/>
    <w:rsid w:val="25A917A6"/>
    <w:rsid w:val="25BE27CC"/>
    <w:rsid w:val="25C920A9"/>
    <w:rsid w:val="25C94A12"/>
    <w:rsid w:val="25E06064"/>
    <w:rsid w:val="25F74A5C"/>
    <w:rsid w:val="260427DE"/>
    <w:rsid w:val="2609679C"/>
    <w:rsid w:val="261C7718"/>
    <w:rsid w:val="2628662C"/>
    <w:rsid w:val="262D45DE"/>
    <w:rsid w:val="263B60F2"/>
    <w:rsid w:val="26421B0D"/>
    <w:rsid w:val="26747CA0"/>
    <w:rsid w:val="268559C6"/>
    <w:rsid w:val="26871DAD"/>
    <w:rsid w:val="26A53EF9"/>
    <w:rsid w:val="26A94201"/>
    <w:rsid w:val="26AC274F"/>
    <w:rsid w:val="26B67F49"/>
    <w:rsid w:val="26F26337"/>
    <w:rsid w:val="27044A29"/>
    <w:rsid w:val="27070A20"/>
    <w:rsid w:val="271816CB"/>
    <w:rsid w:val="271D34C8"/>
    <w:rsid w:val="272116A0"/>
    <w:rsid w:val="27466D3F"/>
    <w:rsid w:val="27476D19"/>
    <w:rsid w:val="276142BF"/>
    <w:rsid w:val="2773779E"/>
    <w:rsid w:val="27783712"/>
    <w:rsid w:val="27907362"/>
    <w:rsid w:val="27C44DE4"/>
    <w:rsid w:val="28333E1D"/>
    <w:rsid w:val="28454BD6"/>
    <w:rsid w:val="28455253"/>
    <w:rsid w:val="28551971"/>
    <w:rsid w:val="285B1C53"/>
    <w:rsid w:val="289F7086"/>
    <w:rsid w:val="28A31469"/>
    <w:rsid w:val="28B523C7"/>
    <w:rsid w:val="28C32028"/>
    <w:rsid w:val="28CC490F"/>
    <w:rsid w:val="28DE40AA"/>
    <w:rsid w:val="28F45EEB"/>
    <w:rsid w:val="29003D4B"/>
    <w:rsid w:val="29345E77"/>
    <w:rsid w:val="294206B6"/>
    <w:rsid w:val="29441780"/>
    <w:rsid w:val="294C65AD"/>
    <w:rsid w:val="294F28E5"/>
    <w:rsid w:val="29631B1C"/>
    <w:rsid w:val="297F1E82"/>
    <w:rsid w:val="29806583"/>
    <w:rsid w:val="298B3C4C"/>
    <w:rsid w:val="29D67219"/>
    <w:rsid w:val="29F26D24"/>
    <w:rsid w:val="2A15033F"/>
    <w:rsid w:val="2A1662C1"/>
    <w:rsid w:val="2A1C7367"/>
    <w:rsid w:val="2A2815FA"/>
    <w:rsid w:val="2A5610E8"/>
    <w:rsid w:val="2A6D6092"/>
    <w:rsid w:val="2A7862B9"/>
    <w:rsid w:val="2A7D76B4"/>
    <w:rsid w:val="2ACB77CC"/>
    <w:rsid w:val="2AE92DF1"/>
    <w:rsid w:val="2B261369"/>
    <w:rsid w:val="2B437463"/>
    <w:rsid w:val="2B7807EE"/>
    <w:rsid w:val="2B9E594C"/>
    <w:rsid w:val="2BB32DA0"/>
    <w:rsid w:val="2BBF00EC"/>
    <w:rsid w:val="2BC04E47"/>
    <w:rsid w:val="2BC37CFD"/>
    <w:rsid w:val="2BD5237F"/>
    <w:rsid w:val="2BE31C98"/>
    <w:rsid w:val="2BE536CE"/>
    <w:rsid w:val="2BE758D9"/>
    <w:rsid w:val="2BF000A4"/>
    <w:rsid w:val="2C09049E"/>
    <w:rsid w:val="2C0A653C"/>
    <w:rsid w:val="2C191F85"/>
    <w:rsid w:val="2C35104F"/>
    <w:rsid w:val="2C442247"/>
    <w:rsid w:val="2C873291"/>
    <w:rsid w:val="2CB0513C"/>
    <w:rsid w:val="2CB66EF8"/>
    <w:rsid w:val="2CE82D6F"/>
    <w:rsid w:val="2D0111A5"/>
    <w:rsid w:val="2D343236"/>
    <w:rsid w:val="2D517B37"/>
    <w:rsid w:val="2D606C7D"/>
    <w:rsid w:val="2DD15014"/>
    <w:rsid w:val="2DE85F18"/>
    <w:rsid w:val="2DF72DE4"/>
    <w:rsid w:val="2E0220AF"/>
    <w:rsid w:val="2E372A37"/>
    <w:rsid w:val="2E4525DD"/>
    <w:rsid w:val="2E485F82"/>
    <w:rsid w:val="2E4B082A"/>
    <w:rsid w:val="2E5D4E86"/>
    <w:rsid w:val="2E5D790B"/>
    <w:rsid w:val="2E6D40D4"/>
    <w:rsid w:val="2E6D7B47"/>
    <w:rsid w:val="2E9A3C18"/>
    <w:rsid w:val="2EBB0FEE"/>
    <w:rsid w:val="2EC63002"/>
    <w:rsid w:val="2ECD0C29"/>
    <w:rsid w:val="2ED92907"/>
    <w:rsid w:val="2EE03233"/>
    <w:rsid w:val="2F0A6B38"/>
    <w:rsid w:val="2F446F6F"/>
    <w:rsid w:val="2F7C2DE1"/>
    <w:rsid w:val="2F946CCB"/>
    <w:rsid w:val="2FD25781"/>
    <w:rsid w:val="2FFD7934"/>
    <w:rsid w:val="2FFE2851"/>
    <w:rsid w:val="300967B6"/>
    <w:rsid w:val="30733ACD"/>
    <w:rsid w:val="308C3862"/>
    <w:rsid w:val="309379D8"/>
    <w:rsid w:val="30A270F7"/>
    <w:rsid w:val="30DF1478"/>
    <w:rsid w:val="30EB428D"/>
    <w:rsid w:val="30EC586F"/>
    <w:rsid w:val="31360D5D"/>
    <w:rsid w:val="3146752E"/>
    <w:rsid w:val="314762BE"/>
    <w:rsid w:val="317362BD"/>
    <w:rsid w:val="319C6071"/>
    <w:rsid w:val="31AB5907"/>
    <w:rsid w:val="31AC3820"/>
    <w:rsid w:val="31AC537E"/>
    <w:rsid w:val="31C111F3"/>
    <w:rsid w:val="31E3679B"/>
    <w:rsid w:val="31E65EBE"/>
    <w:rsid w:val="31E732FD"/>
    <w:rsid w:val="31FA3F13"/>
    <w:rsid w:val="321F2194"/>
    <w:rsid w:val="323104BD"/>
    <w:rsid w:val="32517576"/>
    <w:rsid w:val="32860502"/>
    <w:rsid w:val="328D434A"/>
    <w:rsid w:val="32BE5C2C"/>
    <w:rsid w:val="32FB6478"/>
    <w:rsid w:val="332054B8"/>
    <w:rsid w:val="33263B3F"/>
    <w:rsid w:val="335A2AA0"/>
    <w:rsid w:val="336963EB"/>
    <w:rsid w:val="33816EEB"/>
    <w:rsid w:val="33900270"/>
    <w:rsid w:val="339A5965"/>
    <w:rsid w:val="33AC51E6"/>
    <w:rsid w:val="33B54CB8"/>
    <w:rsid w:val="33BE302F"/>
    <w:rsid w:val="33C62199"/>
    <w:rsid w:val="33E06F7D"/>
    <w:rsid w:val="33EB55CD"/>
    <w:rsid w:val="33EC4C02"/>
    <w:rsid w:val="340D2360"/>
    <w:rsid w:val="3410665D"/>
    <w:rsid w:val="34211214"/>
    <w:rsid w:val="342E63AB"/>
    <w:rsid w:val="34401C96"/>
    <w:rsid w:val="344D14A1"/>
    <w:rsid w:val="34781CA2"/>
    <w:rsid w:val="34950E68"/>
    <w:rsid w:val="34986E94"/>
    <w:rsid w:val="34AF62C9"/>
    <w:rsid w:val="34CB4388"/>
    <w:rsid w:val="34DE3043"/>
    <w:rsid w:val="34E04C25"/>
    <w:rsid w:val="34E116D1"/>
    <w:rsid w:val="34EF3AF5"/>
    <w:rsid w:val="34FA6E12"/>
    <w:rsid w:val="35177D3B"/>
    <w:rsid w:val="358C308A"/>
    <w:rsid w:val="358D5588"/>
    <w:rsid w:val="35AA049C"/>
    <w:rsid w:val="35B11087"/>
    <w:rsid w:val="35B97034"/>
    <w:rsid w:val="360A2C3B"/>
    <w:rsid w:val="363A3B40"/>
    <w:rsid w:val="365302AE"/>
    <w:rsid w:val="36607A0A"/>
    <w:rsid w:val="366E227C"/>
    <w:rsid w:val="366F2E0D"/>
    <w:rsid w:val="367B6A5C"/>
    <w:rsid w:val="36814A92"/>
    <w:rsid w:val="36827AAB"/>
    <w:rsid w:val="36A74ADA"/>
    <w:rsid w:val="36AD60D5"/>
    <w:rsid w:val="36B224F9"/>
    <w:rsid w:val="36DF6FEB"/>
    <w:rsid w:val="36EC0CC9"/>
    <w:rsid w:val="371E6696"/>
    <w:rsid w:val="373F410B"/>
    <w:rsid w:val="374B6799"/>
    <w:rsid w:val="37B15B33"/>
    <w:rsid w:val="37BE68BC"/>
    <w:rsid w:val="37EE7094"/>
    <w:rsid w:val="38296B3F"/>
    <w:rsid w:val="38296C89"/>
    <w:rsid w:val="383002EB"/>
    <w:rsid w:val="38433B03"/>
    <w:rsid w:val="38463C1A"/>
    <w:rsid w:val="38586797"/>
    <w:rsid w:val="385C64C8"/>
    <w:rsid w:val="387951BA"/>
    <w:rsid w:val="38966328"/>
    <w:rsid w:val="389F5630"/>
    <w:rsid w:val="38B87D9D"/>
    <w:rsid w:val="38BC0149"/>
    <w:rsid w:val="38C92C47"/>
    <w:rsid w:val="38D87D1C"/>
    <w:rsid w:val="38FA6453"/>
    <w:rsid w:val="394E6C03"/>
    <w:rsid w:val="39636459"/>
    <w:rsid w:val="396B7F6C"/>
    <w:rsid w:val="39B417A9"/>
    <w:rsid w:val="39D26F6B"/>
    <w:rsid w:val="39FC5695"/>
    <w:rsid w:val="3A006D8E"/>
    <w:rsid w:val="3A3651E5"/>
    <w:rsid w:val="3A555392"/>
    <w:rsid w:val="3A56271C"/>
    <w:rsid w:val="3A6D2C1F"/>
    <w:rsid w:val="3A744481"/>
    <w:rsid w:val="3A8C7BEF"/>
    <w:rsid w:val="3A906246"/>
    <w:rsid w:val="3B00217F"/>
    <w:rsid w:val="3B046D3A"/>
    <w:rsid w:val="3B2349B7"/>
    <w:rsid w:val="3B616CFF"/>
    <w:rsid w:val="3B6259F6"/>
    <w:rsid w:val="3B690E35"/>
    <w:rsid w:val="3B6B6A15"/>
    <w:rsid w:val="3B720250"/>
    <w:rsid w:val="3B8F24B5"/>
    <w:rsid w:val="3B976654"/>
    <w:rsid w:val="3BA90120"/>
    <w:rsid w:val="3BC01EFC"/>
    <w:rsid w:val="3BCA786A"/>
    <w:rsid w:val="3BD31E2F"/>
    <w:rsid w:val="3BF15831"/>
    <w:rsid w:val="3C014684"/>
    <w:rsid w:val="3C105946"/>
    <w:rsid w:val="3C297A7F"/>
    <w:rsid w:val="3C34279E"/>
    <w:rsid w:val="3C471448"/>
    <w:rsid w:val="3C4B6CC9"/>
    <w:rsid w:val="3C5850B9"/>
    <w:rsid w:val="3C5F759A"/>
    <w:rsid w:val="3C6C525A"/>
    <w:rsid w:val="3C7637CB"/>
    <w:rsid w:val="3C8F3836"/>
    <w:rsid w:val="3CA86DA1"/>
    <w:rsid w:val="3CB678A5"/>
    <w:rsid w:val="3CCE23CB"/>
    <w:rsid w:val="3CD17D17"/>
    <w:rsid w:val="3D0512A8"/>
    <w:rsid w:val="3D330CF2"/>
    <w:rsid w:val="3D3C7F39"/>
    <w:rsid w:val="3D440F09"/>
    <w:rsid w:val="3D4504A0"/>
    <w:rsid w:val="3D8734BB"/>
    <w:rsid w:val="3D9A11D4"/>
    <w:rsid w:val="3DA16D89"/>
    <w:rsid w:val="3DA364BE"/>
    <w:rsid w:val="3DB42C81"/>
    <w:rsid w:val="3DE041CB"/>
    <w:rsid w:val="3E0D48F6"/>
    <w:rsid w:val="3E1868B4"/>
    <w:rsid w:val="3E306F1E"/>
    <w:rsid w:val="3E377251"/>
    <w:rsid w:val="3E42664B"/>
    <w:rsid w:val="3E5A7334"/>
    <w:rsid w:val="3E6746A0"/>
    <w:rsid w:val="3E7B5D6B"/>
    <w:rsid w:val="3E843E66"/>
    <w:rsid w:val="3E8F51FE"/>
    <w:rsid w:val="3E926F87"/>
    <w:rsid w:val="3E9A59DE"/>
    <w:rsid w:val="3EA846BF"/>
    <w:rsid w:val="3EAF4836"/>
    <w:rsid w:val="3EC33DFA"/>
    <w:rsid w:val="3ED74DCE"/>
    <w:rsid w:val="3F060E16"/>
    <w:rsid w:val="3F173D45"/>
    <w:rsid w:val="3F1D1096"/>
    <w:rsid w:val="3F2F0234"/>
    <w:rsid w:val="3F37431A"/>
    <w:rsid w:val="3F4903BC"/>
    <w:rsid w:val="3F6363FE"/>
    <w:rsid w:val="3F756B8F"/>
    <w:rsid w:val="3F95482B"/>
    <w:rsid w:val="3FF51B86"/>
    <w:rsid w:val="4019356B"/>
    <w:rsid w:val="40592157"/>
    <w:rsid w:val="406D3E12"/>
    <w:rsid w:val="406E1CAE"/>
    <w:rsid w:val="40A0133A"/>
    <w:rsid w:val="40C31A53"/>
    <w:rsid w:val="40E750BB"/>
    <w:rsid w:val="40FF545D"/>
    <w:rsid w:val="410067C8"/>
    <w:rsid w:val="412C177C"/>
    <w:rsid w:val="4137139D"/>
    <w:rsid w:val="4146044F"/>
    <w:rsid w:val="414E562C"/>
    <w:rsid w:val="41687915"/>
    <w:rsid w:val="418F0D2A"/>
    <w:rsid w:val="41B810BD"/>
    <w:rsid w:val="41C007E7"/>
    <w:rsid w:val="41D01505"/>
    <w:rsid w:val="41DF3334"/>
    <w:rsid w:val="424172D1"/>
    <w:rsid w:val="42474939"/>
    <w:rsid w:val="424C3C57"/>
    <w:rsid w:val="42613FF3"/>
    <w:rsid w:val="42660D96"/>
    <w:rsid w:val="428667D2"/>
    <w:rsid w:val="42891389"/>
    <w:rsid w:val="42920521"/>
    <w:rsid w:val="42923ABA"/>
    <w:rsid w:val="42935686"/>
    <w:rsid w:val="42975168"/>
    <w:rsid w:val="42A12863"/>
    <w:rsid w:val="42CD1CE0"/>
    <w:rsid w:val="42E1381E"/>
    <w:rsid w:val="42ED6459"/>
    <w:rsid w:val="42FE58DD"/>
    <w:rsid w:val="43174B3D"/>
    <w:rsid w:val="434B790E"/>
    <w:rsid w:val="4360274F"/>
    <w:rsid w:val="43977AB6"/>
    <w:rsid w:val="43A3342B"/>
    <w:rsid w:val="43C77C27"/>
    <w:rsid w:val="43DE09EE"/>
    <w:rsid w:val="43FA0A79"/>
    <w:rsid w:val="44002FAD"/>
    <w:rsid w:val="4416239F"/>
    <w:rsid w:val="449101DD"/>
    <w:rsid w:val="44B800F6"/>
    <w:rsid w:val="44D576BB"/>
    <w:rsid w:val="44DB5F60"/>
    <w:rsid w:val="44DE1391"/>
    <w:rsid w:val="44E81CBA"/>
    <w:rsid w:val="44FE0E67"/>
    <w:rsid w:val="451B225C"/>
    <w:rsid w:val="452410C9"/>
    <w:rsid w:val="45317DFB"/>
    <w:rsid w:val="45436274"/>
    <w:rsid w:val="456D3CE4"/>
    <w:rsid w:val="4579042C"/>
    <w:rsid w:val="457F0571"/>
    <w:rsid w:val="45851176"/>
    <w:rsid w:val="45C63B94"/>
    <w:rsid w:val="45D10DFB"/>
    <w:rsid w:val="45D249E5"/>
    <w:rsid w:val="45F538A0"/>
    <w:rsid w:val="460E7DA5"/>
    <w:rsid w:val="463257DE"/>
    <w:rsid w:val="46364632"/>
    <w:rsid w:val="46422483"/>
    <w:rsid w:val="464500CB"/>
    <w:rsid w:val="4659254A"/>
    <w:rsid w:val="465A1079"/>
    <w:rsid w:val="465B0637"/>
    <w:rsid w:val="465E3F0D"/>
    <w:rsid w:val="466A16E6"/>
    <w:rsid w:val="46712183"/>
    <w:rsid w:val="46893F2B"/>
    <w:rsid w:val="46BA4EE4"/>
    <w:rsid w:val="46C4686E"/>
    <w:rsid w:val="46C71DA3"/>
    <w:rsid w:val="46E75F49"/>
    <w:rsid w:val="46EB42AF"/>
    <w:rsid w:val="46F21269"/>
    <w:rsid w:val="473723B0"/>
    <w:rsid w:val="477B778F"/>
    <w:rsid w:val="478203EC"/>
    <w:rsid w:val="47B025FA"/>
    <w:rsid w:val="47D96F7B"/>
    <w:rsid w:val="4809698F"/>
    <w:rsid w:val="4811697D"/>
    <w:rsid w:val="48733940"/>
    <w:rsid w:val="487A3E25"/>
    <w:rsid w:val="488B5503"/>
    <w:rsid w:val="48937E21"/>
    <w:rsid w:val="489A0361"/>
    <w:rsid w:val="48B94FF3"/>
    <w:rsid w:val="48E37AAB"/>
    <w:rsid w:val="48FD4B4C"/>
    <w:rsid w:val="490A68E0"/>
    <w:rsid w:val="491055FE"/>
    <w:rsid w:val="491848DC"/>
    <w:rsid w:val="495F5B3E"/>
    <w:rsid w:val="496F77D7"/>
    <w:rsid w:val="497654FD"/>
    <w:rsid w:val="49B64211"/>
    <w:rsid w:val="49F6167F"/>
    <w:rsid w:val="4A064FA0"/>
    <w:rsid w:val="4A16615C"/>
    <w:rsid w:val="4A3F0A96"/>
    <w:rsid w:val="4A4424D7"/>
    <w:rsid w:val="4A571ACA"/>
    <w:rsid w:val="4A7144FF"/>
    <w:rsid w:val="4A83494B"/>
    <w:rsid w:val="4AAA236F"/>
    <w:rsid w:val="4AB77EE6"/>
    <w:rsid w:val="4AB82D0F"/>
    <w:rsid w:val="4AEB7664"/>
    <w:rsid w:val="4AFD7C19"/>
    <w:rsid w:val="4B0567D1"/>
    <w:rsid w:val="4B236AAE"/>
    <w:rsid w:val="4B4136B7"/>
    <w:rsid w:val="4B456459"/>
    <w:rsid w:val="4B5C6BE0"/>
    <w:rsid w:val="4B707271"/>
    <w:rsid w:val="4B721531"/>
    <w:rsid w:val="4B7818BD"/>
    <w:rsid w:val="4B9739F7"/>
    <w:rsid w:val="4BEE2503"/>
    <w:rsid w:val="4C245A30"/>
    <w:rsid w:val="4C50056C"/>
    <w:rsid w:val="4C964049"/>
    <w:rsid w:val="4CB6685F"/>
    <w:rsid w:val="4CC367FE"/>
    <w:rsid w:val="4D077F3C"/>
    <w:rsid w:val="4D123355"/>
    <w:rsid w:val="4D2A3B31"/>
    <w:rsid w:val="4D312C52"/>
    <w:rsid w:val="4D363554"/>
    <w:rsid w:val="4D8F41D8"/>
    <w:rsid w:val="4D905305"/>
    <w:rsid w:val="4D964A72"/>
    <w:rsid w:val="4D9C1254"/>
    <w:rsid w:val="4DA30E74"/>
    <w:rsid w:val="4DE54634"/>
    <w:rsid w:val="4E6C5709"/>
    <w:rsid w:val="4E793892"/>
    <w:rsid w:val="4E800872"/>
    <w:rsid w:val="4E94015D"/>
    <w:rsid w:val="4EB370CB"/>
    <w:rsid w:val="4EC569ED"/>
    <w:rsid w:val="4ED50EA1"/>
    <w:rsid w:val="4EEC050C"/>
    <w:rsid w:val="4F104EC3"/>
    <w:rsid w:val="4F376B26"/>
    <w:rsid w:val="4F47354A"/>
    <w:rsid w:val="4F8B7ADC"/>
    <w:rsid w:val="4F911C54"/>
    <w:rsid w:val="4FE625E0"/>
    <w:rsid w:val="50037267"/>
    <w:rsid w:val="501B67F5"/>
    <w:rsid w:val="5021480F"/>
    <w:rsid w:val="50645BA0"/>
    <w:rsid w:val="50962ECB"/>
    <w:rsid w:val="50A42E38"/>
    <w:rsid w:val="50A4577F"/>
    <w:rsid w:val="50B73D1F"/>
    <w:rsid w:val="50BD5BC9"/>
    <w:rsid w:val="50C11EEE"/>
    <w:rsid w:val="50CB47D7"/>
    <w:rsid w:val="50E2040B"/>
    <w:rsid w:val="50E97CFC"/>
    <w:rsid w:val="50FA4028"/>
    <w:rsid w:val="510D65B7"/>
    <w:rsid w:val="511157AB"/>
    <w:rsid w:val="511C66F4"/>
    <w:rsid w:val="51333D03"/>
    <w:rsid w:val="513A6655"/>
    <w:rsid w:val="5142540C"/>
    <w:rsid w:val="515B7CB7"/>
    <w:rsid w:val="518832C8"/>
    <w:rsid w:val="519D31E6"/>
    <w:rsid w:val="51A0432A"/>
    <w:rsid w:val="51A86090"/>
    <w:rsid w:val="51B7396D"/>
    <w:rsid w:val="51B7477A"/>
    <w:rsid w:val="51BC4A9E"/>
    <w:rsid w:val="52170CBE"/>
    <w:rsid w:val="5220355B"/>
    <w:rsid w:val="522E4CC3"/>
    <w:rsid w:val="5244713B"/>
    <w:rsid w:val="52615633"/>
    <w:rsid w:val="526441FF"/>
    <w:rsid w:val="52816456"/>
    <w:rsid w:val="52977FD4"/>
    <w:rsid w:val="52A25790"/>
    <w:rsid w:val="52A96B6F"/>
    <w:rsid w:val="52B45975"/>
    <w:rsid w:val="52C33D66"/>
    <w:rsid w:val="52D94AA4"/>
    <w:rsid w:val="52EA3A62"/>
    <w:rsid w:val="52F50BB8"/>
    <w:rsid w:val="53097272"/>
    <w:rsid w:val="53544462"/>
    <w:rsid w:val="539262C5"/>
    <w:rsid w:val="5397158E"/>
    <w:rsid w:val="53A416DB"/>
    <w:rsid w:val="54013861"/>
    <w:rsid w:val="5407235B"/>
    <w:rsid w:val="54487265"/>
    <w:rsid w:val="544D6070"/>
    <w:rsid w:val="54605E1E"/>
    <w:rsid w:val="5473672B"/>
    <w:rsid w:val="54952A74"/>
    <w:rsid w:val="54A11CB0"/>
    <w:rsid w:val="54B3506A"/>
    <w:rsid w:val="54CA0D16"/>
    <w:rsid w:val="54CE74AF"/>
    <w:rsid w:val="54DD4057"/>
    <w:rsid w:val="54E7490F"/>
    <w:rsid w:val="550377CD"/>
    <w:rsid w:val="550764A4"/>
    <w:rsid w:val="550B2BF6"/>
    <w:rsid w:val="550F3998"/>
    <w:rsid w:val="55214EB5"/>
    <w:rsid w:val="55364EFD"/>
    <w:rsid w:val="554A7E27"/>
    <w:rsid w:val="555D4828"/>
    <w:rsid w:val="5562483A"/>
    <w:rsid w:val="55653950"/>
    <w:rsid w:val="557645ED"/>
    <w:rsid w:val="557A4C8B"/>
    <w:rsid w:val="558931E1"/>
    <w:rsid w:val="55923347"/>
    <w:rsid w:val="55925180"/>
    <w:rsid w:val="55983B1B"/>
    <w:rsid w:val="55A014EF"/>
    <w:rsid w:val="55A8376B"/>
    <w:rsid w:val="55DC29B6"/>
    <w:rsid w:val="55DD4241"/>
    <w:rsid w:val="55E24503"/>
    <w:rsid w:val="55EC673E"/>
    <w:rsid w:val="5618423F"/>
    <w:rsid w:val="561D2EF6"/>
    <w:rsid w:val="566B6D1E"/>
    <w:rsid w:val="56796849"/>
    <w:rsid w:val="567D7CFD"/>
    <w:rsid w:val="56A60C14"/>
    <w:rsid w:val="56E31D66"/>
    <w:rsid w:val="57032A2C"/>
    <w:rsid w:val="570F5219"/>
    <w:rsid w:val="57150236"/>
    <w:rsid w:val="5741255F"/>
    <w:rsid w:val="575D12B5"/>
    <w:rsid w:val="57610A87"/>
    <w:rsid w:val="577B1140"/>
    <w:rsid w:val="577B7F21"/>
    <w:rsid w:val="577F181B"/>
    <w:rsid w:val="57921984"/>
    <w:rsid w:val="579737F0"/>
    <w:rsid w:val="57AB7B30"/>
    <w:rsid w:val="57AF5251"/>
    <w:rsid w:val="57B26373"/>
    <w:rsid w:val="57B63F04"/>
    <w:rsid w:val="57CD20C2"/>
    <w:rsid w:val="57D03845"/>
    <w:rsid w:val="57D573DB"/>
    <w:rsid w:val="57D675AB"/>
    <w:rsid w:val="57D95FDD"/>
    <w:rsid w:val="57E5652D"/>
    <w:rsid w:val="57F85B5E"/>
    <w:rsid w:val="57FF0B1E"/>
    <w:rsid w:val="58917D2F"/>
    <w:rsid w:val="5894085C"/>
    <w:rsid w:val="58AE4F0C"/>
    <w:rsid w:val="58B85899"/>
    <w:rsid w:val="58C36E39"/>
    <w:rsid w:val="58E363A9"/>
    <w:rsid w:val="59254A57"/>
    <w:rsid w:val="592E25D7"/>
    <w:rsid w:val="595E1678"/>
    <w:rsid w:val="596D5BD4"/>
    <w:rsid w:val="597E0ADA"/>
    <w:rsid w:val="597E3DD8"/>
    <w:rsid w:val="597F1134"/>
    <w:rsid w:val="59DC694C"/>
    <w:rsid w:val="59F80043"/>
    <w:rsid w:val="5A09252F"/>
    <w:rsid w:val="5A0B2778"/>
    <w:rsid w:val="5A2A7C7B"/>
    <w:rsid w:val="5A3E2560"/>
    <w:rsid w:val="5A5D3B6E"/>
    <w:rsid w:val="5A637A76"/>
    <w:rsid w:val="5A6A482A"/>
    <w:rsid w:val="5A6D33BA"/>
    <w:rsid w:val="5A792B1F"/>
    <w:rsid w:val="5A874767"/>
    <w:rsid w:val="5AAD6F28"/>
    <w:rsid w:val="5AD63A24"/>
    <w:rsid w:val="5AF67E8B"/>
    <w:rsid w:val="5B2E1A1D"/>
    <w:rsid w:val="5B6D0D13"/>
    <w:rsid w:val="5B843A1C"/>
    <w:rsid w:val="5B873E3F"/>
    <w:rsid w:val="5BD164BB"/>
    <w:rsid w:val="5BD445A4"/>
    <w:rsid w:val="5C02690E"/>
    <w:rsid w:val="5C196DA7"/>
    <w:rsid w:val="5C220A3A"/>
    <w:rsid w:val="5C2A048C"/>
    <w:rsid w:val="5C6C4CCA"/>
    <w:rsid w:val="5C6E0D96"/>
    <w:rsid w:val="5C80234E"/>
    <w:rsid w:val="5C8A680C"/>
    <w:rsid w:val="5CA55DCD"/>
    <w:rsid w:val="5CCD7CBB"/>
    <w:rsid w:val="5D0C4701"/>
    <w:rsid w:val="5D0F0395"/>
    <w:rsid w:val="5D221076"/>
    <w:rsid w:val="5D397964"/>
    <w:rsid w:val="5D491257"/>
    <w:rsid w:val="5D4D00DD"/>
    <w:rsid w:val="5D5A391C"/>
    <w:rsid w:val="5D5F10C0"/>
    <w:rsid w:val="5D891B7B"/>
    <w:rsid w:val="5D8B7162"/>
    <w:rsid w:val="5DAD38EE"/>
    <w:rsid w:val="5DCA244C"/>
    <w:rsid w:val="5E006862"/>
    <w:rsid w:val="5E0207B9"/>
    <w:rsid w:val="5E13292D"/>
    <w:rsid w:val="5E1834A1"/>
    <w:rsid w:val="5E1E4087"/>
    <w:rsid w:val="5E261785"/>
    <w:rsid w:val="5E2E1802"/>
    <w:rsid w:val="5E4A7017"/>
    <w:rsid w:val="5E552BBA"/>
    <w:rsid w:val="5E611C10"/>
    <w:rsid w:val="5EFC7377"/>
    <w:rsid w:val="5F06174D"/>
    <w:rsid w:val="5F071B9D"/>
    <w:rsid w:val="5F13300F"/>
    <w:rsid w:val="5F3A3602"/>
    <w:rsid w:val="5F6277C6"/>
    <w:rsid w:val="5F660ABA"/>
    <w:rsid w:val="5F6D0B1D"/>
    <w:rsid w:val="5F8D0B82"/>
    <w:rsid w:val="5FC3334C"/>
    <w:rsid w:val="5FCC5339"/>
    <w:rsid w:val="5FE078E0"/>
    <w:rsid w:val="5FE34A5B"/>
    <w:rsid w:val="5FFE1E36"/>
    <w:rsid w:val="60232584"/>
    <w:rsid w:val="60326087"/>
    <w:rsid w:val="60576DBD"/>
    <w:rsid w:val="60674F9A"/>
    <w:rsid w:val="607330CE"/>
    <w:rsid w:val="607A419E"/>
    <w:rsid w:val="60825176"/>
    <w:rsid w:val="609F2AC4"/>
    <w:rsid w:val="60A96F89"/>
    <w:rsid w:val="60B65B72"/>
    <w:rsid w:val="60FA2EE8"/>
    <w:rsid w:val="60FE42AA"/>
    <w:rsid w:val="61054A27"/>
    <w:rsid w:val="610A52BC"/>
    <w:rsid w:val="611D2366"/>
    <w:rsid w:val="61421856"/>
    <w:rsid w:val="614E5DAA"/>
    <w:rsid w:val="615227C4"/>
    <w:rsid w:val="61654E3F"/>
    <w:rsid w:val="6166423A"/>
    <w:rsid w:val="6182292A"/>
    <w:rsid w:val="61937B14"/>
    <w:rsid w:val="619F7F92"/>
    <w:rsid w:val="61F94C26"/>
    <w:rsid w:val="61FB0E26"/>
    <w:rsid w:val="62000E56"/>
    <w:rsid w:val="62227AC4"/>
    <w:rsid w:val="62312590"/>
    <w:rsid w:val="624F3E49"/>
    <w:rsid w:val="62632286"/>
    <w:rsid w:val="62716C4E"/>
    <w:rsid w:val="62851EC8"/>
    <w:rsid w:val="62885958"/>
    <w:rsid w:val="62C45232"/>
    <w:rsid w:val="62CD2097"/>
    <w:rsid w:val="62D83031"/>
    <w:rsid w:val="62F40B65"/>
    <w:rsid w:val="62FC2CFE"/>
    <w:rsid w:val="63024505"/>
    <w:rsid w:val="63133CBC"/>
    <w:rsid w:val="633F0CD0"/>
    <w:rsid w:val="635B1DB5"/>
    <w:rsid w:val="63711FED"/>
    <w:rsid w:val="63880DDC"/>
    <w:rsid w:val="638D750D"/>
    <w:rsid w:val="63AC6CC0"/>
    <w:rsid w:val="63D45E62"/>
    <w:rsid w:val="63F76E29"/>
    <w:rsid w:val="64055776"/>
    <w:rsid w:val="64240056"/>
    <w:rsid w:val="6431038B"/>
    <w:rsid w:val="643E143A"/>
    <w:rsid w:val="64525048"/>
    <w:rsid w:val="645A7CF9"/>
    <w:rsid w:val="648B6EEF"/>
    <w:rsid w:val="64C158BF"/>
    <w:rsid w:val="64CE2EAA"/>
    <w:rsid w:val="64E61C88"/>
    <w:rsid w:val="653C3090"/>
    <w:rsid w:val="65421E67"/>
    <w:rsid w:val="654900FB"/>
    <w:rsid w:val="654B52DC"/>
    <w:rsid w:val="657607C4"/>
    <w:rsid w:val="6583677A"/>
    <w:rsid w:val="65854376"/>
    <w:rsid w:val="658767BE"/>
    <w:rsid w:val="65892531"/>
    <w:rsid w:val="65DE2462"/>
    <w:rsid w:val="65F8345E"/>
    <w:rsid w:val="66195831"/>
    <w:rsid w:val="662E75B1"/>
    <w:rsid w:val="66342C2E"/>
    <w:rsid w:val="663E784C"/>
    <w:rsid w:val="668B6A45"/>
    <w:rsid w:val="669F7E18"/>
    <w:rsid w:val="66B01071"/>
    <w:rsid w:val="66BF7F84"/>
    <w:rsid w:val="66D95049"/>
    <w:rsid w:val="672F3F24"/>
    <w:rsid w:val="673E055F"/>
    <w:rsid w:val="67551CE3"/>
    <w:rsid w:val="6772060E"/>
    <w:rsid w:val="67A22552"/>
    <w:rsid w:val="67B22DCC"/>
    <w:rsid w:val="67B45720"/>
    <w:rsid w:val="67B67C39"/>
    <w:rsid w:val="67BE71AA"/>
    <w:rsid w:val="67D16BCF"/>
    <w:rsid w:val="67D90273"/>
    <w:rsid w:val="67DE5875"/>
    <w:rsid w:val="67E55852"/>
    <w:rsid w:val="67EB1AB4"/>
    <w:rsid w:val="67FA1285"/>
    <w:rsid w:val="6801738F"/>
    <w:rsid w:val="68263E9E"/>
    <w:rsid w:val="68464DC5"/>
    <w:rsid w:val="68551F4F"/>
    <w:rsid w:val="687C10C9"/>
    <w:rsid w:val="68840C16"/>
    <w:rsid w:val="688549D0"/>
    <w:rsid w:val="68876EFB"/>
    <w:rsid w:val="68884654"/>
    <w:rsid w:val="68925915"/>
    <w:rsid w:val="689F444F"/>
    <w:rsid w:val="68B96DBB"/>
    <w:rsid w:val="68CA2805"/>
    <w:rsid w:val="68D321AA"/>
    <w:rsid w:val="68E937A3"/>
    <w:rsid w:val="693E15D3"/>
    <w:rsid w:val="695D0CCA"/>
    <w:rsid w:val="69627681"/>
    <w:rsid w:val="696F140C"/>
    <w:rsid w:val="6977531D"/>
    <w:rsid w:val="69CC2BFF"/>
    <w:rsid w:val="69FD55B8"/>
    <w:rsid w:val="6A0B1C62"/>
    <w:rsid w:val="6A206786"/>
    <w:rsid w:val="6A21712D"/>
    <w:rsid w:val="6A2406C8"/>
    <w:rsid w:val="6A313617"/>
    <w:rsid w:val="6A42336B"/>
    <w:rsid w:val="6A4A0458"/>
    <w:rsid w:val="6A7D274A"/>
    <w:rsid w:val="6ADE0BD1"/>
    <w:rsid w:val="6AE96859"/>
    <w:rsid w:val="6B147746"/>
    <w:rsid w:val="6B24787C"/>
    <w:rsid w:val="6B573233"/>
    <w:rsid w:val="6B5B6274"/>
    <w:rsid w:val="6B6001CE"/>
    <w:rsid w:val="6B6E4E2E"/>
    <w:rsid w:val="6B935D53"/>
    <w:rsid w:val="6BAD2F42"/>
    <w:rsid w:val="6BAE3435"/>
    <w:rsid w:val="6BBF5E5E"/>
    <w:rsid w:val="6BD86FC5"/>
    <w:rsid w:val="6BDD2706"/>
    <w:rsid w:val="6C07131A"/>
    <w:rsid w:val="6C196F71"/>
    <w:rsid w:val="6C226FCB"/>
    <w:rsid w:val="6C31226F"/>
    <w:rsid w:val="6C552F0B"/>
    <w:rsid w:val="6C7A3314"/>
    <w:rsid w:val="6C8C67B7"/>
    <w:rsid w:val="6C9D166B"/>
    <w:rsid w:val="6C9D744C"/>
    <w:rsid w:val="6CD91762"/>
    <w:rsid w:val="6D167928"/>
    <w:rsid w:val="6D26299B"/>
    <w:rsid w:val="6D2F659C"/>
    <w:rsid w:val="6D356C7D"/>
    <w:rsid w:val="6D4772EC"/>
    <w:rsid w:val="6D7A7961"/>
    <w:rsid w:val="6D8141C3"/>
    <w:rsid w:val="6D9078AF"/>
    <w:rsid w:val="6D9E2FAE"/>
    <w:rsid w:val="6DAA3FEF"/>
    <w:rsid w:val="6DC0172B"/>
    <w:rsid w:val="6DCB690C"/>
    <w:rsid w:val="6DD41A5B"/>
    <w:rsid w:val="6DF43C2E"/>
    <w:rsid w:val="6DF51CA3"/>
    <w:rsid w:val="6DF578F7"/>
    <w:rsid w:val="6E24348E"/>
    <w:rsid w:val="6E25722B"/>
    <w:rsid w:val="6E6E43D9"/>
    <w:rsid w:val="6E8335BD"/>
    <w:rsid w:val="6E8E12EF"/>
    <w:rsid w:val="6E972936"/>
    <w:rsid w:val="6ED446C5"/>
    <w:rsid w:val="6F046601"/>
    <w:rsid w:val="6F2A7D94"/>
    <w:rsid w:val="6F4B2014"/>
    <w:rsid w:val="6F8331F1"/>
    <w:rsid w:val="6FAE1A09"/>
    <w:rsid w:val="6FD75BF8"/>
    <w:rsid w:val="6FE02BE9"/>
    <w:rsid w:val="7015480C"/>
    <w:rsid w:val="707723D0"/>
    <w:rsid w:val="70C7699B"/>
    <w:rsid w:val="70F5661B"/>
    <w:rsid w:val="70FA031E"/>
    <w:rsid w:val="711063B0"/>
    <w:rsid w:val="71283699"/>
    <w:rsid w:val="71345422"/>
    <w:rsid w:val="71360107"/>
    <w:rsid w:val="713B688E"/>
    <w:rsid w:val="71675069"/>
    <w:rsid w:val="7170522D"/>
    <w:rsid w:val="71805602"/>
    <w:rsid w:val="71D43752"/>
    <w:rsid w:val="71EE501B"/>
    <w:rsid w:val="71F1796A"/>
    <w:rsid w:val="72154626"/>
    <w:rsid w:val="72262B5D"/>
    <w:rsid w:val="72283FF7"/>
    <w:rsid w:val="722E7212"/>
    <w:rsid w:val="723A0474"/>
    <w:rsid w:val="723F6B0D"/>
    <w:rsid w:val="725923E4"/>
    <w:rsid w:val="72864BF7"/>
    <w:rsid w:val="729023FC"/>
    <w:rsid w:val="72A423C8"/>
    <w:rsid w:val="72AD22E1"/>
    <w:rsid w:val="72B372E1"/>
    <w:rsid w:val="72C61708"/>
    <w:rsid w:val="731742D0"/>
    <w:rsid w:val="73472C17"/>
    <w:rsid w:val="73C0646E"/>
    <w:rsid w:val="73C97184"/>
    <w:rsid w:val="73CB3044"/>
    <w:rsid w:val="73E059CF"/>
    <w:rsid w:val="742222F5"/>
    <w:rsid w:val="74476126"/>
    <w:rsid w:val="746066F5"/>
    <w:rsid w:val="74706664"/>
    <w:rsid w:val="747F3682"/>
    <w:rsid w:val="749C4185"/>
    <w:rsid w:val="75067759"/>
    <w:rsid w:val="752E6DCD"/>
    <w:rsid w:val="75374EE7"/>
    <w:rsid w:val="7551380D"/>
    <w:rsid w:val="75600BE5"/>
    <w:rsid w:val="7564475C"/>
    <w:rsid w:val="756615CF"/>
    <w:rsid w:val="7583797F"/>
    <w:rsid w:val="75860E44"/>
    <w:rsid w:val="758E3908"/>
    <w:rsid w:val="7590200C"/>
    <w:rsid w:val="75AE3C0E"/>
    <w:rsid w:val="75B60528"/>
    <w:rsid w:val="75D20F1D"/>
    <w:rsid w:val="75DA2C18"/>
    <w:rsid w:val="75E713C0"/>
    <w:rsid w:val="75F54412"/>
    <w:rsid w:val="761D08E0"/>
    <w:rsid w:val="7653467B"/>
    <w:rsid w:val="765D347C"/>
    <w:rsid w:val="76787555"/>
    <w:rsid w:val="76826699"/>
    <w:rsid w:val="76C519E0"/>
    <w:rsid w:val="76C87133"/>
    <w:rsid w:val="76CD08D5"/>
    <w:rsid w:val="76D127D4"/>
    <w:rsid w:val="76DB4B92"/>
    <w:rsid w:val="77017403"/>
    <w:rsid w:val="77052AA4"/>
    <w:rsid w:val="770B295E"/>
    <w:rsid w:val="77136511"/>
    <w:rsid w:val="77340A39"/>
    <w:rsid w:val="77351FD0"/>
    <w:rsid w:val="77472422"/>
    <w:rsid w:val="777F31F2"/>
    <w:rsid w:val="77930DBD"/>
    <w:rsid w:val="77D1700D"/>
    <w:rsid w:val="77EC04CC"/>
    <w:rsid w:val="77F83E94"/>
    <w:rsid w:val="780D0FC2"/>
    <w:rsid w:val="781A1DFC"/>
    <w:rsid w:val="78775729"/>
    <w:rsid w:val="78A42DB0"/>
    <w:rsid w:val="78A656AB"/>
    <w:rsid w:val="78B2245C"/>
    <w:rsid w:val="78E172CC"/>
    <w:rsid w:val="78EA1D1F"/>
    <w:rsid w:val="78F93394"/>
    <w:rsid w:val="7904172F"/>
    <w:rsid w:val="790F7E27"/>
    <w:rsid w:val="792A231A"/>
    <w:rsid w:val="79316829"/>
    <w:rsid w:val="79413EA7"/>
    <w:rsid w:val="79715C01"/>
    <w:rsid w:val="797E66A9"/>
    <w:rsid w:val="798E5905"/>
    <w:rsid w:val="79A97383"/>
    <w:rsid w:val="79D21CD2"/>
    <w:rsid w:val="79DD2640"/>
    <w:rsid w:val="79E27E8B"/>
    <w:rsid w:val="79ED0146"/>
    <w:rsid w:val="79F850CE"/>
    <w:rsid w:val="79FD443C"/>
    <w:rsid w:val="7A1D1975"/>
    <w:rsid w:val="7A3E5150"/>
    <w:rsid w:val="7A4670D6"/>
    <w:rsid w:val="7A4C24CB"/>
    <w:rsid w:val="7A534B63"/>
    <w:rsid w:val="7A615382"/>
    <w:rsid w:val="7A67303B"/>
    <w:rsid w:val="7AAB1D04"/>
    <w:rsid w:val="7ABA4368"/>
    <w:rsid w:val="7AD05746"/>
    <w:rsid w:val="7B113533"/>
    <w:rsid w:val="7B257FFD"/>
    <w:rsid w:val="7B343476"/>
    <w:rsid w:val="7B3F7158"/>
    <w:rsid w:val="7B5A2978"/>
    <w:rsid w:val="7B5A7E4C"/>
    <w:rsid w:val="7B667AF9"/>
    <w:rsid w:val="7B6B61BC"/>
    <w:rsid w:val="7B7468F8"/>
    <w:rsid w:val="7BB6739F"/>
    <w:rsid w:val="7BEE0103"/>
    <w:rsid w:val="7C0A0FE4"/>
    <w:rsid w:val="7C254906"/>
    <w:rsid w:val="7C590818"/>
    <w:rsid w:val="7C7037C2"/>
    <w:rsid w:val="7C764345"/>
    <w:rsid w:val="7C7C10F6"/>
    <w:rsid w:val="7C853BEA"/>
    <w:rsid w:val="7C881368"/>
    <w:rsid w:val="7CDE79D4"/>
    <w:rsid w:val="7CE27788"/>
    <w:rsid w:val="7D0C32F1"/>
    <w:rsid w:val="7D0F408D"/>
    <w:rsid w:val="7D1E1A15"/>
    <w:rsid w:val="7D3F4318"/>
    <w:rsid w:val="7D491C6C"/>
    <w:rsid w:val="7D5429C0"/>
    <w:rsid w:val="7D6E6D43"/>
    <w:rsid w:val="7D8B2C3C"/>
    <w:rsid w:val="7DAC3CA8"/>
    <w:rsid w:val="7DB57A34"/>
    <w:rsid w:val="7DD2306B"/>
    <w:rsid w:val="7DD77101"/>
    <w:rsid w:val="7DE60973"/>
    <w:rsid w:val="7DEE5506"/>
    <w:rsid w:val="7DEF0916"/>
    <w:rsid w:val="7DFF0A10"/>
    <w:rsid w:val="7E0368A3"/>
    <w:rsid w:val="7E1E5218"/>
    <w:rsid w:val="7E595337"/>
    <w:rsid w:val="7E6B60AA"/>
    <w:rsid w:val="7E9A4E1F"/>
    <w:rsid w:val="7EA7723A"/>
    <w:rsid w:val="7EE66563"/>
    <w:rsid w:val="7EF42A2E"/>
    <w:rsid w:val="7EF56FBB"/>
    <w:rsid w:val="7F0768EB"/>
    <w:rsid w:val="7F143BEC"/>
    <w:rsid w:val="7F715AF2"/>
    <w:rsid w:val="7F886E69"/>
    <w:rsid w:val="7F8F7E3F"/>
    <w:rsid w:val="7FA11C26"/>
    <w:rsid w:val="7FF87E3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autoRedefine/>
    <w:qFormat/>
    <w:uiPriority w:val="0"/>
    <w:pPr>
      <w:ind w:firstLine="420"/>
    </w:pPr>
    <w:rPr>
      <w:rFonts w:hAnsi="Calibri"/>
      <w:szCs w:val="20"/>
    </w:rPr>
  </w:style>
  <w:style w:type="paragraph" w:styleId="25">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39"/>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next w:val="1"/>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Normal]"/>
    <w:autoRedefine/>
    <w:qFormat/>
    <w:uiPriority w:val="0"/>
    <w:rPr>
      <w:rFonts w:ascii="宋体" w:hAnsi="宋体" w:eastAsia="宋体" w:cs="Times New Roman"/>
      <w:sz w:val="24"/>
      <w:szCs w:val="22"/>
      <w:lang w:val="zh-CN" w:eastAsia="zh-CN" w:bidi="ar-SA"/>
    </w:rPr>
  </w:style>
  <w:style w:type="paragraph" w:customStyle="1" w:styleId="8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字符"/>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字符"/>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字符"/>
    <w:link w:val="7"/>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2"/>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字符"/>
    <w:link w:val="36"/>
    <w:autoRedefine/>
    <w:qFormat/>
    <w:uiPriority w:val="0"/>
    <w:rPr>
      <w:rFonts w:ascii="宋体"/>
      <w:kern w:val="2"/>
      <w:sz w:val="24"/>
      <w:szCs w:val="21"/>
      <w:lang w:val="zh-CN"/>
    </w:rPr>
  </w:style>
  <w:style w:type="character" w:customStyle="1" w:styleId="181">
    <w:name w:val="标题 9 字符"/>
    <w:link w:val="10"/>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字符1"/>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字符"/>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字符"/>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5"/>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字符"/>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字符1"/>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字符1"/>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字符"/>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字符"/>
    <w:link w:val="6"/>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字符"/>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字符"/>
    <w:link w:val="57"/>
    <w:autoRedefine/>
    <w:qFormat/>
    <w:uiPriority w:val="0"/>
    <w:rPr>
      <w:rFonts w:ascii="黑体" w:hAnsi="Courier New" w:eastAsia="黑体"/>
    </w:rPr>
  </w:style>
  <w:style w:type="character" w:customStyle="1" w:styleId="301">
    <w:name w:val="正文文本 2 字符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5"/>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字符"/>
    <w:link w:val="8"/>
    <w:autoRedefine/>
    <w:qFormat/>
    <w:uiPriority w:val="0"/>
    <w:rPr>
      <w:b/>
      <w:bCs/>
      <w:kern w:val="2"/>
      <w:sz w:val="24"/>
      <w:szCs w:val="24"/>
    </w:rPr>
  </w:style>
  <w:style w:type="character" w:customStyle="1" w:styleId="307">
    <w:name w:val="正文文本缩进 2 字符"/>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字符"/>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文本首行缩进 字符"/>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字符1"/>
    <w:link w:val="5"/>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字符"/>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autoRedefine/>
    <w:qFormat/>
    <w:uiPriority w:val="0"/>
    <w:rPr>
      <w:kern w:val="2"/>
      <w:sz w:val="21"/>
      <w:szCs w:val="24"/>
    </w:rPr>
  </w:style>
  <w:style w:type="character" w:customStyle="1" w:styleId="344">
    <w:name w:val="签名 字符"/>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字符"/>
    <w:link w:val="53"/>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字符2"/>
    <w:link w:val="40"/>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字符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1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438"/>
    <w:next w:val="438"/>
    <w:autoRedefine/>
    <w:qFormat/>
    <w:uiPriority w:val="0"/>
    <w:pPr>
      <w:autoSpaceDE w:val="0"/>
      <w:autoSpaceDN w:val="0"/>
      <w:spacing w:before="566" w:after="544" w:line="566" w:lineRule="atLeast"/>
      <w:ind w:firstLine="419" w:firstLineChars="200"/>
    </w:pPr>
    <w:rPr>
      <w:rFonts w:ascii="Arial" w:hAnsi="Arial"/>
      <w:color w:val="000000"/>
      <w:spacing w:val="565"/>
      <w:kern w:val="0"/>
      <w:sz w:val="54"/>
      <w:szCs w:val="54"/>
    </w:rPr>
  </w:style>
  <w:style w:type="paragraph" w:customStyle="1" w:styleId="438">
    <w:name w:val="第一部分"/>
    <w:basedOn w:val="1"/>
    <w:autoRedefine/>
    <w:qFormat/>
    <w:uiPriority w:val="0"/>
    <w:pPr>
      <w:jc w:val="center"/>
    </w:pPr>
    <w:rPr>
      <w:b/>
      <w:sz w:val="36"/>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next w:val="1"/>
    <w:link w:val="932"/>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6"/>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4"/>
    <w:next w:val="234"/>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4"/>
    <w:next w:val="234"/>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4"/>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1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8"/>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3"/>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字符"/>
    <w:link w:val="38"/>
    <w:autoRedefine/>
    <w:qFormat/>
    <w:uiPriority w:val="0"/>
    <w:rPr>
      <w:kern w:val="2"/>
      <w:sz w:val="21"/>
      <w:szCs w:val="24"/>
      <w:lang w:val="zh-CN"/>
    </w:rPr>
  </w:style>
  <w:style w:type="character" w:customStyle="1" w:styleId="932">
    <w:name w:val="无间隔 字符"/>
    <w:link w:val="483"/>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大标题"/>
    <w:basedOn w:val="437"/>
    <w:autoRedefine/>
    <w:qFormat/>
    <w:uiPriority w:val="0"/>
    <w:rPr>
      <w:szCs w:val="36"/>
    </w:rPr>
  </w:style>
  <w:style w:type="paragraph" w:customStyle="1" w:styleId="964">
    <w:name w:val="WPSOffice手动目录 1"/>
    <w:autoRedefine/>
    <w:qFormat/>
    <w:uiPriority w:val="0"/>
    <w:rPr>
      <w:rFonts w:ascii="Times New Roman" w:hAnsi="Times New Roman" w:eastAsia="宋体" w:cs="Times New Roman"/>
      <w:lang w:val="en-US" w:eastAsia="zh-CN" w:bidi="ar-SA"/>
    </w:rPr>
  </w:style>
  <w:style w:type="paragraph" w:customStyle="1" w:styleId="965">
    <w:name w:val="Style1"/>
    <w:autoRedefine/>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customStyle="1" w:styleId="966">
    <w:name w:val="Body text|1"/>
    <w:basedOn w:val="1"/>
    <w:autoRedefine/>
    <w:qFormat/>
    <w:uiPriority w:val="0"/>
    <w:pPr>
      <w:spacing w:line="480" w:lineRule="auto"/>
      <w:ind w:firstLine="140"/>
    </w:pPr>
    <w:rPr>
      <w:rFonts w:ascii="宋体" w:hAnsi="宋体" w:cs="宋体"/>
      <w:sz w:val="22"/>
      <w:szCs w:val="22"/>
      <w:lang w:val="zh-TW" w:eastAsia="zh-TW" w:bidi="zh-TW"/>
    </w:rPr>
  </w:style>
  <w:style w:type="character" w:customStyle="1" w:styleId="967">
    <w:name w:val="标题 2 字符1"/>
    <w:autoRedefine/>
    <w:qFormat/>
    <w:uiPriority w:val="0"/>
    <w:rPr>
      <w:rFonts w:ascii="Arial" w:hAnsi="Arial" w:eastAsia="宋体"/>
      <w:b/>
      <w:bCs/>
      <w:kern w:val="2"/>
      <w:sz w:val="28"/>
      <w:szCs w:val="32"/>
      <w:lang w:val="en-US" w:eastAsia="zh-CN" w:bidi="ar-SA"/>
    </w:rPr>
  </w:style>
  <w:style w:type="paragraph" w:customStyle="1" w:styleId="968">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9">
    <w:name w:val="修订5"/>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970">
    <w:name w:val="修订6"/>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971">
    <w:name w:val="列表段落11"/>
    <w:basedOn w:val="1"/>
    <w:autoRedefine/>
    <w:qFormat/>
    <w:uiPriority w:val="34"/>
    <w:pPr>
      <w:adjustRightInd/>
      <w:ind w:right="238" w:firstLine="420"/>
    </w:pPr>
    <w:rPr>
      <w:rFonts w:ascii="Calibri" w:hAnsi="Calibri"/>
      <w:sz w:val="24"/>
    </w:rPr>
  </w:style>
  <w:style w:type="paragraph" w:customStyle="1" w:styleId="972">
    <w:name w:val="修订7"/>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97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file:///C:\Users\805\AppData\Local\Temp\msohtmlclip1\01\clip_image013.png" TargetMode="External"/><Relationship Id="rId36" Type="http://schemas.openxmlformats.org/officeDocument/2006/relationships/image" Target="media/image7.png"/><Relationship Id="rId35" Type="http://schemas.openxmlformats.org/officeDocument/2006/relationships/image" Target="file:///C:\Users\805\AppData\Local\Temp\msohtmlclip1\01\clip_image011.png" TargetMode="External"/><Relationship Id="rId34" Type="http://schemas.openxmlformats.org/officeDocument/2006/relationships/image" Target="media/image6.png"/><Relationship Id="rId33" Type="http://schemas.openxmlformats.org/officeDocument/2006/relationships/image" Target="file:///C:\Users\805\AppData\Local\Temp\msohtmlclip1\01\clip_image009.png" TargetMode="External"/><Relationship Id="rId32" Type="http://schemas.openxmlformats.org/officeDocument/2006/relationships/image" Target="media/image5.png"/><Relationship Id="rId31" Type="http://schemas.openxmlformats.org/officeDocument/2006/relationships/image" Target="file:///C:\Users\805\AppData\Local\Temp\msohtmlclip1\01\clip_image007.jpg" TargetMode="External"/><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file:///C:\Users\805\AppData\Local\Temp\msohtmlclip1\01\clip_image005.jpg" TargetMode="External"/><Relationship Id="rId28" Type="http://schemas.openxmlformats.org/officeDocument/2006/relationships/image" Target="media/image3.jpeg"/><Relationship Id="rId27" Type="http://schemas.openxmlformats.org/officeDocument/2006/relationships/image" Target="file:///C:\Users\805\AppData\Local\Temp\msohtmlclip1\01\clip_image003.jpg" TargetMode="External"/><Relationship Id="rId26" Type="http://schemas.openxmlformats.org/officeDocument/2006/relationships/image" Target="media/image2.jpeg"/><Relationship Id="rId25" Type="http://schemas.openxmlformats.org/officeDocument/2006/relationships/image" Target="file:///C:\Users\805\AppData\Local\Temp\msohtmlclip1\01\clip_image001.png" TargetMode="Externa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E74A2D-4E35-48AC-82B2-3334F818AF3F}">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52283</Words>
  <Characters>56965</Characters>
  <Lines>469</Lines>
  <Paragraphs>132</Paragraphs>
  <TotalTime>46</TotalTime>
  <ScaleCrop>false</ScaleCrop>
  <LinksUpToDate>false</LinksUpToDate>
  <CharactersWithSpaces>62357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2024-05-16T07:49:00Z</dcterms:created>
  <dc:creator>玥</dc:creator>
  <cp:lastModifiedBy>Ready.  H</cp:lastModifiedBy>
  <cp:lastPrinted>2024-04-30T02:27:00Z</cp:lastPrinted>
  <dcterms:modified xsi:type="dcterms:W3CDTF">2024-06-05T09:08:41Z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C79F487312CE49C498D9BBC9CCE27A5B_13</vt:lpwstr>
  </property>
</Properties>
</file>