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hint="eastAsia" w:ascii="宋体" w:hAnsi="宋体" w:cs="宋体"/>
          <w:b/>
          <w:sz w:val="24"/>
        </w:rPr>
      </w:pPr>
    </w:p>
    <w:p>
      <w:pPr>
        <w:adjustRightInd/>
        <w:spacing w:line="360" w:lineRule="auto"/>
        <w:jc w:val="center"/>
        <w:rPr>
          <w:rFonts w:ascii="宋体" w:hAnsi="宋体" w:cs="宋体"/>
          <w:sz w:val="48"/>
          <w:szCs w:val="48"/>
        </w:rPr>
      </w:pPr>
    </w:p>
    <w:p>
      <w:pPr>
        <w:adjustRightInd/>
        <w:spacing w:line="360" w:lineRule="auto"/>
        <w:jc w:val="center"/>
        <w:rPr>
          <w:rFonts w:ascii="宋体" w:hAnsi="宋体" w:cs="宋体"/>
          <w:sz w:val="48"/>
          <w:szCs w:val="48"/>
        </w:rPr>
      </w:pPr>
      <w:r>
        <w:rPr>
          <w:rFonts w:hint="eastAsia" w:ascii="宋体" w:hAnsi="宋体" w:cs="宋体"/>
          <w:sz w:val="48"/>
          <w:szCs w:val="48"/>
        </w:rPr>
        <w:t>杭州市“空间智治”数字化平台建设（2024）耕地保护集成应用项目</w:t>
      </w:r>
    </w:p>
    <w:p>
      <w:pPr>
        <w:adjustRightInd/>
        <w:spacing w:line="360" w:lineRule="auto"/>
        <w:jc w:val="center"/>
        <w:rPr>
          <w:rFonts w:ascii="宋体" w:hAnsi="宋体" w:cs="宋体"/>
          <w:sz w:val="48"/>
          <w:szCs w:val="48"/>
        </w:rPr>
      </w:pPr>
      <w:r>
        <w:rPr>
          <w:rFonts w:hint="eastAsia" w:ascii="宋体" w:hAnsi="宋体" w:cs="宋体"/>
          <w:sz w:val="48"/>
          <w:szCs w:val="48"/>
        </w:rPr>
        <w:t xml:space="preserve">招标文件 </w:t>
      </w:r>
    </w:p>
    <w:p>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pPr>
        <w:snapToGrid w:val="0"/>
        <w:spacing w:line="360" w:lineRule="auto"/>
        <w:jc w:val="center"/>
        <w:rPr>
          <w:rFonts w:ascii="宋体" w:hAnsi="宋体" w:cs="宋体"/>
          <w:sz w:val="30"/>
          <w:szCs w:val="30"/>
        </w:rPr>
      </w:pPr>
      <w:r>
        <w:rPr>
          <w:rFonts w:hint="eastAsia" w:ascii="宋体" w:hAnsi="宋体" w:cs="宋体"/>
          <w:sz w:val="30"/>
          <w:szCs w:val="30"/>
        </w:rPr>
        <w:t>编号:ZJKJ2024-临[2024]6293号</w:t>
      </w:r>
    </w:p>
    <w:p>
      <w:pPr>
        <w:adjustRightInd/>
        <w:spacing w:line="360" w:lineRule="auto"/>
        <w:rPr>
          <w:rFonts w:ascii="宋体" w:hAnsi="宋体" w:cs="宋体"/>
          <w:sz w:val="28"/>
          <w:szCs w:val="20"/>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spacing w:line="360" w:lineRule="auto"/>
        <w:jc w:val="center"/>
        <w:rPr>
          <w:rFonts w:ascii="宋体" w:hAnsi="宋体" w:cs="宋体"/>
          <w:sz w:val="24"/>
        </w:rPr>
      </w:pPr>
    </w:p>
    <w:p>
      <w:pPr>
        <w:spacing w:line="360" w:lineRule="auto"/>
        <w:jc w:val="center"/>
        <w:rPr>
          <w:rFonts w:ascii="宋体" w:hAnsi="宋体" w:cs="宋体"/>
          <w:sz w:val="24"/>
        </w:rPr>
      </w:pPr>
    </w:p>
    <w:p>
      <w:pPr>
        <w:spacing w:line="360" w:lineRule="auto"/>
        <w:rPr>
          <w:rFonts w:ascii="宋体" w:hAnsi="宋体" w:cs="宋体"/>
          <w:sz w:val="32"/>
          <w:szCs w:val="32"/>
        </w:rPr>
      </w:pPr>
    </w:p>
    <w:p>
      <w:pPr>
        <w:snapToGrid w:val="0"/>
        <w:spacing w:line="360" w:lineRule="auto"/>
        <w:jc w:val="center"/>
        <w:rPr>
          <w:rFonts w:ascii="宋体" w:hAnsi="宋体" w:cs="宋体"/>
          <w:sz w:val="32"/>
          <w:szCs w:val="32"/>
        </w:rPr>
      </w:pPr>
      <w:r>
        <w:rPr>
          <w:rFonts w:hint="eastAsia" w:ascii="宋体" w:hAnsi="宋体" w:cs="宋体"/>
          <w:sz w:val="32"/>
          <w:szCs w:val="32"/>
        </w:rPr>
        <w:t>（</w:t>
      </w:r>
      <w:r>
        <w:rPr>
          <w:rFonts w:hint="eastAsia" w:ascii="宋体" w:hAnsi="宋体" w:cs="宋体"/>
          <w:bCs/>
          <w:sz w:val="32"/>
          <w:szCs w:val="32"/>
        </w:rPr>
        <w:t>采购</w:t>
      </w:r>
      <w:r>
        <w:rPr>
          <w:rFonts w:hint="eastAsia" w:ascii="宋体" w:hAnsi="宋体" w:cs="宋体"/>
          <w:sz w:val="32"/>
          <w:szCs w:val="32"/>
        </w:rPr>
        <w:t>方）杭州市规划和自然资源局</w:t>
      </w:r>
    </w:p>
    <w:p>
      <w:pPr>
        <w:snapToGrid w:val="0"/>
        <w:spacing w:line="360" w:lineRule="auto"/>
        <w:jc w:val="center"/>
        <w:rPr>
          <w:rFonts w:ascii="宋体" w:hAnsi="宋体" w:cs="宋体"/>
          <w:sz w:val="32"/>
          <w:szCs w:val="32"/>
        </w:rPr>
      </w:pPr>
    </w:p>
    <w:p>
      <w:pPr>
        <w:spacing w:line="360" w:lineRule="auto"/>
        <w:jc w:val="center"/>
        <w:rPr>
          <w:rFonts w:ascii="宋体" w:hAnsi="宋体" w:cs="宋体"/>
          <w:bCs/>
          <w:sz w:val="32"/>
          <w:szCs w:val="32"/>
        </w:rPr>
      </w:pPr>
      <w:r>
        <w:rPr>
          <w:rFonts w:hint="eastAsia" w:ascii="宋体" w:hAnsi="宋体" w:cs="宋体"/>
          <w:bCs/>
          <w:sz w:val="32"/>
          <w:szCs w:val="32"/>
        </w:rPr>
        <w:t>（采购代理机构）浙江科佳工程咨询有限公司</w:t>
      </w:r>
    </w:p>
    <w:p>
      <w:pPr>
        <w:spacing w:line="360" w:lineRule="auto"/>
        <w:jc w:val="center"/>
        <w:rPr>
          <w:rFonts w:ascii="宋体" w:hAnsi="宋体" w:cs="宋体"/>
          <w:bCs/>
          <w:sz w:val="32"/>
          <w:szCs w:val="32"/>
        </w:rPr>
      </w:pPr>
    </w:p>
    <w:p>
      <w:pPr>
        <w:snapToGrid w:val="0"/>
        <w:spacing w:line="360" w:lineRule="auto"/>
        <w:jc w:val="center"/>
        <w:rPr>
          <w:rFonts w:ascii="宋体" w:hAnsi="宋体" w:cs="宋体"/>
          <w:bCs/>
          <w:sz w:val="32"/>
          <w:szCs w:val="32"/>
        </w:rPr>
      </w:pPr>
      <w:r>
        <w:rPr>
          <w:rFonts w:hint="eastAsia" w:ascii="宋体" w:hAnsi="宋体" w:cs="宋体"/>
          <w:bCs/>
          <w:sz w:val="32"/>
          <w:szCs w:val="32"/>
        </w:rPr>
        <w:t>二〇二四年五月十五日</w:t>
      </w:r>
    </w:p>
    <w:p>
      <w:pPr>
        <w:spacing w:line="360" w:lineRule="auto"/>
        <w:jc w:val="center"/>
        <w:rPr>
          <w:rFonts w:ascii="宋体" w:hAnsi="宋体" w:cs="宋体"/>
          <w:sz w:val="24"/>
        </w:rPr>
      </w:pPr>
      <w:r>
        <w:rPr>
          <w:rFonts w:hint="eastAsia" w:ascii="宋体" w:hAnsi="宋体" w:cs="宋体"/>
          <w:sz w:val="24"/>
        </w:rPr>
        <w:br w:type="page"/>
      </w:r>
    </w:p>
    <w:p>
      <w:pPr>
        <w:pStyle w:val="635"/>
        <w:rPr>
          <w:rFonts w:ascii="宋体" w:hAnsi="宋体" w:eastAsia="宋体" w:cs="宋体"/>
        </w:rPr>
      </w:pPr>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rPr>
          <w:rFonts w:ascii="宋体" w:hAnsi="宋体" w:cs="宋体"/>
          <w:sz w:val="32"/>
          <w:szCs w:val="32"/>
        </w:rPr>
      </w:pPr>
    </w:p>
    <w:p>
      <w:pPr>
        <w:spacing w:line="360" w:lineRule="auto"/>
        <w:rPr>
          <w:rFonts w:ascii="宋体" w:hAnsi="宋体" w:cs="宋体"/>
          <w:sz w:val="32"/>
          <w:szCs w:val="32"/>
        </w:rPr>
      </w:pPr>
    </w:p>
    <w:p>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pPr>
        <w:spacing w:line="360" w:lineRule="auto"/>
        <w:ind w:firstLine="549" w:firstLineChars="229"/>
        <w:rPr>
          <w:rFonts w:ascii="宋体" w:hAnsi="宋体" w:cs="宋体"/>
          <w:sz w:val="24"/>
        </w:rPr>
      </w:pPr>
      <w:bookmarkStart w:id="0" w:name="_Hlt91233176"/>
      <w:bookmarkEnd w:id="0"/>
      <w:bookmarkStart w:id="1" w:name="_Toc91899869"/>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rPr>
          <w:rFonts w:ascii="宋体" w:hAnsi="宋体" w:cs="宋体"/>
          <w:sz w:val="24"/>
        </w:rPr>
      </w:pPr>
    </w:p>
    <w:p>
      <w:pPr>
        <w:adjustRightInd/>
        <w:spacing w:line="360" w:lineRule="auto"/>
        <w:jc w:val="center"/>
        <w:outlineLvl w:val="0"/>
        <w:rPr>
          <w:rFonts w:ascii="宋体" w:hAnsi="宋体" w:cs="宋体"/>
          <w:b/>
          <w:sz w:val="36"/>
          <w:szCs w:val="20"/>
        </w:rPr>
      </w:pPr>
      <w:bookmarkStart w:id="2" w:name="第一部分"/>
      <w:r>
        <w:rPr>
          <w:rFonts w:hint="eastAsia" w:ascii="宋体" w:hAnsi="宋体" w:cs="宋体"/>
          <w:b/>
          <w:sz w:val="36"/>
          <w:szCs w:val="36"/>
        </w:rPr>
        <w:br w:type="page"/>
      </w:r>
      <w:bookmarkEnd w:id="1"/>
      <w:bookmarkEnd w:id="2"/>
      <w:bookmarkStart w:id="3" w:name="_Hlt74728647"/>
      <w:bookmarkEnd w:id="3"/>
      <w:bookmarkStart w:id="4" w:name="_Hlt74649545"/>
      <w:bookmarkEnd w:id="4"/>
      <w:bookmarkStart w:id="5" w:name="_Hlt74729822"/>
      <w:bookmarkEnd w:id="5"/>
      <w:bookmarkStart w:id="6" w:name="_Hlt74707423"/>
      <w:bookmarkEnd w:id="6"/>
      <w:bookmarkStart w:id="7" w:name="第二部分"/>
      <w:bookmarkStart w:id="8" w:name="_Toc91899870"/>
      <w:bookmarkStart w:id="9" w:name="_Toc91899871"/>
      <w:r>
        <w:rPr>
          <w:rFonts w:hint="eastAsia" w:ascii="宋体" w:hAnsi="宋体" w:cs="宋体"/>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u w:val="single"/>
        </w:rPr>
      </w:pPr>
      <w:r>
        <w:rPr>
          <w:rFonts w:hint="eastAsia" w:ascii="宋体" w:hAnsi="宋体" w:cs="宋体"/>
          <w:sz w:val="24"/>
        </w:rPr>
        <w:t>杭州市“空间智治”数字化平台建设（2024）耕地保护集成应用项目招标项目的潜在投标人应在政采云平台（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宋体" w:hAnsi="宋体" w:eastAsia="宋体" w:cs="宋体"/>
          <w:snapToGrid/>
          <w:color w:val="auto"/>
          <w:kern w:val="2"/>
          <w:sz w:val="24"/>
          <w:szCs w:val="24"/>
        </w:rPr>
        <w:t>https://www.zcygov.cn/）获取（下载）招标文件，并于202</w:t>
      </w:r>
      <w:r>
        <w:rPr>
          <w:rStyle w:val="76"/>
          <w:rFonts w:hint="eastAsia" w:ascii="宋体" w:hAnsi="宋体" w:cs="宋体"/>
          <w:snapToGrid/>
          <w:color w:val="auto"/>
          <w:kern w:val="2"/>
          <w:sz w:val="24"/>
          <w:szCs w:val="24"/>
        </w:rPr>
        <w:t>4</w:t>
      </w:r>
      <w:r>
        <w:rPr>
          <w:rStyle w:val="76"/>
          <w:rFonts w:hint="eastAsia" w:ascii="宋体" w:hAnsi="宋体" w:eastAsia="宋体" w:cs="宋体"/>
          <w:snapToGrid/>
          <w:color w:val="auto"/>
          <w:kern w:val="2"/>
          <w:sz w:val="24"/>
          <w:szCs w:val="24"/>
        </w:rPr>
        <w:t>年</w:t>
      </w:r>
      <w:r>
        <w:rPr>
          <w:rStyle w:val="76"/>
          <w:rFonts w:hint="eastAsia" w:asciiTheme="minorEastAsia" w:hAnsiTheme="minorEastAsia" w:eastAsiaTheme="minorEastAsia" w:cstheme="minorEastAsia"/>
          <w:snapToGrid/>
          <w:color w:val="auto"/>
          <w:kern w:val="2"/>
          <w:sz w:val="24"/>
          <w:szCs w:val="24"/>
          <w:lang w:val="en-US" w:eastAsia="zh-CN"/>
        </w:rPr>
        <w:t>6</w:t>
      </w:r>
      <w:r>
        <w:rPr>
          <w:rStyle w:val="76"/>
          <w:rFonts w:hint="eastAsia" w:asciiTheme="minorEastAsia" w:hAnsiTheme="minorEastAsia" w:eastAsiaTheme="minorEastAsia" w:cstheme="minorEastAsia"/>
          <w:snapToGrid/>
          <w:color w:val="auto"/>
          <w:kern w:val="2"/>
          <w:sz w:val="24"/>
          <w:szCs w:val="24"/>
        </w:rPr>
        <w:t>月</w:t>
      </w:r>
      <w:r>
        <w:rPr>
          <w:rStyle w:val="76"/>
          <w:rFonts w:hint="eastAsia" w:ascii="宋体" w:hAnsi="宋体" w:eastAsia="黑体" w:cs="宋体"/>
          <w:snapToGrid/>
          <w:color w:val="auto"/>
          <w:kern w:val="2"/>
          <w:sz w:val="24"/>
          <w:szCs w:val="24"/>
          <w:lang w:val="en-US" w:eastAsia="zh-CN"/>
        </w:rPr>
        <w:t>20</w:t>
      </w:r>
      <w:r>
        <w:rPr>
          <w:rStyle w:val="76"/>
          <w:rFonts w:hint="eastAsia" w:asciiTheme="minorEastAsia" w:hAnsiTheme="minorEastAsia" w:eastAsiaTheme="minorEastAsia" w:cstheme="minorEastAsia"/>
          <w:snapToGrid/>
          <w:color w:val="auto"/>
          <w:kern w:val="2"/>
          <w:sz w:val="24"/>
          <w:szCs w:val="24"/>
        </w:rPr>
        <w:t>日</w:t>
      </w:r>
      <w:r>
        <w:rPr>
          <w:rStyle w:val="76"/>
          <w:rFonts w:hint="eastAsia" w:ascii="宋体" w:hAnsi="宋体" w:cs="宋体"/>
          <w:snapToGrid/>
          <w:color w:val="auto"/>
          <w:kern w:val="2"/>
          <w:sz w:val="24"/>
          <w:szCs w:val="24"/>
        </w:rPr>
        <w:t>14点00</w:t>
      </w:r>
      <w:r>
        <w:rPr>
          <w:rStyle w:val="76"/>
          <w:rFonts w:hint="eastAsia" w:ascii="宋体" w:hAnsi="宋体" w:eastAsia="宋体" w:cs="宋体"/>
          <w:snapToGrid/>
          <w:color w:val="auto"/>
          <w:kern w:val="2"/>
          <w:sz w:val="24"/>
          <w:szCs w:val="24"/>
        </w:rPr>
        <w:t>分</w:t>
      </w:r>
      <w:r>
        <w:rPr>
          <w:rStyle w:val="76"/>
          <w:rFonts w:hint="eastAsia" w:ascii="宋体" w:hAnsi="宋体" w:cs="宋体"/>
          <w:snapToGrid/>
          <w:color w:val="auto"/>
          <w:kern w:val="2"/>
          <w:sz w:val="24"/>
          <w:szCs w:val="24"/>
        </w:rPr>
        <w:t>00</w:t>
      </w:r>
      <w:r>
        <w:rPr>
          <w:rStyle w:val="76"/>
          <w:rFonts w:hint="eastAsia" w:ascii="宋体" w:hAnsi="宋体" w:eastAsia="宋体" w:cs="宋体"/>
          <w:bCs/>
          <w:snapToGrid/>
          <w:color w:val="auto"/>
          <w:kern w:val="2"/>
          <w:sz w:val="24"/>
          <w:szCs w:val="24"/>
        </w:rPr>
        <w:t>秒</w:t>
      </w:r>
      <w:r>
        <w:rPr>
          <w:rStyle w:val="76"/>
          <w:rFonts w:hint="eastAsia" w:ascii="宋体" w:hAnsi="宋体" w:eastAsia="宋体" w:cs="宋体"/>
          <w:bCs/>
          <w:snapToGrid/>
          <w:color w:val="auto"/>
          <w:kern w:val="2"/>
          <w:sz w:val="24"/>
          <w:szCs w:val="24"/>
        </w:rPr>
        <w:fldChar w:fldCharType="end"/>
      </w:r>
      <w:r>
        <w:rPr>
          <w:rFonts w:hint="eastAsia" w:ascii="宋体" w:hAnsi="宋体" w:cs="宋体"/>
          <w:bCs/>
          <w:sz w:val="24"/>
        </w:rPr>
        <w:t>（北京时间）前</w:t>
      </w:r>
      <w:r>
        <w:rPr>
          <w:rFonts w:hint="eastAsia" w:ascii="宋体" w:hAnsi="宋体" w:cs="宋体"/>
          <w:sz w:val="24"/>
        </w:rPr>
        <w:t>递交（上传）投标文件。</w:t>
      </w:r>
    </w:p>
    <w:p>
      <w:pPr>
        <w:spacing w:line="360" w:lineRule="auto"/>
        <w:rPr>
          <w:rFonts w:ascii="宋体" w:hAnsi="宋体" w:cs="宋体"/>
          <w:b/>
          <w:sz w:val="24"/>
        </w:rPr>
      </w:pPr>
      <w:r>
        <w:rPr>
          <w:rFonts w:hint="eastAsia" w:ascii="宋体" w:hAnsi="宋体" w:cs="宋体"/>
          <w:b/>
          <w:sz w:val="24"/>
        </w:rPr>
        <w:t xml:space="preserve">一、项目基本情况                                            </w:t>
      </w:r>
    </w:p>
    <w:p>
      <w:pPr>
        <w:spacing w:line="360" w:lineRule="auto"/>
        <w:ind w:firstLine="120" w:firstLineChars="50"/>
        <w:rPr>
          <w:rFonts w:ascii="宋体" w:hAnsi="宋体" w:cs="宋体"/>
          <w:sz w:val="24"/>
        </w:rPr>
      </w:pPr>
      <w:r>
        <w:rPr>
          <w:rFonts w:hint="eastAsia" w:ascii="宋体" w:hAnsi="宋体" w:cs="宋体"/>
          <w:b/>
          <w:sz w:val="24"/>
        </w:rPr>
        <w:t>项目编号：</w:t>
      </w:r>
      <w:r>
        <w:rPr>
          <w:rFonts w:hint="eastAsia" w:ascii="宋体" w:hAnsi="宋体" w:cs="宋体"/>
          <w:sz w:val="24"/>
        </w:rPr>
        <w:t>ZJKJ2024-临[2024]6293号</w:t>
      </w:r>
    </w:p>
    <w:p>
      <w:pPr>
        <w:spacing w:line="360" w:lineRule="auto"/>
        <w:rPr>
          <w:rFonts w:ascii="宋体" w:hAnsi="宋体" w:cs="宋体"/>
          <w:bCs/>
          <w:sz w:val="24"/>
        </w:rPr>
      </w:pPr>
      <w:r>
        <w:rPr>
          <w:rFonts w:hint="eastAsia" w:ascii="宋体" w:hAnsi="宋体" w:cs="宋体"/>
          <w:b/>
          <w:sz w:val="24"/>
        </w:rPr>
        <w:t xml:space="preserve"> 项目名称：</w:t>
      </w:r>
      <w:r>
        <w:rPr>
          <w:rFonts w:hint="eastAsia" w:ascii="宋体" w:hAnsi="宋体" w:cs="宋体"/>
          <w:bCs/>
          <w:sz w:val="24"/>
        </w:rPr>
        <w:t>杭州市“空间智治”数字化平台建设（2024）耕地保护集成应用项目</w:t>
      </w:r>
    </w:p>
    <w:p>
      <w:pPr>
        <w:spacing w:line="360" w:lineRule="auto"/>
        <w:rPr>
          <w:rFonts w:asciiTheme="minorEastAsia" w:hAnsiTheme="minorEastAsia" w:eastAsiaTheme="minorEastAsia" w:cstheme="minorEastAsia"/>
          <w:sz w:val="24"/>
        </w:rPr>
      </w:pPr>
      <w:r>
        <w:rPr>
          <w:rFonts w:hint="eastAsia" w:ascii="宋体" w:hAnsi="宋体" w:cs="宋体"/>
          <w:b/>
          <w:sz w:val="24"/>
        </w:rPr>
        <w:t xml:space="preserve"> 预算金额（元）：4600000</w:t>
      </w:r>
    </w:p>
    <w:p>
      <w:pPr>
        <w:spacing w:line="360" w:lineRule="auto"/>
        <w:ind w:firstLine="120" w:firstLineChars="5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最高限价（元）：标项一：</w:t>
      </w:r>
      <w:r>
        <w:rPr>
          <w:rFonts w:hint="eastAsia" w:ascii="宋体" w:hAnsi="宋体" w:cs="仿宋_GB2312"/>
          <w:sz w:val="24"/>
        </w:rPr>
        <w:t>杭州市“空间智治”数字化平台建设（2024）耕地保护集成应用项目-耕地保护集成应用</w:t>
      </w:r>
      <w:r>
        <w:rPr>
          <w:rFonts w:hint="eastAsia" w:hAnsi="宋体" w:cs="仿宋_GB2312"/>
        </w:rPr>
        <w:t>2790000。</w:t>
      </w:r>
      <w:r>
        <w:rPr>
          <w:rFonts w:hint="eastAsia" w:asciiTheme="minorEastAsia" w:hAnsiTheme="minorEastAsia" w:eastAsiaTheme="minorEastAsia" w:cstheme="minorEastAsia"/>
          <w:b/>
          <w:sz w:val="24"/>
        </w:rPr>
        <w:t>标项二：</w:t>
      </w:r>
      <w:r>
        <w:rPr>
          <w:rFonts w:hint="eastAsia" w:ascii="宋体" w:hAnsi="宋体" w:cs="仿宋_GB2312"/>
          <w:sz w:val="24"/>
        </w:rPr>
        <w:t>杭州市“空间智治”数字化平台建设（2024）耕地保护集成应用项目-不动产智治推广及税务协同场景1480000。</w:t>
      </w:r>
      <w:r>
        <w:rPr>
          <w:rFonts w:hint="eastAsia" w:asciiTheme="minorEastAsia" w:hAnsiTheme="minorEastAsia" w:eastAsiaTheme="minorEastAsia" w:cstheme="minorEastAsia"/>
          <w:b/>
          <w:sz w:val="24"/>
        </w:rPr>
        <w:t>标项三：</w:t>
      </w:r>
      <w:r>
        <w:rPr>
          <w:rFonts w:hint="eastAsia" w:ascii="宋体" w:hAnsi="宋体" w:cs="仿宋_GB2312"/>
          <w:sz w:val="24"/>
        </w:rPr>
        <w:t>杭州市“空间智治”数字化平台建设（2024）耕地保护集成应用项目-安全服务技术保障330000。</w:t>
      </w:r>
    </w:p>
    <w:p>
      <w:pPr>
        <w:spacing w:line="360" w:lineRule="auto"/>
        <w:ind w:firstLine="482" w:firstLineChars="200"/>
        <w:jc w:val="left"/>
        <w:rPr>
          <w:rFonts w:ascii="宋体" w:hAnsi="宋体" w:cs="宋体"/>
          <w:sz w:val="24"/>
        </w:rPr>
      </w:pPr>
      <w:r>
        <w:rPr>
          <w:rFonts w:hint="eastAsia" w:asciiTheme="minorEastAsia" w:hAnsiTheme="minorEastAsia" w:eastAsiaTheme="minorEastAsia" w:cstheme="minorEastAsia"/>
          <w:b/>
          <w:sz w:val="24"/>
        </w:rPr>
        <w:t>采购需求：</w:t>
      </w:r>
      <w:r>
        <w:rPr>
          <w:rFonts w:hint="eastAsia" w:ascii="宋体" w:hAnsi="宋体" w:cs="宋体"/>
          <w:bCs/>
          <w:sz w:val="24"/>
        </w:rPr>
        <w:t>简要规格描述或项目基本概况介绍、用途：</w:t>
      </w:r>
      <w:r>
        <w:rPr>
          <w:rFonts w:hint="eastAsia" w:ascii="宋体" w:hAnsi="宋体"/>
          <w:sz w:val="24"/>
          <w:u w:val="single"/>
        </w:rPr>
        <w:t>在浙江省高质量发展建设共同富裕示范区的背景下，杭州市落实党中央、国务院关于耕地保护的要求，切实加强耕地保护严守耕地红线，坚持守好耕地“基本盘”，在前期空间治理数字化探索的基础上，谋划打造市“空间智治”数字化平台建设（2024）耕地保护集成应用项目，依托“空间智治”数字化平台，新建土地整治项目管理场景和国土空间指标统筹交易管理场景，整合新建违法占用耕地监管整治场景；迭代升级“三块地”动态监测场景；增量开发不动产智治推广应用及税务协同场景。</w:t>
      </w:r>
      <w:r>
        <w:rPr>
          <w:rFonts w:hint="eastAsia" w:ascii="宋体" w:hAnsi="宋体" w:cs="宋体"/>
          <w:sz w:val="24"/>
        </w:rPr>
        <w:t>具体以招标文件第三部分采购需求为准，供应商可点击本公告下方“浏览采购文件”查看采购需求。</w:t>
      </w:r>
    </w:p>
    <w:p>
      <w:pPr>
        <w:pStyle w:val="5"/>
        <w:spacing w:line="360" w:lineRule="auto"/>
        <w:ind w:firstLine="480"/>
        <w:rPr>
          <w:rFonts w:ascii="仿宋" w:hAnsi="仿宋" w:eastAsia="仿宋" w:cs="仿宋"/>
          <w:color w:val="auto"/>
          <w:sz w:val="24"/>
          <w:lang w:val="zh-CN"/>
        </w:rPr>
      </w:pPr>
      <w:r>
        <w:rPr>
          <w:rFonts w:hint="eastAsia" w:hAnsi="宋体" w:cs="宋体"/>
          <w:snapToGrid/>
          <w:color w:val="auto"/>
          <w:kern w:val="2"/>
          <w:sz w:val="24"/>
          <w:szCs w:val="24"/>
        </w:rPr>
        <w:t>合同履约期限：</w:t>
      </w:r>
      <w:r>
        <w:rPr>
          <w:rFonts w:hint="eastAsia" w:ascii="宋体" w:hAnsi="宋体" w:eastAsia="宋体" w:cs="宋体"/>
          <w:snapToGrid/>
          <w:color w:val="auto"/>
          <w:kern w:val="2"/>
          <w:sz w:val="24"/>
          <w:szCs w:val="24"/>
          <w:lang w:val="en-US" w:eastAsia="zh-CN" w:bidi="ar-SA"/>
        </w:rPr>
        <w:t>详见采购文件要求</w:t>
      </w:r>
      <w:r>
        <w:rPr>
          <w:rFonts w:hint="eastAsia" w:ascii="宋体" w:hAnsi="宋体" w:eastAsia="宋体" w:cs="宋体"/>
          <w:snapToGrid/>
          <w:color w:val="auto"/>
          <w:kern w:val="2"/>
          <w:sz w:val="24"/>
          <w:szCs w:val="24"/>
          <w:lang w:val="zh-CN" w:eastAsia="zh-CN" w:bidi="ar-SA"/>
        </w:rPr>
        <w:t>。</w:t>
      </w:r>
    </w:p>
    <w:p>
      <w:pPr>
        <w:pStyle w:val="5"/>
        <w:spacing w:line="360" w:lineRule="auto"/>
        <w:ind w:firstLine="480"/>
        <w:rPr>
          <w:rFonts w:hAnsi="宋体" w:cs="宋体"/>
          <w:snapToGrid/>
          <w:color w:val="auto"/>
          <w:kern w:val="2"/>
          <w:sz w:val="24"/>
          <w:szCs w:val="24"/>
        </w:rPr>
      </w:pPr>
      <w:r>
        <w:rPr>
          <w:rFonts w:hint="eastAsia" w:hAnsi="宋体" w:cs="宋体"/>
          <w:b/>
          <w:color w:val="auto"/>
          <w:sz w:val="24"/>
        </w:rPr>
        <w:t>本项目接受联合体投标：</w:t>
      </w:r>
      <w:sdt>
        <w:sdtPr>
          <w:rPr>
            <w:rFonts w:hint="eastAsia" w:hAnsi="宋体" w:cs="宋体"/>
            <w:color w:val="auto"/>
            <w:kern w:val="0"/>
            <w:sz w:val="24"/>
          </w:rPr>
          <w:id w:val="1"/>
        </w:sdtPr>
        <w:sdtEndPr>
          <w:rPr>
            <w:rFonts w:hint="eastAsia" w:hAnsi="宋体" w:cs="宋体"/>
            <w:color w:val="auto"/>
            <w:kern w:val="0"/>
            <w:sz w:val="24"/>
          </w:rPr>
        </w:sdtEndPr>
        <w:sdtContent>
          <w:r>
            <w:rPr>
              <w:rFonts w:ascii="Wingdings" w:hAnsi="Wingdings" w:cs="宋体"/>
              <w:color w:val="auto"/>
              <w:kern w:val="0"/>
              <w:sz w:val="24"/>
            </w:rPr>
            <w:t></w:t>
          </w:r>
        </w:sdtContent>
      </w:sdt>
      <w:r>
        <w:rPr>
          <w:rFonts w:hint="eastAsia" w:hAnsi="宋体" w:cs="宋体"/>
          <w:b/>
          <w:color w:val="auto"/>
          <w:sz w:val="24"/>
        </w:rPr>
        <w:t>是；</w:t>
      </w:r>
      <w:sdt>
        <w:sdtPr>
          <w:rPr>
            <w:rFonts w:hint="eastAsia" w:hAnsi="宋体" w:cs="宋体"/>
            <w:color w:val="auto"/>
            <w:kern w:val="0"/>
            <w:sz w:val="24"/>
          </w:rPr>
          <w:id w:val="2"/>
        </w:sdtPr>
        <w:sdtEndPr>
          <w:rPr>
            <w:rFonts w:hint="eastAsia" w:hAnsi="宋体" w:cs="宋体"/>
            <w:color w:val="auto"/>
            <w:kern w:val="0"/>
            <w:sz w:val="24"/>
          </w:rPr>
        </w:sdtEndPr>
        <w:sdtContent>
          <w:r>
            <w:rPr>
              <w:rFonts w:hint="eastAsia" w:hAnsi="宋体" w:cs="宋体"/>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pPr>
        <w:spacing w:line="360" w:lineRule="auto"/>
        <w:rPr>
          <w:rFonts w:ascii="宋体" w:hAnsi="宋体" w:cs="宋体"/>
          <w:b/>
          <w:sz w:val="24"/>
        </w:rPr>
      </w:pPr>
      <w:r>
        <w:rPr>
          <w:rFonts w:hint="eastAsia" w:ascii="宋体" w:hAnsi="宋体" w:cs="宋体"/>
          <w:b/>
          <w:sz w:val="24"/>
        </w:rPr>
        <w:t>二、申请人的资格要求：</w:t>
      </w:r>
    </w:p>
    <w:p>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2.以联合体形式投标的，提供联合协议(本项目不接受联合体投标或者投标人不以联合体形式投标的，则不需要提供)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3.落实政府采购政策需满足的资格要求：</w:t>
      </w:r>
    </w:p>
    <w:p>
      <w:pPr>
        <w:spacing w:line="360" w:lineRule="auto"/>
        <w:ind w:firstLine="480" w:firstLineChars="200"/>
        <w:rPr>
          <w:rFonts w:ascii="宋体" w:hAnsi="宋体" w:cs="宋体"/>
          <w:sz w:val="24"/>
        </w:rPr>
      </w:pPr>
      <w:sdt>
        <w:sdtPr>
          <w:rPr>
            <w:rFonts w:hint="eastAsia" w:ascii="宋体" w:hAnsi="宋体" w:cs="宋体"/>
            <w:kern w:val="0"/>
            <w:sz w:val="24"/>
          </w:rPr>
          <w:id w:val="1928616923"/>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p>
    <w:p>
      <w:pPr>
        <w:spacing w:line="360" w:lineRule="auto"/>
        <w:ind w:firstLine="480" w:firstLineChars="200"/>
        <w:rPr>
          <w:rFonts w:ascii="宋体" w:hAnsi="宋体" w:cs="宋体"/>
          <w:sz w:val="24"/>
        </w:rPr>
      </w:pPr>
      <w:sdt>
        <w:sdtPr>
          <w:rPr>
            <w:rFonts w:hint="eastAsia" w:ascii="宋体" w:hAnsi="宋体" w:cs="宋体"/>
            <w:kern w:val="0"/>
            <w:sz w:val="24"/>
          </w:rPr>
          <w:id w:val="4"/>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kern w:val="0"/>
          <w:sz w:val="24"/>
        </w:rPr>
        <w:t>专</w:t>
      </w:r>
      <w:r>
        <w:rPr>
          <w:rFonts w:hint="eastAsia" w:ascii="宋体" w:hAnsi="宋体" w:cs="宋体"/>
          <w:sz w:val="24"/>
        </w:rPr>
        <w:t>门面向中小企业</w:t>
      </w:r>
    </w:p>
    <w:p>
      <w:pPr>
        <w:spacing w:line="360" w:lineRule="auto"/>
        <w:ind w:firstLine="897" w:firstLineChars="374"/>
        <w:rPr>
          <w:rFonts w:ascii="宋体" w:hAnsi="宋体" w:cs="宋体"/>
          <w:sz w:val="24"/>
        </w:rPr>
      </w:pPr>
      <w:sdt>
        <w:sdtPr>
          <w:rPr>
            <w:rFonts w:hint="eastAsia" w:ascii="宋体" w:hAnsi="宋体" w:cs="宋体"/>
            <w:kern w:val="0"/>
            <w:sz w:val="24"/>
          </w:rPr>
          <w:id w:val="5"/>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sz w:val="24"/>
        </w:rPr>
        <w:t>服务全部由符合政策要求的中小企业承接，提供中小企业声明函；</w:t>
      </w:r>
    </w:p>
    <w:p>
      <w:pPr>
        <w:spacing w:line="360" w:lineRule="auto"/>
        <w:ind w:firstLine="897" w:firstLineChars="374"/>
        <w:rPr>
          <w:rFonts w:ascii="宋体" w:hAnsi="宋体" w:cs="宋体"/>
        </w:rPr>
      </w:pPr>
      <w:sdt>
        <w:sdtPr>
          <w:rPr>
            <w:rFonts w:hint="eastAsia" w:ascii="宋体" w:hAnsi="宋体" w:cs="宋体"/>
            <w:kern w:val="0"/>
            <w:sz w:val="24"/>
          </w:rPr>
          <w:id w:val="6"/>
        </w:sdtPr>
        <w:sdtEndPr>
          <w:rPr>
            <w:rFonts w:hint="eastAsia" w:ascii="宋体" w:hAnsi="宋体" w:cs="宋体"/>
            <w:kern w:val="0"/>
            <w:sz w:val="24"/>
          </w:rPr>
        </w:sdtEndPr>
        <w:sdtContent>
          <w:r>
            <w:rPr>
              <w:rFonts w:hint="eastAsia" w:ascii="宋体" w:hAnsi="宋体" w:cs="宋体"/>
              <w:kern w:val="0"/>
              <w:sz w:val="24"/>
              <w:u w:val="none"/>
              <w:lang w:val="en-US" w:eastAsia="zh-CN"/>
            </w:rPr>
            <w:t xml:space="preserve"> </w:t>
          </w:r>
          <w:r>
            <w:rPr>
              <w:rFonts w:hint="eastAsia" w:ascii="宋体" w:hAnsi="宋体" w:cs="宋体"/>
              <w:kern w:val="0"/>
              <w:sz w:val="24"/>
            </w:rPr>
            <w:t>☐</w:t>
          </w:r>
        </w:sdtContent>
      </w:sdt>
      <w:r>
        <w:rPr>
          <w:rFonts w:hint="eastAsia" w:ascii="宋体" w:hAnsi="宋体" w:cs="宋体"/>
          <w:sz w:val="24"/>
        </w:rPr>
        <w:t>服务全部由符合政策要求的小微企业承接，提供中小企业声明函；</w:t>
      </w:r>
    </w:p>
    <w:p>
      <w:pPr>
        <w:spacing w:line="360" w:lineRule="auto"/>
        <w:ind w:firstLine="480" w:firstLineChars="200"/>
        <w:rPr>
          <w:rFonts w:ascii="宋体" w:hAnsi="宋体" w:cs="宋体"/>
          <w:sz w:val="24"/>
        </w:rPr>
      </w:pPr>
      <w:sdt>
        <w:sdtPr>
          <w:rPr>
            <w:rFonts w:hint="eastAsia" w:ascii="宋体" w:hAnsi="宋体" w:cs="宋体"/>
            <w:kern w:val="0"/>
            <w:sz w:val="24"/>
          </w:rPr>
          <w:id w:val="7"/>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要求以联合体形式参加，提供联合协议和中小企业声明函，联合协议中中小企业合同金额应当达到%，其中小微企业合同金额应当达到%;</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p>
      <w:pPr>
        <w:spacing w:line="360" w:lineRule="auto"/>
        <w:ind w:firstLine="480" w:firstLineChars="200"/>
        <w:rPr>
          <w:rFonts w:ascii="宋体" w:hAnsi="宋体" w:cs="宋体"/>
          <w:sz w:val="24"/>
        </w:rPr>
      </w:pPr>
      <w:sdt>
        <w:sdtPr>
          <w:rPr>
            <w:rFonts w:hint="eastAsia" w:ascii="宋体" w:hAnsi="宋体" w:cs="宋体"/>
            <w:kern w:val="0"/>
            <w:sz w:val="24"/>
          </w:rPr>
          <w:id w:val="3463064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要求合同分包，提供分包意向协议和中小企业声明函，分包意向协议中中小企业合同金额应当达到% ，其中小微企业合同金额应当达到%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pPr>
        <w:numPr>
          <w:ilvl w:val="0"/>
          <w:numId w:val="1"/>
        </w:numPr>
        <w:snapToGrid w:val="0"/>
        <w:spacing w:line="360" w:lineRule="auto"/>
        <w:ind w:firstLine="480" w:firstLineChars="200"/>
        <w:rPr>
          <w:rFonts w:ascii="宋体" w:hAnsi="宋体" w:cs="宋体"/>
          <w:sz w:val="24"/>
        </w:rPr>
      </w:pPr>
      <w:r>
        <w:rPr>
          <w:rFonts w:hint="eastAsia" w:ascii="宋体" w:hAnsi="宋体" w:cs="宋体"/>
          <w:sz w:val="24"/>
        </w:rPr>
        <w:t>本项目的特定资格要求：无；</w:t>
      </w:r>
    </w:p>
    <w:p>
      <w:pPr>
        <w:numPr>
          <w:ilvl w:val="0"/>
          <w:numId w:val="1"/>
        </w:numPr>
        <w:snapToGrid w:val="0"/>
        <w:spacing w:line="360" w:lineRule="auto"/>
        <w:ind w:firstLine="480" w:firstLineChars="200"/>
        <w:rPr>
          <w:rFonts w:ascii="宋体" w:hAnsi="宋体" w:cs="宋体"/>
          <w:sz w:val="24"/>
        </w:rPr>
      </w:pP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sz w:val="24"/>
        </w:rPr>
      </w:pPr>
      <w:r>
        <w:rPr>
          <w:rFonts w:hint="eastAsia" w:ascii="宋体" w:hAnsi="宋体" w:cs="宋体"/>
          <w:b/>
          <w:sz w:val="24"/>
        </w:rPr>
        <w:t xml:space="preserve">三、获取招标文件 </w:t>
      </w:r>
    </w:p>
    <w:p>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2024年</w:t>
      </w:r>
      <w:r>
        <w:rPr>
          <w:rFonts w:hint="eastAsia" w:ascii="宋体" w:hAnsi="宋体" w:cs="宋体"/>
          <w:sz w:val="24"/>
          <w:u w:val="single"/>
          <w:lang w:val="en-US" w:eastAsia="zh-CN"/>
        </w:rPr>
        <w:t>6</w:t>
      </w:r>
      <w:r>
        <w:rPr>
          <w:rFonts w:hint="eastAsia" w:ascii="宋体" w:hAnsi="宋体" w:cs="宋体"/>
          <w:sz w:val="24"/>
          <w:u w:val="single"/>
        </w:rPr>
        <w:t>月</w:t>
      </w:r>
      <w:r>
        <w:rPr>
          <w:rFonts w:hint="eastAsia" w:ascii="宋体" w:hAnsi="宋体" w:cs="宋体"/>
          <w:sz w:val="24"/>
          <w:u w:val="single"/>
          <w:lang w:val="en-US" w:eastAsia="zh-CN"/>
        </w:rPr>
        <w:t>20</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pPr>
        <w:spacing w:line="360" w:lineRule="auto"/>
        <w:rPr>
          <w:rFonts w:ascii="宋体" w:hAnsi="宋体" w:cs="宋体"/>
          <w:b/>
          <w:sz w:val="24"/>
        </w:rPr>
      </w:pPr>
      <w:r>
        <w:rPr>
          <w:rFonts w:hint="eastAsia" w:ascii="宋体" w:hAnsi="宋体" w:cs="宋体"/>
          <w:b/>
          <w:sz w:val="24"/>
        </w:rPr>
        <w:t>四、提交投标文件截止时间、开标时间和地点</w:t>
      </w:r>
    </w:p>
    <w:p>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u w:val="single"/>
        </w:rPr>
        <w:t xml:space="preserve"> 2024 年</w:t>
      </w:r>
      <w:r>
        <w:rPr>
          <w:rFonts w:hint="eastAsia" w:ascii="宋体" w:hAnsi="宋体" w:cs="宋体"/>
          <w:sz w:val="24"/>
          <w:u w:val="single"/>
          <w:lang w:val="en-US" w:eastAsia="zh-CN"/>
        </w:rPr>
        <w:t>6</w:t>
      </w:r>
      <w:r>
        <w:rPr>
          <w:rFonts w:hint="eastAsia" w:ascii="宋体" w:hAnsi="宋体" w:cs="宋体"/>
          <w:sz w:val="24"/>
          <w:u w:val="single"/>
        </w:rPr>
        <w:t>月</w:t>
      </w:r>
      <w:r>
        <w:rPr>
          <w:rFonts w:hint="eastAsia" w:ascii="宋体" w:hAnsi="宋体" w:cs="宋体"/>
          <w:sz w:val="24"/>
          <w:u w:val="single"/>
          <w:lang w:val="en-US" w:eastAsia="zh-CN"/>
        </w:rPr>
        <w:t>20</w:t>
      </w:r>
      <w:r>
        <w:rPr>
          <w:rFonts w:hint="eastAsia" w:ascii="宋体" w:hAnsi="宋体" w:cs="宋体"/>
          <w:sz w:val="24"/>
          <w:u w:val="single"/>
        </w:rPr>
        <w:t>日14点00分00秒</w:t>
      </w:r>
      <w:r>
        <w:rPr>
          <w:rFonts w:hint="eastAsia" w:ascii="宋体" w:hAnsi="宋体" w:cs="宋体"/>
          <w:sz w:val="24"/>
        </w:rPr>
        <w:t>（北京时间）</w:t>
      </w:r>
    </w:p>
    <w:p>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2024年</w:t>
      </w:r>
      <w:r>
        <w:rPr>
          <w:rFonts w:hint="eastAsia" w:ascii="宋体" w:hAnsi="宋体" w:cs="宋体"/>
          <w:sz w:val="24"/>
          <w:u w:val="single"/>
          <w:lang w:val="en-US" w:eastAsia="zh-CN"/>
        </w:rPr>
        <w:t>6</w:t>
      </w:r>
      <w:r>
        <w:rPr>
          <w:rFonts w:hint="eastAsia" w:ascii="宋体" w:hAnsi="宋体" w:cs="宋体"/>
          <w:sz w:val="24"/>
          <w:u w:val="single"/>
        </w:rPr>
        <w:t>月</w:t>
      </w:r>
      <w:r>
        <w:rPr>
          <w:rFonts w:hint="eastAsia" w:ascii="宋体" w:hAnsi="宋体" w:cs="宋体"/>
          <w:sz w:val="24"/>
          <w:u w:val="single"/>
          <w:lang w:val="en-US" w:eastAsia="zh-CN"/>
        </w:rPr>
        <w:t>20</w:t>
      </w:r>
      <w:r>
        <w:rPr>
          <w:rFonts w:hint="eastAsia" w:ascii="宋体" w:hAnsi="宋体" w:cs="宋体"/>
          <w:sz w:val="24"/>
          <w:u w:val="single"/>
        </w:rPr>
        <w:t>日14点00 分00秒</w:t>
      </w:r>
    </w:p>
    <w:p>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pPr>
        <w:spacing w:line="360" w:lineRule="auto"/>
        <w:rPr>
          <w:rFonts w:ascii="宋体" w:hAnsi="宋体" w:cs="宋体"/>
          <w:sz w:val="24"/>
        </w:rPr>
      </w:pPr>
      <w:r>
        <w:rPr>
          <w:rFonts w:hint="eastAsia" w:ascii="宋体" w:hAnsi="宋体" w:cs="宋体"/>
          <w:b/>
          <w:sz w:val="24"/>
        </w:rPr>
        <w:t xml:space="preserve">五、公告期限 </w:t>
      </w:r>
    </w:p>
    <w:p>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pPr>
        <w:spacing w:line="360" w:lineRule="auto"/>
        <w:rPr>
          <w:rFonts w:ascii="宋体" w:hAnsi="宋体" w:cs="宋体"/>
          <w:b/>
          <w:sz w:val="24"/>
        </w:rPr>
      </w:pPr>
      <w:r>
        <w:rPr>
          <w:rFonts w:hint="eastAsia" w:ascii="宋体" w:hAnsi="宋体" w:cs="宋体"/>
          <w:b/>
          <w:sz w:val="24"/>
        </w:rPr>
        <w:t>六、其他补充事宜</w:t>
      </w:r>
    </w:p>
    <w:p>
      <w:pPr>
        <w:spacing w:line="360" w:lineRule="auto"/>
        <w:ind w:firstLine="480" w:firstLineChars="200"/>
        <w:rPr>
          <w:rFonts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甲方和采购代理机构提出质疑。质疑供应商对甲方、采购代理机构的答复不满意或者甲方、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甲方、采购代理机构将依托政采云平台完成本项目的电子交易活动，平台不接受未按上述方式获取招标文件的供应商进行投标活动； ⑥对未按上述方式获取招标文件的供应商对该文件提出的质疑，甲方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sz w:val="24"/>
        </w:rPr>
      </w:pPr>
      <w:r>
        <w:rPr>
          <w:rFonts w:hint="eastAsia" w:ascii="宋体" w:hAnsi="宋体" w:cs="宋体"/>
          <w:b/>
          <w:sz w:val="24"/>
        </w:rPr>
        <w:t>七、对本次采购提出询问、质疑、投诉，请按以下方式联系</w:t>
      </w:r>
    </w:p>
    <w:p>
      <w:pPr>
        <w:spacing w:line="360" w:lineRule="auto"/>
        <w:rPr>
          <w:rFonts w:ascii="宋体" w:hAnsi="宋体" w:cs="宋体"/>
          <w:sz w:val="24"/>
        </w:rPr>
      </w:pPr>
      <w:r>
        <w:rPr>
          <w:rFonts w:hint="eastAsia" w:ascii="宋体" w:hAnsi="宋体" w:cs="宋体"/>
          <w:sz w:val="24"/>
        </w:rPr>
        <w:t xml:space="preserve">    1.甲方信息</w:t>
      </w:r>
    </w:p>
    <w:p>
      <w:pPr>
        <w:spacing w:line="360" w:lineRule="auto"/>
        <w:rPr>
          <w:rFonts w:ascii="宋体" w:hAnsi="宋体" w:cs="宋体"/>
          <w:sz w:val="24"/>
        </w:rPr>
      </w:pPr>
      <w:r>
        <w:rPr>
          <w:rFonts w:hint="eastAsia" w:ascii="宋体" w:hAnsi="宋体" w:cs="宋体"/>
          <w:sz w:val="24"/>
        </w:rPr>
        <w:t xml:space="preserve">    名    称：杭州市规划和自然资源局</w:t>
      </w:r>
    </w:p>
    <w:p>
      <w:pPr>
        <w:spacing w:line="360" w:lineRule="auto"/>
        <w:rPr>
          <w:rFonts w:ascii="宋体" w:hAnsi="宋体" w:cs="宋体"/>
          <w:sz w:val="24"/>
        </w:rPr>
      </w:pPr>
      <w:r>
        <w:rPr>
          <w:rFonts w:hint="eastAsia" w:ascii="宋体" w:hAnsi="宋体" w:cs="宋体"/>
          <w:sz w:val="24"/>
        </w:rPr>
        <w:t xml:space="preserve">    地    址： 杭州市解放东路18号市民中心C座</w:t>
      </w:r>
    </w:p>
    <w:p>
      <w:pPr>
        <w:spacing w:line="360" w:lineRule="auto"/>
        <w:ind w:firstLine="480"/>
        <w:rPr>
          <w:rFonts w:ascii="宋体" w:hAnsi="宋体" w:cs="宋体"/>
          <w:sz w:val="24"/>
        </w:rPr>
      </w:pPr>
      <w:r>
        <w:rPr>
          <w:rFonts w:hint="eastAsia" w:ascii="宋体" w:hAnsi="宋体" w:cs="宋体"/>
          <w:sz w:val="24"/>
        </w:rPr>
        <w:t>传    真： /</w:t>
      </w:r>
    </w:p>
    <w:p>
      <w:pPr>
        <w:spacing w:line="360" w:lineRule="auto"/>
        <w:ind w:firstLine="480" w:firstLineChars="200"/>
        <w:rPr>
          <w:rFonts w:ascii="宋体" w:hAnsi="宋体" w:cs="宋体"/>
          <w:sz w:val="24"/>
        </w:rPr>
      </w:pPr>
      <w:r>
        <w:rPr>
          <w:rFonts w:hint="eastAsia" w:ascii="宋体" w:hAnsi="宋体" w:cs="宋体"/>
          <w:sz w:val="24"/>
        </w:rPr>
        <w:t>项目联系人（询问）：金志清</w:t>
      </w:r>
    </w:p>
    <w:p>
      <w:pPr>
        <w:spacing w:line="360" w:lineRule="auto"/>
        <w:ind w:firstLine="480"/>
        <w:rPr>
          <w:rFonts w:ascii="仿宋" w:hAnsi="仿宋" w:eastAsia="仿宋" w:cs="仿宋"/>
          <w:sz w:val="24"/>
        </w:rPr>
      </w:pPr>
      <w:r>
        <w:rPr>
          <w:rFonts w:hint="eastAsia" w:ascii="宋体" w:hAnsi="宋体" w:cs="宋体"/>
          <w:sz w:val="24"/>
        </w:rPr>
        <w:t>项目联系方式（询问）：</w:t>
      </w:r>
      <w:r>
        <w:rPr>
          <w:rFonts w:hint="eastAsia" w:ascii="仿宋" w:hAnsi="仿宋" w:eastAsia="仿宋" w:cs="仿宋"/>
          <w:sz w:val="24"/>
        </w:rPr>
        <w:t>0571-85254830</w:t>
      </w:r>
    </w:p>
    <w:p>
      <w:pPr>
        <w:spacing w:line="360" w:lineRule="auto"/>
        <w:ind w:firstLine="480"/>
        <w:rPr>
          <w:rFonts w:ascii="宋体" w:hAnsi="宋体" w:cs="宋体"/>
          <w:sz w:val="24"/>
        </w:rPr>
      </w:pPr>
      <w:r>
        <w:rPr>
          <w:rFonts w:hint="eastAsia" w:ascii="宋体" w:hAnsi="宋体" w:cs="宋体"/>
          <w:sz w:val="24"/>
        </w:rPr>
        <w:t>质疑联系人：</w:t>
      </w:r>
      <w:r>
        <w:rPr>
          <w:rFonts w:hint="eastAsia" w:ascii="宋体" w:hAnsi="宋体" w:cs="宋体"/>
          <w:sz w:val="24"/>
          <w:lang w:val="zh-CN"/>
        </w:rPr>
        <w:t>黄玮玮</w:t>
      </w:r>
    </w:p>
    <w:p>
      <w:pPr>
        <w:spacing w:line="360" w:lineRule="auto"/>
        <w:rPr>
          <w:rFonts w:ascii="宋体" w:hAnsi="宋体" w:cs="宋体"/>
          <w:sz w:val="24"/>
        </w:rPr>
      </w:pPr>
      <w:r>
        <w:rPr>
          <w:rFonts w:hint="eastAsia" w:ascii="宋体" w:hAnsi="宋体" w:cs="宋体"/>
          <w:sz w:val="24"/>
        </w:rPr>
        <w:t xml:space="preserve">    质疑联系方式：</w:t>
      </w:r>
      <w:r>
        <w:rPr>
          <w:rFonts w:hint="eastAsia" w:ascii="仿宋" w:hAnsi="仿宋" w:eastAsia="仿宋" w:cs="仿宋"/>
          <w:sz w:val="24"/>
          <w:lang w:val="zh-CN"/>
        </w:rPr>
        <w:t>0571-85254832</w:t>
      </w:r>
    </w:p>
    <w:p>
      <w:pPr>
        <w:spacing w:line="360" w:lineRule="auto"/>
        <w:rPr>
          <w:rFonts w:ascii="宋体" w:hAnsi="宋体" w:cs="宋体"/>
          <w:sz w:val="24"/>
        </w:rPr>
      </w:pPr>
      <w:r>
        <w:rPr>
          <w:rFonts w:hint="eastAsia" w:ascii="宋体" w:hAnsi="宋体" w:cs="宋体"/>
          <w:sz w:val="24"/>
        </w:rPr>
        <w:t xml:space="preserve">    2.采购代理机构信息            </w:t>
      </w:r>
    </w:p>
    <w:p>
      <w:pPr>
        <w:spacing w:line="360" w:lineRule="auto"/>
        <w:ind w:firstLine="480" w:firstLineChars="200"/>
        <w:rPr>
          <w:rFonts w:ascii="宋体" w:hAnsi="宋体" w:cs="宋体"/>
          <w:sz w:val="24"/>
        </w:rPr>
      </w:pPr>
      <w:r>
        <w:rPr>
          <w:rFonts w:hint="eastAsia" w:ascii="宋体" w:hAnsi="宋体" w:cs="宋体"/>
          <w:sz w:val="24"/>
        </w:rPr>
        <w:t xml:space="preserve">名    称：浙江科佳工程咨询有限公司             </w:t>
      </w:r>
    </w:p>
    <w:p>
      <w:pPr>
        <w:spacing w:line="360" w:lineRule="auto"/>
        <w:rPr>
          <w:rFonts w:ascii="宋体" w:hAnsi="宋体" w:cs="宋体"/>
          <w:sz w:val="24"/>
        </w:rPr>
      </w:pPr>
      <w:r>
        <w:rPr>
          <w:rFonts w:hint="eastAsia" w:ascii="宋体" w:hAnsi="宋体" w:cs="宋体"/>
          <w:sz w:val="24"/>
        </w:rPr>
        <w:t xml:space="preserve">    地    址：浙江省杭州市环站东路99号云峰大厦1号楼702             </w:t>
      </w:r>
    </w:p>
    <w:p>
      <w:pPr>
        <w:spacing w:line="360" w:lineRule="auto"/>
        <w:rPr>
          <w:rFonts w:ascii="宋体" w:hAnsi="宋体" w:cs="宋体"/>
          <w:sz w:val="24"/>
        </w:rPr>
      </w:pPr>
      <w:r>
        <w:rPr>
          <w:rFonts w:hint="eastAsia" w:ascii="宋体" w:hAnsi="宋体" w:cs="宋体"/>
          <w:sz w:val="24"/>
        </w:rPr>
        <w:t xml:space="preserve">    传    真：/             </w:t>
      </w:r>
    </w:p>
    <w:p>
      <w:pPr>
        <w:spacing w:line="360" w:lineRule="auto"/>
        <w:rPr>
          <w:rFonts w:ascii="宋体" w:hAnsi="宋体" w:cs="宋体"/>
          <w:sz w:val="24"/>
        </w:rPr>
      </w:pPr>
      <w:r>
        <w:rPr>
          <w:rFonts w:hint="eastAsia" w:ascii="宋体" w:hAnsi="宋体" w:cs="宋体"/>
          <w:sz w:val="24"/>
        </w:rPr>
        <w:t xml:space="preserve">    项目联系人（询问）：费龙生              </w:t>
      </w:r>
    </w:p>
    <w:p>
      <w:pPr>
        <w:spacing w:line="360" w:lineRule="auto"/>
        <w:rPr>
          <w:rFonts w:ascii="宋体" w:hAnsi="宋体" w:cs="宋体"/>
          <w:sz w:val="24"/>
        </w:rPr>
      </w:pPr>
      <w:r>
        <w:rPr>
          <w:rFonts w:hint="eastAsia" w:ascii="宋体" w:hAnsi="宋体" w:cs="宋体"/>
          <w:sz w:val="24"/>
        </w:rPr>
        <w:t xml:space="preserve">    项目联系方式（询问）：18458898685 </w:t>
      </w:r>
    </w:p>
    <w:p>
      <w:pPr>
        <w:spacing w:line="360" w:lineRule="auto"/>
        <w:rPr>
          <w:rFonts w:ascii="宋体" w:hAnsi="宋体" w:cs="宋体"/>
          <w:sz w:val="24"/>
        </w:rPr>
      </w:pPr>
      <w:r>
        <w:rPr>
          <w:rFonts w:hint="eastAsia" w:ascii="宋体" w:hAnsi="宋体" w:cs="宋体"/>
          <w:sz w:val="24"/>
        </w:rPr>
        <w:t xml:space="preserve">    质疑联系人：季晓瑾             </w:t>
      </w:r>
    </w:p>
    <w:p>
      <w:pPr>
        <w:spacing w:line="360" w:lineRule="auto"/>
        <w:ind w:firstLine="480" w:firstLineChars="200"/>
        <w:rPr>
          <w:rFonts w:ascii="宋体" w:hAnsi="宋体" w:cs="宋体"/>
          <w:sz w:val="24"/>
        </w:rPr>
      </w:pPr>
      <w:r>
        <w:rPr>
          <w:rFonts w:hint="eastAsia" w:ascii="宋体" w:hAnsi="宋体" w:cs="宋体"/>
          <w:sz w:val="24"/>
        </w:rPr>
        <w:t xml:space="preserve">质疑联系方式：0571-88198126     </w:t>
      </w:r>
    </w:p>
    <w:p>
      <w:pPr>
        <w:spacing w:line="360" w:lineRule="auto"/>
        <w:ind w:firstLine="480"/>
        <w:rPr>
          <w:rFonts w:ascii="宋体" w:hAnsi="宋体" w:cs="宋体"/>
          <w:sz w:val="24"/>
        </w:rPr>
      </w:pPr>
      <w:r>
        <w:rPr>
          <w:rFonts w:hint="eastAsia" w:ascii="宋体" w:hAnsi="宋体" w:cs="宋体"/>
          <w:sz w:val="24"/>
        </w:rPr>
        <w:t xml:space="preserve">3.同级政府采购监督管理部门            </w:t>
      </w:r>
    </w:p>
    <w:p>
      <w:pPr>
        <w:spacing w:line="360" w:lineRule="auto"/>
        <w:rPr>
          <w:rFonts w:ascii="宋体" w:hAnsi="宋体" w:cs="宋体"/>
          <w:sz w:val="24"/>
        </w:rPr>
      </w:pPr>
      <w:r>
        <w:rPr>
          <w:rFonts w:hint="eastAsia" w:ascii="宋体" w:hAnsi="宋体" w:cs="宋体"/>
          <w:sz w:val="24"/>
        </w:rPr>
        <w:t xml:space="preserve">   名    称：杭州市财政局政府采购监管处 /浙江省政府采购行政裁决服务中心（杭州）</w:t>
      </w:r>
    </w:p>
    <w:p>
      <w:pPr>
        <w:spacing w:line="360" w:lineRule="auto"/>
        <w:rPr>
          <w:rFonts w:ascii="宋体" w:hAnsi="宋体" w:cs="宋体"/>
          <w:sz w:val="24"/>
        </w:rPr>
      </w:pPr>
      <w:r>
        <w:rPr>
          <w:rFonts w:hint="eastAsia" w:ascii="宋体" w:hAnsi="宋体" w:cs="宋体"/>
          <w:sz w:val="24"/>
        </w:rPr>
        <w:t xml:space="preserve">    地    址：杭州市上城区四季青街道新业路市民之家G03办公室 </w:t>
      </w:r>
    </w:p>
    <w:p>
      <w:pPr>
        <w:spacing w:line="360" w:lineRule="auto"/>
        <w:rPr>
          <w:rFonts w:ascii="宋体" w:hAnsi="宋体" w:cs="宋体"/>
          <w:sz w:val="24"/>
        </w:rPr>
      </w:pPr>
      <w:r>
        <w:rPr>
          <w:rFonts w:hint="eastAsia" w:ascii="宋体" w:hAnsi="宋体" w:cs="宋体"/>
          <w:sz w:val="24"/>
        </w:rPr>
        <w:t xml:space="preserve">    传    真： /</w:t>
      </w:r>
    </w:p>
    <w:p>
      <w:pPr>
        <w:spacing w:line="360" w:lineRule="auto"/>
        <w:rPr>
          <w:rFonts w:ascii="宋体" w:hAnsi="宋体" w:cs="宋体"/>
          <w:sz w:val="24"/>
        </w:rPr>
      </w:pPr>
      <w:r>
        <w:rPr>
          <w:rFonts w:hint="eastAsia" w:ascii="宋体" w:hAnsi="宋体" w:cs="宋体"/>
          <w:sz w:val="24"/>
        </w:rPr>
        <w:t xml:space="preserve">    联系人 ：朱女士、王女士</w:t>
      </w:r>
    </w:p>
    <w:p>
      <w:pPr>
        <w:spacing w:line="360" w:lineRule="auto"/>
        <w:ind w:firstLine="480"/>
        <w:rPr>
          <w:rFonts w:ascii="宋体" w:hAnsi="宋体" w:cs="宋体"/>
          <w:sz w:val="24"/>
        </w:rPr>
      </w:pPr>
      <w:r>
        <w:rPr>
          <w:rFonts w:hint="eastAsia" w:ascii="宋体" w:hAnsi="宋体" w:cs="宋体"/>
          <w:sz w:val="24"/>
        </w:rPr>
        <w:t xml:space="preserve">监督投诉电话：电话：0571-85252453   </w:t>
      </w:r>
    </w:p>
    <w:p>
      <w:pPr>
        <w:spacing w:line="360" w:lineRule="auto"/>
        <w:ind w:firstLine="480"/>
        <w:rPr>
          <w:rFonts w:ascii="宋体" w:hAnsi="宋体" w:cs="宋体"/>
          <w:sz w:val="24"/>
        </w:rPr>
      </w:pPr>
      <w:r>
        <w:rPr>
          <w:rFonts w:hint="eastAsia" w:ascii="宋体" w:hAnsi="宋体" w:cs="宋体"/>
          <w:sz w:val="24"/>
        </w:rPr>
        <w:t>政策咨询：陈先生、厉先生，0571-89580460、89580456</w:t>
      </w:r>
    </w:p>
    <w:p>
      <w:pPr>
        <w:spacing w:line="360" w:lineRule="auto"/>
        <w:ind w:firstLine="48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pPr>
        <w:widowControl/>
        <w:adjustRightInd/>
        <w:jc w:val="left"/>
        <w:rPr>
          <w:rFonts w:ascii="宋体" w:hAnsi="宋体" w:cs="宋体"/>
          <w:b/>
          <w:sz w:val="36"/>
          <w:szCs w:val="20"/>
        </w:rPr>
      </w:pPr>
      <w:r>
        <w:rPr>
          <w:rFonts w:hint="eastAsia" w:ascii="宋体" w:hAnsi="宋体" w:cs="宋体"/>
          <w:b/>
          <w:sz w:val="36"/>
          <w:szCs w:val="20"/>
        </w:rPr>
        <w:br w:type="page"/>
      </w:r>
    </w:p>
    <w:p>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7"/>
      <w:r>
        <w:rPr>
          <w:rFonts w:hint="eastAsia" w:ascii="宋体" w:hAnsi="宋体" w:cs="宋体"/>
          <w:b/>
          <w:sz w:val="36"/>
          <w:szCs w:val="20"/>
        </w:rPr>
        <w:t xml:space="preserve"> 投标人须知</w:t>
      </w:r>
      <w:bookmarkEnd w:id="8"/>
    </w:p>
    <w:p>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rPr>
                <w:rFonts w:ascii="宋体" w:hAnsi="宋体" w:cs="宋体"/>
                <w:b/>
                <w:sz w:val="24"/>
              </w:rPr>
            </w:pPr>
            <w:r>
              <w:rPr>
                <w:rFonts w:hint="eastAsia" w:ascii="宋体" w:hAnsi="宋体" w:cs="宋体"/>
                <w:b/>
                <w:sz w:val="24"/>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numPr>
                <w:ilvl w:val="0"/>
                <w:numId w:val="2"/>
              </w:numPr>
              <w:spacing w:line="360" w:lineRule="auto"/>
              <w:rPr>
                <w:rFonts w:ascii="宋体" w:hAnsi="宋体" w:cs="宋体"/>
                <w:sz w:val="24"/>
              </w:rPr>
            </w:pPr>
            <w:r>
              <w:rPr>
                <w:rFonts w:hint="eastAsia" w:ascii="宋体" w:hAnsi="宋体" w:cs="宋体"/>
                <w:kern w:val="0"/>
                <w:sz w:val="24"/>
              </w:rPr>
              <w:t>标项1：</w:t>
            </w:r>
            <w:r>
              <w:rPr>
                <w:rFonts w:hint="eastAsia" w:ascii="宋体" w:hAnsi="宋体" w:cs="宋体"/>
                <w:kern w:val="0"/>
                <w:sz w:val="24"/>
                <w:u w:val="single"/>
              </w:rPr>
              <w:t>杭州市“空间智治”数字化平台建设（2024）耕地保护集成应用项目-耕地保护集成应用</w:t>
            </w:r>
            <w:r>
              <w:rPr>
                <w:rFonts w:hint="eastAsia" w:ascii="宋体" w:hAnsi="宋体" w:cs="宋体"/>
                <w:kern w:val="0"/>
                <w:sz w:val="24"/>
              </w:rPr>
              <w:t>，</w:t>
            </w:r>
            <w:r>
              <w:rPr>
                <w:rFonts w:hint="eastAsia" w:ascii="宋体" w:hAnsi="宋体" w:cs="宋体"/>
                <w:sz w:val="24"/>
              </w:rPr>
              <w:t>属于</w:t>
            </w:r>
            <w:r>
              <w:rPr>
                <w:rFonts w:hint="eastAsia" w:ascii="宋体" w:hAnsi="宋体" w:cs="宋体"/>
                <w:sz w:val="24"/>
                <w:u w:val="single"/>
              </w:rPr>
              <w:t>软件和信息技术服务业</w:t>
            </w:r>
            <w:r>
              <w:rPr>
                <w:rFonts w:hint="eastAsia" w:ascii="宋体" w:hAnsi="宋体" w:cs="宋体"/>
                <w:sz w:val="24"/>
              </w:rPr>
              <w:t>行业；</w:t>
            </w:r>
          </w:p>
          <w:p>
            <w:pPr>
              <w:numPr>
                <w:ilvl w:val="0"/>
                <w:numId w:val="2"/>
              </w:numPr>
              <w:spacing w:line="360" w:lineRule="auto"/>
              <w:rPr>
                <w:rFonts w:ascii="宋体" w:hAnsi="宋体" w:cs="宋体"/>
                <w:sz w:val="24"/>
              </w:rPr>
            </w:pPr>
            <w:r>
              <w:rPr>
                <w:rFonts w:hint="eastAsia" w:ascii="宋体" w:hAnsi="宋体" w:cs="宋体"/>
                <w:kern w:val="0"/>
                <w:sz w:val="24"/>
              </w:rPr>
              <w:t>标项2：</w:t>
            </w:r>
            <w:r>
              <w:rPr>
                <w:rFonts w:hint="eastAsia" w:ascii="宋体" w:hAnsi="宋体" w:cs="仿宋_GB2312"/>
                <w:sz w:val="24"/>
                <w:u w:val="single"/>
              </w:rPr>
              <w:t>杭州市“空间智治”数字化平台建设（2024）耕地保护集成应用项目-不动产智治推广及税务协同场景</w:t>
            </w:r>
            <w:r>
              <w:rPr>
                <w:rFonts w:hint="eastAsia" w:ascii="宋体" w:hAnsi="宋体" w:cs="宋体"/>
                <w:kern w:val="0"/>
                <w:sz w:val="24"/>
              </w:rPr>
              <w:t>，</w:t>
            </w:r>
            <w:r>
              <w:rPr>
                <w:rFonts w:hint="eastAsia" w:ascii="宋体" w:hAnsi="宋体" w:cs="宋体"/>
                <w:sz w:val="24"/>
              </w:rPr>
              <w:t>属于</w:t>
            </w:r>
            <w:r>
              <w:rPr>
                <w:rFonts w:hint="eastAsia" w:ascii="宋体" w:hAnsi="宋体" w:cs="宋体"/>
                <w:sz w:val="24"/>
                <w:u w:val="single"/>
              </w:rPr>
              <w:t>软件和信息技术服务业</w:t>
            </w:r>
            <w:r>
              <w:rPr>
                <w:rFonts w:hint="eastAsia" w:ascii="宋体" w:hAnsi="宋体" w:cs="宋体"/>
                <w:sz w:val="24"/>
              </w:rPr>
              <w:t>行业；</w:t>
            </w:r>
          </w:p>
          <w:p>
            <w:pPr>
              <w:numPr>
                <w:ilvl w:val="0"/>
                <w:numId w:val="2"/>
              </w:numPr>
              <w:spacing w:line="360" w:lineRule="auto"/>
              <w:rPr>
                <w:rFonts w:ascii="宋体" w:hAnsi="宋体" w:cs="宋体"/>
                <w:sz w:val="24"/>
              </w:rPr>
            </w:pPr>
            <w:r>
              <w:rPr>
                <w:rFonts w:hint="eastAsia" w:ascii="宋体" w:hAnsi="宋体" w:cs="宋体"/>
                <w:kern w:val="0"/>
                <w:sz w:val="24"/>
              </w:rPr>
              <w:t>标项3：</w:t>
            </w:r>
            <w:r>
              <w:rPr>
                <w:rFonts w:hint="eastAsia" w:ascii="宋体" w:hAnsi="宋体" w:cs="仿宋_GB2312"/>
                <w:sz w:val="24"/>
                <w:u w:val="single"/>
              </w:rPr>
              <w:t>杭州市“空间智治”数字化平台建设（2024）耕地保护集成应用项目-安全服务技术保障</w:t>
            </w:r>
            <w:r>
              <w:rPr>
                <w:rFonts w:hint="eastAsia" w:ascii="宋体" w:hAnsi="宋体" w:cs="宋体"/>
                <w:kern w:val="0"/>
                <w:sz w:val="24"/>
              </w:rPr>
              <w:t>，</w:t>
            </w:r>
            <w:r>
              <w:rPr>
                <w:rFonts w:hint="eastAsia" w:ascii="宋体" w:hAnsi="宋体" w:cs="宋体"/>
                <w:sz w:val="24"/>
              </w:rPr>
              <w:t>属于</w:t>
            </w:r>
            <w:r>
              <w:rPr>
                <w:rFonts w:hint="eastAsia" w:ascii="宋体" w:hAnsi="宋体" w:cs="宋体"/>
                <w:sz w:val="24"/>
                <w:u w:val="single"/>
              </w:rPr>
              <w:t>软件和信息技术服务业</w:t>
            </w:r>
            <w:r>
              <w:rPr>
                <w:rFonts w:hint="eastAsia" w:ascii="宋体" w:hAnsi="宋体" w:cs="宋体"/>
                <w:sz w:val="24"/>
              </w:rPr>
              <w:t>行业；</w:t>
            </w:r>
          </w:p>
          <w:p>
            <w:pPr>
              <w:snapToGrid w:val="0"/>
              <w:spacing w:line="360" w:lineRule="auto"/>
              <w:rPr>
                <w:rFonts w:ascii="宋体" w:hAnsi="宋体" w:cs="宋体"/>
              </w:rPr>
            </w:pPr>
            <w:r>
              <w:rPr>
                <w:rFonts w:hint="eastAsia" w:ascii="宋体" w:hAnsi="宋体" w:cs="宋体"/>
                <w:sz w:val="24"/>
              </w:rPr>
              <w:t>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kern w:val="0"/>
                <w:sz w:val="24"/>
              </w:rPr>
            </w:pPr>
            <w:sdt>
              <w:sdtPr>
                <w:rPr>
                  <w:rFonts w:hint="eastAsia" w:ascii="宋体" w:hAnsi="宋体" w:cs="宋体"/>
                  <w:kern w:val="0"/>
                  <w:sz w:val="24"/>
                </w:rPr>
                <w:id w:val="9"/>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pPr>
              <w:spacing w:line="360" w:lineRule="auto"/>
              <w:rPr>
                <w:rFonts w:ascii="宋体" w:hAnsi="宋体" w:cs="宋体"/>
              </w:rPr>
            </w:pPr>
            <w:sdt>
              <w:sdtPr>
                <w:rPr>
                  <w:rFonts w:hint="eastAsia" w:ascii="宋体" w:hAnsi="宋体" w:cs="宋体"/>
                  <w:kern w:val="0"/>
                  <w:sz w:val="24"/>
                </w:rPr>
                <w:id w:val="10"/>
              </w:sdtPr>
              <w:sdtEndPr>
                <w:rPr>
                  <w:rFonts w:hint="eastAsia" w:ascii="宋体" w:hAnsi="宋体" w:cs="宋体"/>
                  <w:kern w:val="0"/>
                  <w:sz w:val="24"/>
                </w:rPr>
              </w:sdtEndPr>
              <w:sdtContent>
                <w:r>
                  <w:rPr>
                    <w:rFonts w:ascii="Segoe UI Symbol" w:hAnsi="Segoe UI Symbol" w:cs="Segoe UI Symbol"/>
                    <w:kern w:val="0"/>
                    <w:sz w:val="24"/>
                  </w:rPr>
                  <w:t>☐</w:t>
                </w:r>
              </w:sdtContent>
            </w:sdt>
            <w:r>
              <w:rPr>
                <w:rFonts w:hint="eastAsia" w:ascii="宋体" w:hAnsi="宋体" w:cs="宋体"/>
                <w:kern w:val="0"/>
                <w:sz w:val="24"/>
              </w:rPr>
              <w:t>可以就采购进口产品。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1"/>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 xml:space="preserve"> A</w:t>
            </w:r>
            <w:r>
              <w:rPr>
                <w:rFonts w:hint="eastAsia" w:ascii="宋体" w:hAnsi="宋体" w:cs="宋体"/>
                <w:sz w:val="24"/>
              </w:rPr>
              <w:t>同意将非主体、非关键性的工作分包。</w:t>
            </w:r>
          </w:p>
          <w:p>
            <w:pPr>
              <w:spacing w:line="360" w:lineRule="auto"/>
              <w:rPr>
                <w:rFonts w:ascii="宋体" w:hAnsi="宋体" w:cs="宋体"/>
                <w:sz w:val="24"/>
              </w:rPr>
            </w:pPr>
            <w:sdt>
              <w:sdtPr>
                <w:rPr>
                  <w:rFonts w:hint="eastAsia" w:ascii="宋体" w:hAnsi="宋体" w:cs="宋体"/>
                  <w:kern w:val="0"/>
                  <w:sz w:val="24"/>
                </w:rPr>
                <w:id w:val="12"/>
              </w:sdtPr>
              <w:sdtEndPr>
                <w:rPr>
                  <w:rFonts w:hint="eastAsia" w:ascii="宋体" w:hAnsi="宋体" w:cs="宋体"/>
                  <w:kern w:val="0"/>
                  <w:sz w:val="24"/>
                </w:rPr>
              </w:sdtEndPr>
              <w:sdtContent>
                <w:r>
                  <w:rPr>
                    <w:rFonts w:ascii="Segoe UI Symbol" w:hAnsi="Segoe UI Symbol" w:cs="Segoe UI Symbol"/>
                    <w:kern w:val="0"/>
                    <w:sz w:val="24"/>
                  </w:rPr>
                  <w:t>☐</w:t>
                </w:r>
              </w:sdtContent>
            </w:sdt>
            <w:r>
              <w:rPr>
                <w:rFonts w:hint="eastAsia" w:ascii="宋体" w:hAnsi="宋体" w:cs="宋体"/>
                <w:kern w:val="0"/>
                <w:sz w:val="24"/>
              </w:rPr>
              <w:t xml:space="preserve"> B</w:t>
            </w:r>
            <w:r>
              <w:rPr>
                <w:rFonts w:hint="eastAsia" w:ascii="宋体" w:hAnsi="宋体" w:cs="宋体"/>
                <w:sz w:val="24"/>
              </w:rPr>
              <w:t>不同意分包。</w:t>
            </w:r>
          </w:p>
          <w:p>
            <w:pPr>
              <w:spacing w:line="360" w:lineRule="auto"/>
              <w:rPr>
                <w:rFonts w:ascii="宋体" w:hAnsi="宋体" w:cs="宋体"/>
                <w:sz w:val="24"/>
              </w:rPr>
            </w:pPr>
            <w:r>
              <w:rPr>
                <w:rFonts w:hint="eastAsia" w:ascii="宋体" w:hAnsi="宋体" w:cs="宋体"/>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3"/>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sz w:val="24"/>
                <w:szCs w:val="20"/>
              </w:rPr>
            </w:pPr>
            <w:sdt>
              <w:sdtPr>
                <w:rPr>
                  <w:rFonts w:hint="eastAsia" w:ascii="宋体" w:hAnsi="宋体" w:cs="宋体"/>
                  <w:kern w:val="0"/>
                  <w:sz w:val="24"/>
                </w:rPr>
                <w:id w:val="14"/>
              </w:sdtPr>
              <w:sdtEndPr>
                <w:rPr>
                  <w:rFonts w:hint="eastAsia" w:ascii="宋体" w:hAnsi="宋体" w:cs="宋体"/>
                  <w:kern w:val="0"/>
                  <w:sz w:val="24"/>
                </w:rPr>
              </w:sdtEndPr>
              <w:sdtContent>
                <w:r>
                  <w:rPr>
                    <w:rFonts w:ascii="Segoe UI Symbol" w:hAnsi="Segoe UI Symbol" w:cs="Segoe UI Symbol"/>
                    <w:kern w:val="0"/>
                    <w:sz w:val="24"/>
                  </w:rPr>
                  <w:t>☐</w:t>
                </w:r>
              </w:sdtContent>
            </w:sdt>
            <w:r>
              <w:rPr>
                <w:rFonts w:hint="eastAsia" w:ascii="宋体" w:hAnsi="宋体" w:cs="宋体"/>
                <w:kern w:val="0"/>
                <w:sz w:val="24"/>
              </w:rPr>
              <w:t>B组织，</w:t>
            </w:r>
            <w:r>
              <w:rPr>
                <w:rFonts w:hint="eastAsia" w:ascii="宋体" w:hAnsi="宋体" w:cs="宋体"/>
                <w:sz w:val="24"/>
              </w:rPr>
              <w:t>时间：,地点：，联系人：，联系方式：</w:t>
            </w:r>
            <w:r>
              <w:rPr>
                <w:rFonts w:hint="eastAsia" w:ascii="宋体" w:hAnsi="宋体" w:cs="宋体"/>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5"/>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A</w:t>
            </w:r>
            <w:r>
              <w:rPr>
                <w:rFonts w:hint="eastAsia" w:ascii="宋体" w:hAnsi="宋体" w:cs="宋体"/>
                <w:sz w:val="24"/>
              </w:rPr>
              <w:t>不要求提供。</w:t>
            </w:r>
          </w:p>
          <w:p>
            <w:pPr>
              <w:spacing w:line="360" w:lineRule="auto"/>
              <w:rPr>
                <w:rFonts w:ascii="宋体" w:hAnsi="宋体" w:cs="宋体"/>
                <w:kern w:val="0"/>
                <w:sz w:val="24"/>
              </w:rPr>
            </w:pPr>
            <w:sdt>
              <w:sdtPr>
                <w:rPr>
                  <w:rFonts w:hint="eastAsia" w:ascii="宋体" w:hAnsi="宋体" w:cs="宋体"/>
                  <w:kern w:val="0"/>
                  <w:sz w:val="24"/>
                </w:rPr>
                <w:id w:val="1026831988"/>
              </w:sdtPr>
              <w:sdtEndPr>
                <w:rPr>
                  <w:rFonts w:hint="eastAsia" w:ascii="宋体" w:hAnsi="宋体" w:cs="宋体"/>
                  <w:kern w:val="0"/>
                  <w:sz w:val="24"/>
                </w:rPr>
              </w:sdtEndPr>
              <w:sdtContent>
                <w:r>
                  <w:rPr>
                    <w:rFonts w:ascii="Segoe UI Symbol" w:hAnsi="Segoe UI Symbol" w:cs="Segoe UI Symbol"/>
                    <w:kern w:val="0"/>
                    <w:sz w:val="24"/>
                  </w:rPr>
                  <w:t>☐</w:t>
                </w:r>
              </w:sdtContent>
            </w:sdt>
            <w:r>
              <w:rPr>
                <w:rFonts w:hint="eastAsia" w:ascii="宋体" w:hAnsi="宋体" w:cs="宋体"/>
                <w:kern w:val="0"/>
                <w:sz w:val="24"/>
              </w:rPr>
              <w:t>B要求提供，</w:t>
            </w:r>
          </w:p>
          <w:p>
            <w:pPr>
              <w:spacing w:line="360" w:lineRule="auto"/>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sdtPr>
              <w:sdtEndPr>
                <w:rPr>
                  <w:rFonts w:hint="eastAsia" w:ascii="宋体" w:hAnsi="宋体" w:cs="宋体"/>
                  <w:kern w:val="0"/>
                  <w:sz w:val="24"/>
                </w:rPr>
              </w:sdtEndPr>
              <w:sdtContent>
                <w:r>
                  <w:rPr>
                    <w:rFonts w:ascii="Segoe UI Symbol" w:hAnsi="Segoe UI Symbol" w:cs="Segoe UI Symbol"/>
                    <w:kern w:val="0"/>
                    <w:sz w:val="24"/>
                  </w:rPr>
                  <w:t>☐</w:t>
                </w:r>
              </w:sdtContent>
            </w:sdt>
            <w:r>
              <w:rPr>
                <w:rFonts w:hint="eastAsia" w:ascii="宋体" w:hAnsi="宋体" w:cs="宋体"/>
                <w:kern w:val="0"/>
                <w:sz w:val="24"/>
              </w:rPr>
              <w:t>否；</w:t>
            </w:r>
            <w:sdt>
              <w:sdtPr>
                <w:rPr>
                  <w:rFonts w:hint="eastAsia" w:ascii="宋体" w:hAnsi="宋体" w:cs="宋体"/>
                  <w:kern w:val="0"/>
                  <w:sz w:val="24"/>
                </w:rPr>
                <w:id w:val="1621728433"/>
              </w:sdtPr>
              <w:sdtEndPr>
                <w:rPr>
                  <w:rFonts w:hint="eastAsia" w:ascii="宋体" w:hAnsi="宋体" w:cs="宋体"/>
                  <w:kern w:val="0"/>
                  <w:sz w:val="24"/>
                </w:rPr>
              </w:sdtEndPr>
              <w:sdtContent>
                <w:r>
                  <w:rPr>
                    <w:rFonts w:ascii="Segoe UI Symbol" w:hAnsi="Segoe UI Symbol" w:cs="Segoe UI Symbol"/>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kern w:val="0"/>
                <w:sz w:val="24"/>
              </w:rPr>
              <w:t>；检测内容</w:t>
            </w:r>
            <w:r>
              <w:rPr>
                <w:rFonts w:hint="eastAsia" w:ascii="宋体" w:hAnsi="宋体" w:cs="宋体"/>
                <w:sz w:val="24"/>
              </w:rPr>
              <w:t>：</w:t>
            </w:r>
            <w:r>
              <w:rPr>
                <w:rFonts w:hint="eastAsia" w:ascii="宋体" w:hAnsi="宋体" w:cs="宋体"/>
                <w:kern w:val="0"/>
                <w:sz w:val="24"/>
              </w:rPr>
              <w:t>。</w:t>
            </w:r>
          </w:p>
          <w:p>
            <w:pPr>
              <w:spacing w:line="360" w:lineRule="auto"/>
              <w:rPr>
                <w:rFonts w:ascii="宋体" w:hAnsi="宋体" w:cs="宋体"/>
                <w:sz w:val="24"/>
              </w:rPr>
            </w:pPr>
            <w:r>
              <w:rPr>
                <w:rFonts w:hint="eastAsia" w:ascii="宋体" w:hAnsi="宋体" w:cs="宋体"/>
                <w:sz w:val="24"/>
              </w:rPr>
              <w:t>（5）提供样品的时间：</w:t>
            </w:r>
            <w:r>
              <w:rPr>
                <w:rFonts w:hint="eastAsia" w:ascii="宋体" w:hAnsi="宋体" w:cs="宋体"/>
                <w:kern w:val="0"/>
                <w:sz w:val="24"/>
              </w:rPr>
              <w:t>；地点：；联系人</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rPr>
              <w:t>。请投标人在上述时间内提供样品并按规定位置安装完毕。超过截止时间的，甲方或采购代理机构将不予接收，并将清场并封闭样品现场。</w:t>
            </w:r>
          </w:p>
          <w:p>
            <w:pPr>
              <w:spacing w:line="360" w:lineRule="auto"/>
              <w:rPr>
                <w:rFonts w:ascii="宋体" w:hAnsi="宋体" w:cs="宋体"/>
                <w:sz w:val="24"/>
              </w:rPr>
            </w:pPr>
            <w:r>
              <w:rPr>
                <w:rFonts w:hint="eastAsia" w:ascii="宋体" w:hAnsi="宋体" w:cs="宋体"/>
                <w:sz w:val="24"/>
              </w:rPr>
              <w:t xml:space="preserve"> (6)采购活动结束后，对于未中标人提供的样品，甲方、采购代理机构将通知未中标人在规定的时间内取回，逾期未取回的，甲方、采购代理机构不负保管义务；对于中标人提供的样品，甲方将进行保管、封存，并作为履约验收的参考。</w:t>
            </w:r>
          </w:p>
          <w:p>
            <w:pPr>
              <w:spacing w:line="360" w:lineRule="auto"/>
              <w:rPr>
                <w:rFonts w:ascii="宋体" w:hAnsi="宋体" w:cs="宋体"/>
                <w:b/>
                <w:sz w:val="24"/>
              </w:rPr>
            </w:pPr>
            <w:r>
              <w:rPr>
                <w:rFonts w:hint="eastAsia" w:ascii="宋体" w:hAnsi="宋体" w:cs="宋体"/>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9"/>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kern w:val="0"/>
                <w:sz w:val="24"/>
              </w:rPr>
            </w:pPr>
            <w:sdt>
              <w:sdtPr>
                <w:rPr>
                  <w:rFonts w:hint="eastAsia" w:ascii="宋体" w:hAnsi="宋体" w:cs="宋体"/>
                  <w:kern w:val="0"/>
                  <w:sz w:val="24"/>
                </w:rPr>
                <w:id w:val="1174071719"/>
              </w:sdtPr>
              <w:sdtEndPr>
                <w:rPr>
                  <w:rFonts w:hint="eastAsia" w:ascii="宋体" w:hAnsi="宋体" w:cs="宋体"/>
                  <w:kern w:val="0"/>
                  <w:sz w:val="24"/>
                </w:rPr>
              </w:sdtEndPr>
              <w:sdtContent>
                <w:r>
                  <w:rPr>
                    <w:rFonts w:ascii="Segoe UI Symbol" w:hAnsi="Segoe UI Symbol" w:cs="Segoe UI Symbol"/>
                    <w:kern w:val="0"/>
                    <w:sz w:val="24"/>
                  </w:rPr>
                  <w:t>☐</w:t>
                </w:r>
              </w:sdtContent>
            </w:sdt>
            <w:r>
              <w:rPr>
                <w:rFonts w:hint="eastAsia" w:ascii="宋体" w:hAnsi="宋体" w:cs="宋体"/>
                <w:kern w:val="0"/>
                <w:sz w:val="24"/>
              </w:rPr>
              <w:t>B组织。</w:t>
            </w:r>
          </w:p>
          <w:p>
            <w:pPr>
              <w:snapToGrid w:val="0"/>
              <w:spacing w:line="360" w:lineRule="auto"/>
              <w:rPr>
                <w:rFonts w:ascii="宋体" w:hAnsi="宋体" w:cs="宋体"/>
                <w:kern w:val="0"/>
                <w:sz w:val="24"/>
              </w:rPr>
            </w:pPr>
            <w:r>
              <w:rPr>
                <w:rFonts w:hint="eastAsia" w:ascii="宋体" w:hAnsi="宋体" w:cs="宋体"/>
                <w:kern w:val="0"/>
                <w:sz w:val="24"/>
              </w:rPr>
              <w:t>（1）在评标时安排每个投标人进行方案讲解演示。每个投标人时间不超过分钟，讲解演示结束后按要求解答评标委员会提问</w:t>
            </w:r>
            <w:r>
              <w:rPr>
                <w:rFonts w:hint="eastAsia" w:ascii="宋体" w:hAnsi="宋体" w:cs="宋体"/>
                <w:b/>
                <w:bCs/>
                <w:kern w:val="0"/>
                <w:sz w:val="24"/>
                <w:lang w:val="zh-TW"/>
              </w:rPr>
              <w:t>。</w:t>
            </w:r>
          </w:p>
          <w:p>
            <w:pPr>
              <w:snapToGrid w:val="0"/>
              <w:spacing w:line="360" w:lineRule="auto"/>
              <w:rPr>
                <w:rFonts w:ascii="宋体" w:hAnsi="宋体" w:cs="宋体"/>
                <w:kern w:val="0"/>
                <w:sz w:val="24"/>
              </w:rPr>
            </w:pPr>
            <w:r>
              <w:rPr>
                <w:rFonts w:hint="eastAsia" w:ascii="宋体" w:hAnsi="宋体" w:cs="宋体"/>
                <w:kern w:val="0"/>
                <w:sz w:val="24"/>
              </w:rPr>
              <w:t>（2）方案讲解演示可选择以下其中一种方式：</w:t>
            </w:r>
          </w:p>
          <w:p>
            <w:pPr>
              <w:snapToGrid w:val="0"/>
              <w:spacing w:line="360" w:lineRule="auto"/>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kern w:val="0"/>
                <w:sz w:val="24"/>
              </w:rPr>
            </w:pPr>
            <w:r>
              <w:rPr>
                <w:rFonts w:hint="eastAsia" w:ascii="宋体" w:hAnsi="宋体" w:cs="宋体"/>
                <w:kern w:val="0"/>
                <w:sz w:val="24"/>
              </w:rPr>
              <w:t>方式二：交易中心现场讲解演示。现场讲解地点为，讲解演示所用电脑等设备由投标人自备。现场讲解演示人员进场时提供讲解人员名单（加盖公章或授权代表签名）及身份证明，否则不得讲解演示。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（1）资格证明文件：见招标文件第二部分11.1。</w:t>
            </w:r>
          </w:p>
          <w:p>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rPr>
            </w:pPr>
            <w:r>
              <w:rPr>
                <w:rFonts w:hint="eastAsia" w:ascii="宋体" w:hAnsi="宋体" w:cs="宋体"/>
                <w:kern w:val="0"/>
                <w:sz w:val="24"/>
              </w:rPr>
              <w:t>甲方拟采购的产品属于品目清单范围的，甲方及其委托的采购代理机构将依据国家确定的认证机构出具的、处于有效期之内的节能产品、环境标志产品认证证书，对获得证书的产品实施政府优先采购或强制采购。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提醒：验收时检测费用由甲方承担，不包含在投标总价中。</w:t>
            </w:r>
          </w:p>
          <w:p>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szCs w:val="21"/>
              </w:rPr>
            </w:pPr>
            <w:r>
              <w:rPr>
                <w:rFonts w:hint="eastAsia" w:ascii="宋体" w:hAnsi="宋体" w:cs="宋体"/>
                <w:snapToGrid w:val="0"/>
                <w:kern w:val="28"/>
                <w:sz w:val="24"/>
              </w:rPr>
              <w:t>备份投标文件送达地点：</w:t>
            </w:r>
            <w:r>
              <w:rPr>
                <w:rFonts w:hint="eastAsia" w:ascii="宋体" w:hAnsi="宋体" w:cs="宋体"/>
                <w:snapToGrid w:val="0"/>
                <w:sz w:val="24"/>
                <w:szCs w:val="21"/>
                <w:u w:val="single"/>
              </w:rPr>
              <w:t xml:space="preserve"> 浙江省杭州市环站东路99号云峰大厦1号楼702 </w:t>
            </w:r>
            <w:r>
              <w:rPr>
                <w:rFonts w:hint="eastAsia" w:ascii="宋体" w:hAnsi="宋体" w:cs="宋体"/>
                <w:snapToGrid w:val="0"/>
                <w:kern w:val="28"/>
                <w:sz w:val="24"/>
              </w:rPr>
              <w:t>；备份投标文件签收人员联系电话：</w:t>
            </w:r>
            <w:r>
              <w:rPr>
                <w:rFonts w:hint="eastAsia" w:ascii="宋体" w:hAnsi="宋体" w:cs="宋体"/>
                <w:snapToGrid w:val="0"/>
                <w:sz w:val="24"/>
                <w:szCs w:val="21"/>
                <w:u w:val="single"/>
              </w:rPr>
              <w:t xml:space="preserve"> 18458898685  费工  </w:t>
            </w:r>
            <w:r>
              <w:rPr>
                <w:rFonts w:hint="eastAsia" w:ascii="宋体" w:hAnsi="宋体" w:cs="宋体"/>
                <w:snapToGrid w:val="0"/>
                <w:sz w:val="24"/>
              </w:rPr>
              <w:t>。</w:t>
            </w:r>
            <w:r>
              <w:rPr>
                <w:rFonts w:hint="eastAsia" w:ascii="宋体" w:hAnsi="宋体" w:cs="宋体"/>
                <w:b/>
                <w:snapToGrid w:val="0"/>
                <w:sz w:val="24"/>
              </w:rPr>
              <w:t>甲方、采购代理机构不强制或变相强制投标人提交备份投标文件。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sdt>
              <w:sdtPr>
                <w:rPr>
                  <w:rFonts w:hint="eastAsia" w:ascii="宋体" w:hAnsi="宋体" w:cs="宋体"/>
                  <w:kern w:val="0"/>
                  <w:sz w:val="24"/>
                </w:rPr>
                <w:id w:val="21"/>
              </w:sdtPr>
              <w:sdtEndPr>
                <w:rPr>
                  <w:rFonts w:hint="eastAsia" w:ascii="宋体" w:hAnsi="宋体" w:cs="宋体"/>
                  <w:kern w:val="0"/>
                  <w:sz w:val="24"/>
                </w:rPr>
              </w:sdtEndPr>
              <w:sdtContent>
                <w:r>
                  <w:rPr>
                    <w:rFonts w:ascii="Segoe UI Symbol" w:hAnsi="Segoe UI Symbol" w:cs="Segoe UI Symbol"/>
                    <w:kern w:val="0"/>
                    <w:sz w:val="24"/>
                  </w:rPr>
                  <w:t>☐</w:t>
                </w:r>
              </w:sdtContent>
            </w:sdt>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tc>
        <w:tc>
          <w:tcPr>
            <w:tcW w:w="1843" w:type="dxa"/>
            <w:vMerge w:val="continue"/>
            <w:tcBorders>
              <w:left w:val="single" w:color="000000" w:sz="2" w:space="0"/>
              <w:bottom w:val="single" w:color="auto" w:sz="4"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napToGrid w:val="0"/>
                <w:kern w:val="28"/>
                <w:sz w:val="24"/>
              </w:rPr>
            </w:pPr>
            <w:sdt>
              <w:sdtPr>
                <w:rPr>
                  <w:rFonts w:hint="eastAsia" w:ascii="宋体" w:hAnsi="宋体" w:cs="宋体"/>
                  <w:kern w:val="0"/>
                  <w:sz w:val="24"/>
                </w:rPr>
                <w:id w:val="22"/>
              </w:sdtPr>
              <w:sdtEndPr>
                <w:rPr>
                  <w:rFonts w:hint="eastAsia" w:ascii="宋体" w:hAnsi="宋体" w:cs="宋体"/>
                  <w:kern w:val="0"/>
                  <w:sz w:val="24"/>
                </w:rPr>
              </w:sdtEndPr>
              <w:sdtContent>
                <w:r>
                  <w:rPr>
                    <w:rFonts w:ascii="Segoe UI Symbol" w:hAnsi="Segoe UI Symbol" w:cs="Segoe UI Symbol"/>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pPr>
              <w:spacing w:line="360" w:lineRule="auto"/>
              <w:rPr>
                <w:rFonts w:ascii="宋体" w:hAnsi="宋体" w:cs="宋体"/>
                <w:snapToGrid w:val="0"/>
                <w:kern w:val="28"/>
                <w:sz w:val="24"/>
              </w:rPr>
            </w:pPr>
            <w:sdt>
              <w:sdtPr>
                <w:rPr>
                  <w:rFonts w:hint="eastAsia" w:ascii="宋体" w:hAnsi="宋体" w:cs="宋体"/>
                  <w:kern w:val="0"/>
                  <w:sz w:val="24"/>
                </w:rPr>
                <w:id w:val="23"/>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sz w:val="24"/>
              </w:rPr>
            </w:pP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kern w:val="0"/>
                <w:sz w:val="24"/>
              </w:rPr>
            </w:pPr>
            <w:r>
              <w:rPr>
                <w:rFonts w:hint="eastAsia" w:ascii="宋体" w:hAnsi="宋体" w:cs="宋体"/>
                <w:b/>
                <w:bCs/>
                <w:kern w:val="0"/>
                <w:sz w:val="24"/>
              </w:rPr>
              <w:t>招标代理服务费：</w:t>
            </w:r>
            <w:r>
              <w:rPr>
                <w:rFonts w:hint="eastAsia" w:ascii="宋体" w:hAnsi="宋体" w:cs="宋体"/>
                <w:kern w:val="0"/>
                <w:sz w:val="24"/>
              </w:rPr>
              <w:t>由中标人在领取中标通知书时支付。</w:t>
            </w:r>
          </w:p>
          <w:p>
            <w:pPr>
              <w:spacing w:line="360" w:lineRule="auto"/>
              <w:rPr>
                <w:rFonts w:ascii="宋体" w:hAnsi="宋体" w:cs="宋体"/>
                <w:kern w:val="0"/>
                <w:sz w:val="24"/>
              </w:rPr>
            </w:pPr>
            <w:r>
              <w:rPr>
                <w:rFonts w:hint="eastAsia" w:ascii="宋体" w:hAnsi="宋体" w:cs="宋体"/>
                <w:kern w:val="0"/>
                <w:sz w:val="24"/>
              </w:rPr>
              <w:t>收费标准：以中标金额为计费基准，按《计价格［2002］1980号》及《发改办价格［2003］857号》规定的收费标准70%计取，不足人民币陆仟元按陆仟元计取。即：</w:t>
            </w:r>
          </w:p>
          <w:tbl>
            <w:tblPr>
              <w:tblStyle w:val="63"/>
              <w:tblW w:w="6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919"/>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spacing w:line="360" w:lineRule="auto"/>
                    <w:rPr>
                      <w:rFonts w:ascii="宋体" w:hAnsi="宋体" w:cs="宋体"/>
                      <w:kern w:val="0"/>
                      <w:sz w:val="24"/>
                    </w:rPr>
                  </w:pPr>
                  <w:r>
                    <w:rPr>
                      <w:rFonts w:hint="eastAsia" w:ascii="宋体" w:hAnsi="宋体" w:cs="宋体"/>
                      <w:kern w:val="0"/>
                      <w:sz w:val="24"/>
                    </w:rPr>
                    <w:t>中标金额</w:t>
                  </w:r>
                </w:p>
              </w:tc>
              <w:tc>
                <w:tcPr>
                  <w:tcW w:w="1919" w:type="dxa"/>
                </w:tcPr>
                <w:p>
                  <w:pPr>
                    <w:spacing w:line="360" w:lineRule="auto"/>
                    <w:rPr>
                      <w:rFonts w:ascii="宋体" w:hAnsi="宋体" w:cs="宋体"/>
                      <w:kern w:val="0"/>
                      <w:sz w:val="24"/>
                    </w:rPr>
                  </w:pPr>
                  <w:r>
                    <w:rPr>
                      <w:rFonts w:hint="eastAsia" w:ascii="宋体" w:hAnsi="宋体" w:cs="宋体"/>
                      <w:kern w:val="0"/>
                      <w:sz w:val="24"/>
                    </w:rPr>
                    <w:t>服务类收费费率</w:t>
                  </w:r>
                </w:p>
              </w:tc>
              <w:tc>
                <w:tcPr>
                  <w:tcW w:w="2013" w:type="dxa"/>
                </w:tcPr>
                <w:p>
                  <w:pPr>
                    <w:spacing w:line="360" w:lineRule="auto"/>
                    <w:rPr>
                      <w:rFonts w:ascii="宋体" w:hAnsi="宋体" w:cs="宋体"/>
                      <w:kern w:val="0"/>
                      <w:sz w:val="24"/>
                    </w:rPr>
                  </w:pPr>
                  <w:r>
                    <w:rPr>
                      <w:rFonts w:hint="eastAsia" w:ascii="宋体" w:hAnsi="宋体" w:cs="宋体"/>
                      <w:kern w:val="0"/>
                      <w:sz w:val="24"/>
                    </w:rPr>
                    <w:t>折扣率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vAlign w:val="center"/>
                </w:tcPr>
                <w:p>
                  <w:pPr>
                    <w:spacing w:line="360" w:lineRule="auto"/>
                    <w:jc w:val="center"/>
                    <w:rPr>
                      <w:rFonts w:ascii="宋体" w:hAnsi="宋体" w:cs="宋体"/>
                      <w:kern w:val="0"/>
                      <w:sz w:val="24"/>
                    </w:rPr>
                  </w:pPr>
                  <w:r>
                    <w:rPr>
                      <w:rFonts w:hint="eastAsia" w:ascii="宋体" w:hAnsi="宋体" w:cs="宋体"/>
                      <w:kern w:val="0"/>
                      <w:sz w:val="24"/>
                    </w:rPr>
                    <w:t>≤100万元（部分）</w:t>
                  </w:r>
                </w:p>
              </w:tc>
              <w:tc>
                <w:tcPr>
                  <w:tcW w:w="1919" w:type="dxa"/>
                  <w:vAlign w:val="center"/>
                </w:tcPr>
                <w:p>
                  <w:pPr>
                    <w:spacing w:line="360" w:lineRule="auto"/>
                    <w:jc w:val="center"/>
                    <w:rPr>
                      <w:rFonts w:ascii="宋体" w:hAnsi="宋体" w:cs="宋体"/>
                      <w:kern w:val="0"/>
                      <w:sz w:val="24"/>
                    </w:rPr>
                  </w:pPr>
                  <w:r>
                    <w:rPr>
                      <w:rFonts w:hint="eastAsia" w:ascii="宋体" w:hAnsi="宋体" w:cs="宋体"/>
                      <w:kern w:val="0"/>
                      <w:sz w:val="24"/>
                    </w:rPr>
                    <w:t>1.5%</w:t>
                  </w:r>
                </w:p>
              </w:tc>
              <w:tc>
                <w:tcPr>
                  <w:tcW w:w="2013" w:type="dxa"/>
                  <w:vMerge w:val="restart"/>
                  <w:vAlign w:val="center"/>
                </w:tcPr>
                <w:p>
                  <w:pPr>
                    <w:spacing w:line="360" w:lineRule="auto"/>
                    <w:jc w:val="center"/>
                    <w:rPr>
                      <w:rFonts w:ascii="宋体" w:hAnsi="宋体" w:cs="宋体"/>
                      <w:kern w:val="0"/>
                      <w:sz w:val="24"/>
                    </w:rPr>
                  </w:pPr>
                  <w:r>
                    <w:rPr>
                      <w:rFonts w:hint="eastAsia" w:ascii="宋体" w:hAnsi="宋体" w:cs="宋体"/>
                      <w:kern w:val="0"/>
                      <w:sz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vAlign w:val="center"/>
                </w:tcPr>
                <w:p>
                  <w:pPr>
                    <w:spacing w:line="360" w:lineRule="auto"/>
                    <w:jc w:val="center"/>
                    <w:rPr>
                      <w:rFonts w:ascii="宋体" w:hAnsi="宋体" w:cs="宋体"/>
                      <w:kern w:val="0"/>
                      <w:sz w:val="24"/>
                    </w:rPr>
                  </w:pPr>
                  <w:r>
                    <w:rPr>
                      <w:rFonts w:hint="eastAsia" w:ascii="宋体" w:hAnsi="宋体" w:cs="宋体"/>
                      <w:kern w:val="0"/>
                      <w:sz w:val="24"/>
                    </w:rPr>
                    <w:t>100万元-500万元（部分）</w:t>
                  </w:r>
                </w:p>
              </w:tc>
              <w:tc>
                <w:tcPr>
                  <w:tcW w:w="1919" w:type="dxa"/>
                  <w:vAlign w:val="center"/>
                </w:tcPr>
                <w:p>
                  <w:pPr>
                    <w:spacing w:line="360" w:lineRule="auto"/>
                    <w:jc w:val="center"/>
                    <w:rPr>
                      <w:rFonts w:ascii="宋体" w:hAnsi="宋体" w:cs="宋体"/>
                      <w:kern w:val="0"/>
                      <w:sz w:val="24"/>
                    </w:rPr>
                  </w:pPr>
                  <w:r>
                    <w:rPr>
                      <w:rFonts w:hint="eastAsia" w:ascii="宋体" w:hAnsi="宋体" w:cs="宋体"/>
                      <w:kern w:val="0"/>
                      <w:sz w:val="24"/>
                    </w:rPr>
                    <w:t>0.8%</w:t>
                  </w:r>
                </w:p>
              </w:tc>
              <w:tc>
                <w:tcPr>
                  <w:tcW w:w="2013" w:type="dxa"/>
                  <w:vMerge w:val="continue"/>
                </w:tcPr>
                <w:p>
                  <w:pPr>
                    <w:spacing w:line="360" w:lineRule="auto"/>
                    <w:rPr>
                      <w:rFonts w:ascii="宋体" w:hAnsi="宋体" w:cs="宋体"/>
                      <w:kern w:val="0"/>
                      <w:sz w:val="24"/>
                    </w:rPr>
                  </w:pPr>
                </w:p>
              </w:tc>
            </w:tr>
          </w:tbl>
          <w:p>
            <w:pPr>
              <w:spacing w:line="360" w:lineRule="auto"/>
              <w:rPr>
                <w:rFonts w:ascii="宋体" w:hAnsi="宋体" w:cs="宋体"/>
                <w:kern w:val="0"/>
                <w:sz w:val="24"/>
              </w:rPr>
            </w:pPr>
            <w:r>
              <w:rPr>
                <w:rFonts w:hint="eastAsia" w:ascii="宋体" w:hAnsi="宋体" w:cs="宋体"/>
                <w:kern w:val="0"/>
                <w:sz w:val="24"/>
              </w:rPr>
              <w:t>收取方式：本项目的代理费由中标人支付。在中标结果公告发出后15个工作日内由中标人一次性向采购代理机构付清。账户信息如下：</w:t>
            </w:r>
          </w:p>
          <w:p>
            <w:pPr>
              <w:spacing w:line="360" w:lineRule="auto"/>
              <w:rPr>
                <w:rFonts w:ascii="宋体" w:hAnsi="宋体" w:cs="宋体"/>
                <w:kern w:val="0"/>
                <w:sz w:val="24"/>
              </w:rPr>
            </w:pPr>
            <w:r>
              <w:rPr>
                <w:rFonts w:hint="eastAsia" w:ascii="宋体" w:hAnsi="宋体" w:cs="宋体"/>
                <w:kern w:val="0"/>
                <w:sz w:val="24"/>
              </w:rPr>
              <w:t>账户名称：浙江科佳工程咨询有限公司</w:t>
            </w:r>
          </w:p>
          <w:p>
            <w:pPr>
              <w:spacing w:line="360" w:lineRule="auto"/>
              <w:rPr>
                <w:rFonts w:ascii="宋体" w:hAnsi="宋体" w:cs="宋体"/>
                <w:kern w:val="0"/>
                <w:sz w:val="24"/>
              </w:rPr>
            </w:pPr>
            <w:r>
              <w:rPr>
                <w:rFonts w:hint="eastAsia" w:ascii="宋体" w:hAnsi="宋体" w:cs="宋体"/>
                <w:kern w:val="0"/>
                <w:sz w:val="24"/>
              </w:rPr>
              <w:t>开户银行：7331110182600053000</w:t>
            </w:r>
          </w:p>
          <w:p>
            <w:pPr>
              <w:spacing w:line="360" w:lineRule="auto"/>
              <w:rPr>
                <w:rFonts w:ascii="宋体" w:hAnsi="宋体" w:cs="宋体"/>
                <w:kern w:val="0"/>
                <w:sz w:val="24"/>
              </w:rPr>
            </w:pPr>
            <w:r>
              <w:rPr>
                <w:rFonts w:hint="eastAsia" w:ascii="宋体" w:hAnsi="宋体" w:cs="宋体"/>
                <w:kern w:val="0"/>
                <w:sz w:val="24"/>
              </w:rPr>
              <w:t>银行账号：中信银行杭州天水支行</w:t>
            </w:r>
          </w:p>
          <w:p>
            <w:pPr>
              <w:spacing w:line="360" w:lineRule="auto"/>
              <w:rPr>
                <w:rFonts w:ascii="宋体" w:hAnsi="宋体" w:cs="宋体"/>
                <w:kern w:val="0"/>
                <w:sz w:val="24"/>
              </w:rPr>
            </w:pPr>
            <w:r>
              <w:rPr>
                <w:rFonts w:hint="eastAsia" w:ascii="宋体" w:hAnsi="宋体" w:cs="宋体"/>
                <w:kern w:val="0"/>
                <w:sz w:val="24"/>
              </w:rPr>
              <w:t>其他：</w:t>
            </w:r>
          </w:p>
          <w:p>
            <w:pPr>
              <w:spacing w:line="360" w:lineRule="auto"/>
              <w:rPr>
                <w:rFonts w:ascii="宋体" w:hAnsi="宋体" w:cs="宋体"/>
                <w:kern w:val="0"/>
                <w:sz w:val="24"/>
              </w:rPr>
            </w:pPr>
            <w:r>
              <w:rPr>
                <w:rFonts w:hint="eastAsia" w:ascii="宋体" w:hAnsi="宋体" w:cs="宋体"/>
                <w:kern w:val="0"/>
                <w:sz w:val="24"/>
              </w:rPr>
              <w:t>（1）供应商提出质疑或投诉的，鼓励供应商在浙江政府采购网电子交易系统（政采云系统）在线提出。</w:t>
            </w:r>
          </w:p>
          <w:p>
            <w:pPr>
              <w:spacing w:line="360" w:lineRule="auto"/>
              <w:rPr>
                <w:rFonts w:ascii="宋体" w:hAnsi="宋体" w:cs="宋体"/>
                <w:kern w:val="0"/>
                <w:sz w:val="24"/>
              </w:rPr>
            </w:pPr>
            <w:r>
              <w:rPr>
                <w:rFonts w:hint="eastAsia" w:ascii="宋体" w:hAnsi="宋体" w:cs="宋体"/>
                <w:kern w:val="0"/>
                <w:sz w:val="24"/>
              </w:rPr>
              <w:t>（2）供应商线下提出质疑的，除纸质文件外，请将质疑函电子版以电邮形式发送至：23998744@qq.com。</w:t>
            </w:r>
          </w:p>
        </w:tc>
      </w:tr>
    </w:tbl>
    <w:p>
      <w:pPr>
        <w:pStyle w:val="83"/>
        <w:adjustRightInd/>
        <w:ind w:firstLine="2872" w:firstLineChars="1197"/>
        <w:outlineLvl w:val="0"/>
      </w:pPr>
    </w:p>
    <w:bookmarkEnd w:id="9"/>
    <w:p>
      <w:pPr>
        <w:adjustRightInd/>
        <w:spacing w:line="360" w:lineRule="auto"/>
        <w:ind w:firstLine="3845" w:firstLineChars="1197"/>
        <w:outlineLvl w:val="0"/>
        <w:rPr>
          <w:rFonts w:ascii="宋体" w:hAnsi="宋体" w:cs="宋体"/>
          <w:b/>
          <w:sz w:val="32"/>
          <w:szCs w:val="20"/>
        </w:rPr>
      </w:pPr>
      <w:bookmarkStart w:id="10" w:name="_Toc164416483"/>
      <w:bookmarkStart w:id="11" w:name="第三部分"/>
      <w:r>
        <w:rPr>
          <w:rFonts w:hint="eastAsia" w:ascii="宋体" w:hAnsi="宋体" w:cs="宋体"/>
          <w:b/>
          <w:sz w:val="32"/>
          <w:szCs w:val="20"/>
        </w:rPr>
        <w:t>一、总则</w:t>
      </w:r>
    </w:p>
    <w:p>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sz w:val="24"/>
        </w:rPr>
      </w:pPr>
      <w:r>
        <w:rPr>
          <w:rFonts w:hint="eastAsia" w:ascii="宋体" w:hAnsi="宋体" w:cs="宋体"/>
          <w:b/>
          <w:sz w:val="24"/>
        </w:rPr>
        <w:t xml:space="preserve">   2.定义</w:t>
      </w:r>
    </w:p>
    <w:p>
      <w:pPr>
        <w:spacing w:line="360" w:lineRule="auto"/>
        <w:ind w:firstLine="480" w:firstLineChars="200"/>
        <w:rPr>
          <w:rFonts w:ascii="宋体" w:hAnsi="宋体" w:cs="宋体"/>
          <w:sz w:val="24"/>
        </w:rPr>
      </w:pPr>
      <w:r>
        <w:rPr>
          <w:rFonts w:hint="eastAsia" w:ascii="宋体" w:hAnsi="宋体" w:cs="宋体"/>
          <w:sz w:val="24"/>
        </w:rPr>
        <w:t>2.1 “甲方”系指招标公告中载明的本项目的甲方。</w:t>
      </w:r>
    </w:p>
    <w:p>
      <w:pPr>
        <w:spacing w:line="360"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pPr>
        <w:spacing w:line="360" w:lineRule="auto"/>
        <w:ind w:firstLine="241" w:firstLineChars="100"/>
        <w:rPr>
          <w:rFonts w:ascii="宋体" w:hAnsi="宋体" w:cs="宋体"/>
          <w:b/>
          <w:sz w:val="24"/>
        </w:rPr>
      </w:pPr>
      <w:r>
        <w:rPr>
          <w:rFonts w:hint="eastAsia" w:ascii="宋体" w:hAnsi="宋体" w:cs="宋体"/>
          <w:b/>
          <w:sz w:val="24"/>
        </w:rPr>
        <w:t>3.采购项目需要落实的政府采购政策</w:t>
      </w:r>
    </w:p>
    <w:p>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甲方采购进口产品，已经在采购活动开始前向财政部门提出申请并获得财政部门审核同意，且在采购需求中明确规定可以采购进口产品（但如果因信息不对称等原因，仍有满足需求的国内产品要求参与采购竞争的，甲方、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pPr>
        <w:spacing w:line="360" w:lineRule="auto"/>
        <w:ind w:firstLine="240" w:firstLineChars="1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甲方拟采购的产品属于品目清单范围的，甲方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▲甲方拟采购的产品属于政府强制采购的节能产品品目清单范围的，投标人相应的投标产品未获得国家确定的认证机构出具的、处于有效期之内的节能产品认证证书的，投标无效。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 修缮、装修类项目采购建材的，甲方应将绿色建筑和绿色建材性能、指标等作为实质性条件纳入招标文件和合同。</w:t>
      </w:r>
    </w:p>
    <w:p>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240" w:firstLineChars="1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hint="eastAsia" w:ascii="宋体" w:hAnsi="宋体" w:cs="宋体"/>
          <w:bCs/>
          <w:sz w:val="24"/>
        </w:rPr>
        <w:t>3.3.2</w:t>
      </w:r>
      <w:r>
        <w:rPr>
          <w:rFonts w:hint="eastAsia" w:ascii="宋体" w:hAnsi="宋体" w:cs="宋体"/>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spacing w:line="360" w:lineRule="auto"/>
        <w:ind w:firstLine="480" w:firstLineChars="200"/>
        <w:rPr>
          <w:rFonts w:ascii="宋体" w:hAnsi="宋体" w:cs="宋体"/>
          <w:sz w:val="24"/>
        </w:rPr>
      </w:pPr>
      <w:r>
        <w:rPr>
          <w:rFonts w:hint="eastAsia" w:ascii="宋体" w:hAnsi="宋体" w:cs="宋体"/>
          <w:sz w:val="24"/>
        </w:rPr>
        <w:t>3.4.1 甲方优先采购被认定为首台套产品和“制造精品”的自主创新产品。</w:t>
      </w:r>
    </w:p>
    <w:p>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rPr>
          <w:rFonts w:ascii="宋体" w:hAnsi="宋体" w:cs="宋体"/>
          <w:sz w:val="24"/>
        </w:rPr>
      </w:pPr>
      <w:r>
        <w:rPr>
          <w:rFonts w:hint="eastAsia" w:ascii="宋体" w:hAnsi="宋体" w:cs="宋体"/>
          <w:sz w:val="24"/>
        </w:rPr>
        <w:t>3.5平等对待内外资企业和符合条件的破产重整企业</w:t>
      </w:r>
    </w:p>
    <w:p>
      <w:pPr>
        <w:spacing w:line="360" w:lineRule="auto"/>
        <w:ind w:firstLine="240" w:firstLineChars="100"/>
        <w:rPr>
          <w:rFonts w:ascii="宋体" w:hAnsi="宋体" w:cs="宋体"/>
          <w:b/>
          <w:sz w:val="24"/>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4.2供应商询问</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甲方或者采购代理机构应当在3个工作日内对供应商依法提出的询问作出答复，但答复的内容不得涉及商业秘密。供应商提出的询问超出甲方对采购代理机构委托授权范围的，采购代理机构应当告知供应商向甲方提出。</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甲方或者采购代理机构提出质疑，否则，甲方或者采购代理机构不予受理：</w:t>
      </w:r>
    </w:p>
    <w:p>
      <w:pPr>
        <w:pStyle w:val="5"/>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pPr>
        <w:pStyle w:val="33"/>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pPr>
        <w:pStyle w:val="33"/>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pPr>
        <w:pStyle w:val="886"/>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pPr>
      <w:r>
        <w:rPr>
          <w:rFonts w:hint="eastAsia"/>
        </w:rPr>
        <w:t>质疑函范本及制作说明详见附件2。</w:t>
      </w:r>
    </w:p>
    <w:p>
      <w:pPr>
        <w:pStyle w:val="886"/>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pPr>
        <w:pStyle w:val="886"/>
        <w:shd w:val="clear" w:color="auto" w:fill="FFFFFF"/>
        <w:snapToGrid w:val="0"/>
        <w:spacing w:after="240" w:afterAutospacing="0" w:line="360" w:lineRule="auto"/>
        <w:ind w:firstLine="400"/>
        <w:contextualSpacing/>
      </w:pPr>
      <w:r>
        <w:rPr>
          <w:rFonts w:hint="eastAsia"/>
          <w:lang w:val="zh-CN"/>
        </w:rPr>
        <w:t>4.3</w:t>
      </w:r>
      <w:r>
        <w:rPr>
          <w:rFonts w:hint="eastAsia"/>
        </w:rPr>
        <w:t>.5甲方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甲方或者采购代理机构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.6询问或者质疑事项可能影响采购结果的，甲方应当暂停签订合同，已经签订合同的，应当中止履行合同。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pPr>
        <w:pStyle w:val="886"/>
        <w:shd w:val="clear" w:color="auto" w:fill="FFFFFF"/>
        <w:snapToGrid w:val="0"/>
        <w:spacing w:after="240" w:afterAutospacing="0" w:line="360" w:lineRule="auto"/>
        <w:ind w:firstLine="400"/>
        <w:contextualSpacing/>
      </w:pPr>
      <w:r>
        <w:rPr>
          <w:rFonts w:hint="eastAsia"/>
        </w:rPr>
        <w:t>4.4.1质疑供应商对甲方、采购代理机构的答复不满意或者甲方、采购代理机构未在规定的时间内作出答复的，可以在答复期满后十五个工作日内向同级政府采购监督管理部门提出投诉。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pPr>
      <w:r>
        <w:rPr>
          <w:rFonts w:hint="eastAsia"/>
        </w:rPr>
        <w:t>4.4.3供应商投诉应当有明确的请求和必要的证明材料。</w:t>
      </w:r>
    </w:p>
    <w:p>
      <w:pPr>
        <w:pStyle w:val="886"/>
        <w:shd w:val="clear" w:color="auto" w:fill="FFFFFF"/>
        <w:snapToGrid w:val="0"/>
        <w:spacing w:after="240" w:afterAutospacing="0" w:line="360" w:lineRule="auto"/>
        <w:ind w:firstLine="400"/>
        <w:contextualSpacing/>
      </w:pPr>
      <w:r>
        <w:rPr>
          <w:rFonts w:hint="eastAsia"/>
        </w:rPr>
        <w:t>4.4.4以联合体形式参加政府采购活动的，其投诉应当由组成联合体的所有供应商共同提出。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pPr>
      <w:r>
        <w:rPr>
          <w:rFonts w:hint="eastAsia"/>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886"/>
        <w:shd w:val="clear" w:color="auto" w:fill="FFFFFF"/>
        <w:snapToGrid w:val="0"/>
        <w:spacing w:after="240" w:afterAutospacing="0" w:line="360" w:lineRule="auto"/>
        <w:ind w:firstLine="400"/>
        <w:contextualSpacing/>
      </w:pPr>
      <w:r>
        <w:rPr>
          <w:rFonts w:hint="eastAsia"/>
        </w:rPr>
        <w:t>投诉书范本及制作说明详见附件3。</w:t>
      </w:r>
    </w:p>
    <w:p>
      <w:pPr>
        <w:pStyle w:val="129"/>
        <w:snapToGrid w:val="0"/>
        <w:spacing w:before="0"/>
        <w:ind w:firstLine="360"/>
        <w:rPr>
          <w:rFonts w:ascii="宋体" w:hAnsi="宋体" w:cs="宋体"/>
          <w:sz w:val="18"/>
          <w:szCs w:val="18"/>
        </w:rPr>
      </w:pPr>
    </w:p>
    <w:p>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pPr>
        <w:pStyle w:val="33"/>
        <w:spacing w:line="360" w:lineRule="auto"/>
        <w:rPr>
          <w:rFonts w:hAnsi="宋体" w:cs="宋体"/>
          <w:b/>
          <w:sz w:val="24"/>
          <w:szCs w:val="24"/>
        </w:rPr>
      </w:pPr>
      <w:r>
        <w:rPr>
          <w:rFonts w:hint="eastAsia" w:hAnsi="宋体" w:cs="宋体"/>
          <w:b/>
          <w:sz w:val="24"/>
          <w:szCs w:val="24"/>
        </w:rPr>
        <w:t>5．招标文件的构成</w:t>
      </w:r>
    </w:p>
    <w:p>
      <w:pPr>
        <w:pStyle w:val="33"/>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pPr>
        <w:pStyle w:val="33"/>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3"/>
        <w:spacing w:line="360" w:lineRule="auto"/>
        <w:rPr>
          <w:rFonts w:hAnsi="宋体" w:cs="宋体"/>
          <w:b/>
          <w:sz w:val="24"/>
          <w:szCs w:val="24"/>
        </w:rPr>
      </w:pPr>
      <w:r>
        <w:rPr>
          <w:rFonts w:hint="eastAsia" w:hAnsi="宋体" w:cs="宋体"/>
          <w:b/>
          <w:sz w:val="24"/>
          <w:szCs w:val="24"/>
        </w:rPr>
        <w:t>6. 招标文件的澄清、修改</w:t>
      </w:r>
    </w:p>
    <w:p>
      <w:pPr>
        <w:pStyle w:val="129"/>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pPr>
        <w:pStyle w:val="129"/>
        <w:snapToGrid w:val="0"/>
        <w:spacing w:before="0"/>
        <w:ind w:firstLine="48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rPr>
          <w:rFonts w:hAnsi="宋体" w:cs="宋体"/>
          <w:sz w:val="18"/>
          <w:szCs w:val="18"/>
          <w:lang w:val="en-US"/>
        </w:rPr>
      </w:pPr>
    </w:p>
    <w:p>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pPr>
        <w:pStyle w:val="33"/>
        <w:spacing w:line="360" w:lineRule="auto"/>
        <w:rPr>
          <w:rFonts w:hAnsi="宋体" w:cs="宋体"/>
          <w:b/>
          <w:sz w:val="24"/>
          <w:szCs w:val="24"/>
        </w:rPr>
      </w:pPr>
      <w:r>
        <w:rPr>
          <w:rFonts w:hint="eastAsia" w:hAnsi="宋体" w:cs="宋体"/>
          <w:b/>
          <w:sz w:val="24"/>
          <w:szCs w:val="24"/>
        </w:rPr>
        <w:t>7. 招标文件的获取</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3"/>
        <w:spacing w:line="360" w:lineRule="auto"/>
        <w:rPr>
          <w:rFonts w:hAnsi="宋体" w:cs="宋体"/>
          <w:b/>
          <w:sz w:val="24"/>
          <w:szCs w:val="24"/>
        </w:rPr>
      </w:pPr>
      <w:r>
        <w:rPr>
          <w:rFonts w:hint="eastAsia" w:hAnsi="宋体" w:cs="宋体"/>
          <w:b/>
          <w:sz w:val="24"/>
          <w:szCs w:val="24"/>
        </w:rPr>
        <w:t>8.开标前答疑会或现场考察</w:t>
      </w:r>
    </w:p>
    <w:p>
      <w:pPr>
        <w:pStyle w:val="33"/>
        <w:spacing w:line="360" w:lineRule="auto"/>
        <w:ind w:firstLine="480" w:firstLineChars="200"/>
        <w:rPr>
          <w:rFonts w:hAnsi="宋体" w:cs="宋体"/>
          <w:sz w:val="24"/>
          <w:szCs w:val="24"/>
        </w:rPr>
      </w:pPr>
      <w:r>
        <w:rPr>
          <w:rFonts w:hint="eastAsia" w:hAnsi="宋体" w:cs="宋体"/>
          <w:sz w:val="24"/>
          <w:szCs w:val="24"/>
        </w:rPr>
        <w:t>甲方组织潜在投标人现场考察或者召开开标前答疑会的，潜在投标人按第二部分投标人须知前附表的规定参加现场考察或者开标前答疑会。</w:t>
      </w:r>
    </w:p>
    <w:p>
      <w:pPr>
        <w:pStyle w:val="33"/>
        <w:spacing w:line="360" w:lineRule="auto"/>
        <w:rPr>
          <w:rFonts w:hAnsi="宋体" w:cs="宋体"/>
          <w:b/>
          <w:szCs w:val="24"/>
        </w:rPr>
      </w:pPr>
      <w:r>
        <w:rPr>
          <w:rFonts w:hint="eastAsia" w:hAnsi="宋体" w:cs="宋体"/>
          <w:b/>
          <w:kern w:val="28"/>
          <w:sz w:val="24"/>
          <w:szCs w:val="24"/>
        </w:rPr>
        <w:t>9.投标保证金</w:t>
      </w:r>
    </w:p>
    <w:p>
      <w:pPr>
        <w:pStyle w:val="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3"/>
        <w:spacing w:line="360" w:lineRule="auto"/>
        <w:rPr>
          <w:rFonts w:hAnsi="宋体" w:cs="宋体"/>
          <w:b/>
          <w:sz w:val="24"/>
          <w:szCs w:val="24"/>
        </w:rPr>
      </w:pPr>
      <w:r>
        <w:rPr>
          <w:rFonts w:hint="eastAsia" w:hAnsi="宋体" w:cs="宋体"/>
          <w:b/>
          <w:sz w:val="24"/>
          <w:szCs w:val="24"/>
        </w:rPr>
        <w:t>10. 投标文件的语言</w:t>
      </w:r>
    </w:p>
    <w:p>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pPr>
        <w:pStyle w:val="33"/>
        <w:spacing w:line="360" w:lineRule="auto"/>
        <w:rPr>
          <w:rFonts w:hAnsi="宋体" w:cs="宋体"/>
          <w:b/>
          <w:sz w:val="24"/>
          <w:szCs w:val="24"/>
        </w:rPr>
      </w:pPr>
      <w:r>
        <w:rPr>
          <w:rFonts w:hint="eastAsia" w:hAnsi="宋体" w:cs="宋体"/>
          <w:b/>
          <w:sz w:val="24"/>
          <w:szCs w:val="24"/>
        </w:rPr>
        <w:t>11. 投标文件的组成</w:t>
      </w:r>
    </w:p>
    <w:p>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11.1.2</w:t>
      </w:r>
      <w:r>
        <w:rPr>
          <w:rFonts w:hint="eastAsia" w:ascii="宋体" w:hAnsi="宋体" w:cs="宋体"/>
          <w:snapToGrid w:val="0"/>
          <w:kern w:val="28"/>
          <w:sz w:val="24"/>
          <w:szCs w:val="20"/>
        </w:rPr>
        <w:t>联合协议（如果有)；</w:t>
      </w:r>
    </w:p>
    <w:p>
      <w:pPr>
        <w:snapToGrid w:val="0"/>
        <w:spacing w:line="360" w:lineRule="auto"/>
        <w:ind w:firstLine="960" w:firstLineChars="400"/>
        <w:rPr>
          <w:rFonts w:ascii="宋体" w:hAnsi="宋体" w:cs="宋体"/>
          <w:sz w:val="24"/>
        </w:rPr>
      </w:pPr>
      <w:r>
        <w:rPr>
          <w:rFonts w:hint="eastAsia" w:ascii="宋体" w:hAnsi="宋体" w:cs="宋体"/>
          <w:sz w:val="24"/>
        </w:rPr>
        <w:t>11.1.3落实政府采购政策需满足的资格要求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11.1.4本项目的特定资格要求</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2商务技术</w:t>
      </w:r>
      <w:r>
        <w:rPr>
          <w:rFonts w:hint="eastAsia" w:ascii="宋体" w:hAnsi="宋体" w:cs="宋体"/>
          <w:sz w:val="24"/>
          <w:lang w:val="zh-CN"/>
        </w:rPr>
        <w:t>文件：</w:t>
      </w:r>
    </w:p>
    <w:p>
      <w:pPr>
        <w:snapToGrid w:val="0"/>
        <w:spacing w:line="360" w:lineRule="auto"/>
        <w:ind w:firstLine="960" w:firstLineChars="400"/>
        <w:rPr>
          <w:rFonts w:ascii="宋体" w:hAnsi="宋体" w:cs="宋体"/>
          <w:sz w:val="24"/>
        </w:rPr>
      </w:pPr>
      <w:r>
        <w:rPr>
          <w:rFonts w:hint="eastAsia" w:ascii="宋体" w:hAnsi="宋体" w:cs="宋体"/>
          <w:sz w:val="24"/>
        </w:rPr>
        <w:t>11.2.1投标函；</w:t>
      </w:r>
    </w:p>
    <w:p>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pPr>
        <w:snapToGrid w:val="0"/>
        <w:spacing w:line="360" w:lineRule="auto"/>
        <w:ind w:firstLine="960" w:firstLineChars="400"/>
        <w:rPr>
          <w:rFonts w:ascii="宋体" w:hAnsi="宋体" w:cs="宋体"/>
          <w:sz w:val="24"/>
        </w:rPr>
      </w:pPr>
      <w:r>
        <w:rPr>
          <w:rFonts w:hint="eastAsia" w:ascii="宋体" w:hAnsi="宋体" w:cs="宋体"/>
          <w:sz w:val="24"/>
        </w:rPr>
        <w:t>11.2.3分包意向协议</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11.2.4符合性审查资料；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11.2.5评标标准相应的商务技术资料；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11.2.6投标标的清单；</w:t>
      </w:r>
    </w:p>
    <w:p>
      <w:pPr>
        <w:snapToGrid w:val="0"/>
        <w:spacing w:line="360" w:lineRule="auto"/>
        <w:ind w:firstLine="960" w:firstLineChars="400"/>
        <w:rPr>
          <w:rFonts w:ascii="宋体" w:hAnsi="宋体" w:cs="宋体"/>
          <w:sz w:val="24"/>
        </w:rPr>
      </w:pPr>
      <w:r>
        <w:rPr>
          <w:rFonts w:hint="eastAsia" w:ascii="宋体" w:hAnsi="宋体" w:cs="宋体"/>
          <w:sz w:val="24"/>
        </w:rPr>
        <w:t>11.2.7商务技术偏离表；</w:t>
      </w:r>
    </w:p>
    <w:p>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政府采购供应商廉洁自律承诺书；</w:t>
      </w:r>
    </w:p>
    <w:p>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p>
    <w:p>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pPr>
        <w:snapToGrid w:val="0"/>
        <w:spacing w:line="360" w:lineRule="auto"/>
        <w:ind w:firstLine="960" w:firstLineChars="400"/>
        <w:rPr>
          <w:rFonts w:ascii="宋体" w:hAnsi="宋体" w:cs="宋体"/>
          <w:sz w:val="24"/>
        </w:rPr>
      </w:pPr>
      <w:r>
        <w:rPr>
          <w:rFonts w:hint="eastAsia" w:ascii="宋体" w:hAnsi="宋体" w:cs="宋体"/>
          <w:sz w:val="24"/>
        </w:rPr>
        <w:t>11.3.2中小企业声明函。</w:t>
      </w:r>
    </w:p>
    <w:p>
      <w:pPr>
        <w:spacing w:line="360" w:lineRule="auto"/>
        <w:ind w:firstLine="723" w:firstLineChars="300"/>
        <w:rPr>
          <w:rFonts w:ascii="宋体" w:hAnsi="宋体" w:cs="宋体"/>
          <w:b/>
          <w:sz w:val="24"/>
        </w:rPr>
      </w:pPr>
      <w:r>
        <w:rPr>
          <w:rFonts w:hint="eastAsia" w:ascii="宋体" w:hAnsi="宋体" w:cs="宋体"/>
          <w:b/>
          <w:sz w:val="24"/>
        </w:rPr>
        <w:t>投标文件含有甲方不能接受的附加条件的，投标无效；</w:t>
      </w:r>
    </w:p>
    <w:p>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pPr>
        <w:pStyle w:val="129"/>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rPr>
      </w:pPr>
      <w:r>
        <w:rPr>
          <w:rFonts w:hint="eastAsia" w:ascii="宋体" w:hAnsi="宋体" w:cs="宋体"/>
          <w:b/>
          <w:sz w:val="24"/>
        </w:rPr>
        <w:t>13.投标文件的签署、盖章</w:t>
      </w:r>
    </w:p>
    <w:p>
      <w:pPr>
        <w:pStyle w:val="129"/>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pPr>
        <w:pStyle w:val="129"/>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pPr>
        <w:pStyle w:val="129"/>
        <w:spacing w:before="0"/>
        <w:ind w:firstLine="0" w:firstLineChars="0"/>
        <w:rPr>
          <w:rFonts w:ascii="宋体" w:hAnsi="宋体" w:cs="宋体"/>
          <w:b/>
          <w:szCs w:val="24"/>
        </w:rPr>
      </w:pPr>
      <w:r>
        <w:rPr>
          <w:rFonts w:hint="eastAsia" w:ascii="宋体" w:hAnsi="宋体" w:cs="宋体"/>
          <w:b/>
          <w:szCs w:val="24"/>
        </w:rPr>
        <w:t>14. 投标文件的提交、补充、修改、撤回</w:t>
      </w:r>
    </w:p>
    <w:p>
      <w:pPr>
        <w:pStyle w:val="129"/>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ascii="宋体" w:hAnsi="宋体" w:cs="宋体"/>
          <w:szCs w:val="24"/>
        </w:rPr>
      </w:pPr>
      <w:r>
        <w:rPr>
          <w:rFonts w:hint="eastAsia" w:ascii="宋体" w:hAnsi="宋体" w:cs="宋体"/>
          <w:szCs w:val="24"/>
        </w:rPr>
        <w:t>14.3甲方、采购代理机构可以视情况延长投标文件提交的截止时间。在上述情况下，采购代理机构与投标人以前在投标截止期方面的全部权利、责任和义务，将适用于延长至新的投标截止期。</w:t>
      </w:r>
    </w:p>
    <w:p>
      <w:pPr>
        <w:pStyle w:val="33"/>
        <w:spacing w:line="360" w:lineRule="auto"/>
        <w:rPr>
          <w:rFonts w:hAnsi="宋体" w:cs="宋体"/>
          <w:b/>
          <w:sz w:val="24"/>
          <w:szCs w:val="24"/>
        </w:rPr>
      </w:pPr>
      <w:r>
        <w:rPr>
          <w:rFonts w:hint="eastAsia" w:hAnsi="宋体" w:cs="宋体"/>
          <w:b/>
          <w:sz w:val="24"/>
          <w:szCs w:val="24"/>
        </w:rPr>
        <w:t>15.备份投标文件</w:t>
      </w:r>
    </w:p>
    <w:p>
      <w:pPr>
        <w:pStyle w:val="33"/>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但甲方、采购代理机构不强制或变相强制投标人提交备份投标文件。</w:t>
      </w:r>
    </w:p>
    <w:p>
      <w:pPr>
        <w:pStyle w:val="33"/>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pPr>
        <w:pStyle w:val="33"/>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pPr>
        <w:pStyle w:val="33"/>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pPr>
        <w:pStyle w:val="33"/>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pPr>
        <w:pStyle w:val="129"/>
        <w:spacing w:before="0"/>
        <w:ind w:firstLine="0" w:firstLineChars="0"/>
        <w:rPr>
          <w:rFonts w:ascii="宋体" w:hAnsi="宋体" w:cs="宋体"/>
          <w:b/>
          <w:szCs w:val="24"/>
        </w:rPr>
      </w:pPr>
      <w:r>
        <w:rPr>
          <w:rFonts w:hint="eastAsia" w:ascii="宋体" w:hAnsi="宋体" w:cs="宋体"/>
          <w:b/>
          <w:szCs w:val="24"/>
        </w:rPr>
        <w:t>16.投标文件的无效处理</w:t>
      </w:r>
    </w:p>
    <w:p>
      <w:pPr>
        <w:pStyle w:val="25"/>
        <w:spacing w:line="360" w:lineRule="auto"/>
        <w:ind w:firstLine="360" w:firstLineChars="150"/>
        <w:rPr>
          <w:rFonts w:cs="宋体"/>
          <w:szCs w:val="21"/>
        </w:rPr>
      </w:pPr>
      <w:r>
        <w:rPr>
          <w:rFonts w:hint="eastAsia" w:cs="宋体"/>
          <w:szCs w:val="21"/>
        </w:rPr>
        <w:t>有招标文件第四部分4.2规定的情形之一的，投标无效：</w:t>
      </w:r>
    </w:p>
    <w:p>
      <w:pPr>
        <w:pStyle w:val="129"/>
        <w:spacing w:before="0"/>
        <w:ind w:firstLine="0" w:firstLineChars="0"/>
        <w:rPr>
          <w:rFonts w:ascii="宋体" w:hAnsi="宋体" w:cs="宋体"/>
          <w:b/>
          <w:szCs w:val="24"/>
        </w:rPr>
      </w:pPr>
      <w:r>
        <w:rPr>
          <w:rFonts w:hint="eastAsia" w:ascii="宋体" w:hAnsi="宋体" w:cs="宋体"/>
          <w:b/>
          <w:szCs w:val="24"/>
        </w:rPr>
        <w:t>17.投标有效期</w:t>
      </w:r>
    </w:p>
    <w:p>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pPr>
        <w:pStyle w:val="129"/>
        <w:spacing w:before="0"/>
        <w:ind w:firstLine="480"/>
        <w:rPr>
          <w:rFonts w:ascii="宋体" w:hAnsi="宋体" w:cs="宋体"/>
        </w:rPr>
      </w:pPr>
      <w:r>
        <w:rPr>
          <w:rFonts w:hint="eastAsia" w:ascii="宋体" w:hAnsi="宋体" w:cs="宋体"/>
        </w:rPr>
        <w:t>17.2投标文件合格投递后，自投标截止日期起，在投标有效期内有效。</w:t>
      </w:r>
    </w:p>
    <w:p>
      <w:pPr>
        <w:pStyle w:val="129"/>
        <w:spacing w:before="0"/>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29"/>
        <w:spacing w:before="0"/>
        <w:ind w:firstLine="643"/>
        <w:rPr>
          <w:rFonts w:ascii="宋体" w:hAnsi="宋体" w:cs="宋体"/>
          <w:b/>
          <w:sz w:val="32"/>
        </w:rPr>
      </w:pPr>
    </w:p>
    <w:p>
      <w:pPr>
        <w:pStyle w:val="129"/>
        <w:spacing w:before="0"/>
        <w:ind w:firstLine="1928" w:firstLineChars="600"/>
        <w:rPr>
          <w:rFonts w:ascii="宋体" w:hAnsi="宋体" w:cs="宋体"/>
          <w:b/>
          <w:sz w:val="32"/>
        </w:rPr>
      </w:pPr>
      <w:r>
        <w:rPr>
          <w:rFonts w:hint="eastAsia" w:ascii="宋体" w:hAnsi="宋体" w:cs="宋体"/>
          <w:b/>
          <w:sz w:val="32"/>
        </w:rPr>
        <w:t>四、开标、资格审查与信用信息查询</w:t>
      </w:r>
    </w:p>
    <w:p>
      <w:pPr>
        <w:pStyle w:val="555"/>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p>
    <w:p>
      <w:pPr>
        <w:pStyle w:val="555"/>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pPr>
        <w:pStyle w:val="555"/>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pPr>
        <w:pStyle w:val="555"/>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pPr>
        <w:snapToGrid w:val="0"/>
        <w:spacing w:line="360"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甲方或采购代理机构依据法律法规和招标文件的规定，对投标人的资格进行审查。</w:t>
      </w:r>
    </w:p>
    <w:p>
      <w:pPr>
        <w:pStyle w:val="129"/>
        <w:spacing w:before="0"/>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pPr>
        <w:pStyle w:val="129"/>
        <w:spacing w:before="0"/>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3对未通过资格审查的投标人，甲方或采购代理机构告知其未通过的原因。</w:t>
      </w:r>
    </w:p>
    <w:p>
      <w:pPr>
        <w:pStyle w:val="129"/>
        <w:spacing w:before="0"/>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pPr>
        <w:pStyle w:val="129"/>
        <w:spacing w:before="0"/>
        <w:ind w:firstLine="0" w:firstLineChars="0"/>
        <w:rPr>
          <w:rFonts w:ascii="宋体" w:hAnsi="宋体" w:cs="宋体"/>
          <w:b/>
          <w:szCs w:val="24"/>
        </w:rPr>
      </w:pPr>
      <w:r>
        <w:rPr>
          <w:rFonts w:hint="eastAsia" w:ascii="宋体" w:hAnsi="宋体" w:cs="宋体"/>
          <w:b/>
          <w:szCs w:val="24"/>
        </w:rPr>
        <w:t>20、信用信息查询</w:t>
      </w:r>
    </w:p>
    <w:p>
      <w:pPr>
        <w:pStyle w:val="129"/>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20.1信用信息查询渠道及截止时间：采购代理机构将在资格审查时通过“信用中国”网站(www.creditchina.gov.cn)、中国政府采购网(www.ccgp.gov.cn)渠道查询投标人接受资格时的信用记录。</w:t>
      </w:r>
    </w:p>
    <w:p>
      <w:pPr>
        <w:pStyle w:val="129"/>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129"/>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pStyle w:val="129"/>
        <w:spacing w:before="0"/>
        <w:ind w:firstLine="0" w:firstLineChars="0"/>
        <w:rPr>
          <w:rFonts w:ascii="宋体" w:hAnsi="宋体" w:cs="宋体"/>
          <w:kern w:val="0"/>
          <w:szCs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pPr>
        <w:spacing w:line="360" w:lineRule="auto"/>
        <w:rPr>
          <w:rFonts w:ascii="宋体" w:hAnsi="宋体" w:cs="宋体"/>
          <w:b/>
          <w:sz w:val="24"/>
        </w:rPr>
      </w:pPr>
      <w:bookmarkStart w:id="12" w:name="_Toc91899903"/>
      <w:r>
        <w:rPr>
          <w:rFonts w:hint="eastAsia" w:ascii="宋体" w:hAnsi="宋体" w:cs="宋体"/>
          <w:b/>
          <w:sz w:val="24"/>
        </w:rPr>
        <w:t>21.</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spacing w:line="360" w:lineRule="auto"/>
        <w:rPr>
          <w:rFonts w:ascii="宋体" w:hAnsi="宋体" w:cs="宋体"/>
          <w:b/>
          <w:sz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pPr>
        <w:pStyle w:val="25"/>
        <w:spacing w:line="360" w:lineRule="auto"/>
        <w:ind w:left="479" w:hanging="479" w:hangingChars="199"/>
        <w:rPr>
          <w:rFonts w:cs="宋体"/>
          <w:b/>
        </w:rPr>
      </w:pPr>
      <w:r>
        <w:rPr>
          <w:rFonts w:hint="eastAsia" w:cs="宋体"/>
          <w:b/>
        </w:rPr>
        <w:t>22. 确定中标供应商</w:t>
      </w:r>
    </w:p>
    <w:p>
      <w:pPr>
        <w:pStyle w:val="129"/>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甲方。采购单位应当自收到评审报告之日起2个工作日内在线确定中标或者成交供应商。中标、成交通知书和中标、成交结果公告应当在规定时间内同时发出。</w:t>
      </w:r>
    </w:p>
    <w:p>
      <w:pPr>
        <w:pStyle w:val="129"/>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23.2中标结果公告内容包括甲方及其委托的采购代理机构的名称、地址、联系方式，项目名称和项目编号，中标人名称、地址和中标金额，主要中标标的的名称、规格型号、数量、单价、服务要求，开标记录、</w:t>
      </w:r>
      <w:bookmarkStart w:id="13" w:name="_Hlk101184471"/>
      <w:r>
        <w:rPr>
          <w:rFonts w:hint="eastAsia" w:ascii="宋体" w:hAnsi="宋体" w:cs="宋体"/>
          <w:sz w:val="24"/>
        </w:rPr>
        <w:t>资格审查情况、评审专家抽取规则、符合性审查情况、</w:t>
      </w:r>
      <w:bookmarkEnd w:id="13"/>
      <w:r>
        <w:rPr>
          <w:rFonts w:hint="eastAsia" w:ascii="宋体" w:hAnsi="宋体" w:cs="宋体"/>
          <w:sz w:val="24"/>
        </w:rPr>
        <w:t>未中标情况说明、中标公告期限以及评审专家名单、评分汇总及明细。</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pPr>
        <w:snapToGrid w:val="0"/>
        <w:spacing w:line="360" w:lineRule="auto"/>
        <w:ind w:left="120" w:leftChars="57" w:firstLine="482" w:firstLineChars="150"/>
        <w:jc w:val="center"/>
        <w:rPr>
          <w:rFonts w:ascii="宋体" w:hAnsi="宋体" w:cs="宋体"/>
          <w:b/>
          <w:sz w:val="32"/>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pPr>
        <w:pStyle w:val="25"/>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pPr>
        <w:pStyle w:val="25"/>
        <w:spacing w:line="360" w:lineRule="auto"/>
        <w:ind w:left="479" w:hanging="479" w:hangingChars="199"/>
        <w:rPr>
          <w:rFonts w:cs="宋体"/>
          <w:b/>
        </w:rPr>
      </w:pPr>
      <w:r>
        <w:rPr>
          <w:rFonts w:hint="eastAsia" w:cs="宋体"/>
          <w:b/>
        </w:rPr>
        <w:t>25. 合同的签订</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甲方与中标人应当通过电子交易平台在中标通知书发出之日起三十日内，按照招标文件确定的事项签订政府采购合同，并在签订之日起2个工作日内将政府采购合同在浙江政府采购网上公告。鼓励有条件的甲方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25.2中标人按规定的日期、时间、地点，由法定代表人或其授权代表与甲方代表签订合同。如中标人为联合体的，由联合体成员各方法定代表人或其授权代表与甲方代表签订合同。</w:t>
      </w:r>
    </w:p>
    <w:p>
      <w:pPr>
        <w:pStyle w:val="129"/>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pPr>
        <w:pStyle w:val="129"/>
        <w:snapToGrid w:val="0"/>
        <w:spacing w:before="0"/>
        <w:ind w:firstLine="480"/>
        <w:rPr>
          <w:rFonts w:ascii="宋体" w:hAnsi="宋体" w:cs="宋体"/>
        </w:rPr>
      </w:pPr>
      <w:r>
        <w:rPr>
          <w:rFonts w:hint="eastAsia" w:ascii="宋体" w:hAnsi="宋体" w:cs="宋体"/>
        </w:rPr>
        <w:t>25.4中标供应商拒绝与甲方签订合同的，甲方可以按照评审报告推荐的中标或者成交候选人名单排序，确定下一候选人为中标供应商，也可以重新开展政府采购活动。</w:t>
      </w:r>
    </w:p>
    <w:p>
      <w:pPr>
        <w:pStyle w:val="129"/>
        <w:snapToGrid w:val="0"/>
        <w:spacing w:before="0" w:after="120"/>
        <w:ind w:firstLine="480"/>
        <w:rPr>
          <w:rFonts w:ascii="宋体" w:hAnsi="宋体" w:cs="宋体"/>
        </w:rPr>
      </w:pPr>
      <w:r>
        <w:rPr>
          <w:rFonts w:hint="eastAsia" w:ascii="宋体" w:hAnsi="宋体" w:cs="宋体"/>
        </w:rPr>
        <w:t>25.5采购合同由甲方与中标供应商根据招标文件、投标文件等内容通过政府采购电子交易平台在线签订，自动备案。</w:t>
      </w:r>
    </w:p>
    <w:p>
      <w:pPr>
        <w:pStyle w:val="25"/>
        <w:spacing w:line="360" w:lineRule="auto"/>
        <w:ind w:left="479" w:hanging="479" w:hangingChars="199"/>
        <w:rPr>
          <w:rFonts w:cs="宋体"/>
          <w:b/>
        </w:rPr>
      </w:pPr>
      <w:r>
        <w:rPr>
          <w:rFonts w:hint="eastAsia" w:cs="宋体"/>
          <w:b/>
        </w:rPr>
        <w:t>26. 履约保证金</w:t>
      </w:r>
    </w:p>
    <w:p>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1%，鼓励根据项目特点、供应商诚信等因素免收履约保证金或降低缴纳比例。鼓励和支持供应商以银行、保险公司出具的保函形式提供履约保证金。甲方不得拒收履约保函，项目验收结束后应及时退还，延迟退还的，应当按照合同约定和法律规定承担相应的赔偿责任。</w:t>
      </w:r>
    </w:p>
    <w:p>
      <w:pPr>
        <w:pStyle w:val="2"/>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
        <w:rPr>
          <w:rFonts w:ascii="宋体" w:hAnsi="宋体" w:eastAsia="宋体" w:cs="宋体"/>
        </w:rPr>
      </w:pPr>
      <w:r>
        <w:rPr>
          <w:rFonts w:hint="eastAsia" w:ascii="宋体" w:hAnsi="宋体" w:eastAsia="宋体" w:cs="宋体"/>
          <w:sz w:val="24"/>
          <w:lang w:val="en-US"/>
        </w:rPr>
        <w:t>27.预付款</w:t>
      </w:r>
    </w:p>
    <w:p>
      <w:pPr>
        <w:adjustRightInd/>
        <w:spacing w:line="360" w:lineRule="auto"/>
        <w:ind w:firstLine="480" w:firstLineChars="200"/>
        <w:rPr>
          <w:rFonts w:ascii="宋体" w:hAnsi="宋体" w:cs="宋体"/>
        </w:rPr>
      </w:pPr>
      <w:r>
        <w:rPr>
          <w:rFonts w:hint="eastAsia" w:ascii="宋体" w:hAnsi="宋体" w:cs="宋体"/>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rPr>
          <w:rFonts w:ascii="宋体" w:hAnsi="宋体" w:cs="宋体"/>
        </w:rPr>
      </w:pPr>
    </w:p>
    <w:p>
      <w:pPr>
        <w:snapToGrid w:val="0"/>
        <w:spacing w:line="360" w:lineRule="auto"/>
        <w:ind w:firstLine="3357" w:firstLineChars="1045"/>
        <w:rPr>
          <w:rFonts w:ascii="宋体" w:hAnsi="宋体" w:cs="宋体"/>
          <w:b/>
          <w:sz w:val="32"/>
        </w:rPr>
      </w:pPr>
    </w:p>
    <w:p>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pPr>
        <w:pStyle w:val="129"/>
        <w:snapToGrid w:val="0"/>
        <w:spacing w:before="0"/>
        <w:ind w:firstLine="0" w:firstLineChars="0"/>
        <w:rPr>
          <w:rFonts w:ascii="宋体" w:hAnsi="宋体" w:cs="宋体"/>
        </w:rPr>
      </w:pPr>
      <w:r>
        <w:rPr>
          <w:rFonts w:hint="eastAsia" w:ascii="宋体" w:hAnsi="宋体" w:cs="宋体"/>
          <w:b/>
          <w:bCs/>
        </w:rPr>
        <w:t>2</w:t>
      </w:r>
      <w:r>
        <w:rPr>
          <w:rFonts w:hint="eastAsia"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pPr>
        <w:pStyle w:val="129"/>
        <w:snapToGrid w:val="0"/>
        <w:spacing w:before="0"/>
        <w:ind w:firstLine="480"/>
        <w:rPr>
          <w:rFonts w:ascii="宋体" w:hAnsi="宋体" w:cs="宋体"/>
        </w:rPr>
      </w:pPr>
      <w:r>
        <w:rPr>
          <w:rFonts w:hint="eastAsia" w:ascii="宋体" w:hAnsi="宋体" w:cs="宋体"/>
        </w:rPr>
        <w:t xml:space="preserve">28.1电子交易平台发生故障而无法登录访问的； </w:t>
      </w:r>
    </w:p>
    <w:p>
      <w:pPr>
        <w:pStyle w:val="129"/>
        <w:snapToGrid w:val="0"/>
        <w:spacing w:before="0"/>
        <w:ind w:firstLine="480"/>
        <w:rPr>
          <w:rFonts w:ascii="宋体" w:hAnsi="宋体" w:cs="宋体"/>
        </w:rPr>
      </w:pPr>
      <w:r>
        <w:rPr>
          <w:rFonts w:hint="eastAsia" w:ascii="宋体" w:hAnsi="宋体" w:cs="宋体"/>
        </w:rPr>
        <w:t>28.2电子交易平台应用或数据库出现错误，不能进行正常操作的；</w:t>
      </w:r>
    </w:p>
    <w:p>
      <w:pPr>
        <w:pStyle w:val="129"/>
        <w:snapToGrid w:val="0"/>
        <w:spacing w:before="0"/>
        <w:ind w:firstLine="480"/>
        <w:rPr>
          <w:rFonts w:ascii="宋体" w:hAnsi="宋体" w:cs="宋体"/>
        </w:rPr>
      </w:pPr>
      <w:r>
        <w:rPr>
          <w:rFonts w:hint="eastAsia" w:ascii="宋体" w:hAnsi="宋体" w:cs="宋体"/>
        </w:rPr>
        <w:t>28.3电子交易平台发现严重安全漏洞，有潜在泄密危险的；</w:t>
      </w:r>
    </w:p>
    <w:p>
      <w:pPr>
        <w:pStyle w:val="129"/>
        <w:snapToGrid w:val="0"/>
        <w:spacing w:before="0"/>
        <w:ind w:firstLine="480"/>
        <w:rPr>
          <w:rFonts w:ascii="宋体" w:hAnsi="宋体" w:cs="宋体"/>
        </w:rPr>
      </w:pPr>
      <w:r>
        <w:rPr>
          <w:rFonts w:hint="eastAsia" w:ascii="宋体" w:hAnsi="宋体" w:cs="宋体"/>
        </w:rPr>
        <w:t xml:space="preserve">28.4病毒发作导致不能进行正常操作的； </w:t>
      </w:r>
    </w:p>
    <w:p>
      <w:pPr>
        <w:pStyle w:val="129"/>
        <w:snapToGrid w:val="0"/>
        <w:spacing w:before="0"/>
        <w:ind w:firstLine="480"/>
        <w:rPr>
          <w:rFonts w:ascii="宋体" w:hAnsi="宋体" w:cs="宋体"/>
        </w:rPr>
      </w:pPr>
      <w:r>
        <w:rPr>
          <w:rFonts w:hint="eastAsia" w:ascii="宋体" w:hAnsi="宋体" w:cs="宋体"/>
        </w:rPr>
        <w:t>28.5其他无法保证电子交易的公平、公正和安全的情况。</w:t>
      </w:r>
    </w:p>
    <w:p>
      <w:pPr>
        <w:pStyle w:val="129"/>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sz w:val="24"/>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pPr>
        <w:pStyle w:val="25"/>
        <w:spacing w:line="360" w:lineRule="auto"/>
        <w:ind w:firstLine="0" w:firstLineChars="0"/>
        <w:rPr>
          <w:rFonts w:cs="宋体"/>
          <w:b/>
        </w:rPr>
      </w:pPr>
      <w:r>
        <w:rPr>
          <w:rFonts w:hint="eastAsia" w:cs="宋体"/>
          <w:b/>
        </w:rPr>
        <w:t>30.验收</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30.1甲方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30.2甲方可以邀请参加本项目的其他投标人或者第三方机构参与验收。参与验收的投标人或者第三方机构的意见作为验收书的参考资料一并存档。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甲方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sz w:val="18"/>
          <w:szCs w:val="18"/>
        </w:rPr>
      </w:pPr>
      <w:r>
        <w:rPr>
          <w:rFonts w:hint="eastAsia" w:ascii="宋体" w:hAnsi="宋体" w:cs="宋体"/>
          <w:kern w:val="0"/>
          <w:sz w:val="24"/>
        </w:rPr>
        <w:t>30.4验收合格的项目，甲方将根据采购合同的约定及时向供应商支付采购资金、退还履约保证金。验收不合格的项目，甲方将依法及时处理。采购合同的履行、违约责任和解决争议的方式等适用《中华人民共和国民法典》。供应商在履约过程中有政府采购法律法规规定的违法违规情形的，甲方应当及时报告本级财政部门。</w:t>
      </w:r>
    </w:p>
    <w:bookmarkEnd w:id="12"/>
    <w:p>
      <w:pPr>
        <w:tabs>
          <w:tab w:val="left" w:pos="0"/>
        </w:tabs>
        <w:spacing w:line="360" w:lineRule="auto"/>
        <w:ind w:firstLine="480"/>
        <w:rPr>
          <w:rFonts w:ascii="宋体" w:hAnsi="宋体"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74729768"/>
      <w:bookmarkEnd w:id="14"/>
      <w:bookmarkStart w:id="15" w:name="_Hlt68073093"/>
      <w:bookmarkEnd w:id="15"/>
      <w:bookmarkStart w:id="16" w:name="_Hlt75236101"/>
      <w:bookmarkEnd w:id="16"/>
      <w:bookmarkStart w:id="17" w:name="_Hlt75236011"/>
      <w:bookmarkEnd w:id="17"/>
      <w:bookmarkStart w:id="18" w:name="_Hlt68072990"/>
      <w:bookmarkEnd w:id="18"/>
      <w:bookmarkStart w:id="19" w:name="_Hlt74714665"/>
      <w:bookmarkEnd w:id="19"/>
      <w:bookmarkStart w:id="20" w:name="_Hlt75236290"/>
      <w:bookmarkEnd w:id="20"/>
      <w:bookmarkStart w:id="21" w:name="_Hlt74730295"/>
      <w:bookmarkEnd w:id="21"/>
      <w:bookmarkStart w:id="22" w:name="_Hlt68057669"/>
      <w:bookmarkEnd w:id="22"/>
      <w:bookmarkStart w:id="23" w:name="_Hlt68072998"/>
      <w:bookmarkEnd w:id="23"/>
      <w:bookmarkStart w:id="24" w:name="_Hlt68403820"/>
      <w:bookmarkEnd w:id="24"/>
      <w:bookmarkStart w:id="25" w:name="_Hlt74707468"/>
      <w:bookmarkEnd w:id="25"/>
    </w:p>
    <w:bookmarkEnd w:id="10"/>
    <w:bookmarkEnd w:id="11"/>
    <w:p>
      <w:pPr>
        <w:spacing w:line="360" w:lineRule="auto"/>
        <w:jc w:val="center"/>
        <w:outlineLvl w:val="0"/>
        <w:rPr>
          <w:rFonts w:ascii="宋体" w:hAnsi="宋体" w:cs="宋体"/>
          <w:b/>
          <w:sz w:val="36"/>
          <w:szCs w:val="36"/>
        </w:rPr>
      </w:pPr>
      <w:bookmarkStart w:id="26" w:name="第四部分"/>
      <w:r>
        <w:rPr>
          <w:rFonts w:hint="eastAsia" w:ascii="宋体" w:hAnsi="宋体" w:cs="宋体"/>
          <w:b/>
          <w:sz w:val="36"/>
          <w:szCs w:val="36"/>
        </w:rPr>
        <w:t>第三部分   采购需求</w:t>
      </w:r>
    </w:p>
    <w:p>
      <w:pPr>
        <w:snapToGrid w:val="0"/>
        <w:spacing w:line="360" w:lineRule="auto"/>
        <w:outlineLvl w:val="1"/>
        <w:rPr>
          <w:rFonts w:ascii="宋体" w:hAnsi="宋体" w:cs="宋体"/>
          <w:b/>
          <w:sz w:val="24"/>
        </w:rPr>
      </w:pPr>
      <w:r>
        <w:rPr>
          <w:rFonts w:hint="eastAsia" w:ascii="宋体" w:hAnsi="宋体" w:cs="宋体"/>
          <w:b/>
          <w:sz w:val="24"/>
        </w:rPr>
        <w:t>标项一：杭州市“空间智治”数字化平台建设（2024）耕地保护集成应用项目-耕地保护集成应用</w:t>
      </w:r>
    </w:p>
    <w:p>
      <w:pPr>
        <w:snapToGrid w:val="0"/>
        <w:spacing w:line="360" w:lineRule="auto"/>
        <w:outlineLvl w:val="1"/>
        <w:rPr>
          <w:rFonts w:ascii="宋体" w:hAnsi="宋体" w:cs="宋体"/>
          <w:b/>
          <w:sz w:val="24"/>
        </w:rPr>
      </w:pPr>
      <w:r>
        <w:rPr>
          <w:rFonts w:hint="eastAsia" w:ascii="宋体" w:hAnsi="宋体" w:cs="宋体"/>
          <w:b/>
          <w:sz w:val="24"/>
        </w:rPr>
        <w:t>一、项目背景及建设目标</w:t>
      </w:r>
    </w:p>
    <w:p>
      <w:pPr>
        <w:spacing w:line="360" w:lineRule="auto"/>
        <w:ind w:firstLine="480" w:firstLineChars="200"/>
        <w:rPr>
          <w:rFonts w:ascii="宋体" w:hAnsi="宋体" w:cs="宋体"/>
          <w:kern w:val="0"/>
          <w:sz w:val="24"/>
        </w:rPr>
      </w:pPr>
      <w:r>
        <w:rPr>
          <w:rFonts w:hint="eastAsia" w:ascii="宋体" w:hAnsi="宋体" w:cs="宋体"/>
          <w:kern w:val="0"/>
          <w:sz w:val="24"/>
        </w:rPr>
        <w:t>在浙江省高质量发展建设共同富裕示范区的背景下，杭州市落实党中央、国务院关于耕地保护的要求，切实加强耕地保护严守耕地红线，坚持守好耕地“基本盘”，在前期空间治理数字化探索的基础上，谋划打造杭州市“空间智治”数字化平台建设（2024）耕地保护集成应用项目。</w:t>
      </w:r>
    </w:p>
    <w:p>
      <w:pPr>
        <w:spacing w:line="360" w:lineRule="auto"/>
        <w:ind w:firstLine="480" w:firstLineChars="200"/>
        <w:rPr>
          <w:rFonts w:ascii="宋体" w:hAnsi="宋体" w:cs="宋体"/>
          <w:kern w:val="0"/>
          <w:sz w:val="24"/>
        </w:rPr>
      </w:pPr>
      <w:r>
        <w:rPr>
          <w:rFonts w:hint="eastAsia" w:ascii="宋体" w:hAnsi="宋体" w:cs="宋体"/>
          <w:kern w:val="0"/>
          <w:sz w:val="24"/>
        </w:rPr>
        <w:t>项目建设贯彻我市关于切实加强耕地保护严守耕地红线</w:t>
      </w:r>
      <w:r>
        <w:rPr>
          <w:rFonts w:hint="eastAsia" w:ascii="宋体" w:hAnsi="宋体" w:cs="宋体"/>
          <w:kern w:val="0"/>
          <w:sz w:val="24"/>
          <w:highlight w:val="none"/>
        </w:rPr>
        <w:t>有关</w:t>
      </w:r>
      <w:r>
        <w:rPr>
          <w:rFonts w:hint="eastAsia" w:ascii="宋体" w:hAnsi="宋体" w:cs="宋体"/>
          <w:kern w:val="0"/>
          <w:sz w:val="24"/>
        </w:rPr>
        <w:t>通知要求、姚高员市长在全市一季度工业经济“开门红”暨省级以上开发区（园区）高质量发展工作推进会上的讲话提纲、《浙江省优化营商环境“10+N”便利化行动方案（2.0版）》等文件精神，遵循“一单位一平台”的政务应用系统建设要求和“统一底图、统一标准、统一平台、统一管理”的原则，利用先进的地理信息系统（GIS）技术和大数据分析方法，围绕耕地保护和质量提升，坚持“严守底线、严格管控、兼顾高质量发展”，以数字化手段赋能耕地流入流出精准管控，助力各类耕地违法问题联动核实、处置，建立全市统筹的用地指标数字化交易和监管体系，升级改造土地开发利用等场景，从数量管控、质量提升、价值实现三个方向推动全市资源有效保护和高效配置，最终实现耕地资源“管”“用”结合，确保落实最严格的耕地保护制度，做到资源有效保护和资源合理利用并重，助力杭州打赢经济翻身仗，优化营商环境，为奋力谱写中国式现代化浙江新篇章贡献更多规划和自然资源力量。</w:t>
      </w:r>
    </w:p>
    <w:p>
      <w:pPr>
        <w:spacing w:line="360" w:lineRule="auto"/>
        <w:ind w:firstLine="480" w:firstLineChars="200"/>
        <w:rPr>
          <w:rFonts w:ascii="宋体" w:hAnsi="宋体" w:cs="宋体"/>
          <w:b/>
          <w:sz w:val="24"/>
        </w:rPr>
      </w:pPr>
      <w:r>
        <w:rPr>
          <w:rFonts w:hint="eastAsia" w:ascii="宋体" w:hAnsi="宋体" w:cs="宋体"/>
          <w:kern w:val="0"/>
          <w:sz w:val="24"/>
        </w:rPr>
        <w:t>本项目为杭州市“空间智治”数字化平台建设（2024）耕地保护集成应用项目-耕地保护集成应用，供应商应根据采购文件所提出的采购内容和技术、服务要求，综合考虑，选择具有最佳性价比的服务团队前来投标。希望供应商以优良的服务和优惠的价格，充分显示竞争实力。</w:t>
      </w:r>
    </w:p>
    <w:p>
      <w:pPr>
        <w:spacing w:line="360" w:lineRule="auto"/>
        <w:ind w:firstLine="482" w:firstLineChars="200"/>
        <w:rPr>
          <w:rFonts w:ascii="宋体" w:hAnsi="宋体" w:cs="宋体"/>
          <w:b/>
          <w:sz w:val="24"/>
        </w:rPr>
      </w:pPr>
    </w:p>
    <w:p>
      <w:pPr>
        <w:snapToGrid w:val="0"/>
        <w:spacing w:line="360" w:lineRule="auto"/>
        <w:outlineLvl w:val="1"/>
        <w:rPr>
          <w:rFonts w:ascii="宋体" w:hAnsi="宋体" w:cs="宋体"/>
          <w:b/>
          <w:sz w:val="24"/>
        </w:rPr>
      </w:pPr>
      <w:r>
        <w:rPr>
          <w:rFonts w:hint="eastAsia" w:ascii="宋体" w:hAnsi="宋体" w:cs="宋体"/>
          <w:b/>
          <w:sz w:val="24"/>
        </w:rPr>
        <w:t>二、建设原则</w:t>
      </w:r>
    </w:p>
    <w:p>
      <w:pPr>
        <w:spacing w:line="360" w:lineRule="auto"/>
        <w:ind w:firstLine="480" w:firstLineChars="200"/>
        <w:rPr>
          <w:rFonts w:ascii="宋体" w:hAnsi="宋体" w:cs="宋体"/>
          <w:kern w:val="0"/>
          <w:sz w:val="24"/>
        </w:rPr>
      </w:pPr>
      <w:r>
        <w:rPr>
          <w:rFonts w:hint="eastAsia" w:ascii="宋体" w:hAnsi="宋体" w:cs="宋体"/>
          <w:kern w:val="0"/>
          <w:sz w:val="24"/>
        </w:rPr>
        <w:t>杭州市“空间智治”数字化平台建设（2024）耕地保护集成应用项目-耕地保护集成应用的总体系统设计和建设应充分遵循：一体化、标准化、高效性、安全性、人本性、经济性等原则。</w:t>
      </w:r>
    </w:p>
    <w:p>
      <w:pPr>
        <w:spacing w:line="360" w:lineRule="auto"/>
        <w:ind w:firstLine="479" w:firstLineChars="199"/>
        <w:rPr>
          <w:rFonts w:ascii="宋体" w:hAnsi="宋体" w:cs="宋体"/>
          <w:b/>
          <w:sz w:val="24"/>
        </w:rPr>
      </w:pPr>
    </w:p>
    <w:p>
      <w:pPr>
        <w:snapToGrid w:val="0"/>
        <w:spacing w:line="360" w:lineRule="auto"/>
        <w:outlineLvl w:val="1"/>
        <w:rPr>
          <w:rFonts w:ascii="宋体" w:hAnsi="宋体" w:cs="宋体"/>
          <w:b/>
          <w:sz w:val="24"/>
        </w:rPr>
      </w:pPr>
      <w:r>
        <w:rPr>
          <w:rFonts w:hint="eastAsia" w:ascii="宋体" w:hAnsi="宋体" w:cs="宋体"/>
          <w:b/>
          <w:sz w:val="24"/>
        </w:rPr>
        <w:t>三、建设内容</w:t>
      </w:r>
    </w:p>
    <w:p>
      <w:pPr>
        <w:spacing w:line="360" w:lineRule="auto"/>
        <w:ind w:firstLine="480" w:firstLineChars="200"/>
        <w:rPr>
          <w:rFonts w:ascii="宋体" w:hAnsi="宋体" w:cs="宋体"/>
          <w:kern w:val="0"/>
          <w:sz w:val="24"/>
        </w:rPr>
      </w:pPr>
      <w:r>
        <w:rPr>
          <w:rFonts w:hint="eastAsia" w:ascii="宋体" w:hAnsi="宋体" w:cs="宋体"/>
          <w:kern w:val="0"/>
          <w:sz w:val="24"/>
        </w:rPr>
        <w:t>杭州市“空间智治”数字化平台建设（2024）耕地保护集成应用项目-耕地保护集成应用主要包含四大建设内容：1.新建土地整治项目管理应用场景；2.新建国土空间指标统筹交易管理场景；3.整合新建违法占用耕地监管整治场景；4.迭代升级“三块地”动态监测场景。具体建设内容包括：</w:t>
      </w:r>
    </w:p>
    <w:p>
      <w:pPr>
        <w:spacing w:line="360" w:lineRule="auto"/>
        <w:ind w:firstLine="482" w:firstLineChars="200"/>
        <w:rPr>
          <w:rFonts w:ascii="宋体" w:hAnsi="宋体" w:cs="宋体"/>
          <w:bCs/>
          <w:kern w:val="0"/>
          <w:sz w:val="24"/>
        </w:rPr>
      </w:pPr>
      <w:r>
        <w:rPr>
          <w:rFonts w:hint="eastAsia" w:ascii="宋体" w:hAnsi="宋体" w:cs="宋体"/>
          <w:b/>
          <w:kern w:val="0"/>
          <w:sz w:val="24"/>
        </w:rPr>
        <w:t>新建土地整治项目管理应用场景</w:t>
      </w:r>
      <w:r>
        <w:rPr>
          <w:rFonts w:hint="eastAsia" w:ascii="宋体" w:hAnsi="宋体" w:cs="宋体"/>
          <w:b/>
          <w:bCs/>
          <w:kern w:val="0"/>
          <w:sz w:val="24"/>
        </w:rPr>
        <w:t>。</w:t>
      </w:r>
      <w:r>
        <w:rPr>
          <w:spacing w:val="-5"/>
          <w:sz w:val="24"/>
        </w:rPr>
        <w:t>实现土地整治项目的全市统筹管理，</w:t>
      </w:r>
      <w:r>
        <w:rPr>
          <w:sz w:val="24"/>
        </w:rPr>
        <w:t>功能模块包括：高质量补充耕地全量底板</w:t>
      </w:r>
      <w:r>
        <w:rPr>
          <w:rFonts w:eastAsia="Times New Roman"/>
          <w:sz w:val="24"/>
        </w:rPr>
        <w:t>-</w:t>
      </w:r>
      <w:r>
        <w:rPr>
          <w:sz w:val="24"/>
        </w:rPr>
        <w:t>资源要</w:t>
      </w:r>
      <w:r>
        <w:rPr>
          <w:spacing w:val="-1"/>
          <w:sz w:val="24"/>
        </w:rPr>
        <w:t>素模块和整治项目模块；土地整治项目全过程监管；项目选址智能内业分析。</w:t>
      </w:r>
    </w:p>
    <w:p>
      <w:pPr>
        <w:spacing w:line="360" w:lineRule="auto"/>
        <w:ind w:firstLine="482" w:firstLineChars="200"/>
        <w:rPr>
          <w:rFonts w:ascii="宋体" w:hAnsi="宋体" w:cs="宋体"/>
          <w:kern w:val="0"/>
          <w:sz w:val="24"/>
        </w:rPr>
      </w:pPr>
      <w:r>
        <w:rPr>
          <w:rFonts w:hint="eastAsia" w:ascii="宋体" w:hAnsi="宋体" w:cs="宋体"/>
          <w:b/>
          <w:kern w:val="0"/>
          <w:sz w:val="24"/>
        </w:rPr>
        <w:t>新建国土空间指标统筹交易管理场景。</w:t>
      </w:r>
      <w:r>
        <w:rPr>
          <w:sz w:val="24"/>
        </w:rPr>
        <w:t>建设市级土地指标交易平台，</w:t>
      </w:r>
      <w:r>
        <w:rPr>
          <w:spacing w:val="-3"/>
          <w:sz w:val="24"/>
        </w:rPr>
        <w:t>功能模块包括：补充耕地、补充林地、粮功区保护任务、增减挂钩等指标的在线</w:t>
      </w:r>
      <w:r>
        <w:rPr>
          <w:spacing w:val="-2"/>
          <w:sz w:val="24"/>
        </w:rPr>
        <w:t>交易应用；国土空间指标成交量、成交额、</w:t>
      </w:r>
      <w:r>
        <w:rPr>
          <w:spacing w:val="-65"/>
          <w:sz w:val="24"/>
        </w:rPr>
        <w:t xml:space="preserve"> </w:t>
      </w:r>
      <w:r>
        <w:rPr>
          <w:spacing w:val="-2"/>
          <w:sz w:val="24"/>
        </w:rPr>
        <w:t>目标完成情况的</w:t>
      </w:r>
      <w:r>
        <w:rPr>
          <w:spacing w:val="-3"/>
          <w:sz w:val="24"/>
        </w:rPr>
        <w:t>统计和展示。</w:t>
      </w:r>
    </w:p>
    <w:p>
      <w:pPr>
        <w:spacing w:line="360" w:lineRule="auto"/>
        <w:ind w:firstLine="482" w:firstLineChars="200"/>
        <w:rPr>
          <w:rFonts w:ascii="宋体" w:hAnsi="宋体" w:cs="宋体"/>
          <w:kern w:val="0"/>
          <w:sz w:val="24"/>
        </w:rPr>
      </w:pPr>
      <w:r>
        <w:rPr>
          <w:rFonts w:hint="eastAsia" w:ascii="宋体" w:hAnsi="宋体" w:cs="宋体"/>
          <w:b/>
          <w:kern w:val="0"/>
          <w:sz w:val="24"/>
        </w:rPr>
        <w:t>整合新建违法占用耕地监管整治场景。</w:t>
      </w:r>
      <w:r>
        <w:rPr>
          <w:spacing w:val="-4"/>
          <w:sz w:val="24"/>
        </w:rPr>
        <w:t>通过对省、市</w:t>
      </w:r>
      <w:r>
        <w:rPr>
          <w:rFonts w:eastAsia="Times New Roman"/>
          <w:spacing w:val="-4"/>
          <w:sz w:val="24"/>
        </w:rPr>
        <w:t>“</w:t>
      </w:r>
      <w:r>
        <w:rPr>
          <w:spacing w:val="-4"/>
          <w:sz w:val="24"/>
        </w:rPr>
        <w:t>耕地智保</w:t>
      </w:r>
      <w:r>
        <w:rPr>
          <w:spacing w:val="-82"/>
          <w:sz w:val="24"/>
        </w:rPr>
        <w:t xml:space="preserve"> </w:t>
      </w:r>
      <w:r>
        <w:rPr>
          <w:spacing w:val="-4"/>
          <w:sz w:val="24"/>
        </w:rPr>
        <w:t>”“天巡地查</w:t>
      </w:r>
      <w:r>
        <w:rPr>
          <w:spacing w:val="-80"/>
          <w:sz w:val="24"/>
        </w:rPr>
        <w:t xml:space="preserve"> </w:t>
      </w:r>
      <w:r>
        <w:rPr>
          <w:spacing w:val="-4"/>
          <w:sz w:val="24"/>
        </w:rPr>
        <w:t>”场景的对接，并为暂无应用支撑的违法处置信息提供数据管理端口，集</w:t>
      </w:r>
      <w:r>
        <w:rPr>
          <w:spacing w:val="-3"/>
          <w:sz w:val="24"/>
        </w:rPr>
        <w:t>成全市各类耕地违法信息。包括违法占用耕地数据在线归集接入、无平台支撑的违法占用耕地问题导入和更新、耕地违法问题统计分析和展示，助力实现违法问</w:t>
      </w:r>
      <w:r>
        <w:rPr>
          <w:spacing w:val="-1"/>
          <w:sz w:val="24"/>
        </w:rPr>
        <w:t>题整改销号闭环监测。</w:t>
      </w:r>
    </w:p>
    <w:p>
      <w:pPr>
        <w:spacing w:line="360" w:lineRule="auto"/>
        <w:ind w:firstLine="482" w:firstLineChars="200"/>
        <w:rPr>
          <w:rFonts w:ascii="宋体" w:hAnsi="宋体" w:cs="宋体"/>
          <w:kern w:val="0"/>
          <w:sz w:val="24"/>
        </w:rPr>
      </w:pPr>
      <w:r>
        <w:rPr>
          <w:rFonts w:hint="eastAsia" w:ascii="宋体" w:hAnsi="宋体" w:cs="宋体"/>
          <w:b/>
          <w:kern w:val="0"/>
          <w:sz w:val="24"/>
        </w:rPr>
        <w:t>迭代升级“三块地”动态监测场景。</w:t>
      </w:r>
      <w:r>
        <w:rPr>
          <w:spacing w:val="-3"/>
          <w:sz w:val="24"/>
        </w:rPr>
        <w:t>对现有“三块地</w:t>
      </w:r>
      <w:r>
        <w:rPr>
          <w:spacing w:val="-88"/>
          <w:sz w:val="24"/>
        </w:rPr>
        <w:t xml:space="preserve"> </w:t>
      </w:r>
      <w:r>
        <w:rPr>
          <w:spacing w:val="-3"/>
          <w:sz w:val="24"/>
        </w:rPr>
        <w:t>”动态监管系统进行提升改造，全面保障闲置土地处置工作的顺利推进及相关工作的开展。包括围绕批而未供处置监管，深化批而未供监管模块；聚焦加快闲置土地利用，深化</w:t>
      </w:r>
      <w:r>
        <w:rPr>
          <w:spacing w:val="-1"/>
          <w:sz w:val="24"/>
        </w:rPr>
        <w:t>闲置土地监管模块；围绕存量低效用地盘活利用</w:t>
      </w:r>
      <w:r>
        <w:rPr>
          <w:spacing w:val="-2"/>
          <w:sz w:val="24"/>
        </w:rPr>
        <w:t>，建设低效用地管理全链智治。</w:t>
      </w:r>
    </w:p>
    <w:p>
      <w:pPr>
        <w:spacing w:line="360" w:lineRule="auto"/>
        <w:ind w:firstLine="482" w:firstLineChars="200"/>
        <w:rPr>
          <w:rFonts w:ascii="宋体" w:hAnsi="宋体" w:cs="宋体"/>
          <w:b/>
          <w:sz w:val="24"/>
        </w:rPr>
      </w:pPr>
    </w:p>
    <w:p>
      <w:pPr>
        <w:snapToGrid w:val="0"/>
        <w:spacing w:line="360" w:lineRule="auto"/>
        <w:outlineLvl w:val="1"/>
        <w:rPr>
          <w:rFonts w:ascii="宋体" w:hAnsi="宋体" w:cs="宋体"/>
          <w:b/>
          <w:sz w:val="24"/>
        </w:rPr>
      </w:pPr>
      <w:r>
        <w:rPr>
          <w:rFonts w:hint="eastAsia" w:ascii="宋体" w:hAnsi="宋体" w:cs="宋体"/>
          <w:b/>
          <w:sz w:val="24"/>
        </w:rPr>
        <w:t>四、技术要求</w:t>
      </w:r>
    </w:p>
    <w:p>
      <w:pPr>
        <w:spacing w:line="360" w:lineRule="auto"/>
        <w:ind w:firstLine="479" w:firstLineChars="199"/>
        <w:outlineLvl w:val="2"/>
        <w:rPr>
          <w:rFonts w:ascii="宋体" w:hAnsi="宋体" w:cs="宋体"/>
          <w:b/>
          <w:bCs/>
          <w:kern w:val="0"/>
          <w:sz w:val="24"/>
        </w:rPr>
      </w:pPr>
      <w:r>
        <w:rPr>
          <w:rFonts w:hint="eastAsia" w:ascii="宋体" w:hAnsi="宋体" w:cs="宋体"/>
          <w:b/>
          <w:bCs/>
          <w:kern w:val="0"/>
          <w:sz w:val="24"/>
        </w:rPr>
        <w:t>4.1总体设计要求</w:t>
      </w:r>
    </w:p>
    <w:p>
      <w:pPr>
        <w:spacing w:line="360" w:lineRule="auto"/>
        <w:ind w:firstLine="479" w:firstLineChars="199"/>
        <w:outlineLvl w:val="3"/>
        <w:rPr>
          <w:rFonts w:ascii="宋体" w:hAnsi="宋体" w:cs="宋体"/>
          <w:b/>
          <w:bCs/>
          <w:kern w:val="0"/>
          <w:sz w:val="24"/>
        </w:rPr>
      </w:pPr>
      <w:r>
        <w:rPr>
          <w:rFonts w:hint="eastAsia" w:ascii="宋体" w:hAnsi="宋体" w:cs="宋体"/>
          <w:b/>
          <w:bCs/>
          <w:kern w:val="0"/>
          <w:sz w:val="24"/>
        </w:rPr>
        <w:t>4.1.1技术框架要求</w:t>
      </w:r>
    </w:p>
    <w:p>
      <w:pPr>
        <w:spacing w:line="360" w:lineRule="auto"/>
        <w:ind w:firstLine="480" w:firstLineChars="200"/>
        <w:rPr>
          <w:rFonts w:ascii="宋体" w:hAnsi="宋体" w:cs="宋体"/>
          <w:sz w:val="24"/>
        </w:rPr>
      </w:pPr>
      <w:r>
        <w:rPr>
          <w:rFonts w:hint="eastAsia" w:ascii="宋体" w:hAnsi="宋体" w:cs="宋体"/>
          <w:sz w:val="24"/>
        </w:rPr>
        <w:t>为了保障整个项目的技术稳定性、先进</w:t>
      </w:r>
      <w:r>
        <w:rPr>
          <w:rFonts w:hint="eastAsia" w:ascii="宋体" w:hAnsi="宋体" w:cs="宋体"/>
          <w:sz w:val="24"/>
          <w:lang w:val="en-US" w:eastAsia="zh-CN"/>
        </w:rPr>
        <w:t>性</w:t>
      </w:r>
      <w:r>
        <w:rPr>
          <w:rFonts w:hint="eastAsia" w:ascii="宋体" w:hAnsi="宋体" w:cs="宋体"/>
          <w:sz w:val="24"/>
        </w:rPr>
        <w:t>、可扩展性，使系统具有足够成熟度和易用性，提供可靠、全面的服务，本项目建设的总体技术框架，主要要求体现在以下方面：</w:t>
      </w:r>
    </w:p>
    <w:p>
      <w:pPr>
        <w:spacing w:line="360" w:lineRule="auto"/>
        <w:ind w:firstLine="480" w:firstLineChars="200"/>
        <w:rPr>
          <w:rFonts w:ascii="宋体" w:hAnsi="宋体" w:cs="宋体"/>
          <w:sz w:val="24"/>
        </w:rPr>
      </w:pPr>
      <w:r>
        <w:rPr>
          <w:rFonts w:hint="eastAsia" w:ascii="宋体" w:hAnsi="宋体" w:cs="宋体"/>
          <w:sz w:val="24"/>
        </w:rPr>
        <w:t>4.1.1.1系统开发模式——采用新一代企业级应用系统建立在“软件基础架构平台＋业务基础平台”的应用开发维护模式，从根本上提升软件的开发、维护效率。</w:t>
      </w:r>
    </w:p>
    <w:p>
      <w:pPr>
        <w:spacing w:line="360" w:lineRule="auto"/>
        <w:ind w:firstLine="480" w:firstLineChars="200"/>
        <w:rPr>
          <w:rFonts w:ascii="宋体" w:hAnsi="宋体" w:cs="宋体"/>
          <w:sz w:val="24"/>
        </w:rPr>
      </w:pPr>
      <w:r>
        <w:rPr>
          <w:rFonts w:hint="eastAsia" w:ascii="宋体" w:hAnsi="宋体" w:cs="宋体"/>
          <w:sz w:val="24"/>
        </w:rPr>
        <w:t>4.1.1.2系统运行模式——为适应系统的分布式部署和便捷维护，系统应采用B/S为主的运行模式，为各类用户提供便捷、可靠的应用支持。</w:t>
      </w:r>
    </w:p>
    <w:p>
      <w:pPr>
        <w:spacing w:line="360" w:lineRule="auto"/>
        <w:ind w:firstLine="480" w:firstLineChars="200"/>
        <w:rPr>
          <w:rFonts w:ascii="宋体" w:hAnsi="宋体" w:cs="宋体"/>
          <w:sz w:val="24"/>
        </w:rPr>
      </w:pPr>
      <w:r>
        <w:rPr>
          <w:rFonts w:hint="eastAsia" w:ascii="宋体" w:hAnsi="宋体" w:cs="宋体"/>
          <w:sz w:val="24"/>
        </w:rPr>
        <w:t>4.1.1.3数据服务模式——数据资源的存储、管理和应用应采用“统一存储、统一服务”的模式。</w:t>
      </w:r>
    </w:p>
    <w:p>
      <w:pPr>
        <w:spacing w:line="360" w:lineRule="auto"/>
        <w:ind w:firstLine="480" w:firstLineChars="200"/>
        <w:rPr>
          <w:rFonts w:ascii="宋体" w:hAnsi="宋体" w:cs="宋体"/>
          <w:sz w:val="24"/>
        </w:rPr>
      </w:pPr>
      <w:r>
        <w:rPr>
          <w:rFonts w:hint="eastAsia" w:ascii="宋体" w:hAnsi="宋体" w:cs="宋体"/>
          <w:sz w:val="24"/>
        </w:rPr>
        <w:t>4.1.1.4系统兼容模式——支持信创设备的适配和兼容。</w:t>
      </w:r>
    </w:p>
    <w:p>
      <w:pPr>
        <w:spacing w:line="360" w:lineRule="auto"/>
        <w:ind w:firstLine="479" w:firstLineChars="199"/>
        <w:outlineLvl w:val="3"/>
        <w:rPr>
          <w:rFonts w:ascii="宋体" w:hAnsi="宋体" w:cs="宋体"/>
          <w:b/>
          <w:bCs/>
          <w:kern w:val="0"/>
          <w:sz w:val="24"/>
        </w:rPr>
      </w:pPr>
      <w:r>
        <w:rPr>
          <w:rFonts w:hint="eastAsia" w:ascii="宋体" w:hAnsi="宋体" w:cs="宋体"/>
          <w:b/>
          <w:bCs/>
          <w:kern w:val="0"/>
          <w:sz w:val="24"/>
        </w:rPr>
        <w:t>4.1.2关键技术要求</w:t>
      </w:r>
    </w:p>
    <w:p>
      <w:pPr>
        <w:spacing w:line="360" w:lineRule="auto"/>
        <w:ind w:firstLine="480" w:firstLineChars="200"/>
        <w:rPr>
          <w:rFonts w:ascii="宋体" w:hAnsi="宋体" w:cs="宋体"/>
          <w:sz w:val="24"/>
        </w:rPr>
      </w:pPr>
      <w:r>
        <w:rPr>
          <w:rFonts w:hint="eastAsia" w:ascii="宋体" w:hAnsi="宋体" w:cs="宋体"/>
          <w:sz w:val="24"/>
        </w:rPr>
        <w:t>为保障项目成果的先进性、高效性和稳定性，项目实施须满足以下关键技术要求：</w:t>
      </w:r>
    </w:p>
    <w:p>
      <w:pPr>
        <w:spacing w:line="360" w:lineRule="auto"/>
        <w:ind w:firstLine="480" w:firstLineChars="200"/>
        <w:rPr>
          <w:rFonts w:ascii="宋体" w:hAnsi="宋体" w:cs="宋体"/>
          <w:sz w:val="24"/>
        </w:rPr>
      </w:pPr>
      <w:r>
        <w:rPr>
          <w:rFonts w:hint="eastAsia" w:ascii="宋体" w:hAnsi="宋体" w:cs="宋体"/>
          <w:sz w:val="24"/>
        </w:rPr>
        <w:t>4.1.2.1采用国产自主可控的二三维地理信息基础软件。</w:t>
      </w:r>
    </w:p>
    <w:p>
      <w:pPr>
        <w:spacing w:line="360" w:lineRule="auto"/>
        <w:ind w:firstLine="480" w:firstLineChars="200"/>
        <w:rPr>
          <w:rFonts w:ascii="宋体" w:hAnsi="宋体" w:cs="宋体"/>
          <w:sz w:val="24"/>
        </w:rPr>
      </w:pPr>
      <w:r>
        <w:rPr>
          <w:rFonts w:hint="eastAsia" w:ascii="宋体" w:hAnsi="宋体" w:cs="宋体"/>
          <w:sz w:val="24"/>
        </w:rPr>
        <w:t>4.1.2.2平台的服务器软件及各客户端应用最大限度对信创设备进行适配和兼容。</w:t>
      </w:r>
    </w:p>
    <w:p>
      <w:pPr>
        <w:spacing w:line="360" w:lineRule="auto"/>
        <w:ind w:firstLine="480" w:firstLineChars="200"/>
        <w:rPr>
          <w:rFonts w:ascii="宋体" w:hAnsi="宋体" w:cs="宋体"/>
          <w:sz w:val="24"/>
        </w:rPr>
      </w:pPr>
      <w:r>
        <w:rPr>
          <w:rFonts w:hint="eastAsia" w:ascii="宋体" w:hAnsi="宋体" w:cs="宋体"/>
          <w:sz w:val="24"/>
        </w:rPr>
        <w:t>4.1.2.3为满足跨部门、多层级、端到端的业务流程管理需求，应采取合理的业务流程管理相关技术，实现业务流程全生命周期管理。</w:t>
      </w:r>
    </w:p>
    <w:p>
      <w:pPr>
        <w:spacing w:line="360" w:lineRule="auto"/>
        <w:ind w:firstLine="480" w:firstLineChars="200"/>
        <w:rPr>
          <w:rFonts w:ascii="宋体" w:hAnsi="宋体" w:cs="宋体"/>
          <w:sz w:val="24"/>
        </w:rPr>
      </w:pPr>
      <w:r>
        <w:rPr>
          <w:rFonts w:hint="eastAsia" w:ascii="宋体" w:hAnsi="宋体" w:cs="宋体"/>
          <w:sz w:val="24"/>
        </w:rPr>
        <w:t>4.1.2.4为保障数据安全，应采取合理的分级权限管理技术实现对不同级别资料的分级权限控制。</w:t>
      </w:r>
    </w:p>
    <w:p>
      <w:pPr>
        <w:spacing w:line="360" w:lineRule="auto"/>
        <w:ind w:firstLine="480" w:firstLineChars="200"/>
        <w:rPr>
          <w:rFonts w:ascii="宋体" w:hAnsi="宋体" w:cs="宋体"/>
          <w:sz w:val="24"/>
        </w:rPr>
      </w:pPr>
      <w:r>
        <w:rPr>
          <w:rFonts w:hint="eastAsia" w:ascii="宋体" w:hAnsi="宋体" w:cs="宋体"/>
          <w:sz w:val="24"/>
        </w:rPr>
        <w:t>4.1.2.5要求对系统涉及的图形、图片、文件等海量非结构化数据按照高速存取、高扩展性的技术要求进行存储架构设计。</w:t>
      </w:r>
    </w:p>
    <w:p>
      <w:pPr>
        <w:spacing w:line="360" w:lineRule="auto"/>
        <w:ind w:firstLine="480" w:firstLineChars="200"/>
        <w:rPr>
          <w:rFonts w:ascii="宋体" w:hAnsi="宋体" w:cs="宋体"/>
          <w:sz w:val="24"/>
        </w:rPr>
      </w:pPr>
      <w:r>
        <w:rPr>
          <w:rFonts w:hint="eastAsia" w:ascii="宋体" w:hAnsi="宋体" w:cs="宋体"/>
          <w:sz w:val="24"/>
        </w:rPr>
        <w:t>4.1.2.6确保平台具备良好的交互体验。</w:t>
      </w:r>
    </w:p>
    <w:p>
      <w:pPr>
        <w:spacing w:line="360" w:lineRule="auto"/>
        <w:ind w:firstLine="480" w:firstLineChars="200"/>
        <w:rPr>
          <w:rFonts w:ascii="宋体" w:hAnsi="宋体" w:cs="宋体"/>
          <w:sz w:val="24"/>
        </w:rPr>
      </w:pPr>
      <w:r>
        <w:rPr>
          <w:rFonts w:hint="eastAsia" w:ascii="宋体" w:hAnsi="宋体" w:cs="宋体"/>
          <w:sz w:val="24"/>
        </w:rPr>
        <w:t>4.1.2.7要求采取合适的技术实现路径，可根据具体应用场景构造适合的服务体系，既要具备降低系统的复杂度和耦合度，又要提升组件的内聚性、敏捷性，提升服务的响应效率和能力，使系统能以较低成本保持高可用性。</w:t>
      </w:r>
    </w:p>
    <w:p>
      <w:pPr>
        <w:spacing w:line="360" w:lineRule="auto"/>
        <w:ind w:firstLine="479" w:firstLineChars="199"/>
        <w:outlineLvl w:val="3"/>
        <w:rPr>
          <w:rFonts w:ascii="宋体" w:hAnsi="宋体" w:cs="宋体"/>
          <w:b/>
          <w:bCs/>
          <w:kern w:val="0"/>
          <w:sz w:val="24"/>
        </w:rPr>
      </w:pPr>
      <w:r>
        <w:rPr>
          <w:rFonts w:hint="eastAsia" w:ascii="宋体" w:hAnsi="宋体" w:cs="宋体"/>
          <w:b/>
          <w:bCs/>
          <w:kern w:val="0"/>
          <w:sz w:val="24"/>
        </w:rPr>
        <w:t>4.1.3系统性能要求</w:t>
      </w:r>
    </w:p>
    <w:p>
      <w:pPr>
        <w:spacing w:line="360" w:lineRule="auto"/>
        <w:ind w:firstLine="480" w:firstLineChars="200"/>
        <w:rPr>
          <w:rFonts w:ascii="宋体" w:hAnsi="宋体" w:cs="宋体"/>
          <w:sz w:val="24"/>
        </w:rPr>
      </w:pPr>
      <w:r>
        <w:rPr>
          <w:rFonts w:hint="eastAsia" w:ascii="宋体" w:hAnsi="宋体" w:cs="宋体"/>
          <w:sz w:val="24"/>
        </w:rPr>
        <w:t>4.1.3.1在信创环境下，平台应最少需支持800人并发，平台的登录时间在标准配置下应运行流畅、稳定；</w:t>
      </w:r>
    </w:p>
    <w:p>
      <w:pPr>
        <w:spacing w:line="360" w:lineRule="auto"/>
        <w:ind w:firstLine="480" w:firstLineChars="200"/>
        <w:rPr>
          <w:rFonts w:ascii="宋体" w:hAnsi="宋体" w:cs="宋体"/>
          <w:sz w:val="24"/>
        </w:rPr>
      </w:pPr>
      <w:r>
        <w:rPr>
          <w:rFonts w:hint="eastAsia" w:ascii="宋体" w:hAnsi="宋体" w:cs="宋体"/>
          <w:sz w:val="24"/>
        </w:rPr>
        <w:t>4.1.3.2具有大数据量的处理能力，能满足单表上万条记录的信息处理能力；</w:t>
      </w:r>
    </w:p>
    <w:p>
      <w:pPr>
        <w:spacing w:line="360" w:lineRule="auto"/>
        <w:ind w:firstLine="480" w:firstLineChars="200"/>
        <w:rPr>
          <w:rFonts w:ascii="宋体" w:hAnsi="宋体" w:cs="宋体"/>
          <w:sz w:val="24"/>
        </w:rPr>
      </w:pPr>
      <w:r>
        <w:rPr>
          <w:rFonts w:hint="eastAsia" w:ascii="宋体" w:hAnsi="宋体" w:cs="宋体"/>
          <w:sz w:val="24"/>
        </w:rPr>
        <w:t>4.1.3.3对于查询作业响应时间通常控制在3-5秒；</w:t>
      </w:r>
    </w:p>
    <w:p>
      <w:pPr>
        <w:spacing w:line="360" w:lineRule="auto"/>
        <w:ind w:firstLine="480" w:firstLineChars="200"/>
        <w:rPr>
          <w:rFonts w:ascii="宋体" w:hAnsi="宋体" w:cs="宋体"/>
          <w:sz w:val="24"/>
        </w:rPr>
      </w:pPr>
      <w:r>
        <w:rPr>
          <w:rFonts w:hint="eastAsia" w:ascii="宋体" w:hAnsi="宋体" w:cs="宋体"/>
          <w:sz w:val="24"/>
        </w:rPr>
        <w:t>4.1.3.4单条记录更新或写入时，作业响应时间不超过5秒；</w:t>
      </w:r>
    </w:p>
    <w:p>
      <w:pPr>
        <w:spacing w:line="360" w:lineRule="auto"/>
        <w:ind w:firstLine="480" w:firstLineChars="200"/>
        <w:rPr>
          <w:rFonts w:ascii="宋体" w:hAnsi="宋体" w:cs="宋体"/>
          <w:sz w:val="24"/>
        </w:rPr>
      </w:pPr>
      <w:r>
        <w:rPr>
          <w:rFonts w:hint="eastAsia" w:ascii="宋体" w:hAnsi="宋体" w:cs="宋体"/>
          <w:sz w:val="24"/>
        </w:rPr>
        <w:t>4.1.3.5平台应具有较好的健壮性，能容忍非法输入数据、相关软件或硬件组成部分的缺陷或发生异常的情况，能保持继续正常运行；</w:t>
      </w:r>
    </w:p>
    <w:p>
      <w:pPr>
        <w:spacing w:line="360" w:lineRule="auto"/>
        <w:ind w:firstLine="480" w:firstLineChars="200"/>
        <w:rPr>
          <w:rFonts w:ascii="宋体" w:hAnsi="宋体" w:cs="宋体"/>
          <w:sz w:val="24"/>
        </w:rPr>
      </w:pPr>
      <w:r>
        <w:rPr>
          <w:rFonts w:hint="eastAsia" w:ascii="宋体" w:hAnsi="宋体" w:cs="宋体"/>
          <w:sz w:val="24"/>
        </w:rPr>
        <w:t>4.1.3.6 7*24小时连续运行，年平均故障不超过5天，系统修复时间不超过3小时；</w:t>
      </w:r>
    </w:p>
    <w:p>
      <w:pPr>
        <w:spacing w:line="360" w:lineRule="auto"/>
        <w:ind w:firstLine="480" w:firstLineChars="200"/>
        <w:rPr>
          <w:rFonts w:ascii="宋体" w:hAnsi="宋体" w:cs="宋体"/>
          <w:sz w:val="24"/>
        </w:rPr>
      </w:pPr>
      <w:r>
        <w:rPr>
          <w:rFonts w:hint="eastAsia" w:ascii="宋体" w:hAnsi="宋体" w:cs="宋体"/>
          <w:sz w:val="24"/>
        </w:rPr>
        <w:t>4.1.3.7具有友好的操作界面和管理界面。</w:t>
      </w:r>
    </w:p>
    <w:p>
      <w:pPr>
        <w:spacing w:line="360" w:lineRule="auto"/>
        <w:ind w:firstLine="479" w:firstLineChars="199"/>
        <w:outlineLvl w:val="3"/>
        <w:rPr>
          <w:rFonts w:ascii="宋体" w:hAnsi="宋体" w:cs="宋体"/>
          <w:b/>
          <w:bCs/>
          <w:kern w:val="0"/>
          <w:sz w:val="24"/>
        </w:rPr>
      </w:pPr>
      <w:r>
        <w:rPr>
          <w:rFonts w:hint="eastAsia" w:ascii="宋体" w:hAnsi="宋体" w:cs="宋体"/>
          <w:b/>
          <w:bCs/>
          <w:kern w:val="0"/>
          <w:sz w:val="24"/>
        </w:rPr>
        <w:t>4.1.4安全性要求</w:t>
      </w:r>
    </w:p>
    <w:p>
      <w:pPr>
        <w:spacing w:line="360" w:lineRule="auto"/>
        <w:ind w:firstLine="480" w:firstLineChars="200"/>
        <w:rPr>
          <w:rFonts w:ascii="宋体" w:hAnsi="宋体" w:cs="宋体"/>
          <w:sz w:val="24"/>
        </w:rPr>
      </w:pPr>
      <w:r>
        <w:rPr>
          <w:rFonts w:hint="eastAsia" w:ascii="宋体" w:hAnsi="宋体" w:cs="宋体"/>
          <w:sz w:val="24"/>
        </w:rPr>
        <w:t>供应商需结合国家涉密网建设和系统安全的相关法规和文件，本着可实施性、可管理性、安全完备性、可扩展性和专业性原则，提供系统安全保障体系设计，并提供数据备份、恢复等技术措施。此部分内容应包括：物理安全、网络安全、系统安全、应用安全、安全管理机制等。</w:t>
      </w:r>
    </w:p>
    <w:p>
      <w:pPr>
        <w:spacing w:line="360" w:lineRule="auto"/>
        <w:ind w:firstLine="480" w:firstLineChars="200"/>
        <w:rPr>
          <w:rFonts w:ascii="宋体" w:hAnsi="宋体" w:cs="宋体"/>
          <w:sz w:val="24"/>
        </w:rPr>
      </w:pPr>
      <w:r>
        <w:rPr>
          <w:rFonts w:hint="eastAsia" w:ascii="宋体" w:hAnsi="宋体" w:cs="宋体"/>
          <w:sz w:val="24"/>
        </w:rPr>
        <w:t>本标项不包含信息安全等级保护测评和密码测评等工作，但本标项实施必须同时满足信息安全等级保护、密码测评和信创运行环境的要求。当本标项实施完成后，由甲方指定具有资质的机构完成信息安全等级保护和密码测评，供应商应配合完成相关的工作。</w:t>
      </w:r>
    </w:p>
    <w:p>
      <w:pPr>
        <w:spacing w:line="360" w:lineRule="auto"/>
        <w:ind w:firstLine="482" w:firstLineChars="200"/>
        <w:outlineLvl w:val="2"/>
        <w:rPr>
          <w:rFonts w:ascii="宋体" w:hAnsi="宋体" w:cs="宋体"/>
          <w:b/>
          <w:bCs/>
          <w:kern w:val="0"/>
          <w:sz w:val="24"/>
        </w:rPr>
      </w:pPr>
      <w:bookmarkStart w:id="27" w:name="_Hlk136778846"/>
      <w:r>
        <w:rPr>
          <w:rFonts w:hint="eastAsia" w:ascii="宋体" w:hAnsi="宋体" w:cs="宋体"/>
          <w:b/>
          <w:bCs/>
          <w:kern w:val="0"/>
          <w:sz w:val="24"/>
        </w:rPr>
        <w:t>4.2应用系统建设要求</w:t>
      </w:r>
    </w:p>
    <w:p>
      <w:pPr>
        <w:spacing w:line="360" w:lineRule="auto"/>
        <w:ind w:firstLine="479" w:firstLineChars="199"/>
        <w:outlineLvl w:val="3"/>
        <w:rPr>
          <w:rFonts w:ascii="宋体" w:hAnsi="宋体" w:cs="宋体"/>
          <w:b/>
          <w:bCs/>
          <w:kern w:val="0"/>
          <w:sz w:val="24"/>
        </w:rPr>
      </w:pPr>
      <w:r>
        <w:rPr>
          <w:rFonts w:hint="eastAsia" w:ascii="宋体" w:hAnsi="宋体" w:cs="宋体"/>
          <w:b/>
          <w:bCs/>
          <w:kern w:val="0"/>
          <w:sz w:val="24"/>
        </w:rPr>
        <w:t>4.2.1新建土地整治项目管理应用场景</w:t>
      </w:r>
    </w:p>
    <w:p>
      <w:pPr>
        <w:spacing w:line="360" w:lineRule="auto"/>
        <w:ind w:firstLine="482" w:firstLineChars="200"/>
        <w:outlineLvl w:val="4"/>
        <w:rPr>
          <w:rFonts w:ascii="宋体" w:hAnsi="宋体" w:cs="宋体"/>
          <w:b/>
          <w:bCs/>
          <w:sz w:val="24"/>
        </w:rPr>
      </w:pPr>
      <w:r>
        <w:rPr>
          <w:rFonts w:hint="eastAsia" w:ascii="宋体" w:hAnsi="宋体" w:cs="宋体"/>
          <w:b/>
          <w:bCs/>
          <w:sz w:val="24"/>
        </w:rPr>
        <w:t>4.2.1.1 高质量补充耕地全量底板</w:t>
      </w:r>
    </w:p>
    <w:p>
      <w:pPr>
        <w:spacing w:line="360" w:lineRule="auto"/>
        <w:ind w:firstLine="480" w:firstLineChars="200"/>
        <w:rPr>
          <w:rFonts w:ascii="宋体" w:hAnsi="宋体" w:cs="宋体"/>
          <w:sz w:val="24"/>
        </w:rPr>
      </w:pPr>
      <w:r>
        <w:rPr>
          <w:rFonts w:hint="eastAsia" w:ascii="宋体" w:hAnsi="宋体" w:cs="宋体"/>
          <w:sz w:val="24"/>
        </w:rPr>
        <w:t>（1）资源要素模块</w:t>
      </w:r>
    </w:p>
    <w:p>
      <w:pPr>
        <w:spacing w:line="360" w:lineRule="auto"/>
        <w:ind w:firstLine="480" w:firstLineChars="200"/>
        <w:rPr>
          <w:rFonts w:ascii="宋体" w:hAnsi="宋体" w:cs="宋体"/>
          <w:sz w:val="24"/>
        </w:rPr>
      </w:pPr>
      <w:r>
        <w:rPr>
          <w:rFonts w:hint="eastAsia" w:ascii="宋体" w:hAnsi="宋体" w:cs="宋体"/>
          <w:sz w:val="24"/>
        </w:rPr>
        <w:t>垦造耕地后备资源、旱改水后备资源、建设用地复垦后备资源、耕地质量提升后备资源、耕地恢复补充后备资源、林耕布局优化后备资源六类后备资源要素全部纳入管理，根据土地整治项目的立项、验收进度动态更新，进一步厘清底数、夯实底图、打造全域空间一张网，为土地整治项目管理提供支撑。</w:t>
      </w:r>
    </w:p>
    <w:p>
      <w:pPr>
        <w:spacing w:line="360" w:lineRule="auto"/>
        <w:ind w:firstLine="480" w:firstLineChars="200"/>
        <w:rPr>
          <w:rFonts w:ascii="宋体" w:hAnsi="宋体" w:cs="宋体"/>
          <w:sz w:val="24"/>
        </w:rPr>
      </w:pPr>
      <w:r>
        <w:rPr>
          <w:rFonts w:hint="eastAsia" w:ascii="宋体" w:hAnsi="宋体" w:cs="宋体"/>
          <w:sz w:val="24"/>
        </w:rPr>
        <w:t>（2）整治项目模块</w:t>
      </w:r>
    </w:p>
    <w:p>
      <w:pPr>
        <w:spacing w:line="360" w:lineRule="auto"/>
        <w:ind w:firstLine="480" w:firstLineChars="200"/>
        <w:rPr>
          <w:rFonts w:ascii="宋体" w:hAnsi="宋体" w:cs="宋体"/>
          <w:sz w:val="24"/>
        </w:rPr>
      </w:pPr>
      <w:r>
        <w:rPr>
          <w:rFonts w:hint="eastAsia" w:ascii="宋体" w:hAnsi="宋体" w:cs="宋体"/>
          <w:sz w:val="24"/>
        </w:rPr>
        <w:t>将涉及六类后备资源要素的土地整治项目全数纳入场景进行管控，一表展示各类项目处于立项、实施、验收、管护阶段的数量，一图展示全市各类项目的空间分布；以时间轴串联项目的全生命周期，为项目管理提供直观展示和科学管理手段。</w:t>
      </w:r>
    </w:p>
    <w:p>
      <w:pPr>
        <w:spacing w:line="360" w:lineRule="auto"/>
        <w:ind w:firstLine="482" w:firstLineChars="200"/>
        <w:outlineLvl w:val="4"/>
        <w:rPr>
          <w:rFonts w:ascii="宋体" w:hAnsi="宋体" w:cs="宋体"/>
          <w:b/>
          <w:bCs/>
          <w:sz w:val="24"/>
        </w:rPr>
      </w:pPr>
      <w:r>
        <w:rPr>
          <w:rFonts w:hint="eastAsia" w:ascii="宋体" w:hAnsi="宋体" w:cs="宋体"/>
          <w:b/>
          <w:bCs/>
          <w:sz w:val="24"/>
        </w:rPr>
        <w:t>4.2.1.2 土地整治项目全过程监管</w:t>
      </w:r>
    </w:p>
    <w:p>
      <w:pPr>
        <w:spacing w:line="360" w:lineRule="auto"/>
        <w:ind w:firstLine="480" w:firstLineChars="200"/>
        <w:rPr>
          <w:rFonts w:ascii="宋体" w:hAnsi="宋体" w:cs="宋体"/>
          <w:sz w:val="24"/>
        </w:rPr>
      </w:pPr>
      <w:r>
        <w:rPr>
          <w:rFonts w:hint="eastAsia" w:ascii="宋体" w:hAnsi="宋体" w:cs="宋体"/>
          <w:sz w:val="24"/>
        </w:rPr>
        <w:t>（1）全过程监管</w:t>
      </w:r>
    </w:p>
    <w:p>
      <w:pPr>
        <w:spacing w:line="360" w:lineRule="auto"/>
        <w:ind w:firstLine="480" w:firstLineChars="200"/>
        <w:rPr>
          <w:rFonts w:ascii="宋体" w:hAnsi="宋体" w:cs="宋体"/>
          <w:sz w:val="24"/>
        </w:rPr>
      </w:pPr>
      <w:r>
        <w:rPr>
          <w:rFonts w:hint="eastAsia" w:ascii="宋体" w:hAnsi="宋体" w:cs="宋体"/>
          <w:sz w:val="24"/>
        </w:rPr>
        <w:t>围绕高质量补充耕地，建立涵盖项目（选址）立项申报管理、项目实施监督、区级验收管理、省市复核及后续管护的全过程数字化监管机制与应用，搭建垦造项目全生命周期管理轴。</w:t>
      </w:r>
    </w:p>
    <w:p>
      <w:pPr>
        <w:spacing w:line="360" w:lineRule="auto"/>
        <w:rPr>
          <w:rFonts w:ascii="宋体" w:hAnsi="宋体" w:cs="宋体"/>
          <w:sz w:val="24"/>
        </w:rPr>
      </w:pPr>
      <w:r>
        <w:rPr>
          <w:rFonts w:hint="eastAsia" w:ascii="宋体" w:hAnsi="宋体" w:cs="宋体"/>
          <w:sz w:val="24"/>
        </w:rPr>
        <w:t xml:space="preserve">    （2）百千万项目关联</w:t>
      </w:r>
    </w:p>
    <w:p>
      <w:pPr>
        <w:spacing w:line="360" w:lineRule="auto"/>
        <w:ind w:firstLine="480" w:firstLineChars="200"/>
        <w:rPr>
          <w:rFonts w:ascii="宋体" w:hAnsi="宋体" w:cs="宋体"/>
          <w:sz w:val="24"/>
        </w:rPr>
      </w:pPr>
      <w:r>
        <w:rPr>
          <w:rFonts w:hint="eastAsia" w:ascii="宋体" w:hAnsi="宋体" w:cs="宋体"/>
          <w:sz w:val="24"/>
        </w:rPr>
        <w:t>建立百千万项目模块，对百千万项目进行录入管理，支持百千万项目与普通土地整治项目的关联。</w:t>
      </w:r>
    </w:p>
    <w:p>
      <w:pPr>
        <w:spacing w:line="360" w:lineRule="auto"/>
        <w:ind w:firstLine="480" w:firstLineChars="200"/>
        <w:rPr>
          <w:rFonts w:ascii="宋体" w:hAnsi="宋体" w:cs="宋体"/>
          <w:sz w:val="24"/>
        </w:rPr>
      </w:pPr>
      <w:r>
        <w:rPr>
          <w:rFonts w:hint="eastAsia" w:ascii="宋体" w:hAnsi="宋体" w:cs="宋体"/>
          <w:sz w:val="24"/>
        </w:rPr>
        <w:t>（3）土地综合整治项目关联</w:t>
      </w:r>
    </w:p>
    <w:p>
      <w:pPr>
        <w:spacing w:line="360" w:lineRule="auto"/>
        <w:ind w:firstLine="480" w:firstLineChars="200"/>
        <w:rPr>
          <w:rFonts w:ascii="宋体" w:hAnsi="宋体" w:cs="宋体"/>
          <w:sz w:val="24"/>
        </w:rPr>
      </w:pPr>
      <w:r>
        <w:rPr>
          <w:rFonts w:hint="eastAsia" w:ascii="宋体" w:hAnsi="宋体" w:cs="宋体"/>
          <w:sz w:val="24"/>
        </w:rPr>
        <w:t>打通场景与土地综合整治系统的对接接口，推送项目信息到土地综合整治系统，接收土地综合整治系统推送的项目和子项目关联信息，纳入项目详情进行展示利用。</w:t>
      </w:r>
    </w:p>
    <w:p>
      <w:pPr>
        <w:spacing w:line="360" w:lineRule="auto"/>
        <w:ind w:firstLine="480" w:firstLineChars="200"/>
        <w:rPr>
          <w:rFonts w:ascii="宋体" w:hAnsi="宋体" w:cs="宋体"/>
          <w:sz w:val="24"/>
        </w:rPr>
      </w:pPr>
      <w:r>
        <w:rPr>
          <w:rFonts w:hint="eastAsia" w:ascii="宋体" w:hAnsi="宋体" w:cs="宋体"/>
          <w:sz w:val="24"/>
        </w:rPr>
        <w:t>（4）智能预警建立预警模块，对超期问题进行短信提醒和预警，自动监测项目超期未开工、信息未上报、进度未上报、超期未验收等情况，生成预警信息，给责任人发送短信提醒；在区、县监管部门检查实施、验收、管护期照片时，对发现的问题进行手动预警；预警问题消除时，自动消除预警信息，辅助监管土地整治项目进度和质量。</w:t>
      </w:r>
    </w:p>
    <w:p>
      <w:pPr>
        <w:spacing w:line="360" w:lineRule="auto"/>
        <w:ind w:firstLine="480" w:firstLineChars="200"/>
        <w:rPr>
          <w:rFonts w:ascii="宋体" w:hAnsi="宋体" w:cs="宋体"/>
          <w:sz w:val="24"/>
        </w:rPr>
      </w:pPr>
      <w:r>
        <w:rPr>
          <w:rFonts w:hint="eastAsia" w:ascii="宋体" w:hAnsi="宋体" w:cs="宋体"/>
          <w:sz w:val="24"/>
        </w:rPr>
        <w:t>（5）短信管理</w:t>
      </w:r>
    </w:p>
    <w:p>
      <w:pPr>
        <w:spacing w:line="360" w:lineRule="auto"/>
        <w:ind w:firstLine="480" w:firstLineChars="200"/>
        <w:rPr>
          <w:rFonts w:ascii="宋体" w:hAnsi="宋体" w:cs="宋体"/>
          <w:sz w:val="24"/>
        </w:rPr>
      </w:pPr>
      <w:r>
        <w:rPr>
          <w:rFonts w:hint="eastAsia" w:ascii="宋体" w:hAnsi="宋体" w:cs="宋体"/>
          <w:sz w:val="24"/>
        </w:rPr>
        <w:t>对已发送的预警、提醒短信进行管理，便于查阅追踪。</w:t>
      </w:r>
    </w:p>
    <w:p>
      <w:pPr>
        <w:spacing w:line="360" w:lineRule="auto"/>
        <w:ind w:firstLine="480" w:firstLineChars="200"/>
        <w:rPr>
          <w:rFonts w:ascii="宋体" w:hAnsi="宋体" w:cs="宋体"/>
          <w:sz w:val="24"/>
        </w:rPr>
      </w:pPr>
      <w:r>
        <w:rPr>
          <w:rFonts w:hint="eastAsia" w:ascii="宋体" w:hAnsi="宋体" w:cs="宋体"/>
          <w:sz w:val="24"/>
        </w:rPr>
        <w:t>（6）照片待阅和已阅</w:t>
      </w:r>
    </w:p>
    <w:p>
      <w:pPr>
        <w:spacing w:line="360" w:lineRule="auto"/>
        <w:ind w:firstLine="480" w:firstLineChars="200"/>
        <w:rPr>
          <w:rFonts w:ascii="宋体" w:hAnsi="宋体" w:cs="宋体"/>
          <w:sz w:val="24"/>
        </w:rPr>
      </w:pPr>
      <w:r>
        <w:rPr>
          <w:rFonts w:hint="eastAsia" w:ascii="宋体" w:hAnsi="宋体" w:cs="宋体"/>
          <w:sz w:val="24"/>
        </w:rPr>
        <w:t>将基层通过移动端提交的照片纳入照片待阅箱，并向审核人员发送短信提醒；照片审核后，纳入已阅箱。</w:t>
      </w:r>
    </w:p>
    <w:p>
      <w:pPr>
        <w:spacing w:line="360" w:lineRule="auto"/>
        <w:ind w:firstLine="482" w:firstLineChars="200"/>
        <w:outlineLvl w:val="4"/>
        <w:rPr>
          <w:rFonts w:ascii="宋体" w:hAnsi="宋体" w:cs="宋体"/>
          <w:b/>
          <w:bCs/>
          <w:sz w:val="24"/>
        </w:rPr>
      </w:pPr>
      <w:r>
        <w:rPr>
          <w:rFonts w:hint="eastAsia" w:ascii="宋体" w:hAnsi="宋体" w:cs="宋体"/>
          <w:b/>
          <w:bCs/>
          <w:sz w:val="24"/>
        </w:rPr>
        <w:t>4.2.1.3 项目选址智能内业分析</w:t>
      </w:r>
    </w:p>
    <w:p>
      <w:pPr>
        <w:spacing w:line="360" w:lineRule="auto"/>
        <w:ind w:firstLine="480" w:firstLineChars="200"/>
        <w:rPr>
          <w:rFonts w:ascii="宋体" w:hAnsi="宋体" w:cs="宋体"/>
          <w:sz w:val="24"/>
        </w:rPr>
      </w:pPr>
      <w:r>
        <w:rPr>
          <w:rFonts w:hint="eastAsia" w:ascii="宋体" w:hAnsi="宋体" w:cs="宋体"/>
          <w:sz w:val="24"/>
        </w:rPr>
        <w:t>针对土地整治项目选址不精准、上报通过率不高问题，建立项目选址智能分析模块，在土地整治项目立项之前，</w:t>
      </w:r>
      <w:r>
        <w:rPr>
          <w:spacing w:val="-3"/>
          <w:sz w:val="24"/>
        </w:rPr>
        <w:t>根据省厅选址规则，</w:t>
      </w:r>
      <w:r>
        <w:rPr>
          <w:rFonts w:hint="eastAsia" w:ascii="宋体" w:hAnsi="宋体" w:cs="宋体"/>
          <w:sz w:val="24"/>
        </w:rPr>
        <w:t>对三区三线、坡度、历史项目、河湖岸线等约束内容进行在线分析，一键生成分析报告，对不符合选址要求地块进行提示；分析报告可作为市级立项通过的技术依据。</w:t>
      </w:r>
    </w:p>
    <w:p>
      <w:pPr>
        <w:spacing w:line="360" w:lineRule="auto"/>
        <w:ind w:firstLine="479" w:firstLineChars="199"/>
        <w:outlineLvl w:val="3"/>
        <w:rPr>
          <w:rFonts w:ascii="宋体" w:hAnsi="宋体" w:cs="宋体"/>
          <w:b/>
          <w:bCs/>
          <w:kern w:val="0"/>
          <w:sz w:val="24"/>
        </w:rPr>
      </w:pPr>
      <w:r>
        <w:rPr>
          <w:rFonts w:hint="eastAsia" w:ascii="宋体" w:hAnsi="宋体" w:cs="宋体"/>
          <w:b/>
          <w:bCs/>
          <w:kern w:val="0"/>
          <w:sz w:val="24"/>
        </w:rPr>
        <w:t>4.2.2新建国土空间指标统筹交易管理场景</w:t>
      </w:r>
    </w:p>
    <w:p>
      <w:pPr>
        <w:spacing w:line="360" w:lineRule="auto"/>
        <w:ind w:firstLine="482" w:firstLineChars="200"/>
        <w:outlineLvl w:val="4"/>
        <w:rPr>
          <w:rFonts w:ascii="宋体" w:hAnsi="宋体" w:cs="宋体"/>
          <w:b/>
          <w:bCs/>
          <w:sz w:val="24"/>
        </w:rPr>
      </w:pPr>
      <w:r>
        <w:rPr>
          <w:rFonts w:hint="eastAsia" w:ascii="宋体" w:hAnsi="宋体" w:cs="宋体"/>
          <w:b/>
          <w:bCs/>
          <w:sz w:val="24"/>
        </w:rPr>
        <w:t>4.2.2.1 国土空间指标交易应用</w:t>
      </w:r>
    </w:p>
    <w:p>
      <w:pPr>
        <w:spacing w:line="360" w:lineRule="auto"/>
        <w:ind w:firstLine="480" w:firstLineChars="200"/>
        <w:rPr>
          <w:rFonts w:ascii="宋体" w:hAnsi="宋体" w:cs="宋体"/>
          <w:sz w:val="24"/>
        </w:rPr>
      </w:pPr>
      <w:r>
        <w:rPr>
          <w:rFonts w:hint="eastAsia" w:ascii="宋体" w:hAnsi="宋体" w:cs="宋体"/>
          <w:sz w:val="24"/>
        </w:rPr>
        <w:t>（1）市级统筹交易应用</w:t>
      </w:r>
    </w:p>
    <w:p>
      <w:pPr>
        <w:spacing w:line="360" w:lineRule="auto"/>
        <w:ind w:firstLine="480" w:firstLineChars="200"/>
        <w:rPr>
          <w:rFonts w:ascii="宋体" w:hAnsi="宋体" w:cs="宋体"/>
          <w:sz w:val="24"/>
        </w:rPr>
      </w:pPr>
      <w:r>
        <w:rPr>
          <w:rFonts w:hint="eastAsia" w:ascii="宋体" w:hAnsi="宋体" w:cs="宋体"/>
          <w:sz w:val="24"/>
        </w:rPr>
        <w:t>市级统一设置指标单价及各区县市年度指标统筹任务量和购买额度；设置指标发布公告栏，公开透明发布指标出售信息。</w:t>
      </w:r>
    </w:p>
    <w:p>
      <w:pPr>
        <w:spacing w:line="360" w:lineRule="auto"/>
        <w:ind w:firstLine="480" w:firstLineChars="200"/>
        <w:rPr>
          <w:rFonts w:ascii="宋体" w:hAnsi="宋体" w:cs="宋体"/>
          <w:sz w:val="24"/>
        </w:rPr>
      </w:pPr>
      <w:r>
        <w:rPr>
          <w:rFonts w:hint="eastAsia" w:ascii="宋体" w:hAnsi="宋体" w:cs="宋体"/>
          <w:sz w:val="24"/>
        </w:rPr>
        <w:t>（2）区县自主交易应用</w:t>
      </w:r>
    </w:p>
    <w:p>
      <w:pPr>
        <w:spacing w:line="360" w:lineRule="auto"/>
        <w:ind w:firstLine="480" w:firstLineChars="200"/>
        <w:rPr>
          <w:rFonts w:ascii="宋体" w:hAnsi="宋体" w:cs="宋体"/>
          <w:sz w:val="24"/>
        </w:rPr>
      </w:pPr>
      <w:r>
        <w:rPr>
          <w:rFonts w:hint="eastAsia" w:ascii="宋体" w:hAnsi="宋体" w:cs="宋体"/>
          <w:sz w:val="24"/>
        </w:rPr>
        <w:t>建立指标自主交易流程，区县可自由发布出售、购买公告；根据出售公告，买卖双方进行自主交易，上传相关材料，报备市级审核。</w:t>
      </w:r>
    </w:p>
    <w:p>
      <w:pPr>
        <w:spacing w:line="360" w:lineRule="auto"/>
        <w:ind w:firstLine="482" w:firstLineChars="200"/>
        <w:outlineLvl w:val="4"/>
        <w:rPr>
          <w:rFonts w:ascii="宋体" w:hAnsi="宋体" w:cs="宋体"/>
          <w:b/>
          <w:bCs/>
          <w:sz w:val="24"/>
        </w:rPr>
      </w:pPr>
      <w:r>
        <w:rPr>
          <w:rFonts w:hint="eastAsia" w:ascii="宋体" w:hAnsi="宋体" w:cs="宋体"/>
          <w:b/>
          <w:bCs/>
          <w:sz w:val="24"/>
        </w:rPr>
        <w:t>4.2.2.2 国土空间指标成交量统计</w:t>
      </w:r>
    </w:p>
    <w:p>
      <w:pPr>
        <w:spacing w:line="360" w:lineRule="auto"/>
        <w:ind w:firstLine="480" w:firstLineChars="200"/>
        <w:rPr>
          <w:rFonts w:ascii="宋体" w:hAnsi="宋体" w:cs="宋体"/>
          <w:sz w:val="24"/>
        </w:rPr>
      </w:pPr>
      <w:r>
        <w:rPr>
          <w:rFonts w:hint="eastAsia" w:ascii="宋体" w:hAnsi="宋体" w:cs="宋体"/>
          <w:sz w:val="24"/>
        </w:rPr>
        <w:t>（1）国土空间指标成交量统计</w:t>
      </w:r>
    </w:p>
    <w:p>
      <w:pPr>
        <w:spacing w:line="360" w:lineRule="auto"/>
        <w:ind w:firstLine="480" w:firstLineChars="200"/>
        <w:rPr>
          <w:rFonts w:ascii="宋体" w:hAnsi="宋体" w:cs="宋体"/>
          <w:sz w:val="24"/>
        </w:rPr>
      </w:pPr>
      <w:r>
        <w:rPr>
          <w:rFonts w:hint="eastAsia" w:ascii="宋体" w:hAnsi="宋体" w:cs="宋体"/>
          <w:sz w:val="24"/>
        </w:rPr>
        <w:t>对全市的补充耕地指标、增减挂钩指标、永农补划指标的成交量进行统计，展示统筹交易的完成统筹指标量、完成交易指标量、市本级库存指标量；展示自主交易三类指标成交量。</w:t>
      </w:r>
    </w:p>
    <w:p>
      <w:pPr>
        <w:spacing w:line="360" w:lineRule="auto"/>
        <w:ind w:firstLine="480" w:firstLineChars="200"/>
        <w:rPr>
          <w:rFonts w:ascii="宋体" w:hAnsi="宋体" w:cs="宋体"/>
          <w:sz w:val="24"/>
        </w:rPr>
      </w:pPr>
      <w:r>
        <w:rPr>
          <w:rFonts w:hint="eastAsia" w:ascii="宋体" w:hAnsi="宋体" w:cs="宋体"/>
          <w:sz w:val="24"/>
        </w:rPr>
        <w:t>（2）近期成交公告</w:t>
      </w:r>
    </w:p>
    <w:p>
      <w:pPr>
        <w:spacing w:line="360" w:lineRule="auto"/>
        <w:ind w:firstLine="480" w:firstLineChars="200"/>
        <w:rPr>
          <w:rFonts w:ascii="宋体" w:hAnsi="宋体" w:cs="宋体"/>
          <w:sz w:val="24"/>
        </w:rPr>
      </w:pPr>
      <w:r>
        <w:rPr>
          <w:rFonts w:hint="eastAsia" w:ascii="宋体" w:hAnsi="宋体" w:cs="宋体"/>
          <w:sz w:val="24"/>
        </w:rPr>
        <w:t>进行近期成交公告，全面展示全市近期指标交易成交数据，将近期成交指标的交易时间、指标量、总金额进行滚动展示，全市交易情况公开透明。</w:t>
      </w:r>
    </w:p>
    <w:p>
      <w:pPr>
        <w:spacing w:line="360" w:lineRule="auto"/>
        <w:ind w:firstLine="480" w:firstLineChars="200"/>
        <w:rPr>
          <w:rFonts w:ascii="宋体" w:hAnsi="宋体" w:cs="宋体"/>
          <w:sz w:val="24"/>
        </w:rPr>
      </w:pPr>
      <w:r>
        <w:rPr>
          <w:rFonts w:hint="eastAsia" w:ascii="宋体" w:hAnsi="宋体" w:cs="宋体"/>
          <w:sz w:val="24"/>
        </w:rPr>
        <w:t>（3）国土空间指标金额流向</w:t>
      </w:r>
    </w:p>
    <w:p>
      <w:pPr>
        <w:spacing w:line="360" w:lineRule="auto"/>
        <w:ind w:firstLine="480" w:firstLineChars="200"/>
        <w:rPr>
          <w:rFonts w:ascii="宋体" w:hAnsi="宋体" w:cs="宋体"/>
          <w:sz w:val="24"/>
        </w:rPr>
      </w:pPr>
      <w:r>
        <w:rPr>
          <w:rFonts w:hint="eastAsia" w:ascii="宋体" w:hAnsi="宋体" w:cs="宋体"/>
          <w:sz w:val="24"/>
        </w:rPr>
        <w:t>在地图上实时展示全市各区县市各类指标买卖流向、资金流向，一图直观展示指标交易成效。</w:t>
      </w:r>
    </w:p>
    <w:p>
      <w:pPr>
        <w:spacing w:line="360" w:lineRule="auto"/>
        <w:ind w:firstLine="479" w:firstLineChars="199"/>
        <w:outlineLvl w:val="3"/>
        <w:rPr>
          <w:rFonts w:ascii="宋体" w:hAnsi="宋体" w:cs="宋体"/>
          <w:b/>
          <w:bCs/>
          <w:kern w:val="0"/>
          <w:sz w:val="24"/>
        </w:rPr>
      </w:pPr>
      <w:r>
        <w:rPr>
          <w:rFonts w:hint="eastAsia" w:ascii="宋体" w:hAnsi="宋体" w:cs="宋体"/>
          <w:b/>
          <w:bCs/>
          <w:kern w:val="0"/>
          <w:sz w:val="24"/>
        </w:rPr>
        <w:t>4.2.3整合新建违法占用耕地监管场景</w:t>
      </w:r>
    </w:p>
    <w:p>
      <w:pPr>
        <w:spacing w:line="360" w:lineRule="auto"/>
        <w:ind w:firstLine="482" w:firstLineChars="200"/>
        <w:outlineLvl w:val="4"/>
        <w:rPr>
          <w:rFonts w:ascii="宋体" w:hAnsi="宋体" w:cs="宋体"/>
          <w:b/>
          <w:bCs/>
          <w:sz w:val="24"/>
        </w:rPr>
      </w:pPr>
      <w:r>
        <w:rPr>
          <w:rFonts w:hint="eastAsia" w:ascii="宋体" w:hAnsi="宋体" w:cs="宋体"/>
          <w:b/>
          <w:bCs/>
          <w:sz w:val="24"/>
        </w:rPr>
        <w:t>4.2.3.1 新增违法占用耕地数据归集接入</w:t>
      </w:r>
    </w:p>
    <w:p>
      <w:pPr>
        <w:spacing w:line="360" w:lineRule="auto"/>
        <w:ind w:firstLine="480" w:firstLineChars="200"/>
        <w:rPr>
          <w:rFonts w:ascii="宋体" w:hAnsi="宋体" w:cs="宋体"/>
          <w:sz w:val="24"/>
        </w:rPr>
      </w:pPr>
      <w:r>
        <w:rPr>
          <w:rFonts w:hint="eastAsia" w:ascii="宋体" w:hAnsi="宋体" w:cs="宋体"/>
          <w:sz w:val="24"/>
        </w:rPr>
        <w:t>与省“天巡地查”、省“耕地智保”等应用场景进行数据对接，获取</w:t>
      </w:r>
      <w:r>
        <w:rPr>
          <w:rFonts w:hint="eastAsia" w:ascii="宋体" w:hAnsi="宋体" w:cs="宋体"/>
          <w:sz w:val="24"/>
          <w:highlight w:val="none"/>
        </w:rPr>
        <w:t>国家卫片、</w:t>
      </w:r>
      <w:r>
        <w:rPr>
          <w:rFonts w:hint="eastAsia" w:ascii="宋体" w:hAnsi="宋体" w:cs="宋体"/>
          <w:sz w:val="24"/>
        </w:rPr>
        <w:t>田长上报和高位探头发现违法数据，对违法图斑的发现情况、核实情况、处置情况及消除情况进行跟踪管理，实现对每宗地块详细信息的查询及展示，支持市、区县、镇街、村社四级穿透统计和展示。建立违法问题数据导入管理系统，对无系统支撑的违法问题，如例行督察、信访等来源，进行后台导入和管理。通过场景对接和数据导入管理，将全市违法占用耕地问题进行集中管理和更新，为各场景应用提供统一的违法数据源。</w:t>
      </w:r>
    </w:p>
    <w:p>
      <w:pPr>
        <w:spacing w:line="360" w:lineRule="auto"/>
        <w:ind w:firstLine="482" w:firstLineChars="200"/>
        <w:outlineLvl w:val="4"/>
        <w:rPr>
          <w:rFonts w:ascii="宋体" w:hAnsi="宋体" w:cs="宋体"/>
          <w:b/>
          <w:bCs/>
          <w:sz w:val="24"/>
        </w:rPr>
      </w:pPr>
      <w:r>
        <w:rPr>
          <w:rFonts w:hint="eastAsia" w:ascii="宋体" w:hAnsi="宋体" w:cs="宋体"/>
          <w:b/>
          <w:bCs/>
          <w:sz w:val="24"/>
        </w:rPr>
        <w:t>4.2.3.2 耕地违法问题管理</w:t>
      </w:r>
    </w:p>
    <w:p>
      <w:pPr>
        <w:spacing w:line="360" w:lineRule="auto"/>
        <w:ind w:firstLine="480" w:firstLineChars="200"/>
        <w:rPr>
          <w:rFonts w:ascii="宋体" w:hAnsi="宋体" w:cs="宋体"/>
          <w:sz w:val="24"/>
        </w:rPr>
      </w:pPr>
      <w:r>
        <w:rPr>
          <w:rFonts w:hint="eastAsia" w:ascii="宋体" w:hAnsi="宋体" w:cs="宋体"/>
          <w:sz w:val="24"/>
        </w:rPr>
        <w:t>以省“天巡地查”、省“耕地智保”、市“天巡地查”、市审批系统、田长上报、高位探头和国家自然资源督察上海局例行督察和变更调查等多个来源的耕地违法核实图斑为基础，实现核实进度监测、整改进度监测、消除进度监测，支持区县、乡镇统计排名，支持按行政区划查看详情清单。</w:t>
      </w:r>
    </w:p>
    <w:p>
      <w:pPr>
        <w:spacing w:line="360" w:lineRule="auto"/>
        <w:ind w:firstLine="482" w:firstLineChars="200"/>
        <w:outlineLvl w:val="4"/>
        <w:rPr>
          <w:rFonts w:ascii="宋体" w:hAnsi="宋体" w:cs="宋体"/>
          <w:b/>
          <w:bCs/>
          <w:sz w:val="24"/>
        </w:rPr>
      </w:pPr>
      <w:r>
        <w:rPr>
          <w:rFonts w:hint="eastAsia" w:ascii="宋体" w:hAnsi="宋体" w:cs="宋体"/>
          <w:b/>
          <w:bCs/>
          <w:sz w:val="24"/>
        </w:rPr>
        <w:t>4.2.3.3 历年违法信息接入和统计</w:t>
      </w:r>
    </w:p>
    <w:p>
      <w:pPr>
        <w:spacing w:line="360" w:lineRule="auto"/>
        <w:ind w:firstLine="480" w:firstLineChars="200"/>
        <w:rPr>
          <w:rFonts w:ascii="宋体" w:hAnsi="宋体" w:cs="宋体"/>
          <w:sz w:val="24"/>
        </w:rPr>
      </w:pPr>
      <w:r>
        <w:rPr>
          <w:rFonts w:hint="eastAsia" w:ascii="宋体" w:hAnsi="宋体" w:cs="宋体"/>
          <w:sz w:val="24"/>
        </w:rPr>
        <w:t>接入历年违法占用耕地信息，包括历年的市级卫片图斑、国家卫片违法图斑，近年例行督察地块，当前临时用地到期未复耕地块等，对全市违法占用耕地情况进行汇总统计和展示，对历年未核实、未整改、未消除图斑进行汇总，支持区县、乡镇统计排名，支持按行政区划查看详情清单。</w:t>
      </w:r>
    </w:p>
    <w:p>
      <w:pPr>
        <w:spacing w:line="360" w:lineRule="auto"/>
        <w:ind w:firstLine="482" w:firstLineChars="200"/>
        <w:outlineLvl w:val="4"/>
        <w:rPr>
          <w:rFonts w:ascii="宋体" w:hAnsi="宋体" w:cs="宋体"/>
          <w:b/>
          <w:bCs/>
          <w:sz w:val="24"/>
        </w:rPr>
      </w:pPr>
      <w:r>
        <w:rPr>
          <w:rFonts w:hint="eastAsia" w:ascii="宋体" w:hAnsi="宋体" w:cs="宋体"/>
          <w:b/>
          <w:bCs/>
          <w:sz w:val="24"/>
        </w:rPr>
        <w:t>4.2.3.4 违法问题统计分析</w:t>
      </w:r>
    </w:p>
    <w:p>
      <w:pPr>
        <w:spacing w:line="360" w:lineRule="auto"/>
        <w:ind w:firstLine="480" w:firstLineChars="200"/>
        <w:rPr>
          <w:rFonts w:ascii="宋体" w:hAnsi="宋体" w:cs="宋体"/>
          <w:sz w:val="24"/>
        </w:rPr>
      </w:pPr>
      <w:r>
        <w:rPr>
          <w:rFonts w:hint="eastAsia" w:ascii="宋体" w:hAnsi="宋体" w:cs="宋体"/>
          <w:sz w:val="24"/>
        </w:rPr>
        <w:t>（1）违法问题统计分析</w:t>
      </w:r>
    </w:p>
    <w:p>
      <w:pPr>
        <w:spacing w:line="360" w:lineRule="auto"/>
        <w:ind w:firstLine="480" w:firstLineChars="200"/>
        <w:rPr>
          <w:rFonts w:ascii="宋体" w:hAnsi="宋体" w:cs="宋体"/>
          <w:sz w:val="24"/>
        </w:rPr>
      </w:pPr>
      <w:r>
        <w:rPr>
          <w:rFonts w:hint="eastAsia" w:ascii="宋体" w:hAnsi="宋体" w:cs="宋体"/>
          <w:sz w:val="24"/>
        </w:rPr>
        <w:t>围绕各违法数据来源，统计全市各区县、镇街违法行为发生、整改的宗数和面积，提供统计报表辅助耕地保护核查。</w:t>
      </w:r>
    </w:p>
    <w:p>
      <w:pPr>
        <w:spacing w:line="360" w:lineRule="auto"/>
        <w:ind w:firstLine="480" w:firstLineChars="200"/>
        <w:rPr>
          <w:rFonts w:ascii="宋体" w:hAnsi="宋体" w:cs="宋体"/>
          <w:sz w:val="24"/>
        </w:rPr>
      </w:pPr>
      <w:r>
        <w:rPr>
          <w:rFonts w:hint="eastAsia" w:ascii="宋体" w:hAnsi="宋体" w:cs="宋体"/>
          <w:sz w:val="24"/>
        </w:rPr>
        <w:t>（2）违法整治一张图</w:t>
      </w:r>
    </w:p>
    <w:p>
      <w:pPr>
        <w:spacing w:line="360" w:lineRule="auto"/>
        <w:ind w:firstLine="480" w:firstLineChars="200"/>
        <w:rPr>
          <w:rFonts w:ascii="宋体" w:hAnsi="宋体" w:cs="宋体"/>
          <w:sz w:val="24"/>
        </w:rPr>
      </w:pPr>
      <w:r>
        <w:rPr>
          <w:rFonts w:hint="eastAsia" w:ascii="宋体" w:hAnsi="宋体" w:cs="宋体"/>
          <w:sz w:val="24"/>
        </w:rPr>
        <w:t>对违法问题上图展示，可按违法时间、是否完成整改、违法类型等进行分类展示，支持查看违法问题详情，支持图属联动查看。</w:t>
      </w:r>
    </w:p>
    <w:p>
      <w:pPr>
        <w:spacing w:line="360" w:lineRule="auto"/>
        <w:ind w:firstLine="480" w:firstLineChars="200"/>
        <w:rPr>
          <w:rFonts w:ascii="宋体" w:hAnsi="宋体" w:cs="宋体"/>
          <w:sz w:val="24"/>
        </w:rPr>
      </w:pPr>
      <w:r>
        <w:rPr>
          <w:rFonts w:hint="eastAsia" w:ascii="宋体" w:hAnsi="宋体" w:cs="宋体"/>
          <w:sz w:val="24"/>
        </w:rPr>
        <w:t>（3）报表生成</w:t>
      </w:r>
    </w:p>
    <w:p>
      <w:pPr>
        <w:spacing w:line="360" w:lineRule="auto"/>
        <w:ind w:firstLine="480" w:firstLineChars="200"/>
        <w:rPr>
          <w:rFonts w:ascii="宋体" w:hAnsi="宋体" w:cs="宋体"/>
          <w:sz w:val="24"/>
        </w:rPr>
      </w:pPr>
      <w:r>
        <w:rPr>
          <w:rFonts w:hint="eastAsia" w:ascii="宋体" w:hAnsi="宋体" w:cs="宋体"/>
          <w:sz w:val="24"/>
        </w:rPr>
        <w:t>生成违法信息统计报表，包括各区县市违法问题发现量、核实量、整改量、消除量，包括宗数、面积和超期率。</w:t>
      </w:r>
    </w:p>
    <w:p>
      <w:pPr>
        <w:spacing w:line="360" w:lineRule="auto"/>
        <w:ind w:firstLine="479" w:firstLineChars="199"/>
        <w:outlineLvl w:val="3"/>
        <w:rPr>
          <w:rFonts w:ascii="宋体" w:hAnsi="宋体" w:cs="宋体"/>
          <w:b/>
          <w:bCs/>
          <w:kern w:val="0"/>
          <w:sz w:val="24"/>
        </w:rPr>
      </w:pPr>
      <w:r>
        <w:rPr>
          <w:rFonts w:hint="eastAsia" w:ascii="宋体" w:hAnsi="宋体" w:cs="宋体"/>
          <w:b/>
          <w:bCs/>
          <w:kern w:val="0"/>
          <w:sz w:val="24"/>
        </w:rPr>
        <w:t>4.2.4迭代升级“三块地”动态监测场景</w:t>
      </w:r>
    </w:p>
    <w:p>
      <w:pPr>
        <w:spacing w:line="360" w:lineRule="auto"/>
        <w:ind w:firstLine="480" w:firstLineChars="200"/>
        <w:rPr>
          <w:rFonts w:ascii="宋体" w:hAnsi="宋体" w:cs="宋体"/>
          <w:sz w:val="24"/>
        </w:rPr>
      </w:pPr>
      <w:r>
        <w:rPr>
          <w:rFonts w:hint="eastAsia" w:ascii="宋体" w:hAnsi="宋体" w:cs="宋体"/>
          <w:sz w:val="24"/>
        </w:rPr>
        <w:t>根据《自然资源部办公厅关于开展2023年度开发区土地集约利用监测统计有关工作的通知》（自然资办函〔2023〕1349号）、《自然资源部办公厅关于做好2023年度批而未供和闲置土地处置工作的通知》（自然资办函〔2023〕512号）等要求，对现有“三块地”动态监管系统进行提升改造，全面保障闲置土地处置工作的顺利推进及相关工作的开展。</w:t>
      </w:r>
    </w:p>
    <w:p>
      <w:pPr>
        <w:spacing w:line="360" w:lineRule="auto"/>
        <w:ind w:firstLine="482" w:firstLineChars="200"/>
        <w:outlineLvl w:val="4"/>
        <w:rPr>
          <w:rFonts w:ascii="宋体" w:hAnsi="宋体" w:cs="宋体"/>
          <w:b/>
          <w:bCs/>
          <w:sz w:val="24"/>
        </w:rPr>
      </w:pPr>
      <w:r>
        <w:rPr>
          <w:rFonts w:hint="eastAsia" w:ascii="宋体" w:hAnsi="宋体" w:cs="宋体"/>
          <w:b/>
          <w:bCs/>
          <w:sz w:val="24"/>
        </w:rPr>
        <w:t>4.2.4.1 深化批而未供监管模块</w:t>
      </w:r>
    </w:p>
    <w:p>
      <w:pPr>
        <w:spacing w:line="360" w:lineRule="auto"/>
        <w:ind w:firstLine="480" w:firstLineChars="200"/>
        <w:rPr>
          <w:rFonts w:ascii="宋体" w:hAnsi="宋体" w:cs="宋体"/>
          <w:sz w:val="24"/>
        </w:rPr>
      </w:pPr>
      <w:r>
        <w:rPr>
          <w:rFonts w:hint="eastAsia" w:ascii="宋体" w:hAnsi="宋体" w:cs="宋体"/>
          <w:sz w:val="24"/>
        </w:rPr>
        <w:t>在批而未供图数一致的基础上，深化分析，实现全市批而未供更进一步的空间化、数字化管理。优化批而未供晾晒任务完成进度、定时提醒，并根据增存挂钩指标奖励政策，实施换算指标奖励等情况。实现空间化数字化管理、晾晒进度、定时提醒、指标奖励功能。</w:t>
      </w:r>
    </w:p>
    <w:p>
      <w:pPr>
        <w:spacing w:line="360" w:lineRule="auto"/>
        <w:ind w:firstLine="482" w:firstLineChars="200"/>
        <w:outlineLvl w:val="4"/>
        <w:rPr>
          <w:rFonts w:ascii="宋体" w:hAnsi="宋体" w:cs="宋体"/>
          <w:b/>
          <w:bCs/>
          <w:sz w:val="24"/>
        </w:rPr>
      </w:pPr>
      <w:r>
        <w:rPr>
          <w:rFonts w:hint="eastAsia" w:ascii="宋体" w:hAnsi="宋体" w:cs="宋体"/>
          <w:b/>
          <w:bCs/>
          <w:sz w:val="24"/>
        </w:rPr>
        <w:t>4.2.4.2 深化闲置土地监管模块</w:t>
      </w:r>
    </w:p>
    <w:p>
      <w:pPr>
        <w:spacing w:line="360" w:lineRule="auto"/>
        <w:ind w:firstLine="480" w:firstLineChars="200"/>
        <w:rPr>
          <w:rFonts w:ascii="宋体" w:hAnsi="宋体" w:cs="宋体"/>
          <w:sz w:val="24"/>
        </w:rPr>
      </w:pPr>
      <w:r>
        <w:rPr>
          <w:rFonts w:hint="eastAsia" w:ascii="宋体" w:hAnsi="宋体" w:cs="宋体"/>
          <w:sz w:val="24"/>
        </w:rPr>
        <w:t>利用遥感影像技术，完善闲置土地发现机制，做到闲置土地及时发现及时预警及时处置。跟踪全市各区县闲置土地处置消化进度，实现晾晒任务完成进度、定时提醒，并根据增存挂钩指标奖励政策，实施换算指标奖励等情况。实现及时发现、预警处置、晾晒进度、定时提醒、指标奖励功能。</w:t>
      </w:r>
    </w:p>
    <w:p>
      <w:pPr>
        <w:spacing w:line="360" w:lineRule="auto"/>
        <w:ind w:firstLine="482" w:firstLineChars="200"/>
        <w:outlineLvl w:val="4"/>
        <w:rPr>
          <w:rFonts w:ascii="宋体" w:hAnsi="宋体" w:cs="宋体"/>
          <w:b/>
          <w:bCs/>
          <w:sz w:val="24"/>
        </w:rPr>
      </w:pPr>
      <w:r>
        <w:rPr>
          <w:rFonts w:hint="eastAsia" w:ascii="宋体" w:hAnsi="宋体" w:cs="宋体"/>
          <w:b/>
          <w:bCs/>
          <w:sz w:val="24"/>
        </w:rPr>
        <w:t>4.2.4.3 建设低效用地管理全链智治</w:t>
      </w:r>
    </w:p>
    <w:p>
      <w:pPr>
        <w:spacing w:line="360" w:lineRule="auto"/>
        <w:ind w:firstLine="480" w:firstLineChars="200"/>
        <w:rPr>
          <w:rFonts w:ascii="宋体" w:hAnsi="宋体" w:cs="宋体"/>
          <w:sz w:val="24"/>
        </w:rPr>
      </w:pPr>
      <w:r>
        <w:rPr>
          <w:rFonts w:hint="eastAsia" w:ascii="宋体" w:hAnsi="宋体" w:cs="宋体"/>
          <w:sz w:val="24"/>
        </w:rPr>
        <w:t>依托市县（区）低效用地数据的全量归集，深化全市低效用地关键指标的空间化、数字化管理。集成盘活、处置、监管等低效用地协同监管全生命周期主要环节，实现低效用地盘活处置链条式跟踪管理。推进低效用地再开发实施信息的集成应用建设，加强低效用地再开发过程监管、成效监管，成效智能分析。建立1本开发区低效用地管理“明细账”，对于开发区范围内的低效用地盘活工作进行专项管理。实现过程跟踪、成效跟踪、成效分析、低效用地一本明细账、任务管理功能。</w:t>
      </w:r>
    </w:p>
    <w:bookmarkEnd w:id="27"/>
    <w:p>
      <w:pPr>
        <w:spacing w:line="360" w:lineRule="auto"/>
        <w:ind w:firstLine="479" w:firstLineChars="199"/>
        <w:outlineLvl w:val="3"/>
        <w:rPr>
          <w:rFonts w:ascii="宋体" w:hAnsi="宋体" w:cs="宋体"/>
          <w:b/>
          <w:bCs/>
          <w:kern w:val="0"/>
          <w:sz w:val="24"/>
        </w:rPr>
      </w:pPr>
      <w:r>
        <w:rPr>
          <w:rFonts w:hint="eastAsia" w:ascii="宋体" w:hAnsi="宋体" w:cs="宋体"/>
          <w:b/>
          <w:bCs/>
          <w:kern w:val="0"/>
          <w:sz w:val="24"/>
        </w:rPr>
        <w:t>4.2.5运行环境要求</w:t>
      </w:r>
    </w:p>
    <w:p>
      <w:pPr>
        <w:spacing w:line="360" w:lineRule="auto"/>
        <w:ind w:firstLine="480" w:firstLineChars="200"/>
        <w:rPr>
          <w:rFonts w:ascii="宋体" w:hAnsi="宋体" w:cs="宋体"/>
          <w:sz w:val="24"/>
        </w:rPr>
      </w:pPr>
      <w:r>
        <w:rPr>
          <w:rFonts w:hint="eastAsia" w:ascii="宋体" w:hAnsi="宋体" w:cs="宋体"/>
          <w:sz w:val="24"/>
        </w:rPr>
        <w:t>本项目要求使用杭州市信创云环境服务资源部署杭州市“空间智治”数字化平台（2024）建设内容，由信创云的技术支撑保障服务的高可靠性和安全稳定运行。考虑项目使用单位及人数众多，对于访问频率高的服务建议采用负载均衡部署策略</w:t>
      </w:r>
      <w:bookmarkStart w:id="28" w:name="_Hlk43821878"/>
      <w:r>
        <w:rPr>
          <w:rFonts w:hint="eastAsia" w:ascii="宋体" w:hAnsi="宋体" w:cs="宋体"/>
          <w:sz w:val="24"/>
        </w:rPr>
        <w:t>。</w:t>
      </w:r>
    </w:p>
    <w:p>
      <w:pPr>
        <w:spacing w:line="360" w:lineRule="auto"/>
        <w:ind w:firstLine="480" w:firstLineChars="200"/>
        <w:rPr>
          <w:rFonts w:ascii="宋体" w:hAnsi="宋体" w:cs="宋体"/>
          <w:sz w:val="24"/>
        </w:rPr>
      </w:pPr>
    </w:p>
    <w:p>
      <w:pPr>
        <w:snapToGrid w:val="0"/>
        <w:spacing w:line="360" w:lineRule="auto"/>
        <w:outlineLvl w:val="1"/>
        <w:rPr>
          <w:rFonts w:ascii="宋体" w:hAnsi="宋体" w:cs="宋体"/>
          <w:b/>
          <w:sz w:val="24"/>
        </w:rPr>
      </w:pPr>
      <w:r>
        <w:rPr>
          <w:rFonts w:hint="eastAsia" w:ascii="宋体" w:hAnsi="宋体" w:cs="宋体"/>
          <w:b/>
          <w:sz w:val="24"/>
        </w:rPr>
        <w:t>五、服务要求</w:t>
      </w:r>
    </w:p>
    <w:p>
      <w:pPr>
        <w:spacing w:line="360" w:lineRule="auto"/>
        <w:ind w:firstLine="479" w:firstLineChars="199"/>
        <w:outlineLvl w:val="2"/>
        <w:rPr>
          <w:rFonts w:ascii="宋体" w:hAnsi="宋体" w:cs="宋体"/>
          <w:b/>
          <w:bCs/>
          <w:kern w:val="0"/>
          <w:sz w:val="24"/>
        </w:rPr>
      </w:pPr>
      <w:r>
        <w:rPr>
          <w:rFonts w:hint="eastAsia" w:ascii="宋体" w:hAnsi="宋体" w:cs="宋体"/>
          <w:b/>
          <w:bCs/>
          <w:kern w:val="0"/>
          <w:sz w:val="24"/>
        </w:rPr>
        <w:t>5.1项目进度要求</w:t>
      </w:r>
    </w:p>
    <w:p>
      <w:pPr>
        <w:spacing w:line="360" w:lineRule="auto"/>
        <w:ind w:firstLine="480" w:firstLineChars="200"/>
        <w:rPr>
          <w:rFonts w:ascii="宋体" w:hAnsi="宋体" w:cs="宋体"/>
          <w:kern w:val="0"/>
          <w:sz w:val="24"/>
        </w:rPr>
      </w:pPr>
      <w:r>
        <w:rPr>
          <w:rFonts w:hint="eastAsia" w:ascii="宋体" w:hAnsi="宋体" w:cs="宋体"/>
          <w:kern w:val="0"/>
          <w:sz w:val="24"/>
        </w:rPr>
        <w:t>要求在2025年</w:t>
      </w:r>
      <w:r>
        <w:rPr>
          <w:rFonts w:ascii="宋体" w:hAnsi="宋体" w:cs="宋体"/>
          <w:kern w:val="0"/>
          <w:sz w:val="24"/>
        </w:rPr>
        <w:t>6</w:t>
      </w:r>
      <w:r>
        <w:rPr>
          <w:rFonts w:hint="eastAsia" w:ascii="宋体" w:hAnsi="宋体" w:cs="宋体"/>
          <w:kern w:val="0"/>
          <w:sz w:val="24"/>
        </w:rPr>
        <w:t>月前完成本项目全部建设内容。供应商应根据信息系统建设项目实施步骤提供严密的项目实施进度计划，包含需求调研、平台设计、系统开发、部署、测试、培训、试运行及验收阶段。试运行期至少1个月，试运行期无重大故障且解决所有发现的缺陷后进行项目整体验收。</w:t>
      </w:r>
    </w:p>
    <w:p>
      <w:pPr>
        <w:spacing w:line="360" w:lineRule="auto"/>
        <w:ind w:firstLine="479" w:firstLineChars="199"/>
        <w:outlineLvl w:val="2"/>
        <w:rPr>
          <w:rFonts w:ascii="宋体" w:hAnsi="宋体" w:cs="宋体"/>
          <w:b/>
          <w:bCs/>
          <w:kern w:val="0"/>
          <w:sz w:val="24"/>
        </w:rPr>
      </w:pPr>
      <w:r>
        <w:rPr>
          <w:rFonts w:hint="eastAsia" w:ascii="宋体" w:hAnsi="宋体" w:cs="宋体"/>
          <w:b/>
          <w:bCs/>
          <w:kern w:val="0"/>
          <w:sz w:val="24"/>
        </w:rPr>
        <w:t>5.2项目管理</w:t>
      </w:r>
    </w:p>
    <w:p>
      <w:pPr>
        <w:spacing w:line="360" w:lineRule="auto"/>
        <w:ind w:firstLine="480" w:firstLineChars="200"/>
        <w:rPr>
          <w:rFonts w:ascii="宋体" w:hAnsi="宋体" w:cs="宋体"/>
          <w:kern w:val="0"/>
          <w:sz w:val="24"/>
        </w:rPr>
      </w:pPr>
      <w:r>
        <w:rPr>
          <w:rFonts w:hint="eastAsia" w:ascii="宋体" w:hAnsi="宋体" w:cs="宋体"/>
          <w:kern w:val="0"/>
          <w:sz w:val="24"/>
        </w:rPr>
        <w:t>整个项目组织与实施需要满足以下要求：</w:t>
      </w:r>
    </w:p>
    <w:p>
      <w:pPr>
        <w:spacing w:line="360" w:lineRule="auto"/>
        <w:ind w:firstLine="479" w:firstLineChars="199"/>
        <w:outlineLvl w:val="3"/>
        <w:rPr>
          <w:rFonts w:ascii="宋体" w:hAnsi="宋体" w:cs="宋体"/>
          <w:b/>
          <w:bCs/>
          <w:kern w:val="0"/>
          <w:sz w:val="24"/>
        </w:rPr>
      </w:pPr>
      <w:r>
        <w:rPr>
          <w:rFonts w:hint="eastAsia" w:ascii="宋体" w:hAnsi="宋体" w:cs="宋体"/>
          <w:b/>
          <w:bCs/>
          <w:kern w:val="0"/>
          <w:sz w:val="24"/>
        </w:rPr>
        <w:t>5.2.1项目实施过程</w:t>
      </w:r>
    </w:p>
    <w:p>
      <w:pPr>
        <w:spacing w:line="360" w:lineRule="auto"/>
        <w:ind w:firstLine="480" w:firstLineChars="200"/>
        <w:rPr>
          <w:rFonts w:ascii="宋体" w:hAnsi="宋体" w:cs="宋体"/>
          <w:kern w:val="0"/>
          <w:sz w:val="24"/>
        </w:rPr>
      </w:pPr>
      <w:r>
        <w:rPr>
          <w:rFonts w:hint="eastAsia" w:ascii="宋体" w:hAnsi="宋体" w:cs="宋体"/>
          <w:kern w:val="0"/>
          <w:sz w:val="24"/>
        </w:rPr>
        <w:t>系统开发符合相关的信息系统开发规范；</w:t>
      </w:r>
    </w:p>
    <w:p>
      <w:pPr>
        <w:spacing w:line="360" w:lineRule="auto"/>
        <w:ind w:firstLine="480" w:firstLineChars="200"/>
        <w:rPr>
          <w:rFonts w:ascii="宋体" w:hAnsi="宋体" w:cs="宋体"/>
          <w:kern w:val="0"/>
          <w:sz w:val="24"/>
        </w:rPr>
      </w:pPr>
      <w:r>
        <w:rPr>
          <w:rFonts w:hint="eastAsia" w:ascii="宋体" w:hAnsi="宋体" w:cs="宋体"/>
          <w:kern w:val="0"/>
          <w:sz w:val="24"/>
        </w:rPr>
        <w:t>详细描述整个实施过程及系统开发各阶段任务说明；</w:t>
      </w:r>
    </w:p>
    <w:p>
      <w:pPr>
        <w:spacing w:line="360" w:lineRule="auto"/>
        <w:ind w:firstLine="480" w:firstLineChars="200"/>
        <w:rPr>
          <w:rFonts w:ascii="宋体" w:hAnsi="宋体" w:cs="宋体"/>
          <w:kern w:val="0"/>
          <w:sz w:val="24"/>
        </w:rPr>
      </w:pPr>
      <w:r>
        <w:rPr>
          <w:rFonts w:hint="eastAsia" w:ascii="宋体" w:hAnsi="宋体" w:cs="宋体"/>
          <w:kern w:val="0"/>
          <w:sz w:val="24"/>
        </w:rPr>
        <w:t>描述项目进度管理措施、进度计划、开发队伍的人数及进度计划；</w:t>
      </w:r>
    </w:p>
    <w:p>
      <w:pPr>
        <w:spacing w:line="360" w:lineRule="auto"/>
        <w:ind w:firstLine="480" w:firstLineChars="200"/>
        <w:rPr>
          <w:rFonts w:ascii="宋体" w:hAnsi="宋体" w:cs="宋体"/>
          <w:kern w:val="0"/>
          <w:sz w:val="24"/>
        </w:rPr>
      </w:pPr>
      <w:r>
        <w:rPr>
          <w:rFonts w:hint="eastAsia" w:ascii="宋体" w:hAnsi="宋体" w:cs="宋体"/>
          <w:kern w:val="0"/>
          <w:sz w:val="24"/>
        </w:rPr>
        <w:t>在项目实施的各个阶段工作结束后，应提交相关的详细说明文档。</w:t>
      </w:r>
    </w:p>
    <w:p>
      <w:pPr>
        <w:spacing w:line="360" w:lineRule="auto"/>
        <w:ind w:firstLine="479" w:firstLineChars="199"/>
        <w:outlineLvl w:val="3"/>
        <w:rPr>
          <w:rFonts w:ascii="宋体" w:hAnsi="宋体" w:cs="宋体"/>
          <w:b/>
          <w:bCs/>
          <w:kern w:val="0"/>
          <w:sz w:val="24"/>
        </w:rPr>
      </w:pPr>
      <w:r>
        <w:rPr>
          <w:rFonts w:hint="eastAsia" w:ascii="宋体" w:hAnsi="宋体" w:cs="宋体"/>
          <w:b/>
          <w:bCs/>
          <w:kern w:val="0"/>
          <w:sz w:val="24"/>
        </w:rPr>
        <w:t>5.2.2项目经理</w:t>
      </w:r>
    </w:p>
    <w:p>
      <w:pPr>
        <w:spacing w:line="360" w:lineRule="auto"/>
        <w:ind w:firstLine="480" w:firstLineChars="200"/>
        <w:rPr>
          <w:rFonts w:ascii="宋体" w:hAnsi="宋体" w:cs="宋体"/>
          <w:kern w:val="0"/>
          <w:sz w:val="24"/>
        </w:rPr>
      </w:pPr>
      <w:r>
        <w:rPr>
          <w:rFonts w:hint="eastAsia" w:ascii="宋体" w:hAnsi="宋体" w:cs="宋体"/>
          <w:kern w:val="0"/>
          <w:sz w:val="24"/>
        </w:rPr>
        <w:t>为保障项目的高质量实施，供应商须安排具有丰富经验的项目经理作为本项目的负责人，负责项目整体质量把控和资源协调。</w:t>
      </w:r>
    </w:p>
    <w:p>
      <w:pPr>
        <w:spacing w:line="360" w:lineRule="auto"/>
        <w:ind w:firstLine="480" w:firstLineChars="200"/>
        <w:rPr>
          <w:rFonts w:ascii="宋体" w:hAnsi="宋体" w:cs="宋体"/>
          <w:kern w:val="0"/>
          <w:sz w:val="24"/>
        </w:rPr>
      </w:pPr>
      <w:r>
        <w:rPr>
          <w:rFonts w:hint="eastAsia" w:ascii="宋体" w:hAnsi="宋体" w:cs="宋体"/>
          <w:kern w:val="0"/>
          <w:sz w:val="24"/>
        </w:rPr>
        <w:t>项目实施期内，未经甲方同意，供应商不得擅自更换项目经理。</w:t>
      </w:r>
    </w:p>
    <w:p>
      <w:pPr>
        <w:spacing w:line="360" w:lineRule="auto"/>
        <w:ind w:firstLine="479" w:firstLineChars="199"/>
        <w:outlineLvl w:val="3"/>
        <w:rPr>
          <w:rFonts w:ascii="宋体" w:hAnsi="宋体" w:cs="宋体"/>
          <w:b/>
          <w:bCs/>
          <w:kern w:val="0"/>
          <w:sz w:val="24"/>
        </w:rPr>
      </w:pPr>
      <w:r>
        <w:rPr>
          <w:rFonts w:hint="eastAsia" w:ascii="宋体" w:hAnsi="宋体" w:cs="宋体"/>
          <w:b/>
          <w:bCs/>
          <w:kern w:val="0"/>
          <w:sz w:val="24"/>
        </w:rPr>
        <w:t>5.2.3项目组</w:t>
      </w:r>
    </w:p>
    <w:p>
      <w:pPr>
        <w:spacing w:line="360" w:lineRule="auto"/>
        <w:ind w:firstLine="480" w:firstLineChars="200"/>
        <w:rPr>
          <w:rFonts w:ascii="宋体" w:hAnsi="宋体" w:cs="宋体"/>
          <w:kern w:val="0"/>
          <w:sz w:val="24"/>
        </w:rPr>
      </w:pPr>
      <w:r>
        <w:rPr>
          <w:rFonts w:hint="eastAsia" w:ascii="宋体" w:hAnsi="宋体" w:cs="宋体"/>
          <w:kern w:val="0"/>
          <w:sz w:val="24"/>
        </w:rPr>
        <w:t>项目成员结构合理、分工明确。</w:t>
      </w:r>
    </w:p>
    <w:p>
      <w:pPr>
        <w:widowControl/>
        <w:tabs>
          <w:tab w:val="left" w:pos="0"/>
        </w:tabs>
        <w:snapToGrid w:val="0"/>
        <w:spacing w:line="360" w:lineRule="auto"/>
        <w:ind w:firstLine="482" w:firstLineChars="200"/>
        <w:jc w:val="left"/>
        <w:rPr>
          <w:rFonts w:ascii="宋体" w:hAnsi="宋体" w:cs="宋体"/>
          <w:b/>
          <w:bCs/>
          <w:sz w:val="24"/>
        </w:rPr>
      </w:pPr>
      <w:r>
        <w:rPr>
          <w:rFonts w:hint="eastAsia" w:ascii="宋体" w:hAnsi="宋体" w:cs="宋体"/>
          <w:b/>
          <w:bCs/>
          <w:kern w:val="0"/>
          <w:sz w:val="24"/>
        </w:rPr>
        <w:t>注：供应商需根据项目特点和情况对服务团队人员进行合理配置，并在投标文件中提供服务团队人员名单（包括但不限于人员数量、工作经历及为本项目服务的工作岗位等内容）。项目服务团队主要人员在服务有效期内有人事变动，应当经甲方同意。</w:t>
      </w:r>
    </w:p>
    <w:p>
      <w:pPr>
        <w:spacing w:line="360" w:lineRule="auto"/>
        <w:ind w:firstLine="479" w:firstLineChars="199"/>
        <w:outlineLvl w:val="2"/>
        <w:rPr>
          <w:rFonts w:ascii="宋体" w:hAnsi="宋体" w:cs="宋体"/>
          <w:b/>
          <w:bCs/>
          <w:kern w:val="0"/>
          <w:sz w:val="24"/>
        </w:rPr>
      </w:pPr>
      <w:r>
        <w:rPr>
          <w:rFonts w:hint="eastAsia" w:ascii="宋体" w:hAnsi="宋体" w:cs="宋体"/>
          <w:b/>
          <w:bCs/>
          <w:kern w:val="0"/>
          <w:sz w:val="24"/>
        </w:rPr>
        <w:t>5.3项目培训</w:t>
      </w:r>
    </w:p>
    <w:p>
      <w:pPr>
        <w:spacing w:line="360" w:lineRule="auto"/>
        <w:ind w:firstLine="480" w:firstLineChars="200"/>
        <w:rPr>
          <w:rFonts w:ascii="宋体" w:hAnsi="宋体" w:cs="宋体"/>
          <w:kern w:val="0"/>
          <w:sz w:val="24"/>
        </w:rPr>
      </w:pPr>
      <w:r>
        <w:rPr>
          <w:rFonts w:hint="eastAsia" w:ascii="宋体" w:hAnsi="宋体" w:cs="宋体"/>
          <w:kern w:val="0"/>
          <w:sz w:val="24"/>
        </w:rPr>
        <w:t>需要培训甲方全面掌握系统建设、运行、维护等技术，培训内容包括系统运行管理维护技术、系统业务操作等，培训对象主要包括系统管理员和业务操作人员。系统相关软硬件的日常管理及维护由系统管理员负责，专业性较强，因此需要对其进行专门的培训，以备日常工作的需要。同时也要对业务操作人员进行培训以确保其对业务系统能够正常、有效地使用。</w:t>
      </w:r>
    </w:p>
    <w:p>
      <w:pPr>
        <w:spacing w:line="360" w:lineRule="auto"/>
        <w:ind w:firstLine="479" w:firstLineChars="199"/>
        <w:outlineLvl w:val="2"/>
        <w:rPr>
          <w:rFonts w:ascii="宋体" w:hAnsi="宋体" w:cs="宋体"/>
          <w:b/>
          <w:bCs/>
          <w:kern w:val="0"/>
          <w:sz w:val="24"/>
        </w:rPr>
      </w:pPr>
      <w:r>
        <w:rPr>
          <w:rFonts w:hint="eastAsia" w:ascii="宋体" w:hAnsi="宋体" w:cs="宋体"/>
          <w:b/>
          <w:bCs/>
          <w:kern w:val="0"/>
          <w:sz w:val="24"/>
        </w:rPr>
        <w:t>5.4项目验收</w:t>
      </w:r>
    </w:p>
    <w:p>
      <w:pPr>
        <w:spacing w:line="360" w:lineRule="auto"/>
        <w:ind w:firstLine="480" w:firstLineChars="200"/>
        <w:rPr>
          <w:rFonts w:ascii="宋体" w:hAnsi="宋体" w:cs="宋体"/>
          <w:kern w:val="0"/>
          <w:sz w:val="24"/>
        </w:rPr>
      </w:pPr>
      <w:r>
        <w:rPr>
          <w:rFonts w:hint="eastAsia" w:ascii="宋体" w:hAnsi="宋体" w:cs="宋体"/>
          <w:kern w:val="0"/>
          <w:sz w:val="24"/>
        </w:rPr>
        <w:t>5.4.1系统试运行，无障碍且具备验收条件后，须向用户提交完整的项目成果，由甲方组织项目验收。项目成果包括系统软件开发的安装程序、需求说明书、系统操作及维护手册等。</w:t>
      </w:r>
    </w:p>
    <w:p>
      <w:pPr>
        <w:spacing w:line="360" w:lineRule="auto"/>
        <w:ind w:firstLine="480" w:firstLineChars="200"/>
        <w:rPr>
          <w:rFonts w:ascii="宋体" w:hAnsi="宋体" w:cs="宋体"/>
          <w:sz w:val="24"/>
        </w:rPr>
      </w:pPr>
      <w:r>
        <w:rPr>
          <w:rFonts w:hint="eastAsia" w:ascii="宋体" w:hAnsi="宋体" w:cs="宋体"/>
          <w:sz w:val="24"/>
        </w:rPr>
        <w:t>5.4.2验收流程根据政府采购相关规定执行。</w:t>
      </w:r>
    </w:p>
    <w:p>
      <w:pPr>
        <w:spacing w:line="360" w:lineRule="auto"/>
        <w:ind w:firstLine="480" w:firstLineChars="200"/>
        <w:rPr>
          <w:rFonts w:ascii="宋体" w:hAnsi="宋体" w:cs="宋体"/>
          <w:sz w:val="24"/>
        </w:rPr>
      </w:pPr>
      <w:r>
        <w:rPr>
          <w:rFonts w:hint="eastAsia" w:ascii="宋体" w:hAnsi="宋体" w:cs="宋体"/>
          <w:kern w:val="0"/>
          <w:sz w:val="24"/>
        </w:rPr>
        <w:t>5.4.3验收标准：</w:t>
      </w:r>
      <w:r>
        <w:rPr>
          <w:rFonts w:hint="eastAsia" w:ascii="宋体" w:hAnsi="宋体" w:cs="宋体"/>
          <w:sz w:val="24"/>
        </w:rPr>
        <w:t>根据经甲方确认的各项方案，按合同约定完成全部工作内容，且按规定时间交付全部成果。成果符合采购需求及法律法规要求，无知识产权争议。</w:t>
      </w:r>
    </w:p>
    <w:p>
      <w:pPr>
        <w:spacing w:line="360" w:lineRule="auto"/>
        <w:ind w:firstLine="479" w:firstLineChars="199"/>
        <w:outlineLvl w:val="2"/>
        <w:rPr>
          <w:rFonts w:ascii="宋体" w:hAnsi="宋体" w:cs="宋体"/>
          <w:b/>
          <w:bCs/>
          <w:kern w:val="0"/>
          <w:sz w:val="24"/>
        </w:rPr>
      </w:pPr>
      <w:r>
        <w:rPr>
          <w:rFonts w:hint="eastAsia" w:ascii="宋体" w:hAnsi="宋体" w:cs="宋体"/>
          <w:b/>
          <w:bCs/>
          <w:kern w:val="0"/>
          <w:sz w:val="24"/>
        </w:rPr>
        <w:t>5.5项目售后</w:t>
      </w:r>
    </w:p>
    <w:p>
      <w:pPr>
        <w:spacing w:line="360" w:lineRule="auto"/>
        <w:ind w:firstLine="480" w:firstLineChars="200"/>
        <w:rPr>
          <w:rFonts w:ascii="宋体" w:hAnsi="宋体" w:cs="宋体"/>
          <w:kern w:val="0"/>
          <w:sz w:val="24"/>
        </w:rPr>
      </w:pPr>
      <w:r>
        <w:rPr>
          <w:rFonts w:hint="eastAsia" w:ascii="宋体" w:hAnsi="宋体" w:cs="宋体"/>
          <w:kern w:val="0"/>
          <w:sz w:val="24"/>
        </w:rPr>
        <w:t>在系统验收合格后，以项目验收合格为免费维护期的正式开始时间，安排技术人员对系统</w:t>
      </w:r>
      <w:r>
        <w:rPr>
          <w:rFonts w:hint="eastAsia" w:ascii="宋体" w:hAnsi="宋体" w:cs="宋体"/>
          <w:b/>
          <w:bCs/>
          <w:kern w:val="0"/>
          <w:sz w:val="24"/>
        </w:rPr>
        <w:t>提供</w:t>
      </w:r>
      <w:r>
        <w:rPr>
          <w:rFonts w:ascii="宋体" w:hAnsi="宋体" w:cs="宋体"/>
          <w:b/>
          <w:bCs/>
          <w:kern w:val="0"/>
          <w:sz w:val="24"/>
        </w:rPr>
        <w:t>3</w:t>
      </w:r>
      <w:r>
        <w:rPr>
          <w:rFonts w:hint="eastAsia" w:ascii="宋体" w:hAnsi="宋体" w:cs="宋体"/>
          <w:b/>
          <w:bCs/>
          <w:kern w:val="0"/>
          <w:sz w:val="24"/>
        </w:rPr>
        <w:t>年的免费维护，服务期内要求有至少2名项目开发人员驻场服务</w:t>
      </w:r>
      <w:r>
        <w:rPr>
          <w:rFonts w:hint="eastAsia" w:ascii="宋体" w:hAnsi="宋体" w:cs="宋体"/>
          <w:kern w:val="0"/>
          <w:sz w:val="24"/>
        </w:rPr>
        <w:t>。接到甲方通知后</w:t>
      </w:r>
      <w:r>
        <w:rPr>
          <w:rFonts w:ascii="宋体" w:hAnsi="宋体" w:cs="宋体"/>
          <w:kern w:val="0"/>
          <w:sz w:val="24"/>
        </w:rPr>
        <w:t>4小时内赶赴现场提供相关技术服务</w:t>
      </w:r>
      <w:r>
        <w:rPr>
          <w:rFonts w:hint="eastAsia" w:ascii="宋体" w:hAnsi="宋体" w:cs="宋体"/>
          <w:kern w:val="0"/>
          <w:sz w:val="24"/>
        </w:rPr>
        <w:t>，对于影响系统正常运行的故障修复时间不超过12小时，其他系统故障修复时间不超过24小时。</w:t>
      </w:r>
    </w:p>
    <w:p>
      <w:pPr>
        <w:tabs>
          <w:tab w:val="left" w:pos="0"/>
        </w:tabs>
        <w:spacing w:line="360" w:lineRule="auto"/>
        <w:rPr>
          <w:rFonts w:ascii="宋体" w:hAnsi="宋体" w:cs="宋体"/>
          <w:b/>
          <w:bCs/>
          <w:sz w:val="24"/>
        </w:rPr>
      </w:pPr>
      <w:r>
        <w:rPr>
          <w:rFonts w:hint="eastAsia" w:ascii="宋体" w:hAnsi="宋体" w:cs="宋体"/>
          <w:b/>
          <w:bCs/>
          <w:sz w:val="24"/>
        </w:rPr>
        <w:t>六、履约保证金：</w:t>
      </w:r>
      <w:r>
        <w:rPr>
          <w:rFonts w:hint="eastAsia" w:ascii="宋体" w:hAnsi="宋体" w:cs="宋体"/>
          <w:sz w:val="24"/>
        </w:rPr>
        <w:t>本项目须缴纳合同金额1%的履约保证金。</w:t>
      </w:r>
      <w:bookmarkEnd w:id="28"/>
    </w:p>
    <w:p>
      <w:pPr>
        <w:spacing w:line="360" w:lineRule="auto"/>
        <w:rPr>
          <w:rFonts w:ascii="宋体" w:hAnsi="宋体" w:cs="宋体"/>
          <w:kern w:val="0"/>
          <w:sz w:val="24"/>
        </w:rPr>
      </w:pPr>
      <w:r>
        <w:rPr>
          <w:rFonts w:hint="eastAsia" w:ascii="宋体" w:hAnsi="宋体" w:cs="宋体"/>
          <w:b/>
          <w:bCs/>
          <w:sz w:val="24"/>
        </w:rPr>
        <w:t>七、付款方式：</w:t>
      </w:r>
      <w:r>
        <w:rPr>
          <w:rFonts w:hint="eastAsia" w:ascii="宋体" w:hAnsi="宋体" w:cs="宋体"/>
          <w:kern w:val="0"/>
          <w:sz w:val="24"/>
        </w:rPr>
        <w:t>分期支付</w:t>
      </w:r>
    </w:p>
    <w:p>
      <w:pPr>
        <w:autoSpaceDE w:val="0"/>
        <w:autoSpaceDN w:val="0"/>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（一）</w:t>
      </w:r>
      <w:r>
        <w:rPr>
          <w:rFonts w:hint="eastAsia" w:ascii="宋体" w:hAnsi="宋体" w:cs="宋体"/>
          <w:kern w:val="0"/>
          <w:sz w:val="24"/>
          <w:highlight w:val="none"/>
          <w:lang w:val="zh-CN"/>
        </w:rPr>
        <w:t>合同签订后甲方自收到发票后</w:t>
      </w:r>
      <w:r>
        <w:rPr>
          <w:rFonts w:ascii="宋体" w:hAnsi="宋体" w:cs="宋体"/>
          <w:kern w:val="0"/>
          <w:sz w:val="24"/>
          <w:highlight w:val="none"/>
        </w:rPr>
        <w:t>5</w:t>
      </w:r>
      <w:r>
        <w:rPr>
          <w:rFonts w:hint="eastAsia" w:ascii="宋体" w:hAnsi="宋体" w:cs="宋体"/>
          <w:kern w:val="0"/>
          <w:sz w:val="24"/>
          <w:highlight w:val="none"/>
          <w:lang w:val="zh-CN"/>
        </w:rPr>
        <w:t>个工作日内，甲方向中标人支付合同总价款的</w:t>
      </w:r>
      <w:r>
        <w:rPr>
          <w:rFonts w:ascii="宋体" w:hAnsi="宋体" w:cs="宋体"/>
          <w:kern w:val="0"/>
          <w:sz w:val="24"/>
          <w:highlight w:val="none"/>
        </w:rPr>
        <w:t>40%</w:t>
      </w:r>
      <w:r>
        <w:rPr>
          <w:rFonts w:hint="eastAsia" w:ascii="宋体" w:hAnsi="宋体" w:cs="宋体"/>
          <w:kern w:val="0"/>
          <w:sz w:val="24"/>
          <w:highlight w:val="none"/>
          <w:lang w:val="zh-CN"/>
        </w:rPr>
        <w:t>。</w:t>
      </w:r>
    </w:p>
    <w:p>
      <w:pPr>
        <w:autoSpaceDE w:val="0"/>
        <w:autoSpaceDN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w:t>
      </w:r>
      <w:r>
        <w:rPr>
          <w:rFonts w:hint="eastAsia" w:ascii="宋体" w:hAnsi="宋体" w:cs="宋体"/>
          <w:kern w:val="0"/>
          <w:sz w:val="24"/>
        </w:rPr>
        <w:t>二</w:t>
      </w:r>
      <w:r>
        <w:rPr>
          <w:rFonts w:hint="eastAsia" w:ascii="宋体" w:hAnsi="宋体" w:cs="宋体"/>
          <w:kern w:val="0"/>
          <w:sz w:val="24"/>
          <w:lang w:val="zh-CN"/>
        </w:rPr>
        <w:t>）项目完成需求分析、概要设计，提交需求规格说明书、概要设计说明书，</w:t>
      </w:r>
      <w:r>
        <w:rPr>
          <w:rFonts w:hint="eastAsia" w:ascii="宋体" w:hAnsi="宋体" w:cs="宋体"/>
          <w:kern w:val="0"/>
          <w:sz w:val="24"/>
        </w:rPr>
        <w:t>甲方审核通过后</w:t>
      </w:r>
      <w:r>
        <w:rPr>
          <w:rFonts w:hint="eastAsia" w:ascii="宋体" w:hAnsi="宋体" w:cs="宋体"/>
          <w:kern w:val="0"/>
          <w:sz w:val="24"/>
          <w:lang w:val="zh-CN"/>
        </w:rPr>
        <w:t>中标人提供发票后</w:t>
      </w:r>
      <w:r>
        <w:rPr>
          <w:rFonts w:hint="eastAsia" w:ascii="宋体" w:hAnsi="宋体" w:cs="宋体"/>
          <w:kern w:val="0"/>
          <w:sz w:val="24"/>
        </w:rPr>
        <w:t>5</w:t>
      </w:r>
      <w:r>
        <w:rPr>
          <w:rFonts w:hint="eastAsia" w:ascii="宋体" w:hAnsi="宋体" w:cs="宋体"/>
          <w:kern w:val="0"/>
          <w:sz w:val="24"/>
          <w:lang w:val="zh-CN"/>
        </w:rPr>
        <w:t>个工作日内，支付合同总价款的</w:t>
      </w:r>
      <w:r>
        <w:rPr>
          <w:rFonts w:ascii="宋体" w:hAnsi="宋体" w:cs="宋体"/>
          <w:kern w:val="0"/>
          <w:sz w:val="24"/>
        </w:rPr>
        <w:t>20</w:t>
      </w:r>
      <w:r>
        <w:rPr>
          <w:rFonts w:hint="eastAsia" w:ascii="宋体" w:hAnsi="宋体" w:cs="宋体"/>
          <w:kern w:val="0"/>
          <w:sz w:val="24"/>
        </w:rPr>
        <w:t>%</w:t>
      </w:r>
      <w:r>
        <w:rPr>
          <w:rFonts w:hint="eastAsia" w:ascii="宋体" w:hAnsi="宋体" w:cs="宋体"/>
          <w:kern w:val="0"/>
          <w:sz w:val="24"/>
          <w:lang w:val="zh-CN"/>
        </w:rPr>
        <w:t>。</w:t>
      </w:r>
    </w:p>
    <w:p>
      <w:pPr>
        <w:autoSpaceDE w:val="0"/>
        <w:autoSpaceDN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（三）项目达到试运行要求并通过初验后，中标人提供发票后</w:t>
      </w:r>
      <w:r>
        <w:rPr>
          <w:rFonts w:hint="eastAsia" w:ascii="宋体" w:hAnsi="宋体" w:cs="宋体"/>
          <w:kern w:val="0"/>
          <w:sz w:val="24"/>
        </w:rPr>
        <w:t>5</w:t>
      </w:r>
      <w:r>
        <w:rPr>
          <w:rFonts w:hint="eastAsia" w:ascii="宋体" w:hAnsi="宋体" w:cs="宋体"/>
          <w:kern w:val="0"/>
          <w:sz w:val="24"/>
          <w:lang w:val="zh-CN"/>
        </w:rPr>
        <w:t>个工作日内，于2024年1</w:t>
      </w:r>
      <w:r>
        <w:rPr>
          <w:rFonts w:hint="eastAsia" w:ascii="宋体" w:hAnsi="宋体" w:cs="宋体"/>
          <w:kern w:val="0"/>
          <w:sz w:val="24"/>
        </w:rPr>
        <w:t>2</w:t>
      </w:r>
      <w:r>
        <w:rPr>
          <w:rFonts w:hint="eastAsia" w:ascii="宋体" w:hAnsi="宋体" w:cs="宋体"/>
          <w:kern w:val="0"/>
          <w:sz w:val="24"/>
          <w:lang w:val="zh-CN"/>
        </w:rPr>
        <w:t>月</w:t>
      </w:r>
      <w:r>
        <w:rPr>
          <w:rFonts w:hint="eastAsia" w:ascii="宋体" w:hAnsi="宋体" w:cs="宋体"/>
          <w:kern w:val="0"/>
          <w:sz w:val="24"/>
        </w:rPr>
        <w:t>10日</w:t>
      </w:r>
      <w:r>
        <w:rPr>
          <w:rFonts w:hint="eastAsia" w:ascii="宋体" w:hAnsi="宋体" w:cs="宋体"/>
          <w:kern w:val="0"/>
          <w:sz w:val="24"/>
          <w:lang w:val="zh-CN"/>
        </w:rPr>
        <w:t>前，支付合同总价款的</w:t>
      </w:r>
      <w:r>
        <w:rPr>
          <w:rFonts w:ascii="宋体" w:hAnsi="宋体" w:cs="宋体"/>
          <w:kern w:val="0"/>
          <w:sz w:val="24"/>
        </w:rPr>
        <w:t>20</w:t>
      </w:r>
      <w:r>
        <w:rPr>
          <w:rFonts w:hint="eastAsia" w:ascii="宋体" w:hAnsi="宋体" w:cs="宋体"/>
          <w:kern w:val="0"/>
          <w:sz w:val="24"/>
        </w:rPr>
        <w:t>%</w:t>
      </w:r>
      <w:r>
        <w:rPr>
          <w:rFonts w:hint="eastAsia" w:ascii="宋体" w:hAnsi="宋体" w:cs="宋体"/>
          <w:kern w:val="0"/>
          <w:sz w:val="24"/>
          <w:lang w:val="zh-CN"/>
        </w:rPr>
        <w:t>。</w:t>
      </w:r>
    </w:p>
    <w:p>
      <w:pPr>
        <w:autoSpaceDE w:val="0"/>
        <w:autoSpaceDN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w:t>
      </w:r>
      <w:r>
        <w:rPr>
          <w:rFonts w:hint="eastAsia" w:ascii="宋体" w:hAnsi="宋体" w:cs="宋体"/>
          <w:kern w:val="0"/>
          <w:sz w:val="24"/>
        </w:rPr>
        <w:t>四</w:t>
      </w:r>
      <w:r>
        <w:rPr>
          <w:rFonts w:hint="eastAsia" w:ascii="宋体" w:hAnsi="宋体" w:cs="宋体"/>
          <w:kern w:val="0"/>
          <w:sz w:val="24"/>
          <w:lang w:val="zh-CN"/>
        </w:rPr>
        <w:t>）</w:t>
      </w:r>
      <w:r>
        <w:rPr>
          <w:rFonts w:hint="eastAsia" w:ascii="宋体" w:hAnsi="宋体" w:cs="宋体"/>
          <w:kern w:val="0"/>
          <w:sz w:val="24"/>
        </w:rPr>
        <w:t>项目验收通过并提交完整的成果文档后</w:t>
      </w:r>
      <w:r>
        <w:rPr>
          <w:rFonts w:hint="eastAsia" w:ascii="宋体" w:hAnsi="宋体" w:cs="宋体"/>
          <w:kern w:val="0"/>
          <w:sz w:val="24"/>
          <w:lang w:val="zh-CN"/>
        </w:rPr>
        <w:t>，中标人提供发票后</w:t>
      </w:r>
      <w:r>
        <w:rPr>
          <w:rFonts w:hint="eastAsia" w:ascii="宋体" w:hAnsi="宋体" w:cs="宋体"/>
          <w:kern w:val="0"/>
          <w:sz w:val="24"/>
        </w:rPr>
        <w:t>5</w:t>
      </w:r>
      <w:r>
        <w:rPr>
          <w:rFonts w:hint="eastAsia" w:ascii="宋体" w:hAnsi="宋体" w:cs="宋体"/>
          <w:kern w:val="0"/>
          <w:sz w:val="24"/>
          <w:lang w:val="zh-CN"/>
        </w:rPr>
        <w:t>个工作日内，支付合同总价款的</w:t>
      </w:r>
      <w:r>
        <w:rPr>
          <w:rFonts w:hint="eastAsia" w:ascii="宋体" w:hAnsi="宋体" w:cs="宋体"/>
          <w:kern w:val="0"/>
          <w:sz w:val="24"/>
        </w:rPr>
        <w:t>20%</w:t>
      </w:r>
      <w:r>
        <w:rPr>
          <w:rFonts w:hint="eastAsia" w:ascii="宋体" w:hAnsi="宋体" w:cs="宋体"/>
          <w:kern w:val="0"/>
          <w:sz w:val="24"/>
          <w:lang w:val="zh-CN"/>
        </w:rPr>
        <w:t>。</w:t>
      </w:r>
    </w:p>
    <w:p>
      <w:pPr>
        <w:spacing w:line="360" w:lineRule="auto"/>
        <w:rPr>
          <w:rFonts w:ascii="宋体" w:hAnsi="宋体" w:cs="宋体"/>
          <w:b/>
          <w:sz w:val="24"/>
        </w:rPr>
      </w:pPr>
      <w:r>
        <w:rPr>
          <w:rFonts w:hint="eastAsia" w:ascii="宋体" w:hAnsi="宋体" w:cs="宋体"/>
          <w:b/>
          <w:sz w:val="24"/>
        </w:rPr>
        <w:br w:type="page"/>
      </w:r>
    </w:p>
    <w:p>
      <w:pPr>
        <w:snapToGrid w:val="0"/>
        <w:spacing w:line="360" w:lineRule="auto"/>
        <w:outlineLvl w:val="1"/>
        <w:rPr>
          <w:rFonts w:ascii="宋体" w:hAnsi="宋体" w:cs="宋体"/>
          <w:b/>
          <w:sz w:val="24"/>
        </w:rPr>
      </w:pPr>
      <w:r>
        <w:rPr>
          <w:rFonts w:hint="eastAsia" w:ascii="宋体" w:hAnsi="宋体" w:cs="宋体"/>
          <w:b/>
          <w:sz w:val="24"/>
        </w:rPr>
        <w:t>标项二：杭州市“空间智治”数字化平台建设（2024）耕地保护集成应用项目-不动产智治推广及税务协同场景</w:t>
      </w:r>
    </w:p>
    <w:p>
      <w:pPr>
        <w:snapToGrid w:val="0"/>
        <w:spacing w:line="360" w:lineRule="auto"/>
        <w:outlineLvl w:val="1"/>
        <w:rPr>
          <w:rFonts w:ascii="宋体" w:hAnsi="宋体" w:cs="宋体"/>
          <w:b/>
          <w:sz w:val="24"/>
        </w:rPr>
      </w:pPr>
      <w:r>
        <w:rPr>
          <w:rFonts w:hint="eastAsia" w:ascii="宋体" w:hAnsi="宋体" w:cs="宋体"/>
          <w:b/>
          <w:sz w:val="24"/>
        </w:rPr>
        <w:t>一、项目概况：</w:t>
      </w:r>
    </w:p>
    <w:p>
      <w:pPr>
        <w:snapToGrid w:val="0"/>
        <w:spacing w:line="360" w:lineRule="auto"/>
        <w:ind w:firstLine="480" w:firstLineChars="200"/>
        <w:rPr>
          <w:rFonts w:ascii="宋体" w:hAnsi="宋体" w:cs="宋体"/>
          <w:sz w:val="24"/>
        </w:rPr>
      </w:pPr>
      <w:r>
        <w:rPr>
          <w:rFonts w:hint="eastAsia" w:ascii="宋体" w:hAnsi="宋体" w:cs="宋体"/>
          <w:sz w:val="24"/>
        </w:rPr>
        <w:t xml:space="preserve"> 在浙江省高质量发展建设共同富裕示范区的背景下，杭州市落实党中央、国务院关于耕地保护的要求，切实加强耕地保护严守耕地红线，坚持守好耕地“基本盘”，在前期空间治理数字化探索的基础上，谋划打造市“空间智治”数字化平台建设（2024）耕地保护集成应用项目，依托“空间智治”数字化平台，新建土地整治项目管理场景和国土空间指标统筹交易管理场景，整合新建违法占用耕地监管整治场景；迭代升级“三块地”动态监测场景；增量开发不动产智治推广应用及税务协同场景。</w:t>
      </w:r>
    </w:p>
    <w:p>
      <w:pPr>
        <w:snapToGrid w:val="0"/>
        <w:spacing w:line="360" w:lineRule="auto"/>
        <w:outlineLvl w:val="1"/>
        <w:rPr>
          <w:rFonts w:ascii="宋体" w:hAnsi="宋体" w:cs="宋体"/>
          <w:b/>
          <w:sz w:val="24"/>
        </w:rPr>
      </w:pPr>
      <w:r>
        <w:rPr>
          <w:rFonts w:hint="eastAsia" w:ascii="宋体" w:hAnsi="宋体" w:cs="宋体"/>
          <w:b/>
          <w:sz w:val="24"/>
        </w:rPr>
        <w:t>二、功能要求：</w:t>
      </w:r>
    </w:p>
    <w:p>
      <w:pPr>
        <w:spacing w:line="360" w:lineRule="auto"/>
        <w:ind w:firstLine="479" w:firstLineChars="199"/>
        <w:outlineLvl w:val="2"/>
        <w:rPr>
          <w:rFonts w:ascii="宋体" w:hAnsi="宋体" w:cs="宋体"/>
          <w:b/>
          <w:bCs/>
          <w:kern w:val="0"/>
          <w:sz w:val="24"/>
        </w:rPr>
      </w:pPr>
      <w:r>
        <w:rPr>
          <w:rFonts w:hint="eastAsia" w:ascii="宋体" w:hAnsi="宋体" w:cs="宋体"/>
          <w:b/>
          <w:bCs/>
          <w:sz w:val="24"/>
        </w:rPr>
        <w:t xml:space="preserve">    </w:t>
      </w:r>
      <w:r>
        <w:rPr>
          <w:rFonts w:ascii="宋体" w:hAnsi="宋体" w:cs="宋体"/>
          <w:b/>
          <w:bCs/>
          <w:kern w:val="0"/>
          <w:sz w:val="24"/>
        </w:rPr>
        <w:t>2.</w:t>
      </w:r>
      <w:r>
        <w:rPr>
          <w:rFonts w:hint="eastAsia" w:ascii="宋体" w:hAnsi="宋体" w:cs="宋体"/>
          <w:b/>
          <w:bCs/>
          <w:kern w:val="0"/>
          <w:sz w:val="24"/>
        </w:rPr>
        <w:t>1.不动产智治通用部署</w:t>
      </w:r>
    </w:p>
    <w:p>
      <w:pPr>
        <w:snapToGrid w:val="0"/>
        <w:spacing w:line="360" w:lineRule="auto"/>
        <w:ind w:firstLine="480" w:firstLineChars="200"/>
        <w:rPr>
          <w:rFonts w:ascii="宋体" w:hAnsi="宋体" w:cs="宋体"/>
          <w:sz w:val="24"/>
        </w:rPr>
      </w:pPr>
      <w:r>
        <w:rPr>
          <w:rFonts w:hint="eastAsia" w:ascii="宋体" w:hAnsi="宋体" w:cs="宋体"/>
          <w:sz w:val="24"/>
        </w:rPr>
        <w:t>（1）外部共享及接口管理。建设不动产智治接口监测监管模块，支撑日常接口监测、管理。</w:t>
      </w:r>
    </w:p>
    <w:p>
      <w:pPr>
        <w:snapToGrid w:val="0"/>
        <w:spacing w:line="360" w:lineRule="auto"/>
        <w:ind w:firstLine="480" w:firstLineChars="200"/>
        <w:rPr>
          <w:rFonts w:ascii="宋体" w:hAnsi="宋体" w:cs="宋体"/>
          <w:sz w:val="24"/>
        </w:rPr>
      </w:pPr>
      <w:r>
        <w:rPr>
          <w:rFonts w:hint="eastAsia" w:ascii="宋体" w:hAnsi="宋体" w:cs="宋体"/>
          <w:sz w:val="24"/>
        </w:rPr>
        <w:t>（2）统计中心。建设部署不动产智治数据统计中心，支撑日常工作统计分析及各类专项报表管理，支持对不动产登记效能监管，对证书证明移交情况、查解封情况、抵押物核实情况、查档业务量、档案借阅情况、缴费情况的统计分析。</w:t>
      </w:r>
    </w:p>
    <w:p>
      <w:pPr>
        <w:snapToGrid w:val="0"/>
        <w:spacing w:line="360" w:lineRule="auto"/>
        <w:ind w:firstLine="480" w:firstLineChars="200"/>
        <w:rPr>
          <w:rFonts w:ascii="宋体" w:hAnsi="宋体" w:cs="宋体"/>
          <w:sz w:val="24"/>
        </w:rPr>
      </w:pPr>
      <w:r>
        <w:rPr>
          <w:rFonts w:hint="eastAsia" w:ascii="宋体" w:hAnsi="宋体" w:cs="宋体"/>
          <w:sz w:val="24"/>
        </w:rPr>
        <w:t>（3）汇交上报。建设部署不动产智治数据汇交上报模块，支持省厅新版电子证照归集模式、数据汇交监管对账统计、登记索引库上报、办件统一赋码。</w:t>
      </w:r>
    </w:p>
    <w:p>
      <w:pPr>
        <w:snapToGrid w:val="0"/>
        <w:spacing w:line="360" w:lineRule="auto"/>
        <w:ind w:firstLine="480" w:firstLineChars="200"/>
        <w:rPr>
          <w:rFonts w:ascii="宋体" w:hAnsi="宋体" w:cs="宋体"/>
          <w:sz w:val="24"/>
        </w:rPr>
      </w:pPr>
      <w:r>
        <w:rPr>
          <w:rFonts w:hint="eastAsia" w:ascii="宋体" w:hAnsi="宋体" w:cs="宋体"/>
          <w:sz w:val="24"/>
        </w:rPr>
        <w:t>（4）数据维护中心。建设部署数据维护中心，支持B/S架构应用模式下的数据维护功能，支持房地挂接、历史恢复现状、权利关系维护功能。</w:t>
      </w:r>
    </w:p>
    <w:p>
      <w:pPr>
        <w:snapToGrid w:val="0"/>
        <w:spacing w:line="360" w:lineRule="auto"/>
        <w:ind w:firstLine="480" w:firstLineChars="200"/>
        <w:rPr>
          <w:rFonts w:ascii="宋体" w:hAnsi="宋体" w:cs="宋体"/>
          <w:sz w:val="24"/>
        </w:rPr>
      </w:pPr>
      <w:r>
        <w:rPr>
          <w:rFonts w:hint="eastAsia" w:ascii="宋体" w:hAnsi="宋体" w:cs="宋体"/>
          <w:sz w:val="24"/>
        </w:rPr>
        <w:t>（5）个性化功能。建设部署杭州不动产登记个性化功能，支持人脸识别、涉税信息推送、公共信息查询、公告、查档模块、共享接口服务。</w:t>
      </w:r>
    </w:p>
    <w:p>
      <w:pPr>
        <w:spacing w:line="360" w:lineRule="auto"/>
        <w:ind w:firstLine="479" w:firstLineChars="199"/>
        <w:outlineLvl w:val="2"/>
        <w:rPr>
          <w:rFonts w:ascii="宋体" w:hAnsi="宋体" w:cs="宋体"/>
          <w:b/>
          <w:bCs/>
          <w:kern w:val="0"/>
          <w:sz w:val="24"/>
        </w:rPr>
      </w:pPr>
      <w:r>
        <w:rPr>
          <w:rFonts w:hint="eastAsia" w:ascii="宋体" w:hAnsi="宋体" w:cs="宋体"/>
          <w:b/>
          <w:bCs/>
          <w:sz w:val="24"/>
        </w:rPr>
        <w:t xml:space="preserve">    </w:t>
      </w:r>
      <w:r>
        <w:rPr>
          <w:rFonts w:ascii="宋体" w:hAnsi="宋体" w:cs="宋体"/>
          <w:b/>
          <w:bCs/>
          <w:sz w:val="24"/>
        </w:rPr>
        <w:t>2.</w:t>
      </w:r>
      <w:r>
        <w:rPr>
          <w:rFonts w:hint="eastAsia" w:ascii="宋体" w:hAnsi="宋体" w:cs="宋体"/>
          <w:b/>
          <w:bCs/>
          <w:kern w:val="0"/>
          <w:sz w:val="24"/>
        </w:rPr>
        <w:t>2.农村宅基地及住宅产权本地化部署</w:t>
      </w:r>
    </w:p>
    <w:p>
      <w:pPr>
        <w:snapToGrid w:val="0"/>
        <w:spacing w:line="360" w:lineRule="auto"/>
        <w:ind w:firstLine="480" w:firstLineChars="200"/>
        <w:rPr>
          <w:rFonts w:ascii="宋体" w:hAnsi="宋体" w:cs="宋体"/>
          <w:sz w:val="24"/>
        </w:rPr>
      </w:pPr>
      <w:r>
        <w:rPr>
          <w:rFonts w:hint="eastAsia" w:ascii="宋体" w:hAnsi="宋体" w:cs="宋体"/>
          <w:sz w:val="24"/>
        </w:rPr>
        <w:t>在杭州市级建设部署不动产智治应用农村宅基地及住宅产权全链智治子场景应用，实现农村宅基地及住宅产权不动产登记服务能力和治理水平提升。</w:t>
      </w:r>
    </w:p>
    <w:p>
      <w:pPr>
        <w:snapToGrid w:val="0"/>
        <w:spacing w:line="360" w:lineRule="auto"/>
        <w:ind w:firstLine="480" w:firstLineChars="200"/>
        <w:rPr>
          <w:rFonts w:ascii="宋体" w:hAnsi="宋体" w:cs="宋体"/>
          <w:sz w:val="24"/>
        </w:rPr>
      </w:pPr>
      <w:r>
        <w:rPr>
          <w:rFonts w:hint="eastAsia" w:ascii="宋体" w:hAnsi="宋体" w:cs="宋体"/>
          <w:sz w:val="24"/>
        </w:rPr>
        <w:t>（1）服务端，完成子场景应用服务端部署运行，包括服务端运行环境扩展，前端服务模块部署调试，业务事项模块部署调试，公共组件发布，应用上架。</w:t>
      </w:r>
    </w:p>
    <w:p>
      <w:pPr>
        <w:snapToGrid w:val="0"/>
        <w:spacing w:line="360" w:lineRule="auto"/>
        <w:ind w:firstLine="480" w:firstLineChars="200"/>
        <w:rPr>
          <w:rFonts w:ascii="宋体" w:hAnsi="宋体" w:cs="宋体"/>
          <w:sz w:val="24"/>
        </w:rPr>
      </w:pPr>
      <w:r>
        <w:rPr>
          <w:rFonts w:hint="eastAsia" w:ascii="宋体" w:hAnsi="宋体" w:cs="宋体"/>
          <w:sz w:val="24"/>
        </w:rPr>
        <w:t>（2）治理端，完成子场景应用治理端部署运行，包括治理端运行环境扩展、前端治理模块部署调试、治理引擎模块部署调试、指标核对、应用上架。</w:t>
      </w:r>
    </w:p>
    <w:p>
      <w:pPr>
        <w:snapToGrid w:val="0"/>
        <w:spacing w:line="360" w:lineRule="auto"/>
        <w:ind w:firstLine="480" w:firstLineChars="200"/>
        <w:rPr>
          <w:rFonts w:ascii="宋体" w:hAnsi="宋体" w:cs="宋体"/>
          <w:sz w:val="24"/>
        </w:rPr>
      </w:pPr>
      <w:r>
        <w:rPr>
          <w:rFonts w:hint="eastAsia" w:ascii="宋体" w:hAnsi="宋体" w:cs="宋体"/>
          <w:sz w:val="24"/>
        </w:rPr>
        <w:t>（3）与外部门本地化对接，根据服务端和治理端对业务协同、数据共享的需求，结合推广要求，完成与住建部门“浙建事”系统对接。</w:t>
      </w:r>
    </w:p>
    <w:p>
      <w:pPr>
        <w:snapToGrid w:val="0"/>
        <w:spacing w:line="360" w:lineRule="auto"/>
        <w:ind w:firstLine="480" w:firstLineChars="200"/>
        <w:rPr>
          <w:rFonts w:ascii="宋体" w:hAnsi="宋体" w:cs="宋体"/>
          <w:sz w:val="24"/>
        </w:rPr>
      </w:pPr>
      <w:r>
        <w:rPr>
          <w:rFonts w:hint="eastAsia" w:ascii="宋体" w:hAnsi="宋体" w:cs="宋体"/>
          <w:sz w:val="24"/>
        </w:rPr>
        <w:t>（4）不动产登记业务系统升级改造，根据服务端和治理端对不动产登记业务办件流转、内部信息查询的需求，结合推广要求，完成与杭州市不动产登记系统的对接改造。</w:t>
      </w:r>
    </w:p>
    <w:p>
      <w:pPr>
        <w:snapToGrid w:val="0"/>
        <w:spacing w:line="360" w:lineRule="auto"/>
        <w:ind w:firstLine="480" w:firstLineChars="200"/>
        <w:rPr>
          <w:rFonts w:ascii="宋体" w:hAnsi="宋体" w:cs="宋体"/>
          <w:sz w:val="24"/>
        </w:rPr>
      </w:pPr>
      <w:r>
        <w:rPr>
          <w:rFonts w:hint="eastAsia" w:ascii="宋体" w:hAnsi="宋体" w:cs="宋体"/>
          <w:sz w:val="24"/>
        </w:rPr>
        <w:t>（5）专题库扩展建设，围绕新增专题指标的数据需求，扩展不动产智治专题库的汇聚数据资源，补充进行数据筛选、融合分析，为宅基地和农房登记状况专题、现状分析专题、宅基地资格分析专题、一码管宅专题、盘活利用专题、抵押融资专题提供有效的数据支撑。</w:t>
      </w:r>
    </w:p>
    <w:p>
      <w:pPr>
        <w:spacing w:line="360" w:lineRule="auto"/>
        <w:ind w:firstLine="479" w:firstLineChars="199"/>
        <w:outlineLvl w:val="2"/>
        <w:rPr>
          <w:rFonts w:ascii="宋体" w:hAnsi="宋体" w:cs="宋体"/>
          <w:b/>
          <w:bCs/>
          <w:sz w:val="24"/>
        </w:rPr>
      </w:pPr>
      <w:r>
        <w:rPr>
          <w:rFonts w:hint="eastAsia" w:ascii="宋体" w:hAnsi="宋体" w:cs="宋体"/>
          <w:b/>
          <w:bCs/>
          <w:sz w:val="24"/>
        </w:rPr>
        <w:t xml:space="preserve">    </w:t>
      </w:r>
      <w:r>
        <w:rPr>
          <w:rFonts w:ascii="宋体" w:hAnsi="宋体" w:cs="宋体"/>
          <w:b/>
          <w:bCs/>
          <w:sz w:val="24"/>
        </w:rPr>
        <w:t>2.</w:t>
      </w:r>
      <w:r>
        <w:rPr>
          <w:rFonts w:hint="eastAsia" w:ascii="宋体" w:hAnsi="宋体" w:cs="宋体"/>
          <w:b/>
          <w:bCs/>
          <w:sz w:val="24"/>
        </w:rPr>
        <w:t>3.国有土地及商业用房本地化部署</w:t>
      </w:r>
    </w:p>
    <w:p>
      <w:pPr>
        <w:snapToGrid w:val="0"/>
        <w:spacing w:line="360" w:lineRule="auto"/>
        <w:ind w:firstLine="480" w:firstLineChars="200"/>
        <w:rPr>
          <w:rFonts w:ascii="宋体" w:hAnsi="宋体" w:cs="宋体"/>
          <w:sz w:val="24"/>
        </w:rPr>
      </w:pPr>
      <w:r>
        <w:rPr>
          <w:rFonts w:hint="eastAsia" w:ascii="宋体" w:hAnsi="宋体" w:cs="宋体"/>
          <w:sz w:val="24"/>
        </w:rPr>
        <w:t>在杭州市级建设部署不动产智治应用国有土地及商业用房产权全链智治子场景应用，实现国有土地及商业用房产权不动产登记服务能力和治理水平提升。</w:t>
      </w:r>
    </w:p>
    <w:p>
      <w:pPr>
        <w:snapToGrid w:val="0"/>
        <w:spacing w:line="360" w:lineRule="auto"/>
        <w:ind w:firstLine="480" w:firstLineChars="200"/>
        <w:rPr>
          <w:rFonts w:ascii="宋体" w:hAnsi="宋体" w:cs="宋体"/>
          <w:sz w:val="24"/>
        </w:rPr>
      </w:pPr>
      <w:r>
        <w:rPr>
          <w:rFonts w:hint="eastAsia" w:ascii="宋体" w:hAnsi="宋体" w:cs="宋体"/>
          <w:sz w:val="24"/>
        </w:rPr>
        <w:t>（1）服务端，完成子场景应用服务端部署运行，包括服务端运行环境扩展，前端服务模块部署调试，业务事项模块部署调试，公共组件发布，应用上架。</w:t>
      </w:r>
    </w:p>
    <w:p>
      <w:pPr>
        <w:snapToGrid w:val="0"/>
        <w:spacing w:line="360" w:lineRule="auto"/>
        <w:ind w:firstLine="480" w:firstLineChars="200"/>
        <w:rPr>
          <w:rFonts w:ascii="宋体" w:hAnsi="宋体" w:cs="宋体"/>
          <w:sz w:val="24"/>
        </w:rPr>
      </w:pPr>
      <w:r>
        <w:rPr>
          <w:rFonts w:hint="eastAsia" w:ascii="宋体" w:hAnsi="宋体" w:cs="宋体"/>
          <w:sz w:val="24"/>
        </w:rPr>
        <w:t>（2）治理端，完成子场景应用治理端部署运行，包括治理端运行环境扩展、前端治理模块部署调试、治理引擎模块部署调试、指标核对、应用上架。</w:t>
      </w:r>
    </w:p>
    <w:p>
      <w:pPr>
        <w:snapToGrid w:val="0"/>
        <w:spacing w:line="360" w:lineRule="auto"/>
        <w:ind w:firstLine="480" w:firstLineChars="200"/>
        <w:rPr>
          <w:rFonts w:ascii="宋体" w:hAnsi="宋体" w:cs="宋体"/>
          <w:sz w:val="24"/>
        </w:rPr>
      </w:pPr>
      <w:r>
        <w:rPr>
          <w:rFonts w:hint="eastAsia" w:ascii="宋体" w:hAnsi="宋体" w:cs="宋体"/>
          <w:sz w:val="24"/>
        </w:rPr>
        <w:t>（3）与外部门本地化对接，根据服务端和治理端对业务协同、数据共享的需求，结合推广要求，完成与市场监管、税务和经信等部门的系统对接。</w:t>
      </w:r>
    </w:p>
    <w:p>
      <w:pPr>
        <w:snapToGrid w:val="0"/>
        <w:spacing w:line="360" w:lineRule="auto"/>
        <w:ind w:firstLine="480" w:firstLineChars="200"/>
        <w:rPr>
          <w:rFonts w:ascii="宋体" w:hAnsi="宋体" w:cs="宋体"/>
          <w:sz w:val="24"/>
        </w:rPr>
      </w:pPr>
      <w:r>
        <w:rPr>
          <w:rFonts w:hint="eastAsia" w:ascii="宋体" w:hAnsi="宋体" w:cs="宋体"/>
          <w:sz w:val="24"/>
        </w:rPr>
        <w:t>（4）不动产登记业务系统升级改造，根据服务端和治理端对不动产登记业务办件流转、内部信息查询的需求，结合推广要求，完成与杭州市不动产登记系统的对接改造。</w:t>
      </w:r>
    </w:p>
    <w:p>
      <w:pPr>
        <w:snapToGrid w:val="0"/>
        <w:spacing w:line="360" w:lineRule="auto"/>
        <w:ind w:firstLine="480" w:firstLineChars="200"/>
        <w:rPr>
          <w:rFonts w:ascii="宋体" w:hAnsi="宋体" w:cs="宋体"/>
          <w:sz w:val="24"/>
        </w:rPr>
      </w:pPr>
      <w:r>
        <w:rPr>
          <w:rFonts w:hint="eastAsia" w:ascii="宋体" w:hAnsi="宋体" w:cs="宋体"/>
          <w:sz w:val="24"/>
        </w:rPr>
        <w:t>（5）专题库扩展建设，围绕新增专题指标的数据需求，扩展不动产智治专题库的汇聚数据资源，补充进行数据筛选、融合分析，为商办楼宇基础数据专题、企业经济数据专题、租金税收专题提供有效的数据支撑。</w:t>
      </w:r>
    </w:p>
    <w:p>
      <w:pPr>
        <w:spacing w:line="360" w:lineRule="auto"/>
        <w:ind w:firstLine="479" w:firstLineChars="199"/>
        <w:outlineLvl w:val="2"/>
        <w:rPr>
          <w:rFonts w:ascii="宋体" w:hAnsi="宋体" w:cs="宋体"/>
          <w:b/>
          <w:bCs/>
          <w:sz w:val="24"/>
        </w:rPr>
      </w:pPr>
      <w:r>
        <w:rPr>
          <w:rFonts w:hint="eastAsia" w:ascii="宋体" w:hAnsi="宋体" w:cs="宋体"/>
          <w:b/>
          <w:bCs/>
          <w:sz w:val="24"/>
        </w:rPr>
        <w:t xml:space="preserve">    </w:t>
      </w:r>
      <w:r>
        <w:rPr>
          <w:rFonts w:ascii="宋体" w:hAnsi="宋体" w:cs="宋体"/>
          <w:b/>
          <w:bCs/>
          <w:sz w:val="24"/>
        </w:rPr>
        <w:t>2.</w:t>
      </w:r>
      <w:r>
        <w:rPr>
          <w:rFonts w:hint="eastAsia" w:ascii="宋体" w:hAnsi="宋体" w:cs="宋体"/>
          <w:b/>
          <w:bCs/>
          <w:sz w:val="24"/>
        </w:rPr>
        <w:t>4.税务协同管理场景部署</w:t>
      </w:r>
    </w:p>
    <w:p>
      <w:pPr>
        <w:snapToGrid w:val="0"/>
        <w:spacing w:line="360" w:lineRule="auto"/>
        <w:ind w:firstLine="480" w:firstLineChars="200"/>
        <w:rPr>
          <w:rFonts w:ascii="宋体" w:hAnsi="宋体" w:cs="宋体"/>
          <w:sz w:val="24"/>
        </w:rPr>
      </w:pPr>
      <w:r>
        <w:rPr>
          <w:rFonts w:hint="eastAsia" w:ascii="宋体" w:hAnsi="宋体" w:cs="宋体"/>
          <w:sz w:val="24"/>
        </w:rPr>
        <w:t>不动产单元代码税务延伸：利用不动产单元号将不动产的全生命周期纳入税收监管，将不动产相关历次增值税发票信息、完税信息等智能应用不动产交易涉税业务中。</w:t>
      </w:r>
    </w:p>
    <w:p>
      <w:pPr>
        <w:snapToGrid w:val="0"/>
        <w:spacing w:line="360" w:lineRule="auto"/>
        <w:ind w:firstLine="480" w:firstLineChars="200"/>
        <w:rPr>
          <w:rFonts w:ascii="宋体" w:hAnsi="宋体" w:cs="宋体"/>
          <w:sz w:val="24"/>
        </w:rPr>
      </w:pPr>
      <w:r>
        <w:rPr>
          <w:rFonts w:hint="eastAsia" w:ascii="宋体" w:hAnsi="宋体" w:cs="宋体"/>
          <w:sz w:val="24"/>
        </w:rPr>
        <w:t>（1）数据实时共享、双向互联升级。为了实现不动产的全生命周期税收监管，需要在原数据共享交换基础上做升级，增加实现以不动产单元代码为关联码，不动产的历史登记、历史登记档案等信息的共享。</w:t>
      </w:r>
    </w:p>
    <w:p>
      <w:pPr>
        <w:snapToGrid w:val="0"/>
        <w:spacing w:line="360" w:lineRule="auto"/>
        <w:ind w:firstLine="480" w:firstLineChars="200"/>
        <w:rPr>
          <w:rFonts w:ascii="宋体" w:hAnsi="宋体" w:cs="宋体"/>
          <w:sz w:val="24"/>
        </w:rPr>
      </w:pPr>
      <w:r>
        <w:rPr>
          <w:rFonts w:hint="eastAsia" w:ascii="宋体" w:hAnsi="宋体" w:cs="宋体"/>
          <w:sz w:val="24"/>
        </w:rPr>
        <w:t>（2）全生命周期档案模块。建立全生命周期档案模块，从业务出发以业务来源中不动产单元代码为关联码，提取当前不动产的历史登记信息，并支持查看历史登记信息中涉及的档案信息。同时需将不动产的历次的增值税发票信息、完税信息与历史登记信息做智能匹配关联，形成不动产的登记及税务协同全生命周期档案数据。</w:t>
      </w:r>
    </w:p>
    <w:p>
      <w:pPr>
        <w:snapToGrid w:val="0"/>
        <w:spacing w:line="360" w:lineRule="auto"/>
        <w:ind w:firstLine="480" w:firstLineChars="200"/>
        <w:rPr>
          <w:rFonts w:ascii="宋体" w:hAnsi="宋体" w:cs="宋体"/>
          <w:sz w:val="24"/>
        </w:rPr>
      </w:pPr>
      <w:r>
        <w:rPr>
          <w:rFonts w:hint="eastAsia" w:ascii="宋体" w:hAnsi="宋体" w:cs="宋体"/>
          <w:sz w:val="24"/>
        </w:rPr>
        <w:t>（3）线上缴款开票服务升级。对线上申报缴款开票服务进行升级，纳税人申请确认后，线上缴款支持买卖双方合并支付、分开支付等多种付款方式。针对二手房业务在纳税人完税后支持自动代开增值税全电发票、自动开具税收完税凭证等功能。</w:t>
      </w:r>
    </w:p>
    <w:p>
      <w:pPr>
        <w:snapToGrid w:val="0"/>
        <w:spacing w:line="360" w:lineRule="auto"/>
        <w:ind w:firstLine="480" w:firstLineChars="200"/>
        <w:rPr>
          <w:rFonts w:ascii="宋体" w:hAnsi="宋体" w:cs="宋体"/>
          <w:sz w:val="24"/>
        </w:rPr>
      </w:pPr>
      <w:r>
        <w:rPr>
          <w:rFonts w:hint="eastAsia" w:ascii="宋体" w:hAnsi="宋体" w:cs="宋体"/>
          <w:sz w:val="24"/>
        </w:rPr>
        <w:t>“一码一价”智能核税：建立以不动产单元代码为唯一关联码的房屋基准价格“一码一价”体系。将不动产单元代码应用拓展至房产交易税收管理中，实现“交房即交证”“二手房掌办”“交地即交证”三大应用场景税收智能审核功能建设及优化。</w:t>
      </w:r>
    </w:p>
    <w:p>
      <w:pPr>
        <w:spacing w:line="360" w:lineRule="auto"/>
        <w:ind w:firstLine="480" w:firstLineChars="200"/>
        <w:jc w:val="left"/>
        <w:rPr>
          <w:rFonts w:ascii="宋体" w:hAnsi="宋体" w:cs="宋体"/>
          <w:sz w:val="24"/>
        </w:rPr>
      </w:pPr>
      <w:r>
        <w:rPr>
          <w:rFonts w:hint="eastAsia" w:ascii="宋体" w:hAnsi="宋体" w:cs="宋体"/>
          <w:sz w:val="24"/>
        </w:rPr>
        <w:t>（4）智能比对筛选。定期智能比对筛选不动产登簿数据与税务楼幢基准评估价数据，形成不动产单元号智能匹配成果。利用不动产单元号，将每套房产的不动产单元号、房屋坐落、楼幢序号、特征幢序号匹配，形成房屋基准价格“一码一价”体系。</w:t>
      </w:r>
    </w:p>
    <w:p>
      <w:pPr>
        <w:spacing w:line="360" w:lineRule="auto"/>
        <w:ind w:firstLine="480" w:firstLineChars="200"/>
        <w:jc w:val="left"/>
        <w:rPr>
          <w:rFonts w:ascii="宋体" w:hAnsi="宋体" w:cs="宋体"/>
          <w:sz w:val="24"/>
        </w:rPr>
      </w:pPr>
      <w:r>
        <w:rPr>
          <w:rFonts w:hint="eastAsia" w:ascii="宋体" w:hAnsi="宋体" w:cs="宋体"/>
          <w:sz w:val="24"/>
        </w:rPr>
        <w:t>（5）“交房即交证”智能核税。梳理“交房即交证”应用场景中涉税业务流程，剖析各个环节节点，形成“交房即交证”智能核税规则和方案，以智能方式进行自动核税处理，实现对承受方的相关发票自动查询、自动核实房屋套次优惠、自动判断小规模“六税两费”优惠等，自动完成相关业务流程。</w:t>
      </w:r>
    </w:p>
    <w:p>
      <w:pPr>
        <w:spacing w:line="360" w:lineRule="auto"/>
        <w:ind w:firstLine="480" w:firstLineChars="200"/>
        <w:jc w:val="left"/>
        <w:rPr>
          <w:rFonts w:ascii="宋体" w:hAnsi="宋体" w:cs="宋体"/>
          <w:sz w:val="24"/>
        </w:rPr>
      </w:pPr>
      <w:r>
        <w:rPr>
          <w:rFonts w:hint="eastAsia" w:ascii="宋体" w:hAnsi="宋体" w:cs="宋体"/>
          <w:sz w:val="24"/>
        </w:rPr>
        <w:t>（6）“二手房掌办”智能核税。梳理“二手房掌办”应用场景中涉税业务流程，剖析各个环节节点，形成“二手房掌办”智能核税规则和方案，实现通过不动产单元代码精准获取计税价格，实现对出让方、承受方的相关发票自动查询、自动核实房屋套次优惠、自动判断小规模“六税两费”优惠、自动判断个税、增值税涉税优惠等，自动完成相关业务流程。</w:t>
      </w:r>
    </w:p>
    <w:p>
      <w:pPr>
        <w:spacing w:line="360" w:lineRule="auto"/>
        <w:ind w:firstLine="480" w:firstLineChars="200"/>
        <w:jc w:val="left"/>
        <w:rPr>
          <w:rFonts w:ascii="宋体" w:hAnsi="宋体" w:cs="宋体"/>
          <w:sz w:val="24"/>
        </w:rPr>
      </w:pPr>
      <w:r>
        <w:rPr>
          <w:rFonts w:hint="eastAsia" w:ascii="宋体" w:hAnsi="宋体" w:cs="宋体"/>
          <w:sz w:val="24"/>
        </w:rPr>
        <w:t>（7）“交地即交证”智能核税。梳理“交房即交地”应用场景中涉税业务流程，剖析各个环节节点，形成“交房即交地”智能核税规则和方案，自动完成相关业务流程。</w:t>
      </w:r>
    </w:p>
    <w:p>
      <w:pPr>
        <w:snapToGrid w:val="0"/>
        <w:spacing w:line="360" w:lineRule="auto"/>
        <w:outlineLvl w:val="1"/>
        <w:rPr>
          <w:rFonts w:ascii="宋体" w:hAnsi="宋体" w:cs="宋体"/>
          <w:b/>
          <w:sz w:val="24"/>
        </w:rPr>
      </w:pPr>
      <w:r>
        <w:rPr>
          <w:rFonts w:hint="eastAsia" w:ascii="宋体" w:hAnsi="宋体" w:cs="宋体"/>
          <w:b/>
          <w:sz w:val="24"/>
        </w:rPr>
        <w:t>三、质量要求：</w:t>
      </w:r>
    </w:p>
    <w:p>
      <w:pPr>
        <w:spacing w:line="360" w:lineRule="auto"/>
        <w:ind w:firstLine="480" w:firstLineChars="200"/>
        <w:jc w:val="left"/>
        <w:rPr>
          <w:rFonts w:ascii="宋体" w:hAnsi="宋体" w:cs="宋体"/>
          <w:sz w:val="24"/>
        </w:rPr>
      </w:pPr>
      <w:r>
        <w:rPr>
          <w:rFonts w:hint="eastAsia" w:ascii="宋体" w:hAnsi="宋体" w:cs="宋体"/>
          <w:sz w:val="24"/>
        </w:rPr>
        <w:t>1、项目验收前应进行系统性能测试并达到合格标准</w:t>
      </w:r>
    </w:p>
    <w:p>
      <w:pPr>
        <w:spacing w:line="360" w:lineRule="auto"/>
        <w:ind w:firstLine="480" w:firstLineChars="200"/>
        <w:jc w:val="left"/>
        <w:rPr>
          <w:rFonts w:ascii="宋体" w:hAnsi="宋体" w:cs="宋体"/>
          <w:sz w:val="24"/>
        </w:rPr>
      </w:pPr>
      <w:r>
        <w:rPr>
          <w:rFonts w:hint="eastAsia" w:ascii="宋体" w:hAnsi="宋体" w:cs="宋体"/>
          <w:sz w:val="24"/>
        </w:rPr>
        <w:t>2、自项目最终验收合</w:t>
      </w:r>
      <w:r>
        <w:rPr>
          <w:rFonts w:hint="eastAsia" w:ascii="宋体" w:hAnsi="宋体" w:cs="宋体"/>
          <w:sz w:val="24"/>
          <w:highlight w:val="none"/>
        </w:rPr>
        <w:t>格之日起，中标供应商提供</w:t>
      </w:r>
      <w:r>
        <w:rPr>
          <w:rFonts w:ascii="宋体" w:hAnsi="宋体" w:cs="宋体"/>
          <w:sz w:val="24"/>
          <w:highlight w:val="none"/>
        </w:rPr>
        <w:t>3年平台升级和免费维护服务，维护期间应对系统应用存在的问题进行修改完善，要求提供不少于1名驻场维护人员并具备独立承担日常维护的技术能力。</w:t>
      </w:r>
      <w:r>
        <w:rPr>
          <w:rFonts w:hint="eastAsia" w:ascii="宋体" w:hAnsi="宋体" w:cs="宋体"/>
          <w:sz w:val="24"/>
          <w:highlight w:val="none"/>
        </w:rPr>
        <w:t>驻场维护人员工作时间为5*8（如遇法定工作日，驻场维护人员应按期驻场），特殊节点</w:t>
      </w:r>
      <w:r>
        <w:rPr>
          <w:rFonts w:hint="eastAsia" w:ascii="宋体" w:hAnsi="宋体" w:cs="宋体"/>
          <w:sz w:val="24"/>
        </w:rPr>
        <w:t>、重大事件时值班时间为7*24。</w:t>
      </w:r>
    </w:p>
    <w:p>
      <w:pPr>
        <w:spacing w:line="360" w:lineRule="auto"/>
        <w:ind w:firstLine="480" w:firstLineChars="200"/>
        <w:jc w:val="left"/>
        <w:rPr>
          <w:rFonts w:ascii="宋体" w:hAnsi="宋体" w:cs="宋体"/>
          <w:sz w:val="24"/>
        </w:rPr>
      </w:pPr>
      <w:r>
        <w:rPr>
          <w:rFonts w:hint="eastAsia" w:ascii="宋体" w:hAnsi="宋体" w:cs="宋体"/>
          <w:sz w:val="24"/>
        </w:rPr>
        <w:t>3.要求建立完整系统、数据库用户日志，内容覆盖用户名、时间、事件、日常操作日志等。</w:t>
      </w:r>
    </w:p>
    <w:p>
      <w:pPr>
        <w:spacing w:line="360" w:lineRule="auto"/>
        <w:ind w:firstLine="480" w:firstLineChars="200"/>
        <w:jc w:val="left"/>
        <w:rPr>
          <w:rFonts w:ascii="宋体" w:hAnsi="宋体" w:cs="宋体"/>
          <w:sz w:val="24"/>
        </w:rPr>
      </w:pPr>
      <w:r>
        <w:rPr>
          <w:rFonts w:hint="eastAsia" w:ascii="宋体" w:hAnsi="宋体" w:cs="宋体"/>
          <w:sz w:val="24"/>
        </w:rPr>
        <w:t>4.要求建立软件代码的版本管理，所有的版本更新及升级要求有日志留痕，并提供版本可视化管理界面。</w:t>
      </w:r>
    </w:p>
    <w:p>
      <w:pPr>
        <w:spacing w:line="360" w:lineRule="auto"/>
        <w:ind w:firstLine="480" w:firstLineChars="200"/>
        <w:jc w:val="left"/>
        <w:rPr>
          <w:rFonts w:ascii="宋体" w:hAnsi="宋体" w:cs="宋体"/>
          <w:sz w:val="24"/>
        </w:rPr>
      </w:pPr>
      <w:r>
        <w:rPr>
          <w:rFonts w:hint="eastAsia" w:ascii="宋体" w:hAnsi="宋体" w:cs="宋体"/>
          <w:sz w:val="24"/>
        </w:rPr>
        <w:t>5.系统安全责任：由中标供应商负责应用层、代码安全责任，如出现系统漏洞、安全事故等安全通报，甲方将追究中标供应商安全责任，并有权向中标供应商收取1%合同金额的违约金。</w:t>
      </w:r>
    </w:p>
    <w:p>
      <w:pPr>
        <w:spacing w:line="360" w:lineRule="auto"/>
        <w:ind w:firstLine="480" w:firstLineChars="200"/>
        <w:jc w:val="left"/>
        <w:rPr>
          <w:rFonts w:ascii="宋体" w:hAnsi="宋体" w:cs="宋体"/>
          <w:sz w:val="24"/>
        </w:rPr>
      </w:pPr>
      <w:r>
        <w:rPr>
          <w:rFonts w:hint="eastAsia" w:ascii="宋体" w:hAnsi="宋体" w:cs="宋体"/>
          <w:sz w:val="24"/>
        </w:rPr>
        <w:t>6、网络安全责任：中标供应商负责所开发系统、软件、平台的安全责任，如出现系统漏洞等安全问题被省公安厅级以上级别单位通报，须扣减1%合同金额作为赔偿，如款项已支付完毕，中标供应商应当向甲方支付1%合同金额作为赔偿。</w:t>
      </w:r>
    </w:p>
    <w:p>
      <w:pPr>
        <w:spacing w:line="360" w:lineRule="auto"/>
        <w:jc w:val="left"/>
        <w:rPr>
          <w:rFonts w:ascii="宋体" w:hAnsi="宋体" w:cs="宋体"/>
          <w:b/>
          <w:sz w:val="24"/>
        </w:rPr>
      </w:pPr>
      <w:r>
        <w:rPr>
          <w:rFonts w:ascii="宋体" w:hAnsi="宋体" w:cs="宋体"/>
          <w:b/>
          <w:sz w:val="24"/>
        </w:rPr>
        <w:t>四</w:t>
      </w:r>
      <w:r>
        <w:rPr>
          <w:rFonts w:hint="eastAsia" w:ascii="宋体" w:hAnsi="宋体" w:cs="宋体"/>
          <w:b/>
          <w:sz w:val="24"/>
        </w:rPr>
        <w:t>、服务要求</w:t>
      </w:r>
    </w:p>
    <w:p>
      <w:pPr>
        <w:spacing w:line="360" w:lineRule="auto"/>
        <w:ind w:firstLine="479" w:firstLineChars="199"/>
        <w:outlineLvl w:val="2"/>
        <w:rPr>
          <w:rFonts w:ascii="宋体" w:hAnsi="宋体" w:cs="宋体"/>
          <w:b/>
          <w:bCs/>
          <w:kern w:val="0"/>
          <w:sz w:val="24"/>
        </w:rPr>
      </w:pPr>
      <w:r>
        <w:rPr>
          <w:rFonts w:ascii="宋体" w:hAnsi="宋体" w:cs="宋体"/>
          <w:b/>
          <w:bCs/>
          <w:kern w:val="0"/>
          <w:sz w:val="24"/>
        </w:rPr>
        <w:t>4</w:t>
      </w:r>
      <w:r>
        <w:rPr>
          <w:rFonts w:hint="eastAsia" w:ascii="宋体" w:hAnsi="宋体" w:cs="宋体"/>
          <w:b/>
          <w:bCs/>
          <w:kern w:val="0"/>
          <w:sz w:val="24"/>
        </w:rPr>
        <w:t>.1项目进度要求</w:t>
      </w:r>
    </w:p>
    <w:p>
      <w:pPr>
        <w:spacing w:line="360" w:lineRule="auto"/>
        <w:ind w:firstLine="480" w:firstLineChars="200"/>
        <w:rPr>
          <w:rFonts w:ascii="宋体" w:hAnsi="宋体" w:cs="宋体"/>
          <w:kern w:val="0"/>
          <w:sz w:val="24"/>
        </w:rPr>
      </w:pPr>
      <w:r>
        <w:rPr>
          <w:rFonts w:hint="eastAsia" w:ascii="宋体" w:hAnsi="宋体" w:cs="宋体"/>
          <w:kern w:val="0"/>
          <w:sz w:val="24"/>
        </w:rPr>
        <w:t>要求在2025年</w:t>
      </w:r>
      <w:r>
        <w:rPr>
          <w:rFonts w:ascii="宋体" w:hAnsi="宋体" w:cs="宋体"/>
          <w:kern w:val="0"/>
          <w:sz w:val="24"/>
        </w:rPr>
        <w:t>6</w:t>
      </w:r>
      <w:r>
        <w:rPr>
          <w:rFonts w:hint="eastAsia" w:ascii="宋体" w:hAnsi="宋体" w:cs="宋体"/>
          <w:kern w:val="0"/>
          <w:sz w:val="24"/>
        </w:rPr>
        <w:t>月前完成本项目全部建设内容。供应商应根据信息系统建设项目实施步骤提供严密的项目实施进度计划，包含需求调研、平台设计、系统开发、部署、测试、培训、试运行及验收阶段。试运行期至少1个月，试运行期无重大故障且解决所有发现的缺陷后进行项目整体验收。</w:t>
      </w:r>
    </w:p>
    <w:p>
      <w:pPr>
        <w:spacing w:line="360" w:lineRule="auto"/>
        <w:ind w:firstLine="479" w:firstLineChars="199"/>
        <w:outlineLvl w:val="2"/>
        <w:rPr>
          <w:rFonts w:ascii="宋体" w:hAnsi="宋体" w:cs="宋体"/>
          <w:b/>
          <w:bCs/>
          <w:kern w:val="0"/>
          <w:sz w:val="24"/>
        </w:rPr>
      </w:pPr>
      <w:r>
        <w:rPr>
          <w:rFonts w:ascii="宋体" w:hAnsi="宋体" w:cs="宋体"/>
          <w:b/>
          <w:bCs/>
          <w:kern w:val="0"/>
          <w:sz w:val="24"/>
        </w:rPr>
        <w:t>4</w:t>
      </w:r>
      <w:r>
        <w:rPr>
          <w:rFonts w:hint="eastAsia" w:ascii="宋体" w:hAnsi="宋体" w:cs="宋体"/>
          <w:b/>
          <w:bCs/>
          <w:kern w:val="0"/>
          <w:sz w:val="24"/>
        </w:rPr>
        <w:t>.2项目管理</w:t>
      </w:r>
    </w:p>
    <w:p>
      <w:pPr>
        <w:spacing w:line="360" w:lineRule="auto"/>
        <w:ind w:firstLine="480" w:firstLineChars="200"/>
        <w:rPr>
          <w:rFonts w:ascii="宋体" w:hAnsi="宋体" w:cs="宋体"/>
          <w:kern w:val="0"/>
          <w:sz w:val="24"/>
        </w:rPr>
      </w:pPr>
      <w:r>
        <w:rPr>
          <w:rFonts w:hint="eastAsia" w:ascii="宋体" w:hAnsi="宋体" w:cs="宋体"/>
          <w:kern w:val="0"/>
          <w:sz w:val="24"/>
        </w:rPr>
        <w:t>整个项目组织与实施需要满足以下要求：</w:t>
      </w:r>
    </w:p>
    <w:p>
      <w:pPr>
        <w:spacing w:line="360" w:lineRule="auto"/>
        <w:ind w:firstLine="479" w:firstLineChars="199"/>
        <w:outlineLvl w:val="3"/>
        <w:rPr>
          <w:rFonts w:ascii="宋体" w:hAnsi="宋体" w:cs="宋体"/>
          <w:b/>
          <w:bCs/>
          <w:kern w:val="0"/>
          <w:sz w:val="24"/>
        </w:rPr>
      </w:pPr>
      <w:r>
        <w:rPr>
          <w:rFonts w:ascii="宋体" w:hAnsi="宋体" w:cs="宋体"/>
          <w:b/>
          <w:bCs/>
          <w:kern w:val="0"/>
          <w:sz w:val="24"/>
        </w:rPr>
        <w:t>4</w:t>
      </w:r>
      <w:r>
        <w:rPr>
          <w:rFonts w:hint="eastAsia" w:ascii="宋体" w:hAnsi="宋体" w:cs="宋体"/>
          <w:b/>
          <w:bCs/>
          <w:kern w:val="0"/>
          <w:sz w:val="24"/>
        </w:rPr>
        <w:t>.2.1项目实施过程</w:t>
      </w:r>
    </w:p>
    <w:p>
      <w:pPr>
        <w:spacing w:line="360" w:lineRule="auto"/>
        <w:ind w:firstLine="480" w:firstLineChars="200"/>
        <w:rPr>
          <w:rFonts w:ascii="宋体" w:hAnsi="宋体" w:cs="宋体"/>
          <w:kern w:val="0"/>
          <w:sz w:val="24"/>
        </w:rPr>
      </w:pPr>
      <w:r>
        <w:rPr>
          <w:rFonts w:hint="eastAsia" w:ascii="宋体" w:hAnsi="宋体" w:cs="宋体"/>
          <w:kern w:val="0"/>
          <w:sz w:val="24"/>
        </w:rPr>
        <w:t>系统开发符合相关的信息系统开发规范；</w:t>
      </w:r>
    </w:p>
    <w:p>
      <w:pPr>
        <w:spacing w:line="360" w:lineRule="auto"/>
        <w:ind w:firstLine="480" w:firstLineChars="200"/>
        <w:rPr>
          <w:rFonts w:ascii="宋体" w:hAnsi="宋体" w:cs="宋体"/>
          <w:kern w:val="0"/>
          <w:sz w:val="24"/>
        </w:rPr>
      </w:pPr>
      <w:r>
        <w:rPr>
          <w:rFonts w:hint="eastAsia" w:ascii="宋体" w:hAnsi="宋体" w:cs="宋体"/>
          <w:kern w:val="0"/>
          <w:sz w:val="24"/>
        </w:rPr>
        <w:t>详细描述整个实施过程及系统开发各阶段任务说明；</w:t>
      </w:r>
    </w:p>
    <w:p>
      <w:pPr>
        <w:spacing w:line="360" w:lineRule="auto"/>
        <w:ind w:firstLine="480" w:firstLineChars="200"/>
        <w:rPr>
          <w:rFonts w:ascii="宋体" w:hAnsi="宋体" w:cs="宋体"/>
          <w:kern w:val="0"/>
          <w:sz w:val="24"/>
        </w:rPr>
      </w:pPr>
      <w:r>
        <w:rPr>
          <w:rFonts w:hint="eastAsia" w:ascii="宋体" w:hAnsi="宋体" w:cs="宋体"/>
          <w:kern w:val="0"/>
          <w:sz w:val="24"/>
        </w:rPr>
        <w:t>描述项目进度管理措施、进度计划、开发队伍的人数及进度计划；</w:t>
      </w:r>
    </w:p>
    <w:p>
      <w:pPr>
        <w:spacing w:line="360" w:lineRule="auto"/>
        <w:ind w:firstLine="480" w:firstLineChars="200"/>
        <w:rPr>
          <w:rFonts w:ascii="宋体" w:hAnsi="宋体" w:cs="宋体"/>
          <w:kern w:val="0"/>
          <w:sz w:val="24"/>
        </w:rPr>
      </w:pPr>
      <w:r>
        <w:rPr>
          <w:rFonts w:hint="eastAsia" w:ascii="宋体" w:hAnsi="宋体" w:cs="宋体"/>
          <w:kern w:val="0"/>
          <w:sz w:val="24"/>
        </w:rPr>
        <w:t>在项目实施的各个阶段工作结束后，应提交相关的详细说明文档。</w:t>
      </w:r>
    </w:p>
    <w:p>
      <w:pPr>
        <w:spacing w:line="360" w:lineRule="auto"/>
        <w:ind w:firstLine="479" w:firstLineChars="199"/>
        <w:outlineLvl w:val="3"/>
        <w:rPr>
          <w:rFonts w:ascii="宋体" w:hAnsi="宋体" w:cs="宋体"/>
          <w:b/>
          <w:bCs/>
          <w:kern w:val="0"/>
          <w:sz w:val="24"/>
        </w:rPr>
      </w:pPr>
      <w:r>
        <w:rPr>
          <w:rFonts w:ascii="宋体" w:hAnsi="宋体" w:cs="宋体"/>
          <w:b/>
          <w:bCs/>
          <w:kern w:val="0"/>
          <w:sz w:val="24"/>
        </w:rPr>
        <w:t>4</w:t>
      </w:r>
      <w:r>
        <w:rPr>
          <w:rFonts w:hint="eastAsia" w:ascii="宋体" w:hAnsi="宋体" w:cs="宋体"/>
          <w:b/>
          <w:bCs/>
          <w:kern w:val="0"/>
          <w:sz w:val="24"/>
        </w:rPr>
        <w:t>.2.2项目经理</w:t>
      </w:r>
    </w:p>
    <w:p>
      <w:pPr>
        <w:spacing w:line="360" w:lineRule="auto"/>
        <w:ind w:firstLine="480" w:firstLineChars="200"/>
        <w:rPr>
          <w:rFonts w:ascii="宋体" w:hAnsi="宋体" w:cs="宋体"/>
          <w:kern w:val="0"/>
          <w:sz w:val="24"/>
        </w:rPr>
      </w:pPr>
      <w:r>
        <w:rPr>
          <w:rFonts w:hint="eastAsia" w:ascii="宋体" w:hAnsi="宋体" w:cs="宋体"/>
          <w:kern w:val="0"/>
          <w:sz w:val="24"/>
        </w:rPr>
        <w:t>为保障项目的高质量实施，供应商须安排具有丰富经验的项目经理作为本项目的负责人，负责项目整体质量把控和资源协调。</w:t>
      </w:r>
    </w:p>
    <w:p>
      <w:pPr>
        <w:spacing w:line="360" w:lineRule="auto"/>
        <w:ind w:firstLine="480" w:firstLineChars="200"/>
        <w:rPr>
          <w:rFonts w:ascii="宋体" w:hAnsi="宋体" w:cs="宋体"/>
          <w:kern w:val="0"/>
          <w:sz w:val="24"/>
        </w:rPr>
      </w:pPr>
      <w:r>
        <w:rPr>
          <w:rFonts w:hint="eastAsia" w:ascii="宋体" w:hAnsi="宋体" w:cs="宋体"/>
          <w:kern w:val="0"/>
          <w:sz w:val="24"/>
        </w:rPr>
        <w:t>项目实施期内，未经甲方同意，供应商不得擅自更换项目经理。</w:t>
      </w:r>
    </w:p>
    <w:p>
      <w:pPr>
        <w:spacing w:line="360" w:lineRule="auto"/>
        <w:ind w:firstLine="479" w:firstLineChars="199"/>
        <w:outlineLvl w:val="3"/>
        <w:rPr>
          <w:rFonts w:ascii="宋体" w:hAnsi="宋体" w:cs="宋体"/>
          <w:b/>
          <w:bCs/>
          <w:kern w:val="0"/>
          <w:sz w:val="24"/>
        </w:rPr>
      </w:pPr>
      <w:r>
        <w:rPr>
          <w:rFonts w:ascii="宋体" w:hAnsi="宋体" w:cs="宋体"/>
          <w:b/>
          <w:bCs/>
          <w:kern w:val="0"/>
          <w:sz w:val="24"/>
        </w:rPr>
        <w:t>4</w:t>
      </w:r>
      <w:r>
        <w:rPr>
          <w:rFonts w:hint="eastAsia" w:ascii="宋体" w:hAnsi="宋体" w:cs="宋体"/>
          <w:b/>
          <w:bCs/>
          <w:kern w:val="0"/>
          <w:sz w:val="24"/>
        </w:rPr>
        <w:t>.2.3项目组</w:t>
      </w:r>
    </w:p>
    <w:p>
      <w:pPr>
        <w:spacing w:line="360" w:lineRule="auto"/>
        <w:ind w:firstLine="480" w:firstLineChars="200"/>
        <w:rPr>
          <w:rFonts w:ascii="宋体" w:hAnsi="宋体" w:cs="宋体"/>
          <w:kern w:val="0"/>
          <w:sz w:val="24"/>
        </w:rPr>
      </w:pPr>
      <w:r>
        <w:rPr>
          <w:rFonts w:hint="eastAsia" w:ascii="宋体" w:hAnsi="宋体" w:cs="宋体"/>
          <w:kern w:val="0"/>
          <w:sz w:val="24"/>
        </w:rPr>
        <w:t>项目成员结构合理、分工明确。</w:t>
      </w:r>
    </w:p>
    <w:p>
      <w:pPr>
        <w:widowControl/>
        <w:tabs>
          <w:tab w:val="left" w:pos="0"/>
        </w:tabs>
        <w:snapToGrid w:val="0"/>
        <w:spacing w:line="360" w:lineRule="auto"/>
        <w:ind w:firstLine="482" w:firstLineChars="200"/>
        <w:jc w:val="left"/>
        <w:rPr>
          <w:rFonts w:ascii="宋体" w:hAnsi="宋体" w:cs="宋体"/>
          <w:b/>
          <w:bCs/>
          <w:sz w:val="24"/>
        </w:rPr>
      </w:pPr>
      <w:r>
        <w:rPr>
          <w:rFonts w:hint="eastAsia" w:ascii="宋体" w:hAnsi="宋体" w:cs="宋体"/>
          <w:b/>
          <w:bCs/>
          <w:kern w:val="0"/>
          <w:sz w:val="24"/>
        </w:rPr>
        <w:t>注：供应商需根据项目特点和情况对服务团队人员进行合理配置，并在投标文件中提供服务团队人员名单（包括但不限于人员数量、工作经历及为本项目服务的工作岗位等内容）。项目服务团队主要人员在服务有效期内有人事变动，应当经甲方同意。</w:t>
      </w:r>
    </w:p>
    <w:p>
      <w:pPr>
        <w:spacing w:line="360" w:lineRule="auto"/>
        <w:ind w:firstLine="479" w:firstLineChars="199"/>
        <w:outlineLvl w:val="2"/>
        <w:rPr>
          <w:rFonts w:ascii="宋体" w:hAnsi="宋体" w:cs="宋体"/>
          <w:b/>
          <w:bCs/>
          <w:kern w:val="0"/>
          <w:sz w:val="24"/>
        </w:rPr>
      </w:pPr>
      <w:r>
        <w:rPr>
          <w:rFonts w:ascii="宋体" w:hAnsi="宋体" w:cs="宋体"/>
          <w:b/>
          <w:bCs/>
          <w:kern w:val="0"/>
          <w:sz w:val="24"/>
        </w:rPr>
        <w:t>4</w:t>
      </w:r>
      <w:r>
        <w:rPr>
          <w:rFonts w:hint="eastAsia" w:ascii="宋体" w:hAnsi="宋体" w:cs="宋体"/>
          <w:b/>
          <w:bCs/>
          <w:kern w:val="0"/>
          <w:sz w:val="24"/>
        </w:rPr>
        <w:t>.3项目培训</w:t>
      </w:r>
    </w:p>
    <w:p>
      <w:pPr>
        <w:spacing w:line="360" w:lineRule="auto"/>
        <w:ind w:firstLine="480" w:firstLineChars="200"/>
        <w:rPr>
          <w:rFonts w:ascii="宋体" w:hAnsi="宋体" w:cs="宋体"/>
          <w:kern w:val="0"/>
          <w:sz w:val="24"/>
        </w:rPr>
      </w:pPr>
      <w:r>
        <w:rPr>
          <w:rFonts w:hint="eastAsia" w:ascii="宋体" w:hAnsi="宋体" w:cs="宋体"/>
          <w:kern w:val="0"/>
          <w:sz w:val="24"/>
        </w:rPr>
        <w:t>需要培训甲方全面掌握系统建设、运行、维护等技术，培训内容包括系统运行管理维护技术、系统业务操作等，培训对象主要包括系统管理员和业务操作人员。系统相关软硬件的日常管理及维护由系统管理员负责，专业性较强，因此需要对其进行专门的培训，以备日常工作的需要。同时也要对业务操作人员进行培训以确保其对业务系统能够正常、有效地使用。</w:t>
      </w:r>
    </w:p>
    <w:p>
      <w:pPr>
        <w:spacing w:line="360" w:lineRule="auto"/>
        <w:ind w:firstLine="479" w:firstLineChars="199"/>
        <w:outlineLvl w:val="2"/>
        <w:rPr>
          <w:rFonts w:ascii="宋体" w:hAnsi="宋体" w:cs="宋体"/>
          <w:b/>
          <w:bCs/>
          <w:kern w:val="0"/>
          <w:sz w:val="24"/>
        </w:rPr>
      </w:pPr>
      <w:r>
        <w:rPr>
          <w:rFonts w:ascii="宋体" w:hAnsi="宋体" w:cs="宋体"/>
          <w:b/>
          <w:bCs/>
          <w:kern w:val="0"/>
          <w:sz w:val="24"/>
        </w:rPr>
        <w:t>4</w:t>
      </w:r>
      <w:r>
        <w:rPr>
          <w:rFonts w:hint="eastAsia" w:ascii="宋体" w:hAnsi="宋体" w:cs="宋体"/>
          <w:b/>
          <w:bCs/>
          <w:kern w:val="0"/>
          <w:sz w:val="24"/>
        </w:rPr>
        <w:t>.4项目验收</w:t>
      </w:r>
    </w:p>
    <w:p>
      <w:pPr>
        <w:spacing w:line="360" w:lineRule="auto"/>
        <w:ind w:firstLine="480" w:firstLineChars="200"/>
        <w:rPr>
          <w:rFonts w:ascii="宋体" w:hAnsi="宋体" w:cs="宋体"/>
          <w:kern w:val="0"/>
          <w:sz w:val="24"/>
        </w:rPr>
      </w:pPr>
      <w:r>
        <w:rPr>
          <w:rFonts w:ascii="宋体" w:hAnsi="宋体" w:cs="宋体"/>
          <w:kern w:val="0"/>
          <w:sz w:val="24"/>
        </w:rPr>
        <w:t>4</w:t>
      </w:r>
      <w:r>
        <w:rPr>
          <w:rFonts w:hint="eastAsia" w:ascii="宋体" w:hAnsi="宋体" w:cs="宋体"/>
          <w:kern w:val="0"/>
          <w:sz w:val="24"/>
        </w:rPr>
        <w:t>.4.1系统试运行，无障碍且具备验收条件后，须向用户提交完整的项目成果，由甲方组织项目验收。项目成果包括系统软件开发的安装程序、需求说明书、系统操作及维护手册等。</w:t>
      </w:r>
    </w:p>
    <w:p>
      <w:pPr>
        <w:spacing w:line="360" w:lineRule="auto"/>
        <w:ind w:firstLine="480" w:firstLineChars="200"/>
        <w:rPr>
          <w:rFonts w:ascii="宋体" w:hAnsi="宋体" w:cs="宋体"/>
          <w:sz w:val="24"/>
        </w:rPr>
      </w:pPr>
      <w:r>
        <w:rPr>
          <w:rFonts w:ascii="宋体" w:hAnsi="宋体" w:cs="宋体"/>
          <w:sz w:val="24"/>
        </w:rPr>
        <w:t>4</w:t>
      </w:r>
      <w:r>
        <w:rPr>
          <w:rFonts w:hint="eastAsia" w:ascii="宋体" w:hAnsi="宋体" w:cs="宋体"/>
          <w:sz w:val="24"/>
        </w:rPr>
        <w:t>.4.2验收流程根据政府采购相关规定执行。</w:t>
      </w:r>
    </w:p>
    <w:p>
      <w:pPr>
        <w:spacing w:line="360" w:lineRule="auto"/>
        <w:ind w:firstLine="480" w:firstLineChars="200"/>
        <w:rPr>
          <w:rFonts w:ascii="宋体" w:hAnsi="宋体" w:cs="宋体"/>
          <w:sz w:val="24"/>
        </w:rPr>
      </w:pPr>
      <w:r>
        <w:rPr>
          <w:rFonts w:ascii="宋体" w:hAnsi="宋体" w:cs="宋体"/>
          <w:kern w:val="0"/>
          <w:sz w:val="24"/>
        </w:rPr>
        <w:t>4</w:t>
      </w:r>
      <w:r>
        <w:rPr>
          <w:rFonts w:hint="eastAsia" w:ascii="宋体" w:hAnsi="宋体" w:cs="宋体"/>
          <w:kern w:val="0"/>
          <w:sz w:val="24"/>
        </w:rPr>
        <w:t>.4.3验收标准：</w:t>
      </w:r>
      <w:r>
        <w:rPr>
          <w:rFonts w:hint="eastAsia" w:ascii="宋体" w:hAnsi="宋体" w:cs="宋体"/>
          <w:sz w:val="24"/>
        </w:rPr>
        <w:t>根据经甲方确认的各项方案，按合同约定完成全部工作内容，且按规定时间交付全部成果。成果符合采购需求及法律法规要求，无知识产权争议。</w:t>
      </w:r>
    </w:p>
    <w:p>
      <w:pPr>
        <w:spacing w:line="360" w:lineRule="auto"/>
        <w:ind w:firstLine="479" w:firstLineChars="199"/>
        <w:outlineLvl w:val="2"/>
        <w:rPr>
          <w:rFonts w:ascii="宋体" w:hAnsi="宋体" w:cs="宋体"/>
          <w:b/>
          <w:bCs/>
          <w:kern w:val="0"/>
          <w:sz w:val="24"/>
        </w:rPr>
      </w:pPr>
      <w:r>
        <w:rPr>
          <w:rFonts w:ascii="宋体" w:hAnsi="宋体" w:cs="宋体"/>
          <w:b/>
          <w:bCs/>
          <w:kern w:val="0"/>
          <w:sz w:val="24"/>
        </w:rPr>
        <w:t>4</w:t>
      </w:r>
      <w:r>
        <w:rPr>
          <w:rFonts w:hint="eastAsia" w:ascii="宋体" w:hAnsi="宋体" w:cs="宋体"/>
          <w:b/>
          <w:bCs/>
          <w:kern w:val="0"/>
          <w:sz w:val="24"/>
        </w:rPr>
        <w:t>.5项目售后</w:t>
      </w:r>
    </w:p>
    <w:p>
      <w:pPr>
        <w:spacing w:line="360" w:lineRule="auto"/>
        <w:ind w:firstLine="480" w:firstLineChars="200"/>
        <w:rPr>
          <w:rFonts w:ascii="宋体" w:hAnsi="宋体" w:cs="宋体"/>
          <w:kern w:val="0"/>
          <w:sz w:val="24"/>
        </w:rPr>
      </w:pPr>
      <w:r>
        <w:rPr>
          <w:rFonts w:hint="eastAsia" w:ascii="宋体" w:hAnsi="宋体" w:cs="宋体"/>
          <w:kern w:val="0"/>
          <w:sz w:val="24"/>
        </w:rPr>
        <w:t>在系</w:t>
      </w:r>
      <w:r>
        <w:rPr>
          <w:rFonts w:hint="eastAsia" w:ascii="宋体" w:hAnsi="宋体" w:cs="宋体"/>
          <w:kern w:val="0"/>
          <w:sz w:val="24"/>
          <w:highlight w:val="none"/>
        </w:rPr>
        <w:t>统验收合格后，以项目验收合格为免费维护期的正式开始时间，安排技术人员对系统</w:t>
      </w:r>
      <w:r>
        <w:rPr>
          <w:rFonts w:hint="eastAsia" w:ascii="宋体" w:hAnsi="宋体" w:cs="宋体"/>
          <w:b/>
          <w:bCs/>
          <w:kern w:val="0"/>
          <w:sz w:val="24"/>
          <w:highlight w:val="none"/>
        </w:rPr>
        <w:t>提供</w:t>
      </w:r>
      <w:r>
        <w:rPr>
          <w:rFonts w:ascii="宋体" w:hAnsi="宋体" w:cs="宋体"/>
          <w:b/>
          <w:bCs/>
          <w:kern w:val="0"/>
          <w:sz w:val="24"/>
          <w:highlight w:val="none"/>
        </w:rPr>
        <w:t>3</w:t>
      </w:r>
      <w:r>
        <w:rPr>
          <w:rFonts w:hint="eastAsia" w:ascii="宋体" w:hAnsi="宋体" w:cs="宋体"/>
          <w:b/>
          <w:bCs/>
          <w:kern w:val="0"/>
          <w:sz w:val="24"/>
          <w:highlight w:val="none"/>
        </w:rPr>
        <w:t>年的免费维护，服务期内要求有至少1</w:t>
      </w:r>
      <w:r>
        <w:rPr>
          <w:rFonts w:ascii="宋体" w:hAnsi="宋体" w:cs="宋体"/>
          <w:b/>
          <w:bCs/>
          <w:kern w:val="0"/>
          <w:sz w:val="24"/>
          <w:highlight w:val="none"/>
        </w:rPr>
        <w:t>名项目开发人员驻场服务</w:t>
      </w:r>
      <w:r>
        <w:rPr>
          <w:rFonts w:hint="eastAsia" w:ascii="宋体" w:hAnsi="宋体" w:cs="宋体"/>
          <w:kern w:val="0"/>
          <w:sz w:val="24"/>
          <w:highlight w:val="none"/>
        </w:rPr>
        <w:t>。接到甲方通知后</w:t>
      </w:r>
      <w:r>
        <w:rPr>
          <w:rFonts w:ascii="宋体" w:hAnsi="宋体" w:cs="宋体"/>
          <w:kern w:val="0"/>
          <w:sz w:val="24"/>
        </w:rPr>
        <w:t>4小时内赶赴现场提供相关技术服务</w:t>
      </w:r>
      <w:r>
        <w:rPr>
          <w:rFonts w:hint="eastAsia" w:ascii="宋体" w:hAnsi="宋体" w:cs="宋体"/>
          <w:kern w:val="0"/>
          <w:sz w:val="24"/>
        </w:rPr>
        <w:t>，对于影响系统正常运行的故障修复时间不超过12小时，其他系统故障修复时间不超过24小时。</w:t>
      </w:r>
    </w:p>
    <w:p>
      <w:pPr>
        <w:tabs>
          <w:tab w:val="left" w:pos="0"/>
        </w:tabs>
        <w:spacing w:line="360" w:lineRule="auto"/>
        <w:rPr>
          <w:rFonts w:ascii="宋体" w:hAnsi="宋体" w:cs="宋体"/>
          <w:b/>
          <w:bCs/>
          <w:sz w:val="24"/>
        </w:rPr>
      </w:pPr>
      <w:r>
        <w:rPr>
          <w:rFonts w:ascii="宋体" w:hAnsi="宋体" w:cs="宋体"/>
          <w:b/>
          <w:bCs/>
          <w:sz w:val="24"/>
        </w:rPr>
        <w:t>五</w:t>
      </w:r>
      <w:r>
        <w:rPr>
          <w:rFonts w:hint="eastAsia" w:ascii="宋体" w:hAnsi="宋体" w:cs="宋体"/>
          <w:b/>
          <w:bCs/>
          <w:sz w:val="24"/>
        </w:rPr>
        <w:t>、履约保证金：</w:t>
      </w:r>
      <w:r>
        <w:rPr>
          <w:rFonts w:hint="eastAsia" w:ascii="宋体" w:hAnsi="宋体" w:cs="宋体"/>
          <w:sz w:val="24"/>
        </w:rPr>
        <w:t>本项目须缴纳合同金额1%的履约保证金。</w:t>
      </w:r>
    </w:p>
    <w:p>
      <w:pPr>
        <w:tabs>
          <w:tab w:val="left" w:pos="0"/>
        </w:tabs>
        <w:spacing w:line="360" w:lineRule="auto"/>
        <w:jc w:val="left"/>
        <w:rPr>
          <w:rFonts w:ascii="宋体" w:hAnsi="宋体" w:cs="宋体"/>
          <w:sz w:val="24"/>
        </w:rPr>
      </w:pPr>
      <w:r>
        <w:rPr>
          <w:rFonts w:hint="eastAsia" w:ascii="宋体" w:hAnsi="宋体" w:cs="宋体"/>
          <w:b/>
          <w:bCs/>
          <w:sz w:val="24"/>
        </w:rPr>
        <w:t>六、付款方式：</w:t>
      </w:r>
      <w:r>
        <w:rPr>
          <w:rFonts w:hint="eastAsia" w:ascii="宋体" w:hAnsi="宋体" w:cs="宋体"/>
          <w:sz w:val="24"/>
        </w:rPr>
        <w:t>分期支付</w:t>
      </w:r>
    </w:p>
    <w:p>
      <w:pPr>
        <w:spacing w:line="360" w:lineRule="auto"/>
        <w:ind w:firstLine="480" w:firstLineChars="200"/>
        <w:jc w:val="left"/>
        <w:rPr>
          <w:rFonts w:ascii="宋体" w:hAnsi="宋体" w:cs="宋体"/>
          <w:sz w:val="24"/>
        </w:rPr>
      </w:pPr>
      <w:r>
        <w:rPr>
          <w:rFonts w:hint="eastAsia" w:ascii="宋体" w:hAnsi="宋体" w:cs="宋体"/>
          <w:sz w:val="24"/>
        </w:rPr>
        <w:t>（一）</w:t>
      </w:r>
      <w:r>
        <w:rPr>
          <w:rFonts w:hint="eastAsia" w:ascii="宋体" w:hAnsi="宋体" w:cs="宋体"/>
          <w:sz w:val="24"/>
          <w:lang w:val="zh-CN"/>
        </w:rPr>
        <w:t>合同签订后甲方自收到发票后</w:t>
      </w:r>
      <w:r>
        <w:rPr>
          <w:rFonts w:ascii="宋体" w:hAnsi="宋体" w:cs="宋体"/>
          <w:sz w:val="24"/>
        </w:rPr>
        <w:t>5</w:t>
      </w:r>
      <w:r>
        <w:rPr>
          <w:rFonts w:hint="eastAsia" w:ascii="宋体" w:hAnsi="宋体" w:cs="宋体"/>
          <w:sz w:val="24"/>
          <w:lang w:val="zh-CN"/>
        </w:rPr>
        <w:t>个工作日内，甲方向中标人支付合同总价款的</w:t>
      </w:r>
      <w:r>
        <w:rPr>
          <w:rFonts w:ascii="宋体" w:hAnsi="宋体" w:cs="宋体"/>
          <w:sz w:val="24"/>
        </w:rPr>
        <w:t>40%</w:t>
      </w:r>
      <w:r>
        <w:rPr>
          <w:rFonts w:hint="eastAsia" w:ascii="宋体" w:hAnsi="宋体" w:cs="宋体"/>
          <w:sz w:val="24"/>
          <w:lang w:val="zh-CN"/>
        </w:rPr>
        <w:t>。</w:t>
      </w:r>
    </w:p>
    <w:p>
      <w:pPr>
        <w:spacing w:line="360" w:lineRule="auto"/>
        <w:ind w:firstLine="480" w:firstLineChars="200"/>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二</w:t>
      </w:r>
      <w:r>
        <w:rPr>
          <w:rFonts w:hint="eastAsia" w:ascii="宋体" w:hAnsi="宋体" w:cs="宋体"/>
          <w:sz w:val="24"/>
          <w:lang w:val="zh-CN"/>
        </w:rPr>
        <w:t>）</w:t>
      </w:r>
      <w:r>
        <w:rPr>
          <w:rFonts w:hint="eastAsia"/>
          <w:sz w:val="24"/>
        </w:rPr>
        <w:t>合同签订后</w:t>
      </w:r>
      <w:r>
        <w:rPr>
          <w:sz w:val="24"/>
        </w:rPr>
        <w:t>1</w:t>
      </w:r>
      <w:r>
        <w:rPr>
          <w:rFonts w:hint="eastAsia"/>
          <w:sz w:val="24"/>
        </w:rPr>
        <w:t>个月内，</w:t>
      </w:r>
      <w:r>
        <w:rPr>
          <w:rFonts w:hint="eastAsia" w:ascii="宋体" w:hAnsi="宋体" w:cs="宋体"/>
          <w:sz w:val="24"/>
          <w:lang w:val="zh-CN"/>
        </w:rPr>
        <w:t>中标人</w:t>
      </w:r>
      <w:r>
        <w:rPr>
          <w:rFonts w:hint="eastAsia"/>
          <w:sz w:val="24"/>
        </w:rPr>
        <w:t>完成项目需求分析和设计，经甲方确认后，</w:t>
      </w:r>
      <w:r>
        <w:rPr>
          <w:rFonts w:hint="eastAsia" w:ascii="宋体" w:hAnsi="宋体" w:cs="宋体"/>
          <w:sz w:val="24"/>
          <w:lang w:val="zh-CN"/>
        </w:rPr>
        <w:t>中标人提供发票后</w:t>
      </w:r>
      <w:r>
        <w:rPr>
          <w:rFonts w:ascii="宋体" w:hAnsi="宋体" w:cs="宋体"/>
          <w:sz w:val="24"/>
        </w:rPr>
        <w:t>5</w:t>
      </w:r>
      <w:r>
        <w:rPr>
          <w:rFonts w:hint="eastAsia" w:ascii="宋体" w:hAnsi="宋体" w:cs="宋体"/>
          <w:sz w:val="24"/>
          <w:lang w:val="zh-CN"/>
        </w:rPr>
        <w:t>个工作日内，支付合同总价款的</w:t>
      </w:r>
      <w:r>
        <w:rPr>
          <w:rFonts w:ascii="宋体" w:hAnsi="宋体" w:cs="宋体"/>
          <w:sz w:val="24"/>
        </w:rPr>
        <w:t>20%</w:t>
      </w:r>
      <w:r>
        <w:rPr>
          <w:rFonts w:hint="eastAsia" w:ascii="宋体" w:hAnsi="宋体" w:cs="宋体"/>
          <w:sz w:val="24"/>
          <w:lang w:val="zh-CN"/>
        </w:rPr>
        <w:t>。</w:t>
      </w:r>
    </w:p>
    <w:p>
      <w:pPr>
        <w:spacing w:line="360" w:lineRule="auto"/>
        <w:ind w:firstLine="480" w:firstLineChars="200"/>
        <w:jc w:val="left"/>
        <w:rPr>
          <w:rFonts w:ascii="宋体" w:hAnsi="宋体" w:cs="宋体"/>
          <w:sz w:val="24"/>
          <w:lang w:val="zh-CN"/>
        </w:rPr>
      </w:pPr>
      <w:r>
        <w:rPr>
          <w:rFonts w:hint="eastAsia" w:ascii="宋体" w:hAnsi="宋体" w:cs="宋体"/>
          <w:sz w:val="24"/>
          <w:lang w:val="zh-CN"/>
        </w:rPr>
        <w:t>（三）</w:t>
      </w:r>
      <w:r>
        <w:rPr>
          <w:sz w:val="24"/>
        </w:rPr>
        <w:t>2024</w:t>
      </w:r>
      <w:r>
        <w:rPr>
          <w:rFonts w:hint="eastAsia"/>
          <w:sz w:val="24"/>
        </w:rPr>
        <w:t>年</w:t>
      </w:r>
      <w:r>
        <w:rPr>
          <w:sz w:val="24"/>
        </w:rPr>
        <w:t>11</w:t>
      </w:r>
      <w:r>
        <w:rPr>
          <w:rFonts w:hint="eastAsia"/>
          <w:sz w:val="24"/>
        </w:rPr>
        <w:t>月底前通过甲方初验后，于</w:t>
      </w:r>
      <w:r>
        <w:rPr>
          <w:sz w:val="24"/>
        </w:rPr>
        <w:t>2024</w:t>
      </w:r>
      <w:r>
        <w:rPr>
          <w:rFonts w:hint="eastAsia"/>
          <w:sz w:val="24"/>
        </w:rPr>
        <w:t>年</w:t>
      </w:r>
      <w:r>
        <w:rPr>
          <w:sz w:val="24"/>
        </w:rPr>
        <w:t>12</w:t>
      </w:r>
      <w:r>
        <w:rPr>
          <w:rFonts w:hint="eastAsia"/>
          <w:sz w:val="24"/>
        </w:rPr>
        <w:t>月</w:t>
      </w:r>
      <w:r>
        <w:rPr>
          <w:sz w:val="24"/>
        </w:rPr>
        <w:t>10</w:t>
      </w:r>
      <w:r>
        <w:rPr>
          <w:rFonts w:hint="eastAsia"/>
          <w:sz w:val="24"/>
        </w:rPr>
        <w:t>日前</w:t>
      </w:r>
      <w:r>
        <w:rPr>
          <w:rFonts w:hint="eastAsia" w:ascii="宋体" w:hAnsi="宋体" w:cs="宋体"/>
          <w:sz w:val="24"/>
          <w:lang w:val="zh-CN"/>
        </w:rPr>
        <w:t>中标人提供发票后</w:t>
      </w:r>
      <w:r>
        <w:rPr>
          <w:rFonts w:ascii="宋体" w:hAnsi="宋体" w:cs="宋体"/>
          <w:sz w:val="24"/>
        </w:rPr>
        <w:t>5</w:t>
      </w:r>
      <w:r>
        <w:rPr>
          <w:rFonts w:hint="eastAsia" w:ascii="宋体" w:hAnsi="宋体" w:cs="宋体"/>
          <w:sz w:val="24"/>
          <w:lang w:val="zh-CN"/>
        </w:rPr>
        <w:t>个工作日内，支付合同总价款的</w:t>
      </w:r>
      <w:r>
        <w:rPr>
          <w:rFonts w:ascii="宋体" w:hAnsi="宋体" w:cs="宋体"/>
          <w:sz w:val="24"/>
        </w:rPr>
        <w:t>20%</w:t>
      </w:r>
      <w:r>
        <w:rPr>
          <w:rFonts w:hint="eastAsia" w:ascii="宋体" w:hAnsi="宋体" w:cs="宋体"/>
          <w:sz w:val="24"/>
          <w:lang w:val="zh-CN"/>
        </w:rPr>
        <w:t>。</w:t>
      </w:r>
    </w:p>
    <w:p>
      <w:pPr>
        <w:spacing w:line="360" w:lineRule="auto"/>
        <w:ind w:firstLine="480" w:firstLineChars="200"/>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四</w:t>
      </w:r>
      <w:r>
        <w:rPr>
          <w:rFonts w:hint="eastAsia" w:ascii="宋体" w:hAnsi="宋体" w:cs="宋体"/>
          <w:sz w:val="24"/>
          <w:lang w:val="zh-CN"/>
        </w:rPr>
        <w:t>）</w:t>
      </w:r>
      <w:r>
        <w:rPr>
          <w:sz w:val="24"/>
        </w:rPr>
        <w:t>2025</w:t>
      </w:r>
      <w:r>
        <w:rPr>
          <w:rFonts w:hint="eastAsia"/>
          <w:sz w:val="24"/>
        </w:rPr>
        <w:t>年</w:t>
      </w:r>
      <w:r>
        <w:rPr>
          <w:sz w:val="24"/>
        </w:rPr>
        <w:t>6</w:t>
      </w:r>
      <w:r>
        <w:rPr>
          <w:rFonts w:hint="eastAsia"/>
          <w:sz w:val="24"/>
        </w:rPr>
        <w:t>月底前，</w:t>
      </w:r>
      <w:r>
        <w:rPr>
          <w:rFonts w:hint="eastAsia" w:ascii="宋体" w:hAnsi="宋体" w:cs="宋体"/>
          <w:sz w:val="24"/>
          <w:lang w:val="zh-CN"/>
        </w:rPr>
        <w:t>中标人</w:t>
      </w:r>
      <w:r>
        <w:rPr>
          <w:rFonts w:hint="eastAsia"/>
          <w:sz w:val="24"/>
        </w:rPr>
        <w:t>完成项目任务，履约服务良好，无质量和服务问题，通过甲方验收后</w:t>
      </w:r>
      <w:r>
        <w:rPr>
          <w:rFonts w:hint="eastAsia" w:ascii="宋体" w:hAnsi="宋体" w:cs="宋体"/>
          <w:sz w:val="24"/>
          <w:lang w:val="zh-CN"/>
        </w:rPr>
        <w:t>，中标人提供发票后</w:t>
      </w:r>
      <w:r>
        <w:rPr>
          <w:rFonts w:ascii="宋体" w:hAnsi="宋体" w:cs="宋体"/>
          <w:sz w:val="24"/>
        </w:rPr>
        <w:t>5</w:t>
      </w:r>
      <w:r>
        <w:rPr>
          <w:rFonts w:hint="eastAsia" w:ascii="宋体" w:hAnsi="宋体" w:cs="宋体"/>
          <w:sz w:val="24"/>
          <w:lang w:val="zh-CN"/>
        </w:rPr>
        <w:t>个工作日内，支付合同总价款的</w:t>
      </w:r>
      <w:r>
        <w:rPr>
          <w:rFonts w:ascii="宋体" w:hAnsi="宋体" w:cs="宋体"/>
          <w:sz w:val="24"/>
        </w:rPr>
        <w:t>20%</w:t>
      </w:r>
      <w:r>
        <w:rPr>
          <w:rFonts w:hint="eastAsia" w:ascii="宋体" w:hAnsi="宋体" w:cs="宋体"/>
          <w:sz w:val="24"/>
          <w:lang w:val="zh-CN"/>
        </w:rPr>
        <w:t>。</w:t>
      </w:r>
    </w:p>
    <w:p>
      <w:pPr>
        <w:spacing w:line="360" w:lineRule="auto"/>
        <w:rPr>
          <w:rFonts w:ascii="宋体" w:hAnsi="宋体" w:cs="宋体"/>
          <w:b/>
          <w:sz w:val="24"/>
        </w:rPr>
      </w:pPr>
      <w:r>
        <w:rPr>
          <w:rFonts w:hint="eastAsia" w:ascii="宋体" w:hAnsi="宋体" w:cs="宋体"/>
          <w:b/>
          <w:sz w:val="24"/>
        </w:rPr>
        <w:br w:type="page"/>
      </w:r>
    </w:p>
    <w:p>
      <w:pPr>
        <w:snapToGrid w:val="0"/>
        <w:spacing w:line="360" w:lineRule="auto"/>
        <w:outlineLvl w:val="1"/>
        <w:rPr>
          <w:rFonts w:ascii="宋体" w:hAnsi="宋体" w:cs="宋体"/>
          <w:b/>
          <w:sz w:val="24"/>
        </w:rPr>
      </w:pPr>
      <w:r>
        <w:rPr>
          <w:rFonts w:hint="eastAsia" w:ascii="宋体" w:hAnsi="宋体" w:cs="宋体"/>
          <w:b/>
          <w:sz w:val="24"/>
        </w:rPr>
        <w:t>标项三：杭州市“空间智治”数字化平台建设（2024）耕地保护集成应用项目-安全服务技术保障。</w:t>
      </w:r>
    </w:p>
    <w:p>
      <w:pPr>
        <w:snapToGrid w:val="0"/>
        <w:spacing w:line="360" w:lineRule="auto"/>
        <w:ind w:firstLine="472" w:firstLineChars="196"/>
        <w:outlineLvl w:val="1"/>
        <w:rPr>
          <w:rFonts w:ascii="宋体" w:hAnsi="宋体" w:cs="宋体"/>
          <w:b/>
          <w:sz w:val="24"/>
        </w:rPr>
      </w:pPr>
      <w:r>
        <w:rPr>
          <w:rFonts w:hint="eastAsia" w:ascii="宋体" w:hAnsi="宋体" w:cs="宋体"/>
          <w:b/>
          <w:sz w:val="24"/>
        </w:rPr>
        <w:t>一、服务内容</w:t>
      </w:r>
    </w:p>
    <w:p>
      <w:pPr>
        <w:spacing w:line="360" w:lineRule="auto"/>
        <w:ind w:firstLine="420" w:firstLineChars="200"/>
        <w:rPr>
          <w:rFonts w:ascii="宋体" w:hAnsi="宋体" w:cs="宋体"/>
          <w:bCs/>
          <w:sz w:val="24"/>
        </w:rPr>
      </w:pPr>
      <w:r>
        <w:rPr>
          <w:rFonts w:hint="eastAsia" w:ascii="宋体" w:hAnsi="宋体" w:cs="宋体"/>
          <w:szCs w:val="21"/>
        </w:rPr>
        <w:t>★</w:t>
      </w:r>
      <w:r>
        <w:rPr>
          <w:rFonts w:hint="eastAsia" w:ascii="宋体" w:hAnsi="宋体" w:cs="宋体"/>
          <w:bCs/>
          <w:sz w:val="24"/>
        </w:rPr>
        <w:t>1、信创测评。按照信息系统信创测评要求开展系统信创符合性测评、信创功能性测评及性能效率测评，并出具信创测评报告。</w:t>
      </w:r>
    </w:p>
    <w:p>
      <w:pPr>
        <w:spacing w:line="360" w:lineRule="auto"/>
        <w:ind w:firstLine="420" w:firstLineChars="200"/>
        <w:rPr>
          <w:rFonts w:ascii="宋体" w:hAnsi="宋体" w:cs="宋体"/>
          <w:bCs/>
          <w:sz w:val="24"/>
        </w:rPr>
      </w:pPr>
      <w:r>
        <w:rPr>
          <w:rFonts w:hint="eastAsia" w:ascii="宋体" w:hAnsi="宋体" w:cs="宋体"/>
          <w:szCs w:val="21"/>
        </w:rPr>
        <w:t>★</w:t>
      </w:r>
      <w:r>
        <w:rPr>
          <w:rFonts w:hint="eastAsia" w:ascii="宋体" w:hAnsi="宋体" w:cs="宋体"/>
          <w:bCs/>
          <w:sz w:val="24"/>
        </w:rPr>
        <w:t>2、密码测评。开展信息系统所涉及的物理和环境安全、网络和通信安全、设备和计算安全、应用和数据安全、密钥管理及安全管理等方面进行测评，出具密码应用安全性评估报告，并协助完成备案。</w:t>
      </w:r>
    </w:p>
    <w:p>
      <w:pPr>
        <w:spacing w:line="360" w:lineRule="auto"/>
        <w:ind w:firstLine="420" w:firstLineChars="200"/>
        <w:rPr>
          <w:rFonts w:ascii="宋体" w:hAnsi="宋体" w:cs="宋体"/>
          <w:bCs/>
          <w:sz w:val="24"/>
        </w:rPr>
      </w:pPr>
      <w:r>
        <w:rPr>
          <w:rFonts w:hint="eastAsia" w:ascii="宋体" w:hAnsi="宋体" w:cs="宋体"/>
          <w:szCs w:val="21"/>
        </w:rPr>
        <w:t>★</w:t>
      </w:r>
      <w:r>
        <w:rPr>
          <w:rFonts w:hint="eastAsia" w:ascii="宋体" w:hAnsi="宋体" w:cs="宋体"/>
          <w:bCs/>
          <w:sz w:val="24"/>
        </w:rPr>
        <w:t>3、系统安全测评。系统上线试运行后对系统安全风险开展测评，通过安全监测、防护服务、漏洞扫描、渗透测试等方式，出具安全评估报告和整改方案并进行安全整改。</w:t>
      </w:r>
    </w:p>
    <w:p>
      <w:pPr>
        <w:spacing w:line="360" w:lineRule="auto"/>
        <w:ind w:firstLine="480" w:firstLineChars="200"/>
        <w:rPr>
          <w:rFonts w:ascii="宋体" w:hAnsi="宋体" w:cs="宋体"/>
          <w:bCs/>
          <w:sz w:val="24"/>
        </w:rPr>
      </w:pPr>
      <w:r>
        <w:rPr>
          <w:rFonts w:hint="eastAsia" w:ascii="宋体" w:hAnsi="宋体" w:cs="宋体"/>
          <w:bCs/>
          <w:sz w:val="24"/>
        </w:rPr>
        <w:t>4、系统安全加固。对发现的系统风险，采取及时有效的方式对系统进行加固，保证系统应用稳定运行。</w:t>
      </w:r>
    </w:p>
    <w:p>
      <w:pPr>
        <w:spacing w:line="360" w:lineRule="auto"/>
        <w:ind w:firstLine="420" w:firstLineChars="200"/>
        <w:rPr>
          <w:rFonts w:ascii="宋体" w:hAnsi="宋体" w:cs="宋体"/>
          <w:bCs/>
          <w:sz w:val="24"/>
        </w:rPr>
      </w:pPr>
      <w:r>
        <w:rPr>
          <w:rFonts w:hint="eastAsia" w:ascii="宋体" w:hAnsi="宋体" w:cs="宋体"/>
          <w:szCs w:val="21"/>
        </w:rPr>
        <w:t>★</w:t>
      </w:r>
      <w:r>
        <w:rPr>
          <w:rFonts w:hint="eastAsia" w:ascii="宋体" w:hAnsi="宋体" w:cs="宋体"/>
          <w:bCs/>
          <w:sz w:val="24"/>
        </w:rPr>
        <w:t>5、安全整合。采集流量数据，通过统一管理平台进行统一采集分析，持续化监控和分析资产安全态势，构建威胁图谱，自动处置各类安全事件。</w:t>
      </w:r>
    </w:p>
    <w:p>
      <w:pPr>
        <w:spacing w:line="360" w:lineRule="auto"/>
        <w:ind w:firstLine="480" w:firstLineChars="200"/>
        <w:rPr>
          <w:rFonts w:ascii="宋体" w:hAnsi="宋体" w:cs="宋体"/>
          <w:bCs/>
          <w:sz w:val="24"/>
        </w:rPr>
      </w:pPr>
      <w:r>
        <w:rPr>
          <w:rFonts w:hint="eastAsia" w:ascii="宋体" w:hAnsi="宋体" w:cs="宋体"/>
          <w:bCs/>
          <w:sz w:val="24"/>
        </w:rPr>
        <w:t>6、应急响应处置和演练。在发生系统入侵、敏感数据泄露等网络安全事件时提供应急响应技术支持服务。制定应急演练方案，配合实施应急演练。</w:t>
      </w:r>
    </w:p>
    <w:p>
      <w:pPr>
        <w:spacing w:line="360" w:lineRule="auto"/>
        <w:ind w:firstLine="420" w:firstLineChars="200"/>
        <w:rPr>
          <w:rFonts w:ascii="宋体" w:hAnsi="宋体" w:cs="宋体"/>
          <w:sz w:val="24"/>
        </w:rPr>
      </w:pPr>
      <w:r>
        <w:rPr>
          <w:rFonts w:hint="eastAsia" w:ascii="宋体" w:hAnsi="宋体" w:cs="宋体"/>
          <w:szCs w:val="21"/>
        </w:rPr>
        <w:t>★</w:t>
      </w:r>
      <w:r>
        <w:rPr>
          <w:rFonts w:hint="eastAsia" w:ascii="宋体" w:hAnsi="宋体" w:cs="宋体"/>
          <w:bCs/>
          <w:sz w:val="24"/>
        </w:rPr>
        <w:t>7、数据容灾备份服务。提供数据容灾备份资源，制定容灾备份策略，开展数据容灾备份，确保数据安全。</w:t>
      </w:r>
    </w:p>
    <w:p>
      <w:pPr>
        <w:autoSpaceDE w:val="0"/>
        <w:autoSpaceDN w:val="0"/>
        <w:spacing w:line="360" w:lineRule="auto"/>
        <w:ind w:firstLine="482" w:firstLineChars="200"/>
        <w:rPr>
          <w:rFonts w:ascii="宋体" w:hAnsi="宋体" w:cs="宋体"/>
          <w:kern w:val="0"/>
          <w:sz w:val="24"/>
        </w:rPr>
      </w:pPr>
      <w:r>
        <w:rPr>
          <w:rFonts w:hint="eastAsia" w:ascii="宋体" w:hAnsi="宋体" w:cs="宋体"/>
          <w:b/>
          <w:kern w:val="0"/>
          <w:sz w:val="24"/>
        </w:rPr>
        <w:t>二、服务期：</w:t>
      </w:r>
      <w:r>
        <w:rPr>
          <w:rFonts w:hint="eastAsia" w:ascii="宋体" w:hAnsi="宋体" w:cs="宋体"/>
          <w:kern w:val="0"/>
          <w:sz w:val="24"/>
        </w:rPr>
        <w:t>签订合同之日起至项目通过验收。</w:t>
      </w:r>
    </w:p>
    <w:p>
      <w:pPr>
        <w:autoSpaceDE w:val="0"/>
        <w:autoSpaceDN w:val="0"/>
        <w:spacing w:line="360" w:lineRule="auto"/>
        <w:ind w:firstLine="482" w:firstLineChars="200"/>
        <w:rPr>
          <w:rFonts w:ascii="宋体" w:hAnsi="宋体" w:cs="宋体"/>
          <w:kern w:val="0"/>
          <w:sz w:val="24"/>
        </w:rPr>
      </w:pPr>
      <w:r>
        <w:rPr>
          <w:rFonts w:hint="eastAsia" w:ascii="宋体" w:hAnsi="宋体" w:cs="宋体"/>
          <w:b/>
          <w:kern w:val="0"/>
          <w:sz w:val="24"/>
        </w:rPr>
        <w:t>三、售后服务要求：</w:t>
      </w:r>
      <w:r>
        <w:rPr>
          <w:rFonts w:hint="eastAsia" w:ascii="宋体" w:hAnsi="宋体" w:cs="宋体"/>
          <w:kern w:val="0"/>
          <w:sz w:val="24"/>
        </w:rPr>
        <w:t>中标人需严格遵守知识产权法，无条件接受甲方的监督检查和应急需要，并在接到甲方通知后</w:t>
      </w:r>
      <w:r>
        <w:rPr>
          <w:rFonts w:ascii="宋体" w:hAnsi="宋体" w:cs="宋体"/>
          <w:kern w:val="0"/>
          <w:sz w:val="24"/>
        </w:rPr>
        <w:t>4小时内赶赴现场提供相关技术服务。</w:t>
      </w:r>
    </w:p>
    <w:p>
      <w:pPr>
        <w:autoSpaceDE w:val="0"/>
        <w:autoSpaceDN w:val="0"/>
        <w:spacing w:line="360" w:lineRule="auto"/>
        <w:ind w:firstLine="482" w:firstLineChars="200"/>
        <w:rPr>
          <w:rFonts w:ascii="宋体" w:hAnsi="宋体" w:cs="宋体"/>
          <w:kern w:val="0"/>
          <w:sz w:val="24"/>
        </w:rPr>
      </w:pPr>
      <w:r>
        <w:rPr>
          <w:rFonts w:hint="eastAsia" w:ascii="宋体" w:hAnsi="宋体" w:cs="宋体"/>
          <w:b/>
          <w:kern w:val="0"/>
          <w:sz w:val="24"/>
        </w:rPr>
        <w:t>四、质量保证期：</w:t>
      </w:r>
      <w:r>
        <w:rPr>
          <w:rFonts w:hint="eastAsia" w:ascii="宋体" w:hAnsi="宋体" w:cs="宋体"/>
          <w:kern w:val="0"/>
          <w:sz w:val="24"/>
        </w:rPr>
        <w:t>成果通过验收后的</w:t>
      </w:r>
      <w:r>
        <w:rPr>
          <w:rFonts w:ascii="宋体" w:hAnsi="宋体" w:cs="宋体"/>
          <w:kern w:val="0"/>
          <w:sz w:val="24"/>
        </w:rPr>
        <w:t>3年内。</w:t>
      </w:r>
    </w:p>
    <w:p>
      <w:pPr>
        <w:autoSpaceDE w:val="0"/>
        <w:autoSpaceDN w:val="0"/>
        <w:spacing w:line="360" w:lineRule="auto"/>
        <w:ind w:firstLine="482" w:firstLineChars="200"/>
        <w:rPr>
          <w:rFonts w:ascii="宋体" w:hAnsi="宋体" w:cs="宋体"/>
          <w:kern w:val="0"/>
          <w:sz w:val="24"/>
        </w:rPr>
      </w:pPr>
      <w:r>
        <w:rPr>
          <w:rFonts w:hint="eastAsia" w:ascii="宋体" w:hAnsi="宋体" w:cs="宋体"/>
          <w:b/>
          <w:kern w:val="0"/>
          <w:sz w:val="24"/>
        </w:rPr>
        <w:t>五、验收标准：</w:t>
      </w:r>
      <w:r>
        <w:rPr>
          <w:rFonts w:hint="eastAsia" w:ascii="宋体" w:hAnsi="宋体" w:cs="宋体"/>
          <w:kern w:val="0"/>
          <w:sz w:val="24"/>
        </w:rPr>
        <w:t>服务内容及服务质量达到甲方要求。</w:t>
      </w:r>
    </w:p>
    <w:p>
      <w:pPr>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b/>
          <w:bCs/>
          <w:sz w:val="24"/>
        </w:rPr>
        <w:t>六、付款方式：</w:t>
      </w:r>
      <w:r>
        <w:rPr>
          <w:rFonts w:hint="eastAsia" w:ascii="宋体" w:hAnsi="宋体" w:cs="宋体"/>
          <w:kern w:val="0"/>
          <w:sz w:val="24"/>
        </w:rPr>
        <w:t>分期支付</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（一）</w:t>
      </w:r>
      <w:r>
        <w:rPr>
          <w:rFonts w:hint="eastAsia" w:ascii="宋体" w:hAnsi="宋体" w:cs="宋体"/>
          <w:kern w:val="0"/>
          <w:sz w:val="24"/>
          <w:lang w:val="zh-CN"/>
        </w:rPr>
        <w:t>合同签订后甲方自收到发票后</w:t>
      </w:r>
      <w:r>
        <w:rPr>
          <w:rFonts w:hint="eastAsia" w:ascii="宋体" w:hAnsi="宋体" w:cs="宋体"/>
          <w:kern w:val="0"/>
          <w:sz w:val="24"/>
        </w:rPr>
        <w:t>5</w:t>
      </w:r>
      <w:r>
        <w:rPr>
          <w:rFonts w:hint="eastAsia" w:ascii="宋体" w:hAnsi="宋体" w:cs="宋体"/>
          <w:kern w:val="0"/>
          <w:sz w:val="24"/>
          <w:lang w:val="zh-CN"/>
        </w:rPr>
        <w:t>个工作日内，甲方向中标人支付合同总价款的</w:t>
      </w:r>
      <w:r>
        <w:rPr>
          <w:rFonts w:ascii="宋体" w:hAnsi="宋体" w:cs="宋体"/>
          <w:kern w:val="0"/>
          <w:sz w:val="24"/>
        </w:rPr>
        <w:t>40</w:t>
      </w:r>
      <w:r>
        <w:rPr>
          <w:rFonts w:hint="eastAsia" w:ascii="宋体" w:hAnsi="宋体" w:cs="宋体"/>
          <w:kern w:val="0"/>
          <w:sz w:val="24"/>
        </w:rPr>
        <w:t>%</w:t>
      </w:r>
      <w:r>
        <w:rPr>
          <w:rFonts w:hint="eastAsia" w:ascii="宋体" w:hAnsi="宋体" w:cs="宋体"/>
          <w:kern w:val="0"/>
          <w:sz w:val="24"/>
          <w:lang w:val="zh-CN"/>
        </w:rPr>
        <w:t>。</w:t>
      </w:r>
    </w:p>
    <w:p>
      <w:pPr>
        <w:autoSpaceDE w:val="0"/>
        <w:autoSpaceDN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w:t>
      </w:r>
      <w:r>
        <w:rPr>
          <w:rFonts w:hint="eastAsia" w:ascii="宋体" w:hAnsi="宋体" w:cs="宋体"/>
          <w:kern w:val="0"/>
          <w:sz w:val="24"/>
        </w:rPr>
        <w:t>二</w:t>
      </w:r>
      <w:r>
        <w:rPr>
          <w:rFonts w:hint="eastAsia" w:ascii="宋体" w:hAnsi="宋体" w:cs="宋体"/>
          <w:kern w:val="0"/>
          <w:sz w:val="24"/>
          <w:lang w:val="zh-CN"/>
        </w:rPr>
        <w:t>）</w:t>
      </w:r>
      <w:r>
        <w:rPr>
          <w:rFonts w:hint="eastAsia"/>
          <w:sz w:val="24"/>
        </w:rPr>
        <w:t>完成服务方案计划并经甲方确认通过</w:t>
      </w:r>
      <w:r>
        <w:rPr>
          <w:rFonts w:hint="eastAsia" w:ascii="宋体" w:hAnsi="宋体" w:cs="宋体"/>
          <w:kern w:val="0"/>
          <w:sz w:val="24"/>
          <w:lang w:val="zh-CN"/>
        </w:rPr>
        <w:t>，中标人提供发票后</w:t>
      </w:r>
      <w:r>
        <w:rPr>
          <w:rFonts w:hint="eastAsia" w:ascii="宋体" w:hAnsi="宋体" w:cs="宋体"/>
          <w:kern w:val="0"/>
          <w:sz w:val="24"/>
        </w:rPr>
        <w:t>5</w:t>
      </w:r>
      <w:r>
        <w:rPr>
          <w:rFonts w:hint="eastAsia" w:ascii="宋体" w:hAnsi="宋体" w:cs="宋体"/>
          <w:kern w:val="0"/>
          <w:sz w:val="24"/>
          <w:lang w:val="zh-CN"/>
        </w:rPr>
        <w:t>个工作日内，支付合同总价款的</w:t>
      </w:r>
      <w:r>
        <w:rPr>
          <w:rFonts w:ascii="宋体" w:hAnsi="宋体" w:cs="宋体"/>
          <w:kern w:val="0"/>
          <w:sz w:val="24"/>
        </w:rPr>
        <w:t>20</w:t>
      </w:r>
      <w:r>
        <w:rPr>
          <w:rFonts w:hint="eastAsia" w:ascii="宋体" w:hAnsi="宋体" w:cs="宋体"/>
          <w:kern w:val="0"/>
          <w:sz w:val="24"/>
        </w:rPr>
        <w:t>%</w:t>
      </w:r>
      <w:r>
        <w:rPr>
          <w:rFonts w:hint="eastAsia" w:ascii="宋体" w:hAnsi="宋体" w:cs="宋体"/>
          <w:kern w:val="0"/>
          <w:sz w:val="24"/>
          <w:lang w:val="zh-CN"/>
        </w:rPr>
        <w:t>。</w:t>
      </w:r>
    </w:p>
    <w:p>
      <w:pPr>
        <w:autoSpaceDE w:val="0"/>
        <w:autoSpaceDN w:val="0"/>
        <w:spacing w:line="360" w:lineRule="auto"/>
        <w:ind w:firstLine="480" w:firstLineChars="200"/>
        <w:rPr>
          <w:rFonts w:hint="eastAsia" w:ascii="Times New Roman" w:hAnsi="Times New Roman" w:cs="Times New Roman"/>
          <w:kern w:val="2"/>
          <w:sz w:val="24"/>
          <w:lang w:val="zh-CN"/>
        </w:rPr>
      </w:pPr>
      <w:r>
        <w:rPr>
          <w:rFonts w:hint="eastAsia" w:ascii="宋体" w:hAnsi="宋体" w:cs="宋体"/>
          <w:kern w:val="0"/>
          <w:sz w:val="24"/>
          <w:lang w:val="zh-CN"/>
        </w:rPr>
        <w:t>（三）</w:t>
      </w:r>
      <w:r>
        <w:rPr>
          <w:rFonts w:hint="eastAsia" w:ascii="Times New Roman" w:hAnsi="Times New Roman" w:eastAsia="宋体" w:cs="Times New Roman"/>
          <w:i w:val="0"/>
          <w:caps w:val="0"/>
          <w:color w:val="auto"/>
          <w:spacing w:val="0"/>
          <w:sz w:val="24"/>
          <w:szCs w:val="24"/>
          <w:shd w:val="clear" w:fill="auto"/>
        </w:rPr>
        <w:t>2024年12月10日前，乙方完成密码应用安全性评估初次评估，提供相关报告</w:t>
      </w:r>
      <w:r>
        <w:rPr>
          <w:rFonts w:hint="eastAsia" w:ascii="Times New Roman" w:hAnsi="Times New Roman" w:cs="Times New Roman"/>
          <w:kern w:val="2"/>
          <w:sz w:val="24"/>
          <w:lang w:val="zh-CN"/>
        </w:rPr>
        <w:t>，中标人提供发票后</w:t>
      </w:r>
      <w:r>
        <w:rPr>
          <w:rFonts w:hint="eastAsia" w:ascii="Times New Roman" w:hAnsi="Times New Roman" w:cs="Times New Roman"/>
          <w:kern w:val="2"/>
          <w:sz w:val="24"/>
        </w:rPr>
        <w:t>5</w:t>
      </w:r>
      <w:r>
        <w:rPr>
          <w:rFonts w:hint="eastAsia" w:ascii="Times New Roman" w:hAnsi="Times New Roman" w:cs="Times New Roman"/>
          <w:kern w:val="2"/>
          <w:sz w:val="24"/>
          <w:lang w:val="zh-CN"/>
        </w:rPr>
        <w:t>个工作日内，支付合同总价款的</w:t>
      </w:r>
      <w:r>
        <w:rPr>
          <w:rFonts w:hint="eastAsia" w:ascii="Times New Roman" w:hAnsi="Times New Roman" w:cs="Times New Roman"/>
          <w:kern w:val="2"/>
          <w:sz w:val="24"/>
        </w:rPr>
        <w:t>20%</w:t>
      </w:r>
      <w:r>
        <w:rPr>
          <w:rFonts w:hint="eastAsia" w:ascii="Times New Roman" w:hAnsi="Times New Roman" w:cs="Times New Roman"/>
          <w:kern w:val="2"/>
          <w:sz w:val="24"/>
          <w:lang w:val="zh-CN"/>
        </w:rPr>
        <w:t>。</w:t>
      </w:r>
    </w:p>
    <w:p>
      <w:pPr>
        <w:autoSpaceDE w:val="0"/>
        <w:autoSpaceDN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w:t>
      </w:r>
      <w:r>
        <w:rPr>
          <w:rFonts w:hint="eastAsia" w:ascii="宋体" w:hAnsi="宋体" w:cs="宋体"/>
          <w:kern w:val="0"/>
          <w:sz w:val="24"/>
        </w:rPr>
        <w:t>四</w:t>
      </w:r>
      <w:r>
        <w:rPr>
          <w:rFonts w:hint="eastAsia" w:ascii="宋体" w:hAnsi="宋体" w:cs="宋体"/>
          <w:kern w:val="0"/>
          <w:sz w:val="24"/>
          <w:lang w:val="zh-CN"/>
        </w:rPr>
        <w:t>）</w:t>
      </w:r>
      <w:r>
        <w:rPr>
          <w:sz w:val="24"/>
        </w:rPr>
        <w:t>2025</w:t>
      </w:r>
      <w:r>
        <w:rPr>
          <w:rFonts w:hint="eastAsia"/>
          <w:sz w:val="24"/>
        </w:rPr>
        <w:t>年</w:t>
      </w:r>
      <w:r>
        <w:rPr>
          <w:sz w:val="24"/>
        </w:rPr>
        <w:t>6</w:t>
      </w:r>
      <w:r>
        <w:rPr>
          <w:rFonts w:hint="eastAsia"/>
          <w:sz w:val="24"/>
        </w:rPr>
        <w:t>月底前，乙方完成项目任务，履约服务良好，无质量和服务问题，通过甲方验收后，</w:t>
      </w:r>
      <w:r>
        <w:rPr>
          <w:rFonts w:hint="eastAsia" w:ascii="宋体" w:hAnsi="宋体" w:cs="宋体"/>
          <w:kern w:val="0"/>
          <w:sz w:val="24"/>
          <w:lang w:val="zh-CN"/>
        </w:rPr>
        <w:t>中标人提供发票后</w:t>
      </w:r>
      <w:r>
        <w:rPr>
          <w:rFonts w:hint="eastAsia" w:ascii="宋体" w:hAnsi="宋体" w:cs="宋体"/>
          <w:kern w:val="0"/>
          <w:sz w:val="24"/>
        </w:rPr>
        <w:t>5</w:t>
      </w:r>
      <w:r>
        <w:rPr>
          <w:rFonts w:hint="eastAsia" w:ascii="宋体" w:hAnsi="宋体" w:cs="宋体"/>
          <w:kern w:val="0"/>
          <w:sz w:val="24"/>
          <w:lang w:val="zh-CN"/>
        </w:rPr>
        <w:t>个工作日内，支付合同总价款的</w:t>
      </w:r>
      <w:r>
        <w:rPr>
          <w:rFonts w:hint="eastAsia" w:ascii="宋体" w:hAnsi="宋体" w:cs="宋体"/>
          <w:kern w:val="0"/>
          <w:sz w:val="24"/>
        </w:rPr>
        <w:t>20%</w:t>
      </w:r>
      <w:r>
        <w:rPr>
          <w:rFonts w:hint="eastAsia" w:ascii="宋体" w:hAnsi="宋体" w:cs="宋体"/>
          <w:kern w:val="0"/>
          <w:sz w:val="24"/>
          <w:lang w:val="zh-CN"/>
        </w:rPr>
        <w:t>。</w:t>
      </w:r>
    </w:p>
    <w:p>
      <w:pPr>
        <w:spacing w:line="360" w:lineRule="auto"/>
        <w:ind w:firstLine="480"/>
        <w:jc w:val="left"/>
        <w:rPr>
          <w:rFonts w:ascii="宋体" w:hAnsi="宋体" w:cs="宋体"/>
          <w:b/>
          <w:sz w:val="24"/>
        </w:rPr>
      </w:pPr>
      <w:r>
        <w:rPr>
          <w:rFonts w:hint="eastAsia" w:ascii="宋体" w:hAnsi="宋体" w:cs="宋体"/>
          <w:b/>
          <w:sz w:val="24"/>
        </w:rPr>
        <w:br w:type="page"/>
      </w:r>
    </w:p>
    <w:p>
      <w:pPr>
        <w:spacing w:line="360" w:lineRule="auto"/>
        <w:ind w:firstLine="480"/>
        <w:jc w:val="left"/>
        <w:rPr>
          <w:rFonts w:ascii="宋体" w:hAnsi="宋体" w:cs="宋体"/>
          <w:b/>
          <w:sz w:val="24"/>
        </w:rPr>
      </w:pPr>
    </w:p>
    <w:p>
      <w:pPr>
        <w:pStyle w:val="2"/>
      </w:pPr>
    </w:p>
    <w:p>
      <w:pPr>
        <w:tabs>
          <w:tab w:val="left" w:pos="1021"/>
          <w:tab w:val="center" w:pos="4199"/>
        </w:tabs>
        <w:spacing w:line="360" w:lineRule="auto"/>
        <w:jc w:val="left"/>
        <w:outlineLvl w:val="0"/>
        <w:rPr>
          <w:rFonts w:ascii="宋体" w:hAnsi="宋体" w:cs="宋体"/>
          <w:b/>
          <w:sz w:val="36"/>
          <w:szCs w:val="36"/>
        </w:rPr>
      </w:pPr>
      <w:r>
        <w:rPr>
          <w:rFonts w:hint="eastAsia" w:ascii="宋体" w:hAnsi="宋体" w:cs="宋体"/>
          <w:b/>
          <w:sz w:val="36"/>
          <w:szCs w:val="36"/>
        </w:rPr>
        <w:tab/>
      </w:r>
      <w:r>
        <w:rPr>
          <w:rFonts w:hint="eastAsia" w:ascii="宋体" w:hAnsi="宋体" w:cs="宋体"/>
          <w:b/>
          <w:sz w:val="36"/>
          <w:szCs w:val="36"/>
        </w:rPr>
        <w:tab/>
      </w:r>
      <w:r>
        <w:rPr>
          <w:rFonts w:hint="eastAsia" w:ascii="宋体" w:hAnsi="宋体" w:cs="宋体"/>
          <w:b/>
          <w:sz w:val="36"/>
          <w:szCs w:val="36"/>
        </w:rPr>
        <w:t xml:space="preserve">第四部分   </w:t>
      </w:r>
      <w:bookmarkStart w:id="29" w:name="_Toc184310299"/>
      <w:bookmarkEnd w:id="29"/>
      <w:bookmarkStart w:id="30" w:name="_Toc184308052"/>
      <w:bookmarkEnd w:id="30"/>
      <w:bookmarkStart w:id="31" w:name="_Toc184313252"/>
      <w:bookmarkEnd w:id="31"/>
      <w:bookmarkStart w:id="32" w:name="_Toc184310312"/>
      <w:bookmarkEnd w:id="32"/>
      <w:bookmarkStart w:id="33" w:name="_Toc184310338"/>
      <w:bookmarkEnd w:id="33"/>
      <w:bookmarkStart w:id="34" w:name="_Toc184313259"/>
      <w:bookmarkEnd w:id="34"/>
      <w:bookmarkStart w:id="35" w:name="_Toc184314450"/>
      <w:bookmarkEnd w:id="35"/>
      <w:bookmarkStart w:id="36" w:name="_Toc184308050"/>
      <w:bookmarkEnd w:id="36"/>
      <w:bookmarkStart w:id="37" w:name="_Toc184312082"/>
      <w:bookmarkEnd w:id="37"/>
      <w:bookmarkStart w:id="38" w:name="_Toc184308106"/>
      <w:bookmarkEnd w:id="38"/>
      <w:bookmarkStart w:id="39" w:name="_Toc184310309"/>
      <w:bookmarkEnd w:id="39"/>
      <w:bookmarkStart w:id="40" w:name="_Toc184308073"/>
      <w:bookmarkEnd w:id="40"/>
      <w:bookmarkStart w:id="41" w:name="_Toc184308079"/>
      <w:bookmarkEnd w:id="41"/>
      <w:bookmarkStart w:id="42" w:name="_Toc184312116"/>
      <w:bookmarkEnd w:id="42"/>
      <w:bookmarkStart w:id="43" w:name="_Toc184313239"/>
      <w:bookmarkEnd w:id="43"/>
      <w:bookmarkStart w:id="44" w:name="_Toc184308068"/>
      <w:bookmarkEnd w:id="44"/>
      <w:bookmarkStart w:id="45" w:name="_Toc184313289"/>
      <w:bookmarkEnd w:id="45"/>
      <w:bookmarkStart w:id="46" w:name="_Toc184314482"/>
      <w:bookmarkEnd w:id="46"/>
      <w:bookmarkStart w:id="47" w:name="_Toc184308096"/>
      <w:bookmarkEnd w:id="47"/>
      <w:bookmarkStart w:id="48" w:name="_Toc184313305"/>
      <w:bookmarkEnd w:id="48"/>
      <w:bookmarkStart w:id="49" w:name="_Toc184313243"/>
      <w:bookmarkEnd w:id="49"/>
      <w:bookmarkStart w:id="50" w:name="_Toc184308056"/>
      <w:bookmarkEnd w:id="50"/>
      <w:bookmarkStart w:id="51" w:name="_Toc184313255"/>
      <w:bookmarkEnd w:id="51"/>
      <w:bookmarkStart w:id="52" w:name="_Toc184308063"/>
      <w:bookmarkEnd w:id="52"/>
      <w:bookmarkStart w:id="53" w:name="_Toc184314463"/>
      <w:bookmarkEnd w:id="53"/>
      <w:bookmarkStart w:id="54" w:name="_Toc184310287"/>
      <w:bookmarkEnd w:id="54"/>
      <w:bookmarkStart w:id="55" w:name="_Toc184308091"/>
      <w:bookmarkEnd w:id="55"/>
      <w:bookmarkStart w:id="56" w:name="_Toc184308054"/>
      <w:bookmarkEnd w:id="56"/>
      <w:bookmarkStart w:id="57" w:name="_Toc184314458"/>
      <w:bookmarkEnd w:id="57"/>
      <w:bookmarkStart w:id="58" w:name="_Toc184308108"/>
      <w:bookmarkEnd w:id="58"/>
      <w:bookmarkStart w:id="59" w:name="_Toc184314420"/>
      <w:bookmarkEnd w:id="59"/>
      <w:bookmarkStart w:id="60" w:name="_Toc184312126"/>
      <w:bookmarkEnd w:id="60"/>
      <w:bookmarkStart w:id="61" w:name="_Toc184313273"/>
      <w:bookmarkEnd w:id="61"/>
      <w:bookmarkStart w:id="62" w:name="_Toc184313294"/>
      <w:bookmarkEnd w:id="62"/>
      <w:bookmarkStart w:id="63" w:name="_Toc184313251"/>
      <w:bookmarkEnd w:id="63"/>
      <w:bookmarkStart w:id="64" w:name="_Toc184308062"/>
      <w:bookmarkEnd w:id="64"/>
      <w:bookmarkStart w:id="65" w:name="_Toc184310305"/>
      <w:bookmarkEnd w:id="65"/>
      <w:bookmarkStart w:id="66" w:name="_Toc184313306"/>
      <w:bookmarkEnd w:id="66"/>
      <w:bookmarkStart w:id="67" w:name="_Toc184310344"/>
      <w:bookmarkEnd w:id="67"/>
      <w:bookmarkStart w:id="68" w:name="_Toc184313266"/>
      <w:bookmarkEnd w:id="68"/>
      <w:bookmarkStart w:id="69" w:name="_Toc184310276"/>
      <w:bookmarkEnd w:id="69"/>
      <w:bookmarkStart w:id="70" w:name="_Toc184312120"/>
      <w:bookmarkEnd w:id="70"/>
      <w:bookmarkStart w:id="71" w:name="_Toc184313309"/>
      <w:bookmarkEnd w:id="71"/>
      <w:bookmarkStart w:id="72" w:name="_Toc184312115"/>
      <w:bookmarkEnd w:id="72"/>
      <w:bookmarkStart w:id="73" w:name="_Toc184313240"/>
      <w:bookmarkEnd w:id="73"/>
      <w:bookmarkStart w:id="74" w:name="_Toc184313298"/>
      <w:bookmarkEnd w:id="74"/>
      <w:bookmarkStart w:id="75" w:name="_Toc184312080"/>
      <w:bookmarkEnd w:id="75"/>
      <w:bookmarkStart w:id="76" w:name="_Toc184314444"/>
      <w:bookmarkEnd w:id="76"/>
      <w:bookmarkStart w:id="77" w:name="_Toc184313246"/>
      <w:bookmarkEnd w:id="77"/>
      <w:bookmarkStart w:id="78" w:name="_Toc184312070"/>
      <w:bookmarkEnd w:id="78"/>
      <w:bookmarkStart w:id="79" w:name="_Toc184313281"/>
      <w:bookmarkEnd w:id="79"/>
      <w:bookmarkStart w:id="80" w:name="_Toc184313288"/>
      <w:bookmarkEnd w:id="80"/>
      <w:bookmarkStart w:id="81" w:name="_Toc184310278"/>
      <w:bookmarkEnd w:id="81"/>
      <w:bookmarkStart w:id="82" w:name="_Toc184312135"/>
      <w:bookmarkEnd w:id="82"/>
      <w:bookmarkStart w:id="83" w:name="_Toc184310307"/>
      <w:bookmarkEnd w:id="83"/>
      <w:bookmarkStart w:id="84" w:name="_Toc184314478"/>
      <w:bookmarkEnd w:id="84"/>
      <w:bookmarkStart w:id="85" w:name="_Toc184314419"/>
      <w:bookmarkEnd w:id="85"/>
      <w:bookmarkStart w:id="86" w:name="_Toc184308095"/>
      <w:bookmarkEnd w:id="86"/>
      <w:bookmarkStart w:id="87" w:name="_Toc184313279"/>
      <w:bookmarkEnd w:id="87"/>
      <w:bookmarkStart w:id="88" w:name="_Toc184310340"/>
      <w:bookmarkEnd w:id="88"/>
      <w:bookmarkStart w:id="89" w:name="_Toc184310288"/>
      <w:bookmarkEnd w:id="89"/>
      <w:bookmarkStart w:id="90" w:name="_Toc184313293"/>
      <w:bookmarkEnd w:id="90"/>
      <w:bookmarkStart w:id="91" w:name="_Toc184308064"/>
      <w:bookmarkEnd w:id="91"/>
      <w:bookmarkStart w:id="92" w:name="_Toc184308047"/>
      <w:bookmarkEnd w:id="92"/>
      <w:bookmarkStart w:id="93" w:name="_Toc184312076"/>
      <w:bookmarkEnd w:id="93"/>
      <w:bookmarkStart w:id="94" w:name="_Toc184314445"/>
      <w:bookmarkEnd w:id="94"/>
      <w:bookmarkStart w:id="95" w:name="_Toc184312129"/>
      <w:bookmarkEnd w:id="95"/>
      <w:bookmarkStart w:id="96" w:name="_Toc184310331"/>
      <w:bookmarkEnd w:id="96"/>
      <w:bookmarkStart w:id="97" w:name="_Toc184308048"/>
      <w:bookmarkEnd w:id="97"/>
      <w:bookmarkStart w:id="98" w:name="_Toc184312108"/>
      <w:bookmarkEnd w:id="98"/>
      <w:bookmarkStart w:id="99" w:name="_Toc184313299"/>
      <w:bookmarkEnd w:id="99"/>
      <w:bookmarkStart w:id="100" w:name="_Toc184308107"/>
      <w:bookmarkEnd w:id="100"/>
      <w:bookmarkStart w:id="101" w:name="_Toc184310304"/>
      <w:bookmarkEnd w:id="101"/>
      <w:bookmarkStart w:id="102" w:name="_Toc184312078"/>
      <w:bookmarkEnd w:id="102"/>
      <w:bookmarkStart w:id="103" w:name="_Toc184308038"/>
      <w:bookmarkEnd w:id="103"/>
      <w:bookmarkStart w:id="104" w:name="_Toc184313270"/>
      <w:bookmarkEnd w:id="104"/>
      <w:bookmarkStart w:id="105" w:name="_Toc184314477"/>
      <w:bookmarkEnd w:id="105"/>
      <w:bookmarkStart w:id="106" w:name="_Toc184308090"/>
      <w:bookmarkEnd w:id="106"/>
      <w:bookmarkStart w:id="107" w:name="_Toc184310319"/>
      <w:bookmarkEnd w:id="107"/>
      <w:bookmarkStart w:id="108" w:name="_Toc184313245"/>
      <w:bookmarkEnd w:id="108"/>
      <w:bookmarkStart w:id="109" w:name="_Toc184308066"/>
      <w:bookmarkEnd w:id="109"/>
      <w:bookmarkStart w:id="110" w:name="_Toc184312094"/>
      <w:bookmarkEnd w:id="110"/>
      <w:bookmarkStart w:id="111" w:name="_Toc184313283"/>
      <w:bookmarkEnd w:id="111"/>
      <w:bookmarkStart w:id="112" w:name="_Toc184314452"/>
      <w:bookmarkEnd w:id="112"/>
      <w:bookmarkStart w:id="113" w:name="_Toc184312073"/>
      <w:bookmarkEnd w:id="113"/>
      <w:bookmarkStart w:id="114" w:name="_Toc184308074"/>
      <w:bookmarkEnd w:id="114"/>
      <w:bookmarkStart w:id="115" w:name="_Toc184313271"/>
      <w:bookmarkEnd w:id="115"/>
      <w:bookmarkStart w:id="116" w:name="_Toc184310280"/>
      <w:bookmarkEnd w:id="116"/>
      <w:bookmarkStart w:id="117" w:name="_Toc184312088"/>
      <w:bookmarkEnd w:id="117"/>
      <w:bookmarkStart w:id="118" w:name="_Toc184310283"/>
      <w:bookmarkEnd w:id="118"/>
      <w:bookmarkStart w:id="119" w:name="_Toc184314418"/>
      <w:bookmarkEnd w:id="119"/>
      <w:bookmarkStart w:id="120" w:name="_Toc184308044"/>
      <w:bookmarkEnd w:id="120"/>
      <w:bookmarkStart w:id="121" w:name="_Toc184308076"/>
      <w:bookmarkEnd w:id="121"/>
      <w:bookmarkStart w:id="122" w:name="_Toc184312107"/>
      <w:bookmarkEnd w:id="122"/>
      <w:bookmarkStart w:id="123" w:name="_Toc184310293"/>
      <w:bookmarkEnd w:id="123"/>
      <w:bookmarkStart w:id="124" w:name="_Toc184308101"/>
      <w:bookmarkEnd w:id="124"/>
      <w:bookmarkStart w:id="125" w:name="_Toc184314438"/>
      <w:bookmarkEnd w:id="125"/>
      <w:bookmarkStart w:id="126" w:name="_Toc184310314"/>
      <w:bookmarkEnd w:id="126"/>
      <w:bookmarkStart w:id="127" w:name="_Toc184308092"/>
      <w:bookmarkEnd w:id="127"/>
      <w:bookmarkStart w:id="128" w:name="_Toc184314414"/>
      <w:bookmarkEnd w:id="128"/>
      <w:bookmarkStart w:id="129" w:name="_Toc184310329"/>
      <w:bookmarkEnd w:id="129"/>
      <w:bookmarkStart w:id="130" w:name="_Toc184310290"/>
      <w:bookmarkEnd w:id="130"/>
      <w:bookmarkStart w:id="131" w:name="_Toc184310284"/>
      <w:bookmarkEnd w:id="131"/>
      <w:bookmarkStart w:id="132" w:name="_Toc184313287"/>
      <w:bookmarkEnd w:id="132"/>
      <w:bookmarkStart w:id="133" w:name="_Toc184312068"/>
      <w:bookmarkEnd w:id="133"/>
      <w:bookmarkStart w:id="134" w:name="_Toc184314421"/>
      <w:bookmarkEnd w:id="134"/>
      <w:bookmarkStart w:id="135" w:name="_Toc184313280"/>
      <w:bookmarkEnd w:id="135"/>
      <w:bookmarkStart w:id="136" w:name="_Toc184312138"/>
      <w:bookmarkEnd w:id="136"/>
      <w:bookmarkStart w:id="137" w:name="_Toc184312096"/>
      <w:bookmarkEnd w:id="137"/>
      <w:bookmarkStart w:id="138" w:name="_Toc184310298"/>
      <w:bookmarkEnd w:id="138"/>
      <w:bookmarkStart w:id="139" w:name="_Toc184312114"/>
      <w:bookmarkEnd w:id="139"/>
      <w:bookmarkStart w:id="140" w:name="_Toc184310302"/>
      <w:bookmarkEnd w:id="140"/>
      <w:bookmarkStart w:id="141" w:name="_Toc184313254"/>
      <w:bookmarkEnd w:id="141"/>
      <w:bookmarkStart w:id="142" w:name="_Toc184314424"/>
      <w:bookmarkEnd w:id="142"/>
      <w:bookmarkStart w:id="143" w:name="_Toc184310291"/>
      <w:bookmarkEnd w:id="143"/>
      <w:bookmarkStart w:id="144" w:name="_Toc184314453"/>
      <w:bookmarkEnd w:id="144"/>
      <w:bookmarkStart w:id="145" w:name="_Toc184312087"/>
      <w:bookmarkEnd w:id="145"/>
      <w:bookmarkStart w:id="146" w:name="_Toc184308072"/>
      <w:bookmarkEnd w:id="146"/>
      <w:bookmarkStart w:id="147" w:name="_Toc184313292"/>
      <w:bookmarkEnd w:id="147"/>
      <w:bookmarkStart w:id="148" w:name="_Toc184308100"/>
      <w:bookmarkEnd w:id="148"/>
      <w:bookmarkStart w:id="149" w:name="_Toc184310313"/>
      <w:bookmarkEnd w:id="149"/>
      <w:bookmarkStart w:id="150" w:name="_Toc184313277"/>
      <w:bookmarkEnd w:id="150"/>
      <w:bookmarkStart w:id="151" w:name="_Toc184314413"/>
      <w:bookmarkEnd w:id="151"/>
      <w:bookmarkStart w:id="152" w:name="_Toc184310325"/>
      <w:bookmarkEnd w:id="152"/>
      <w:bookmarkStart w:id="153" w:name="_Toc184314439"/>
      <w:bookmarkEnd w:id="153"/>
      <w:bookmarkStart w:id="154" w:name="_Toc184312101"/>
      <w:bookmarkEnd w:id="154"/>
      <w:bookmarkStart w:id="155" w:name="_Toc184314480"/>
      <w:bookmarkEnd w:id="155"/>
      <w:bookmarkStart w:id="156" w:name="_Toc184312110"/>
      <w:bookmarkEnd w:id="156"/>
      <w:bookmarkStart w:id="157" w:name="_Toc184313295"/>
      <w:bookmarkEnd w:id="157"/>
      <w:bookmarkStart w:id="158" w:name="_Toc184314466"/>
      <w:bookmarkEnd w:id="158"/>
      <w:bookmarkStart w:id="159" w:name="_Toc184314441"/>
      <w:bookmarkEnd w:id="159"/>
      <w:bookmarkStart w:id="160" w:name="_Toc184310318"/>
      <w:bookmarkEnd w:id="160"/>
      <w:bookmarkStart w:id="161" w:name="_Toc184314430"/>
      <w:bookmarkEnd w:id="161"/>
      <w:bookmarkStart w:id="162" w:name="_Toc184314479"/>
      <w:bookmarkEnd w:id="162"/>
      <w:bookmarkStart w:id="163" w:name="_Toc184312117"/>
      <w:bookmarkEnd w:id="163"/>
      <w:bookmarkStart w:id="164" w:name="_Toc184312134"/>
      <w:bookmarkEnd w:id="164"/>
      <w:bookmarkStart w:id="165" w:name="_Toc184313282"/>
      <w:bookmarkEnd w:id="165"/>
      <w:bookmarkStart w:id="166" w:name="_Toc184313274"/>
      <w:bookmarkEnd w:id="166"/>
      <w:bookmarkStart w:id="167" w:name="_Toc184312069"/>
      <w:bookmarkEnd w:id="167"/>
      <w:bookmarkStart w:id="168" w:name="_Toc184313263"/>
      <w:bookmarkEnd w:id="168"/>
      <w:bookmarkStart w:id="169" w:name="_Toc184313284"/>
      <w:bookmarkEnd w:id="169"/>
      <w:bookmarkStart w:id="170" w:name="_Toc184314457"/>
      <w:bookmarkEnd w:id="170"/>
      <w:bookmarkStart w:id="171" w:name="_Toc184313310"/>
      <w:bookmarkEnd w:id="171"/>
      <w:bookmarkStart w:id="172" w:name="_Toc184313308"/>
      <w:bookmarkEnd w:id="172"/>
      <w:bookmarkStart w:id="173" w:name="_Toc184314472"/>
      <w:bookmarkEnd w:id="173"/>
      <w:bookmarkStart w:id="174" w:name="_Toc184310343"/>
      <w:bookmarkEnd w:id="174"/>
      <w:bookmarkStart w:id="175" w:name="_Toc184308097"/>
      <w:bookmarkEnd w:id="175"/>
      <w:bookmarkStart w:id="176" w:name="_Toc184310292"/>
      <w:bookmarkEnd w:id="176"/>
      <w:bookmarkStart w:id="177" w:name="_Toc184314455"/>
      <w:bookmarkEnd w:id="177"/>
      <w:bookmarkStart w:id="178" w:name="_Toc184314467"/>
      <w:bookmarkEnd w:id="178"/>
      <w:bookmarkStart w:id="179" w:name="_Toc184310306"/>
      <w:bookmarkEnd w:id="179"/>
      <w:bookmarkStart w:id="180" w:name="_Toc184312127"/>
      <w:bookmarkEnd w:id="180"/>
      <w:bookmarkStart w:id="181" w:name="_Toc184310303"/>
      <w:bookmarkEnd w:id="181"/>
      <w:bookmarkStart w:id="182" w:name="_Toc184308080"/>
      <w:bookmarkEnd w:id="182"/>
      <w:bookmarkStart w:id="183" w:name="_Toc184313265"/>
      <w:bookmarkEnd w:id="183"/>
      <w:bookmarkStart w:id="184" w:name="_Toc184314437"/>
      <w:bookmarkEnd w:id="184"/>
      <w:bookmarkStart w:id="185" w:name="_Toc184312137"/>
      <w:bookmarkEnd w:id="185"/>
      <w:bookmarkStart w:id="186" w:name="_Toc184308049"/>
      <w:bookmarkEnd w:id="186"/>
      <w:bookmarkStart w:id="187" w:name="_Toc184308045"/>
      <w:bookmarkEnd w:id="187"/>
      <w:bookmarkStart w:id="188" w:name="_Toc184313258"/>
      <w:bookmarkEnd w:id="188"/>
      <w:bookmarkStart w:id="189" w:name="_Toc184310273"/>
      <w:bookmarkEnd w:id="189"/>
      <w:bookmarkStart w:id="190" w:name="_Toc184310295"/>
      <w:bookmarkEnd w:id="190"/>
      <w:bookmarkStart w:id="191" w:name="_Toc184314451"/>
      <w:bookmarkEnd w:id="191"/>
      <w:bookmarkStart w:id="192" w:name="_Toc184310333"/>
      <w:bookmarkEnd w:id="192"/>
      <w:bookmarkStart w:id="193" w:name="_Toc184314464"/>
      <w:bookmarkEnd w:id="193"/>
      <w:bookmarkStart w:id="194" w:name="_Toc184313300"/>
      <w:bookmarkEnd w:id="194"/>
      <w:bookmarkStart w:id="195" w:name="_Toc184314411"/>
      <w:bookmarkEnd w:id="195"/>
      <w:bookmarkStart w:id="196" w:name="_Toc184312103"/>
      <w:bookmarkEnd w:id="196"/>
      <w:bookmarkStart w:id="197" w:name="_Toc184313249"/>
      <w:bookmarkEnd w:id="197"/>
      <w:bookmarkStart w:id="198" w:name="_Toc184310282"/>
      <w:bookmarkEnd w:id="198"/>
      <w:bookmarkStart w:id="199" w:name="_Toc184314434"/>
      <w:bookmarkEnd w:id="199"/>
      <w:bookmarkStart w:id="200" w:name="_Toc184308040"/>
      <w:bookmarkEnd w:id="200"/>
      <w:bookmarkStart w:id="201" w:name="_Toc184310320"/>
      <w:bookmarkEnd w:id="201"/>
      <w:bookmarkStart w:id="202" w:name="_Toc184308039"/>
      <w:bookmarkEnd w:id="202"/>
      <w:bookmarkStart w:id="203" w:name="_Toc184310301"/>
      <w:bookmarkEnd w:id="203"/>
      <w:bookmarkStart w:id="204" w:name="_Toc184308077"/>
      <w:bookmarkEnd w:id="204"/>
      <w:bookmarkStart w:id="205" w:name="_Toc184312106"/>
      <w:bookmarkEnd w:id="205"/>
      <w:bookmarkStart w:id="206" w:name="_Toc184308084"/>
      <w:bookmarkEnd w:id="206"/>
      <w:bookmarkStart w:id="207" w:name="_Toc184308069"/>
      <w:bookmarkEnd w:id="207"/>
      <w:bookmarkStart w:id="208" w:name="_Toc184312075"/>
      <w:bookmarkEnd w:id="208"/>
      <w:bookmarkStart w:id="209" w:name="_Toc184312081"/>
      <w:bookmarkEnd w:id="209"/>
      <w:bookmarkStart w:id="210" w:name="_Toc184310297"/>
      <w:bookmarkEnd w:id="210"/>
      <w:bookmarkStart w:id="211" w:name="_Toc184310317"/>
      <w:bookmarkEnd w:id="211"/>
      <w:bookmarkStart w:id="212" w:name="_Toc184308070"/>
      <w:bookmarkEnd w:id="212"/>
      <w:bookmarkStart w:id="213" w:name="_Toc184308057"/>
      <w:bookmarkEnd w:id="213"/>
      <w:bookmarkStart w:id="214" w:name="_Toc184310332"/>
      <w:bookmarkEnd w:id="214"/>
      <w:bookmarkStart w:id="215" w:name="_Toc184312128"/>
      <w:bookmarkEnd w:id="215"/>
      <w:bookmarkStart w:id="216" w:name="_Toc184312104"/>
      <w:bookmarkEnd w:id="216"/>
      <w:bookmarkStart w:id="217" w:name="_Toc184313256"/>
      <w:bookmarkEnd w:id="217"/>
      <w:bookmarkStart w:id="218" w:name="_Toc184312084"/>
      <w:bookmarkEnd w:id="218"/>
      <w:bookmarkStart w:id="219" w:name="_Toc184314468"/>
      <w:bookmarkEnd w:id="219"/>
      <w:bookmarkStart w:id="220" w:name="_Toc184313250"/>
      <w:bookmarkEnd w:id="220"/>
      <w:bookmarkStart w:id="221" w:name="_Toc184310322"/>
      <w:bookmarkEnd w:id="221"/>
      <w:bookmarkStart w:id="222" w:name="_Toc184312139"/>
      <w:bookmarkEnd w:id="222"/>
      <w:bookmarkStart w:id="223" w:name="_Toc184314425"/>
      <w:bookmarkEnd w:id="223"/>
      <w:bookmarkStart w:id="224" w:name="_Toc184313286"/>
      <w:bookmarkEnd w:id="224"/>
      <w:bookmarkStart w:id="225" w:name="_Toc184312122"/>
      <w:bookmarkEnd w:id="225"/>
      <w:bookmarkStart w:id="226" w:name="_Toc184313257"/>
      <w:bookmarkEnd w:id="226"/>
      <w:bookmarkStart w:id="227" w:name="_Toc184313272"/>
      <w:bookmarkEnd w:id="227"/>
      <w:bookmarkStart w:id="228" w:name="_Toc184313247"/>
      <w:bookmarkEnd w:id="228"/>
      <w:bookmarkStart w:id="229" w:name="_Toc184313304"/>
      <w:bookmarkEnd w:id="229"/>
      <w:bookmarkStart w:id="230" w:name="_Toc184313261"/>
      <w:bookmarkEnd w:id="230"/>
      <w:bookmarkStart w:id="231" w:name="_Toc184308087"/>
      <w:bookmarkEnd w:id="231"/>
      <w:bookmarkStart w:id="232" w:name="_Toc184314465"/>
      <w:bookmarkEnd w:id="232"/>
      <w:bookmarkStart w:id="233" w:name="_Toc184310311"/>
      <w:bookmarkEnd w:id="233"/>
      <w:bookmarkStart w:id="234" w:name="_Toc184314431"/>
      <w:bookmarkEnd w:id="234"/>
      <w:bookmarkStart w:id="235" w:name="_Toc184312121"/>
      <w:bookmarkEnd w:id="235"/>
      <w:bookmarkStart w:id="236" w:name="_Toc184308082"/>
      <w:bookmarkEnd w:id="236"/>
      <w:bookmarkStart w:id="237" w:name="_Toc184310300"/>
      <w:bookmarkEnd w:id="237"/>
      <w:bookmarkStart w:id="238" w:name="_Toc184310281"/>
      <w:bookmarkEnd w:id="238"/>
      <w:bookmarkStart w:id="239" w:name="_Toc184314440"/>
      <w:bookmarkEnd w:id="239"/>
      <w:bookmarkStart w:id="240" w:name="_Toc184314471"/>
      <w:bookmarkEnd w:id="240"/>
      <w:bookmarkStart w:id="241" w:name="_Toc184312074"/>
      <w:bookmarkEnd w:id="241"/>
      <w:bookmarkStart w:id="242" w:name="_Toc184308065"/>
      <w:bookmarkEnd w:id="242"/>
      <w:bookmarkStart w:id="243" w:name="_Toc184310328"/>
      <w:bookmarkEnd w:id="243"/>
      <w:bookmarkStart w:id="244" w:name="_Toc184313260"/>
      <w:bookmarkEnd w:id="244"/>
      <w:bookmarkStart w:id="245" w:name="_Toc184313264"/>
      <w:bookmarkEnd w:id="245"/>
      <w:bookmarkStart w:id="246" w:name="_Toc184314476"/>
      <w:bookmarkEnd w:id="246"/>
      <w:bookmarkStart w:id="247" w:name="_Toc184310315"/>
      <w:bookmarkEnd w:id="247"/>
      <w:bookmarkStart w:id="248" w:name="_Toc184308051"/>
      <w:bookmarkEnd w:id="248"/>
      <w:bookmarkStart w:id="249" w:name="_Toc184314417"/>
      <w:bookmarkEnd w:id="249"/>
      <w:bookmarkStart w:id="250" w:name="_Toc184310294"/>
      <w:bookmarkEnd w:id="250"/>
      <w:bookmarkStart w:id="251" w:name="_Toc184308103"/>
      <w:bookmarkEnd w:id="251"/>
      <w:bookmarkStart w:id="252" w:name="_Toc184312089"/>
      <w:bookmarkEnd w:id="252"/>
      <w:bookmarkStart w:id="253" w:name="_Toc184314473"/>
      <w:bookmarkEnd w:id="253"/>
      <w:bookmarkStart w:id="254" w:name="_Toc184308071"/>
      <w:bookmarkEnd w:id="254"/>
      <w:bookmarkStart w:id="255" w:name="_Toc184308036"/>
      <w:bookmarkEnd w:id="255"/>
      <w:bookmarkStart w:id="256" w:name="_Toc184308067"/>
      <w:bookmarkEnd w:id="256"/>
      <w:bookmarkStart w:id="257" w:name="_Toc184314475"/>
      <w:bookmarkEnd w:id="257"/>
      <w:bookmarkStart w:id="258" w:name="_Toc184310330"/>
      <w:bookmarkEnd w:id="258"/>
      <w:bookmarkStart w:id="259" w:name="_Toc184312123"/>
      <w:bookmarkEnd w:id="259"/>
      <w:bookmarkStart w:id="260" w:name="_Toc184310310"/>
      <w:bookmarkEnd w:id="260"/>
      <w:bookmarkStart w:id="261" w:name="_Toc184308098"/>
      <w:bookmarkEnd w:id="261"/>
      <w:bookmarkStart w:id="262" w:name="_Toc184312072"/>
      <w:bookmarkEnd w:id="262"/>
      <w:bookmarkStart w:id="263" w:name="_Toc184312136"/>
      <w:bookmarkEnd w:id="263"/>
      <w:bookmarkStart w:id="264" w:name="_Toc184314416"/>
      <w:bookmarkEnd w:id="264"/>
      <w:bookmarkStart w:id="265" w:name="_Toc184312111"/>
      <w:bookmarkEnd w:id="265"/>
      <w:bookmarkStart w:id="266" w:name="_Toc184308060"/>
      <w:bookmarkEnd w:id="266"/>
      <w:bookmarkStart w:id="267" w:name="_Toc184314422"/>
      <w:bookmarkEnd w:id="267"/>
      <w:bookmarkStart w:id="268" w:name="_Toc184308078"/>
      <w:bookmarkEnd w:id="268"/>
      <w:bookmarkStart w:id="269" w:name="_Toc184308037"/>
      <w:bookmarkEnd w:id="269"/>
      <w:bookmarkStart w:id="270" w:name="_Toc184313267"/>
      <w:bookmarkEnd w:id="270"/>
      <w:bookmarkStart w:id="271" w:name="_Toc184308099"/>
      <w:bookmarkEnd w:id="271"/>
      <w:bookmarkStart w:id="272" w:name="_Toc184313301"/>
      <w:bookmarkEnd w:id="272"/>
      <w:bookmarkStart w:id="273" w:name="_Toc184313262"/>
      <w:bookmarkEnd w:id="273"/>
      <w:bookmarkStart w:id="274" w:name="_Toc184308089"/>
      <w:bookmarkEnd w:id="274"/>
      <w:bookmarkStart w:id="275" w:name="_Toc184310308"/>
      <w:bookmarkEnd w:id="275"/>
      <w:bookmarkStart w:id="276" w:name="_Toc184312079"/>
      <w:bookmarkEnd w:id="276"/>
      <w:bookmarkStart w:id="277" w:name="_Toc184312125"/>
      <w:bookmarkEnd w:id="277"/>
      <w:bookmarkStart w:id="278" w:name="_Toc184314474"/>
      <w:bookmarkEnd w:id="278"/>
      <w:bookmarkStart w:id="279" w:name="_Toc184308061"/>
      <w:bookmarkEnd w:id="279"/>
      <w:bookmarkStart w:id="280" w:name="_Toc184312132"/>
      <w:bookmarkEnd w:id="280"/>
      <w:bookmarkStart w:id="281" w:name="_Toc184312105"/>
      <w:bookmarkEnd w:id="281"/>
      <w:bookmarkStart w:id="282" w:name="_Toc184308041"/>
      <w:bookmarkEnd w:id="282"/>
      <w:bookmarkStart w:id="283" w:name="_Toc184308075"/>
      <w:bookmarkEnd w:id="283"/>
      <w:bookmarkStart w:id="284" w:name="_Toc184314481"/>
      <w:bookmarkEnd w:id="284"/>
      <w:bookmarkStart w:id="285" w:name="_Toc184312113"/>
      <w:bookmarkEnd w:id="285"/>
      <w:bookmarkStart w:id="286" w:name="_Toc184312112"/>
      <w:bookmarkEnd w:id="286"/>
      <w:bookmarkStart w:id="287" w:name="_Toc184312077"/>
      <w:bookmarkEnd w:id="287"/>
      <w:bookmarkStart w:id="288" w:name="_Toc184310334"/>
      <w:bookmarkEnd w:id="288"/>
      <w:bookmarkStart w:id="289" w:name="_Toc184308081"/>
      <w:bookmarkEnd w:id="289"/>
      <w:bookmarkStart w:id="290" w:name="_Toc184314423"/>
      <w:bookmarkEnd w:id="290"/>
      <w:bookmarkStart w:id="291" w:name="_Toc184312119"/>
      <w:bookmarkEnd w:id="291"/>
      <w:bookmarkStart w:id="292" w:name="_Toc184310323"/>
      <w:bookmarkEnd w:id="292"/>
      <w:bookmarkStart w:id="293" w:name="_Toc184308043"/>
      <w:bookmarkEnd w:id="293"/>
      <w:bookmarkStart w:id="294" w:name="_Toc184308058"/>
      <w:bookmarkEnd w:id="294"/>
      <w:bookmarkStart w:id="295" w:name="_Toc184314454"/>
      <w:bookmarkEnd w:id="295"/>
      <w:bookmarkStart w:id="296" w:name="_Toc184314426"/>
      <w:bookmarkEnd w:id="296"/>
      <w:bookmarkStart w:id="297" w:name="_Toc184314469"/>
      <w:bookmarkEnd w:id="297"/>
      <w:bookmarkStart w:id="298" w:name="_Toc184312090"/>
      <w:bookmarkEnd w:id="298"/>
      <w:bookmarkStart w:id="299" w:name="_Toc184308046"/>
      <w:bookmarkEnd w:id="299"/>
      <w:bookmarkStart w:id="300" w:name="_Toc184313253"/>
      <w:bookmarkEnd w:id="300"/>
      <w:bookmarkStart w:id="301" w:name="_Toc184310337"/>
      <w:bookmarkEnd w:id="301"/>
      <w:bookmarkStart w:id="302" w:name="_Toc184312100"/>
      <w:bookmarkEnd w:id="302"/>
      <w:bookmarkStart w:id="303" w:name="_Toc184314412"/>
      <w:bookmarkEnd w:id="303"/>
      <w:bookmarkStart w:id="304" w:name="_Toc184313297"/>
      <w:bookmarkEnd w:id="304"/>
      <w:bookmarkStart w:id="305" w:name="_Toc184313275"/>
      <w:bookmarkEnd w:id="305"/>
      <w:bookmarkStart w:id="306" w:name="_Toc184313241"/>
      <w:bookmarkEnd w:id="306"/>
      <w:bookmarkStart w:id="307" w:name="_Toc184312109"/>
      <w:bookmarkEnd w:id="307"/>
      <w:bookmarkStart w:id="308" w:name="_Toc184310285"/>
      <w:bookmarkEnd w:id="308"/>
      <w:bookmarkStart w:id="309" w:name="_Toc184313290"/>
      <w:bookmarkEnd w:id="309"/>
      <w:bookmarkStart w:id="310" w:name="_Toc184314461"/>
      <w:bookmarkEnd w:id="310"/>
      <w:bookmarkStart w:id="311" w:name="_Toc184314442"/>
      <w:bookmarkEnd w:id="311"/>
      <w:bookmarkStart w:id="312" w:name="_Toc184310342"/>
      <w:bookmarkEnd w:id="312"/>
      <w:bookmarkStart w:id="313" w:name="_Toc184310326"/>
      <w:bookmarkEnd w:id="313"/>
      <w:bookmarkStart w:id="314" w:name="_Toc184310279"/>
      <w:bookmarkEnd w:id="314"/>
      <w:bookmarkStart w:id="315" w:name="_Toc184312130"/>
      <w:bookmarkEnd w:id="315"/>
      <w:bookmarkStart w:id="316" w:name="_Toc184312067"/>
      <w:bookmarkEnd w:id="316"/>
      <w:bookmarkStart w:id="317" w:name="_Toc184314456"/>
      <w:bookmarkEnd w:id="317"/>
      <w:bookmarkStart w:id="318" w:name="_Toc184310289"/>
      <w:bookmarkEnd w:id="318"/>
      <w:bookmarkStart w:id="319" w:name="_Toc184314429"/>
      <w:bookmarkEnd w:id="319"/>
      <w:bookmarkStart w:id="320" w:name="_Toc184314447"/>
      <w:bookmarkEnd w:id="320"/>
      <w:bookmarkStart w:id="321" w:name="_Toc184312071"/>
      <w:bookmarkEnd w:id="321"/>
      <w:bookmarkStart w:id="322" w:name="_Toc184310274"/>
      <w:bookmarkEnd w:id="322"/>
      <w:bookmarkStart w:id="323" w:name="_Toc184312086"/>
      <w:bookmarkEnd w:id="323"/>
      <w:bookmarkStart w:id="324" w:name="_Toc184313307"/>
      <w:bookmarkEnd w:id="324"/>
      <w:bookmarkStart w:id="325" w:name="_Toc184313244"/>
      <w:bookmarkEnd w:id="325"/>
      <w:bookmarkStart w:id="326" w:name="_Toc184314460"/>
      <w:bookmarkEnd w:id="326"/>
      <w:bookmarkStart w:id="327" w:name="_Toc184310275"/>
      <w:bookmarkEnd w:id="327"/>
      <w:bookmarkStart w:id="328" w:name="_Toc184312118"/>
      <w:bookmarkEnd w:id="328"/>
      <w:bookmarkStart w:id="329" w:name="_Toc184310335"/>
      <w:bookmarkEnd w:id="329"/>
      <w:bookmarkStart w:id="330" w:name="_Toc184308094"/>
      <w:bookmarkEnd w:id="330"/>
      <w:bookmarkStart w:id="331" w:name="_Toc184313276"/>
      <w:bookmarkEnd w:id="331"/>
      <w:bookmarkStart w:id="332" w:name="_Toc184313302"/>
      <w:bookmarkEnd w:id="332"/>
      <w:bookmarkStart w:id="333" w:name="_Toc184314446"/>
      <w:bookmarkEnd w:id="333"/>
      <w:bookmarkStart w:id="334" w:name="_Toc184312095"/>
      <w:bookmarkEnd w:id="334"/>
      <w:bookmarkStart w:id="335" w:name="_Toc184314443"/>
      <w:bookmarkEnd w:id="335"/>
      <w:bookmarkStart w:id="336" w:name="_Toc184312099"/>
      <w:bookmarkEnd w:id="336"/>
      <w:bookmarkStart w:id="337" w:name="_Toc184308053"/>
      <w:bookmarkEnd w:id="337"/>
      <w:bookmarkStart w:id="338" w:name="_Toc184308102"/>
      <w:bookmarkEnd w:id="338"/>
      <w:bookmarkStart w:id="339" w:name="_Toc184313278"/>
      <w:bookmarkEnd w:id="339"/>
      <w:bookmarkStart w:id="340" w:name="_Toc184308085"/>
      <w:bookmarkEnd w:id="340"/>
      <w:bookmarkStart w:id="341" w:name="_Toc184310324"/>
      <w:bookmarkEnd w:id="341"/>
      <w:bookmarkStart w:id="342" w:name="_Toc184312097"/>
      <w:bookmarkEnd w:id="342"/>
      <w:bookmarkStart w:id="343" w:name="_Toc184313291"/>
      <w:bookmarkEnd w:id="343"/>
      <w:bookmarkStart w:id="344" w:name="_Toc184314432"/>
      <w:bookmarkEnd w:id="344"/>
      <w:bookmarkStart w:id="345" w:name="_Toc184310321"/>
      <w:bookmarkEnd w:id="345"/>
      <w:bookmarkStart w:id="346" w:name="_Toc184313303"/>
      <w:bookmarkEnd w:id="346"/>
      <w:bookmarkStart w:id="347" w:name="_Toc184314428"/>
      <w:bookmarkEnd w:id="347"/>
      <w:bookmarkStart w:id="348" w:name="_Toc184314462"/>
      <w:bookmarkEnd w:id="348"/>
      <w:bookmarkStart w:id="349" w:name="_Toc184312102"/>
      <w:bookmarkEnd w:id="349"/>
      <w:bookmarkStart w:id="350" w:name="_Toc184313285"/>
      <w:bookmarkEnd w:id="350"/>
      <w:bookmarkStart w:id="351" w:name="_Toc184310277"/>
      <w:bookmarkEnd w:id="351"/>
      <w:bookmarkStart w:id="352" w:name="_Toc184312098"/>
      <w:bookmarkEnd w:id="352"/>
      <w:bookmarkStart w:id="353" w:name="_Toc184314415"/>
      <w:bookmarkEnd w:id="353"/>
      <w:bookmarkStart w:id="354" w:name="_Toc184312083"/>
      <w:bookmarkEnd w:id="354"/>
      <w:bookmarkStart w:id="355" w:name="_Toc184312091"/>
      <w:bookmarkEnd w:id="355"/>
      <w:bookmarkStart w:id="356" w:name="_Toc184308088"/>
      <w:bookmarkEnd w:id="356"/>
      <w:bookmarkStart w:id="357" w:name="_Toc184313238"/>
      <w:bookmarkEnd w:id="357"/>
      <w:bookmarkStart w:id="358" w:name="_Toc184310327"/>
      <w:bookmarkEnd w:id="358"/>
      <w:bookmarkStart w:id="359" w:name="_Toc184308055"/>
      <w:bookmarkEnd w:id="359"/>
      <w:bookmarkStart w:id="360" w:name="_Toc184314470"/>
      <w:bookmarkEnd w:id="360"/>
      <w:bookmarkStart w:id="361" w:name="_Toc184314449"/>
      <w:bookmarkEnd w:id="361"/>
      <w:bookmarkStart w:id="362" w:name="_Toc184312133"/>
      <w:bookmarkEnd w:id="362"/>
      <w:bookmarkStart w:id="363" w:name="_Toc184314410"/>
      <w:bookmarkEnd w:id="363"/>
      <w:bookmarkStart w:id="364" w:name="_Toc184312131"/>
      <w:bookmarkEnd w:id="364"/>
      <w:bookmarkStart w:id="365" w:name="_Toc184308059"/>
      <w:bookmarkEnd w:id="365"/>
      <w:bookmarkStart w:id="366" w:name="_Toc184308104"/>
      <w:bookmarkEnd w:id="366"/>
      <w:bookmarkStart w:id="367" w:name="_Toc184313248"/>
      <w:bookmarkEnd w:id="367"/>
      <w:bookmarkStart w:id="368" w:name="_Toc184314433"/>
      <w:bookmarkEnd w:id="368"/>
      <w:bookmarkStart w:id="369" w:name="_Toc184313269"/>
      <w:bookmarkEnd w:id="369"/>
      <w:bookmarkStart w:id="370" w:name="_Toc184310286"/>
      <w:bookmarkEnd w:id="370"/>
      <w:bookmarkStart w:id="371" w:name="_Toc184308093"/>
      <w:bookmarkEnd w:id="371"/>
      <w:bookmarkStart w:id="372" w:name="_Toc184313242"/>
      <w:bookmarkEnd w:id="372"/>
      <w:bookmarkStart w:id="373" w:name="_Toc184312092"/>
      <w:bookmarkEnd w:id="373"/>
      <w:bookmarkStart w:id="374" w:name="_Toc184308042"/>
      <w:bookmarkEnd w:id="374"/>
      <w:bookmarkStart w:id="375" w:name="_Toc184310316"/>
      <w:bookmarkEnd w:id="375"/>
      <w:bookmarkStart w:id="376" w:name="_Toc184314435"/>
      <w:bookmarkEnd w:id="376"/>
      <w:bookmarkStart w:id="377" w:name="_Toc184310341"/>
      <w:bookmarkEnd w:id="377"/>
      <w:bookmarkStart w:id="378" w:name="_Toc184310296"/>
      <w:bookmarkEnd w:id="378"/>
      <w:bookmarkStart w:id="379" w:name="_Toc184313268"/>
      <w:bookmarkEnd w:id="379"/>
      <w:bookmarkStart w:id="380" w:name="_Toc184314436"/>
      <w:bookmarkEnd w:id="380"/>
      <w:bookmarkStart w:id="381" w:name="_Toc184308083"/>
      <w:bookmarkEnd w:id="381"/>
      <w:bookmarkStart w:id="382" w:name="_Toc184312093"/>
      <w:bookmarkEnd w:id="382"/>
      <w:bookmarkStart w:id="383" w:name="_Toc184310339"/>
      <w:bookmarkEnd w:id="383"/>
      <w:bookmarkStart w:id="384" w:name="_Toc184310272"/>
      <w:bookmarkEnd w:id="384"/>
      <w:bookmarkStart w:id="385" w:name="_Toc184314459"/>
      <w:bookmarkEnd w:id="385"/>
      <w:bookmarkStart w:id="386" w:name="_Toc184308086"/>
      <w:bookmarkEnd w:id="386"/>
      <w:bookmarkStart w:id="387" w:name="_Toc184312085"/>
      <w:bookmarkEnd w:id="387"/>
      <w:bookmarkStart w:id="388" w:name="_Toc184310336"/>
      <w:bookmarkEnd w:id="388"/>
      <w:bookmarkStart w:id="389" w:name="_Toc184313296"/>
      <w:bookmarkEnd w:id="389"/>
      <w:bookmarkStart w:id="390" w:name="_Toc184308105"/>
      <w:bookmarkEnd w:id="390"/>
      <w:bookmarkStart w:id="391" w:name="_Toc184314448"/>
      <w:bookmarkEnd w:id="391"/>
      <w:bookmarkStart w:id="392" w:name="_Toc184314427"/>
      <w:bookmarkEnd w:id="392"/>
      <w:bookmarkStart w:id="393" w:name="_Toc184312124"/>
      <w:bookmarkEnd w:id="393"/>
      <w:r>
        <w:rPr>
          <w:rFonts w:hint="eastAsia" w:ascii="宋体" w:hAnsi="宋体" w:cs="宋体"/>
          <w:b/>
          <w:sz w:val="36"/>
          <w:szCs w:val="36"/>
        </w:rPr>
        <w:t>评标办法</w:t>
      </w:r>
    </w:p>
    <w:p>
      <w:pPr>
        <w:spacing w:line="360" w:lineRule="auto"/>
        <w:ind w:firstLine="480"/>
        <w:rPr>
          <w:rFonts w:asciiTheme="minorEastAsia" w:hAnsiTheme="minorEastAsia" w:eastAsiaTheme="minorEastAsia" w:cstheme="minorEastAsia"/>
          <w:b/>
          <w:sz w:val="24"/>
        </w:rPr>
      </w:pPr>
      <w:r>
        <w:rPr>
          <w:rFonts w:hint="eastAsia" w:ascii="宋体" w:hAnsi="宋体" w:cs="宋体"/>
          <w:b/>
          <w:sz w:val="32"/>
          <w:szCs w:val="20"/>
        </w:rPr>
        <w:t>标项一</w:t>
      </w:r>
      <w:r>
        <w:rPr>
          <w:rFonts w:hint="eastAsia" w:ascii="宋体" w:hAnsi="宋体" w:cs="仿宋_GB2312"/>
          <w:sz w:val="24"/>
        </w:rPr>
        <w:t>杭州市“空间智治”数字化平台建设（2024）耕地保护集成应用项目-耕地保护集成应用</w:t>
      </w:r>
    </w:p>
    <w:p>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5065"/>
        <w:gridCol w:w="627"/>
        <w:gridCol w:w="951"/>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663" w:type="dxa"/>
          </w:tcPr>
          <w:p>
            <w:pPr>
              <w:pStyle w:val="782"/>
              <w:widowControl w:val="0"/>
              <w:snapToGrid w:val="0"/>
              <w:jc w:val="center"/>
              <w:rPr>
                <w:rFonts w:ascii="宋体" w:hAnsi="宋体" w:cs="宋体"/>
              </w:rPr>
            </w:pPr>
            <w:r>
              <w:rPr>
                <w:rFonts w:hint="eastAsia" w:ascii="宋体" w:hAnsi="宋体" w:cs="宋体"/>
              </w:rPr>
              <w:t>序号</w:t>
            </w:r>
          </w:p>
        </w:tc>
        <w:tc>
          <w:tcPr>
            <w:tcW w:w="5065" w:type="dxa"/>
            <w:vAlign w:val="center"/>
          </w:tcPr>
          <w:p>
            <w:pPr>
              <w:widowControl/>
              <w:snapToGrid w:val="0"/>
              <w:jc w:val="center"/>
              <w:rPr>
                <w:rFonts w:ascii="宋体" w:hAnsi="宋体" w:cs="宋体"/>
                <w:b/>
                <w:bCs/>
                <w:szCs w:val="21"/>
              </w:rPr>
            </w:pPr>
            <w:r>
              <w:rPr>
                <w:rFonts w:hint="eastAsia" w:ascii="宋体" w:hAnsi="宋体" w:cs="宋体"/>
                <w:b/>
                <w:bCs/>
                <w:szCs w:val="21"/>
              </w:rPr>
              <w:t>评分细则</w:t>
            </w:r>
          </w:p>
        </w:tc>
        <w:tc>
          <w:tcPr>
            <w:tcW w:w="627" w:type="dxa"/>
            <w:vAlign w:val="center"/>
          </w:tcPr>
          <w:p>
            <w:pPr>
              <w:pStyle w:val="782"/>
              <w:widowControl w:val="0"/>
              <w:snapToGrid w:val="0"/>
              <w:jc w:val="center"/>
              <w:rPr>
                <w:rFonts w:ascii="宋体" w:hAnsi="宋体" w:cs="宋体"/>
                <w:b/>
                <w:bCs/>
              </w:rPr>
            </w:pPr>
            <w:r>
              <w:rPr>
                <w:rFonts w:hint="eastAsia" w:ascii="宋体" w:hAnsi="宋体" w:cs="宋体"/>
                <w:b/>
                <w:bCs/>
              </w:rPr>
              <w:t>权重</w:t>
            </w:r>
          </w:p>
        </w:tc>
        <w:tc>
          <w:tcPr>
            <w:tcW w:w="951" w:type="dxa"/>
            <w:vAlign w:val="center"/>
          </w:tcPr>
          <w:p>
            <w:pPr>
              <w:pStyle w:val="782"/>
              <w:widowControl w:val="0"/>
              <w:snapToGrid w:val="0"/>
              <w:jc w:val="center"/>
              <w:rPr>
                <w:rFonts w:ascii="宋体" w:hAnsi="宋体" w:cs="宋体"/>
                <w:b/>
                <w:bCs/>
              </w:rPr>
            </w:pPr>
            <w:r>
              <w:rPr>
                <w:rFonts w:hint="eastAsia" w:ascii="宋体" w:hAnsi="宋体" w:cs="宋体"/>
                <w:b/>
                <w:bCs/>
              </w:rPr>
              <w:t>备注</w:t>
            </w:r>
          </w:p>
        </w:tc>
        <w:tc>
          <w:tcPr>
            <w:tcW w:w="1189" w:type="dxa"/>
            <w:vAlign w:val="center"/>
          </w:tcPr>
          <w:p>
            <w:pPr>
              <w:pStyle w:val="782"/>
              <w:widowControl w:val="0"/>
              <w:snapToGrid w:val="0"/>
              <w:jc w:val="center"/>
              <w:rPr>
                <w:rFonts w:ascii="宋体" w:hAnsi="宋体" w:cs="宋体"/>
                <w:b/>
                <w:bCs/>
              </w:rPr>
            </w:pPr>
            <w:r>
              <w:rPr>
                <w:rFonts w:hint="eastAsia" w:ascii="宋体" w:hAnsi="宋体" w:cs="宋体"/>
                <w:b/>
                <w:bCs/>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1</w:t>
            </w:r>
          </w:p>
        </w:tc>
        <w:tc>
          <w:tcPr>
            <w:tcW w:w="5065" w:type="dxa"/>
          </w:tcPr>
          <w:p>
            <w:pPr>
              <w:snapToGrid w:val="0"/>
              <w:rPr>
                <w:rFonts w:ascii="宋体" w:hAnsi="宋体" w:cs="宋体"/>
                <w:szCs w:val="21"/>
              </w:rPr>
            </w:pPr>
            <w:r>
              <w:rPr>
                <w:rFonts w:hint="eastAsia" w:ascii="宋体" w:hAnsi="宋体" w:cs="宋体"/>
                <w:szCs w:val="21"/>
              </w:rPr>
              <w:t>供应商自2022年1月1日以来（以合同签订时间为准），承担过类似空间治理数字化平台相关项目的，每个得0.5分，最高得1分。</w:t>
            </w:r>
          </w:p>
          <w:p>
            <w:pPr>
              <w:snapToGrid w:val="0"/>
              <w:rPr>
                <w:rFonts w:ascii="宋体" w:hAnsi="宋体" w:cs="宋体"/>
                <w:szCs w:val="21"/>
              </w:rPr>
            </w:pPr>
            <w:r>
              <w:rPr>
                <w:rFonts w:hint="eastAsia" w:ascii="宋体" w:hAnsi="宋体" w:cs="宋体"/>
                <w:szCs w:val="21"/>
              </w:rPr>
              <w:t>【证明材料：1）须提供合同扫描件并加盖单位公章；2）提供的证明材料须能体现相关评审因素，不提供或者不能提供有效证明的，不得分。】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1</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客观分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2</w:t>
            </w:r>
          </w:p>
        </w:tc>
        <w:tc>
          <w:tcPr>
            <w:tcW w:w="5065" w:type="dxa"/>
          </w:tcPr>
          <w:p>
            <w:pPr>
              <w:snapToGrid w:val="0"/>
              <w:rPr>
                <w:rFonts w:ascii="宋体" w:hAnsi="宋体" w:cs="宋体"/>
                <w:szCs w:val="21"/>
              </w:rPr>
            </w:pPr>
            <w:r>
              <w:rPr>
                <w:rFonts w:hint="eastAsia" w:ascii="宋体" w:hAnsi="宋体" w:cs="宋体"/>
                <w:szCs w:val="21"/>
              </w:rPr>
              <w:t>供应商具有城乡规划、城市信息模型、地理信息等相关计算机软件著作权的，每个得0.5分，最高得3分。</w:t>
            </w:r>
          </w:p>
          <w:p>
            <w:pPr>
              <w:snapToGrid w:val="0"/>
              <w:rPr>
                <w:rFonts w:ascii="宋体" w:hAnsi="宋体" w:cs="宋体"/>
                <w:szCs w:val="21"/>
              </w:rPr>
            </w:pPr>
            <w:r>
              <w:rPr>
                <w:rFonts w:hint="eastAsia" w:ascii="宋体" w:hAnsi="宋体" w:cs="宋体"/>
                <w:szCs w:val="21"/>
              </w:rPr>
              <w:t>【证明材料：1）须提供软件著作证书扫描件并加盖单位公章；2）提供的证明材料须能体现相关评审因素，不提供或者不能提供有效证明的，不得分。】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3</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客观分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3</w:t>
            </w:r>
          </w:p>
        </w:tc>
        <w:tc>
          <w:tcPr>
            <w:tcW w:w="5065" w:type="dxa"/>
          </w:tcPr>
          <w:p>
            <w:pPr>
              <w:snapToGrid w:val="0"/>
              <w:rPr>
                <w:rFonts w:ascii="宋体" w:hAnsi="宋体" w:cs="宋体"/>
                <w:szCs w:val="21"/>
                <w:lang w:val="zh-TW"/>
              </w:rPr>
            </w:pPr>
            <w:r>
              <w:rPr>
                <w:rFonts w:hint="eastAsia" w:ascii="宋体" w:hAnsi="宋体" w:cs="宋体"/>
                <w:szCs w:val="21"/>
                <w:lang w:val="zh-TW"/>
              </w:rPr>
              <w:t>自2021年1月1日以来（以奖项颁发时间为准），获得国家或省级科学技术进步奖，或国家部委、国家行业协会颁发的科技进步二等以上的每个得0.5分；相同项目按最高奖项得分，不重复计算。本项最高</w:t>
            </w:r>
            <w:r>
              <w:rPr>
                <w:rFonts w:ascii="宋体" w:hAnsi="宋体" w:eastAsia="PMingLiU" w:cs="宋体"/>
                <w:szCs w:val="21"/>
                <w:lang w:val="zh-TW" w:eastAsia="zh-TW"/>
              </w:rPr>
              <w:t>1</w:t>
            </w:r>
            <w:r>
              <w:rPr>
                <w:rFonts w:hint="eastAsia" w:ascii="宋体" w:hAnsi="宋体" w:cs="宋体"/>
                <w:szCs w:val="21"/>
                <w:lang w:val="zh-TW"/>
              </w:rPr>
              <w:t>分。</w:t>
            </w:r>
          </w:p>
          <w:p>
            <w:pPr>
              <w:snapToGrid w:val="0"/>
              <w:rPr>
                <w:rFonts w:ascii="宋体" w:hAnsi="宋体" w:cs="宋体"/>
                <w:szCs w:val="21"/>
                <w:lang w:val="zh-TW"/>
              </w:rPr>
            </w:pPr>
            <w:r>
              <w:rPr>
                <w:rFonts w:hint="eastAsia" w:ascii="宋体" w:hAnsi="宋体" w:cs="宋体"/>
                <w:szCs w:val="21"/>
                <w:lang w:val="zh-TW"/>
              </w:rPr>
              <w:t>【证明材料：1）须提供奖项证书扫描件并加盖单位公章；2）提供的证明材料须能体现相关评审因素，不提供或者不能提供有效证明的，不得分。】</w:t>
            </w:r>
          </w:p>
        </w:tc>
        <w:tc>
          <w:tcPr>
            <w:tcW w:w="627" w:type="dxa"/>
            <w:vAlign w:val="center"/>
          </w:tcPr>
          <w:p>
            <w:pPr>
              <w:snapToGrid w:val="0"/>
              <w:jc w:val="center"/>
              <w:rPr>
                <w:rFonts w:ascii="宋体" w:hAnsi="宋体" w:cs="宋体"/>
                <w:b/>
                <w:bCs/>
                <w:szCs w:val="21"/>
                <w:lang w:val="zh-TW"/>
              </w:rPr>
            </w:pPr>
            <w:r>
              <w:rPr>
                <w:rFonts w:ascii="宋体" w:hAnsi="宋体" w:cs="宋体"/>
                <w:b/>
                <w:bCs/>
                <w:szCs w:val="21"/>
              </w:rPr>
              <w:t>1</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客观分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4</w:t>
            </w:r>
          </w:p>
        </w:tc>
        <w:tc>
          <w:tcPr>
            <w:tcW w:w="5065" w:type="dxa"/>
          </w:tcPr>
          <w:p>
            <w:pPr>
              <w:snapToGrid w:val="0"/>
              <w:rPr>
                <w:rFonts w:ascii="宋体" w:hAnsi="宋体" w:cs="宋体"/>
                <w:szCs w:val="21"/>
              </w:rPr>
            </w:pPr>
            <w:r>
              <w:rPr>
                <w:rFonts w:hint="eastAsia" w:ascii="宋体" w:hAnsi="宋体" w:cs="宋体"/>
                <w:szCs w:val="21"/>
              </w:rPr>
              <w:t>供应商具有以下有效证书的每个得1分，最高得</w:t>
            </w:r>
            <w:r>
              <w:rPr>
                <w:rFonts w:ascii="宋体" w:hAnsi="宋体" w:cs="宋体"/>
                <w:szCs w:val="21"/>
              </w:rPr>
              <w:t>3</w:t>
            </w:r>
            <w:r>
              <w:rPr>
                <w:rFonts w:hint="eastAsia" w:ascii="宋体" w:hAnsi="宋体" w:cs="宋体"/>
                <w:szCs w:val="21"/>
              </w:rPr>
              <w:t>分。</w:t>
            </w:r>
          </w:p>
          <w:p>
            <w:pPr>
              <w:snapToGrid w:val="0"/>
              <w:rPr>
                <w:rFonts w:ascii="宋体" w:hAnsi="宋体" w:cs="宋体"/>
                <w:szCs w:val="21"/>
              </w:rPr>
            </w:pPr>
            <w:r>
              <w:rPr>
                <w:rFonts w:hint="eastAsia" w:ascii="宋体" w:hAnsi="宋体" w:cs="宋体"/>
                <w:szCs w:val="21"/>
              </w:rPr>
              <w:t>1）ISO9001质量管理体系认证；</w:t>
            </w:r>
          </w:p>
          <w:p>
            <w:pPr>
              <w:snapToGrid w:val="0"/>
              <w:rPr>
                <w:rFonts w:ascii="宋体" w:hAnsi="宋体" w:cs="宋体"/>
                <w:szCs w:val="21"/>
              </w:rPr>
            </w:pPr>
            <w:r>
              <w:rPr>
                <w:rFonts w:hint="eastAsia" w:ascii="宋体" w:hAnsi="宋体" w:cs="宋体"/>
                <w:szCs w:val="21"/>
              </w:rPr>
              <w:t>2）ISO/IEC27001信息安全管理体系认证；</w:t>
            </w:r>
          </w:p>
          <w:p>
            <w:pPr>
              <w:snapToGrid w:val="0"/>
              <w:rPr>
                <w:rFonts w:ascii="宋体" w:hAnsi="宋体" w:cs="宋体"/>
                <w:szCs w:val="21"/>
              </w:rPr>
            </w:pPr>
            <w:r>
              <w:rPr>
                <w:rFonts w:hint="eastAsia" w:ascii="宋体" w:hAnsi="宋体" w:cs="宋体"/>
                <w:szCs w:val="21"/>
              </w:rPr>
              <w:t>3）ISO20000信息技术服务管理体系认证；</w:t>
            </w:r>
          </w:p>
          <w:p>
            <w:pPr>
              <w:snapToGrid w:val="0"/>
              <w:rPr>
                <w:rFonts w:ascii="宋体" w:hAnsi="宋体" w:cs="宋体"/>
                <w:szCs w:val="21"/>
              </w:rPr>
            </w:pPr>
            <w:r>
              <w:rPr>
                <w:rFonts w:hint="eastAsia" w:ascii="宋体" w:hAnsi="宋体" w:cs="宋体"/>
                <w:szCs w:val="21"/>
              </w:rPr>
              <w:t>【证明材料：1）须提供有效证书扫描件并加盖单位公章；2）提供的证明材料须能体现相关评审因素，不提供或者不能提供有效证明的，不得分。】</w:t>
            </w:r>
          </w:p>
        </w:tc>
        <w:tc>
          <w:tcPr>
            <w:tcW w:w="627" w:type="dxa"/>
            <w:vAlign w:val="center"/>
          </w:tcPr>
          <w:p>
            <w:pPr>
              <w:snapToGrid w:val="0"/>
              <w:jc w:val="center"/>
              <w:rPr>
                <w:rFonts w:ascii="宋体" w:hAnsi="宋体" w:cs="宋体"/>
                <w:b/>
                <w:bCs/>
                <w:szCs w:val="21"/>
              </w:rPr>
            </w:pPr>
            <w:r>
              <w:rPr>
                <w:rFonts w:ascii="宋体" w:hAnsi="宋体" w:cs="宋体"/>
                <w:b/>
                <w:bCs/>
                <w:szCs w:val="21"/>
              </w:rPr>
              <w:t>3</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客观分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5</w:t>
            </w:r>
          </w:p>
        </w:tc>
        <w:tc>
          <w:tcPr>
            <w:tcW w:w="5065" w:type="dxa"/>
          </w:tcPr>
          <w:p>
            <w:pPr>
              <w:snapToGrid w:val="0"/>
              <w:rPr>
                <w:rFonts w:ascii="宋体" w:hAnsi="宋体" w:cs="宋体"/>
                <w:szCs w:val="21"/>
              </w:rPr>
            </w:pPr>
            <w:r>
              <w:rPr>
                <w:rFonts w:hint="eastAsia" w:ascii="宋体" w:hAnsi="宋体" w:cs="宋体"/>
                <w:szCs w:val="21"/>
              </w:rPr>
              <w:t>根据供应商对本项目需求的理解及对本次项目建设需求的分项情况是否准确、详实、全面等进行综合评分。</w:t>
            </w:r>
          </w:p>
          <w:p>
            <w:pPr>
              <w:snapToGrid w:val="0"/>
              <w:rPr>
                <w:rFonts w:ascii="宋体" w:hAnsi="宋体" w:cs="宋体"/>
                <w:szCs w:val="21"/>
              </w:rPr>
            </w:pPr>
            <w:r>
              <w:rPr>
                <w:rFonts w:hint="eastAsia" w:ascii="宋体" w:hAnsi="宋体" w:cs="宋体"/>
                <w:szCs w:val="21"/>
              </w:rPr>
              <w:t>对本项目建设需求分析准确、透彻、针对性强，充分了解项目信息化现状的得5分；对本项目建设需求分析较客观、完整，基本了解项目信息化现状的得3分；对本项目建设需求分析不到位、不了解项目信息化现状的不得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5</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6</w:t>
            </w:r>
          </w:p>
        </w:tc>
        <w:tc>
          <w:tcPr>
            <w:tcW w:w="5065" w:type="dxa"/>
          </w:tcPr>
          <w:p>
            <w:pPr>
              <w:snapToGrid w:val="0"/>
              <w:rPr>
                <w:rFonts w:ascii="宋体" w:hAnsi="宋体" w:cs="宋体"/>
                <w:szCs w:val="21"/>
              </w:rPr>
            </w:pPr>
            <w:r>
              <w:rPr>
                <w:rFonts w:hint="eastAsia" w:ascii="宋体" w:hAnsi="宋体" w:cs="宋体"/>
                <w:bCs/>
                <w:szCs w:val="21"/>
              </w:rPr>
              <w:t>方案应包括总体建设思路、建设内容、实施计划等方面，并详细阐述系统的体系架构、设计原则和实现思路。方案内容详细完善，具有较强完整性、科学性、先进性和可行性得5分；方案内容较简单，略有偏差的得3分；内容有明显缺陷或内容不完整的不得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5</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7</w:t>
            </w:r>
          </w:p>
        </w:tc>
        <w:tc>
          <w:tcPr>
            <w:tcW w:w="5065" w:type="dxa"/>
          </w:tcPr>
          <w:p>
            <w:pPr>
              <w:snapToGrid w:val="0"/>
              <w:rPr>
                <w:rFonts w:ascii="宋体" w:hAnsi="宋体" w:cs="宋体"/>
                <w:szCs w:val="21"/>
              </w:rPr>
            </w:pPr>
            <w:r>
              <w:rPr>
                <w:rFonts w:hint="eastAsia" w:ascii="宋体" w:hAnsi="宋体" w:cs="宋体"/>
                <w:bCs/>
                <w:szCs w:val="21"/>
              </w:rPr>
              <w:t>针对本项目建设内容，结合信息化现状，提出具体的技术解决方案，包括但不限于关键技术、数据资源方案和网络安全方案等。技术方案科学合理、安全严密、具有一定的前瞻性，独特的优势得</w:t>
            </w:r>
            <w:r>
              <w:rPr>
                <w:rFonts w:ascii="宋体" w:hAnsi="宋体" w:cs="宋体"/>
                <w:bCs/>
                <w:szCs w:val="21"/>
              </w:rPr>
              <w:t>6</w:t>
            </w:r>
            <w:r>
              <w:rPr>
                <w:rFonts w:hint="eastAsia" w:ascii="宋体" w:hAnsi="宋体" w:cs="宋体"/>
                <w:bCs/>
                <w:szCs w:val="21"/>
              </w:rPr>
              <w:t>分；解决方案略有欠缺，基本满足需求，方案无明显特色得3分；解决方案有较大缺陷，内容明显错误不得分。</w:t>
            </w:r>
          </w:p>
        </w:tc>
        <w:tc>
          <w:tcPr>
            <w:tcW w:w="627" w:type="dxa"/>
            <w:vAlign w:val="center"/>
          </w:tcPr>
          <w:p>
            <w:pPr>
              <w:snapToGrid w:val="0"/>
              <w:jc w:val="center"/>
              <w:rPr>
                <w:rFonts w:ascii="宋体" w:hAnsi="宋体" w:cs="宋体"/>
                <w:b/>
                <w:bCs/>
                <w:szCs w:val="21"/>
              </w:rPr>
            </w:pPr>
            <w:r>
              <w:rPr>
                <w:rFonts w:ascii="宋体" w:hAnsi="宋体" w:cs="宋体"/>
                <w:b/>
                <w:bCs/>
                <w:szCs w:val="21"/>
              </w:rPr>
              <w:t>6</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8</w:t>
            </w:r>
          </w:p>
        </w:tc>
        <w:tc>
          <w:tcPr>
            <w:tcW w:w="5065" w:type="dxa"/>
          </w:tcPr>
          <w:p>
            <w:pPr>
              <w:snapToGrid w:val="0"/>
              <w:rPr>
                <w:rFonts w:ascii="宋体" w:hAnsi="宋体" w:cs="宋体"/>
                <w:szCs w:val="21"/>
              </w:rPr>
            </w:pPr>
            <w:r>
              <w:rPr>
                <w:rFonts w:hint="eastAsia" w:ascii="宋体" w:hAnsi="宋体" w:cs="宋体"/>
                <w:bCs/>
                <w:szCs w:val="21"/>
              </w:rPr>
              <w:t>针对采购需求“</w:t>
            </w:r>
            <w:r>
              <w:rPr>
                <w:rFonts w:hint="eastAsia" w:ascii="宋体" w:hAnsi="宋体" w:cs="宋体"/>
                <w:b/>
                <w:szCs w:val="21"/>
              </w:rPr>
              <w:t>新建土地整治项目管理应用场景</w:t>
            </w:r>
            <w:r>
              <w:rPr>
                <w:rFonts w:hint="eastAsia" w:ascii="宋体" w:hAnsi="宋体" w:cs="宋体"/>
                <w:bCs/>
                <w:szCs w:val="21"/>
              </w:rPr>
              <w:t>”高质量补充耕地全量底板；实现土地整治项目全过程监管；实现项目选址智能内业分析。方案阐述内容详实，逻辑清晰，具有科学性、合理性、可行性，充分满足建设需求的得</w:t>
            </w:r>
            <w:r>
              <w:rPr>
                <w:rFonts w:ascii="宋体" w:hAnsi="宋体" w:cs="宋体"/>
                <w:bCs/>
                <w:szCs w:val="21"/>
              </w:rPr>
              <w:t>7</w:t>
            </w:r>
            <w:r>
              <w:rPr>
                <w:rFonts w:hint="eastAsia" w:ascii="宋体" w:hAnsi="宋体" w:cs="宋体"/>
                <w:bCs/>
                <w:szCs w:val="21"/>
              </w:rPr>
              <w:t>分；方案阐述内容详细，基本符合建设需求的得5分；方案整体欠佳，基本符合建设需求的得3分；方案整体欠佳，无法满足建设需求的得0分。</w:t>
            </w:r>
          </w:p>
        </w:tc>
        <w:tc>
          <w:tcPr>
            <w:tcW w:w="627" w:type="dxa"/>
            <w:vAlign w:val="center"/>
          </w:tcPr>
          <w:p>
            <w:pPr>
              <w:snapToGrid w:val="0"/>
              <w:jc w:val="center"/>
              <w:rPr>
                <w:rFonts w:ascii="宋体" w:hAnsi="宋体" w:cs="宋体"/>
                <w:b/>
                <w:bCs/>
                <w:szCs w:val="21"/>
              </w:rPr>
            </w:pPr>
            <w:r>
              <w:rPr>
                <w:rFonts w:ascii="宋体" w:hAnsi="宋体" w:cs="宋体"/>
                <w:b/>
                <w:bCs/>
                <w:szCs w:val="21"/>
              </w:rPr>
              <w:t>7</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9</w:t>
            </w:r>
          </w:p>
        </w:tc>
        <w:tc>
          <w:tcPr>
            <w:tcW w:w="5065" w:type="dxa"/>
          </w:tcPr>
          <w:p>
            <w:pPr>
              <w:snapToGrid w:val="0"/>
              <w:rPr>
                <w:rFonts w:ascii="宋体" w:hAnsi="宋体" w:cs="宋体"/>
                <w:szCs w:val="21"/>
              </w:rPr>
            </w:pPr>
            <w:r>
              <w:rPr>
                <w:rFonts w:hint="eastAsia" w:ascii="宋体" w:hAnsi="宋体" w:cs="宋体"/>
                <w:bCs/>
                <w:szCs w:val="21"/>
              </w:rPr>
              <w:t>针对采购需求“</w:t>
            </w:r>
            <w:r>
              <w:rPr>
                <w:rFonts w:hint="eastAsia" w:ascii="宋体" w:hAnsi="宋体" w:cs="宋体"/>
                <w:b/>
                <w:szCs w:val="21"/>
              </w:rPr>
              <w:t>新建国土空间指标统筹交易管理场景</w:t>
            </w:r>
            <w:r>
              <w:rPr>
                <w:rFonts w:hint="eastAsia" w:ascii="宋体" w:hAnsi="宋体" w:cs="宋体"/>
                <w:bCs/>
                <w:szCs w:val="21"/>
              </w:rPr>
              <w:t>”建立国土空间指标交易应用；建立国土空间指标成交量统计。方案阐述内容详实，逻辑清晰，具有科学性、合理性、可行性，充分满足建设需求的得</w:t>
            </w:r>
            <w:r>
              <w:rPr>
                <w:rFonts w:ascii="宋体" w:hAnsi="宋体" w:cs="宋体"/>
                <w:bCs/>
                <w:szCs w:val="21"/>
              </w:rPr>
              <w:t>7</w:t>
            </w:r>
            <w:r>
              <w:rPr>
                <w:rFonts w:hint="eastAsia" w:ascii="宋体" w:hAnsi="宋体" w:cs="宋体"/>
                <w:bCs/>
                <w:szCs w:val="21"/>
              </w:rPr>
              <w:t>分；方案阐述内容详细，基本符合建设需求的得5分；方案整体欠佳，基本符合建设需求的得3分，方案整体欠佳，无法满足建设需求的得0分。</w:t>
            </w:r>
          </w:p>
        </w:tc>
        <w:tc>
          <w:tcPr>
            <w:tcW w:w="627" w:type="dxa"/>
            <w:vAlign w:val="center"/>
          </w:tcPr>
          <w:p>
            <w:pPr>
              <w:snapToGrid w:val="0"/>
              <w:jc w:val="center"/>
              <w:rPr>
                <w:rFonts w:ascii="宋体" w:hAnsi="宋体" w:cs="宋体"/>
                <w:b/>
                <w:bCs/>
                <w:szCs w:val="21"/>
              </w:rPr>
            </w:pPr>
            <w:r>
              <w:rPr>
                <w:rFonts w:ascii="宋体" w:hAnsi="宋体" w:cs="宋体"/>
                <w:b/>
                <w:bCs/>
                <w:szCs w:val="21"/>
              </w:rPr>
              <w:t>7</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10</w:t>
            </w:r>
          </w:p>
        </w:tc>
        <w:tc>
          <w:tcPr>
            <w:tcW w:w="5065" w:type="dxa"/>
          </w:tcPr>
          <w:p>
            <w:pPr>
              <w:snapToGrid w:val="0"/>
              <w:rPr>
                <w:rFonts w:ascii="宋体" w:hAnsi="宋体" w:cs="宋体"/>
                <w:szCs w:val="21"/>
              </w:rPr>
            </w:pPr>
            <w:r>
              <w:rPr>
                <w:rFonts w:hint="eastAsia" w:ascii="宋体" w:hAnsi="宋体" w:cs="宋体"/>
                <w:bCs/>
                <w:szCs w:val="21"/>
              </w:rPr>
              <w:t>针对采购需求“</w:t>
            </w:r>
            <w:r>
              <w:rPr>
                <w:rFonts w:hint="eastAsia" w:ascii="宋体" w:hAnsi="宋体" w:cs="宋体"/>
                <w:b/>
                <w:szCs w:val="21"/>
              </w:rPr>
              <w:t>整合新建违法占用耕地监管场景</w:t>
            </w:r>
            <w:r>
              <w:rPr>
                <w:rFonts w:hint="eastAsia" w:ascii="宋体" w:hAnsi="宋体" w:cs="宋体"/>
                <w:bCs/>
                <w:szCs w:val="21"/>
              </w:rPr>
              <w:t>”新增违法占用耕地数据归集接入；实现耕地违法问题统一管理；实现历年违法信息接入和统计；对违法问题进行统计分析。方案阐述内容详实，逻辑清晰，具有科学性、合理性、可行性，充分满足建设需求的得</w:t>
            </w:r>
            <w:r>
              <w:rPr>
                <w:rFonts w:ascii="宋体" w:hAnsi="宋体" w:cs="宋体"/>
                <w:bCs/>
                <w:szCs w:val="21"/>
              </w:rPr>
              <w:t>7</w:t>
            </w:r>
            <w:r>
              <w:rPr>
                <w:rFonts w:hint="eastAsia" w:ascii="宋体" w:hAnsi="宋体" w:cs="宋体"/>
                <w:bCs/>
                <w:szCs w:val="21"/>
              </w:rPr>
              <w:t>分；方案阐述内容详细，基本符合建设需求的得5分；方案整体欠佳，基本符合建设需求的得3分，方案整体欠佳，无法满足建设需求的得0分</w:t>
            </w:r>
          </w:p>
        </w:tc>
        <w:tc>
          <w:tcPr>
            <w:tcW w:w="627" w:type="dxa"/>
            <w:vAlign w:val="center"/>
          </w:tcPr>
          <w:p>
            <w:pPr>
              <w:snapToGrid w:val="0"/>
              <w:jc w:val="center"/>
              <w:rPr>
                <w:rFonts w:ascii="宋体" w:hAnsi="宋体" w:cs="宋体"/>
                <w:b/>
                <w:bCs/>
                <w:szCs w:val="21"/>
              </w:rPr>
            </w:pPr>
            <w:r>
              <w:rPr>
                <w:rFonts w:ascii="宋体" w:hAnsi="宋体" w:cs="宋体"/>
                <w:b/>
                <w:bCs/>
                <w:szCs w:val="21"/>
              </w:rPr>
              <w:t>7</w:t>
            </w:r>
          </w:p>
        </w:tc>
        <w:tc>
          <w:tcPr>
            <w:tcW w:w="951" w:type="dxa"/>
            <w:vAlign w:val="center"/>
          </w:tcPr>
          <w:p>
            <w:pPr>
              <w:snapToGrid w:val="0"/>
              <w:jc w:val="center"/>
              <w:rPr>
                <w:rFonts w:ascii="宋体" w:hAnsi="宋体" w:cs="宋体"/>
                <w:b/>
                <w:bCs/>
                <w:szCs w:val="21"/>
              </w:rPr>
            </w:pPr>
            <w:r>
              <w:rPr>
                <w:rFonts w:hint="eastAsia" w:ascii="宋体" w:hAnsi="宋体" w:cs="宋体"/>
                <w:b/>
                <w:bCs/>
                <w:szCs w:val="21"/>
                <w:lang w:val="en-US" w:eastAsia="zh-CN"/>
              </w:rPr>
              <w:t>主</w:t>
            </w:r>
            <w:r>
              <w:rPr>
                <w:rFonts w:hint="eastAsia" w:ascii="宋体" w:hAnsi="宋体" w:cs="宋体"/>
                <w:b/>
                <w:bCs/>
                <w:szCs w:val="21"/>
              </w:rPr>
              <w:t>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11</w:t>
            </w:r>
          </w:p>
        </w:tc>
        <w:tc>
          <w:tcPr>
            <w:tcW w:w="5065" w:type="dxa"/>
          </w:tcPr>
          <w:p>
            <w:pPr>
              <w:snapToGrid w:val="0"/>
              <w:rPr>
                <w:rFonts w:ascii="宋体" w:hAnsi="宋体" w:cs="宋体"/>
                <w:szCs w:val="21"/>
              </w:rPr>
            </w:pPr>
            <w:r>
              <w:rPr>
                <w:rFonts w:hint="eastAsia" w:ascii="宋体" w:hAnsi="宋体" w:cs="宋体"/>
                <w:bCs/>
                <w:szCs w:val="21"/>
              </w:rPr>
              <w:t>针对采购需求“</w:t>
            </w:r>
            <w:r>
              <w:rPr>
                <w:rFonts w:hint="eastAsia" w:ascii="宋体" w:hAnsi="宋体" w:cs="宋体"/>
                <w:b/>
                <w:szCs w:val="21"/>
              </w:rPr>
              <w:t>迭代升级‘三块地’三块地动态监测场景</w:t>
            </w:r>
            <w:r>
              <w:rPr>
                <w:rFonts w:hint="eastAsia" w:ascii="宋体" w:hAnsi="宋体" w:cs="宋体"/>
                <w:bCs/>
                <w:szCs w:val="21"/>
              </w:rPr>
              <w:t>”深化批而未供监管模块；深化闲置土地监管模块；建设低效用地管理全链智治。方案阐述内容详实，逻辑清晰，具有科学性、合理性、可行性，充分满足建设需求的得</w:t>
            </w:r>
            <w:r>
              <w:rPr>
                <w:rFonts w:ascii="宋体" w:hAnsi="宋体" w:cs="宋体"/>
                <w:bCs/>
                <w:szCs w:val="21"/>
              </w:rPr>
              <w:t>7</w:t>
            </w:r>
            <w:r>
              <w:rPr>
                <w:rFonts w:hint="eastAsia" w:ascii="宋体" w:hAnsi="宋体" w:cs="宋体"/>
                <w:bCs/>
                <w:szCs w:val="21"/>
              </w:rPr>
              <w:t>分；方案阐述内容详细，基本符合建设需求的得5分；方案整体欠佳，基本符合建设需求的得3分，方案整体欠佳，无法满足建设需求的得0分</w:t>
            </w:r>
          </w:p>
        </w:tc>
        <w:tc>
          <w:tcPr>
            <w:tcW w:w="627" w:type="dxa"/>
            <w:vAlign w:val="center"/>
          </w:tcPr>
          <w:p>
            <w:pPr>
              <w:snapToGrid w:val="0"/>
              <w:jc w:val="center"/>
              <w:rPr>
                <w:rFonts w:ascii="宋体" w:hAnsi="宋体" w:cs="宋体"/>
                <w:b/>
                <w:bCs/>
                <w:szCs w:val="21"/>
              </w:rPr>
            </w:pPr>
            <w:r>
              <w:rPr>
                <w:rFonts w:ascii="宋体" w:hAnsi="宋体" w:cs="宋体"/>
                <w:b/>
                <w:bCs/>
                <w:szCs w:val="21"/>
                <w:lang w:val="zh-CN"/>
              </w:rPr>
              <w:t>7</w:t>
            </w:r>
          </w:p>
        </w:tc>
        <w:tc>
          <w:tcPr>
            <w:tcW w:w="951" w:type="dxa"/>
            <w:vAlign w:val="center"/>
          </w:tcPr>
          <w:p>
            <w:pPr>
              <w:snapToGrid w:val="0"/>
              <w:jc w:val="center"/>
              <w:rPr>
                <w:rFonts w:ascii="宋体" w:hAnsi="宋体" w:cs="宋体"/>
                <w:b/>
                <w:bCs/>
                <w:szCs w:val="21"/>
              </w:rPr>
            </w:pPr>
            <w:r>
              <w:rPr>
                <w:rFonts w:hint="eastAsia" w:ascii="宋体" w:hAnsi="宋体" w:cs="宋体"/>
                <w:b/>
                <w:bCs/>
                <w:szCs w:val="21"/>
                <w:lang w:val="en-US" w:eastAsia="zh-CN"/>
              </w:rPr>
              <w:t>主</w:t>
            </w:r>
            <w:r>
              <w:rPr>
                <w:rFonts w:hint="eastAsia" w:ascii="宋体" w:hAnsi="宋体" w:cs="宋体"/>
                <w:b/>
                <w:bCs/>
                <w:szCs w:val="21"/>
              </w:rPr>
              <w:t>观分</w:t>
            </w:r>
          </w:p>
        </w:tc>
        <w:tc>
          <w:tcPr>
            <w:tcW w:w="1189" w:type="dxa"/>
            <w:vAlign w:val="center"/>
          </w:tcPr>
          <w:p>
            <w:pPr>
              <w:snapToGrid w:val="0"/>
              <w:jc w:val="center"/>
              <w:rPr>
                <w:rFonts w:ascii="宋体" w:hAnsi="宋体" w:cs="宋体"/>
                <w:b/>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12</w:t>
            </w:r>
          </w:p>
        </w:tc>
        <w:tc>
          <w:tcPr>
            <w:tcW w:w="5065" w:type="dxa"/>
            <w:vAlign w:val="center"/>
          </w:tcPr>
          <w:p>
            <w:pPr>
              <w:autoSpaceDE w:val="0"/>
              <w:autoSpaceDN w:val="0"/>
              <w:rPr>
                <w:rFonts w:ascii="宋体" w:hAnsi="宋体" w:cs="宋体"/>
                <w:szCs w:val="21"/>
                <w:lang w:val="zh-CN"/>
              </w:rPr>
            </w:pPr>
            <w:r>
              <w:rPr>
                <w:rFonts w:hint="eastAsia" w:ascii="宋体" w:hAnsi="宋体" w:cs="宋体"/>
                <w:szCs w:val="21"/>
                <w:lang w:val="zh-CN"/>
              </w:rPr>
              <w:t>根据供应商提供的</w:t>
            </w:r>
            <w:r>
              <w:rPr>
                <w:rFonts w:hint="eastAsia" w:ascii="宋体" w:hAnsi="宋体" w:cs="宋体"/>
                <w:b/>
                <w:bCs/>
                <w:szCs w:val="21"/>
                <w:lang w:val="zh-CN"/>
              </w:rPr>
              <w:t>技术实现方案</w:t>
            </w:r>
            <w:r>
              <w:rPr>
                <w:rFonts w:hint="eastAsia" w:ascii="宋体" w:hAnsi="宋体" w:cs="宋体"/>
                <w:szCs w:val="21"/>
                <w:lang w:val="zh-CN"/>
              </w:rPr>
              <w:t>，要求可根据具体应用场景构造适合的技术服务实现方案，即要具备降低系统的复杂度和耦合度，又要提升组件的内聚性、敏捷性，提升服务的响应效率和能力，使系统能以较低成本保持高可用性。</w:t>
            </w:r>
          </w:p>
          <w:p>
            <w:pPr>
              <w:autoSpaceDE w:val="0"/>
              <w:autoSpaceDN w:val="0"/>
              <w:snapToGrid w:val="0"/>
              <w:jc w:val="left"/>
              <w:rPr>
                <w:rFonts w:ascii="宋体" w:hAnsi="宋体" w:cs="宋体"/>
                <w:szCs w:val="21"/>
                <w:lang w:val="zh-CN"/>
              </w:rPr>
            </w:pPr>
            <w:r>
              <w:rPr>
                <w:rFonts w:hint="eastAsia" w:ascii="宋体" w:hAnsi="宋体" w:cs="宋体"/>
                <w:szCs w:val="21"/>
                <w:lang w:val="zh-CN"/>
              </w:rPr>
              <w:t>从方案的全面性、科学性、可行性、可操作性、合理性等方面综合打分。方案科学合理、规范，内容全面的得4分；</w:t>
            </w:r>
            <w:r>
              <w:rPr>
                <w:rFonts w:hint="eastAsia" w:ascii="宋体" w:hAnsi="宋体" w:cs="宋体"/>
                <w:bCs/>
                <w:szCs w:val="21"/>
              </w:rPr>
              <w:t>方案阐述内容详细，基本符合需求的得2分；</w:t>
            </w:r>
            <w:r>
              <w:rPr>
                <w:rFonts w:hint="eastAsia" w:ascii="宋体" w:hAnsi="宋体" w:cs="宋体"/>
                <w:szCs w:val="21"/>
                <w:lang w:val="zh-CN"/>
              </w:rPr>
              <w:t>方案不科学合理、不规范，内容不够全面的得</w:t>
            </w:r>
            <w:r>
              <w:rPr>
                <w:rFonts w:hint="eastAsia" w:ascii="宋体" w:hAnsi="宋体" w:cs="宋体"/>
                <w:szCs w:val="21"/>
              </w:rPr>
              <w:t>0</w:t>
            </w:r>
            <w:r>
              <w:rPr>
                <w:rFonts w:hint="eastAsia" w:ascii="宋体" w:hAnsi="宋体" w:cs="宋体"/>
                <w:szCs w:val="21"/>
                <w:lang w:val="zh-CN"/>
              </w:rPr>
              <w:t>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4</w:t>
            </w:r>
          </w:p>
        </w:tc>
        <w:tc>
          <w:tcPr>
            <w:tcW w:w="951" w:type="dxa"/>
            <w:vAlign w:val="center"/>
          </w:tcPr>
          <w:p>
            <w:pPr>
              <w:snapToGrid w:val="0"/>
              <w:jc w:val="center"/>
              <w:rPr>
                <w:rFonts w:ascii="宋体" w:hAnsi="宋体" w:cs="宋体"/>
                <w:b/>
                <w:bCs/>
                <w:kern w:val="0"/>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13</w:t>
            </w:r>
          </w:p>
        </w:tc>
        <w:tc>
          <w:tcPr>
            <w:tcW w:w="5065" w:type="dxa"/>
          </w:tcPr>
          <w:p>
            <w:pPr>
              <w:snapToGrid w:val="0"/>
              <w:rPr>
                <w:rFonts w:ascii="宋体" w:hAnsi="宋体" w:cs="宋体"/>
                <w:szCs w:val="21"/>
                <w:lang w:val="zh-CN"/>
              </w:rPr>
            </w:pPr>
            <w:r>
              <w:rPr>
                <w:rFonts w:hint="eastAsia" w:ascii="宋体" w:hAnsi="宋体" w:cs="宋体"/>
                <w:szCs w:val="21"/>
              </w:rPr>
              <w:t>供应商采用</w:t>
            </w:r>
            <w:r>
              <w:rPr>
                <w:rFonts w:hint="eastAsia" w:ascii="宋体" w:hAnsi="宋体" w:cs="宋体"/>
                <w:b/>
                <w:szCs w:val="21"/>
              </w:rPr>
              <w:t>自主可控</w:t>
            </w:r>
            <w:r>
              <w:rPr>
                <w:rFonts w:hint="eastAsia" w:ascii="宋体" w:hAnsi="宋体" w:cs="宋体"/>
                <w:szCs w:val="21"/>
              </w:rPr>
              <w:t>的地理信息基础软件，服务器软件及各客户端应用均能实现对信创设备的适配和兼容，得3分。</w:t>
            </w:r>
          </w:p>
        </w:tc>
        <w:tc>
          <w:tcPr>
            <w:tcW w:w="627" w:type="dxa"/>
            <w:vAlign w:val="center"/>
          </w:tcPr>
          <w:p>
            <w:pPr>
              <w:snapToGrid w:val="0"/>
              <w:jc w:val="center"/>
              <w:rPr>
                <w:rFonts w:ascii="宋体" w:hAnsi="宋体" w:cs="宋体"/>
                <w:b/>
                <w:bCs/>
                <w:szCs w:val="21"/>
                <w:lang w:val="zh-CN"/>
              </w:rPr>
            </w:pPr>
            <w:r>
              <w:rPr>
                <w:rFonts w:hint="eastAsia" w:ascii="宋体" w:hAnsi="宋体" w:cs="宋体"/>
                <w:b/>
                <w:bCs/>
                <w:szCs w:val="21"/>
              </w:rPr>
              <w:t>3</w:t>
            </w:r>
          </w:p>
        </w:tc>
        <w:tc>
          <w:tcPr>
            <w:tcW w:w="951" w:type="dxa"/>
            <w:vAlign w:val="center"/>
          </w:tcPr>
          <w:p>
            <w:pPr>
              <w:snapToGrid w:val="0"/>
              <w:jc w:val="center"/>
              <w:rPr>
                <w:rFonts w:ascii="宋体" w:hAnsi="宋体" w:cs="宋体"/>
                <w:b/>
                <w:bCs/>
                <w:szCs w:val="21"/>
                <w:lang w:val="zh-CN"/>
              </w:rPr>
            </w:pPr>
            <w:r>
              <w:rPr>
                <w:rFonts w:hint="eastAsia" w:ascii="宋体" w:hAnsi="宋体" w:cs="宋体"/>
                <w:b/>
                <w:bCs/>
                <w:szCs w:val="21"/>
              </w:rPr>
              <w:t>客观分</w:t>
            </w:r>
          </w:p>
        </w:tc>
        <w:tc>
          <w:tcPr>
            <w:tcW w:w="1189" w:type="dxa"/>
            <w:vAlign w:val="center"/>
          </w:tcPr>
          <w:p>
            <w:pPr>
              <w:snapToGrid w:val="0"/>
              <w:jc w:val="center"/>
              <w:rPr>
                <w:rFonts w:ascii="宋体" w:hAnsi="宋体" w:cs="宋体"/>
                <w:b/>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14</w:t>
            </w:r>
          </w:p>
        </w:tc>
        <w:tc>
          <w:tcPr>
            <w:tcW w:w="5065" w:type="dxa"/>
          </w:tcPr>
          <w:p>
            <w:pPr>
              <w:widowControl/>
              <w:textAlignment w:val="center"/>
              <w:rPr>
                <w:rFonts w:ascii="宋体" w:hAnsi="宋体" w:cs="宋体"/>
                <w:szCs w:val="21"/>
              </w:rPr>
            </w:pPr>
            <w:r>
              <w:rPr>
                <w:rFonts w:hint="eastAsia" w:ascii="宋体" w:hAnsi="宋体" w:cs="宋体"/>
                <w:szCs w:val="21"/>
              </w:rPr>
              <w:t>根据供应商提供的</w:t>
            </w:r>
            <w:r>
              <w:rPr>
                <w:rFonts w:hint="eastAsia" w:ascii="宋体" w:hAnsi="宋体" w:cs="宋体"/>
                <w:b/>
                <w:bCs/>
                <w:szCs w:val="21"/>
              </w:rPr>
              <w:t>分级权限管理技术方案</w:t>
            </w:r>
            <w:r>
              <w:rPr>
                <w:rFonts w:hint="eastAsia" w:ascii="宋体" w:hAnsi="宋体" w:cs="宋体"/>
                <w:szCs w:val="21"/>
              </w:rPr>
              <w:t>，要求能实现对不同级别的资料进行分级权限控制，保障数据安全。</w:t>
            </w:r>
          </w:p>
          <w:p>
            <w:pPr>
              <w:snapToGrid w:val="0"/>
              <w:rPr>
                <w:rFonts w:ascii="宋体" w:hAnsi="宋体" w:cs="宋体"/>
                <w:szCs w:val="21"/>
                <w:lang w:val="zh-CN"/>
              </w:rPr>
            </w:pPr>
            <w:r>
              <w:rPr>
                <w:rFonts w:hint="eastAsia" w:ascii="宋体" w:hAnsi="宋体" w:cs="宋体"/>
                <w:szCs w:val="21"/>
              </w:rPr>
              <w:t>从方案的全面性、科学性、可行性、可操作性、合理性等方面综合打分。方案科学合理、规范，内容全面的得3分；</w:t>
            </w:r>
            <w:r>
              <w:rPr>
                <w:rFonts w:hint="eastAsia" w:ascii="宋体" w:hAnsi="宋体" w:cs="宋体"/>
                <w:bCs/>
                <w:szCs w:val="21"/>
              </w:rPr>
              <w:t>方案阐述内容详细，基本符合需求的得1.5分</w:t>
            </w:r>
            <w:r>
              <w:rPr>
                <w:rFonts w:hint="eastAsia" w:ascii="宋体" w:hAnsi="宋体" w:cs="宋体"/>
                <w:szCs w:val="21"/>
              </w:rPr>
              <w:t>方案不科学合理、不规范，内容不够全面的得0分。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3</w:t>
            </w:r>
          </w:p>
        </w:tc>
        <w:tc>
          <w:tcPr>
            <w:tcW w:w="951" w:type="dxa"/>
            <w:vAlign w:val="center"/>
          </w:tcPr>
          <w:p>
            <w:pPr>
              <w:snapToGrid w:val="0"/>
              <w:jc w:val="center"/>
              <w:rPr>
                <w:rFonts w:ascii="宋体" w:hAnsi="宋体" w:cs="宋体"/>
                <w:b/>
                <w:bCs/>
                <w:szCs w:val="21"/>
                <w:lang w:val="zh-CN"/>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15</w:t>
            </w:r>
          </w:p>
        </w:tc>
        <w:tc>
          <w:tcPr>
            <w:tcW w:w="5065" w:type="dxa"/>
          </w:tcPr>
          <w:p>
            <w:pPr>
              <w:widowControl/>
              <w:textAlignment w:val="center"/>
              <w:rPr>
                <w:rFonts w:ascii="宋体" w:hAnsi="宋体" w:cs="宋体"/>
                <w:szCs w:val="21"/>
              </w:rPr>
            </w:pPr>
            <w:r>
              <w:rPr>
                <w:rFonts w:hint="eastAsia" w:ascii="宋体" w:hAnsi="宋体" w:cs="宋体"/>
                <w:szCs w:val="21"/>
              </w:rPr>
              <w:t>根据供应商提供的</w:t>
            </w:r>
            <w:r>
              <w:rPr>
                <w:rFonts w:hint="eastAsia" w:ascii="宋体" w:hAnsi="宋体" w:cs="宋体"/>
                <w:b/>
                <w:bCs/>
                <w:szCs w:val="21"/>
              </w:rPr>
              <w:t>对海量非结构化数据存储架构设计方案</w:t>
            </w:r>
            <w:r>
              <w:rPr>
                <w:rFonts w:hint="eastAsia" w:ascii="宋体" w:hAnsi="宋体" w:cs="宋体"/>
                <w:szCs w:val="21"/>
              </w:rPr>
              <w:t>，要求对系统涉及的图形、图片、文件等海量非结构化数据按照高速存取、高扩展性的技术要求进行存储架构设计。</w:t>
            </w:r>
          </w:p>
          <w:p>
            <w:pPr>
              <w:snapToGrid w:val="0"/>
              <w:rPr>
                <w:rFonts w:ascii="宋体" w:hAnsi="宋体" w:cs="宋体"/>
                <w:szCs w:val="21"/>
              </w:rPr>
            </w:pPr>
            <w:r>
              <w:rPr>
                <w:rFonts w:hint="eastAsia" w:ascii="宋体" w:hAnsi="宋体" w:cs="宋体"/>
                <w:szCs w:val="21"/>
              </w:rPr>
              <w:t>从方案的全面性、科学性、可行性、可操作性、合理性等方面综合打分。方案科学合理、规范，内容全面的得3分；</w:t>
            </w:r>
            <w:r>
              <w:rPr>
                <w:rFonts w:hint="eastAsia" w:ascii="宋体" w:hAnsi="宋体" w:cs="宋体"/>
                <w:bCs/>
                <w:szCs w:val="21"/>
              </w:rPr>
              <w:t>方案阐述内容详细，基本符合需求的得1.5分；</w:t>
            </w:r>
            <w:r>
              <w:rPr>
                <w:rFonts w:hint="eastAsia" w:ascii="宋体" w:hAnsi="宋体" w:cs="宋体"/>
                <w:szCs w:val="21"/>
              </w:rPr>
              <w:t>方案不科学合理、不规范，内容不够全面的得0分。</w:t>
            </w:r>
          </w:p>
        </w:tc>
        <w:tc>
          <w:tcPr>
            <w:tcW w:w="627" w:type="dxa"/>
            <w:vAlign w:val="center"/>
          </w:tcPr>
          <w:p>
            <w:pPr>
              <w:snapToGrid w:val="0"/>
              <w:jc w:val="center"/>
              <w:rPr>
                <w:rFonts w:ascii="宋体" w:hAnsi="宋体" w:cs="宋体"/>
                <w:b/>
                <w:bCs/>
                <w:szCs w:val="21"/>
                <w:lang w:val="zh-CN"/>
              </w:rPr>
            </w:pPr>
            <w:r>
              <w:rPr>
                <w:rFonts w:hint="eastAsia" w:ascii="宋体" w:hAnsi="宋体" w:cs="宋体"/>
                <w:b/>
                <w:bCs/>
                <w:szCs w:val="21"/>
                <w:lang w:val="zh-CN"/>
              </w:rPr>
              <w:t>3</w:t>
            </w:r>
          </w:p>
        </w:tc>
        <w:tc>
          <w:tcPr>
            <w:tcW w:w="951" w:type="dxa"/>
            <w:vAlign w:val="center"/>
          </w:tcPr>
          <w:p>
            <w:pPr>
              <w:snapToGrid w:val="0"/>
              <w:jc w:val="center"/>
              <w:rPr>
                <w:rFonts w:ascii="宋体" w:hAnsi="宋体" w:cs="宋体"/>
                <w:b/>
                <w:bCs/>
                <w:szCs w:val="21"/>
                <w:lang w:val="zh-CN"/>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16</w:t>
            </w:r>
          </w:p>
        </w:tc>
        <w:tc>
          <w:tcPr>
            <w:tcW w:w="5065" w:type="dxa"/>
            <w:vAlign w:val="center"/>
          </w:tcPr>
          <w:p>
            <w:pPr>
              <w:autoSpaceDE w:val="0"/>
              <w:autoSpaceDN w:val="0"/>
              <w:snapToGrid w:val="0"/>
              <w:jc w:val="left"/>
              <w:rPr>
                <w:rFonts w:ascii="宋体" w:hAnsi="宋体" w:cs="宋体"/>
                <w:szCs w:val="21"/>
              </w:rPr>
            </w:pPr>
            <w:r>
              <w:rPr>
                <w:rFonts w:hint="eastAsia" w:ascii="宋体" w:hAnsi="宋体" w:cs="宋体"/>
                <w:szCs w:val="21"/>
              </w:rPr>
              <w:t>项目组织实施方案应包括但不限于项目团队构成、项目工期进度、项目实施管理等。方案科学合理、规范，内容全面的得3分；</w:t>
            </w:r>
            <w:r>
              <w:rPr>
                <w:rFonts w:hint="eastAsia" w:ascii="宋体" w:hAnsi="宋体" w:cs="宋体"/>
                <w:bCs/>
                <w:szCs w:val="21"/>
              </w:rPr>
              <w:t>方案阐述内容详细，基本符合需求的得</w:t>
            </w:r>
            <w:r>
              <w:rPr>
                <w:rFonts w:ascii="宋体" w:hAnsi="宋体" w:cs="宋体"/>
                <w:bCs/>
                <w:szCs w:val="21"/>
              </w:rPr>
              <w:t>1</w:t>
            </w:r>
            <w:r>
              <w:rPr>
                <w:rFonts w:hint="eastAsia" w:ascii="宋体" w:hAnsi="宋体" w:cs="宋体"/>
                <w:bCs/>
                <w:szCs w:val="21"/>
              </w:rPr>
              <w:t>.5分；</w:t>
            </w:r>
            <w:r>
              <w:rPr>
                <w:rFonts w:hint="eastAsia" w:ascii="宋体" w:hAnsi="宋体" w:cs="宋体"/>
                <w:szCs w:val="21"/>
              </w:rPr>
              <w:t>方案不科学合理、不规范，内容不够全面的得0分。</w:t>
            </w:r>
          </w:p>
        </w:tc>
        <w:tc>
          <w:tcPr>
            <w:tcW w:w="627" w:type="dxa"/>
            <w:vAlign w:val="center"/>
          </w:tcPr>
          <w:p>
            <w:pPr>
              <w:snapToGrid w:val="0"/>
              <w:jc w:val="center"/>
              <w:rPr>
                <w:rFonts w:ascii="宋体" w:hAnsi="宋体" w:cs="宋体"/>
                <w:b/>
                <w:bCs/>
                <w:szCs w:val="21"/>
                <w:lang w:val="zh-CN"/>
              </w:rPr>
            </w:pPr>
            <w:r>
              <w:rPr>
                <w:rFonts w:hint="eastAsia" w:ascii="宋体" w:hAnsi="宋体" w:cs="宋体"/>
                <w:b/>
                <w:bCs/>
                <w:kern w:val="0"/>
                <w:szCs w:val="21"/>
              </w:rPr>
              <w:t>3</w:t>
            </w:r>
          </w:p>
        </w:tc>
        <w:tc>
          <w:tcPr>
            <w:tcW w:w="951" w:type="dxa"/>
            <w:vAlign w:val="center"/>
          </w:tcPr>
          <w:p>
            <w:pPr>
              <w:snapToGrid w:val="0"/>
              <w:jc w:val="center"/>
              <w:rPr>
                <w:rFonts w:ascii="宋体" w:hAnsi="宋体" w:cs="宋体"/>
                <w:b/>
                <w:bCs/>
                <w:kern w:val="0"/>
                <w:szCs w:val="21"/>
              </w:rPr>
            </w:pPr>
            <w:r>
              <w:rPr>
                <w:rFonts w:hint="eastAsia" w:ascii="宋体" w:hAnsi="宋体" w:cs="宋体"/>
                <w:b/>
                <w:bCs/>
                <w:kern w:val="0"/>
                <w:szCs w:val="21"/>
              </w:rPr>
              <w:t>主观分</w:t>
            </w:r>
          </w:p>
        </w:tc>
        <w:tc>
          <w:tcPr>
            <w:tcW w:w="1189" w:type="dxa"/>
            <w:vAlign w:val="center"/>
          </w:tcPr>
          <w:p>
            <w:pPr>
              <w:snapToGrid w:val="0"/>
              <w:jc w:val="center"/>
              <w:rPr>
                <w:rFonts w:ascii="宋体" w:hAnsi="宋体"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17</w:t>
            </w:r>
          </w:p>
        </w:tc>
        <w:tc>
          <w:tcPr>
            <w:tcW w:w="5065" w:type="dxa"/>
            <w:vAlign w:val="center"/>
          </w:tcPr>
          <w:p>
            <w:pPr>
              <w:pStyle w:val="782"/>
              <w:widowControl w:val="0"/>
              <w:snapToGrid w:val="0"/>
              <w:jc w:val="left"/>
              <w:rPr>
                <w:rFonts w:ascii="宋体" w:hAnsi="宋体" w:cs="宋体"/>
                <w:lang w:val="zh-TW"/>
              </w:rPr>
            </w:pPr>
            <w:r>
              <w:rPr>
                <w:rFonts w:hint="eastAsia" w:ascii="宋体" w:hAnsi="宋体" w:cs="宋体"/>
              </w:rPr>
              <w:t>根据供应商为本项目需求制订的主要保障措施，要求具有明确的质量保证目标，质量保证体系合理先进并具有详细的实施内容等。方案科学合理、规范，内容全面的得3分；</w:t>
            </w:r>
            <w:r>
              <w:rPr>
                <w:rFonts w:hint="eastAsia" w:ascii="宋体" w:hAnsi="宋体" w:cs="宋体"/>
                <w:bCs/>
              </w:rPr>
              <w:t>方案阐述内容详细，基本符合需求的得</w:t>
            </w:r>
            <w:r>
              <w:rPr>
                <w:rFonts w:ascii="宋体" w:hAnsi="宋体" w:cs="宋体"/>
                <w:bCs/>
              </w:rPr>
              <w:t>1</w:t>
            </w:r>
            <w:r>
              <w:rPr>
                <w:rFonts w:hint="eastAsia" w:ascii="宋体" w:hAnsi="宋体" w:cs="宋体"/>
                <w:bCs/>
              </w:rPr>
              <w:t>.5分；</w:t>
            </w:r>
            <w:r>
              <w:rPr>
                <w:rFonts w:hint="eastAsia" w:ascii="宋体" w:hAnsi="宋体" w:cs="宋体"/>
              </w:rPr>
              <w:t>方案不科学合理、不规范，内容不够全面的得0分。</w:t>
            </w:r>
          </w:p>
        </w:tc>
        <w:tc>
          <w:tcPr>
            <w:tcW w:w="627" w:type="dxa"/>
            <w:vAlign w:val="center"/>
          </w:tcPr>
          <w:p>
            <w:pPr>
              <w:pStyle w:val="782"/>
              <w:widowControl w:val="0"/>
              <w:snapToGrid w:val="0"/>
              <w:jc w:val="center"/>
              <w:rPr>
                <w:rFonts w:ascii="宋体" w:hAnsi="宋体" w:cs="宋体"/>
                <w:b/>
                <w:bCs/>
              </w:rPr>
            </w:pPr>
            <w:r>
              <w:rPr>
                <w:rFonts w:hint="eastAsia" w:ascii="宋体" w:hAnsi="宋体" w:cs="宋体"/>
                <w:b/>
                <w:bCs/>
              </w:rPr>
              <w:t>3</w:t>
            </w:r>
          </w:p>
        </w:tc>
        <w:tc>
          <w:tcPr>
            <w:tcW w:w="951" w:type="dxa"/>
            <w:vAlign w:val="center"/>
          </w:tcPr>
          <w:p>
            <w:pPr>
              <w:pStyle w:val="782"/>
              <w:widowControl w:val="0"/>
              <w:snapToGrid w:val="0"/>
              <w:jc w:val="center"/>
              <w:rPr>
                <w:rFonts w:ascii="宋体" w:hAnsi="宋体" w:cs="宋体"/>
                <w:b/>
                <w:bCs/>
              </w:rPr>
            </w:pPr>
            <w:r>
              <w:rPr>
                <w:rFonts w:hint="eastAsia" w:ascii="宋体" w:hAnsi="宋体" w:cs="宋体"/>
                <w:b/>
                <w:bCs/>
              </w:rPr>
              <w:t>主观分</w:t>
            </w:r>
          </w:p>
        </w:tc>
        <w:tc>
          <w:tcPr>
            <w:tcW w:w="1189" w:type="dxa"/>
            <w:vAlign w:val="center"/>
          </w:tcPr>
          <w:p>
            <w:pPr>
              <w:pStyle w:val="782"/>
              <w:widowControl w:val="0"/>
              <w:snapToGrid w:val="0"/>
              <w:jc w:val="center"/>
              <w:rPr>
                <w:rFonts w:ascii="宋体" w:hAnsi="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18</w:t>
            </w:r>
          </w:p>
        </w:tc>
        <w:tc>
          <w:tcPr>
            <w:tcW w:w="5065" w:type="dxa"/>
            <w:vAlign w:val="center"/>
          </w:tcPr>
          <w:p>
            <w:pPr>
              <w:pStyle w:val="782"/>
              <w:widowControl w:val="0"/>
              <w:snapToGrid w:val="0"/>
              <w:jc w:val="left"/>
              <w:rPr>
                <w:rFonts w:ascii="宋体" w:hAnsi="宋体" w:cs="宋体"/>
                <w:lang w:val="zh-TW"/>
              </w:rPr>
            </w:pPr>
            <w:r>
              <w:rPr>
                <w:rFonts w:hint="eastAsia" w:ascii="宋体" w:hAnsi="宋体" w:cs="宋体"/>
              </w:rPr>
              <w:t>根据供应商针对本项目采购需求提供的培训目标、培训计划、内容、培训资料、培训组织安排等方案进行综合打分。培训内容详细具有实际意义，安排有计划科学合理的得2分，培训内容简单，实际意义效果一般计划粗略的得1分，未提供的得0分。</w:t>
            </w:r>
          </w:p>
        </w:tc>
        <w:tc>
          <w:tcPr>
            <w:tcW w:w="627" w:type="dxa"/>
            <w:vAlign w:val="center"/>
          </w:tcPr>
          <w:p>
            <w:pPr>
              <w:pStyle w:val="782"/>
              <w:widowControl w:val="0"/>
              <w:snapToGrid w:val="0"/>
              <w:jc w:val="center"/>
              <w:rPr>
                <w:rFonts w:ascii="宋体" w:hAnsi="宋体" w:cs="宋体"/>
                <w:b/>
                <w:bCs/>
              </w:rPr>
            </w:pPr>
            <w:r>
              <w:rPr>
                <w:rFonts w:hint="eastAsia" w:ascii="宋体" w:hAnsi="宋体" w:cs="宋体"/>
                <w:b/>
                <w:bCs/>
              </w:rPr>
              <w:t>2</w:t>
            </w:r>
          </w:p>
        </w:tc>
        <w:tc>
          <w:tcPr>
            <w:tcW w:w="951" w:type="dxa"/>
            <w:vAlign w:val="center"/>
          </w:tcPr>
          <w:p>
            <w:pPr>
              <w:pStyle w:val="782"/>
              <w:widowControl w:val="0"/>
              <w:snapToGrid w:val="0"/>
              <w:jc w:val="center"/>
              <w:rPr>
                <w:rFonts w:ascii="宋体" w:hAnsi="宋体" w:cs="宋体"/>
                <w:b/>
                <w:bCs/>
              </w:rPr>
            </w:pPr>
            <w:r>
              <w:rPr>
                <w:rFonts w:hint="eastAsia" w:ascii="宋体" w:hAnsi="宋体" w:cs="宋体"/>
                <w:b/>
                <w:bCs/>
              </w:rPr>
              <w:t>主观分</w:t>
            </w:r>
          </w:p>
        </w:tc>
        <w:tc>
          <w:tcPr>
            <w:tcW w:w="1189" w:type="dxa"/>
            <w:vAlign w:val="center"/>
          </w:tcPr>
          <w:p>
            <w:pPr>
              <w:pStyle w:val="782"/>
              <w:widowControl w:val="0"/>
              <w:snapToGrid w:val="0"/>
              <w:jc w:val="center"/>
              <w:rPr>
                <w:rFonts w:ascii="宋体" w:hAnsi="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19</w:t>
            </w:r>
          </w:p>
        </w:tc>
        <w:tc>
          <w:tcPr>
            <w:tcW w:w="5065" w:type="dxa"/>
            <w:vAlign w:val="center"/>
          </w:tcPr>
          <w:p>
            <w:pPr>
              <w:pStyle w:val="782"/>
              <w:widowControl w:val="0"/>
              <w:snapToGrid w:val="0"/>
              <w:jc w:val="left"/>
              <w:rPr>
                <w:rFonts w:ascii="宋体" w:hAnsi="宋体" w:cs="宋体"/>
              </w:rPr>
            </w:pPr>
            <w:r>
              <w:rPr>
                <w:rFonts w:hint="eastAsia" w:ascii="宋体" w:hAnsi="宋体" w:cs="宋体"/>
              </w:rPr>
              <w:t>根据供应商提出的项目测试、试运行及验收方案的完整性、合理性、可行性等情况综合打分。</w:t>
            </w:r>
            <w:r>
              <w:rPr>
                <w:rFonts w:hint="eastAsia" w:ascii="宋体" w:hAnsi="宋体" w:cs="宋体"/>
                <w:lang w:val="zh-CN"/>
              </w:rPr>
              <w:t>方案科学合理、规范，内容全面的得</w:t>
            </w:r>
            <w:r>
              <w:rPr>
                <w:rFonts w:ascii="宋体" w:hAnsi="宋体" w:cs="宋体"/>
                <w:lang w:val="zh-CN"/>
              </w:rPr>
              <w:t>2</w:t>
            </w:r>
            <w:r>
              <w:rPr>
                <w:rFonts w:hint="eastAsia" w:ascii="宋体" w:hAnsi="宋体" w:cs="宋体"/>
                <w:lang w:val="zh-CN"/>
              </w:rPr>
              <w:t>分；</w:t>
            </w:r>
            <w:r>
              <w:rPr>
                <w:rFonts w:hint="eastAsia" w:ascii="宋体" w:hAnsi="宋体" w:cs="宋体"/>
                <w:bCs/>
              </w:rPr>
              <w:t>方案阐述内容详细，基本符合需求的得</w:t>
            </w:r>
            <w:r>
              <w:rPr>
                <w:rFonts w:ascii="宋体" w:hAnsi="宋体" w:cs="宋体"/>
                <w:bCs/>
              </w:rPr>
              <w:t>1</w:t>
            </w:r>
            <w:r>
              <w:rPr>
                <w:rFonts w:hint="eastAsia" w:ascii="宋体" w:hAnsi="宋体" w:cs="宋体"/>
                <w:bCs/>
              </w:rPr>
              <w:t>分；</w:t>
            </w:r>
            <w:r>
              <w:rPr>
                <w:rFonts w:hint="eastAsia" w:ascii="宋体" w:hAnsi="宋体" w:cs="宋体"/>
                <w:lang w:val="zh-CN"/>
              </w:rPr>
              <w:t>方案不科学合理、不规范，内容不够全面的得0分。</w:t>
            </w:r>
          </w:p>
        </w:tc>
        <w:tc>
          <w:tcPr>
            <w:tcW w:w="627" w:type="dxa"/>
            <w:vAlign w:val="center"/>
          </w:tcPr>
          <w:p>
            <w:pPr>
              <w:pStyle w:val="782"/>
              <w:widowControl w:val="0"/>
              <w:snapToGrid w:val="0"/>
              <w:jc w:val="center"/>
              <w:rPr>
                <w:rFonts w:ascii="宋体" w:hAnsi="宋体" w:cs="宋体"/>
                <w:b/>
                <w:bCs/>
              </w:rPr>
            </w:pPr>
            <w:r>
              <w:rPr>
                <w:rFonts w:ascii="宋体" w:hAnsi="宋体" w:cs="宋体"/>
                <w:b/>
                <w:bCs/>
              </w:rPr>
              <w:t>2</w:t>
            </w:r>
          </w:p>
        </w:tc>
        <w:tc>
          <w:tcPr>
            <w:tcW w:w="951" w:type="dxa"/>
            <w:vAlign w:val="center"/>
          </w:tcPr>
          <w:p>
            <w:pPr>
              <w:pStyle w:val="782"/>
              <w:widowControl w:val="0"/>
              <w:snapToGrid w:val="0"/>
              <w:jc w:val="center"/>
              <w:rPr>
                <w:rFonts w:ascii="宋体" w:hAnsi="宋体" w:cs="宋体"/>
                <w:b/>
                <w:bCs/>
              </w:rPr>
            </w:pPr>
            <w:r>
              <w:rPr>
                <w:rFonts w:hint="eastAsia" w:ascii="宋体" w:hAnsi="宋体" w:cs="宋体"/>
                <w:b/>
                <w:bCs/>
              </w:rPr>
              <w:t>主观分</w:t>
            </w:r>
          </w:p>
        </w:tc>
        <w:tc>
          <w:tcPr>
            <w:tcW w:w="1189" w:type="dxa"/>
            <w:vAlign w:val="center"/>
          </w:tcPr>
          <w:p>
            <w:pPr>
              <w:pStyle w:val="782"/>
              <w:widowControl w:val="0"/>
              <w:snapToGrid w:val="0"/>
              <w:jc w:val="center"/>
              <w:rPr>
                <w:rFonts w:ascii="宋体" w:hAnsi="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20</w:t>
            </w:r>
          </w:p>
        </w:tc>
        <w:tc>
          <w:tcPr>
            <w:tcW w:w="5065" w:type="dxa"/>
            <w:vAlign w:val="center"/>
          </w:tcPr>
          <w:p>
            <w:pPr>
              <w:rPr>
                <w:rFonts w:ascii="宋体" w:hAnsi="宋体" w:cs="宋体"/>
                <w:kern w:val="0"/>
                <w:szCs w:val="21"/>
              </w:rPr>
            </w:pPr>
            <w:r>
              <w:rPr>
                <w:rFonts w:hint="eastAsia" w:ascii="宋体" w:hAnsi="宋体" w:cs="宋体"/>
                <w:kern w:val="0"/>
                <w:szCs w:val="21"/>
              </w:rPr>
              <w:t>供应商具有完善的售后服务体系，承诺运维期提供不少于2名建设期成员的驻场服务，如遇重大技术难题，资深工程师必须在接到通知起1小时内到达现场的得</w:t>
            </w:r>
            <w:r>
              <w:rPr>
                <w:rFonts w:hint="eastAsia" w:ascii="宋体" w:hAnsi="宋体" w:cs="宋体"/>
                <w:kern w:val="0"/>
                <w:szCs w:val="21"/>
                <w:lang w:val="zh-CN"/>
              </w:rPr>
              <w:t>2</w:t>
            </w:r>
            <w:r>
              <w:rPr>
                <w:rFonts w:hint="eastAsia" w:ascii="宋体" w:hAnsi="宋体" w:cs="宋体"/>
                <w:kern w:val="0"/>
                <w:szCs w:val="21"/>
              </w:rPr>
              <w:t>分。</w:t>
            </w:r>
          </w:p>
          <w:p>
            <w:pPr>
              <w:pStyle w:val="782"/>
              <w:widowControl w:val="0"/>
              <w:snapToGrid w:val="0"/>
              <w:jc w:val="left"/>
              <w:rPr>
                <w:rFonts w:ascii="宋体" w:hAnsi="宋体" w:cs="宋体"/>
              </w:rPr>
            </w:pPr>
            <w:r>
              <w:rPr>
                <w:rFonts w:hint="eastAsia" w:ascii="宋体" w:hAnsi="宋体" w:cs="宋体"/>
                <w:b/>
                <w:bCs/>
                <w:lang w:val="zh-CN"/>
              </w:rPr>
              <w:t>【证明材料：1）须提供承诺函（格式自拟）并加盖单位公章；2）提供的证明材料须能体现相关评审因素，不提供或者不能提供有效证明的，不得分。】</w:t>
            </w:r>
          </w:p>
        </w:tc>
        <w:tc>
          <w:tcPr>
            <w:tcW w:w="627" w:type="dxa"/>
            <w:vAlign w:val="center"/>
          </w:tcPr>
          <w:p>
            <w:pPr>
              <w:pStyle w:val="782"/>
              <w:widowControl w:val="0"/>
              <w:snapToGrid w:val="0"/>
              <w:jc w:val="center"/>
              <w:rPr>
                <w:rFonts w:ascii="宋体" w:hAnsi="宋体" w:cs="宋体"/>
                <w:b/>
                <w:bCs/>
              </w:rPr>
            </w:pPr>
            <w:r>
              <w:rPr>
                <w:rFonts w:hint="eastAsia" w:ascii="宋体" w:hAnsi="宋体" w:cs="宋体"/>
                <w:b/>
                <w:bCs/>
              </w:rPr>
              <w:t>2</w:t>
            </w:r>
          </w:p>
        </w:tc>
        <w:tc>
          <w:tcPr>
            <w:tcW w:w="951" w:type="dxa"/>
            <w:vAlign w:val="center"/>
          </w:tcPr>
          <w:p>
            <w:pPr>
              <w:pStyle w:val="782"/>
              <w:widowControl w:val="0"/>
              <w:snapToGrid w:val="0"/>
              <w:jc w:val="center"/>
              <w:rPr>
                <w:rFonts w:ascii="宋体" w:hAnsi="宋体" w:cs="宋体"/>
                <w:b/>
                <w:bCs/>
              </w:rPr>
            </w:pPr>
            <w:r>
              <w:rPr>
                <w:rFonts w:hint="eastAsia" w:ascii="宋体" w:hAnsi="宋体" w:cs="宋体"/>
                <w:b/>
                <w:bCs/>
              </w:rPr>
              <w:t>客观分</w:t>
            </w:r>
          </w:p>
        </w:tc>
        <w:tc>
          <w:tcPr>
            <w:tcW w:w="1189" w:type="dxa"/>
            <w:vAlign w:val="center"/>
          </w:tcPr>
          <w:p>
            <w:pPr>
              <w:pStyle w:val="782"/>
              <w:widowControl w:val="0"/>
              <w:snapToGrid w:val="0"/>
              <w:jc w:val="center"/>
              <w:rPr>
                <w:rFonts w:ascii="宋体" w:hAnsi="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21</w:t>
            </w:r>
          </w:p>
        </w:tc>
        <w:tc>
          <w:tcPr>
            <w:tcW w:w="5065" w:type="dxa"/>
            <w:vAlign w:val="center"/>
          </w:tcPr>
          <w:p>
            <w:pPr>
              <w:widowControl/>
              <w:shd w:val="clear" w:color="auto" w:fill="FFFFFF"/>
              <w:rPr>
                <w:rFonts w:ascii="宋体" w:hAnsi="宋体" w:cs="宋体"/>
                <w:szCs w:val="21"/>
              </w:rPr>
            </w:pPr>
            <w:r>
              <w:rPr>
                <w:rFonts w:hint="eastAsia" w:ascii="宋体" w:hAnsi="宋体" w:cs="宋体"/>
                <w:szCs w:val="21"/>
              </w:rPr>
              <w:t>拟派本项目的</w:t>
            </w:r>
            <w:r>
              <w:rPr>
                <w:rFonts w:hint="eastAsia" w:ascii="宋体" w:hAnsi="宋体" w:cs="宋体"/>
                <w:b/>
                <w:bCs/>
                <w:szCs w:val="21"/>
              </w:rPr>
              <w:t>项目负责人</w:t>
            </w:r>
            <w:r>
              <w:rPr>
                <w:rFonts w:hint="eastAsia" w:ascii="宋体" w:hAnsi="宋体" w:cs="宋体"/>
                <w:szCs w:val="21"/>
              </w:rPr>
              <w:t>具有：</w:t>
            </w:r>
          </w:p>
          <w:p>
            <w:pPr>
              <w:widowControl/>
              <w:shd w:val="clear" w:color="auto" w:fill="FFFFFF"/>
              <w:rPr>
                <w:rFonts w:ascii="宋体" w:hAnsi="宋体" w:cs="宋体"/>
                <w:szCs w:val="21"/>
              </w:rPr>
            </w:pPr>
            <w:r>
              <w:rPr>
                <w:rFonts w:hint="eastAsia" w:ascii="宋体" w:hAnsi="宋体" w:cs="宋体"/>
                <w:szCs w:val="21"/>
              </w:rPr>
              <w:t>1）测绘与地理信息、城乡规划或计算机技术相关专业副高及以上职称得</w:t>
            </w:r>
            <w:r>
              <w:rPr>
                <w:rFonts w:ascii="宋体" w:hAnsi="宋体" w:cs="宋体"/>
                <w:szCs w:val="21"/>
              </w:rPr>
              <w:t>2</w:t>
            </w:r>
            <w:r>
              <w:rPr>
                <w:rFonts w:hint="eastAsia" w:ascii="宋体" w:hAnsi="宋体" w:cs="宋体"/>
                <w:szCs w:val="21"/>
              </w:rPr>
              <w:t>分；</w:t>
            </w:r>
          </w:p>
          <w:p>
            <w:pPr>
              <w:widowControl/>
              <w:shd w:val="clear" w:color="auto" w:fill="FFFFFF"/>
              <w:rPr>
                <w:rFonts w:ascii="宋体" w:hAnsi="宋体" w:cs="宋体"/>
                <w:szCs w:val="21"/>
              </w:rPr>
            </w:pPr>
            <w:r>
              <w:rPr>
                <w:rFonts w:hint="eastAsia" w:ascii="宋体" w:hAnsi="宋体" w:cs="宋体"/>
                <w:szCs w:val="21"/>
              </w:rPr>
              <w:t>2）具有信息系统项目管理师证书的得2分。</w:t>
            </w:r>
          </w:p>
          <w:p>
            <w:pPr>
              <w:pStyle w:val="782"/>
              <w:widowControl w:val="0"/>
              <w:snapToGrid w:val="0"/>
              <w:jc w:val="left"/>
              <w:rPr>
                <w:rFonts w:ascii="宋体" w:hAnsi="宋体" w:cs="宋体"/>
                <w:b/>
                <w:bCs/>
                <w:lang w:val="zh-CN"/>
              </w:rPr>
            </w:pPr>
            <w:r>
              <w:rPr>
                <w:rFonts w:hint="eastAsia" w:ascii="宋体" w:hAnsi="宋体" w:cs="宋体"/>
                <w:b/>
                <w:bCs/>
              </w:rPr>
              <w:t>【证明材料：1）须提供相关有效证书扫描件并加盖单位公章；2）须提供相关人员近3个月中任意一个月的由供应商缴纳的社保养老保险缴纳证明材料扫描件并加盖投标单位公章；3）提供的证明材料须能体现相关评审因素，不提供或者不能提供有效证明的，不得分。】</w:t>
            </w:r>
          </w:p>
        </w:tc>
        <w:tc>
          <w:tcPr>
            <w:tcW w:w="627" w:type="dxa"/>
            <w:vAlign w:val="center"/>
          </w:tcPr>
          <w:p>
            <w:pPr>
              <w:pStyle w:val="782"/>
              <w:widowControl w:val="0"/>
              <w:snapToGrid w:val="0"/>
              <w:jc w:val="center"/>
              <w:rPr>
                <w:rFonts w:ascii="宋体" w:hAnsi="宋体" w:cs="宋体"/>
                <w:b/>
                <w:bCs/>
              </w:rPr>
            </w:pPr>
            <w:r>
              <w:rPr>
                <w:rFonts w:hint="eastAsia" w:ascii="宋体" w:hAnsi="宋体" w:cs="宋体"/>
                <w:b/>
                <w:bCs/>
              </w:rPr>
              <w:t>4</w:t>
            </w:r>
          </w:p>
        </w:tc>
        <w:tc>
          <w:tcPr>
            <w:tcW w:w="951" w:type="dxa"/>
            <w:vAlign w:val="center"/>
          </w:tcPr>
          <w:p>
            <w:pPr>
              <w:pStyle w:val="782"/>
              <w:widowControl w:val="0"/>
              <w:snapToGrid w:val="0"/>
              <w:jc w:val="center"/>
              <w:rPr>
                <w:rFonts w:ascii="宋体" w:hAnsi="宋体" w:cs="宋体"/>
                <w:b/>
                <w:bCs/>
              </w:rPr>
            </w:pPr>
            <w:r>
              <w:rPr>
                <w:rFonts w:hint="eastAsia" w:ascii="宋体" w:hAnsi="宋体" w:cs="宋体"/>
                <w:b/>
                <w:bCs/>
              </w:rPr>
              <w:t>客观分</w:t>
            </w:r>
          </w:p>
        </w:tc>
        <w:tc>
          <w:tcPr>
            <w:tcW w:w="1189" w:type="dxa"/>
            <w:vAlign w:val="center"/>
          </w:tcPr>
          <w:p>
            <w:pPr>
              <w:pStyle w:val="782"/>
              <w:widowControl w:val="0"/>
              <w:snapToGrid w:val="0"/>
              <w:jc w:val="center"/>
              <w:rPr>
                <w:rFonts w:ascii="宋体" w:hAnsi="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22</w:t>
            </w:r>
          </w:p>
        </w:tc>
        <w:tc>
          <w:tcPr>
            <w:tcW w:w="5065" w:type="dxa"/>
            <w:vAlign w:val="center"/>
          </w:tcPr>
          <w:p>
            <w:pPr>
              <w:widowControl/>
              <w:shd w:val="clear" w:color="auto" w:fill="FFFFFF"/>
              <w:rPr>
                <w:rFonts w:ascii="宋体" w:hAnsi="宋体" w:cs="宋体"/>
                <w:szCs w:val="21"/>
              </w:rPr>
            </w:pPr>
            <w:r>
              <w:rPr>
                <w:rFonts w:hint="eastAsia" w:ascii="宋体" w:hAnsi="宋体" w:cs="宋体"/>
                <w:b/>
                <w:bCs/>
                <w:szCs w:val="21"/>
              </w:rPr>
              <w:t>项目团队（不包括项目负责人）</w:t>
            </w:r>
            <w:r>
              <w:rPr>
                <w:rFonts w:hint="eastAsia" w:ascii="宋体" w:hAnsi="宋体" w:cs="宋体"/>
                <w:szCs w:val="21"/>
              </w:rPr>
              <w:t>：</w:t>
            </w:r>
          </w:p>
          <w:p>
            <w:pPr>
              <w:widowControl/>
              <w:shd w:val="clear" w:color="auto" w:fill="FFFFFF"/>
              <w:rPr>
                <w:rFonts w:ascii="宋体" w:hAnsi="宋体" w:cs="宋体"/>
                <w:szCs w:val="21"/>
              </w:rPr>
            </w:pPr>
            <w:r>
              <w:rPr>
                <w:rFonts w:hint="eastAsia" w:ascii="宋体" w:hAnsi="宋体" w:cs="宋体"/>
                <w:szCs w:val="21"/>
              </w:rPr>
              <w:t>1）具有信息系统管理师证书的，每人得0.5分，本项最高得2分；</w:t>
            </w:r>
          </w:p>
          <w:p>
            <w:pPr>
              <w:widowControl/>
              <w:shd w:val="clear" w:color="auto" w:fill="FFFFFF"/>
              <w:rPr>
                <w:rFonts w:ascii="宋体" w:hAnsi="宋体" w:cs="宋体"/>
                <w:szCs w:val="21"/>
              </w:rPr>
            </w:pPr>
            <w:r>
              <w:rPr>
                <w:rFonts w:hint="eastAsia" w:ascii="宋体" w:hAnsi="宋体" w:cs="宋体"/>
                <w:szCs w:val="21"/>
              </w:rPr>
              <w:t>2）具有测绘地理信息或城乡规划类高级及以上职称的（职称证书中含有规划、测绘或地理信息），每人得0.5分，同一人不累积计分，本项最高得</w:t>
            </w:r>
            <w:r>
              <w:rPr>
                <w:rFonts w:ascii="宋体" w:hAnsi="宋体" w:cs="宋体"/>
                <w:szCs w:val="21"/>
              </w:rPr>
              <w:t>5</w:t>
            </w:r>
            <w:r>
              <w:rPr>
                <w:rFonts w:hint="eastAsia" w:ascii="宋体" w:hAnsi="宋体" w:cs="宋体"/>
                <w:szCs w:val="21"/>
              </w:rPr>
              <w:t>分；</w:t>
            </w:r>
          </w:p>
          <w:p>
            <w:pPr>
              <w:widowControl/>
              <w:shd w:val="clear" w:color="auto" w:fill="FFFFFF"/>
              <w:rPr>
                <w:rFonts w:ascii="宋体" w:hAnsi="宋体" w:cs="宋体"/>
                <w:szCs w:val="21"/>
              </w:rPr>
            </w:pPr>
            <w:r>
              <w:rPr>
                <w:rFonts w:hint="eastAsia" w:ascii="宋体" w:hAnsi="宋体" w:cs="宋体"/>
                <w:szCs w:val="21"/>
              </w:rPr>
              <w:t>3）项目团队成员10人及以上，至少5人具有测绘或地理信息相关专业本科及以上学历得2分，其他专业学历得1分，本项最高得2分。</w:t>
            </w:r>
          </w:p>
          <w:p>
            <w:pPr>
              <w:pStyle w:val="782"/>
              <w:widowControl w:val="0"/>
              <w:snapToGrid w:val="0"/>
              <w:jc w:val="left"/>
              <w:rPr>
                <w:rFonts w:ascii="宋体" w:hAnsi="宋体" w:cs="宋体"/>
                <w:b/>
                <w:bCs/>
              </w:rPr>
            </w:pPr>
            <w:r>
              <w:rPr>
                <w:rFonts w:hint="eastAsia" w:ascii="宋体" w:hAnsi="宋体" w:cs="宋体"/>
                <w:b/>
                <w:bCs/>
              </w:rPr>
              <w:t>【证明材料：1）须提供相关证明材料扫描件并加盖单位公章；2）须提供相关人员近3个月中任意一个月的由供应商缴纳的社保养老保险缴纳证明材料扫描件并加盖投标单位公章；3）不提供或者不能提供有效证明的，不得分。】</w:t>
            </w:r>
          </w:p>
        </w:tc>
        <w:tc>
          <w:tcPr>
            <w:tcW w:w="627" w:type="dxa"/>
            <w:vAlign w:val="center"/>
          </w:tcPr>
          <w:p>
            <w:pPr>
              <w:pStyle w:val="782"/>
              <w:widowControl w:val="0"/>
              <w:snapToGrid w:val="0"/>
              <w:jc w:val="center"/>
              <w:rPr>
                <w:rFonts w:ascii="宋体" w:hAnsi="宋体" w:cs="宋体"/>
                <w:b/>
                <w:bCs/>
              </w:rPr>
            </w:pPr>
            <w:r>
              <w:rPr>
                <w:rFonts w:hint="eastAsia" w:ascii="宋体" w:hAnsi="宋体" w:cs="宋体"/>
                <w:b/>
                <w:bCs/>
              </w:rPr>
              <w:t>9</w:t>
            </w:r>
          </w:p>
        </w:tc>
        <w:tc>
          <w:tcPr>
            <w:tcW w:w="951" w:type="dxa"/>
            <w:vAlign w:val="center"/>
          </w:tcPr>
          <w:p>
            <w:pPr>
              <w:pStyle w:val="782"/>
              <w:widowControl w:val="0"/>
              <w:snapToGrid w:val="0"/>
              <w:jc w:val="center"/>
              <w:rPr>
                <w:rFonts w:ascii="宋体" w:hAnsi="宋体" w:cs="宋体"/>
                <w:b/>
                <w:bCs/>
              </w:rPr>
            </w:pPr>
            <w:r>
              <w:rPr>
                <w:rFonts w:hint="eastAsia" w:ascii="宋体" w:hAnsi="宋体" w:cs="宋体"/>
                <w:b/>
                <w:bCs/>
              </w:rPr>
              <w:t>客观分</w:t>
            </w:r>
          </w:p>
        </w:tc>
        <w:tc>
          <w:tcPr>
            <w:tcW w:w="1189" w:type="dxa"/>
            <w:vAlign w:val="center"/>
          </w:tcPr>
          <w:p>
            <w:pPr>
              <w:pStyle w:val="782"/>
              <w:widowControl w:val="0"/>
              <w:snapToGrid w:val="0"/>
              <w:jc w:val="center"/>
              <w:rPr>
                <w:rFonts w:ascii="宋体" w:hAnsi="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23</w:t>
            </w:r>
          </w:p>
        </w:tc>
        <w:tc>
          <w:tcPr>
            <w:tcW w:w="5065" w:type="dxa"/>
            <w:vAlign w:val="center"/>
          </w:tcPr>
          <w:p>
            <w:pPr>
              <w:wordWrap w:val="0"/>
              <w:autoSpaceDE w:val="0"/>
              <w:autoSpaceDN w:val="0"/>
              <w:adjustRightInd/>
              <w:rPr>
                <w:rFonts w:ascii="宋体" w:hAnsi="宋体" w:cs="宋体"/>
                <w:szCs w:val="21"/>
              </w:rPr>
            </w:pPr>
            <w:bookmarkStart w:id="394" w:name="_Toc12786"/>
            <w:bookmarkStart w:id="395" w:name="_Toc24938"/>
            <w:bookmarkStart w:id="396" w:name="_Toc26075"/>
            <w:bookmarkStart w:id="397" w:name="_Toc8584"/>
            <w:r>
              <w:rPr>
                <w:rFonts w:hint="eastAsia" w:ascii="宋体" w:hAnsi="宋体" w:cs="宋体"/>
                <w:szCs w:val="21"/>
              </w:rPr>
              <w:t>有效投标报价的最低价作为评标基准价，其最低报价为满分；按［投标报价得分=（评标基准价/投标报价）*10］的计算公式计算。</w:t>
            </w:r>
            <w:bookmarkEnd w:id="394"/>
            <w:bookmarkEnd w:id="395"/>
            <w:bookmarkEnd w:id="396"/>
            <w:bookmarkEnd w:id="397"/>
          </w:p>
          <w:p>
            <w:pPr>
              <w:pStyle w:val="782"/>
              <w:widowControl w:val="0"/>
              <w:snapToGrid w:val="0"/>
              <w:jc w:val="left"/>
              <w:rPr>
                <w:rFonts w:ascii="宋体" w:hAnsi="宋体" w:cs="宋体"/>
                <w:lang w:val="zh-TW"/>
              </w:rPr>
            </w:pPr>
            <w:r>
              <w:rPr>
                <w:rFonts w:hint="eastAsia" w:ascii="宋体" w:hAnsi="宋体" w:cs="宋体"/>
                <w:lang w:val="zh-TW"/>
              </w:rPr>
              <w:t>评标过程中,不得去掉报价中的最高报价和最低报价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p>
        </w:tc>
        <w:tc>
          <w:tcPr>
            <w:tcW w:w="627" w:type="dxa"/>
            <w:vAlign w:val="center"/>
          </w:tcPr>
          <w:p>
            <w:pPr>
              <w:pStyle w:val="782"/>
              <w:widowControl w:val="0"/>
              <w:snapToGrid w:val="0"/>
              <w:jc w:val="center"/>
              <w:rPr>
                <w:rFonts w:ascii="宋体" w:hAnsi="宋体" w:cs="宋体"/>
                <w:b/>
                <w:bCs/>
              </w:rPr>
            </w:pPr>
            <w:r>
              <w:rPr>
                <w:rFonts w:hint="eastAsia" w:ascii="宋体" w:hAnsi="宋体" w:cs="宋体"/>
                <w:b/>
                <w:bCs/>
              </w:rPr>
              <w:t>10</w:t>
            </w:r>
          </w:p>
        </w:tc>
        <w:tc>
          <w:tcPr>
            <w:tcW w:w="951" w:type="dxa"/>
            <w:vAlign w:val="center"/>
          </w:tcPr>
          <w:p>
            <w:pPr>
              <w:pStyle w:val="782"/>
              <w:widowControl w:val="0"/>
              <w:snapToGrid w:val="0"/>
              <w:jc w:val="center"/>
              <w:rPr>
                <w:rFonts w:ascii="宋体" w:hAnsi="宋体" w:cs="宋体"/>
                <w:b/>
                <w:bCs/>
              </w:rPr>
            </w:pPr>
            <w:r>
              <w:rPr>
                <w:rFonts w:hint="eastAsia" w:ascii="宋体" w:hAnsi="宋体" w:cs="宋体"/>
                <w:b/>
                <w:bCs/>
              </w:rPr>
              <w:t>/</w:t>
            </w:r>
          </w:p>
        </w:tc>
        <w:tc>
          <w:tcPr>
            <w:tcW w:w="1189" w:type="dxa"/>
            <w:vAlign w:val="center"/>
          </w:tcPr>
          <w:p>
            <w:pPr>
              <w:pStyle w:val="782"/>
              <w:widowControl w:val="0"/>
              <w:snapToGrid w:val="0"/>
              <w:jc w:val="center"/>
              <w:rPr>
                <w:rFonts w:ascii="宋体" w:hAnsi="宋体" w:cs="宋体"/>
                <w:b/>
                <w:bCs/>
              </w:rPr>
            </w:pPr>
            <w:r>
              <w:rPr>
                <w:rFonts w:hint="eastAsia" w:ascii="宋体" w:hAnsi="宋体" w:cs="宋体"/>
                <w:b/>
                <w:bCs/>
              </w:rPr>
              <w:t>/</w:t>
            </w:r>
          </w:p>
        </w:tc>
      </w:tr>
    </w:tbl>
    <w:p>
      <w:pP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br w:type="page"/>
      </w:r>
    </w:p>
    <w:p>
      <w:pPr>
        <w:spacing w:line="360" w:lineRule="auto"/>
        <w:ind w:firstLine="480"/>
        <w:rPr>
          <w:rFonts w:ascii="宋体" w:hAnsi="宋体" w:cs="仿宋_GB2312"/>
          <w:sz w:val="24"/>
        </w:rPr>
      </w:pPr>
      <w:r>
        <w:rPr>
          <w:rFonts w:hint="eastAsia" w:asciiTheme="minorEastAsia" w:hAnsiTheme="minorEastAsia" w:eastAsiaTheme="minorEastAsia" w:cstheme="minorEastAsia"/>
          <w:b/>
          <w:sz w:val="24"/>
        </w:rPr>
        <w:t>标项二：</w:t>
      </w:r>
      <w:r>
        <w:rPr>
          <w:rFonts w:hint="eastAsia" w:ascii="宋体" w:hAnsi="宋体" w:cs="仿宋_GB2312"/>
          <w:sz w:val="24"/>
        </w:rPr>
        <w:t>杭州市“空间智治”数字化平台建设（2024）耕地保护集成应用项目-不动产智治推广及税务协同场景1480000</w:t>
      </w:r>
    </w:p>
    <w:p>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5065"/>
        <w:gridCol w:w="627"/>
        <w:gridCol w:w="951"/>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663" w:type="dxa"/>
          </w:tcPr>
          <w:p>
            <w:pPr>
              <w:pStyle w:val="782"/>
              <w:widowControl w:val="0"/>
              <w:snapToGrid w:val="0"/>
              <w:jc w:val="center"/>
              <w:rPr>
                <w:rFonts w:ascii="宋体" w:hAnsi="宋体" w:cs="宋体"/>
              </w:rPr>
            </w:pPr>
            <w:r>
              <w:rPr>
                <w:rFonts w:hint="eastAsia" w:ascii="宋体" w:hAnsi="宋体" w:cs="宋体"/>
              </w:rPr>
              <w:t>序号</w:t>
            </w:r>
          </w:p>
        </w:tc>
        <w:tc>
          <w:tcPr>
            <w:tcW w:w="5065" w:type="dxa"/>
            <w:vAlign w:val="center"/>
          </w:tcPr>
          <w:p>
            <w:pPr>
              <w:widowControl/>
              <w:snapToGrid w:val="0"/>
              <w:jc w:val="center"/>
              <w:rPr>
                <w:rFonts w:ascii="宋体" w:hAnsi="宋体" w:cs="宋体"/>
                <w:b/>
                <w:bCs/>
                <w:szCs w:val="21"/>
              </w:rPr>
            </w:pPr>
            <w:r>
              <w:rPr>
                <w:rFonts w:hint="eastAsia" w:ascii="宋体" w:hAnsi="宋体" w:cs="宋体"/>
                <w:b/>
                <w:bCs/>
                <w:szCs w:val="21"/>
              </w:rPr>
              <w:t>评分细则</w:t>
            </w:r>
          </w:p>
        </w:tc>
        <w:tc>
          <w:tcPr>
            <w:tcW w:w="627" w:type="dxa"/>
            <w:vAlign w:val="center"/>
          </w:tcPr>
          <w:p>
            <w:pPr>
              <w:pStyle w:val="782"/>
              <w:widowControl w:val="0"/>
              <w:snapToGrid w:val="0"/>
              <w:jc w:val="center"/>
              <w:rPr>
                <w:rFonts w:ascii="宋体" w:hAnsi="宋体" w:cs="宋体"/>
                <w:b/>
                <w:bCs/>
              </w:rPr>
            </w:pPr>
            <w:r>
              <w:rPr>
                <w:rFonts w:hint="eastAsia" w:ascii="宋体" w:hAnsi="宋体" w:cs="宋体"/>
                <w:b/>
                <w:bCs/>
              </w:rPr>
              <w:t>权重</w:t>
            </w:r>
          </w:p>
        </w:tc>
        <w:tc>
          <w:tcPr>
            <w:tcW w:w="951" w:type="dxa"/>
            <w:vAlign w:val="center"/>
          </w:tcPr>
          <w:p>
            <w:pPr>
              <w:pStyle w:val="782"/>
              <w:widowControl w:val="0"/>
              <w:snapToGrid w:val="0"/>
              <w:jc w:val="center"/>
              <w:rPr>
                <w:rFonts w:ascii="宋体" w:hAnsi="宋体" w:cs="宋体"/>
                <w:b/>
                <w:bCs/>
              </w:rPr>
            </w:pPr>
            <w:r>
              <w:rPr>
                <w:rFonts w:hint="eastAsia" w:ascii="宋体" w:hAnsi="宋体" w:cs="宋体"/>
                <w:b/>
                <w:bCs/>
              </w:rPr>
              <w:t>备注</w:t>
            </w:r>
          </w:p>
        </w:tc>
        <w:tc>
          <w:tcPr>
            <w:tcW w:w="1189" w:type="dxa"/>
            <w:vAlign w:val="center"/>
          </w:tcPr>
          <w:p>
            <w:pPr>
              <w:pStyle w:val="782"/>
              <w:widowControl w:val="0"/>
              <w:snapToGrid w:val="0"/>
              <w:jc w:val="center"/>
              <w:rPr>
                <w:rFonts w:ascii="宋体" w:hAnsi="宋体" w:cs="宋体"/>
                <w:b/>
                <w:bCs/>
              </w:rPr>
            </w:pPr>
            <w:r>
              <w:rPr>
                <w:rFonts w:hint="eastAsia" w:ascii="宋体" w:hAnsi="宋体" w:cs="宋体"/>
                <w:b/>
                <w:bCs/>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1</w:t>
            </w:r>
          </w:p>
        </w:tc>
        <w:tc>
          <w:tcPr>
            <w:tcW w:w="5065" w:type="dxa"/>
          </w:tcPr>
          <w:p>
            <w:pPr>
              <w:snapToGrid w:val="0"/>
              <w:rPr>
                <w:rFonts w:ascii="宋体" w:hAnsi="宋体" w:cs="宋体"/>
                <w:szCs w:val="21"/>
              </w:rPr>
            </w:pPr>
            <w:r>
              <w:rPr>
                <w:rFonts w:hint="eastAsia" w:ascii="宋体" w:hAnsi="宋体" w:cs="宋体"/>
                <w:szCs w:val="21"/>
              </w:rPr>
              <w:t>投标方案与需求的吻合程度，方案点对点应答是否详尽、明晰，是否满足招标文件要求进行综合评分，</w:t>
            </w:r>
            <w:r>
              <w:rPr>
                <w:rFonts w:hint="eastAsia" w:ascii="宋体" w:hAnsi="宋体" w:cs="宋体"/>
                <w:bCs/>
                <w:szCs w:val="21"/>
              </w:rPr>
              <w:t>方案内容详细完善，具有较强完整性、科学性、先进性和可行性得8分；方案内容较简单，略有偏差的得6分；方案内容较简单，内容有缺陷得4分，内容不完整或未提供的不得分</w:t>
            </w:r>
            <w:r>
              <w:rPr>
                <w:rFonts w:hint="eastAsia" w:ascii="宋体" w:hAnsi="宋体" w:cs="宋体"/>
                <w:szCs w:val="21"/>
              </w:rPr>
              <w:t>。</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8</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2</w:t>
            </w:r>
          </w:p>
        </w:tc>
        <w:tc>
          <w:tcPr>
            <w:tcW w:w="5065" w:type="dxa"/>
          </w:tcPr>
          <w:p>
            <w:pPr>
              <w:snapToGrid w:val="0"/>
              <w:rPr>
                <w:rFonts w:ascii="宋体" w:hAnsi="宋体" w:cs="宋体"/>
                <w:szCs w:val="21"/>
              </w:rPr>
            </w:pPr>
            <w:r>
              <w:rPr>
                <w:rFonts w:hint="eastAsia" w:ascii="宋体" w:hAnsi="宋体" w:cs="宋体"/>
                <w:szCs w:val="21"/>
              </w:rPr>
              <w:t>供应商是否根据本项目提出的合理化建议进行评分。</w:t>
            </w:r>
            <w:r>
              <w:rPr>
                <w:rFonts w:hint="eastAsia" w:ascii="宋体" w:hAnsi="宋体" w:cs="宋体"/>
                <w:bCs/>
                <w:szCs w:val="21"/>
              </w:rPr>
              <w:t>建议科学合理、安全严密、具有一定的前瞻性，独特的优势得8分；建议略有欠缺，基本满足需求，方案有特色得6分；建议略有欠缺，基本满足需求，方案无明显特色得4分；建议有较大缺陷，内容明显错误不得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8</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3</w:t>
            </w:r>
          </w:p>
        </w:tc>
        <w:tc>
          <w:tcPr>
            <w:tcW w:w="5065" w:type="dxa"/>
          </w:tcPr>
          <w:p>
            <w:pPr>
              <w:snapToGrid w:val="0"/>
              <w:rPr>
                <w:rFonts w:ascii="宋体" w:hAnsi="宋体" w:cs="宋体"/>
                <w:szCs w:val="21"/>
                <w:lang w:val="zh-TW"/>
              </w:rPr>
            </w:pPr>
            <w:r>
              <w:rPr>
                <w:rFonts w:hint="eastAsia" w:ascii="宋体" w:hAnsi="宋体" w:cs="宋体"/>
                <w:szCs w:val="21"/>
              </w:rPr>
              <w:t>投标方案的先进性、完整性、合理性、适用性、扩展性进行综合评分</w:t>
            </w:r>
            <w:r>
              <w:rPr>
                <w:rFonts w:hint="eastAsia" w:ascii="宋体" w:hAnsi="宋体" w:cs="宋体"/>
                <w:bCs/>
                <w:szCs w:val="21"/>
              </w:rPr>
              <w:t>方案内容详细完善，具有较强完整性、科学性、</w:t>
            </w:r>
            <w:r>
              <w:rPr>
                <w:rFonts w:hint="eastAsia" w:ascii="宋体" w:hAnsi="宋体" w:cs="宋体"/>
                <w:szCs w:val="21"/>
              </w:rPr>
              <w:t>合理性</w:t>
            </w:r>
            <w:r>
              <w:rPr>
                <w:rFonts w:hint="eastAsia" w:ascii="宋体" w:hAnsi="宋体" w:cs="宋体"/>
                <w:bCs/>
                <w:szCs w:val="21"/>
              </w:rPr>
              <w:t>和</w:t>
            </w:r>
            <w:r>
              <w:rPr>
                <w:rFonts w:hint="eastAsia" w:ascii="宋体" w:hAnsi="宋体" w:cs="宋体"/>
                <w:szCs w:val="21"/>
              </w:rPr>
              <w:t>适用性、扩展性</w:t>
            </w:r>
            <w:r>
              <w:rPr>
                <w:rFonts w:hint="eastAsia" w:ascii="宋体" w:hAnsi="宋体" w:cs="宋体"/>
                <w:bCs/>
                <w:szCs w:val="21"/>
              </w:rPr>
              <w:t>得8分；方案内容完善，略有偏差的得6分；方案内容较简单，偏差明显的得4分，内容有明显缺陷或内容不完整不得分。</w:t>
            </w:r>
          </w:p>
        </w:tc>
        <w:tc>
          <w:tcPr>
            <w:tcW w:w="627" w:type="dxa"/>
            <w:vAlign w:val="center"/>
          </w:tcPr>
          <w:p>
            <w:pPr>
              <w:snapToGrid w:val="0"/>
              <w:jc w:val="center"/>
              <w:rPr>
                <w:rFonts w:ascii="宋体" w:hAnsi="宋体" w:cs="宋体"/>
                <w:b/>
                <w:bCs/>
                <w:szCs w:val="21"/>
                <w:lang w:val="zh-TW"/>
              </w:rPr>
            </w:pPr>
            <w:r>
              <w:rPr>
                <w:rFonts w:hint="eastAsia" w:ascii="宋体" w:hAnsi="宋体" w:cs="宋体"/>
                <w:b/>
                <w:bCs/>
                <w:szCs w:val="21"/>
              </w:rPr>
              <w:t>8</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4</w:t>
            </w:r>
          </w:p>
        </w:tc>
        <w:tc>
          <w:tcPr>
            <w:tcW w:w="5065" w:type="dxa"/>
          </w:tcPr>
          <w:p>
            <w:pPr>
              <w:snapToGrid w:val="0"/>
              <w:rPr>
                <w:rFonts w:ascii="宋体" w:hAnsi="宋体" w:cs="宋体"/>
                <w:szCs w:val="21"/>
              </w:rPr>
            </w:pPr>
            <w:r>
              <w:rPr>
                <w:rFonts w:hint="eastAsia" w:ascii="宋体" w:hAnsi="宋体" w:cs="宋体"/>
                <w:szCs w:val="21"/>
              </w:rPr>
              <w:t>供应商对系统建设的技术路线，系统功能设计方案、是否完整、合理等进行综合评分</w:t>
            </w:r>
            <w:r>
              <w:rPr>
                <w:rFonts w:hint="eastAsia" w:ascii="宋体" w:hAnsi="宋体" w:cs="宋体"/>
                <w:bCs/>
                <w:szCs w:val="21"/>
              </w:rPr>
              <w:t>方案内容详细完善，具有较强完整性、科学性、</w:t>
            </w:r>
            <w:r>
              <w:rPr>
                <w:rFonts w:hint="eastAsia" w:ascii="宋体" w:hAnsi="宋体" w:cs="宋体"/>
                <w:szCs w:val="21"/>
              </w:rPr>
              <w:t>合理性</w:t>
            </w:r>
            <w:r>
              <w:rPr>
                <w:rFonts w:hint="eastAsia" w:ascii="宋体" w:hAnsi="宋体" w:cs="宋体"/>
                <w:bCs/>
                <w:szCs w:val="21"/>
              </w:rPr>
              <w:t>和</w:t>
            </w:r>
            <w:r>
              <w:rPr>
                <w:rFonts w:hint="eastAsia" w:ascii="宋体" w:hAnsi="宋体" w:cs="宋体"/>
                <w:szCs w:val="21"/>
              </w:rPr>
              <w:t>适用性、扩展性</w:t>
            </w:r>
            <w:r>
              <w:rPr>
                <w:rFonts w:hint="eastAsia" w:ascii="宋体" w:hAnsi="宋体" w:cs="宋体"/>
                <w:bCs/>
                <w:szCs w:val="21"/>
              </w:rPr>
              <w:t>得8分；方案内容完善，略有偏差的得6分；方案内容较简单，偏差明显的得4分，内容有明显缺陷或内容不完整不得分。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8</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5</w:t>
            </w:r>
          </w:p>
        </w:tc>
        <w:tc>
          <w:tcPr>
            <w:tcW w:w="5065" w:type="dxa"/>
          </w:tcPr>
          <w:p>
            <w:pPr>
              <w:autoSpaceDE w:val="0"/>
              <w:autoSpaceDN w:val="0"/>
              <w:jc w:val="left"/>
              <w:rPr>
                <w:rFonts w:ascii="宋体" w:hAnsi="宋体" w:cs="宋体"/>
                <w:szCs w:val="21"/>
              </w:rPr>
            </w:pPr>
            <w:r>
              <w:rPr>
                <w:rFonts w:hint="eastAsia" w:ascii="宋体" w:hAnsi="宋体" w:cs="宋体"/>
                <w:szCs w:val="21"/>
              </w:rPr>
              <w:t>投标方案设计中关键技术解决能力，对项目技术难点、风险的分析和解决难题、规避风险方案的可操作性等进行综合评分</w:t>
            </w:r>
            <w:r>
              <w:rPr>
                <w:rFonts w:hint="eastAsia" w:ascii="宋体" w:hAnsi="宋体" w:cs="宋体"/>
                <w:bCs/>
                <w:szCs w:val="21"/>
              </w:rPr>
              <w:t>方案阐述内容详实，逻辑清晰，具有科学性、合理性、可行性，充分满足建设需求的得</w:t>
            </w:r>
            <w:r>
              <w:rPr>
                <w:rFonts w:ascii="宋体" w:hAnsi="宋体" w:cs="宋体"/>
                <w:bCs/>
                <w:szCs w:val="21"/>
              </w:rPr>
              <w:t>7</w:t>
            </w:r>
            <w:r>
              <w:rPr>
                <w:rFonts w:hint="eastAsia" w:ascii="宋体" w:hAnsi="宋体" w:cs="宋体"/>
                <w:bCs/>
                <w:szCs w:val="21"/>
              </w:rPr>
              <w:t>分；方案阐述内容详细，基本符合建设需求的得5分；方案整体欠佳，基本符合建设需求的得3分；方案整体欠佳，无法满足建设需求的得0分。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7</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6</w:t>
            </w:r>
          </w:p>
        </w:tc>
        <w:tc>
          <w:tcPr>
            <w:tcW w:w="5065" w:type="dxa"/>
          </w:tcPr>
          <w:p>
            <w:pPr>
              <w:autoSpaceDE w:val="0"/>
              <w:autoSpaceDN w:val="0"/>
              <w:jc w:val="left"/>
              <w:rPr>
                <w:rFonts w:ascii="宋体" w:hAnsi="宋体" w:cs="宋体"/>
                <w:szCs w:val="21"/>
              </w:rPr>
            </w:pPr>
            <w:r>
              <w:rPr>
                <w:rFonts w:hint="eastAsia" w:ascii="宋体" w:hAnsi="宋体" w:cs="宋体"/>
                <w:szCs w:val="21"/>
              </w:rPr>
              <w:t>供应商对</w:t>
            </w:r>
            <w:r>
              <w:rPr>
                <w:rFonts w:hint="eastAsia" w:ascii="宋体" w:hAnsi="宋体" w:cs="宋体"/>
                <w:szCs w:val="21"/>
                <w:lang w:val="zh-CN"/>
              </w:rPr>
              <w:t>软件开发方案中实施过程的描述是否完整、清晰、可控并符合相关软件工程标准</w:t>
            </w:r>
            <w:r>
              <w:rPr>
                <w:rFonts w:hint="eastAsia" w:ascii="宋体" w:hAnsi="宋体" w:cs="宋体"/>
                <w:szCs w:val="21"/>
              </w:rPr>
              <w:t>进行综合评分</w:t>
            </w:r>
            <w:r>
              <w:rPr>
                <w:rFonts w:hint="eastAsia" w:ascii="宋体" w:hAnsi="宋体" w:cs="宋体"/>
                <w:bCs/>
                <w:szCs w:val="21"/>
              </w:rPr>
              <w:t>方案阐述内容详实，逻辑清晰，具有科学性、合理性、可行性，充分满足建设需求的得</w:t>
            </w:r>
            <w:r>
              <w:rPr>
                <w:rFonts w:ascii="宋体" w:hAnsi="宋体" w:cs="宋体"/>
                <w:bCs/>
                <w:szCs w:val="21"/>
              </w:rPr>
              <w:t>7</w:t>
            </w:r>
            <w:r>
              <w:rPr>
                <w:rFonts w:hint="eastAsia" w:ascii="宋体" w:hAnsi="宋体" w:cs="宋体"/>
                <w:bCs/>
                <w:szCs w:val="21"/>
              </w:rPr>
              <w:t>分；方案阐述内容详细，基本符合建设需求的得5分；方案整体欠佳，基本符合建设需求的得3分；方案整体欠佳，无法满足建设需求的得0分。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7</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7</w:t>
            </w:r>
          </w:p>
        </w:tc>
        <w:tc>
          <w:tcPr>
            <w:tcW w:w="5065" w:type="dxa"/>
          </w:tcPr>
          <w:p>
            <w:pPr>
              <w:autoSpaceDE w:val="0"/>
              <w:autoSpaceDN w:val="0"/>
              <w:jc w:val="left"/>
              <w:rPr>
                <w:rFonts w:ascii="宋体" w:hAnsi="宋体" w:cs="宋体"/>
                <w:szCs w:val="21"/>
              </w:rPr>
            </w:pPr>
            <w:r>
              <w:rPr>
                <w:rFonts w:hint="eastAsia" w:ascii="宋体" w:hAnsi="宋体" w:cs="宋体"/>
                <w:szCs w:val="21"/>
              </w:rPr>
              <w:t>供应商</w:t>
            </w:r>
            <w:r>
              <w:rPr>
                <w:rFonts w:hint="eastAsia" w:ascii="宋体" w:hAnsi="宋体" w:cs="宋体"/>
                <w:szCs w:val="21"/>
                <w:lang w:val="zh-CN"/>
              </w:rPr>
              <w:t>对项目任务分解计划安排的合理性</w:t>
            </w:r>
            <w:r>
              <w:rPr>
                <w:rFonts w:hint="eastAsia" w:ascii="宋体" w:hAnsi="宋体" w:cs="宋体"/>
                <w:szCs w:val="21"/>
              </w:rPr>
              <w:t>进行评分</w:t>
            </w:r>
            <w:r>
              <w:rPr>
                <w:rFonts w:hint="eastAsia" w:ascii="宋体" w:hAnsi="宋体" w:cs="宋体"/>
                <w:bCs/>
                <w:szCs w:val="21"/>
              </w:rPr>
              <w:t>计划内容详细完善，具有较强完整性、科学性、先进性和可行性得6分；计划内容较简单，略有偏差的得3分；内容有明显缺陷或内容不完整不得分</w:t>
            </w:r>
            <w:r>
              <w:rPr>
                <w:rFonts w:hint="eastAsia" w:ascii="宋体" w:hAnsi="宋体" w:cs="宋体"/>
                <w:szCs w:val="21"/>
              </w:rPr>
              <w:t>。</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6</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8</w:t>
            </w:r>
          </w:p>
        </w:tc>
        <w:tc>
          <w:tcPr>
            <w:tcW w:w="5065" w:type="dxa"/>
          </w:tcPr>
          <w:p>
            <w:pPr>
              <w:autoSpaceDE w:val="0"/>
              <w:autoSpaceDN w:val="0"/>
              <w:jc w:val="left"/>
              <w:rPr>
                <w:rFonts w:ascii="宋体" w:hAnsi="宋体" w:cs="宋体"/>
                <w:szCs w:val="21"/>
              </w:rPr>
            </w:pPr>
            <w:r>
              <w:rPr>
                <w:rFonts w:hint="eastAsia" w:ascii="宋体" w:hAnsi="宋体" w:cs="宋体"/>
                <w:szCs w:val="21"/>
              </w:rPr>
              <w:t>根据项目质量目标及保证措施、项目管理制度（包括质量管理、设备管理及档案管理等），进行打分保证措施、项目管理制度</w:t>
            </w:r>
            <w:r>
              <w:rPr>
                <w:rFonts w:hint="eastAsia" w:ascii="宋体" w:hAnsi="宋体" w:cs="宋体"/>
                <w:bCs/>
                <w:szCs w:val="21"/>
              </w:rPr>
              <w:t>内容详细完善，具有较强完整性、科学性、先进性和可行性得6分；</w:t>
            </w:r>
            <w:r>
              <w:rPr>
                <w:rFonts w:hint="eastAsia" w:ascii="宋体" w:hAnsi="宋体" w:cs="宋体"/>
                <w:szCs w:val="21"/>
              </w:rPr>
              <w:t>保证措施、项目管理制度</w:t>
            </w:r>
            <w:r>
              <w:rPr>
                <w:rFonts w:hint="eastAsia" w:ascii="宋体" w:hAnsi="宋体" w:cs="宋体"/>
                <w:bCs/>
                <w:szCs w:val="21"/>
              </w:rPr>
              <w:t>内容较简单，略有偏差的得3分；内容有明显缺陷或内容不完整不得分。</w:t>
            </w:r>
            <w:r>
              <w:rPr>
                <w:rFonts w:hint="eastAsia" w:ascii="宋体" w:hAnsi="宋体" w:cs="宋体"/>
                <w:szCs w:val="21"/>
              </w:rPr>
              <w:t>（0-6分）。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6</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9</w:t>
            </w:r>
          </w:p>
        </w:tc>
        <w:tc>
          <w:tcPr>
            <w:tcW w:w="5065" w:type="dxa"/>
          </w:tcPr>
          <w:p>
            <w:pPr>
              <w:autoSpaceDE w:val="0"/>
              <w:autoSpaceDN w:val="0"/>
              <w:jc w:val="left"/>
              <w:rPr>
                <w:rFonts w:ascii="宋体" w:hAnsi="宋体" w:cs="宋体"/>
                <w:szCs w:val="21"/>
              </w:rPr>
            </w:pPr>
            <w:r>
              <w:rPr>
                <w:rFonts w:hint="eastAsia" w:ascii="宋体" w:hAnsi="宋体" w:cs="宋体"/>
                <w:szCs w:val="21"/>
              </w:rPr>
              <w:t>根据项目保密管理是否合理、保密培训及保密制度是否合理等，进行打分（0-6分）</w:t>
            </w:r>
            <w:r>
              <w:rPr>
                <w:rFonts w:hint="eastAsia" w:ascii="宋体" w:hAnsi="宋体" w:cs="宋体"/>
                <w:bCs/>
                <w:szCs w:val="21"/>
              </w:rPr>
              <w:t>内容详细完善，具有较强完整性、科学性、先进性和可行性得6分；内容较简单，略有偏差的得3分；内容有明显缺陷或内容不完整不得分。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6</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10</w:t>
            </w:r>
          </w:p>
        </w:tc>
        <w:tc>
          <w:tcPr>
            <w:tcW w:w="5065" w:type="dxa"/>
          </w:tcPr>
          <w:p>
            <w:pPr>
              <w:autoSpaceDE w:val="0"/>
              <w:autoSpaceDN w:val="0"/>
              <w:jc w:val="left"/>
              <w:rPr>
                <w:rFonts w:ascii="宋体" w:hAnsi="宋体" w:cs="宋体"/>
                <w:szCs w:val="21"/>
              </w:rPr>
            </w:pPr>
            <w:r>
              <w:rPr>
                <w:rFonts w:hint="eastAsia" w:ascii="宋体" w:hAnsi="宋体" w:cs="宋体"/>
                <w:szCs w:val="21"/>
              </w:rPr>
              <w:t>根据项目整体工作阶段进度控制是否合理、关键时间节点把握是否科学准确，进行打分进度控制</w:t>
            </w:r>
            <w:r>
              <w:rPr>
                <w:rFonts w:hint="eastAsia" w:ascii="宋体" w:hAnsi="宋体" w:cs="宋体"/>
                <w:bCs/>
                <w:szCs w:val="21"/>
              </w:rPr>
              <w:t>内容详细完善，具有较强完整性、科学性、先进性和可行性得6分；</w:t>
            </w:r>
            <w:r>
              <w:rPr>
                <w:rFonts w:hint="eastAsia" w:ascii="宋体" w:hAnsi="宋体" w:cs="宋体"/>
                <w:szCs w:val="21"/>
              </w:rPr>
              <w:t>进度控制</w:t>
            </w:r>
            <w:r>
              <w:rPr>
                <w:rFonts w:hint="eastAsia" w:ascii="宋体" w:hAnsi="宋体" w:cs="宋体"/>
                <w:bCs/>
                <w:szCs w:val="21"/>
              </w:rPr>
              <w:t>内容较简单，略有偏差的得3分；内容有明显缺陷或内容不完整不得分。</w:t>
            </w:r>
            <w:r>
              <w:rPr>
                <w:rFonts w:hint="eastAsia" w:ascii="宋体" w:hAnsi="宋体" w:cs="宋体"/>
                <w:szCs w:val="21"/>
              </w:rPr>
              <w:t>（0-6分）。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6</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11</w:t>
            </w:r>
          </w:p>
        </w:tc>
        <w:tc>
          <w:tcPr>
            <w:tcW w:w="5065" w:type="dxa"/>
            <w:vAlign w:val="center"/>
          </w:tcPr>
          <w:p>
            <w:pPr>
              <w:autoSpaceDE w:val="0"/>
              <w:autoSpaceDN w:val="0"/>
              <w:jc w:val="left"/>
              <w:rPr>
                <w:rFonts w:ascii="宋体" w:hAnsi="宋体" w:cs="宋体"/>
                <w:szCs w:val="21"/>
              </w:rPr>
            </w:pPr>
            <w:r>
              <w:rPr>
                <w:rFonts w:hint="eastAsia" w:ascii="宋体" w:hAnsi="宋体" w:cs="宋体"/>
                <w:szCs w:val="21"/>
              </w:rPr>
              <w:t>根据供应商提供的售后服务方案和服务承诺情况，以及服务承诺的可行性、完整性以及服务承诺落实的保障措施、项目数据保密措施、其他优惠承诺等情况打分</w:t>
            </w:r>
            <w:r>
              <w:rPr>
                <w:rFonts w:hint="eastAsia" w:ascii="宋体" w:hAnsi="宋体" w:cs="宋体"/>
                <w:bCs/>
                <w:szCs w:val="21"/>
              </w:rPr>
              <w:t>措施详细完善，具有较强完整性、科学性、先进性和可行性得6分；措施较简单，略有偏差的得3分；措施有明显缺陷或内容不完整不得分。</w:t>
            </w:r>
            <w:r>
              <w:rPr>
                <w:rFonts w:hint="eastAsia" w:ascii="宋体" w:hAnsi="宋体" w:cs="宋体"/>
                <w:szCs w:val="21"/>
              </w:rPr>
              <w:t>（0-6分）。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6</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12</w:t>
            </w:r>
          </w:p>
        </w:tc>
        <w:tc>
          <w:tcPr>
            <w:tcW w:w="5065" w:type="dxa"/>
            <w:vAlign w:val="center"/>
          </w:tcPr>
          <w:p>
            <w:pPr>
              <w:autoSpaceDE w:val="0"/>
              <w:autoSpaceDN w:val="0"/>
              <w:jc w:val="left"/>
              <w:rPr>
                <w:rFonts w:ascii="宋体" w:hAnsi="宋体" w:cs="宋体"/>
                <w:szCs w:val="21"/>
              </w:rPr>
            </w:pPr>
            <w:r>
              <w:rPr>
                <w:rFonts w:hint="eastAsia" w:ascii="宋体" w:hAnsi="宋体" w:cs="宋体"/>
                <w:szCs w:val="21"/>
              </w:rPr>
              <w:t>1、拟投入本项目负责人同时具有信息系统项目管理师及系统集成项目管理工程师证书的得3分，具有其中一项得1分，没有不得分；</w:t>
            </w:r>
          </w:p>
          <w:p>
            <w:pPr>
              <w:autoSpaceDE w:val="0"/>
              <w:autoSpaceDN w:val="0"/>
              <w:jc w:val="left"/>
              <w:rPr>
                <w:rFonts w:ascii="宋体" w:hAnsi="宋体" w:cs="宋体"/>
                <w:szCs w:val="21"/>
              </w:rPr>
            </w:pPr>
            <w:r>
              <w:rPr>
                <w:rFonts w:hint="eastAsia" w:ascii="宋体" w:hAnsi="宋体" w:cs="宋体"/>
                <w:szCs w:val="21"/>
              </w:rPr>
              <w:t>2、拟投入本项目成员具有高级职称的，每个得1分，具有中级职称的每个得0.5分，最高4分；</w:t>
            </w:r>
          </w:p>
          <w:p>
            <w:pPr>
              <w:autoSpaceDE w:val="0"/>
              <w:autoSpaceDN w:val="0"/>
              <w:jc w:val="left"/>
              <w:rPr>
                <w:rFonts w:ascii="宋体" w:hAnsi="宋体" w:cs="宋体"/>
                <w:szCs w:val="21"/>
              </w:rPr>
            </w:pPr>
            <w:r>
              <w:rPr>
                <w:rFonts w:hint="eastAsia" w:ascii="宋体" w:hAnsi="宋体" w:cs="宋体"/>
                <w:szCs w:val="21"/>
              </w:rPr>
              <w:t>3、拟投入本项目成员具有保密知识培训证书得，每本0.5分，最高3分；</w:t>
            </w:r>
          </w:p>
          <w:p>
            <w:pPr>
              <w:autoSpaceDE w:val="0"/>
              <w:autoSpaceDN w:val="0"/>
              <w:jc w:val="left"/>
              <w:rPr>
                <w:rFonts w:cs="宋体"/>
                <w:szCs w:val="21"/>
                <w:lang w:val="zh-CN"/>
              </w:rPr>
            </w:pPr>
            <w:r>
              <w:rPr>
                <w:rFonts w:hint="eastAsia" w:ascii="宋体" w:hAnsi="宋体" w:cs="宋体"/>
                <w:szCs w:val="21"/>
              </w:rPr>
              <w:t>注：以上人员需提供近三个月社保证明，没有不得分。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10</w:t>
            </w:r>
          </w:p>
        </w:tc>
        <w:tc>
          <w:tcPr>
            <w:tcW w:w="951" w:type="dxa"/>
            <w:vAlign w:val="center"/>
          </w:tcPr>
          <w:p>
            <w:pPr>
              <w:snapToGrid w:val="0"/>
              <w:jc w:val="center"/>
              <w:rPr>
                <w:rFonts w:ascii="宋体" w:hAnsi="宋体" w:cs="宋体"/>
                <w:b/>
                <w:bCs/>
                <w:kern w:val="0"/>
                <w:szCs w:val="21"/>
              </w:rPr>
            </w:pPr>
            <w:r>
              <w:rPr>
                <w:rFonts w:hint="eastAsia" w:ascii="宋体" w:hAnsi="宋体" w:cs="宋体"/>
                <w:b/>
                <w:bCs/>
                <w:szCs w:val="21"/>
              </w:rPr>
              <w:t>客观分</w:t>
            </w:r>
          </w:p>
        </w:tc>
        <w:tc>
          <w:tcPr>
            <w:tcW w:w="1189" w:type="dxa"/>
            <w:vAlign w:val="center"/>
          </w:tcPr>
          <w:p>
            <w:pPr>
              <w:snapToGrid w:val="0"/>
              <w:jc w:val="center"/>
              <w:rPr>
                <w:rFonts w:ascii="宋体" w:hAnsi="宋体"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13</w:t>
            </w:r>
          </w:p>
        </w:tc>
        <w:tc>
          <w:tcPr>
            <w:tcW w:w="5065" w:type="dxa"/>
            <w:vAlign w:val="center"/>
          </w:tcPr>
          <w:p>
            <w:pPr>
              <w:snapToGrid w:val="0"/>
              <w:spacing w:before="156" w:after="156"/>
              <w:rPr>
                <w:rFonts w:ascii="宋体" w:hAnsi="宋体" w:cs="宋体"/>
                <w:szCs w:val="21"/>
                <w:lang w:val="zh-CN"/>
              </w:rPr>
            </w:pPr>
            <w:bookmarkStart w:id="398" w:name="_Hlk106118649"/>
            <w:r>
              <w:rPr>
                <w:rFonts w:hint="eastAsia" w:ascii="宋体" w:hAnsi="宋体" w:cs="宋体"/>
                <w:szCs w:val="21"/>
              </w:rPr>
              <w:t>投标人具有质量管理体系认证证书、信息安全管理体系认证证书、信息技术服务管理体系</w:t>
            </w:r>
            <w:bookmarkEnd w:id="398"/>
            <w:r>
              <w:rPr>
                <w:rFonts w:hint="eastAsia" w:ascii="宋体" w:hAnsi="宋体" w:cs="宋体"/>
                <w:szCs w:val="21"/>
              </w:rPr>
              <w:t>认证证书，且在有效期内的，每项认证证书得</w:t>
            </w:r>
            <w:r>
              <w:rPr>
                <w:rFonts w:ascii="宋体" w:hAnsi="宋体" w:cs="宋体"/>
                <w:szCs w:val="21"/>
              </w:rPr>
              <w:t>1分，最多得3分。</w:t>
            </w:r>
            <w:r>
              <w:rPr>
                <w:rFonts w:hint="eastAsia" w:ascii="宋体" w:hAnsi="宋体" w:cs="宋体"/>
                <w:szCs w:val="21"/>
              </w:rPr>
              <w:t>（投标文件中提供证明扫描件，并加盖投标人公章。）</w:t>
            </w:r>
          </w:p>
        </w:tc>
        <w:tc>
          <w:tcPr>
            <w:tcW w:w="627" w:type="dxa"/>
            <w:vAlign w:val="center"/>
          </w:tcPr>
          <w:p>
            <w:pPr>
              <w:snapToGrid w:val="0"/>
              <w:jc w:val="center"/>
              <w:rPr>
                <w:rFonts w:ascii="宋体" w:hAnsi="宋体" w:cs="宋体"/>
                <w:b/>
                <w:bCs/>
                <w:szCs w:val="21"/>
                <w:lang w:val="zh-CN"/>
              </w:rPr>
            </w:pPr>
            <w:r>
              <w:rPr>
                <w:rFonts w:hint="eastAsia" w:ascii="宋体" w:hAnsi="宋体" w:cs="宋体"/>
                <w:b/>
                <w:bCs/>
                <w:szCs w:val="21"/>
              </w:rPr>
              <w:t>3</w:t>
            </w:r>
          </w:p>
        </w:tc>
        <w:tc>
          <w:tcPr>
            <w:tcW w:w="951" w:type="dxa"/>
            <w:vAlign w:val="center"/>
          </w:tcPr>
          <w:p>
            <w:pPr>
              <w:snapToGrid w:val="0"/>
              <w:jc w:val="center"/>
              <w:rPr>
                <w:rFonts w:ascii="宋体" w:hAnsi="宋体" w:cs="宋体"/>
                <w:b/>
                <w:bCs/>
                <w:szCs w:val="21"/>
                <w:lang w:val="zh-CN"/>
              </w:rPr>
            </w:pPr>
            <w:r>
              <w:rPr>
                <w:rFonts w:hint="eastAsia" w:ascii="宋体" w:hAnsi="宋体" w:cs="宋体"/>
                <w:b/>
                <w:bCs/>
                <w:szCs w:val="21"/>
              </w:rPr>
              <w:t>客观分</w:t>
            </w:r>
          </w:p>
        </w:tc>
        <w:tc>
          <w:tcPr>
            <w:tcW w:w="1189" w:type="dxa"/>
            <w:vAlign w:val="center"/>
          </w:tcPr>
          <w:p>
            <w:pPr>
              <w:snapToGrid w:val="0"/>
              <w:jc w:val="center"/>
              <w:rPr>
                <w:rFonts w:ascii="宋体" w:hAnsi="宋体" w:cs="宋体"/>
                <w:b/>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14</w:t>
            </w:r>
          </w:p>
        </w:tc>
        <w:tc>
          <w:tcPr>
            <w:tcW w:w="5065" w:type="dxa"/>
            <w:vAlign w:val="center"/>
          </w:tcPr>
          <w:p>
            <w:pPr>
              <w:snapToGrid w:val="0"/>
              <w:spacing w:before="156" w:after="156"/>
              <w:rPr>
                <w:rFonts w:ascii="宋体" w:hAnsi="宋体" w:cs="宋体"/>
                <w:szCs w:val="21"/>
              </w:rPr>
            </w:pPr>
            <w:r>
              <w:rPr>
                <w:rFonts w:hint="eastAsia" w:ascii="宋体" w:hAnsi="宋体" w:cs="宋体"/>
                <w:szCs w:val="21"/>
              </w:rPr>
              <w:t>供应商</w:t>
            </w:r>
            <w:r>
              <w:rPr>
                <w:rFonts w:ascii="宋体" w:hAnsi="宋体" w:cs="宋体"/>
                <w:szCs w:val="21"/>
              </w:rPr>
              <w:t>近5年</w:t>
            </w:r>
            <w:r>
              <w:rPr>
                <w:rFonts w:hint="eastAsia" w:ascii="宋体" w:hAnsi="宋体" w:cs="宋体"/>
                <w:szCs w:val="21"/>
              </w:rPr>
              <w:t>承担过市、省、部级类似相关数据库标准研制且通过验收的，部级得0.3分，省级.02分，市级.01分，没有不得分。最高得0.3分</w:t>
            </w:r>
          </w:p>
          <w:p>
            <w:pPr>
              <w:snapToGrid w:val="0"/>
              <w:spacing w:before="156" w:after="156"/>
              <w:rPr>
                <w:rFonts w:ascii="宋体" w:hAnsi="宋体" w:cs="宋体"/>
                <w:szCs w:val="21"/>
              </w:rPr>
            </w:pPr>
            <w:r>
              <w:rPr>
                <w:rFonts w:hint="eastAsia" w:ascii="宋体" w:hAnsi="宋体" w:cs="宋体"/>
                <w:szCs w:val="21"/>
              </w:rPr>
              <w:t>供应商</w:t>
            </w:r>
            <w:r>
              <w:rPr>
                <w:rFonts w:ascii="宋体" w:hAnsi="宋体" w:cs="宋体"/>
                <w:szCs w:val="21"/>
              </w:rPr>
              <w:t>近5年</w:t>
            </w:r>
            <w:r>
              <w:rPr>
                <w:rFonts w:hint="eastAsia" w:ascii="宋体" w:hAnsi="宋体" w:cs="宋体"/>
                <w:szCs w:val="21"/>
              </w:rPr>
              <w:t>承担过类似业务体系和业务规范整合方案课题研究的得0.4分。最高得0.4分</w:t>
            </w:r>
          </w:p>
          <w:p>
            <w:pPr>
              <w:snapToGrid w:val="0"/>
              <w:spacing w:before="156" w:after="156"/>
              <w:rPr>
                <w:rFonts w:ascii="宋体" w:hAnsi="宋体" w:cs="宋体"/>
                <w:szCs w:val="21"/>
              </w:rPr>
            </w:pPr>
            <w:r>
              <w:rPr>
                <w:rFonts w:hint="eastAsia" w:ascii="宋体" w:hAnsi="宋体" w:cs="宋体"/>
                <w:szCs w:val="21"/>
              </w:rPr>
              <w:t>供应商</w:t>
            </w:r>
            <w:r>
              <w:rPr>
                <w:rFonts w:ascii="宋体" w:hAnsi="宋体" w:cs="宋体"/>
                <w:szCs w:val="21"/>
              </w:rPr>
              <w:t>近5年</w:t>
            </w:r>
            <w:r>
              <w:rPr>
                <w:rFonts w:hint="eastAsia" w:ascii="宋体" w:hAnsi="宋体" w:cs="宋体"/>
                <w:szCs w:val="21"/>
              </w:rPr>
              <w:t>承担过类似系统项目建设并通过验收的，每个得0.1分，最高得0.3分。</w:t>
            </w:r>
          </w:p>
        </w:tc>
        <w:tc>
          <w:tcPr>
            <w:tcW w:w="627" w:type="dxa"/>
            <w:vAlign w:val="center"/>
          </w:tcPr>
          <w:p>
            <w:pPr>
              <w:snapToGrid w:val="0"/>
              <w:jc w:val="center"/>
              <w:rPr>
                <w:rFonts w:ascii="宋体" w:hAnsi="宋体" w:cs="宋体"/>
                <w:b/>
                <w:bCs/>
                <w:szCs w:val="21"/>
                <w:lang w:val="zh-CN"/>
              </w:rPr>
            </w:pPr>
            <w:r>
              <w:rPr>
                <w:rFonts w:hint="eastAsia" w:ascii="宋体" w:hAnsi="宋体" w:cs="宋体"/>
                <w:b/>
                <w:bCs/>
                <w:szCs w:val="21"/>
                <w:lang w:val="zh-CN"/>
              </w:rPr>
              <w:t>1</w:t>
            </w:r>
          </w:p>
        </w:tc>
        <w:tc>
          <w:tcPr>
            <w:tcW w:w="951" w:type="dxa"/>
            <w:vAlign w:val="center"/>
          </w:tcPr>
          <w:p>
            <w:pPr>
              <w:snapToGrid w:val="0"/>
              <w:jc w:val="center"/>
              <w:rPr>
                <w:rFonts w:ascii="宋体" w:hAnsi="宋体" w:cs="宋体"/>
                <w:b/>
                <w:bCs/>
                <w:szCs w:val="21"/>
                <w:lang w:val="zh-CN"/>
              </w:rPr>
            </w:pPr>
            <w:r>
              <w:rPr>
                <w:rFonts w:hint="eastAsia" w:ascii="宋体" w:hAnsi="宋体" w:cs="宋体"/>
                <w:b/>
                <w:bCs/>
                <w:szCs w:val="21"/>
              </w:rPr>
              <w:t>客观分</w:t>
            </w:r>
          </w:p>
        </w:tc>
        <w:tc>
          <w:tcPr>
            <w:tcW w:w="1189" w:type="dxa"/>
            <w:vAlign w:val="center"/>
          </w:tcPr>
          <w:p>
            <w:pPr>
              <w:snapToGrid w:val="0"/>
              <w:jc w:val="center"/>
              <w:rPr>
                <w:rFonts w:ascii="宋体" w:hAnsi="宋体" w:cs="宋体"/>
                <w:b/>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15</w:t>
            </w:r>
          </w:p>
        </w:tc>
        <w:tc>
          <w:tcPr>
            <w:tcW w:w="5065" w:type="dxa"/>
            <w:vAlign w:val="center"/>
          </w:tcPr>
          <w:p>
            <w:pPr>
              <w:wordWrap w:val="0"/>
              <w:autoSpaceDE w:val="0"/>
              <w:autoSpaceDN w:val="0"/>
              <w:adjustRightInd/>
              <w:rPr>
                <w:rFonts w:ascii="宋体" w:hAnsi="宋体" w:cs="宋体"/>
                <w:szCs w:val="21"/>
              </w:rPr>
            </w:pPr>
            <w:r>
              <w:rPr>
                <w:rFonts w:hint="eastAsia" w:ascii="宋体" w:hAnsi="宋体" w:cs="宋体"/>
                <w:szCs w:val="21"/>
              </w:rPr>
              <w:t>有效投标报价的最低价作为评标基准价，其最低报价为满分；按［投标报价得分=（评标基准价/投标报价）*10］的计算公式计算。</w:t>
            </w:r>
          </w:p>
          <w:p>
            <w:pPr>
              <w:pStyle w:val="782"/>
              <w:widowControl w:val="0"/>
              <w:snapToGrid w:val="0"/>
              <w:jc w:val="left"/>
              <w:rPr>
                <w:rFonts w:ascii="宋体" w:hAnsi="宋体" w:cs="宋体"/>
                <w:lang w:val="zh-TW"/>
              </w:rPr>
            </w:pPr>
            <w:r>
              <w:rPr>
                <w:rFonts w:hint="eastAsia" w:ascii="宋体" w:hAnsi="宋体" w:cs="宋体"/>
                <w:lang w:val="zh-TW"/>
              </w:rPr>
              <w:t>评标过程中,不得去掉报价中的最高报价和最低报价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p>
        </w:tc>
        <w:tc>
          <w:tcPr>
            <w:tcW w:w="627" w:type="dxa"/>
            <w:vAlign w:val="center"/>
          </w:tcPr>
          <w:p>
            <w:pPr>
              <w:pStyle w:val="782"/>
              <w:widowControl w:val="0"/>
              <w:snapToGrid w:val="0"/>
              <w:jc w:val="center"/>
              <w:rPr>
                <w:rFonts w:ascii="宋体" w:hAnsi="宋体" w:cs="宋体"/>
                <w:b/>
                <w:bCs/>
              </w:rPr>
            </w:pPr>
            <w:r>
              <w:rPr>
                <w:rFonts w:hint="eastAsia" w:ascii="宋体" w:hAnsi="宋体" w:cs="宋体"/>
                <w:b/>
                <w:bCs/>
              </w:rPr>
              <w:t>10</w:t>
            </w:r>
          </w:p>
        </w:tc>
        <w:tc>
          <w:tcPr>
            <w:tcW w:w="951" w:type="dxa"/>
            <w:vAlign w:val="center"/>
          </w:tcPr>
          <w:p>
            <w:pPr>
              <w:pStyle w:val="782"/>
              <w:widowControl w:val="0"/>
              <w:snapToGrid w:val="0"/>
              <w:jc w:val="center"/>
              <w:rPr>
                <w:rFonts w:ascii="宋体" w:hAnsi="宋体" w:cs="宋体"/>
                <w:b/>
                <w:bCs/>
              </w:rPr>
            </w:pPr>
            <w:r>
              <w:rPr>
                <w:rFonts w:hint="eastAsia" w:ascii="宋体" w:hAnsi="宋体" w:cs="宋体"/>
                <w:b/>
                <w:bCs/>
              </w:rPr>
              <w:t>/</w:t>
            </w:r>
          </w:p>
        </w:tc>
        <w:tc>
          <w:tcPr>
            <w:tcW w:w="1189" w:type="dxa"/>
            <w:vAlign w:val="center"/>
          </w:tcPr>
          <w:p>
            <w:pPr>
              <w:pStyle w:val="782"/>
              <w:widowControl w:val="0"/>
              <w:snapToGrid w:val="0"/>
              <w:jc w:val="center"/>
              <w:rPr>
                <w:rFonts w:ascii="宋体" w:hAnsi="宋体" w:cs="宋体"/>
                <w:b/>
                <w:bCs/>
              </w:rPr>
            </w:pPr>
            <w:r>
              <w:rPr>
                <w:rFonts w:hint="eastAsia" w:ascii="宋体" w:hAnsi="宋体" w:cs="宋体"/>
                <w:b/>
                <w:bCs/>
              </w:rPr>
              <w:t>/</w:t>
            </w:r>
          </w:p>
        </w:tc>
      </w:tr>
    </w:tbl>
    <w:p>
      <w:pPr>
        <w:spacing w:line="360" w:lineRule="auto"/>
        <w:ind w:firstLine="480"/>
        <w:rPr>
          <w:rFonts w:ascii="宋体" w:hAnsi="宋体" w:cs="仿宋_GB2312"/>
          <w:sz w:val="24"/>
        </w:rPr>
      </w:pPr>
    </w:p>
    <w:p>
      <w:pP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br w:type="page"/>
      </w:r>
    </w:p>
    <w:p>
      <w:pPr>
        <w:spacing w:line="360" w:lineRule="auto"/>
        <w:ind w:firstLine="48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标项三：</w:t>
      </w:r>
      <w:r>
        <w:rPr>
          <w:rFonts w:hint="eastAsia" w:ascii="宋体" w:hAnsi="宋体" w:cs="仿宋_GB2312"/>
          <w:b/>
          <w:sz w:val="24"/>
        </w:rPr>
        <w:t>杭州市“空间智治”数字化平台建设（2024）耕地保护集成应用项目-安全服务技术保障</w:t>
      </w:r>
    </w:p>
    <w:p>
      <w:pPr>
        <w:pStyle w:val="83"/>
      </w:pPr>
    </w:p>
    <w:p>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5065"/>
        <w:gridCol w:w="627"/>
        <w:gridCol w:w="951"/>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663" w:type="dxa"/>
          </w:tcPr>
          <w:p>
            <w:pPr>
              <w:pStyle w:val="782"/>
              <w:widowControl w:val="0"/>
              <w:snapToGrid w:val="0"/>
              <w:jc w:val="center"/>
              <w:rPr>
                <w:rFonts w:ascii="宋体" w:hAnsi="宋体" w:cs="宋体"/>
              </w:rPr>
            </w:pPr>
            <w:r>
              <w:rPr>
                <w:rFonts w:hint="eastAsia" w:ascii="宋体" w:hAnsi="宋体" w:cs="宋体"/>
              </w:rPr>
              <w:t>序号</w:t>
            </w:r>
          </w:p>
        </w:tc>
        <w:tc>
          <w:tcPr>
            <w:tcW w:w="5065" w:type="dxa"/>
            <w:vAlign w:val="center"/>
          </w:tcPr>
          <w:p>
            <w:pPr>
              <w:widowControl/>
              <w:snapToGrid w:val="0"/>
              <w:jc w:val="center"/>
              <w:rPr>
                <w:rFonts w:ascii="宋体" w:hAnsi="宋体" w:cs="宋体"/>
                <w:b/>
                <w:bCs/>
                <w:szCs w:val="21"/>
              </w:rPr>
            </w:pPr>
            <w:r>
              <w:rPr>
                <w:rFonts w:hint="eastAsia" w:ascii="宋体" w:hAnsi="宋体" w:cs="宋体"/>
                <w:b/>
                <w:bCs/>
                <w:szCs w:val="21"/>
              </w:rPr>
              <w:t>评分细则</w:t>
            </w:r>
          </w:p>
        </w:tc>
        <w:tc>
          <w:tcPr>
            <w:tcW w:w="627" w:type="dxa"/>
            <w:vAlign w:val="center"/>
          </w:tcPr>
          <w:p>
            <w:pPr>
              <w:pStyle w:val="782"/>
              <w:widowControl w:val="0"/>
              <w:snapToGrid w:val="0"/>
              <w:jc w:val="center"/>
              <w:rPr>
                <w:rFonts w:ascii="宋体" w:hAnsi="宋体" w:cs="宋体"/>
                <w:b/>
                <w:bCs/>
              </w:rPr>
            </w:pPr>
            <w:r>
              <w:rPr>
                <w:rFonts w:hint="eastAsia" w:ascii="宋体" w:hAnsi="宋体" w:cs="宋体"/>
                <w:b/>
                <w:bCs/>
              </w:rPr>
              <w:t>权重</w:t>
            </w:r>
          </w:p>
        </w:tc>
        <w:tc>
          <w:tcPr>
            <w:tcW w:w="951" w:type="dxa"/>
            <w:vAlign w:val="center"/>
          </w:tcPr>
          <w:p>
            <w:pPr>
              <w:pStyle w:val="782"/>
              <w:widowControl w:val="0"/>
              <w:snapToGrid w:val="0"/>
              <w:jc w:val="center"/>
              <w:rPr>
                <w:rFonts w:ascii="宋体" w:hAnsi="宋体" w:cs="宋体"/>
                <w:b/>
                <w:bCs/>
              </w:rPr>
            </w:pPr>
            <w:r>
              <w:rPr>
                <w:rFonts w:hint="eastAsia" w:ascii="宋体" w:hAnsi="宋体" w:cs="宋体"/>
                <w:b/>
                <w:bCs/>
              </w:rPr>
              <w:t>备注</w:t>
            </w:r>
          </w:p>
        </w:tc>
        <w:tc>
          <w:tcPr>
            <w:tcW w:w="1189" w:type="dxa"/>
            <w:vAlign w:val="center"/>
          </w:tcPr>
          <w:p>
            <w:pPr>
              <w:pStyle w:val="782"/>
              <w:widowControl w:val="0"/>
              <w:snapToGrid w:val="0"/>
              <w:jc w:val="center"/>
              <w:rPr>
                <w:rFonts w:ascii="宋体" w:hAnsi="宋体" w:cs="宋体"/>
                <w:b/>
                <w:bCs/>
              </w:rPr>
            </w:pPr>
            <w:r>
              <w:rPr>
                <w:rFonts w:hint="eastAsia" w:ascii="宋体" w:hAnsi="宋体" w:cs="宋体"/>
                <w:b/>
                <w:bCs/>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1</w:t>
            </w:r>
          </w:p>
        </w:tc>
        <w:tc>
          <w:tcPr>
            <w:tcW w:w="5065" w:type="dxa"/>
          </w:tcPr>
          <w:p>
            <w:pPr>
              <w:rPr>
                <w:rFonts w:ascii="宋体" w:hAnsi="宋体" w:cs="宋体"/>
                <w:szCs w:val="21"/>
              </w:rPr>
            </w:pPr>
            <w:r>
              <w:rPr>
                <w:rFonts w:hint="eastAsia" w:ascii="宋体" w:hAnsi="宋体" w:cs="宋体"/>
                <w:szCs w:val="21"/>
              </w:rPr>
              <w:t>供应商自2021年1月1日以来（以合同签订时间为准），独立承担过类似系统安全服务项目的，每个得0.5分，最高得1分。</w:t>
            </w:r>
          </w:p>
          <w:p>
            <w:pPr>
              <w:snapToGrid w:val="0"/>
              <w:rPr>
                <w:rFonts w:ascii="宋体" w:hAnsi="宋体" w:cs="宋体"/>
                <w:szCs w:val="21"/>
              </w:rPr>
            </w:pPr>
            <w:r>
              <w:rPr>
                <w:rFonts w:hint="eastAsia" w:ascii="宋体" w:hAnsi="宋体" w:cs="宋体"/>
                <w:b/>
                <w:bCs/>
                <w:szCs w:val="21"/>
              </w:rPr>
              <w:t>【证明材料：1）须提供合同扫描件并加盖单位公章；2）提供的证明材料须能体现相关评审因素，不提供或者不能提供有效证明的，不得分。】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1</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客观分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2</w:t>
            </w:r>
          </w:p>
        </w:tc>
        <w:tc>
          <w:tcPr>
            <w:tcW w:w="5065" w:type="dxa"/>
          </w:tcPr>
          <w:p>
            <w:pPr>
              <w:rPr>
                <w:rFonts w:ascii="宋体" w:hAnsi="宋体" w:cs="宋体"/>
                <w:szCs w:val="21"/>
              </w:rPr>
            </w:pPr>
            <w:r>
              <w:rPr>
                <w:rFonts w:hint="eastAsia" w:ascii="宋体" w:hAnsi="宋体" w:cs="宋体"/>
                <w:szCs w:val="21"/>
              </w:rPr>
              <w:t>供应商具有有效的ISO9001质量管理体系认证证书、ISO27001信息安全管理体系认证证书的，每个得1分，最高得2分。</w:t>
            </w:r>
          </w:p>
          <w:p>
            <w:pPr>
              <w:snapToGrid w:val="0"/>
              <w:rPr>
                <w:rFonts w:ascii="宋体" w:hAnsi="宋体" w:cs="宋体"/>
                <w:szCs w:val="21"/>
              </w:rPr>
            </w:pPr>
            <w:r>
              <w:rPr>
                <w:rFonts w:hint="eastAsia" w:ascii="宋体" w:hAnsi="宋体" w:cs="宋体"/>
                <w:b/>
                <w:bCs/>
                <w:szCs w:val="21"/>
              </w:rPr>
              <w:t>【证明材料：1）须提供相关证书扫描件并加盖单位公章；2）提供的证明材料须能体现相关评审因素，不提供或者不能提供有效证明的，不得分。】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2</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客观分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3</w:t>
            </w:r>
          </w:p>
        </w:tc>
        <w:tc>
          <w:tcPr>
            <w:tcW w:w="5065" w:type="dxa"/>
          </w:tcPr>
          <w:p>
            <w:pPr>
              <w:rPr>
                <w:rFonts w:ascii="宋体" w:hAnsi="宋体" w:cs="宋体"/>
                <w:szCs w:val="21"/>
              </w:rPr>
            </w:pPr>
            <w:r>
              <w:rPr>
                <w:rFonts w:hint="eastAsia" w:ascii="宋体" w:hAnsi="宋体" w:cs="宋体"/>
                <w:szCs w:val="21"/>
              </w:rPr>
              <w:t>供应商获得地理信息类或与信息安全保护相关的计算机软件著作权的，每个得1分，最多3分。</w:t>
            </w:r>
          </w:p>
          <w:p>
            <w:pPr>
              <w:snapToGrid w:val="0"/>
              <w:rPr>
                <w:rFonts w:ascii="宋体" w:hAnsi="宋体" w:cs="宋体"/>
                <w:szCs w:val="21"/>
                <w:lang w:val="zh-TW"/>
              </w:rPr>
            </w:pPr>
            <w:r>
              <w:rPr>
                <w:rFonts w:hint="eastAsia" w:ascii="宋体" w:hAnsi="宋体" w:cs="宋体"/>
                <w:b/>
                <w:bCs/>
                <w:szCs w:val="21"/>
              </w:rPr>
              <w:t>【证明材料：1）须提供相关有效证书扫描件并加盖单位公章；2）提供的证明材料须能体现相关评审因素，不提供或者不能提供有效证明的，不得分。】</w:t>
            </w:r>
          </w:p>
        </w:tc>
        <w:tc>
          <w:tcPr>
            <w:tcW w:w="627" w:type="dxa"/>
            <w:vAlign w:val="center"/>
          </w:tcPr>
          <w:p>
            <w:pPr>
              <w:snapToGrid w:val="0"/>
              <w:jc w:val="center"/>
              <w:rPr>
                <w:rFonts w:ascii="宋体" w:hAnsi="宋体" w:cs="宋体"/>
                <w:b/>
                <w:bCs/>
                <w:szCs w:val="21"/>
                <w:lang w:val="zh-TW"/>
              </w:rPr>
            </w:pPr>
            <w:r>
              <w:rPr>
                <w:rFonts w:hint="eastAsia" w:ascii="宋体" w:hAnsi="宋体" w:cs="宋体"/>
                <w:b/>
                <w:bCs/>
                <w:szCs w:val="21"/>
              </w:rPr>
              <w:t>3</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客观分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4</w:t>
            </w:r>
          </w:p>
        </w:tc>
        <w:tc>
          <w:tcPr>
            <w:tcW w:w="5065" w:type="dxa"/>
          </w:tcPr>
          <w:p>
            <w:pPr>
              <w:rPr>
                <w:rFonts w:ascii="宋体" w:hAnsi="宋体" w:cs="宋体"/>
                <w:szCs w:val="21"/>
              </w:rPr>
            </w:pPr>
            <w:r>
              <w:rPr>
                <w:rFonts w:hint="eastAsia" w:ascii="宋体" w:hAnsi="宋体" w:cs="宋体"/>
                <w:szCs w:val="21"/>
              </w:rPr>
              <w:t>供应商具有由各级信创管理部门颁发的信创适配中心或分中心的单位资质的得2分。</w:t>
            </w:r>
          </w:p>
          <w:p>
            <w:pPr>
              <w:snapToGrid w:val="0"/>
              <w:rPr>
                <w:rFonts w:ascii="宋体" w:hAnsi="宋体" w:cs="宋体"/>
                <w:szCs w:val="21"/>
              </w:rPr>
            </w:pPr>
            <w:r>
              <w:rPr>
                <w:rFonts w:hint="eastAsia" w:ascii="宋体" w:hAnsi="宋体" w:cs="宋体"/>
                <w:b/>
                <w:bCs/>
                <w:szCs w:val="21"/>
              </w:rPr>
              <w:t>【证明材料：1）须提供相关证明材料扫描件并加盖单位公章；2）提供的证明材料须能体现相关评审因素，不提供或者不能提供有效证明的，不得分。】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2</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客观分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5</w:t>
            </w:r>
          </w:p>
        </w:tc>
        <w:tc>
          <w:tcPr>
            <w:tcW w:w="5065" w:type="dxa"/>
            <w:vAlign w:val="center"/>
          </w:tcPr>
          <w:p>
            <w:pPr>
              <w:widowControl/>
              <w:jc w:val="left"/>
              <w:textAlignment w:val="center"/>
              <w:rPr>
                <w:rFonts w:ascii="宋体" w:hAnsi="宋体" w:cs="宋体"/>
                <w:szCs w:val="21"/>
              </w:rPr>
            </w:pPr>
            <w:r>
              <w:rPr>
                <w:rFonts w:hint="eastAsia" w:ascii="宋体" w:hAnsi="宋体" w:cs="宋体"/>
                <w:szCs w:val="21"/>
              </w:rPr>
              <w:t>供应商对本项目背景和项目现状的理解，理解准确透彻，分析全面完整、合理科学的得7分；理解基本准确，缺乏深度，分析稍有欠缺，基本合理的得3分；不合理的不得分。</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7</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6</w:t>
            </w:r>
          </w:p>
        </w:tc>
        <w:tc>
          <w:tcPr>
            <w:tcW w:w="5065" w:type="dxa"/>
            <w:vAlign w:val="center"/>
          </w:tcPr>
          <w:p>
            <w:pPr>
              <w:widowControl/>
              <w:jc w:val="left"/>
              <w:textAlignment w:val="center"/>
              <w:rPr>
                <w:rFonts w:ascii="宋体" w:hAnsi="宋体" w:cs="宋体"/>
                <w:szCs w:val="21"/>
              </w:rPr>
            </w:pPr>
            <w:r>
              <w:rPr>
                <w:rFonts w:hint="eastAsia" w:ascii="宋体" w:hAnsi="宋体" w:cs="宋体"/>
                <w:szCs w:val="21"/>
              </w:rPr>
              <w:t>针对《采购需求》“一、服务内容”的各项内容打★，供应商提供的整体安全服务方案与安全服务内容的吻合程度、偏差情况。完全满足得15分，每项负偏离扣3分，扣完为止。</w:t>
            </w:r>
          </w:p>
          <w:p>
            <w:pPr>
              <w:widowControl/>
              <w:jc w:val="left"/>
              <w:textAlignment w:val="center"/>
              <w:rPr>
                <w:rFonts w:ascii="宋体" w:hAnsi="宋体" w:cs="宋体"/>
                <w:b/>
                <w:bCs/>
                <w:szCs w:val="21"/>
              </w:rPr>
            </w:pPr>
            <w:r>
              <w:rPr>
                <w:rFonts w:hint="eastAsia" w:ascii="宋体" w:hAnsi="宋体" w:cs="宋体"/>
                <w:b/>
                <w:bCs/>
                <w:szCs w:val="21"/>
              </w:rPr>
              <w:t>【证明材料：需对“一、服务内容”</w:t>
            </w:r>
            <w:r>
              <w:rPr>
                <w:rFonts w:hint="eastAsia" w:ascii="宋体" w:hAnsi="宋体" w:cs="宋体"/>
                <w:szCs w:val="21"/>
              </w:rPr>
              <w:t>打★内容</w:t>
            </w:r>
            <w:r>
              <w:rPr>
                <w:rFonts w:hint="eastAsia" w:ascii="宋体" w:hAnsi="宋体" w:cs="宋体"/>
                <w:b/>
                <w:bCs/>
                <w:szCs w:val="21"/>
              </w:rPr>
              <w:t>进行点对点响应。】</w:t>
            </w:r>
          </w:p>
        </w:tc>
        <w:tc>
          <w:tcPr>
            <w:tcW w:w="627" w:type="dxa"/>
            <w:vAlign w:val="center"/>
          </w:tcPr>
          <w:p>
            <w:pPr>
              <w:snapToGrid w:val="0"/>
              <w:jc w:val="center"/>
              <w:rPr>
                <w:rFonts w:ascii="宋体" w:hAnsi="宋体" w:cs="宋体"/>
                <w:b/>
                <w:bCs/>
                <w:szCs w:val="21"/>
              </w:rPr>
            </w:pPr>
            <w:r>
              <w:rPr>
                <w:rFonts w:hint="eastAsia" w:ascii="宋体" w:hAnsi="宋体" w:cs="宋体"/>
                <w:b/>
                <w:bCs/>
                <w:szCs w:val="21"/>
              </w:rPr>
              <w:t>15</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7</w:t>
            </w:r>
          </w:p>
        </w:tc>
        <w:tc>
          <w:tcPr>
            <w:tcW w:w="5065" w:type="dxa"/>
            <w:vAlign w:val="center"/>
          </w:tcPr>
          <w:p>
            <w:pPr>
              <w:widowControl/>
              <w:jc w:val="left"/>
              <w:textAlignment w:val="center"/>
              <w:rPr>
                <w:rFonts w:ascii="宋体" w:hAnsi="宋体" w:cs="宋体"/>
                <w:szCs w:val="21"/>
              </w:rPr>
            </w:pPr>
            <w:r>
              <w:rPr>
                <w:rFonts w:hint="eastAsia" w:ascii="宋体" w:hAnsi="宋体" w:cs="宋体"/>
                <w:bCs/>
                <w:szCs w:val="21"/>
              </w:rPr>
              <w:t>密码测评应进行全面分析应用系统的安全保护措施与密码测评要求之间的差距，进行合规性分析。分析准确，科学合理得6分；分析基本准确，略有欠缺得3分，分析差距较大，但仍在合理范围内的得1分，不合理不完整的得0分。</w:t>
            </w:r>
          </w:p>
        </w:tc>
        <w:tc>
          <w:tcPr>
            <w:tcW w:w="627" w:type="dxa"/>
            <w:vAlign w:val="center"/>
          </w:tcPr>
          <w:p>
            <w:pPr>
              <w:jc w:val="center"/>
              <w:rPr>
                <w:rFonts w:ascii="宋体" w:hAnsi="宋体" w:cs="宋体"/>
                <w:b/>
                <w:bCs/>
                <w:szCs w:val="21"/>
              </w:rPr>
            </w:pPr>
            <w:r>
              <w:rPr>
                <w:rFonts w:hint="eastAsia" w:ascii="宋体" w:hAnsi="宋体" w:cs="宋体"/>
                <w:szCs w:val="21"/>
              </w:rPr>
              <w:t>6</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8</w:t>
            </w:r>
          </w:p>
        </w:tc>
        <w:tc>
          <w:tcPr>
            <w:tcW w:w="5065" w:type="dxa"/>
            <w:vAlign w:val="center"/>
          </w:tcPr>
          <w:p>
            <w:pPr>
              <w:widowControl/>
              <w:jc w:val="left"/>
              <w:textAlignment w:val="center"/>
              <w:rPr>
                <w:rFonts w:ascii="宋体" w:hAnsi="宋体" w:cs="宋体"/>
                <w:szCs w:val="21"/>
              </w:rPr>
            </w:pPr>
            <w:r>
              <w:rPr>
                <w:rFonts w:hint="eastAsia" w:ascii="宋体" w:hAnsi="宋体" w:cs="宋体"/>
                <w:bCs/>
                <w:szCs w:val="21"/>
              </w:rPr>
              <w:t>安全服务方案内容全面完整，科学合理，可实施性强得8分；方案内容基本符合行业要求，可实施性一般，略有欠缺得5分；方案内容基本可行，但有明显缺陷，需完善后实施得2分；不符合行业要求或明显不合理不得分。</w:t>
            </w:r>
          </w:p>
        </w:tc>
        <w:tc>
          <w:tcPr>
            <w:tcW w:w="627" w:type="dxa"/>
            <w:vAlign w:val="center"/>
          </w:tcPr>
          <w:p>
            <w:pPr>
              <w:jc w:val="center"/>
              <w:rPr>
                <w:rFonts w:ascii="宋体" w:hAnsi="宋体" w:cs="宋体"/>
                <w:b/>
                <w:bCs/>
                <w:szCs w:val="21"/>
              </w:rPr>
            </w:pPr>
            <w:r>
              <w:rPr>
                <w:rFonts w:hint="eastAsia" w:ascii="宋体" w:hAnsi="宋体" w:cs="宋体"/>
                <w:szCs w:val="21"/>
              </w:rPr>
              <w:t>8</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9</w:t>
            </w:r>
          </w:p>
        </w:tc>
        <w:tc>
          <w:tcPr>
            <w:tcW w:w="5065" w:type="dxa"/>
            <w:vAlign w:val="center"/>
          </w:tcPr>
          <w:p>
            <w:pPr>
              <w:widowControl/>
              <w:jc w:val="left"/>
              <w:textAlignment w:val="center"/>
              <w:rPr>
                <w:rFonts w:ascii="宋体" w:hAnsi="宋体" w:cs="宋体"/>
                <w:szCs w:val="21"/>
              </w:rPr>
            </w:pPr>
            <w:r>
              <w:rPr>
                <w:rFonts w:hint="eastAsia" w:ascii="宋体" w:hAnsi="宋体" w:cs="宋体"/>
                <w:b/>
                <w:szCs w:val="21"/>
              </w:rPr>
              <w:t>安全保障方案</w:t>
            </w:r>
            <w:r>
              <w:rPr>
                <w:rFonts w:hint="eastAsia" w:ascii="宋体" w:hAnsi="宋体" w:cs="宋体"/>
                <w:bCs/>
                <w:szCs w:val="21"/>
              </w:rPr>
              <w:t>贴近用户需求，对用户网络结构、系统组成、业务功能的解读深入透彻、完整合理得8分；方案完整符合项目需求得5分；方案大致完整，大部分符合项目需求得2分；明显不合理不得分。</w:t>
            </w:r>
          </w:p>
        </w:tc>
        <w:tc>
          <w:tcPr>
            <w:tcW w:w="627" w:type="dxa"/>
            <w:vAlign w:val="center"/>
          </w:tcPr>
          <w:p>
            <w:pPr>
              <w:jc w:val="center"/>
              <w:rPr>
                <w:rFonts w:ascii="宋体" w:hAnsi="宋体" w:cs="宋体"/>
                <w:b/>
                <w:bCs/>
                <w:szCs w:val="21"/>
              </w:rPr>
            </w:pPr>
            <w:r>
              <w:rPr>
                <w:rFonts w:hint="eastAsia" w:ascii="宋体" w:hAnsi="宋体" w:cs="宋体"/>
                <w:szCs w:val="21"/>
              </w:rPr>
              <w:t>8</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10</w:t>
            </w:r>
          </w:p>
        </w:tc>
        <w:tc>
          <w:tcPr>
            <w:tcW w:w="5065" w:type="dxa"/>
            <w:vAlign w:val="center"/>
          </w:tcPr>
          <w:p>
            <w:pPr>
              <w:widowControl/>
              <w:jc w:val="left"/>
              <w:textAlignment w:val="center"/>
              <w:rPr>
                <w:rFonts w:ascii="宋体" w:hAnsi="宋体" w:cs="宋体"/>
                <w:szCs w:val="21"/>
              </w:rPr>
            </w:pPr>
            <w:r>
              <w:rPr>
                <w:rFonts w:hint="eastAsia" w:ascii="宋体" w:hAnsi="宋体" w:cs="宋体"/>
                <w:szCs w:val="21"/>
              </w:rPr>
              <w:t>根据供应商针对本项目</w:t>
            </w:r>
            <w:r>
              <w:rPr>
                <w:rFonts w:hint="eastAsia" w:ascii="宋体" w:hAnsi="宋体" w:cs="宋体"/>
                <w:b/>
                <w:szCs w:val="21"/>
              </w:rPr>
              <w:t>实施工具配备及人员的分工安排</w:t>
            </w:r>
            <w:r>
              <w:rPr>
                <w:rFonts w:hint="eastAsia" w:ascii="宋体" w:hAnsi="宋体" w:cs="宋体"/>
                <w:bCs/>
                <w:szCs w:val="21"/>
              </w:rPr>
              <w:t>等</w:t>
            </w:r>
            <w:r>
              <w:rPr>
                <w:rFonts w:hint="eastAsia" w:ascii="宋体" w:hAnsi="宋体" w:cs="宋体"/>
                <w:szCs w:val="21"/>
              </w:rPr>
              <w:t>的专业性、齐全性、先进性进行综合打分。工具专业、齐全且具有一定先进性，人员分工科学合理的得6分；工具配置一般且较传统，人员分工较合理的得3分；</w:t>
            </w:r>
            <w:r>
              <w:rPr>
                <w:rFonts w:hint="eastAsia" w:ascii="宋体" w:hAnsi="宋体" w:cs="宋体"/>
                <w:bCs/>
                <w:szCs w:val="21"/>
              </w:rPr>
              <w:t>明显不满足不得分</w:t>
            </w:r>
            <w:r>
              <w:rPr>
                <w:rFonts w:hint="eastAsia" w:ascii="宋体" w:hAnsi="宋体" w:cs="宋体"/>
                <w:szCs w:val="21"/>
              </w:rPr>
              <w:t>。</w:t>
            </w:r>
          </w:p>
        </w:tc>
        <w:tc>
          <w:tcPr>
            <w:tcW w:w="627" w:type="dxa"/>
            <w:vAlign w:val="center"/>
          </w:tcPr>
          <w:p>
            <w:pPr>
              <w:jc w:val="center"/>
              <w:rPr>
                <w:rFonts w:ascii="宋体" w:hAnsi="宋体" w:cs="宋体"/>
                <w:b/>
                <w:bCs/>
                <w:szCs w:val="21"/>
              </w:rPr>
            </w:pPr>
            <w:r>
              <w:rPr>
                <w:rFonts w:hint="eastAsia" w:ascii="宋体" w:hAnsi="宋体" w:cs="宋体"/>
                <w:szCs w:val="21"/>
              </w:rPr>
              <w:t>6</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11</w:t>
            </w:r>
          </w:p>
        </w:tc>
        <w:tc>
          <w:tcPr>
            <w:tcW w:w="5065" w:type="dxa"/>
            <w:vAlign w:val="center"/>
          </w:tcPr>
          <w:p>
            <w:pPr>
              <w:rPr>
                <w:rFonts w:ascii="宋体" w:hAnsi="宋体" w:cs="宋体"/>
                <w:szCs w:val="21"/>
              </w:rPr>
            </w:pPr>
            <w:r>
              <w:rPr>
                <w:rFonts w:hint="eastAsia" w:ascii="宋体" w:hAnsi="宋体" w:cs="宋体"/>
                <w:b/>
                <w:bCs/>
                <w:szCs w:val="21"/>
              </w:rPr>
              <w:t>进度保障：</w:t>
            </w:r>
            <w:r>
              <w:rPr>
                <w:rFonts w:hint="eastAsia" w:ascii="宋体" w:hAnsi="宋体" w:cs="宋体"/>
                <w:szCs w:val="21"/>
              </w:rPr>
              <w:t>根据供应商为本项目制订的进度计划保证措施，从进度计划安排合理性，各环节衔接紧凑性，保证措施全面性，具体实施方案专业可行性等方面综合评审。</w:t>
            </w:r>
            <w:r>
              <w:rPr>
                <w:rFonts w:hint="eastAsia" w:ascii="宋体" w:hAnsi="宋体" w:cs="宋体"/>
                <w:bCs/>
                <w:szCs w:val="21"/>
              </w:rPr>
              <w:t>项目实施进度计划安排合理，测评安排节点明确，可实施性强</w:t>
            </w:r>
            <w:r>
              <w:rPr>
                <w:rFonts w:hint="eastAsia" w:ascii="宋体" w:hAnsi="宋体" w:cs="宋体"/>
                <w:szCs w:val="21"/>
              </w:rPr>
              <w:t>的得6分；</w:t>
            </w:r>
            <w:r>
              <w:rPr>
                <w:rFonts w:hint="eastAsia" w:ascii="宋体" w:hAnsi="宋体" w:cs="宋体"/>
                <w:bCs/>
                <w:szCs w:val="21"/>
              </w:rPr>
              <w:t>进度安排节奏略有欠缺基本可行</w:t>
            </w:r>
            <w:r>
              <w:rPr>
                <w:rFonts w:hint="eastAsia" w:ascii="宋体" w:hAnsi="宋体" w:cs="宋体"/>
                <w:szCs w:val="21"/>
              </w:rPr>
              <w:t>的得3分；</w:t>
            </w:r>
            <w:r>
              <w:rPr>
                <w:rFonts w:hint="eastAsia" w:ascii="宋体" w:hAnsi="宋体" w:cs="宋体"/>
                <w:bCs/>
                <w:szCs w:val="21"/>
              </w:rPr>
              <w:t>明显不合理不可行不得分。</w:t>
            </w:r>
          </w:p>
        </w:tc>
        <w:tc>
          <w:tcPr>
            <w:tcW w:w="627" w:type="dxa"/>
            <w:vAlign w:val="center"/>
          </w:tcPr>
          <w:p>
            <w:pPr>
              <w:jc w:val="center"/>
              <w:rPr>
                <w:rFonts w:ascii="宋体" w:hAnsi="宋体" w:cs="宋体"/>
                <w:b/>
                <w:bCs/>
                <w:szCs w:val="21"/>
              </w:rPr>
            </w:pPr>
            <w:r>
              <w:rPr>
                <w:rFonts w:hint="eastAsia" w:ascii="宋体" w:hAnsi="宋体" w:cs="宋体"/>
                <w:szCs w:val="21"/>
              </w:rPr>
              <w:t>6</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12</w:t>
            </w:r>
          </w:p>
        </w:tc>
        <w:tc>
          <w:tcPr>
            <w:tcW w:w="5065" w:type="dxa"/>
            <w:vAlign w:val="center"/>
          </w:tcPr>
          <w:p>
            <w:pPr>
              <w:rPr>
                <w:rFonts w:ascii="宋体" w:hAnsi="宋体" w:cs="宋体"/>
                <w:szCs w:val="21"/>
                <w:lang w:val="zh-CN"/>
              </w:rPr>
            </w:pPr>
            <w:r>
              <w:rPr>
                <w:rFonts w:hint="eastAsia" w:ascii="宋体" w:hAnsi="宋体" w:cs="宋体"/>
                <w:b/>
                <w:bCs/>
                <w:szCs w:val="21"/>
              </w:rPr>
              <w:t>质量保障：</w:t>
            </w:r>
            <w:r>
              <w:rPr>
                <w:rFonts w:hint="eastAsia" w:ascii="宋体" w:hAnsi="宋体" w:cs="宋体"/>
                <w:szCs w:val="21"/>
              </w:rPr>
              <w:t>根据供应商为本项目制订的主要保障措施，从质量保证体系的针对性较强，措施的完整合理性等方面综合评审。针对性强、措施合理，</w:t>
            </w:r>
            <w:r>
              <w:rPr>
                <w:rFonts w:hint="eastAsia" w:ascii="宋体" w:hAnsi="宋体" w:cs="宋体"/>
                <w:bCs/>
                <w:szCs w:val="21"/>
              </w:rPr>
              <w:t>方案在确保阶段性任务实现的同时，兼顾总体目标的实现性</w:t>
            </w:r>
            <w:r>
              <w:rPr>
                <w:rFonts w:hint="eastAsia" w:ascii="宋体" w:hAnsi="宋体" w:cs="宋体"/>
                <w:szCs w:val="21"/>
              </w:rPr>
              <w:t>的得6分；针对性较强、措施一般的得3分，</w:t>
            </w:r>
            <w:r>
              <w:rPr>
                <w:rFonts w:hint="eastAsia" w:ascii="宋体" w:hAnsi="宋体" w:cs="宋体"/>
                <w:bCs/>
                <w:szCs w:val="21"/>
              </w:rPr>
              <w:t>明显不合理不可行不得分</w:t>
            </w:r>
            <w:r>
              <w:rPr>
                <w:rFonts w:hint="eastAsia" w:ascii="宋体" w:hAnsi="宋体" w:cs="宋体"/>
                <w:szCs w:val="21"/>
              </w:rPr>
              <w:t>。</w:t>
            </w:r>
          </w:p>
        </w:tc>
        <w:tc>
          <w:tcPr>
            <w:tcW w:w="627" w:type="dxa"/>
            <w:vAlign w:val="center"/>
          </w:tcPr>
          <w:p>
            <w:pPr>
              <w:jc w:val="center"/>
              <w:rPr>
                <w:rFonts w:ascii="宋体" w:hAnsi="宋体" w:cs="宋体"/>
                <w:b/>
                <w:bCs/>
                <w:szCs w:val="21"/>
              </w:rPr>
            </w:pPr>
            <w:r>
              <w:rPr>
                <w:rFonts w:hint="eastAsia" w:ascii="宋体" w:hAnsi="宋体" w:cs="宋体"/>
                <w:szCs w:val="21"/>
              </w:rPr>
              <w:t>6</w:t>
            </w:r>
          </w:p>
        </w:tc>
        <w:tc>
          <w:tcPr>
            <w:tcW w:w="951" w:type="dxa"/>
            <w:vAlign w:val="center"/>
          </w:tcPr>
          <w:p>
            <w:pPr>
              <w:snapToGrid w:val="0"/>
              <w:jc w:val="center"/>
              <w:rPr>
                <w:rFonts w:ascii="宋体" w:hAnsi="宋体" w:cs="宋体"/>
                <w:b/>
                <w:bCs/>
                <w:kern w:val="0"/>
                <w:szCs w:val="21"/>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13</w:t>
            </w:r>
          </w:p>
        </w:tc>
        <w:tc>
          <w:tcPr>
            <w:tcW w:w="5065" w:type="dxa"/>
            <w:vAlign w:val="center"/>
          </w:tcPr>
          <w:p>
            <w:pPr>
              <w:widowControl/>
              <w:jc w:val="left"/>
              <w:textAlignment w:val="center"/>
              <w:rPr>
                <w:rFonts w:ascii="宋体" w:hAnsi="宋体" w:cs="宋体"/>
                <w:szCs w:val="21"/>
                <w:lang w:val="zh-CN"/>
              </w:rPr>
            </w:pPr>
            <w:r>
              <w:rPr>
                <w:rFonts w:hint="eastAsia" w:ascii="宋体" w:hAnsi="宋体" w:cs="宋体"/>
                <w:bCs/>
                <w:szCs w:val="21"/>
              </w:rPr>
              <w:t>供应商承诺提供安全整改服务，出具整改建议方案，2）对安全测评报告中提出的安全整改项协助用户完成整改工作，并出具整改结果报告（或加固报告）得3分；不合理不得分。</w:t>
            </w:r>
          </w:p>
        </w:tc>
        <w:tc>
          <w:tcPr>
            <w:tcW w:w="627" w:type="dxa"/>
            <w:vAlign w:val="center"/>
          </w:tcPr>
          <w:p>
            <w:pPr>
              <w:jc w:val="center"/>
              <w:rPr>
                <w:rFonts w:ascii="宋体" w:hAnsi="宋体" w:cs="宋体"/>
                <w:b/>
                <w:bCs/>
                <w:szCs w:val="21"/>
                <w:lang w:val="zh-CN"/>
              </w:rPr>
            </w:pPr>
            <w:r>
              <w:rPr>
                <w:rFonts w:hint="eastAsia" w:ascii="宋体" w:hAnsi="宋体" w:cs="宋体"/>
                <w:szCs w:val="21"/>
              </w:rPr>
              <w:t>3</w:t>
            </w:r>
          </w:p>
        </w:tc>
        <w:tc>
          <w:tcPr>
            <w:tcW w:w="951" w:type="dxa"/>
            <w:vAlign w:val="center"/>
          </w:tcPr>
          <w:p>
            <w:pPr>
              <w:snapToGrid w:val="0"/>
              <w:jc w:val="center"/>
              <w:rPr>
                <w:rFonts w:ascii="宋体" w:hAnsi="宋体" w:cs="宋体"/>
                <w:b/>
                <w:bCs/>
                <w:szCs w:val="21"/>
                <w:lang w:val="zh-CN"/>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14</w:t>
            </w:r>
          </w:p>
        </w:tc>
        <w:tc>
          <w:tcPr>
            <w:tcW w:w="5065" w:type="dxa"/>
            <w:vAlign w:val="center"/>
          </w:tcPr>
          <w:p>
            <w:pPr>
              <w:widowControl/>
              <w:jc w:val="left"/>
              <w:textAlignment w:val="center"/>
              <w:rPr>
                <w:rFonts w:ascii="宋体" w:hAnsi="宋体" w:cs="宋体"/>
                <w:szCs w:val="21"/>
                <w:lang w:val="zh-CN"/>
              </w:rPr>
            </w:pPr>
            <w:r>
              <w:rPr>
                <w:rFonts w:hint="eastAsia" w:ascii="宋体" w:hAnsi="宋体" w:cs="宋体"/>
                <w:bCs/>
                <w:szCs w:val="21"/>
              </w:rPr>
              <w:t>关于项目验收完成后的技术咨询服务承诺，明确服务范围，根据服务范围与项目的针对性综合打分，针对性强的得4分，针对性较弱的得2分；不承诺或不明确范围不得分。</w:t>
            </w:r>
          </w:p>
        </w:tc>
        <w:tc>
          <w:tcPr>
            <w:tcW w:w="627" w:type="dxa"/>
            <w:vAlign w:val="center"/>
          </w:tcPr>
          <w:p>
            <w:pPr>
              <w:jc w:val="center"/>
              <w:rPr>
                <w:rFonts w:ascii="宋体" w:hAnsi="宋体" w:cs="宋体"/>
                <w:b/>
                <w:bCs/>
                <w:szCs w:val="21"/>
              </w:rPr>
            </w:pPr>
            <w:r>
              <w:rPr>
                <w:rFonts w:hint="eastAsia" w:ascii="宋体" w:hAnsi="宋体" w:cs="宋体"/>
                <w:szCs w:val="21"/>
              </w:rPr>
              <w:t>4</w:t>
            </w:r>
          </w:p>
        </w:tc>
        <w:tc>
          <w:tcPr>
            <w:tcW w:w="951" w:type="dxa"/>
            <w:vAlign w:val="center"/>
          </w:tcPr>
          <w:p>
            <w:pPr>
              <w:snapToGrid w:val="0"/>
              <w:jc w:val="center"/>
              <w:rPr>
                <w:rFonts w:ascii="宋体" w:hAnsi="宋体" w:cs="宋体"/>
                <w:b/>
                <w:bCs/>
                <w:szCs w:val="21"/>
                <w:lang w:val="zh-CN"/>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pPr>
              <w:pStyle w:val="782"/>
              <w:widowControl w:val="0"/>
              <w:snapToGrid w:val="0"/>
              <w:jc w:val="center"/>
              <w:rPr>
                <w:rFonts w:ascii="宋体" w:hAnsi="宋体" w:cs="宋体"/>
              </w:rPr>
            </w:pPr>
            <w:r>
              <w:rPr>
                <w:rFonts w:hint="eastAsia" w:ascii="宋体" w:hAnsi="宋体" w:cs="宋体"/>
              </w:rPr>
              <w:t>15</w:t>
            </w:r>
          </w:p>
        </w:tc>
        <w:tc>
          <w:tcPr>
            <w:tcW w:w="5065" w:type="dxa"/>
            <w:vAlign w:val="center"/>
          </w:tcPr>
          <w:p>
            <w:pPr>
              <w:jc w:val="left"/>
              <w:textAlignment w:val="center"/>
              <w:rPr>
                <w:rFonts w:ascii="宋体" w:hAnsi="宋体" w:cs="宋体"/>
                <w:szCs w:val="21"/>
              </w:rPr>
            </w:pPr>
            <w:r>
              <w:rPr>
                <w:rFonts w:hint="eastAsia" w:ascii="宋体" w:hAnsi="宋体" w:cs="宋体"/>
                <w:szCs w:val="21"/>
              </w:rPr>
              <w:t>根据供应商针对本项目特点提供详细可行的售后服务方案及措施进行综合打分。售后服务方案及服务措施完善、针对性强、完整细致，可行性强，</w:t>
            </w:r>
            <w:r>
              <w:rPr>
                <w:rFonts w:hint="eastAsia" w:ascii="宋体" w:hAnsi="宋体" w:cs="宋体"/>
                <w:bCs/>
                <w:szCs w:val="21"/>
              </w:rPr>
              <w:t>响应时间短</w:t>
            </w:r>
            <w:r>
              <w:rPr>
                <w:rFonts w:hint="eastAsia" w:ascii="宋体" w:hAnsi="宋体" w:cs="宋体"/>
                <w:szCs w:val="21"/>
              </w:rPr>
              <w:t>的得5分；售后服务方案及措施较完整，可行性一般，响应时间较长的得3分；售后服务方案粗略，可行性差，响应时间长的得0分。</w:t>
            </w:r>
          </w:p>
        </w:tc>
        <w:tc>
          <w:tcPr>
            <w:tcW w:w="627" w:type="dxa"/>
            <w:vAlign w:val="center"/>
          </w:tcPr>
          <w:p>
            <w:pPr>
              <w:jc w:val="center"/>
              <w:rPr>
                <w:rFonts w:ascii="宋体" w:hAnsi="宋体" w:cs="宋体"/>
                <w:b/>
                <w:bCs/>
                <w:szCs w:val="21"/>
                <w:lang w:val="zh-CN"/>
              </w:rPr>
            </w:pPr>
            <w:r>
              <w:rPr>
                <w:rFonts w:hint="eastAsia" w:ascii="宋体" w:hAnsi="宋体" w:cs="宋体"/>
                <w:szCs w:val="21"/>
              </w:rPr>
              <w:t>5</w:t>
            </w:r>
          </w:p>
        </w:tc>
        <w:tc>
          <w:tcPr>
            <w:tcW w:w="951" w:type="dxa"/>
            <w:vAlign w:val="center"/>
          </w:tcPr>
          <w:p>
            <w:pPr>
              <w:snapToGrid w:val="0"/>
              <w:jc w:val="center"/>
              <w:rPr>
                <w:rFonts w:ascii="宋体" w:hAnsi="宋体" w:cs="宋体"/>
                <w:b/>
                <w:bCs/>
                <w:szCs w:val="21"/>
                <w:lang w:val="zh-CN"/>
              </w:rPr>
            </w:pPr>
            <w:r>
              <w:rPr>
                <w:rFonts w:hint="eastAsia" w:ascii="宋体" w:hAnsi="宋体" w:cs="宋体"/>
                <w:b/>
                <w:bCs/>
                <w:szCs w:val="21"/>
              </w:rPr>
              <w:t>主观分</w:t>
            </w:r>
          </w:p>
        </w:tc>
        <w:tc>
          <w:tcPr>
            <w:tcW w:w="1189" w:type="dxa"/>
            <w:vAlign w:val="center"/>
          </w:tcPr>
          <w:p>
            <w:pPr>
              <w:snapToGrid w:val="0"/>
              <w:jc w:val="center"/>
              <w:rPr>
                <w:rFonts w:ascii="宋体" w:hAnsi="宋体" w:cs="宋体"/>
                <w:b/>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16</w:t>
            </w:r>
          </w:p>
        </w:tc>
        <w:tc>
          <w:tcPr>
            <w:tcW w:w="5065" w:type="dxa"/>
            <w:vAlign w:val="center"/>
          </w:tcPr>
          <w:p>
            <w:pPr>
              <w:widowControl/>
              <w:shd w:val="clear" w:color="auto" w:fill="FFFFFF"/>
              <w:rPr>
                <w:rFonts w:ascii="宋体" w:hAnsi="宋体" w:cs="宋体"/>
                <w:szCs w:val="21"/>
              </w:rPr>
            </w:pPr>
            <w:r>
              <w:rPr>
                <w:rFonts w:hint="eastAsia" w:ascii="宋体" w:hAnsi="宋体" w:cs="宋体"/>
                <w:b/>
                <w:bCs/>
                <w:szCs w:val="21"/>
              </w:rPr>
              <w:t>【客观分】</w:t>
            </w:r>
            <w:r>
              <w:rPr>
                <w:rFonts w:hint="eastAsia" w:ascii="宋体" w:hAnsi="宋体" w:cs="宋体"/>
                <w:szCs w:val="21"/>
              </w:rPr>
              <w:t>拟派本项目</w:t>
            </w:r>
            <w:r>
              <w:rPr>
                <w:rFonts w:hint="eastAsia" w:ascii="宋体" w:hAnsi="宋体" w:cs="宋体"/>
                <w:b/>
                <w:bCs/>
                <w:szCs w:val="21"/>
              </w:rPr>
              <w:t>项目负责人</w:t>
            </w:r>
            <w:r>
              <w:rPr>
                <w:rFonts w:hint="eastAsia" w:ascii="宋体" w:hAnsi="宋体" w:cs="宋体"/>
                <w:szCs w:val="21"/>
              </w:rPr>
              <w:t>具有：</w:t>
            </w:r>
          </w:p>
          <w:p>
            <w:pPr>
              <w:widowControl/>
              <w:shd w:val="clear" w:color="auto" w:fill="FFFFFF"/>
              <w:rPr>
                <w:rFonts w:ascii="宋体" w:hAnsi="宋体" w:cs="宋体"/>
                <w:szCs w:val="21"/>
              </w:rPr>
            </w:pPr>
            <w:r>
              <w:rPr>
                <w:rFonts w:hint="eastAsia" w:ascii="宋体" w:hAnsi="宋体" w:cs="宋体"/>
                <w:szCs w:val="21"/>
              </w:rPr>
              <w:t>1）高级及以上职称的得3分；中级职称得1.5分</w:t>
            </w:r>
          </w:p>
          <w:p>
            <w:pPr>
              <w:widowControl/>
              <w:shd w:val="clear" w:color="auto" w:fill="FFFFFF"/>
              <w:rPr>
                <w:rFonts w:ascii="宋体" w:hAnsi="宋体" w:cs="宋体"/>
                <w:szCs w:val="21"/>
              </w:rPr>
            </w:pPr>
            <w:r>
              <w:rPr>
                <w:rFonts w:hint="eastAsia" w:ascii="宋体" w:hAnsi="宋体" w:cs="宋体"/>
                <w:szCs w:val="21"/>
              </w:rPr>
              <w:t>2）具有</w:t>
            </w:r>
            <w:r>
              <w:rPr>
                <w:rFonts w:hint="eastAsia" w:ascii="宋体" w:hAnsi="宋体" w:cs="宋体"/>
                <w:bCs/>
                <w:szCs w:val="21"/>
              </w:rPr>
              <w:t>安全服务项目管理经验的得2</w:t>
            </w:r>
            <w:r>
              <w:rPr>
                <w:rFonts w:hint="eastAsia" w:ascii="宋体" w:hAnsi="宋体" w:cs="宋体"/>
                <w:szCs w:val="21"/>
              </w:rPr>
              <w:t>分；</w:t>
            </w:r>
          </w:p>
          <w:p>
            <w:pPr>
              <w:widowControl/>
              <w:jc w:val="left"/>
              <w:textAlignment w:val="center"/>
              <w:rPr>
                <w:rFonts w:ascii="宋体" w:hAnsi="宋体" w:cs="宋体"/>
                <w:szCs w:val="21"/>
              </w:rPr>
            </w:pPr>
            <w:r>
              <w:rPr>
                <w:rFonts w:hint="eastAsia" w:ascii="宋体" w:hAnsi="宋体" w:cs="宋体"/>
                <w:b/>
                <w:bCs/>
              </w:rPr>
              <w:t>【证明材料：1）须提供相关证明材料扫描件并加盖单位公章；2）须提供相关人员近3个月中任意一个月的由供应商缴纳的社保养老保险缴纳证明材料扫描件并加盖投标单位公章；3）不提供或者不能提供有效证明的，不得分。】</w:t>
            </w:r>
          </w:p>
        </w:tc>
        <w:tc>
          <w:tcPr>
            <w:tcW w:w="627" w:type="dxa"/>
            <w:vAlign w:val="center"/>
          </w:tcPr>
          <w:p>
            <w:pPr>
              <w:jc w:val="center"/>
              <w:rPr>
                <w:rFonts w:ascii="宋体" w:hAnsi="宋体" w:cs="宋体"/>
                <w:b/>
                <w:bCs/>
                <w:szCs w:val="21"/>
                <w:lang w:val="zh-CN"/>
              </w:rPr>
            </w:pPr>
            <w:r>
              <w:rPr>
                <w:rFonts w:hint="eastAsia" w:ascii="宋体" w:hAnsi="宋体" w:cs="宋体"/>
                <w:szCs w:val="21"/>
              </w:rPr>
              <w:t>5</w:t>
            </w:r>
          </w:p>
        </w:tc>
        <w:tc>
          <w:tcPr>
            <w:tcW w:w="951" w:type="dxa"/>
            <w:vAlign w:val="center"/>
          </w:tcPr>
          <w:p>
            <w:pPr>
              <w:snapToGrid w:val="0"/>
              <w:jc w:val="center"/>
              <w:rPr>
                <w:rFonts w:ascii="宋体" w:hAnsi="宋体" w:cs="宋体"/>
                <w:b/>
                <w:bCs/>
                <w:kern w:val="0"/>
                <w:szCs w:val="21"/>
              </w:rPr>
            </w:pPr>
            <w:r>
              <w:rPr>
                <w:rFonts w:hint="eastAsia" w:ascii="宋体" w:hAnsi="宋体" w:cs="宋体"/>
                <w:b/>
                <w:bCs/>
                <w:szCs w:val="21"/>
              </w:rPr>
              <w:t>客</w:t>
            </w:r>
            <w:r>
              <w:rPr>
                <w:rFonts w:hint="eastAsia" w:ascii="宋体" w:hAnsi="宋体" w:cs="宋体"/>
                <w:b/>
                <w:bCs/>
                <w:kern w:val="0"/>
                <w:szCs w:val="21"/>
              </w:rPr>
              <w:t>观分</w:t>
            </w:r>
          </w:p>
        </w:tc>
        <w:tc>
          <w:tcPr>
            <w:tcW w:w="1189" w:type="dxa"/>
            <w:vAlign w:val="center"/>
          </w:tcPr>
          <w:p>
            <w:pPr>
              <w:snapToGrid w:val="0"/>
              <w:jc w:val="center"/>
              <w:rPr>
                <w:rFonts w:ascii="宋体" w:hAnsi="宋体"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17</w:t>
            </w:r>
          </w:p>
        </w:tc>
        <w:tc>
          <w:tcPr>
            <w:tcW w:w="5065" w:type="dxa"/>
            <w:vAlign w:val="center"/>
          </w:tcPr>
          <w:p>
            <w:pPr>
              <w:widowControl/>
              <w:shd w:val="clear" w:color="auto" w:fill="FFFFFF"/>
              <w:rPr>
                <w:rFonts w:ascii="宋体" w:hAnsi="宋体" w:cs="宋体"/>
                <w:szCs w:val="21"/>
              </w:rPr>
            </w:pPr>
            <w:r>
              <w:rPr>
                <w:rFonts w:hint="eastAsia" w:ascii="宋体" w:hAnsi="宋体" w:cs="宋体"/>
                <w:szCs w:val="21"/>
              </w:rPr>
              <w:t>拟派本项目</w:t>
            </w:r>
            <w:r>
              <w:rPr>
                <w:rFonts w:hint="eastAsia" w:ascii="宋体" w:hAnsi="宋体" w:cs="宋体"/>
                <w:b/>
                <w:bCs/>
                <w:szCs w:val="21"/>
              </w:rPr>
              <w:t>项目组成员具有</w:t>
            </w:r>
          </w:p>
          <w:p>
            <w:pPr>
              <w:widowControl/>
              <w:shd w:val="clear" w:color="auto" w:fill="FFFFFF"/>
              <w:rPr>
                <w:rFonts w:ascii="宋体" w:hAnsi="宋体" w:cs="宋体"/>
                <w:szCs w:val="21"/>
              </w:rPr>
            </w:pPr>
            <w:r>
              <w:rPr>
                <w:rFonts w:hint="eastAsia" w:ascii="宋体" w:hAnsi="宋体" w:cs="宋体"/>
                <w:szCs w:val="21"/>
              </w:rPr>
              <w:t>软件性能测试高级工程师证书的每个得1分，最高得3分。</w:t>
            </w:r>
          </w:p>
          <w:p>
            <w:pPr>
              <w:widowControl/>
              <w:jc w:val="left"/>
              <w:textAlignment w:val="center"/>
              <w:rPr>
                <w:rFonts w:ascii="宋体" w:hAnsi="宋体" w:cs="宋体"/>
                <w:szCs w:val="21"/>
              </w:rPr>
            </w:pPr>
            <w:r>
              <w:rPr>
                <w:rFonts w:hint="eastAsia" w:ascii="宋体" w:hAnsi="宋体" w:cs="宋体"/>
                <w:b/>
                <w:bCs/>
              </w:rPr>
              <w:t>【证明材料：1）须提供相关证明材料扫描件并加盖单位公章；2）须提供相关人员近3个月中任意一个月的由供应商缴纳的社保养老保险缴纳证明材料扫描件并加盖投标单位公章；3）不提供或者不能提供有效证明的，不得分。】</w:t>
            </w:r>
          </w:p>
        </w:tc>
        <w:tc>
          <w:tcPr>
            <w:tcW w:w="627" w:type="dxa"/>
            <w:vAlign w:val="center"/>
          </w:tcPr>
          <w:p>
            <w:pPr>
              <w:jc w:val="center"/>
              <w:rPr>
                <w:rFonts w:ascii="宋体" w:hAnsi="宋体" w:cs="宋体"/>
                <w:b/>
                <w:bCs/>
                <w:kern w:val="0"/>
                <w:szCs w:val="21"/>
              </w:rPr>
            </w:pPr>
            <w:r>
              <w:rPr>
                <w:rFonts w:hint="eastAsia" w:ascii="宋体" w:hAnsi="宋体" w:cs="宋体"/>
                <w:szCs w:val="21"/>
              </w:rPr>
              <w:t>3</w:t>
            </w:r>
          </w:p>
        </w:tc>
        <w:tc>
          <w:tcPr>
            <w:tcW w:w="951" w:type="dxa"/>
            <w:vAlign w:val="center"/>
          </w:tcPr>
          <w:p>
            <w:pPr>
              <w:snapToGrid w:val="0"/>
              <w:jc w:val="center"/>
              <w:rPr>
                <w:rFonts w:ascii="宋体" w:hAnsi="宋体" w:cs="宋体"/>
                <w:b/>
                <w:bCs/>
                <w:szCs w:val="21"/>
              </w:rPr>
            </w:pPr>
            <w:r>
              <w:rPr>
                <w:rFonts w:hint="eastAsia" w:ascii="宋体" w:hAnsi="宋体" w:cs="宋体"/>
                <w:b/>
                <w:bCs/>
                <w:szCs w:val="21"/>
              </w:rPr>
              <w:t>客</w:t>
            </w:r>
            <w:r>
              <w:rPr>
                <w:rFonts w:hint="eastAsia" w:ascii="宋体" w:hAnsi="宋体" w:cs="宋体"/>
                <w:b/>
                <w:bCs/>
                <w:kern w:val="0"/>
                <w:szCs w:val="21"/>
              </w:rPr>
              <w:t>观分</w:t>
            </w:r>
          </w:p>
        </w:tc>
        <w:tc>
          <w:tcPr>
            <w:tcW w:w="1189" w:type="dxa"/>
            <w:vAlign w:val="center"/>
          </w:tcPr>
          <w:p>
            <w:pPr>
              <w:snapToGrid w:val="0"/>
              <w:jc w:val="center"/>
              <w:rPr>
                <w:rFonts w:ascii="宋体" w:hAnsi="宋体"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63" w:type="dxa"/>
            <w:vAlign w:val="center"/>
          </w:tcPr>
          <w:p>
            <w:pPr>
              <w:pStyle w:val="782"/>
              <w:widowControl w:val="0"/>
              <w:snapToGrid w:val="0"/>
              <w:jc w:val="center"/>
              <w:rPr>
                <w:rFonts w:ascii="宋体" w:hAnsi="宋体" w:cs="宋体"/>
              </w:rPr>
            </w:pPr>
            <w:r>
              <w:rPr>
                <w:rFonts w:hint="eastAsia" w:ascii="宋体" w:hAnsi="宋体" w:cs="宋体"/>
              </w:rPr>
              <w:t>18</w:t>
            </w:r>
          </w:p>
        </w:tc>
        <w:tc>
          <w:tcPr>
            <w:tcW w:w="5065" w:type="dxa"/>
            <w:vAlign w:val="center"/>
          </w:tcPr>
          <w:p>
            <w:pPr>
              <w:wordWrap w:val="0"/>
              <w:autoSpaceDE w:val="0"/>
              <w:autoSpaceDN w:val="0"/>
              <w:adjustRightInd/>
              <w:rPr>
                <w:rFonts w:ascii="宋体" w:hAnsi="宋体" w:cs="宋体"/>
                <w:szCs w:val="21"/>
              </w:rPr>
            </w:pPr>
            <w:r>
              <w:rPr>
                <w:rFonts w:hint="eastAsia" w:ascii="宋体" w:hAnsi="宋体" w:cs="宋体"/>
                <w:szCs w:val="21"/>
              </w:rPr>
              <w:t>有效投标报价的最低价作为评标基准价，其最低报价为满分；按［投标报价得分=（评标基准价/投标报价）*10］的计算公式计算。</w:t>
            </w:r>
          </w:p>
          <w:p>
            <w:pPr>
              <w:pStyle w:val="782"/>
              <w:widowControl w:val="0"/>
              <w:snapToGrid w:val="0"/>
              <w:jc w:val="left"/>
              <w:rPr>
                <w:rFonts w:ascii="宋体" w:hAnsi="宋体" w:cs="宋体"/>
                <w:lang w:val="zh-TW"/>
              </w:rPr>
            </w:pPr>
            <w:r>
              <w:rPr>
                <w:rFonts w:hint="eastAsia" w:ascii="宋体" w:hAnsi="宋体" w:cs="宋体"/>
                <w:lang w:val="zh-TW"/>
              </w:rPr>
              <w:t>评标过程中,不得去掉报价中的最高报价和最低报价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p>
        </w:tc>
        <w:tc>
          <w:tcPr>
            <w:tcW w:w="627" w:type="dxa"/>
            <w:vAlign w:val="center"/>
          </w:tcPr>
          <w:p>
            <w:pPr>
              <w:pStyle w:val="782"/>
              <w:widowControl w:val="0"/>
              <w:snapToGrid w:val="0"/>
              <w:jc w:val="center"/>
              <w:rPr>
                <w:rFonts w:ascii="宋体" w:hAnsi="宋体" w:cs="宋体"/>
                <w:b/>
                <w:bCs/>
              </w:rPr>
            </w:pPr>
            <w:r>
              <w:rPr>
                <w:rFonts w:hint="eastAsia" w:ascii="宋体" w:hAnsi="宋体" w:cs="宋体"/>
                <w:b/>
                <w:bCs/>
              </w:rPr>
              <w:t>10</w:t>
            </w:r>
          </w:p>
        </w:tc>
        <w:tc>
          <w:tcPr>
            <w:tcW w:w="951" w:type="dxa"/>
            <w:vAlign w:val="center"/>
          </w:tcPr>
          <w:p>
            <w:pPr>
              <w:pStyle w:val="782"/>
              <w:widowControl w:val="0"/>
              <w:snapToGrid w:val="0"/>
              <w:jc w:val="center"/>
              <w:rPr>
                <w:rFonts w:ascii="宋体" w:hAnsi="宋体" w:cs="宋体"/>
                <w:b/>
                <w:bCs/>
              </w:rPr>
            </w:pPr>
            <w:r>
              <w:rPr>
                <w:rFonts w:hint="eastAsia" w:ascii="宋体" w:hAnsi="宋体" w:cs="宋体"/>
                <w:b/>
                <w:bCs/>
              </w:rPr>
              <w:t>/</w:t>
            </w:r>
          </w:p>
        </w:tc>
        <w:tc>
          <w:tcPr>
            <w:tcW w:w="1189" w:type="dxa"/>
            <w:vAlign w:val="center"/>
          </w:tcPr>
          <w:p>
            <w:pPr>
              <w:pStyle w:val="782"/>
              <w:widowControl w:val="0"/>
              <w:snapToGrid w:val="0"/>
              <w:jc w:val="center"/>
              <w:rPr>
                <w:rFonts w:ascii="宋体" w:hAnsi="宋体" w:cs="宋体"/>
                <w:b/>
                <w:bCs/>
              </w:rPr>
            </w:pPr>
            <w:r>
              <w:rPr>
                <w:rFonts w:hint="eastAsia" w:ascii="宋体" w:hAnsi="宋体" w:cs="宋体"/>
                <w:b/>
                <w:bCs/>
              </w:rPr>
              <w:t>/</w:t>
            </w:r>
          </w:p>
        </w:tc>
      </w:tr>
    </w:tbl>
    <w:p>
      <w:pPr>
        <w:pStyle w:val="2"/>
        <w:sectPr>
          <w:pgSz w:w="11907" w:h="16840"/>
          <w:pgMar w:top="1474" w:right="1814" w:bottom="1474" w:left="1814" w:header="851" w:footer="851" w:gutter="0"/>
          <w:cols w:space="720" w:num="1"/>
        </w:sectPr>
      </w:pPr>
    </w:p>
    <w:p>
      <w:pPr>
        <w:snapToGrid w:val="0"/>
        <w:spacing w:line="360" w:lineRule="auto"/>
        <w:rPr>
          <w:rFonts w:ascii="宋体" w:hAnsi="宋体" w:cs="宋体"/>
          <w:b/>
          <w:sz w:val="28"/>
          <w:szCs w:val="28"/>
        </w:rPr>
      </w:pPr>
      <w:r>
        <w:rPr>
          <w:rFonts w:hint="eastAsia" w:ascii="宋体" w:hAnsi="宋体" w:cs="宋体"/>
          <w:b/>
          <w:sz w:val="32"/>
        </w:rPr>
        <w:t>一、评标方法</w:t>
      </w:r>
    </w:p>
    <w:p>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kern w:val="0"/>
          <w:sz w:val="24"/>
        </w:rPr>
      </w:pPr>
      <w:r>
        <w:rPr>
          <w:rFonts w:hint="eastAsia" w:ascii="宋体" w:hAnsi="宋体" w:cs="宋体"/>
          <w:b/>
          <w:sz w:val="32"/>
        </w:rPr>
        <w:t>二、评标标准</w:t>
      </w:r>
    </w:p>
    <w:p>
      <w:pPr>
        <w:spacing w:line="360" w:lineRule="auto"/>
        <w:ind w:firstLine="472" w:firstLineChars="196"/>
        <w:rPr>
          <w:rFonts w:ascii="宋体" w:hAnsi="宋体" w:cs="宋体"/>
          <w:b/>
          <w:sz w:val="24"/>
        </w:rPr>
      </w:pPr>
      <w:r>
        <w:rPr>
          <w:rFonts w:hint="eastAsia" w:ascii="宋体" w:hAnsi="宋体" w:cs="宋体"/>
          <w:b/>
          <w:sz w:val="24"/>
        </w:rPr>
        <w:t>2.评标标准：</w:t>
      </w:r>
      <w:r>
        <w:rPr>
          <w:rFonts w:hint="eastAsia" w:ascii="宋体" w:hAnsi="宋体" w:cs="宋体"/>
          <w:kern w:val="0"/>
          <w:sz w:val="24"/>
        </w:rPr>
        <w:t>见评标办法前附表。</w:t>
      </w:r>
    </w:p>
    <w:p>
      <w:pPr>
        <w:spacing w:line="360" w:lineRule="auto"/>
        <w:outlineLvl w:val="0"/>
        <w:rPr>
          <w:rFonts w:ascii="宋体" w:hAnsi="宋体" w:cs="宋体"/>
          <w:b/>
          <w:sz w:val="36"/>
          <w:szCs w:val="36"/>
        </w:rPr>
      </w:pPr>
      <w:r>
        <w:rPr>
          <w:rFonts w:hint="eastAsia" w:ascii="宋体" w:hAnsi="宋体" w:cs="宋体"/>
          <w:b/>
          <w:sz w:val="36"/>
          <w:szCs w:val="36"/>
        </w:rPr>
        <w:t>三、评标程序</w:t>
      </w:r>
    </w:p>
    <w:p>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pPr>
        <w:pStyle w:val="129"/>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pPr>
        <w:pStyle w:val="129"/>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29"/>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29"/>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29"/>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29"/>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29"/>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pPr>
        <w:pStyle w:val="129"/>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360" w:lineRule="auto"/>
        <w:ind w:firstLine="480" w:firstLineChars="200"/>
        <w:rPr>
          <w:rFonts w:ascii="宋体" w:hAnsi="宋体" w:cs="宋体"/>
          <w:kern w:val="0"/>
          <w:sz w:val="24"/>
        </w:rPr>
      </w:pPr>
      <w:r>
        <w:rPr>
          <w:rFonts w:hint="eastAsia" w:ascii="宋体" w:hAnsi="宋体" w:cs="宋体"/>
          <w:kern w:val="0"/>
          <w:sz w:val="24"/>
        </w:rPr>
        <w:t>4.2.3甲方拟采购的产品属于政府强制采购的节能产品品目清单范围的，投标人相应的投标产品未获得国家确定的认证机构出具的、处于有效期之内的节能产品认证证书的；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kern w:val="0"/>
          <w:sz w:val="24"/>
        </w:rPr>
      </w:pPr>
      <w:r>
        <w:rPr>
          <w:rFonts w:hint="eastAsia" w:ascii="宋体" w:hAnsi="宋体" w:cs="宋体"/>
          <w:kern w:val="0"/>
          <w:sz w:val="24"/>
        </w:rPr>
        <w:t>4.2.4投标文件含有甲方不能接受的附加条件的；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4.2.11投标人有恶意串通、妨碍其他投标人的竞争行为、损害甲方或者其他投标人的合法权益情形的；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4.2.13 投标文件不满足招标文件的其它实质性要求的；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25"/>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pPr>
        <w:pStyle w:val="25"/>
        <w:snapToGrid w:val="0"/>
        <w:spacing w:line="360" w:lineRule="auto"/>
        <w:rPr>
          <w:rFonts w:cs="宋体"/>
        </w:rPr>
      </w:pPr>
      <w:r>
        <w:rPr>
          <w:rFonts w:hint="eastAsia" w:cs="宋体"/>
        </w:rPr>
        <w:t>5.1符合专业条件的供应商或者对招标文件作实质响应的供应商不足3家的；</w:t>
      </w:r>
    </w:p>
    <w:p>
      <w:pPr>
        <w:pStyle w:val="25"/>
        <w:snapToGrid w:val="0"/>
        <w:spacing w:line="360" w:lineRule="auto"/>
        <w:rPr>
          <w:rFonts w:cs="宋体"/>
        </w:rPr>
      </w:pPr>
      <w:r>
        <w:rPr>
          <w:rFonts w:hint="eastAsia" w:cs="宋体"/>
        </w:rPr>
        <w:t>5.2出现影响采购公正的违法、违规行为的；</w:t>
      </w:r>
    </w:p>
    <w:p>
      <w:pPr>
        <w:pStyle w:val="25"/>
        <w:snapToGrid w:val="0"/>
        <w:spacing w:line="360" w:lineRule="auto"/>
        <w:rPr>
          <w:rFonts w:cs="宋体"/>
        </w:rPr>
      </w:pPr>
      <w:r>
        <w:rPr>
          <w:rFonts w:hint="eastAsia" w:cs="宋体"/>
        </w:rPr>
        <w:t>5.3投标人的报价均超过了采购预算，甲方不能支付的；</w:t>
      </w:r>
    </w:p>
    <w:p>
      <w:pPr>
        <w:pStyle w:val="25"/>
        <w:snapToGrid w:val="0"/>
        <w:spacing w:line="360" w:lineRule="auto"/>
        <w:rPr>
          <w:rFonts w:cs="宋体"/>
        </w:rPr>
      </w:pPr>
      <w:r>
        <w:rPr>
          <w:rFonts w:hint="eastAsia" w:cs="宋体"/>
        </w:rPr>
        <w:t>5.4因重大变故，采购任务取消的。</w:t>
      </w:r>
    </w:p>
    <w:p>
      <w:pPr>
        <w:pStyle w:val="25"/>
        <w:snapToGrid w:val="0"/>
        <w:spacing w:line="360" w:lineRule="auto"/>
        <w:rPr>
          <w:rFonts w:cs="宋体"/>
        </w:rPr>
      </w:pPr>
      <w:r>
        <w:rPr>
          <w:rFonts w:hint="eastAsia" w:cs="宋体"/>
        </w:rPr>
        <w:t>废标后，采购代理机构应当将废标理由通知所有投标人。</w:t>
      </w:r>
    </w:p>
    <w:p>
      <w:pPr>
        <w:pStyle w:val="25"/>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甲方、采购代理机构沟通并作书面记录。甲方、采购代理机构确认后，将修改招标文件，重新组织采购活动。</w:t>
      </w:r>
    </w:p>
    <w:p>
      <w:pPr>
        <w:pStyle w:val="25"/>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pPr>
        <w:pStyle w:val="25"/>
        <w:snapToGrid w:val="0"/>
        <w:spacing w:line="360" w:lineRule="auto"/>
        <w:rPr>
          <w:rFonts w:cs="宋体"/>
        </w:rPr>
      </w:pPr>
      <w:r>
        <w:rPr>
          <w:rFonts w:hint="eastAsia" w:cs="宋体"/>
        </w:rPr>
        <w:t>7.1未确定中标供应商的，终止本次政府采购活动，重新开展政府采购活动。</w:t>
      </w:r>
    </w:p>
    <w:p>
      <w:pPr>
        <w:pStyle w:val="25"/>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pPr>
        <w:pStyle w:val="25"/>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pPr>
        <w:pStyle w:val="25"/>
        <w:snapToGrid w:val="0"/>
        <w:spacing w:line="360" w:lineRule="auto"/>
        <w:rPr>
          <w:rFonts w:cs="宋体"/>
        </w:rPr>
      </w:pPr>
      <w:r>
        <w:rPr>
          <w:rFonts w:hint="eastAsia" w:cs="宋体"/>
        </w:rPr>
        <w:t>7.4政府采购合同已经履行，给甲方、供应商造成损失的，由责任人承担赔偿责任。</w:t>
      </w:r>
    </w:p>
    <w:p>
      <w:pPr>
        <w:pStyle w:val="25"/>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pPr>
        <w:pStyle w:val="25"/>
        <w:snapToGrid w:val="0"/>
        <w:spacing w:line="360" w:lineRule="auto"/>
        <w:ind w:firstLine="0" w:firstLineChars="0"/>
        <w:rPr>
          <w:rFonts w:cs="宋体"/>
        </w:rPr>
      </w:pPr>
    </w:p>
    <w:bookmarkEnd w:id="26"/>
    <w:p>
      <w:pPr>
        <w:pStyle w:val="83"/>
        <w:ind w:left="720" w:leftChars="343" w:firstLine="720" w:firstLineChars="300"/>
        <w:outlineLvl w:val="0"/>
      </w:pPr>
      <w:bookmarkStart w:id="399" w:name="_Toc86217003"/>
      <w:bookmarkStart w:id="400" w:name="第五部分"/>
    </w:p>
    <w:p>
      <w:pPr>
        <w:pStyle w:val="83"/>
        <w:ind w:left="720" w:leftChars="343" w:firstLine="720" w:firstLineChars="300"/>
        <w:outlineLvl w:val="0"/>
      </w:pPr>
    </w:p>
    <w:p>
      <w:pPr>
        <w:pStyle w:val="83"/>
        <w:ind w:left="720" w:leftChars="343" w:firstLine="720" w:firstLineChars="300"/>
        <w:outlineLvl w:val="0"/>
      </w:pPr>
    </w:p>
    <w:p>
      <w:pPr>
        <w:spacing w:line="360" w:lineRule="auto"/>
        <w:ind w:left="720" w:leftChars="343" w:firstLine="1807" w:firstLineChars="500"/>
        <w:outlineLvl w:val="0"/>
        <w:rPr>
          <w:rFonts w:ascii="宋体" w:hAnsi="宋体" w:cs="宋体"/>
          <w:b/>
          <w:sz w:val="36"/>
          <w:szCs w:val="36"/>
        </w:rPr>
      </w:pPr>
      <w:r>
        <w:rPr>
          <w:rFonts w:hint="eastAsia" w:ascii="宋体" w:hAnsi="宋体" w:cs="宋体"/>
          <w:b/>
          <w:sz w:val="36"/>
          <w:szCs w:val="36"/>
        </w:rPr>
        <w:t>第五部分 拟签订的合同文本</w:t>
      </w:r>
    </w:p>
    <w:p>
      <w:pPr>
        <w:widowControl/>
        <w:adjustRightInd/>
        <w:rPr>
          <w:rFonts w:ascii="宋体" w:hAnsi="宋体" w:cs="宋体"/>
          <w:b/>
          <w:sz w:val="36"/>
          <w:szCs w:val="20"/>
        </w:rPr>
      </w:pPr>
    </w:p>
    <w:p>
      <w:pPr>
        <w:adjustRightInd/>
        <w:spacing w:line="800" w:lineRule="exact"/>
        <w:jc w:val="center"/>
        <w:rPr>
          <w:rFonts w:ascii="Calibri" w:hAnsi="Calibri" w:eastAsia="方正小标宋_GBK" w:cs="Calibri"/>
          <w:sz w:val="44"/>
          <w:szCs w:val="44"/>
        </w:rPr>
      </w:pPr>
      <w:r>
        <w:rPr>
          <w:rFonts w:ascii="Calibri" w:hAnsi="Calibri" w:eastAsia="方正小标宋_GBK" w:cs="Calibri"/>
          <w:sz w:val="44"/>
          <w:szCs w:val="44"/>
        </w:rPr>
        <w:t>项目合同书</w:t>
      </w:r>
    </w:p>
    <w:p>
      <w:pPr>
        <w:adjustRightInd/>
        <w:spacing w:line="800" w:lineRule="exact"/>
        <w:jc w:val="center"/>
        <w:rPr>
          <w:rFonts w:ascii="Calibri" w:hAnsi="Calibri" w:eastAsia="方正小标宋_GBK" w:cs="Calibri"/>
          <w:sz w:val="32"/>
          <w:szCs w:val="32"/>
        </w:rPr>
      </w:pPr>
    </w:p>
    <w:p>
      <w:pPr>
        <w:adjustRightInd/>
        <w:spacing w:line="420" w:lineRule="exact"/>
        <w:jc w:val="center"/>
        <w:rPr>
          <w:rFonts w:ascii="Calibri" w:hAnsi="Calibri" w:cs="Calibri"/>
          <w:b/>
          <w:sz w:val="32"/>
          <w:szCs w:val="32"/>
        </w:rPr>
      </w:pPr>
    </w:p>
    <w:p>
      <w:pPr>
        <w:adjustRightInd/>
        <w:spacing w:line="560" w:lineRule="exact"/>
        <w:ind w:firstLine="643" w:firstLineChars="200"/>
        <w:rPr>
          <w:rFonts w:ascii="Calibri" w:hAnsi="Calibri" w:cs="Calibri"/>
          <w:b/>
          <w:sz w:val="32"/>
          <w:szCs w:val="32"/>
        </w:rPr>
      </w:pPr>
      <w:r>
        <w:rPr>
          <w:rFonts w:ascii="Calibri" w:hAnsi="Calibri" w:cs="Calibri"/>
          <w:b/>
          <w:sz w:val="32"/>
          <w:szCs w:val="32"/>
        </w:rPr>
        <w:t>项目名称：</w:t>
      </w:r>
      <w:r>
        <w:rPr>
          <w:rFonts w:hint="eastAsia" w:ascii="Calibri" w:hAnsi="Calibri" w:cs="Calibri"/>
          <w:b/>
          <w:sz w:val="32"/>
          <w:szCs w:val="32"/>
        </w:rPr>
        <w:t>杭州市“空间智治”数字化平台建设（2024）耕地保护集成应用项目</w:t>
      </w:r>
    </w:p>
    <w:p>
      <w:pPr>
        <w:adjustRightInd/>
        <w:spacing w:line="560" w:lineRule="exact"/>
        <w:ind w:firstLine="643" w:firstLineChars="200"/>
        <w:rPr>
          <w:rFonts w:ascii="Calibri" w:hAnsi="Calibri" w:cs="Calibri"/>
          <w:b/>
          <w:sz w:val="32"/>
          <w:szCs w:val="32"/>
        </w:rPr>
      </w:pPr>
    </w:p>
    <w:p>
      <w:pPr>
        <w:adjustRightInd/>
        <w:spacing w:line="560" w:lineRule="exact"/>
        <w:ind w:firstLine="643" w:firstLineChars="200"/>
        <w:rPr>
          <w:rFonts w:ascii="Calibri" w:hAnsi="Calibri" w:cs="Calibri"/>
          <w:b/>
          <w:sz w:val="32"/>
          <w:szCs w:val="32"/>
        </w:rPr>
      </w:pPr>
    </w:p>
    <w:p>
      <w:pPr>
        <w:adjustRightInd/>
        <w:spacing w:line="560" w:lineRule="exact"/>
        <w:ind w:firstLine="643" w:firstLineChars="200"/>
        <w:rPr>
          <w:rFonts w:ascii="Calibri" w:hAnsi="Calibri" w:cs="Calibri"/>
          <w:b/>
          <w:sz w:val="32"/>
          <w:szCs w:val="32"/>
        </w:rPr>
      </w:pPr>
      <w:r>
        <w:rPr>
          <w:rFonts w:ascii="Calibri" w:hAnsi="Calibri" w:cs="Calibri"/>
          <w:b/>
          <w:sz w:val="32"/>
          <w:szCs w:val="32"/>
        </w:rPr>
        <w:t>委托方（甲方）：杭州市规划和自然资源局</w:t>
      </w:r>
    </w:p>
    <w:p>
      <w:pPr>
        <w:adjustRightInd/>
        <w:spacing w:line="560" w:lineRule="exact"/>
        <w:ind w:firstLine="643" w:firstLineChars="200"/>
        <w:rPr>
          <w:rFonts w:ascii="Calibri" w:hAnsi="Calibri" w:cs="Calibri"/>
          <w:b/>
          <w:sz w:val="32"/>
          <w:szCs w:val="32"/>
        </w:rPr>
      </w:pPr>
    </w:p>
    <w:p>
      <w:pPr>
        <w:adjustRightInd/>
        <w:spacing w:line="560" w:lineRule="exact"/>
        <w:ind w:firstLine="643" w:firstLineChars="200"/>
        <w:rPr>
          <w:rFonts w:ascii="Calibri" w:hAnsi="Calibri" w:cs="Calibri"/>
          <w:b/>
          <w:sz w:val="32"/>
          <w:szCs w:val="32"/>
        </w:rPr>
      </w:pPr>
    </w:p>
    <w:p>
      <w:pPr>
        <w:adjustRightInd/>
        <w:spacing w:line="560" w:lineRule="exact"/>
        <w:ind w:firstLine="643" w:firstLineChars="200"/>
        <w:rPr>
          <w:rFonts w:ascii="Calibri" w:hAnsi="Calibri" w:cs="Calibri"/>
          <w:b/>
          <w:sz w:val="32"/>
          <w:szCs w:val="32"/>
        </w:rPr>
      </w:pPr>
      <w:r>
        <w:rPr>
          <w:rFonts w:ascii="Calibri" w:hAnsi="Calibri" w:cs="Calibri"/>
          <w:b/>
          <w:sz w:val="32"/>
          <w:szCs w:val="32"/>
        </w:rPr>
        <w:t>受托方（乙方）：</w:t>
      </w:r>
    </w:p>
    <w:p>
      <w:pPr>
        <w:adjustRightInd/>
        <w:spacing w:line="560" w:lineRule="exact"/>
        <w:rPr>
          <w:rFonts w:ascii="Calibri" w:hAnsi="Calibri" w:cs="Calibri"/>
          <w:b/>
          <w:sz w:val="32"/>
          <w:szCs w:val="32"/>
        </w:rPr>
      </w:pPr>
    </w:p>
    <w:p>
      <w:pPr>
        <w:adjustRightInd/>
        <w:spacing w:line="560" w:lineRule="exact"/>
        <w:ind w:firstLine="1928" w:firstLineChars="600"/>
        <w:rPr>
          <w:rFonts w:ascii="Calibri" w:hAnsi="Calibri" w:cs="Calibri"/>
          <w:b/>
          <w:sz w:val="32"/>
          <w:szCs w:val="32"/>
        </w:rPr>
      </w:pPr>
      <w:r>
        <w:rPr>
          <w:rFonts w:ascii="Calibri" w:hAnsi="Calibri" w:cs="Calibri"/>
          <w:b/>
          <w:sz w:val="32"/>
          <w:szCs w:val="32"/>
        </w:rPr>
        <w:t>签订地点：浙江省杭州市</w:t>
      </w:r>
    </w:p>
    <w:p>
      <w:pPr>
        <w:adjustRightInd/>
        <w:spacing w:line="560" w:lineRule="exact"/>
        <w:ind w:firstLine="1928" w:firstLineChars="600"/>
        <w:rPr>
          <w:rFonts w:ascii="Calibri" w:hAnsi="Calibri" w:cs="Calibri"/>
          <w:b/>
          <w:sz w:val="32"/>
          <w:szCs w:val="32"/>
        </w:rPr>
        <w:sectPr>
          <w:pgSz w:w="11906" w:h="16838"/>
          <w:pgMar w:top="2098" w:right="1406" w:bottom="2098" w:left="1588" w:header="567" w:footer="567" w:gutter="0"/>
          <w:cols w:space="720" w:num="1"/>
          <w:docGrid w:linePitch="312" w:charSpace="0"/>
        </w:sectPr>
      </w:pPr>
      <w:r>
        <w:rPr>
          <w:rFonts w:ascii="Calibri" w:hAnsi="Calibri" w:cs="Calibri"/>
          <w:b/>
          <w:sz w:val="32"/>
          <w:szCs w:val="32"/>
        </w:rPr>
        <w:t>签订时间：</w:t>
      </w:r>
      <w:r>
        <w:rPr>
          <w:rFonts w:hint="eastAsia" w:ascii="Calibri" w:hAnsi="Calibri" w:cs="Calibri"/>
          <w:b/>
          <w:sz w:val="32"/>
          <w:szCs w:val="32"/>
        </w:rPr>
        <w:t>XX</w:t>
      </w:r>
      <w:r>
        <w:rPr>
          <w:rFonts w:ascii="Calibri" w:hAnsi="Calibri" w:cs="Calibri"/>
          <w:b/>
          <w:sz w:val="32"/>
          <w:szCs w:val="32"/>
        </w:rPr>
        <w:t>年</w:t>
      </w:r>
      <w:r>
        <w:rPr>
          <w:rFonts w:hint="eastAsia" w:ascii="Calibri" w:hAnsi="Calibri" w:cs="Calibri"/>
          <w:b/>
          <w:sz w:val="32"/>
          <w:szCs w:val="32"/>
        </w:rPr>
        <w:t>XX</w:t>
      </w:r>
      <w:r>
        <w:rPr>
          <w:rFonts w:ascii="Calibri" w:hAnsi="Calibri" w:cs="Calibri"/>
          <w:b/>
          <w:sz w:val="32"/>
          <w:szCs w:val="32"/>
        </w:rPr>
        <w:t>月</w:t>
      </w:r>
      <w:r>
        <w:rPr>
          <w:rFonts w:hint="eastAsia" w:ascii="Calibri" w:hAnsi="Calibri" w:cs="Calibri"/>
          <w:b/>
          <w:sz w:val="32"/>
          <w:szCs w:val="32"/>
        </w:rPr>
        <w:t>XX</w:t>
      </w:r>
      <w:r>
        <w:rPr>
          <w:rFonts w:ascii="Calibri" w:hAnsi="Calibri" w:cs="Calibri"/>
          <w:b/>
          <w:sz w:val="32"/>
          <w:szCs w:val="32"/>
        </w:rPr>
        <w:t>日</w:t>
      </w:r>
    </w:p>
    <w:p>
      <w:pPr>
        <w:adjustRightInd/>
        <w:spacing w:line="20" w:lineRule="exact"/>
        <w:ind w:firstLine="1928" w:firstLineChars="600"/>
        <w:rPr>
          <w:rFonts w:ascii="Calibri" w:hAnsi="Calibri" w:cs="Calibri"/>
          <w:b/>
          <w:sz w:val="32"/>
          <w:szCs w:val="32"/>
        </w:rPr>
      </w:pPr>
    </w:p>
    <w:p>
      <w:pPr>
        <w:adjustRightInd/>
        <w:spacing w:line="600" w:lineRule="exact"/>
        <w:jc w:val="center"/>
        <w:rPr>
          <w:rFonts w:ascii="Calibri" w:hAnsi="Calibri" w:eastAsia="方正小标宋_GBK" w:cs="仿宋_GB2312"/>
          <w:sz w:val="44"/>
          <w:szCs w:val="44"/>
        </w:rPr>
      </w:pPr>
      <w:r>
        <w:rPr>
          <w:rFonts w:ascii="Calibri" w:hAnsi="Calibri" w:eastAsia="方正小标宋_GBK" w:cs="仿宋_GB2312"/>
          <w:sz w:val="44"/>
          <w:szCs w:val="44"/>
        </w:rPr>
        <w:t>合同条款</w:t>
      </w:r>
    </w:p>
    <w:p>
      <w:pPr>
        <w:snapToGrid w:val="0"/>
        <w:spacing w:line="560" w:lineRule="exact"/>
        <w:ind w:firstLine="640" w:firstLineChars="200"/>
        <w:rPr>
          <w:rFonts w:ascii="Calibri" w:hAnsi="Calibri" w:eastAsia="仿宋_GB2312" w:cs="仿宋_GB2312"/>
          <w:sz w:val="32"/>
          <w:szCs w:val="32"/>
        </w:rPr>
      </w:pP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采购编号：</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合同编号：</w:t>
      </w:r>
    </w:p>
    <w:p>
      <w:pPr>
        <w:snapToGrid w:val="0"/>
        <w:spacing w:line="560" w:lineRule="exact"/>
        <w:ind w:firstLine="480" w:firstLineChars="200"/>
        <w:rPr>
          <w:rFonts w:cs="仿宋_GB2312" w:asciiTheme="minorEastAsia" w:hAnsiTheme="minorEastAsia" w:eastAsiaTheme="minorEastAsia"/>
          <w:sz w:val="24"/>
        </w:rPr>
      </w:pPr>
    </w:p>
    <w:p>
      <w:pPr>
        <w:snapToGrid w:val="0"/>
        <w:spacing w:line="560" w:lineRule="exact"/>
        <w:ind w:firstLine="480" w:firstLineChars="200"/>
        <w:rPr>
          <w:rFonts w:cs="仿宋_GB2312" w:asciiTheme="minorEastAsia" w:hAnsiTheme="minorEastAsia" w:eastAsiaTheme="minorEastAsia"/>
          <w:sz w:val="24"/>
          <w:u w:val="single"/>
        </w:rPr>
      </w:pPr>
      <w:r>
        <w:rPr>
          <w:rFonts w:cs="仿宋_GB2312" w:asciiTheme="minorEastAsia" w:hAnsiTheme="minorEastAsia" w:eastAsiaTheme="minorEastAsia"/>
          <w:sz w:val="24"/>
        </w:rPr>
        <w:t>甲方：杭州市规划和自然资源局</w:t>
      </w:r>
    </w:p>
    <w:p>
      <w:pPr>
        <w:snapToGrid w:val="0"/>
        <w:spacing w:line="560" w:lineRule="exact"/>
        <w:ind w:firstLine="480" w:firstLineChars="200"/>
        <w:rPr>
          <w:rFonts w:cs="仿宋_GB2312" w:asciiTheme="minorEastAsia" w:hAnsiTheme="minorEastAsia" w:eastAsiaTheme="minorEastAsia"/>
          <w:sz w:val="24"/>
        </w:rPr>
      </w:pP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乙方：</w:t>
      </w:r>
      <w:r>
        <w:rPr>
          <w:rFonts w:hint="eastAsia" w:cs="仿宋_GB2312" w:asciiTheme="minorEastAsia" w:hAnsiTheme="minorEastAsia" w:eastAsiaTheme="minorEastAsia"/>
          <w:sz w:val="24"/>
        </w:rPr>
        <w:t>XXXXXX</w:t>
      </w:r>
    </w:p>
    <w:p>
      <w:pPr>
        <w:snapToGrid w:val="0"/>
        <w:spacing w:line="560" w:lineRule="exact"/>
        <w:ind w:firstLine="480" w:firstLineChars="200"/>
        <w:rPr>
          <w:rFonts w:cs="仿宋_GB2312" w:asciiTheme="minorEastAsia" w:hAnsiTheme="minorEastAsia" w:eastAsiaTheme="minorEastAsia"/>
          <w:sz w:val="24"/>
        </w:rPr>
      </w:pP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甲方通过</w:t>
      </w:r>
      <w:r>
        <w:rPr>
          <w:rFonts w:cs="仿宋_GB2312" w:asciiTheme="minorEastAsia" w:hAnsiTheme="minorEastAsia" w:eastAsiaTheme="minorEastAsia"/>
          <w:i/>
          <w:sz w:val="24"/>
          <w:u w:val="single"/>
        </w:rPr>
        <w:t>(</w:t>
      </w:r>
      <w:r>
        <w:rPr>
          <w:rFonts w:hint="eastAsia" w:cs="仿宋_GB2312" w:asciiTheme="minorEastAsia" w:hAnsiTheme="minorEastAsia" w:eastAsiaTheme="minorEastAsia"/>
          <w:i/>
          <w:sz w:val="24"/>
          <w:u w:val="single"/>
        </w:rPr>
        <w:t>政府采购方式</w:t>
      </w:r>
      <w:r>
        <w:rPr>
          <w:rFonts w:cs="仿宋_GB2312" w:asciiTheme="minorEastAsia" w:hAnsiTheme="minorEastAsia" w:eastAsiaTheme="minorEastAsia"/>
          <w:i/>
          <w:sz w:val="24"/>
          <w:u w:val="single"/>
        </w:rPr>
        <w:t>)</w:t>
      </w:r>
      <w:r>
        <w:rPr>
          <w:rFonts w:cs="仿宋_GB2312" w:asciiTheme="minorEastAsia" w:hAnsiTheme="minorEastAsia" w:eastAsiaTheme="minorEastAsia"/>
          <w:sz w:val="24"/>
        </w:rPr>
        <w:t>方式，向乙方采购关于</w:t>
      </w:r>
      <w:r>
        <w:rPr>
          <w:rFonts w:cs="Calibri" w:asciiTheme="minorEastAsia" w:hAnsiTheme="minorEastAsia" w:eastAsiaTheme="minorEastAsia"/>
          <w:i/>
          <w:sz w:val="24"/>
          <w:u w:val="single"/>
        </w:rPr>
        <w:t>《</w:t>
      </w:r>
      <w:r>
        <w:rPr>
          <w:rFonts w:hint="eastAsia" w:cs="Calibri" w:asciiTheme="minorEastAsia" w:hAnsiTheme="minorEastAsia" w:eastAsiaTheme="minorEastAsia"/>
          <w:i/>
          <w:sz w:val="24"/>
          <w:u w:val="single"/>
        </w:rPr>
        <w:t>杭州市“空间智治”数字化平台建设（2024）耕地保护集成应用项目</w:t>
      </w:r>
      <w:r>
        <w:rPr>
          <w:rFonts w:cs="Calibri" w:asciiTheme="minorEastAsia" w:hAnsiTheme="minorEastAsia" w:eastAsiaTheme="minorEastAsia"/>
          <w:i/>
          <w:sz w:val="24"/>
          <w:u w:val="single"/>
        </w:rPr>
        <w:t>》</w:t>
      </w:r>
      <w:r>
        <w:rPr>
          <w:rFonts w:cs="仿宋_GB2312" w:asciiTheme="minorEastAsia" w:hAnsiTheme="minorEastAsia" w:eastAsiaTheme="minorEastAsia"/>
          <w:sz w:val="24"/>
        </w:rPr>
        <w:t>的相关服务，为明确双方权利义务，依据《中华人民共和国</w:t>
      </w:r>
      <w:r>
        <w:rPr>
          <w:rFonts w:hint="eastAsia" w:cs="仿宋_GB2312" w:asciiTheme="minorEastAsia" w:hAnsiTheme="minorEastAsia" w:eastAsiaTheme="minorEastAsia"/>
          <w:sz w:val="24"/>
        </w:rPr>
        <w:t>民法典</w:t>
      </w:r>
      <w:r>
        <w:rPr>
          <w:rFonts w:cs="仿宋_GB2312" w:asciiTheme="minorEastAsia" w:hAnsiTheme="minorEastAsia" w:eastAsiaTheme="minorEastAsia"/>
          <w:sz w:val="24"/>
        </w:rPr>
        <w:t>》等有关法律规定，经甲、乙双方友好协商，签订本合同并遵照执行。</w:t>
      </w:r>
    </w:p>
    <w:p>
      <w:pPr>
        <w:snapToGrid w:val="0"/>
        <w:spacing w:line="560" w:lineRule="exact"/>
        <w:ind w:firstLine="482" w:firstLineChars="200"/>
        <w:rPr>
          <w:rFonts w:cs="Calibri" w:asciiTheme="minorEastAsia" w:hAnsiTheme="minorEastAsia" w:eastAsiaTheme="minorEastAsia"/>
          <w:b/>
          <w:sz w:val="24"/>
        </w:rPr>
      </w:pPr>
      <w:r>
        <w:rPr>
          <w:rFonts w:cs="Calibri" w:asciiTheme="minorEastAsia" w:hAnsiTheme="minorEastAsia" w:eastAsiaTheme="minorEastAsia"/>
          <w:b/>
          <w:sz w:val="24"/>
        </w:rPr>
        <w:t>1、定义</w:t>
      </w:r>
    </w:p>
    <w:p>
      <w:pPr>
        <w:snapToGrid w:val="0"/>
        <w:spacing w:line="560" w:lineRule="exact"/>
        <w:ind w:firstLine="480" w:firstLineChars="200"/>
        <w:rPr>
          <w:rFonts w:cs="宋体" w:asciiTheme="minorEastAsia" w:hAnsiTheme="minorEastAsia" w:eastAsiaTheme="minorEastAsia"/>
          <w:sz w:val="24"/>
        </w:rPr>
      </w:pPr>
      <w:r>
        <w:rPr>
          <w:rFonts w:cs="宋体" w:asciiTheme="minorEastAsia" w:hAnsiTheme="minorEastAsia" w:eastAsiaTheme="minorEastAsia"/>
          <w:sz w:val="24"/>
        </w:rPr>
        <w:t>在本合同中，除非上下文另有说明，下列词语分别具有本条所指含义：</w:t>
      </w:r>
    </w:p>
    <w:p>
      <w:pPr>
        <w:snapToGrid w:val="0"/>
        <w:spacing w:line="560" w:lineRule="exact"/>
        <w:ind w:firstLine="480" w:firstLineChars="200"/>
        <w:rPr>
          <w:rFonts w:cs="宋体" w:asciiTheme="minorEastAsia" w:hAnsiTheme="minorEastAsia" w:eastAsiaTheme="minorEastAsia"/>
          <w:sz w:val="24"/>
        </w:rPr>
      </w:pPr>
      <w:r>
        <w:rPr>
          <w:rFonts w:cs="宋体" w:asciiTheme="minorEastAsia" w:hAnsiTheme="minorEastAsia" w:eastAsiaTheme="minorEastAsia"/>
          <w:sz w:val="24"/>
        </w:rPr>
        <w:t xml:space="preserve">1.1 </w:t>
      </w:r>
      <w:r>
        <w:rPr>
          <w:rFonts w:hint="eastAsia" w:cs="宋体" w:asciiTheme="minorEastAsia" w:hAnsiTheme="minorEastAsia" w:eastAsiaTheme="minorEastAsia"/>
          <w:sz w:val="24"/>
        </w:rPr>
        <w:t>“</w:t>
      </w:r>
      <w:r>
        <w:rPr>
          <w:rFonts w:cs="宋体" w:asciiTheme="minorEastAsia" w:hAnsiTheme="minorEastAsia" w:eastAsiaTheme="minorEastAsia"/>
          <w:sz w:val="24"/>
        </w:rPr>
        <w:t>工作日</w:t>
      </w:r>
      <w:r>
        <w:rPr>
          <w:rFonts w:hint="eastAsia" w:cs="宋体" w:asciiTheme="minorEastAsia" w:hAnsiTheme="minorEastAsia" w:eastAsiaTheme="minorEastAsia"/>
          <w:sz w:val="24"/>
        </w:rPr>
        <w:t>”</w:t>
      </w:r>
      <w:r>
        <w:rPr>
          <w:rFonts w:cs="宋体" w:asciiTheme="minorEastAsia" w:hAnsiTheme="minorEastAsia" w:eastAsiaTheme="minorEastAsia"/>
          <w:sz w:val="24"/>
        </w:rPr>
        <w:t>，指中国法定节假日之外的日期。</w:t>
      </w:r>
    </w:p>
    <w:p>
      <w:pPr>
        <w:snapToGrid w:val="0"/>
        <w:spacing w:line="560" w:lineRule="exact"/>
        <w:ind w:firstLine="480" w:firstLineChars="200"/>
        <w:rPr>
          <w:rFonts w:cs="宋体" w:asciiTheme="minorEastAsia" w:hAnsiTheme="minorEastAsia" w:eastAsiaTheme="minorEastAsia"/>
          <w:sz w:val="24"/>
        </w:rPr>
      </w:pPr>
      <w:r>
        <w:rPr>
          <w:rFonts w:cs="宋体" w:asciiTheme="minorEastAsia" w:hAnsiTheme="minorEastAsia" w:eastAsiaTheme="minorEastAsia"/>
          <w:sz w:val="24"/>
        </w:rPr>
        <w:t>1.2</w:t>
      </w:r>
      <w:r>
        <w:rPr>
          <w:rFonts w:hint="eastAsia" w:cs="宋体" w:asciiTheme="minorEastAsia" w:hAnsiTheme="minorEastAsia" w:eastAsiaTheme="minorEastAsia"/>
          <w:sz w:val="24"/>
        </w:rPr>
        <w:t xml:space="preserve"> “</w:t>
      </w:r>
      <w:r>
        <w:rPr>
          <w:rFonts w:cs="宋体" w:asciiTheme="minorEastAsia" w:hAnsiTheme="minorEastAsia" w:eastAsiaTheme="minorEastAsia"/>
          <w:sz w:val="24"/>
        </w:rPr>
        <w:t>年</w:t>
      </w:r>
      <w:r>
        <w:rPr>
          <w:rFonts w:hint="eastAsia" w:cs="宋体" w:asciiTheme="minorEastAsia" w:hAnsiTheme="minorEastAsia" w:eastAsiaTheme="minorEastAsia"/>
          <w:sz w:val="24"/>
        </w:rPr>
        <w:t>”</w:t>
      </w:r>
      <w:r>
        <w:rPr>
          <w:rFonts w:cs="宋体" w:asciiTheme="minorEastAsia" w:hAnsiTheme="minorEastAsia" w:eastAsiaTheme="minorEastAsia"/>
          <w:sz w:val="24"/>
        </w:rPr>
        <w:t>，指日历年；一年按365天计算。</w:t>
      </w:r>
    </w:p>
    <w:p>
      <w:pPr>
        <w:snapToGrid w:val="0"/>
        <w:spacing w:line="560" w:lineRule="exact"/>
        <w:ind w:firstLine="480" w:firstLineChars="200"/>
        <w:rPr>
          <w:rFonts w:cs="仿宋_GB2312" w:asciiTheme="minorEastAsia" w:hAnsiTheme="minorEastAsia" w:eastAsiaTheme="minorEastAsia"/>
          <w:sz w:val="24"/>
        </w:rPr>
      </w:pPr>
      <w:r>
        <w:rPr>
          <w:rFonts w:cs="宋体" w:asciiTheme="minorEastAsia" w:hAnsiTheme="minorEastAsia" w:eastAsiaTheme="minorEastAsia"/>
          <w:sz w:val="24"/>
        </w:rPr>
        <w:t>1.3</w:t>
      </w:r>
      <w:r>
        <w:rPr>
          <w:rFonts w:hint="eastAsia" w:cs="宋体" w:asciiTheme="minorEastAsia" w:hAnsiTheme="minorEastAsia" w:eastAsiaTheme="minorEastAsia"/>
          <w:sz w:val="24"/>
        </w:rPr>
        <w:t xml:space="preserve"> “</w:t>
      </w:r>
      <w:r>
        <w:rPr>
          <w:rFonts w:cs="宋体" w:asciiTheme="minorEastAsia" w:hAnsiTheme="minorEastAsia" w:eastAsiaTheme="minorEastAsia"/>
          <w:sz w:val="24"/>
        </w:rPr>
        <w:t>元</w:t>
      </w:r>
      <w:r>
        <w:rPr>
          <w:rFonts w:hint="eastAsia" w:cs="宋体" w:asciiTheme="minorEastAsia" w:hAnsiTheme="minorEastAsia" w:eastAsiaTheme="minorEastAsia"/>
          <w:sz w:val="24"/>
        </w:rPr>
        <w:t>”</w:t>
      </w:r>
      <w:r>
        <w:rPr>
          <w:rFonts w:cs="宋体" w:asciiTheme="minorEastAsia" w:hAnsiTheme="minorEastAsia" w:eastAsiaTheme="minorEastAsia"/>
          <w:sz w:val="24"/>
        </w:rPr>
        <w:t>，指中国法定货币人民币元。</w:t>
      </w:r>
    </w:p>
    <w:p>
      <w:pPr>
        <w:snapToGrid w:val="0"/>
        <w:spacing w:line="560" w:lineRule="exact"/>
        <w:ind w:firstLine="482" w:firstLineChars="200"/>
        <w:rPr>
          <w:rFonts w:cs="仿宋_GB2312" w:asciiTheme="minorEastAsia" w:hAnsiTheme="minorEastAsia" w:eastAsiaTheme="minorEastAsia"/>
          <w:sz w:val="24"/>
        </w:rPr>
      </w:pPr>
      <w:r>
        <w:rPr>
          <w:rFonts w:cs="仿宋_GB2312" w:asciiTheme="minorEastAsia" w:hAnsiTheme="minorEastAsia" w:eastAsiaTheme="minorEastAsia"/>
          <w:b/>
          <w:sz w:val="24"/>
        </w:rPr>
        <w:t xml:space="preserve">2、服务内容与期限 </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2.1服务内容</w:t>
      </w:r>
    </w:p>
    <w:p>
      <w:pPr>
        <w:snapToGrid w:val="0"/>
        <w:spacing w:line="560" w:lineRule="exact"/>
        <w:ind w:firstLine="480" w:firstLineChars="200"/>
        <w:rPr>
          <w:rFonts w:cs="仿宋_GB2312" w:asciiTheme="minorEastAsia" w:hAnsiTheme="minorEastAsia" w:eastAsiaTheme="minorEastAsia"/>
          <w:i/>
          <w:sz w:val="24"/>
          <w:u w:val="single"/>
        </w:rPr>
      </w:pPr>
      <w:r>
        <w:rPr>
          <w:rFonts w:cs="仿宋_GB2312" w:asciiTheme="minorEastAsia" w:hAnsiTheme="minorEastAsia" w:eastAsiaTheme="minorEastAsia"/>
          <w:i/>
          <w:sz w:val="24"/>
          <w:u w:val="single"/>
        </w:rPr>
        <w:t>服务具体内容</w:t>
      </w:r>
      <w:r>
        <w:rPr>
          <w:rFonts w:hint="eastAsia" w:cs="仿宋_GB2312" w:asciiTheme="minorEastAsia" w:hAnsiTheme="minorEastAsia" w:eastAsiaTheme="minorEastAsia"/>
          <w:i/>
          <w:sz w:val="24"/>
          <w:u w:val="single"/>
        </w:rPr>
        <w:t>（主要包括服务目标、主要内容、技术要求和成果要求）</w:t>
      </w:r>
      <w:r>
        <w:rPr>
          <w:rFonts w:cs="仿宋_GB2312" w:asciiTheme="minorEastAsia" w:hAnsiTheme="minorEastAsia" w:eastAsiaTheme="minorEastAsia"/>
          <w:i/>
          <w:sz w:val="24"/>
          <w:u w:val="single"/>
        </w:rPr>
        <w:t>。</w:t>
      </w:r>
    </w:p>
    <w:p>
      <w:pPr>
        <w:snapToGrid w:val="0"/>
        <w:spacing w:line="560" w:lineRule="exact"/>
        <w:ind w:firstLine="480" w:firstLineChars="200"/>
        <w:rPr>
          <w:rFonts w:cs="仿宋_GB2312" w:asciiTheme="minorEastAsia" w:hAnsiTheme="minorEastAsia" w:eastAsiaTheme="minorEastAsia"/>
          <w:bCs/>
          <w:sz w:val="24"/>
        </w:rPr>
      </w:pPr>
      <w:r>
        <w:rPr>
          <w:rFonts w:cs="仿宋_GB2312" w:asciiTheme="minorEastAsia" w:hAnsiTheme="minorEastAsia" w:eastAsiaTheme="minorEastAsia"/>
          <w:bCs/>
          <w:sz w:val="24"/>
        </w:rPr>
        <w:t>2.2服务期限：自本合同生效之日起至</w:t>
      </w:r>
      <w:r>
        <w:rPr>
          <w:rFonts w:hint="eastAsia" w:cs="仿宋_GB2312" w:asciiTheme="minorEastAsia" w:hAnsiTheme="minorEastAsia" w:eastAsiaTheme="minorEastAsia"/>
          <w:bCs/>
          <w:i/>
          <w:sz w:val="24"/>
          <w:u w:val="single"/>
        </w:rPr>
        <w:t>XXXXXX</w:t>
      </w:r>
    </w:p>
    <w:p>
      <w:pPr>
        <w:tabs>
          <w:tab w:val="left" w:pos="567"/>
        </w:tabs>
        <w:snapToGrid w:val="0"/>
        <w:spacing w:line="560" w:lineRule="exact"/>
        <w:ind w:firstLine="482" w:firstLineChars="200"/>
        <w:rPr>
          <w:rFonts w:cs="仿宋_GB2312" w:asciiTheme="minorEastAsia" w:hAnsiTheme="minorEastAsia" w:eastAsiaTheme="minorEastAsia"/>
          <w:b/>
          <w:sz w:val="24"/>
        </w:rPr>
      </w:pPr>
      <w:r>
        <w:rPr>
          <w:rFonts w:cs="仿宋_GB2312" w:asciiTheme="minorEastAsia" w:hAnsiTheme="minorEastAsia" w:eastAsiaTheme="minorEastAsia"/>
          <w:b/>
          <w:sz w:val="24"/>
        </w:rPr>
        <w:t>3、合同</w:t>
      </w:r>
      <w:r>
        <w:rPr>
          <w:rFonts w:hint="eastAsia" w:cs="仿宋_GB2312" w:asciiTheme="minorEastAsia" w:hAnsiTheme="minorEastAsia" w:eastAsiaTheme="minorEastAsia"/>
          <w:b/>
          <w:sz w:val="24"/>
        </w:rPr>
        <w:t>价款</w:t>
      </w:r>
      <w:r>
        <w:rPr>
          <w:rFonts w:cs="仿宋_GB2312" w:asciiTheme="minorEastAsia" w:hAnsiTheme="minorEastAsia" w:eastAsiaTheme="minorEastAsia"/>
          <w:b/>
          <w:sz w:val="24"/>
        </w:rPr>
        <w:t xml:space="preserve">： </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3.1 合同总金额为人民币（大写）:元整（￥元）。</w:t>
      </w:r>
    </w:p>
    <w:p>
      <w:pPr>
        <w:tabs>
          <w:tab w:val="left" w:pos="567"/>
        </w:tabs>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3.2 本合同项下的费用为固定总价，</w:t>
      </w:r>
      <w:r>
        <w:rPr>
          <w:rFonts w:hint="eastAsia" w:cs="仿宋_GB2312" w:asciiTheme="minorEastAsia" w:hAnsiTheme="minorEastAsia" w:eastAsiaTheme="minorEastAsia"/>
          <w:sz w:val="24"/>
        </w:rPr>
        <w:t>含一切税、费。</w:t>
      </w:r>
      <w:r>
        <w:rPr>
          <w:rFonts w:cs="仿宋_GB2312" w:asciiTheme="minorEastAsia" w:hAnsiTheme="minorEastAsia" w:eastAsiaTheme="minorEastAsia"/>
          <w:sz w:val="24"/>
        </w:rPr>
        <w:t>除双方另有约定，甲方不再向乙方支付其它任何费用。</w:t>
      </w:r>
    </w:p>
    <w:p>
      <w:pPr>
        <w:tabs>
          <w:tab w:val="left" w:pos="567"/>
        </w:tabs>
        <w:snapToGrid w:val="0"/>
        <w:spacing w:line="560" w:lineRule="exact"/>
        <w:ind w:firstLine="480" w:firstLineChars="200"/>
        <w:rPr>
          <w:rFonts w:cs="仿宋_GB2312" w:asciiTheme="minorEastAsia" w:hAnsiTheme="minorEastAsia" w:eastAsiaTheme="minorEastAsia"/>
          <w:bCs/>
          <w:sz w:val="24"/>
        </w:rPr>
      </w:pPr>
      <w:r>
        <w:rPr>
          <w:rFonts w:cs="仿宋_GB2312" w:asciiTheme="minorEastAsia" w:hAnsiTheme="minorEastAsia" w:eastAsiaTheme="minorEastAsia"/>
          <w:bCs/>
          <w:sz w:val="24"/>
        </w:rPr>
        <w:t>3.3</w:t>
      </w:r>
      <w:r>
        <w:rPr>
          <w:rFonts w:hint="eastAsia" w:cs="仿宋_GB2312" w:asciiTheme="minorEastAsia" w:hAnsiTheme="minorEastAsia" w:eastAsiaTheme="minorEastAsia"/>
          <w:bCs/>
          <w:sz w:val="24"/>
        </w:rPr>
        <w:t>履约</w:t>
      </w:r>
      <w:r>
        <w:rPr>
          <w:rFonts w:cs="仿宋_GB2312" w:asciiTheme="minorEastAsia" w:hAnsiTheme="minorEastAsia" w:eastAsiaTheme="minorEastAsia"/>
          <w:bCs/>
          <w:sz w:val="24"/>
        </w:rPr>
        <w:t>保证金</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合同签订</w:t>
      </w:r>
      <w:r>
        <w:rPr>
          <w:rFonts w:cs="仿宋_GB2312" w:asciiTheme="minorEastAsia" w:hAnsiTheme="minorEastAsia" w:eastAsiaTheme="minorEastAsia"/>
          <w:sz w:val="24"/>
        </w:rPr>
        <w:t>生效后</w:t>
      </w:r>
      <w:r>
        <w:rPr>
          <w:rFonts w:hint="eastAsia" w:cs="仿宋_GB2312" w:asciiTheme="minorEastAsia" w:hAnsiTheme="minorEastAsia" w:eastAsiaTheme="minorEastAsia"/>
          <w:sz w:val="24"/>
          <w:u w:val="single"/>
        </w:rPr>
        <w:t>5个</w:t>
      </w:r>
      <w:r>
        <w:rPr>
          <w:rFonts w:cs="仿宋_GB2312" w:asciiTheme="minorEastAsia" w:hAnsiTheme="minorEastAsia" w:eastAsiaTheme="minorEastAsia"/>
          <w:sz w:val="24"/>
          <w:u w:val="single"/>
        </w:rPr>
        <w:t>工作日</w:t>
      </w:r>
      <w:r>
        <w:rPr>
          <w:rFonts w:cs="仿宋_GB2312" w:asciiTheme="minorEastAsia" w:hAnsiTheme="minorEastAsia" w:eastAsiaTheme="minorEastAsia"/>
          <w:sz w:val="24"/>
        </w:rPr>
        <w:t>内，乙方</w:t>
      </w:r>
      <w:r>
        <w:rPr>
          <w:rFonts w:hint="eastAsia" w:cs="仿宋_GB2312" w:asciiTheme="minorEastAsia" w:hAnsiTheme="minorEastAsia" w:eastAsiaTheme="minorEastAsia"/>
          <w:sz w:val="24"/>
        </w:rPr>
        <w:t>应</w:t>
      </w:r>
      <w:r>
        <w:rPr>
          <w:rFonts w:cs="仿宋_GB2312" w:asciiTheme="minorEastAsia" w:hAnsiTheme="minorEastAsia" w:eastAsiaTheme="minorEastAsia"/>
          <w:sz w:val="24"/>
        </w:rPr>
        <w:t>向甲方缴纳</w:t>
      </w:r>
      <w:r>
        <w:rPr>
          <w:rFonts w:hint="eastAsia" w:cs="仿宋_GB2312" w:asciiTheme="minorEastAsia" w:hAnsiTheme="minorEastAsia" w:eastAsiaTheme="minorEastAsia"/>
          <w:sz w:val="24"/>
        </w:rPr>
        <w:t>履约</w:t>
      </w:r>
      <w:r>
        <w:rPr>
          <w:rFonts w:cs="仿宋_GB2312" w:asciiTheme="minorEastAsia" w:hAnsiTheme="minorEastAsia" w:eastAsiaTheme="minorEastAsia"/>
          <w:sz w:val="24"/>
        </w:rPr>
        <w:t>保证金</w:t>
      </w:r>
      <w:r>
        <w:rPr>
          <w:rFonts w:hint="eastAsia" w:cs="仿宋_GB2312" w:asciiTheme="minorEastAsia" w:hAnsiTheme="minorEastAsia" w:eastAsiaTheme="minorEastAsia"/>
          <w:sz w:val="24"/>
          <w:u w:val="single"/>
        </w:rPr>
        <w:t xml:space="preserve">    元[￥    元</w:t>
      </w:r>
      <w:r>
        <w:rPr>
          <w:rFonts w:hint="eastAsia" w:cs="仿宋_GB2312" w:asciiTheme="minorEastAsia" w:hAnsiTheme="minorEastAsia" w:eastAsiaTheme="minorEastAsia"/>
          <w:sz w:val="24"/>
        </w:rPr>
        <w:t>（不超过合同总价的1%）]</w:t>
      </w:r>
      <w:r>
        <w:rPr>
          <w:rFonts w:cs="仿宋_GB2312" w:asciiTheme="minorEastAsia" w:hAnsiTheme="minorEastAsia" w:eastAsiaTheme="minorEastAsia"/>
          <w:sz w:val="24"/>
        </w:rPr>
        <w:t xml:space="preserve"> 。乙方应以支票、汇票、本票或者金融机构、担保机构出具的保函等非现金形式提交</w:t>
      </w:r>
      <w:r>
        <w:rPr>
          <w:rFonts w:hint="eastAsia" w:cs="仿宋_GB2312" w:asciiTheme="minorEastAsia" w:hAnsiTheme="minorEastAsia" w:eastAsiaTheme="minorEastAsia"/>
          <w:sz w:val="24"/>
        </w:rPr>
        <w:t>。</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如果乙方不履行合同，履约</w:t>
      </w:r>
      <w:r>
        <w:rPr>
          <w:rFonts w:cs="仿宋_GB2312" w:asciiTheme="minorEastAsia" w:hAnsiTheme="minorEastAsia" w:eastAsiaTheme="minorEastAsia"/>
          <w:sz w:val="24"/>
        </w:rPr>
        <w:t>保证金</w:t>
      </w:r>
      <w:r>
        <w:rPr>
          <w:rFonts w:hint="eastAsia" w:cs="仿宋_GB2312" w:asciiTheme="minorEastAsia" w:hAnsiTheme="minorEastAsia" w:eastAsiaTheme="minorEastAsia"/>
          <w:sz w:val="24"/>
        </w:rPr>
        <w:t>不予退还；如果乙方未能按合同约定全面履行义务，那么甲方有权从履约保证金中取得补偿或赔偿，同时不影响甲方要求乙方承担合同约定的超过履约</w:t>
      </w:r>
      <w:r>
        <w:rPr>
          <w:rFonts w:cs="仿宋_GB2312" w:asciiTheme="minorEastAsia" w:hAnsiTheme="minorEastAsia" w:eastAsiaTheme="minorEastAsia"/>
          <w:sz w:val="24"/>
        </w:rPr>
        <w:t>保证金</w:t>
      </w:r>
      <w:r>
        <w:rPr>
          <w:rFonts w:hint="eastAsia" w:cs="仿宋_GB2312" w:asciiTheme="minorEastAsia" w:hAnsiTheme="minorEastAsia" w:eastAsiaTheme="minorEastAsia"/>
          <w:sz w:val="24"/>
        </w:rPr>
        <w:t>的违约责任的权利。</w:t>
      </w:r>
    </w:p>
    <w:p>
      <w:pPr>
        <w:adjustRightInd/>
        <w:spacing w:line="560" w:lineRule="exact"/>
        <w:ind w:firstLine="480" w:firstLineChars="200"/>
        <w:rPr>
          <w:rFonts w:cs="Calibri" w:asciiTheme="minorEastAsia" w:hAnsiTheme="minorEastAsia" w:eastAsiaTheme="minorEastAsia"/>
          <w:sz w:val="24"/>
        </w:rPr>
      </w:pPr>
      <w:r>
        <w:rPr>
          <w:rFonts w:hint="eastAsia" w:cs="仿宋_GB2312" w:asciiTheme="minorEastAsia" w:hAnsiTheme="minorEastAsia" w:eastAsiaTheme="minorEastAsia"/>
          <w:sz w:val="24"/>
        </w:rPr>
        <w:t>履约</w:t>
      </w:r>
      <w:r>
        <w:rPr>
          <w:rFonts w:cs="仿宋_GB2312" w:asciiTheme="minorEastAsia" w:hAnsiTheme="minorEastAsia" w:eastAsiaTheme="minorEastAsia"/>
          <w:sz w:val="24"/>
        </w:rPr>
        <w:t>保证金</w:t>
      </w:r>
      <w:r>
        <w:rPr>
          <w:rFonts w:hint="eastAsia" w:cs="仿宋_GB2312" w:asciiTheme="minorEastAsia" w:hAnsiTheme="minorEastAsia" w:eastAsiaTheme="minorEastAsia"/>
          <w:sz w:val="24"/>
        </w:rPr>
        <w:t>自项目通过验收</w:t>
      </w:r>
      <w:r>
        <w:rPr>
          <w:rFonts w:cs="仿宋_GB2312" w:asciiTheme="minorEastAsia" w:hAnsiTheme="minorEastAsia" w:eastAsiaTheme="minorEastAsia"/>
          <w:sz w:val="24"/>
        </w:rPr>
        <w:t>且</w:t>
      </w:r>
      <w:r>
        <w:rPr>
          <w:rFonts w:hint="eastAsia" w:cs="仿宋_GB2312" w:asciiTheme="minorEastAsia" w:hAnsiTheme="minorEastAsia" w:eastAsiaTheme="minorEastAsia"/>
          <w:sz w:val="24"/>
        </w:rPr>
        <w:t>服务期满</w:t>
      </w:r>
      <w:r>
        <w:rPr>
          <w:rFonts w:cs="仿宋_GB2312" w:asciiTheme="minorEastAsia" w:hAnsiTheme="minorEastAsia" w:eastAsiaTheme="minorEastAsia"/>
          <w:sz w:val="24"/>
        </w:rPr>
        <w:t>乙方无任何违约行为、乙方无任何应付款项后</w:t>
      </w:r>
      <w:r>
        <w:rPr>
          <w:rFonts w:cs="仿宋_GB2312" w:asciiTheme="minorEastAsia" w:hAnsiTheme="minorEastAsia" w:eastAsiaTheme="minorEastAsia"/>
          <w:sz w:val="24"/>
          <w:u w:val="single"/>
        </w:rPr>
        <w:t>7</w:t>
      </w:r>
      <w:r>
        <w:rPr>
          <w:rFonts w:hint="eastAsia" w:cs="仿宋_GB2312" w:asciiTheme="minorEastAsia" w:hAnsiTheme="minorEastAsia" w:eastAsiaTheme="minorEastAsia"/>
          <w:sz w:val="24"/>
          <w:u w:val="single"/>
        </w:rPr>
        <w:t>个工作</w:t>
      </w:r>
      <w:r>
        <w:rPr>
          <w:rFonts w:cs="仿宋_GB2312" w:asciiTheme="minorEastAsia" w:hAnsiTheme="minorEastAsia" w:eastAsiaTheme="minorEastAsia"/>
          <w:sz w:val="24"/>
          <w:u w:val="single"/>
        </w:rPr>
        <w:t>日</w:t>
      </w:r>
      <w:r>
        <w:rPr>
          <w:rFonts w:cs="仿宋_GB2312" w:asciiTheme="minorEastAsia" w:hAnsiTheme="minorEastAsia" w:eastAsiaTheme="minorEastAsia"/>
          <w:sz w:val="24"/>
        </w:rPr>
        <w:t>内无息退还给乙方。</w:t>
      </w:r>
    </w:p>
    <w:p>
      <w:pPr>
        <w:tabs>
          <w:tab w:val="left" w:pos="567"/>
        </w:tabs>
        <w:snapToGrid w:val="0"/>
        <w:spacing w:line="560" w:lineRule="exact"/>
        <w:ind w:firstLine="482" w:firstLineChars="200"/>
        <w:rPr>
          <w:rFonts w:cs="仿宋_GB2312" w:asciiTheme="minorEastAsia" w:hAnsiTheme="minorEastAsia" w:eastAsiaTheme="minorEastAsia"/>
          <w:b/>
          <w:sz w:val="24"/>
        </w:rPr>
      </w:pPr>
      <w:r>
        <w:rPr>
          <w:rFonts w:hint="eastAsia" w:cs="仿宋_GB2312" w:asciiTheme="minorEastAsia" w:hAnsiTheme="minorEastAsia" w:eastAsiaTheme="minorEastAsia"/>
          <w:b/>
          <w:sz w:val="24"/>
        </w:rPr>
        <w:t>4</w:t>
      </w:r>
      <w:r>
        <w:rPr>
          <w:rFonts w:cs="仿宋_GB2312" w:asciiTheme="minorEastAsia" w:hAnsiTheme="minorEastAsia" w:eastAsiaTheme="minorEastAsia"/>
          <w:b/>
          <w:sz w:val="24"/>
        </w:rPr>
        <w:t>、付款方式</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4</w:t>
      </w:r>
      <w:r>
        <w:rPr>
          <w:rFonts w:cs="仿宋_GB2312" w:asciiTheme="minorEastAsia" w:hAnsiTheme="minorEastAsia" w:eastAsiaTheme="minorEastAsia"/>
          <w:sz w:val="24"/>
        </w:rPr>
        <w:t>.1本合同项下的合同价款总金额分【</w:t>
      </w:r>
      <w:r>
        <w:rPr>
          <w:rFonts w:hint="eastAsia" w:cs="仿宋_GB2312" w:asciiTheme="minorEastAsia" w:hAnsiTheme="minorEastAsia" w:eastAsiaTheme="minorEastAsia"/>
          <w:sz w:val="24"/>
          <w:u w:val="single"/>
        </w:rPr>
        <w:t>四</w:t>
      </w:r>
      <w:r>
        <w:rPr>
          <w:rFonts w:cs="仿宋_GB2312" w:asciiTheme="minorEastAsia" w:hAnsiTheme="minorEastAsia" w:eastAsiaTheme="minorEastAsia"/>
          <w:sz w:val="24"/>
        </w:rPr>
        <w:t>】期支付：</w:t>
      </w:r>
    </w:p>
    <w:p>
      <w:pPr>
        <w:snapToGrid w:val="0"/>
        <w:spacing w:line="560" w:lineRule="exact"/>
        <w:ind w:firstLine="480" w:firstLineChars="200"/>
        <w:rPr>
          <w:rFonts w:ascii="宋体" w:hAnsi="宋体" w:cs="宋体"/>
          <w:kern w:val="0"/>
          <w:sz w:val="24"/>
          <w:lang w:val="zh-CN"/>
        </w:rPr>
      </w:pPr>
      <w:r>
        <w:rPr>
          <w:rFonts w:cs="仿宋_GB2312" w:asciiTheme="minorEastAsia" w:hAnsiTheme="minorEastAsia" w:eastAsiaTheme="minorEastAsia"/>
          <w:sz w:val="24"/>
        </w:rPr>
        <w:t>（1）</w:t>
      </w:r>
      <w:r>
        <w:rPr>
          <w:rFonts w:hint="eastAsia" w:ascii="宋体" w:hAnsi="宋体" w:cs="宋体"/>
          <w:kern w:val="0"/>
          <w:sz w:val="24"/>
          <w:lang w:val="zh-CN"/>
        </w:rPr>
        <w:t>合同签订后甲方自收到发票后</w:t>
      </w:r>
      <w:r>
        <w:rPr>
          <w:rFonts w:hint="eastAsia" w:ascii="宋体" w:hAnsi="宋体" w:cs="宋体"/>
          <w:kern w:val="0"/>
          <w:sz w:val="24"/>
        </w:rPr>
        <w:t>5</w:t>
      </w:r>
      <w:r>
        <w:rPr>
          <w:rFonts w:hint="eastAsia" w:ascii="宋体" w:hAnsi="宋体" w:cs="宋体"/>
          <w:kern w:val="0"/>
          <w:sz w:val="24"/>
          <w:lang w:val="zh-CN"/>
        </w:rPr>
        <w:t>个工作日内，甲方向中标人支付合同</w:t>
      </w:r>
      <w:r>
        <w:rPr>
          <w:rFonts w:hint="eastAsia" w:ascii="宋体" w:hAnsi="宋体" w:cs="宋体"/>
          <w:kern w:val="0"/>
          <w:sz w:val="24"/>
        </w:rPr>
        <w:t>金额4</w:t>
      </w:r>
      <w:r>
        <w:rPr>
          <w:rFonts w:cs="仿宋_GB2312" w:asciiTheme="minorEastAsia" w:hAnsiTheme="minorEastAsia" w:eastAsiaTheme="minorEastAsia"/>
          <w:sz w:val="24"/>
          <w:u w:val="single"/>
        </w:rPr>
        <w:t xml:space="preserve">0 </w:t>
      </w:r>
      <w:r>
        <w:rPr>
          <w:rFonts w:cs="仿宋_GB2312" w:asciiTheme="minorEastAsia" w:hAnsiTheme="minorEastAsia" w:eastAsiaTheme="minorEastAsia"/>
          <w:sz w:val="24"/>
        </w:rPr>
        <w:t>%</w:t>
      </w:r>
      <w:r>
        <w:rPr>
          <w:rFonts w:hint="eastAsia" w:ascii="宋体" w:hAnsi="宋体" w:cs="宋体"/>
          <w:kern w:val="0"/>
          <w:sz w:val="24"/>
          <w:lang w:val="zh-CN"/>
        </w:rPr>
        <w:t>，即人民币（大写）：元整(￥元)；</w:t>
      </w:r>
    </w:p>
    <w:p>
      <w:pPr>
        <w:snapToGrid w:val="0"/>
        <w:spacing w:line="560" w:lineRule="exact"/>
        <w:rPr>
          <w:rFonts w:cs="仿宋_GB2312" w:asciiTheme="minorEastAsia" w:hAnsiTheme="minorEastAsia" w:eastAsiaTheme="minorEastAsia"/>
          <w:sz w:val="24"/>
        </w:rPr>
      </w:pPr>
      <w:r>
        <w:rPr>
          <w:rFonts w:hint="eastAsia" w:ascii="宋体" w:hAnsi="宋体" w:cs="宋体"/>
          <w:kern w:val="0"/>
          <w:sz w:val="24"/>
        </w:rPr>
        <w:t xml:space="preserve">    </w:t>
      </w:r>
      <w:r>
        <w:rPr>
          <w:rFonts w:cs="仿宋_GB2312" w:asciiTheme="minorEastAsia" w:hAnsiTheme="minorEastAsia" w:eastAsiaTheme="minorEastAsia"/>
          <w:sz w:val="24"/>
        </w:rPr>
        <w:t>（2）</w:t>
      </w:r>
      <w:r>
        <w:rPr>
          <w:rFonts w:hint="eastAsia" w:cs="仿宋_GB2312" w:asciiTheme="minorEastAsia" w:hAnsiTheme="minorEastAsia" w:eastAsiaTheme="minorEastAsia"/>
          <w:sz w:val="24"/>
        </w:rPr>
        <w:t>合同签订后，乙方完成项目需求分析和设计并经甲方确认，乙方提供发票后5个工作日内，</w:t>
      </w:r>
      <w:r>
        <w:rPr>
          <w:rFonts w:cs="仿宋_GB2312" w:asciiTheme="minorEastAsia" w:hAnsiTheme="minorEastAsia" w:eastAsiaTheme="minorEastAsia"/>
          <w:sz w:val="24"/>
        </w:rPr>
        <w:t>甲方支付乙方合同金额</w:t>
      </w:r>
      <w:r>
        <w:rPr>
          <w:rFonts w:cs="仿宋_GB2312" w:asciiTheme="minorEastAsia" w:hAnsiTheme="minorEastAsia" w:eastAsiaTheme="minorEastAsia"/>
          <w:sz w:val="24"/>
          <w:u w:val="single"/>
        </w:rPr>
        <w:t xml:space="preserve">20 </w:t>
      </w:r>
      <w:r>
        <w:rPr>
          <w:rFonts w:cs="仿宋_GB2312" w:asciiTheme="minorEastAsia" w:hAnsiTheme="minorEastAsia" w:eastAsiaTheme="minorEastAsia"/>
          <w:sz w:val="24"/>
        </w:rPr>
        <w:t>%，即人民币（大写）：元整(</w:t>
      </w:r>
      <w:r>
        <w:rPr>
          <w:rFonts w:cs="Calibri" w:asciiTheme="minorEastAsia" w:hAnsiTheme="minorEastAsia" w:eastAsiaTheme="minorEastAsia"/>
          <w:sz w:val="24"/>
        </w:rPr>
        <w:t>￥</w:t>
      </w:r>
      <w:r>
        <w:rPr>
          <w:rFonts w:cs="仿宋_GB2312" w:asciiTheme="minorEastAsia" w:hAnsiTheme="minorEastAsia" w:eastAsiaTheme="minorEastAsia"/>
          <w:sz w:val="24"/>
        </w:rPr>
        <w:t>元)；</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（3）</w:t>
      </w:r>
      <w:r>
        <w:rPr>
          <w:rFonts w:cs="仿宋_GB2312" w:asciiTheme="minorEastAsia" w:hAnsiTheme="minorEastAsia" w:eastAsiaTheme="minorEastAsia"/>
          <w:sz w:val="24"/>
        </w:rPr>
        <w:t>2024</w:t>
      </w:r>
      <w:r>
        <w:rPr>
          <w:rFonts w:hint="eastAsia" w:cs="仿宋_GB2312" w:asciiTheme="minorEastAsia" w:hAnsiTheme="minorEastAsia" w:eastAsiaTheme="minorEastAsia"/>
          <w:sz w:val="24"/>
        </w:rPr>
        <w:t>年1</w:t>
      </w: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月底前通过甲方初验，乙方提供发票后5个工作日内，</w:t>
      </w:r>
      <w:r>
        <w:rPr>
          <w:rFonts w:cs="仿宋_GB2312" w:asciiTheme="minorEastAsia" w:hAnsiTheme="minorEastAsia" w:eastAsiaTheme="minorEastAsia"/>
          <w:sz w:val="24"/>
        </w:rPr>
        <w:t>甲方支付合同金额</w:t>
      </w:r>
      <w:r>
        <w:rPr>
          <w:rFonts w:cs="仿宋_GB2312" w:asciiTheme="minorEastAsia" w:hAnsiTheme="minorEastAsia" w:eastAsiaTheme="minorEastAsia"/>
          <w:sz w:val="24"/>
          <w:u w:val="single"/>
        </w:rPr>
        <w:t xml:space="preserve">  20  </w:t>
      </w:r>
      <w:r>
        <w:rPr>
          <w:rFonts w:cs="仿宋_GB2312" w:asciiTheme="minorEastAsia" w:hAnsiTheme="minorEastAsia" w:eastAsiaTheme="minorEastAsia"/>
          <w:sz w:val="24"/>
        </w:rPr>
        <w:t>%，即人民币（大写）：元整(</w:t>
      </w:r>
      <w:r>
        <w:rPr>
          <w:rFonts w:cs="Calibri" w:asciiTheme="minorEastAsia" w:hAnsiTheme="minorEastAsia" w:eastAsiaTheme="minorEastAsia"/>
          <w:sz w:val="24"/>
        </w:rPr>
        <w:t>￥</w:t>
      </w:r>
      <w:r>
        <w:rPr>
          <w:rFonts w:cs="仿宋_GB2312" w:asciiTheme="minorEastAsia" w:hAnsiTheme="minorEastAsia" w:eastAsiaTheme="minorEastAsia"/>
          <w:sz w:val="24"/>
        </w:rPr>
        <w:t>元)；</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w:t>
      </w:r>
      <w:r>
        <w:rPr>
          <w:rFonts w:hint="eastAsia" w:cs="仿宋_GB2312" w:asciiTheme="minorEastAsia" w:hAnsiTheme="minorEastAsia" w:eastAsiaTheme="minorEastAsia"/>
          <w:sz w:val="24"/>
        </w:rPr>
        <w:t>4</w:t>
      </w:r>
      <w:r>
        <w:rPr>
          <w:rFonts w:cs="仿宋_GB2312" w:asciiTheme="minorEastAsia" w:hAnsiTheme="minorEastAsia" w:eastAsiaTheme="minorEastAsia"/>
          <w:sz w:val="24"/>
        </w:rPr>
        <w:t>）2025</w:t>
      </w:r>
      <w:r>
        <w:rPr>
          <w:rFonts w:hint="eastAsia" w:cs="仿宋_GB2312" w:asciiTheme="minorEastAsia" w:hAnsiTheme="minorEastAsia" w:eastAsiaTheme="minorEastAsia"/>
          <w:sz w:val="24"/>
        </w:rPr>
        <w:t>年6月前，乙方完成项目任务，</w:t>
      </w:r>
      <w:r>
        <w:rPr>
          <w:rFonts w:cs="仿宋_GB2312" w:asciiTheme="minorEastAsia" w:hAnsiTheme="minorEastAsia" w:eastAsiaTheme="minorEastAsia"/>
          <w:sz w:val="24"/>
        </w:rPr>
        <w:t>乙方</w:t>
      </w:r>
      <w:r>
        <w:rPr>
          <w:rFonts w:hint="eastAsia" w:cs="仿宋_GB2312" w:asciiTheme="minorEastAsia" w:hAnsiTheme="minorEastAsia" w:eastAsiaTheme="minorEastAsia"/>
          <w:sz w:val="24"/>
        </w:rPr>
        <w:t>履约服务良好</w:t>
      </w:r>
      <w:r>
        <w:rPr>
          <w:rFonts w:cs="仿宋_GB2312" w:asciiTheme="minorEastAsia" w:hAnsiTheme="minorEastAsia" w:eastAsiaTheme="minorEastAsia"/>
          <w:sz w:val="24"/>
        </w:rPr>
        <w:t>，</w:t>
      </w:r>
      <w:r>
        <w:rPr>
          <w:rFonts w:hint="eastAsia" w:cs="仿宋_GB2312" w:asciiTheme="minorEastAsia" w:hAnsiTheme="minorEastAsia" w:eastAsiaTheme="minorEastAsia"/>
          <w:sz w:val="24"/>
        </w:rPr>
        <w:t>无质量和服务问题，乙方提供发票后5个工作日内，</w:t>
      </w:r>
      <w:r>
        <w:rPr>
          <w:rFonts w:cs="仿宋_GB2312" w:asciiTheme="minorEastAsia" w:hAnsiTheme="minorEastAsia" w:eastAsiaTheme="minorEastAsia"/>
          <w:sz w:val="24"/>
        </w:rPr>
        <w:t>甲方支付合同金额</w:t>
      </w:r>
      <w:r>
        <w:rPr>
          <w:rFonts w:cs="仿宋_GB2312" w:asciiTheme="minorEastAsia" w:hAnsiTheme="minorEastAsia" w:eastAsiaTheme="minorEastAsia"/>
          <w:sz w:val="24"/>
          <w:u w:val="single"/>
        </w:rPr>
        <w:t xml:space="preserve">20 </w:t>
      </w:r>
      <w:r>
        <w:rPr>
          <w:rFonts w:cs="仿宋_GB2312" w:asciiTheme="minorEastAsia" w:hAnsiTheme="minorEastAsia" w:eastAsiaTheme="minorEastAsia"/>
          <w:sz w:val="24"/>
        </w:rPr>
        <w:t>%，即人民币（大写）：元整(</w:t>
      </w:r>
      <w:r>
        <w:rPr>
          <w:rFonts w:cs="Calibri" w:asciiTheme="minorEastAsia" w:hAnsiTheme="minorEastAsia" w:eastAsiaTheme="minorEastAsia"/>
          <w:sz w:val="24"/>
        </w:rPr>
        <w:t>￥</w:t>
      </w:r>
      <w:r>
        <w:rPr>
          <w:rFonts w:cs="仿宋_GB2312" w:asciiTheme="minorEastAsia" w:hAnsiTheme="minorEastAsia" w:eastAsiaTheme="minorEastAsia"/>
          <w:sz w:val="24"/>
        </w:rPr>
        <w:t>元)。</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服务期满，甲方开展项目服务评估并组织验收，根据评估情况返还履约保证金。</w:t>
      </w:r>
    </w:p>
    <w:p>
      <w:pPr>
        <w:snapToGrid w:val="0"/>
        <w:spacing w:line="560" w:lineRule="exact"/>
        <w:ind w:firstLine="480" w:firstLineChars="200"/>
        <w:rPr>
          <w:rFonts w:cs="Calibri" w:asciiTheme="minorEastAsia" w:hAnsiTheme="minorEastAsia" w:eastAsiaTheme="minorEastAsia"/>
          <w:sz w:val="24"/>
        </w:rPr>
      </w:pPr>
      <w:r>
        <w:rPr>
          <w:rFonts w:cs="Calibri" w:asciiTheme="minorEastAsia" w:hAnsiTheme="minorEastAsia" w:eastAsiaTheme="minorEastAsia"/>
          <w:sz w:val="24"/>
        </w:rPr>
        <w:t>上述甲方的付款义务均以乙方开具符合税务部门以及甲方要求的发票为前提，乙方延迟开具发票的，甲方有权延迟支付相应的款项并且无需承担任何违约责任。</w:t>
      </w:r>
    </w:p>
    <w:p>
      <w:pPr>
        <w:snapToGrid w:val="0"/>
        <w:spacing w:line="560" w:lineRule="exact"/>
        <w:ind w:firstLine="480" w:firstLineChars="200"/>
        <w:rPr>
          <w:rFonts w:cs="Calibri" w:asciiTheme="minorEastAsia" w:hAnsiTheme="minorEastAsia" w:eastAsiaTheme="minorEastAsia"/>
          <w:sz w:val="24"/>
        </w:rPr>
      </w:pPr>
      <w:r>
        <w:rPr>
          <w:rFonts w:hint="eastAsia" w:cs="仿宋_GB2312" w:asciiTheme="minorEastAsia" w:hAnsiTheme="minorEastAsia" w:eastAsiaTheme="minorEastAsia"/>
          <w:sz w:val="24"/>
        </w:rPr>
        <w:t>4</w:t>
      </w:r>
      <w:r>
        <w:rPr>
          <w:rFonts w:cs="仿宋_GB2312" w:asciiTheme="minorEastAsia" w:hAnsiTheme="minorEastAsia" w:eastAsiaTheme="minorEastAsia"/>
          <w:sz w:val="24"/>
        </w:rPr>
        <w:t>.2</w:t>
      </w:r>
      <w:r>
        <w:rPr>
          <w:rFonts w:hint="eastAsia" w:cs="仿宋_GB2312" w:asciiTheme="minorEastAsia" w:hAnsiTheme="minorEastAsia" w:eastAsiaTheme="minorEastAsia"/>
          <w:sz w:val="24"/>
        </w:rPr>
        <w:t>合同价款和</w:t>
      </w:r>
      <w:r>
        <w:rPr>
          <w:rFonts w:hint="eastAsia" w:cs="Calibri" w:asciiTheme="minorEastAsia" w:hAnsiTheme="minorEastAsia" w:eastAsiaTheme="minorEastAsia"/>
          <w:sz w:val="24"/>
        </w:rPr>
        <w:t>履约保证金应以银行转账方式支付。</w:t>
      </w:r>
    </w:p>
    <w:p>
      <w:pPr>
        <w:snapToGrid w:val="0"/>
        <w:spacing w:line="560" w:lineRule="exact"/>
        <w:ind w:firstLine="480" w:firstLineChars="200"/>
        <w:rPr>
          <w:rFonts w:cs="仿宋_GB2312" w:asciiTheme="minorEastAsia" w:hAnsiTheme="minorEastAsia" w:eastAsiaTheme="minorEastAsia"/>
          <w:sz w:val="24"/>
        </w:rPr>
      </w:pPr>
      <w:r>
        <w:rPr>
          <w:rFonts w:hint="eastAsia" w:cs="Calibri" w:asciiTheme="minorEastAsia" w:hAnsiTheme="minorEastAsia" w:eastAsiaTheme="minorEastAsia"/>
          <w:sz w:val="24"/>
        </w:rPr>
        <w:t>甲方银行账户信息：</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开户银行：</w:t>
      </w:r>
      <w:r>
        <w:rPr>
          <w:rFonts w:hint="eastAsia" w:cs="仿宋_GB2312" w:asciiTheme="minorEastAsia" w:hAnsiTheme="minorEastAsia" w:eastAsiaTheme="minorEastAsia"/>
          <w:sz w:val="24"/>
        </w:rPr>
        <w:t>杭州银行营业部</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开 户 名：</w:t>
      </w:r>
      <w:r>
        <w:rPr>
          <w:rFonts w:hint="eastAsia" w:cs="仿宋_GB2312" w:asciiTheme="minorEastAsia" w:hAnsiTheme="minorEastAsia" w:eastAsiaTheme="minorEastAsia"/>
          <w:sz w:val="24"/>
        </w:rPr>
        <w:t>杭州市规划和自然资源局</w:t>
      </w:r>
    </w:p>
    <w:p>
      <w:pPr>
        <w:snapToGrid w:val="0"/>
        <w:spacing w:line="560" w:lineRule="exact"/>
        <w:ind w:firstLine="480" w:firstLineChars="200"/>
        <w:rPr>
          <w:rFonts w:asciiTheme="minorEastAsia" w:hAnsiTheme="minorEastAsia" w:eastAsiaTheme="minorEastAsia"/>
          <w:sz w:val="24"/>
        </w:rPr>
      </w:pPr>
      <w:r>
        <w:rPr>
          <w:rFonts w:cs="仿宋_GB2312" w:asciiTheme="minorEastAsia" w:hAnsiTheme="minorEastAsia" w:eastAsiaTheme="minorEastAsia"/>
          <w:sz w:val="24"/>
        </w:rPr>
        <w:t>账    号：</w:t>
      </w:r>
      <w:r>
        <w:rPr>
          <w:rFonts w:asciiTheme="minorEastAsia" w:hAnsiTheme="minorEastAsia" w:eastAsiaTheme="minorEastAsia"/>
          <w:sz w:val="24"/>
        </w:rPr>
        <w:t>75182014309888-402001</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乙方银行账户信息：</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 xml:space="preserve">开户银行：                             </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 xml:space="preserve">开 户 名： </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账    号：</w:t>
      </w:r>
    </w:p>
    <w:p>
      <w:pPr>
        <w:snapToGrid w:val="0"/>
        <w:spacing w:line="560" w:lineRule="exact"/>
        <w:ind w:firstLine="480" w:firstLineChars="200"/>
        <w:rPr>
          <w:rFonts w:cs="Calibri" w:asciiTheme="minorEastAsia" w:hAnsiTheme="minorEastAsia" w:eastAsiaTheme="minorEastAsia"/>
          <w:sz w:val="24"/>
        </w:rPr>
      </w:pPr>
      <w:r>
        <w:rPr>
          <w:rFonts w:hint="eastAsia" w:cs="Calibri" w:asciiTheme="minorEastAsia" w:hAnsiTheme="minorEastAsia" w:eastAsiaTheme="minorEastAsia"/>
          <w:sz w:val="24"/>
        </w:rPr>
        <w:t>4.</w:t>
      </w:r>
      <w:r>
        <w:rPr>
          <w:rFonts w:cs="Calibri" w:asciiTheme="minorEastAsia" w:hAnsiTheme="minorEastAsia" w:eastAsiaTheme="minorEastAsia"/>
          <w:sz w:val="24"/>
        </w:rPr>
        <w:t xml:space="preserve">3 </w:t>
      </w:r>
      <w:r>
        <w:rPr>
          <w:rFonts w:hint="eastAsia" w:cs="Calibri" w:asciiTheme="minorEastAsia" w:hAnsiTheme="minorEastAsia" w:eastAsiaTheme="minorEastAsia"/>
          <w:sz w:val="24"/>
        </w:rPr>
        <w:t>若本项目系联合体中标的，则甲方将本合同项下的款项支付至第4</w:t>
      </w:r>
      <w:r>
        <w:rPr>
          <w:rFonts w:cs="Calibri" w:asciiTheme="minorEastAsia" w:hAnsiTheme="minorEastAsia" w:eastAsiaTheme="minorEastAsia"/>
          <w:sz w:val="24"/>
        </w:rPr>
        <w:t>.2</w:t>
      </w:r>
      <w:r>
        <w:rPr>
          <w:rFonts w:hint="eastAsia" w:cs="Calibri" w:asciiTheme="minorEastAsia" w:hAnsiTheme="minorEastAsia" w:eastAsiaTheme="minorEastAsia"/>
          <w:sz w:val="24"/>
        </w:rPr>
        <w:t>条约定的银行账户即视为甲方已完成本协议项下的付款义务，联合体内部的款项支付由联合体内部自行约定，若因款项支付产生的纠纷，均由联合体内部解决，与甲方无关。</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4</w:t>
      </w:r>
      <w:r>
        <w:rPr>
          <w:rFonts w:cs="仿宋_GB2312" w:asciiTheme="minorEastAsia" w:hAnsiTheme="minorEastAsia" w:eastAsiaTheme="minorEastAsia"/>
          <w:sz w:val="24"/>
        </w:rPr>
        <w:t>.4财政政策：</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乙方有义务配合甲方在约定的时间内提供财政主管部门要求的相关资料</w:t>
      </w:r>
      <w:r>
        <w:rPr>
          <w:rFonts w:cs="仿宋_GB2312" w:asciiTheme="minorEastAsia" w:hAnsiTheme="minorEastAsia" w:eastAsiaTheme="minorEastAsia"/>
          <w:sz w:val="24"/>
        </w:rPr>
        <w:t>，因乙方迟延履行、乙方在本协议项下存在违约行为以及不符合财政资金支付时间要求等原因造成不能及时支付款的，甲方不承担责任。</w:t>
      </w:r>
    </w:p>
    <w:p>
      <w:pPr>
        <w:tabs>
          <w:tab w:val="left" w:pos="567"/>
        </w:tabs>
        <w:snapToGrid w:val="0"/>
        <w:spacing w:line="560" w:lineRule="exact"/>
        <w:ind w:firstLine="482" w:firstLineChars="200"/>
        <w:rPr>
          <w:rFonts w:cs="仿宋_GB2312" w:asciiTheme="minorEastAsia" w:hAnsiTheme="minorEastAsia" w:eastAsiaTheme="minorEastAsia"/>
          <w:b/>
          <w:sz w:val="24"/>
        </w:rPr>
      </w:pPr>
      <w:r>
        <w:rPr>
          <w:rFonts w:hint="eastAsia" w:cs="仿宋_GB2312" w:asciiTheme="minorEastAsia" w:hAnsiTheme="minorEastAsia" w:eastAsiaTheme="minorEastAsia"/>
          <w:b/>
          <w:sz w:val="24"/>
        </w:rPr>
        <w:t>5</w:t>
      </w:r>
      <w:r>
        <w:rPr>
          <w:rFonts w:cs="仿宋_GB2312" w:asciiTheme="minorEastAsia" w:hAnsiTheme="minorEastAsia" w:eastAsiaTheme="minorEastAsia"/>
          <w:b/>
          <w:sz w:val="24"/>
        </w:rPr>
        <w:t>、甲方的责任与义务</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5</w:t>
      </w:r>
      <w:r>
        <w:rPr>
          <w:rFonts w:cs="仿宋_GB2312" w:asciiTheme="minorEastAsia" w:hAnsiTheme="minorEastAsia" w:eastAsiaTheme="minorEastAsia"/>
          <w:sz w:val="24"/>
        </w:rPr>
        <w:t>.1为乙方工作提供良好的外部条件，并按照合同约定支付款项。</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5</w:t>
      </w:r>
      <w:r>
        <w:rPr>
          <w:rFonts w:cs="仿宋_GB2312" w:asciiTheme="minorEastAsia" w:hAnsiTheme="minorEastAsia" w:eastAsiaTheme="minorEastAsia"/>
          <w:sz w:val="24"/>
        </w:rPr>
        <w:t>.2 甲方按双方约定的内容和时间，向乙方提供与项目有关的可以提供的资料。</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5</w:t>
      </w:r>
      <w:r>
        <w:rPr>
          <w:rFonts w:cs="仿宋_GB2312" w:asciiTheme="minorEastAsia" w:hAnsiTheme="minorEastAsia" w:eastAsiaTheme="minorEastAsia"/>
          <w:sz w:val="24"/>
        </w:rPr>
        <w:t>.3 甲方授权一名熟悉本项目情况的代表，负责与乙方联系，更换代表前将提前通知乙方。</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5</w:t>
      </w:r>
      <w:r>
        <w:rPr>
          <w:rFonts w:cs="仿宋_GB2312" w:asciiTheme="minorEastAsia" w:hAnsiTheme="minorEastAsia" w:eastAsiaTheme="minorEastAsia"/>
          <w:sz w:val="24"/>
        </w:rPr>
        <w:t>.4 甲方对乙方提供的项目工作方案具有审定权、修改权，并有权要求乙方按甲方的要求修改方案,乙方不得以此为由要求增加任何费用。</w:t>
      </w:r>
    </w:p>
    <w:p>
      <w:pPr>
        <w:snapToGrid w:val="0"/>
        <w:spacing w:line="560" w:lineRule="exact"/>
        <w:ind w:firstLine="480" w:firstLineChars="200"/>
        <w:rPr>
          <w:rFonts w:cs="Calibri" w:asciiTheme="minorEastAsia" w:hAnsiTheme="minorEastAsia" w:eastAsiaTheme="minorEastAsia"/>
          <w:sz w:val="24"/>
        </w:rPr>
      </w:pPr>
      <w:r>
        <w:rPr>
          <w:rFonts w:hint="eastAsia" w:cs="仿宋_GB2312" w:asciiTheme="minorEastAsia" w:hAnsiTheme="minorEastAsia" w:eastAsiaTheme="minorEastAsia"/>
          <w:sz w:val="24"/>
        </w:rPr>
        <w:t>5</w:t>
      </w:r>
      <w:r>
        <w:rPr>
          <w:rFonts w:cs="仿宋_GB2312" w:asciiTheme="minorEastAsia" w:hAnsiTheme="minorEastAsia" w:eastAsiaTheme="minorEastAsia"/>
          <w:sz w:val="24"/>
        </w:rPr>
        <w:t>.5 根据实际情况，甲方有权要求乙方对已经确认的方案进行修改、变通，乙方应当配合执行，以保证项目顺利进行,乙方不得以此为由要求增加任何费用。</w:t>
      </w:r>
    </w:p>
    <w:p>
      <w:pPr>
        <w:tabs>
          <w:tab w:val="left" w:pos="567"/>
        </w:tabs>
        <w:snapToGrid w:val="0"/>
        <w:spacing w:line="560" w:lineRule="exact"/>
        <w:ind w:firstLine="482" w:firstLineChars="200"/>
        <w:rPr>
          <w:rFonts w:cs="仿宋_GB2312" w:asciiTheme="minorEastAsia" w:hAnsiTheme="minorEastAsia" w:eastAsiaTheme="minorEastAsia"/>
          <w:b/>
          <w:sz w:val="24"/>
        </w:rPr>
      </w:pPr>
      <w:r>
        <w:rPr>
          <w:rFonts w:hint="eastAsia" w:cs="仿宋_GB2312" w:asciiTheme="minorEastAsia" w:hAnsiTheme="minorEastAsia" w:eastAsiaTheme="minorEastAsia"/>
          <w:b/>
          <w:sz w:val="24"/>
        </w:rPr>
        <w:t>6</w:t>
      </w:r>
      <w:r>
        <w:rPr>
          <w:rFonts w:cs="仿宋_GB2312" w:asciiTheme="minorEastAsia" w:hAnsiTheme="minorEastAsia" w:eastAsiaTheme="minorEastAsia"/>
          <w:b/>
          <w:sz w:val="24"/>
        </w:rPr>
        <w:t>、乙方的责任与义务</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6</w:t>
      </w:r>
      <w:r>
        <w:rPr>
          <w:rFonts w:cs="仿宋_GB2312" w:asciiTheme="minorEastAsia" w:hAnsiTheme="minorEastAsia" w:eastAsiaTheme="minorEastAsia"/>
          <w:sz w:val="24"/>
        </w:rPr>
        <w:t>.1 根据投标文件的承诺，乙方向甲方委派项目组人员，人员应当固定。乙方更换人员必须经甲方书面同意，否则甲方有权解除本合同，乙方应赔偿给甲方造成的所有损失。</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6</w:t>
      </w:r>
      <w:r>
        <w:rPr>
          <w:rFonts w:cs="仿宋_GB2312" w:asciiTheme="minorEastAsia" w:hAnsiTheme="minorEastAsia" w:eastAsiaTheme="minorEastAsia"/>
          <w:sz w:val="24"/>
        </w:rPr>
        <w:t>.2 在履行本合同期间，乙方应运用合理的技能，认真、勤奋的工作。</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6</w:t>
      </w:r>
      <w:r>
        <w:rPr>
          <w:rFonts w:cs="仿宋_GB2312" w:asciiTheme="minorEastAsia" w:hAnsiTheme="minorEastAsia" w:eastAsiaTheme="minorEastAsia"/>
          <w:sz w:val="24"/>
        </w:rPr>
        <w:t>.3 乙方针对该项目出具的工作方案，均须事先经甲方书面确认后方可实施。乙方应当负责本项目的所有外部关系联系与协调。</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6</w:t>
      </w:r>
      <w:r>
        <w:rPr>
          <w:rFonts w:cs="仿宋_GB2312" w:asciiTheme="minorEastAsia" w:hAnsiTheme="minorEastAsia" w:eastAsiaTheme="minorEastAsia"/>
          <w:sz w:val="24"/>
        </w:rPr>
        <w:t>.4 乙方应指派一名授权项目代表，负责与甲方的联络。项目代表更换或变更任一信息的应至少提前两天通知甲方。</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乙方的项目代表姓名：，联系电话：电子邮箱：。</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6</w:t>
      </w:r>
      <w:r>
        <w:rPr>
          <w:rFonts w:cs="仿宋_GB2312" w:asciiTheme="minorEastAsia" w:hAnsiTheme="minorEastAsia" w:eastAsiaTheme="minorEastAsia"/>
          <w:sz w:val="24"/>
        </w:rPr>
        <w:t>.5其它：</w:t>
      </w:r>
      <w:r>
        <w:rPr>
          <w:rFonts w:cs="仿宋_GB2312" w:asciiTheme="minorEastAsia" w:hAnsiTheme="minorEastAsia" w:eastAsiaTheme="minorEastAsia"/>
          <w:sz w:val="24"/>
          <w:u w:val="single"/>
        </w:rPr>
        <w:t xml:space="preserve">     /     </w:t>
      </w:r>
      <w:r>
        <w:rPr>
          <w:rFonts w:cs="仿宋_GB2312" w:asciiTheme="minorEastAsia" w:hAnsiTheme="minorEastAsia" w:eastAsiaTheme="minorEastAsia"/>
          <w:sz w:val="24"/>
        </w:rPr>
        <w:t>。（按投标文件承诺内容在合同签署过程中补充填写）</w:t>
      </w:r>
    </w:p>
    <w:p>
      <w:pPr>
        <w:tabs>
          <w:tab w:val="left" w:pos="567"/>
        </w:tabs>
        <w:snapToGrid w:val="0"/>
        <w:spacing w:line="560" w:lineRule="exact"/>
        <w:ind w:firstLine="482" w:firstLineChars="200"/>
        <w:rPr>
          <w:rFonts w:cs="仿宋_GB2312" w:asciiTheme="minorEastAsia" w:hAnsiTheme="minorEastAsia" w:eastAsiaTheme="minorEastAsia"/>
          <w:b/>
          <w:sz w:val="24"/>
        </w:rPr>
      </w:pPr>
      <w:r>
        <w:rPr>
          <w:rFonts w:hint="eastAsia" w:cs="仿宋_GB2312" w:asciiTheme="minorEastAsia" w:hAnsiTheme="minorEastAsia" w:eastAsiaTheme="minorEastAsia"/>
          <w:b/>
          <w:sz w:val="24"/>
        </w:rPr>
        <w:t>7</w:t>
      </w:r>
      <w:r>
        <w:rPr>
          <w:rFonts w:cs="仿宋_GB2312" w:asciiTheme="minorEastAsia" w:hAnsiTheme="minorEastAsia" w:eastAsiaTheme="minorEastAsia"/>
          <w:b/>
          <w:sz w:val="24"/>
        </w:rPr>
        <w:t>、验收</w:t>
      </w:r>
    </w:p>
    <w:p>
      <w:pPr>
        <w:snapToGrid w:val="0"/>
        <w:spacing w:line="560" w:lineRule="exact"/>
        <w:ind w:firstLine="480" w:firstLineChars="200"/>
        <w:rPr>
          <w:rFonts w:cs="仿宋_GB2312" w:asciiTheme="minorEastAsia" w:hAnsiTheme="minorEastAsia" w:eastAsiaTheme="minorEastAsia"/>
          <w:sz w:val="24"/>
        </w:rPr>
      </w:pPr>
      <w:r>
        <w:rPr>
          <w:rFonts w:hint="eastAsia" w:cs="宋体" w:asciiTheme="minorEastAsia" w:hAnsiTheme="minorEastAsia" w:eastAsiaTheme="minorEastAsia"/>
          <w:bCs/>
          <w:sz w:val="24"/>
        </w:rPr>
        <w:t>服务期满，</w:t>
      </w:r>
      <w:r>
        <w:rPr>
          <w:rFonts w:cs="宋体" w:asciiTheme="minorEastAsia" w:hAnsiTheme="minorEastAsia" w:eastAsiaTheme="minorEastAsia"/>
          <w:bCs/>
          <w:sz w:val="24"/>
        </w:rPr>
        <w:t>乙方工作成果符合相关规范以及甲方的要求</w:t>
      </w:r>
      <w:r>
        <w:rPr>
          <w:rFonts w:cs="仿宋_GB2312" w:asciiTheme="minorEastAsia" w:hAnsiTheme="minorEastAsia" w:eastAsiaTheme="minorEastAsia"/>
          <w:sz w:val="24"/>
        </w:rPr>
        <w:t>。</w:t>
      </w:r>
    </w:p>
    <w:p>
      <w:pPr>
        <w:snapToGrid w:val="0"/>
        <w:spacing w:line="560" w:lineRule="exact"/>
        <w:ind w:firstLine="482" w:firstLineChars="200"/>
        <w:rPr>
          <w:rFonts w:cs="Calibri" w:asciiTheme="minorEastAsia" w:hAnsiTheme="minorEastAsia" w:eastAsiaTheme="minorEastAsia"/>
          <w:b/>
          <w:sz w:val="24"/>
        </w:rPr>
      </w:pPr>
      <w:r>
        <w:rPr>
          <w:rFonts w:hint="eastAsia" w:cs="Calibri" w:asciiTheme="minorEastAsia" w:hAnsiTheme="minorEastAsia" w:eastAsiaTheme="minorEastAsia"/>
          <w:b/>
          <w:sz w:val="24"/>
        </w:rPr>
        <w:t>8</w:t>
      </w:r>
      <w:r>
        <w:rPr>
          <w:rFonts w:cs="Calibri" w:asciiTheme="minorEastAsia" w:hAnsiTheme="minorEastAsia" w:eastAsiaTheme="minorEastAsia"/>
          <w:b/>
          <w:sz w:val="24"/>
        </w:rPr>
        <w:t>、市场开发权</w:t>
      </w:r>
    </w:p>
    <w:p>
      <w:pPr>
        <w:snapToGrid w:val="0"/>
        <w:spacing w:line="56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8</w:t>
      </w:r>
      <w:r>
        <w:rPr>
          <w:rFonts w:cs="宋体" w:asciiTheme="minorEastAsia" w:hAnsiTheme="minorEastAsia" w:eastAsiaTheme="minorEastAsia"/>
          <w:sz w:val="24"/>
        </w:rPr>
        <w:t>.1 乙方知晓并完全理解，隐性营销是指由自然人、法人和非法人组织所进行的可能明示或暗示其与甲方之间的任何活动之间具有事实上并不存在的商业关联，或虽具有一定的关联但未经甲方授权进行广告、宣传、商业识别或其他市场开发活动。</w:t>
      </w:r>
    </w:p>
    <w:p>
      <w:pPr>
        <w:snapToGrid w:val="0"/>
        <w:spacing w:line="56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8</w:t>
      </w:r>
      <w:r>
        <w:rPr>
          <w:rFonts w:cs="宋体" w:asciiTheme="minorEastAsia" w:hAnsiTheme="minorEastAsia" w:eastAsiaTheme="minorEastAsia"/>
          <w:sz w:val="24"/>
        </w:rPr>
        <w:t>.2 乙方承诺，将严格遵守甲方知识产权保护等方面的法律法规和市场开发的相关规则，坚持依法诚信经营，全面履行合同义务；未经权利人许可，不得从事市场开发活动。</w:t>
      </w:r>
    </w:p>
    <w:p>
      <w:pPr>
        <w:snapToGrid w:val="0"/>
        <w:spacing w:line="560" w:lineRule="exact"/>
        <w:ind w:firstLine="482" w:firstLineChars="200"/>
        <w:rPr>
          <w:rFonts w:cs="Calibri" w:asciiTheme="minorEastAsia" w:hAnsiTheme="minorEastAsia" w:eastAsiaTheme="minorEastAsia"/>
          <w:b/>
          <w:sz w:val="24"/>
        </w:rPr>
      </w:pPr>
      <w:r>
        <w:rPr>
          <w:rFonts w:hint="eastAsia" w:cs="Calibri" w:asciiTheme="minorEastAsia" w:hAnsiTheme="minorEastAsia" w:eastAsiaTheme="minorEastAsia"/>
          <w:b/>
          <w:sz w:val="24"/>
        </w:rPr>
        <w:t>9</w:t>
      </w:r>
      <w:r>
        <w:rPr>
          <w:rFonts w:cs="Calibri" w:asciiTheme="minorEastAsia" w:hAnsiTheme="minorEastAsia" w:eastAsiaTheme="minorEastAsia"/>
          <w:b/>
          <w:sz w:val="24"/>
        </w:rPr>
        <w:t>、保密义务</w:t>
      </w:r>
    </w:p>
    <w:p>
      <w:pPr>
        <w:snapToGrid w:val="0"/>
        <w:spacing w:line="560" w:lineRule="exact"/>
        <w:ind w:firstLine="480" w:firstLineChars="200"/>
        <w:rPr>
          <w:rFonts w:cs="Calibri" w:asciiTheme="minorEastAsia" w:hAnsiTheme="minorEastAsia" w:eastAsiaTheme="minorEastAsia"/>
          <w:bCs/>
          <w:sz w:val="24"/>
        </w:rPr>
      </w:pPr>
      <w:r>
        <w:rPr>
          <w:rFonts w:hint="eastAsia" w:cs="Calibri" w:asciiTheme="minorEastAsia" w:hAnsiTheme="minorEastAsia" w:eastAsiaTheme="minorEastAsia"/>
          <w:bCs/>
          <w:sz w:val="24"/>
        </w:rPr>
        <w:t>9</w:t>
      </w:r>
      <w:r>
        <w:rPr>
          <w:rFonts w:cs="Calibri" w:asciiTheme="minorEastAsia" w:hAnsiTheme="minorEastAsia" w:eastAsiaTheme="minorEastAsia"/>
          <w:bCs/>
          <w:sz w:val="24"/>
        </w:rPr>
        <w:t>.1 乙方确认并同意，应当对本合同的内容、因履行本合同或在本合同期间接触或知悉的甲方保密信息予以保密。未经甲方书面许可，不得为本合同以外的任何其他目的自行使用、向他人披露或者允许他人使用该保密信息的全部或部分。如果乙方因任何司法或行政命令而需要披露任何保密信息，则乙方同意在进行任何披露之前，立即通知甲方该等请求或要求。</w:t>
      </w:r>
    </w:p>
    <w:p>
      <w:pPr>
        <w:snapToGrid w:val="0"/>
        <w:spacing w:line="560" w:lineRule="exact"/>
        <w:ind w:firstLine="480" w:firstLineChars="200"/>
        <w:rPr>
          <w:rFonts w:cs="Calibri" w:asciiTheme="minorEastAsia" w:hAnsiTheme="minorEastAsia" w:eastAsiaTheme="minorEastAsia"/>
          <w:bCs/>
          <w:sz w:val="24"/>
        </w:rPr>
      </w:pPr>
      <w:r>
        <w:rPr>
          <w:rFonts w:hint="eastAsia" w:cs="Calibri" w:asciiTheme="minorEastAsia" w:hAnsiTheme="minorEastAsia" w:eastAsiaTheme="minorEastAsia"/>
          <w:bCs/>
          <w:sz w:val="24"/>
        </w:rPr>
        <w:t>9</w:t>
      </w:r>
      <w:r>
        <w:rPr>
          <w:rFonts w:cs="Calibri" w:asciiTheme="minorEastAsia" w:hAnsiTheme="minorEastAsia" w:eastAsiaTheme="minorEastAsia"/>
          <w:bCs/>
          <w:sz w:val="24"/>
        </w:rPr>
        <w:t>.2 乙方可仅为本合同目的向其确有知悉必要的员工披露甲方提供的保密资料，但乙方对于其可能接触了解甲方信息资源的员工，以及与乙方存在有本项目业务合作关系的第三方，均须签订保密协议，由该等员工（包括从乙方离职但了解甲方信息的人员）、本项目合作关系的第三方向乙方承担本协议项下的保密义务。乙方应仅为本合同目的而复制和使用保密资料。</w:t>
      </w:r>
    </w:p>
    <w:p>
      <w:pPr>
        <w:snapToGrid w:val="0"/>
        <w:spacing w:line="560" w:lineRule="exact"/>
        <w:ind w:firstLine="480" w:firstLineChars="200"/>
        <w:rPr>
          <w:rFonts w:cs="Calibri" w:asciiTheme="minorEastAsia" w:hAnsiTheme="minorEastAsia" w:eastAsiaTheme="minorEastAsia"/>
          <w:bCs/>
          <w:sz w:val="24"/>
        </w:rPr>
      </w:pPr>
      <w:r>
        <w:rPr>
          <w:rFonts w:hint="eastAsia" w:cs="Calibri" w:asciiTheme="minorEastAsia" w:hAnsiTheme="minorEastAsia" w:eastAsiaTheme="minorEastAsia"/>
          <w:bCs/>
          <w:sz w:val="24"/>
        </w:rPr>
        <w:t>9</w:t>
      </w:r>
      <w:r>
        <w:rPr>
          <w:rFonts w:cs="Calibri" w:asciiTheme="minorEastAsia" w:hAnsiTheme="minorEastAsia" w:eastAsiaTheme="minorEastAsia"/>
          <w:bCs/>
          <w:sz w:val="24"/>
        </w:rPr>
        <w:t>.3乙方的保密义务期限为永久。</w:t>
      </w:r>
    </w:p>
    <w:p>
      <w:pPr>
        <w:snapToGrid w:val="0"/>
        <w:spacing w:line="560" w:lineRule="exact"/>
        <w:ind w:firstLine="482" w:firstLineChars="200"/>
        <w:rPr>
          <w:rFonts w:cs="Calibri" w:asciiTheme="minorEastAsia" w:hAnsiTheme="minorEastAsia" w:eastAsiaTheme="minorEastAsia"/>
          <w:b/>
          <w:sz w:val="24"/>
        </w:rPr>
      </w:pPr>
      <w:r>
        <w:rPr>
          <w:rFonts w:cs="Calibri" w:asciiTheme="minorEastAsia" w:hAnsiTheme="minorEastAsia" w:eastAsiaTheme="minorEastAsia"/>
          <w:b/>
          <w:sz w:val="24"/>
        </w:rPr>
        <w:t>1</w:t>
      </w:r>
      <w:r>
        <w:rPr>
          <w:rFonts w:hint="eastAsia" w:cs="Calibri" w:asciiTheme="minorEastAsia" w:hAnsiTheme="minorEastAsia" w:eastAsiaTheme="minorEastAsia"/>
          <w:b/>
          <w:sz w:val="24"/>
        </w:rPr>
        <w:t>0</w:t>
      </w:r>
      <w:r>
        <w:rPr>
          <w:rFonts w:cs="Calibri" w:asciiTheme="minorEastAsia" w:hAnsiTheme="minorEastAsia" w:eastAsiaTheme="minorEastAsia"/>
          <w:b/>
          <w:sz w:val="24"/>
        </w:rPr>
        <w:t>、知识产权</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0</w:t>
      </w:r>
      <w:r>
        <w:rPr>
          <w:rFonts w:cs="仿宋_GB2312" w:asciiTheme="minorEastAsia" w:hAnsiTheme="minorEastAsia" w:eastAsiaTheme="minorEastAsia"/>
          <w:sz w:val="24"/>
        </w:rPr>
        <w:t>.1 双方确认，对所有保密信息、标志和授权称谓，以及由保密信息、标志和授权称谓衍生的、以其为基础或含有其部分内容的所有信息和材料的所有权利、利益、知识产权均属于甲方。本合同的签署和履行不应被理解为甲方通过明示、暗示或其它方式许可乙方对甲方在现阶段或将来拥有或持有的知识产权享有任何利益。</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0</w:t>
      </w:r>
      <w:r>
        <w:rPr>
          <w:rFonts w:cs="仿宋_GB2312" w:asciiTheme="minorEastAsia" w:hAnsiTheme="minorEastAsia" w:eastAsiaTheme="minorEastAsia"/>
          <w:sz w:val="24"/>
        </w:rPr>
        <w:t>.2 本合同所产生技术成果的全部知识产权，包括但不限于著作权、专利权、专利申请权、技术秘密、商标权等，全部归甲方所有，未经甲方事先书面许可，乙方及乙方技术服务人员不得实施、使用该项技术成果，也不得将该项技术成果以任何方式提供给任何第三方（包括甲方单位中与本项目无关的人员）。违反本条规定的，乙方应当对因此给甲方造成的一切损失承担赔偿责任，赔偿范围包括但不限于甲方因此遭受的直接经济损失，可预见的间接经济损失，以及甲方因此支出的诉讼费、仲裁费、律师费、差旅费、评估费、鉴定费等费用。</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0</w:t>
      </w:r>
      <w:r>
        <w:rPr>
          <w:rFonts w:cs="仿宋_GB2312" w:asciiTheme="minorEastAsia" w:hAnsiTheme="minorEastAsia" w:eastAsiaTheme="minorEastAsia"/>
          <w:sz w:val="24"/>
        </w:rPr>
        <w:t>.3 乙方保证乙方交付的成果不会侵犯甲方及任何第三方的知识产权，并保证甲方及甲方利益相关方免于遭受任何第三方基于本合同交付成果而提起任何知识产权诉讼。如果任何第三方基于本合同交付成果而针对甲方或甲方利益相关方提起任何知识产权诉讼，乙方应负责应诉，并承担所有费用，包括但不限于：诉讼费、律师费、鉴定费、罚金、赔偿金等，如甲方为自身及甲方利益相关方的利益应诉，并不免除乙方的前述义务，乙方应赔偿甲方因此遭受的前述全部损失。（但由于甲方原因而造成的第三方针对甲方或甲方利益相关方提起任何知识产权诉讼，乙方不承担任何责任）。乙方若侵害了第三方知识产权或其他合法权益的，还应及时公开澄清相关事实，使甲方声誉免受损害。</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0</w:t>
      </w:r>
      <w:r>
        <w:rPr>
          <w:rFonts w:cs="仿宋_GB2312" w:asciiTheme="minorEastAsia" w:hAnsiTheme="minorEastAsia" w:eastAsiaTheme="minorEastAsia"/>
          <w:sz w:val="24"/>
        </w:rPr>
        <w:t>.4 如乙方发现任何交付成果的知识产权可能有瑕疵，应立即书面通知甲方，并立即采取一切必要措施使交付成果合法化。</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0</w:t>
      </w:r>
      <w:r>
        <w:rPr>
          <w:rFonts w:cs="仿宋_GB2312" w:asciiTheme="minorEastAsia" w:hAnsiTheme="minorEastAsia" w:eastAsiaTheme="minorEastAsia"/>
          <w:sz w:val="24"/>
        </w:rPr>
        <w:t>.5 本条规定自本合同生效之日起即应履行，长期有效，并且不受本合同届满、提前终止或本合同中其他条款的无效或履行完毕等情形的影响。</w:t>
      </w:r>
    </w:p>
    <w:p>
      <w:pPr>
        <w:tabs>
          <w:tab w:val="left" w:pos="567"/>
        </w:tabs>
        <w:snapToGrid w:val="0"/>
        <w:spacing w:line="560" w:lineRule="exact"/>
        <w:ind w:firstLine="482" w:firstLineChars="200"/>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11、安全生产</w:t>
      </w:r>
    </w:p>
    <w:p>
      <w:pPr>
        <w:tabs>
          <w:tab w:val="left" w:pos="567"/>
        </w:tabs>
        <w:snapToGrid w:val="0"/>
        <w:spacing w:line="560" w:lineRule="exact"/>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甲乙双方均应落实安全生产各项要求。如涉及分包、转包的，乙方要做好外包项目的安全管理。</w:t>
      </w:r>
    </w:p>
    <w:p>
      <w:pPr>
        <w:tabs>
          <w:tab w:val="left" w:pos="567"/>
        </w:tabs>
        <w:snapToGrid w:val="0"/>
        <w:spacing w:line="560" w:lineRule="exact"/>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乙方应签订网络安全与数据安全责任书（详见本合同附件），重点保障网络数据安全。签署、解释、执行该责任书有关的一切争议，双方应首先友好协商解决。如经协商不能解决的，则按本合同约定的争议解决方式解决。</w:t>
      </w:r>
    </w:p>
    <w:p>
      <w:pPr>
        <w:tabs>
          <w:tab w:val="left" w:pos="567"/>
        </w:tabs>
        <w:snapToGrid w:val="0"/>
        <w:spacing w:line="560" w:lineRule="exact"/>
        <w:ind w:firstLine="482" w:firstLineChars="200"/>
        <w:rPr>
          <w:rFonts w:cs="仿宋_GB2312" w:asciiTheme="minorEastAsia" w:hAnsiTheme="minorEastAsia" w:eastAsiaTheme="minorEastAsia"/>
          <w:b/>
          <w:sz w:val="24"/>
        </w:rPr>
      </w:pPr>
      <w:r>
        <w:rPr>
          <w:rFonts w:cs="仿宋_GB2312" w:asciiTheme="minorEastAsia" w:hAnsiTheme="minorEastAsia" w:eastAsiaTheme="minorEastAsia"/>
          <w:b/>
          <w:sz w:val="24"/>
        </w:rPr>
        <w:t>1</w:t>
      </w:r>
      <w:r>
        <w:rPr>
          <w:rFonts w:hint="eastAsia" w:cs="仿宋_GB2312" w:asciiTheme="minorEastAsia" w:hAnsiTheme="minorEastAsia" w:eastAsiaTheme="minorEastAsia"/>
          <w:b/>
          <w:sz w:val="24"/>
        </w:rPr>
        <w:t>2</w:t>
      </w:r>
      <w:r>
        <w:rPr>
          <w:rFonts w:cs="仿宋_GB2312" w:asciiTheme="minorEastAsia" w:hAnsiTheme="minorEastAsia" w:eastAsiaTheme="minorEastAsia"/>
          <w:b/>
          <w:sz w:val="24"/>
        </w:rPr>
        <w:t>、合同的转让、变更及解除</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2</w:t>
      </w:r>
      <w:r>
        <w:rPr>
          <w:rFonts w:cs="仿宋_GB2312" w:asciiTheme="minorEastAsia" w:hAnsiTheme="minorEastAsia" w:eastAsiaTheme="minorEastAsia"/>
          <w:sz w:val="24"/>
        </w:rPr>
        <w:t>.1 未经甲方事先书面同意，乙方不得将本合同的权利或义务全部或部分转移给第三人。</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2</w:t>
      </w:r>
      <w:r>
        <w:rPr>
          <w:rFonts w:cs="仿宋_GB2312" w:asciiTheme="minorEastAsia" w:hAnsiTheme="minorEastAsia" w:eastAsiaTheme="minorEastAsia"/>
          <w:sz w:val="24"/>
        </w:rPr>
        <w:t>.2 经审批，且双方协商一致，可以变更、解除本合同。任何一方欲变更、解除本合同，必须提前15日以书面形式提出，双方协商一致后签署补充合同。</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2</w:t>
      </w:r>
      <w:r>
        <w:rPr>
          <w:rFonts w:cs="仿宋_GB2312" w:asciiTheme="minorEastAsia" w:hAnsiTheme="minorEastAsia" w:eastAsiaTheme="minorEastAsia"/>
          <w:sz w:val="24"/>
        </w:rPr>
        <w:t>.3 一方有下列情形之一的，另一方可以解除本合同：</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2</w:t>
      </w:r>
      <w:r>
        <w:rPr>
          <w:rFonts w:cs="仿宋_GB2312" w:asciiTheme="minorEastAsia" w:hAnsiTheme="minorEastAsia" w:eastAsiaTheme="minorEastAsia"/>
          <w:sz w:val="24"/>
        </w:rPr>
        <w:t>.3.1因不可抗力致使不能实现本合同的目的。</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2</w:t>
      </w:r>
      <w:r>
        <w:rPr>
          <w:rFonts w:cs="仿宋_GB2312" w:asciiTheme="minorEastAsia" w:hAnsiTheme="minorEastAsia" w:eastAsiaTheme="minorEastAsia"/>
          <w:sz w:val="24"/>
        </w:rPr>
        <w:t>.3.2在履行期限届满之前，一方明确表示或者以自己的行为表明不履行主要义务。</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2</w:t>
      </w:r>
      <w:r>
        <w:rPr>
          <w:rFonts w:cs="仿宋_GB2312" w:asciiTheme="minorEastAsia" w:hAnsiTheme="minorEastAsia" w:eastAsiaTheme="minorEastAsia"/>
          <w:sz w:val="24"/>
        </w:rPr>
        <w:t>.3.3一方迟延履行主要义务，经催告后在15日内仍未履行。</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2</w:t>
      </w:r>
      <w:r>
        <w:rPr>
          <w:rFonts w:cs="仿宋_GB2312" w:asciiTheme="minorEastAsia" w:hAnsiTheme="minorEastAsia" w:eastAsiaTheme="minorEastAsia"/>
          <w:sz w:val="24"/>
        </w:rPr>
        <w:t>.3.4一方迟延履行义务或者有其他违约行为致使不能实现合同目的。</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2</w:t>
      </w:r>
      <w:r>
        <w:rPr>
          <w:rFonts w:cs="仿宋_GB2312" w:asciiTheme="minorEastAsia" w:hAnsiTheme="minorEastAsia" w:eastAsiaTheme="minorEastAsia"/>
          <w:sz w:val="24"/>
        </w:rPr>
        <w:t>.3.5法律规定或本合同约定的其他情形。</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2</w:t>
      </w:r>
      <w:r>
        <w:rPr>
          <w:rFonts w:cs="仿宋_GB2312" w:asciiTheme="minorEastAsia" w:hAnsiTheme="minorEastAsia" w:eastAsiaTheme="minorEastAsia"/>
          <w:sz w:val="24"/>
        </w:rPr>
        <w:t>.4 本合同履行中，甲方需追加与合同标的相同的货物或者服务的，在不改变合同其他条款的前提下，可以与乙方协商签订补充合同，但所有补充合同的采购金额不得超过原合同采购金额的百分之十。当变更只是采购量增减时，按最后经过甲方书面确认后的报价明细单中的单价进行结算。</w:t>
      </w:r>
    </w:p>
    <w:p>
      <w:pPr>
        <w:tabs>
          <w:tab w:val="left" w:pos="567"/>
        </w:tabs>
        <w:snapToGrid w:val="0"/>
        <w:spacing w:line="560" w:lineRule="exact"/>
        <w:ind w:firstLine="482" w:firstLineChars="200"/>
        <w:rPr>
          <w:rFonts w:cs="仿宋_GB2312" w:asciiTheme="minorEastAsia" w:hAnsiTheme="minorEastAsia" w:eastAsiaTheme="minorEastAsia"/>
          <w:b/>
          <w:sz w:val="24"/>
        </w:rPr>
      </w:pPr>
      <w:r>
        <w:rPr>
          <w:rFonts w:cs="仿宋_GB2312" w:asciiTheme="minorEastAsia" w:hAnsiTheme="minorEastAsia" w:eastAsiaTheme="minorEastAsia"/>
          <w:b/>
          <w:sz w:val="24"/>
        </w:rPr>
        <w:t>1</w:t>
      </w:r>
      <w:r>
        <w:rPr>
          <w:rFonts w:hint="eastAsia" w:cs="仿宋_GB2312" w:asciiTheme="minorEastAsia" w:hAnsiTheme="minorEastAsia" w:eastAsiaTheme="minorEastAsia"/>
          <w:b/>
          <w:sz w:val="24"/>
        </w:rPr>
        <w:t>3</w:t>
      </w:r>
      <w:r>
        <w:rPr>
          <w:rFonts w:cs="仿宋_GB2312" w:asciiTheme="minorEastAsia" w:hAnsiTheme="minorEastAsia" w:eastAsiaTheme="minorEastAsia"/>
          <w:b/>
          <w:sz w:val="24"/>
        </w:rPr>
        <w:t>、违约责任</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3</w:t>
      </w:r>
      <w:r>
        <w:rPr>
          <w:rFonts w:cs="仿宋_GB2312" w:asciiTheme="minorEastAsia" w:hAnsiTheme="minorEastAsia" w:eastAsiaTheme="minorEastAsia"/>
          <w:sz w:val="24"/>
        </w:rPr>
        <w:t>.1 甲方应在规定时间内向乙方提供基础资料及文件，并对其准确性负责。</w:t>
      </w:r>
    </w:p>
    <w:p>
      <w:pPr>
        <w:autoSpaceDE w:val="0"/>
        <w:autoSpaceDN w:val="0"/>
        <w:snapToGrid w:val="0"/>
        <w:spacing w:line="560" w:lineRule="exact"/>
        <w:ind w:firstLine="480" w:firstLineChars="200"/>
        <w:rPr>
          <w:rFonts w:cs="Calibri" w:asciiTheme="minorEastAsia" w:hAnsiTheme="minorEastAsia" w:eastAsiaTheme="minorEastAsia"/>
          <w:kern w:val="0"/>
          <w:sz w:val="24"/>
          <w:lang w:val="zh-CN"/>
        </w:rPr>
      </w:pPr>
      <w:r>
        <w:rPr>
          <w:rFonts w:cs="Calibri" w:asciiTheme="minorEastAsia" w:hAnsiTheme="minorEastAsia" w:eastAsiaTheme="minorEastAsia"/>
          <w:kern w:val="0"/>
          <w:sz w:val="24"/>
          <w:lang w:val="zh-CN"/>
        </w:rPr>
        <w:t>1</w:t>
      </w:r>
      <w:r>
        <w:rPr>
          <w:rFonts w:hint="eastAsia" w:cs="Calibri" w:asciiTheme="minorEastAsia" w:hAnsiTheme="minorEastAsia" w:eastAsiaTheme="minorEastAsia"/>
          <w:kern w:val="0"/>
          <w:sz w:val="24"/>
          <w:lang w:val="zh-CN"/>
        </w:rPr>
        <w:t>3</w:t>
      </w:r>
      <w:r>
        <w:rPr>
          <w:rFonts w:cs="Calibri" w:asciiTheme="minorEastAsia" w:hAnsiTheme="minorEastAsia" w:eastAsiaTheme="minorEastAsia"/>
          <w:kern w:val="0"/>
          <w:sz w:val="24"/>
          <w:lang w:val="zh-CN"/>
        </w:rPr>
        <w:t>.2 乙方不能在合同约定时间提交全部最终成果资料的，自逾期之日起，向甲方每日偿付合同总价款万分之六的违约金，同时不解除合同交货责任；逾期超过三十天的，甲方有权解除本合同，并可要求乙方偿付合同总价款20%的违约金，同时乙方应退回全部已支付价款；</w:t>
      </w:r>
    </w:p>
    <w:p>
      <w:pPr>
        <w:autoSpaceDE w:val="0"/>
        <w:autoSpaceDN w:val="0"/>
        <w:snapToGrid w:val="0"/>
        <w:spacing w:line="560" w:lineRule="exact"/>
        <w:ind w:firstLine="480" w:firstLineChars="200"/>
        <w:rPr>
          <w:rFonts w:cs="Calibri" w:asciiTheme="minorEastAsia" w:hAnsiTheme="minorEastAsia" w:eastAsiaTheme="minorEastAsia"/>
          <w:kern w:val="0"/>
          <w:sz w:val="24"/>
          <w:lang w:val="zh-CN"/>
        </w:rPr>
      </w:pPr>
      <w:r>
        <w:rPr>
          <w:rFonts w:cs="Calibri" w:asciiTheme="minorEastAsia" w:hAnsiTheme="minorEastAsia" w:eastAsiaTheme="minorEastAsia"/>
          <w:kern w:val="0"/>
          <w:sz w:val="24"/>
          <w:lang w:val="zh-CN"/>
        </w:rPr>
        <w:t>1</w:t>
      </w:r>
      <w:r>
        <w:rPr>
          <w:rFonts w:hint="eastAsia" w:cs="Calibri" w:asciiTheme="minorEastAsia" w:hAnsiTheme="minorEastAsia" w:eastAsiaTheme="minorEastAsia"/>
          <w:kern w:val="0"/>
          <w:sz w:val="24"/>
          <w:lang w:val="zh-CN"/>
        </w:rPr>
        <w:t>3</w:t>
      </w:r>
      <w:r>
        <w:rPr>
          <w:rFonts w:cs="Calibri" w:asciiTheme="minorEastAsia" w:hAnsiTheme="minorEastAsia" w:eastAsiaTheme="minorEastAsia"/>
          <w:kern w:val="0"/>
          <w:sz w:val="24"/>
          <w:lang w:val="zh-CN"/>
        </w:rPr>
        <w:t>.3 乙方提供的成果质量验收不合格的，乙方应负责无偿重新提供，直至达到验收要求。因成果质量不符合合同要求给甲方造成损失的，甲方有权解除本合同，并可要求乙方偿付合同总价款20%的违约金，同时乙方应退回全部已支付价款；</w:t>
      </w:r>
    </w:p>
    <w:p>
      <w:pPr>
        <w:autoSpaceDE w:val="0"/>
        <w:autoSpaceDN w:val="0"/>
        <w:snapToGrid w:val="0"/>
        <w:spacing w:line="560" w:lineRule="exact"/>
        <w:ind w:firstLine="480" w:firstLineChars="200"/>
        <w:rPr>
          <w:rFonts w:cs="Calibri" w:asciiTheme="minorEastAsia" w:hAnsiTheme="minorEastAsia" w:eastAsiaTheme="minorEastAsia"/>
          <w:kern w:val="0"/>
          <w:sz w:val="24"/>
          <w:lang w:val="zh-CN"/>
        </w:rPr>
      </w:pPr>
      <w:r>
        <w:rPr>
          <w:rFonts w:cs="Calibri" w:asciiTheme="minorEastAsia" w:hAnsiTheme="minorEastAsia" w:eastAsiaTheme="minorEastAsia"/>
          <w:kern w:val="0"/>
          <w:sz w:val="24"/>
          <w:lang w:val="zh-CN"/>
        </w:rPr>
        <w:t>1</w:t>
      </w:r>
      <w:r>
        <w:rPr>
          <w:rFonts w:hint="eastAsia" w:cs="Calibri" w:asciiTheme="minorEastAsia" w:hAnsiTheme="minorEastAsia" w:eastAsiaTheme="minorEastAsia"/>
          <w:kern w:val="0"/>
          <w:sz w:val="24"/>
          <w:lang w:val="zh-CN"/>
        </w:rPr>
        <w:t>3</w:t>
      </w:r>
      <w:r>
        <w:rPr>
          <w:rFonts w:cs="Calibri" w:asciiTheme="minorEastAsia" w:hAnsiTheme="minorEastAsia" w:eastAsiaTheme="minorEastAsia"/>
          <w:kern w:val="0"/>
          <w:sz w:val="24"/>
          <w:lang w:val="zh-CN"/>
        </w:rPr>
        <w:t>.4 因甲方原因逾期支付合同款的，自逾期之日起，向乙方每日偿付所需支付货款的万分之六的违约金，同时不解除合同付款责任；</w:t>
      </w:r>
    </w:p>
    <w:p>
      <w:pPr>
        <w:autoSpaceDE w:val="0"/>
        <w:autoSpaceDN w:val="0"/>
        <w:snapToGrid w:val="0"/>
        <w:spacing w:line="560" w:lineRule="exact"/>
        <w:ind w:firstLine="480" w:firstLineChars="200"/>
        <w:rPr>
          <w:rFonts w:cs="Calibri" w:asciiTheme="minorEastAsia" w:hAnsiTheme="minorEastAsia" w:eastAsiaTheme="minorEastAsia"/>
          <w:kern w:val="0"/>
          <w:sz w:val="24"/>
          <w:lang w:val="zh-CN"/>
        </w:rPr>
      </w:pPr>
      <w:r>
        <w:rPr>
          <w:rFonts w:cs="Calibri" w:asciiTheme="minorEastAsia" w:hAnsiTheme="minorEastAsia" w:eastAsiaTheme="minorEastAsia"/>
          <w:kern w:val="0"/>
          <w:sz w:val="24"/>
          <w:lang w:val="zh-CN"/>
        </w:rPr>
        <w:t>1</w:t>
      </w:r>
      <w:r>
        <w:rPr>
          <w:rFonts w:hint="eastAsia" w:cs="Calibri" w:asciiTheme="minorEastAsia" w:hAnsiTheme="minorEastAsia" w:eastAsiaTheme="minorEastAsia"/>
          <w:kern w:val="0"/>
          <w:sz w:val="24"/>
          <w:lang w:val="zh-CN"/>
        </w:rPr>
        <w:t>3</w:t>
      </w:r>
      <w:r>
        <w:rPr>
          <w:rFonts w:cs="Calibri" w:asciiTheme="minorEastAsia" w:hAnsiTheme="minorEastAsia" w:eastAsiaTheme="minorEastAsia"/>
          <w:kern w:val="0"/>
          <w:sz w:val="24"/>
          <w:lang w:val="zh-CN"/>
        </w:rPr>
        <w:t>.5 乙方擅自将本合同的标的转包或者部分分包给第三方的，甲方有权解除合同，并可要求乙方偿付合同总价款20%的违约金，同时乙方应退回全部已支付价款；</w:t>
      </w:r>
    </w:p>
    <w:p>
      <w:pPr>
        <w:autoSpaceDE w:val="0"/>
        <w:autoSpaceDN w:val="0"/>
        <w:snapToGrid w:val="0"/>
        <w:spacing w:line="560" w:lineRule="exact"/>
        <w:ind w:firstLine="480" w:firstLineChars="200"/>
        <w:rPr>
          <w:rFonts w:cs="Calibri" w:asciiTheme="minorEastAsia" w:hAnsiTheme="minorEastAsia" w:eastAsiaTheme="minorEastAsia"/>
          <w:kern w:val="0"/>
          <w:sz w:val="24"/>
          <w:lang w:val="zh-CN"/>
        </w:rPr>
      </w:pPr>
      <w:r>
        <w:rPr>
          <w:rFonts w:cs="Calibri" w:asciiTheme="minorEastAsia" w:hAnsiTheme="minorEastAsia" w:eastAsiaTheme="minorEastAsia"/>
          <w:kern w:val="0"/>
          <w:sz w:val="24"/>
          <w:lang w:val="zh-CN"/>
        </w:rPr>
        <w:t>1</w:t>
      </w:r>
      <w:r>
        <w:rPr>
          <w:rFonts w:hint="eastAsia" w:cs="Calibri" w:asciiTheme="minorEastAsia" w:hAnsiTheme="minorEastAsia" w:eastAsiaTheme="minorEastAsia"/>
          <w:kern w:val="0"/>
          <w:sz w:val="24"/>
          <w:lang w:val="zh-CN"/>
        </w:rPr>
        <w:t>3</w:t>
      </w:r>
      <w:r>
        <w:rPr>
          <w:rFonts w:cs="Calibri" w:asciiTheme="minorEastAsia" w:hAnsiTheme="minorEastAsia" w:eastAsiaTheme="minorEastAsia"/>
          <w:kern w:val="0"/>
          <w:sz w:val="24"/>
          <w:lang w:val="zh-CN"/>
        </w:rPr>
        <w:t>.6 如发生违约事件，守约方要求违约方支付违约金时，须以书面方式通知违约方，内容包括违约事件、违约金、支付时间和方式等；违约方在收到上述通知后，应于5个工作日内书面答复对方，并支付违约金。如双方不能就此达成一致意见，将按照本合同所规定的争议解决条款解决双方的纠纷；</w:t>
      </w:r>
    </w:p>
    <w:p>
      <w:pPr>
        <w:snapToGrid w:val="0"/>
        <w:spacing w:line="560" w:lineRule="exact"/>
        <w:ind w:firstLine="480" w:firstLineChars="200"/>
        <w:rPr>
          <w:rFonts w:cs="仿宋_GB2312" w:asciiTheme="minorEastAsia" w:hAnsiTheme="minorEastAsia" w:eastAsiaTheme="minorEastAsia"/>
          <w:sz w:val="24"/>
        </w:rPr>
      </w:pPr>
      <w:r>
        <w:rPr>
          <w:rFonts w:cs="Calibri" w:asciiTheme="minorEastAsia" w:hAnsiTheme="minorEastAsia" w:eastAsiaTheme="minorEastAsia"/>
          <w:kern w:val="0"/>
          <w:sz w:val="24"/>
          <w:lang w:val="zh-CN"/>
        </w:rPr>
        <w:t>1</w:t>
      </w:r>
      <w:r>
        <w:rPr>
          <w:rFonts w:hint="eastAsia" w:cs="Calibri" w:asciiTheme="minorEastAsia" w:hAnsiTheme="minorEastAsia" w:eastAsiaTheme="minorEastAsia"/>
          <w:kern w:val="0"/>
          <w:sz w:val="24"/>
          <w:lang w:val="zh-CN"/>
        </w:rPr>
        <w:t>3</w:t>
      </w:r>
      <w:r>
        <w:rPr>
          <w:rFonts w:cs="Calibri" w:asciiTheme="minorEastAsia" w:hAnsiTheme="minorEastAsia" w:eastAsiaTheme="minorEastAsia"/>
          <w:kern w:val="0"/>
          <w:sz w:val="24"/>
          <w:lang w:val="zh-CN"/>
        </w:rPr>
        <w:t xml:space="preserve">.7 </w:t>
      </w:r>
      <w:r>
        <w:rPr>
          <w:rFonts w:cs="Calibri" w:asciiTheme="minorEastAsia" w:hAnsiTheme="minorEastAsia" w:eastAsiaTheme="minorEastAsia"/>
          <w:sz w:val="24"/>
        </w:rPr>
        <w:t>付款按财政政策以及甲方的要求执行，因乙方迟延履行、乙方在本合同项下存在违约行为以及不符合财政资金支付时间要求等原因造成不能及时支付款的，甲方不承担任何责任。</w:t>
      </w:r>
    </w:p>
    <w:p>
      <w:pPr>
        <w:tabs>
          <w:tab w:val="left" w:pos="567"/>
        </w:tabs>
        <w:snapToGrid w:val="0"/>
        <w:spacing w:line="560" w:lineRule="exact"/>
        <w:ind w:firstLine="482" w:firstLineChars="200"/>
        <w:rPr>
          <w:rFonts w:cs="仿宋_GB2312" w:asciiTheme="minorEastAsia" w:hAnsiTheme="minorEastAsia" w:eastAsiaTheme="minorEastAsia"/>
          <w:b/>
          <w:sz w:val="24"/>
        </w:rPr>
      </w:pPr>
      <w:r>
        <w:rPr>
          <w:rFonts w:cs="仿宋_GB2312" w:asciiTheme="minorEastAsia" w:hAnsiTheme="minorEastAsia" w:eastAsiaTheme="minorEastAsia"/>
          <w:b/>
          <w:sz w:val="24"/>
        </w:rPr>
        <w:t>1</w:t>
      </w:r>
      <w:r>
        <w:rPr>
          <w:rFonts w:hint="eastAsia" w:cs="仿宋_GB2312" w:asciiTheme="minorEastAsia" w:hAnsiTheme="minorEastAsia" w:eastAsiaTheme="minorEastAsia"/>
          <w:b/>
          <w:sz w:val="24"/>
        </w:rPr>
        <w:t>4</w:t>
      </w:r>
      <w:r>
        <w:rPr>
          <w:rFonts w:cs="仿宋_GB2312" w:asciiTheme="minorEastAsia" w:hAnsiTheme="minorEastAsia" w:eastAsiaTheme="minorEastAsia"/>
          <w:b/>
          <w:sz w:val="24"/>
        </w:rPr>
        <w:t>、争议解决</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4</w:t>
      </w:r>
      <w:r>
        <w:rPr>
          <w:rFonts w:cs="仿宋_GB2312" w:asciiTheme="minorEastAsia" w:hAnsiTheme="minorEastAsia" w:eastAsiaTheme="minorEastAsia"/>
          <w:sz w:val="24"/>
        </w:rPr>
        <w:t>.1 本合同应适用中国法律并应根据中国法律解释。</w:t>
      </w:r>
    </w:p>
    <w:p>
      <w:pPr>
        <w:snapToGrid w:val="0"/>
        <w:spacing w:line="540" w:lineRule="exact"/>
        <w:ind w:firstLine="480" w:firstLineChars="200"/>
        <w:rPr>
          <w:rFonts w:cs="Calibri"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4</w:t>
      </w:r>
      <w:r>
        <w:rPr>
          <w:rFonts w:cs="仿宋_GB2312" w:asciiTheme="minorEastAsia" w:hAnsiTheme="minorEastAsia" w:eastAsiaTheme="minorEastAsia"/>
          <w:sz w:val="24"/>
        </w:rPr>
        <w:t xml:space="preserve">.2 </w:t>
      </w:r>
      <w:r>
        <w:rPr>
          <w:rFonts w:cs="Calibri" w:asciiTheme="minorEastAsia" w:hAnsiTheme="minorEastAsia" w:eastAsiaTheme="minorEastAsia"/>
          <w:sz w:val="24"/>
        </w:rPr>
        <w:t>在本合同履行过程中发生争议，双方应当协商解决，如协商不成，任何一方有权向甲方所在地人民法院诉讼解决。</w:t>
      </w:r>
    </w:p>
    <w:p>
      <w:pPr>
        <w:tabs>
          <w:tab w:val="left" w:pos="567"/>
        </w:tabs>
        <w:snapToGrid w:val="0"/>
        <w:spacing w:line="560" w:lineRule="exact"/>
        <w:ind w:firstLine="482" w:firstLineChars="200"/>
        <w:rPr>
          <w:rFonts w:cs="仿宋_GB2312" w:asciiTheme="minorEastAsia" w:hAnsiTheme="minorEastAsia" w:eastAsiaTheme="minorEastAsia"/>
          <w:b/>
          <w:sz w:val="24"/>
        </w:rPr>
      </w:pPr>
      <w:r>
        <w:rPr>
          <w:rFonts w:cs="仿宋_GB2312" w:asciiTheme="minorEastAsia" w:hAnsiTheme="minorEastAsia" w:eastAsiaTheme="minorEastAsia"/>
          <w:b/>
          <w:sz w:val="24"/>
        </w:rPr>
        <w:t>1</w:t>
      </w:r>
      <w:r>
        <w:rPr>
          <w:rFonts w:hint="eastAsia" w:cs="仿宋_GB2312" w:asciiTheme="minorEastAsia" w:hAnsiTheme="minorEastAsia" w:eastAsiaTheme="minorEastAsia"/>
          <w:b/>
          <w:sz w:val="24"/>
        </w:rPr>
        <w:t>5</w:t>
      </w:r>
      <w:r>
        <w:rPr>
          <w:rFonts w:cs="仿宋_GB2312" w:asciiTheme="minorEastAsia" w:hAnsiTheme="minorEastAsia" w:eastAsiaTheme="minorEastAsia"/>
          <w:b/>
          <w:sz w:val="24"/>
        </w:rPr>
        <w:t>、不可抗力</w:t>
      </w:r>
    </w:p>
    <w:p>
      <w:pPr>
        <w:snapToGrid w:val="0"/>
        <w:spacing w:line="560" w:lineRule="exact"/>
        <w:ind w:firstLine="480" w:firstLineChars="200"/>
        <w:rPr>
          <w:rFonts w:cs="Calibri" w:asciiTheme="minorEastAsia" w:hAnsiTheme="minorEastAsia" w:eastAsiaTheme="minorEastAsia"/>
          <w:kern w:val="0"/>
          <w:sz w:val="24"/>
          <w:lang w:val="zh-CN"/>
        </w:rPr>
      </w:pPr>
      <w:r>
        <w:rPr>
          <w:rFonts w:cs="Calibri" w:asciiTheme="minorEastAsia" w:hAnsiTheme="minorEastAsia" w:eastAsiaTheme="minorEastAsia"/>
          <w:kern w:val="0"/>
          <w:sz w:val="24"/>
          <w:lang w:val="zh-CN"/>
        </w:rPr>
        <w:t>1</w:t>
      </w:r>
      <w:r>
        <w:rPr>
          <w:rFonts w:hint="eastAsia" w:cs="Calibri" w:asciiTheme="minorEastAsia" w:hAnsiTheme="minorEastAsia" w:eastAsiaTheme="minorEastAsia"/>
          <w:kern w:val="0"/>
          <w:sz w:val="24"/>
          <w:lang w:val="zh-CN"/>
        </w:rPr>
        <w:t>5</w:t>
      </w:r>
      <w:r>
        <w:rPr>
          <w:rFonts w:cs="Calibri" w:asciiTheme="minorEastAsia" w:hAnsiTheme="minorEastAsia" w:eastAsiaTheme="minorEastAsia"/>
          <w:kern w:val="0"/>
          <w:sz w:val="24"/>
          <w:lang w:val="zh-CN"/>
        </w:rPr>
        <w:t>.1 在合同有效期内，任何一方因不可抗力事件导致不能履行合同，则合同履行期可延长，其延长期与不可抗力影响期相同。</w:t>
      </w:r>
    </w:p>
    <w:p>
      <w:pPr>
        <w:snapToGrid w:val="0"/>
        <w:spacing w:line="560" w:lineRule="exact"/>
        <w:ind w:firstLine="480" w:firstLineChars="200"/>
        <w:rPr>
          <w:rFonts w:cs="Calibri" w:asciiTheme="minorEastAsia" w:hAnsiTheme="minorEastAsia" w:eastAsiaTheme="minorEastAsia"/>
          <w:kern w:val="0"/>
          <w:sz w:val="24"/>
          <w:lang w:val="zh-CN"/>
        </w:rPr>
      </w:pPr>
      <w:r>
        <w:rPr>
          <w:rFonts w:cs="Calibri" w:asciiTheme="minorEastAsia" w:hAnsiTheme="minorEastAsia" w:eastAsiaTheme="minorEastAsia"/>
          <w:kern w:val="0"/>
          <w:sz w:val="24"/>
          <w:lang w:val="zh-CN"/>
        </w:rPr>
        <w:t>1</w:t>
      </w:r>
      <w:r>
        <w:rPr>
          <w:rFonts w:hint="eastAsia" w:cs="Calibri" w:asciiTheme="minorEastAsia" w:hAnsiTheme="minorEastAsia" w:eastAsiaTheme="minorEastAsia"/>
          <w:kern w:val="0"/>
          <w:sz w:val="24"/>
          <w:lang w:val="zh-CN"/>
        </w:rPr>
        <w:t>5</w:t>
      </w:r>
      <w:r>
        <w:rPr>
          <w:rFonts w:cs="Calibri" w:asciiTheme="minorEastAsia" w:hAnsiTheme="minorEastAsia" w:eastAsiaTheme="minorEastAsia"/>
          <w:kern w:val="0"/>
          <w:sz w:val="24"/>
          <w:lang w:val="zh-CN"/>
        </w:rPr>
        <w:t>.2 不可抗力事件发生后，应立即通知对方，并寄送有关权威机构出具的证明。</w:t>
      </w:r>
    </w:p>
    <w:p>
      <w:pPr>
        <w:snapToGrid w:val="0"/>
        <w:spacing w:line="560" w:lineRule="exact"/>
        <w:ind w:firstLine="480" w:firstLineChars="200"/>
        <w:rPr>
          <w:rFonts w:cs="仿宋_GB2312" w:asciiTheme="minorEastAsia" w:hAnsiTheme="minorEastAsia" w:eastAsiaTheme="minorEastAsia"/>
          <w:b/>
          <w:sz w:val="24"/>
        </w:rPr>
      </w:pPr>
      <w:r>
        <w:rPr>
          <w:rFonts w:cs="Calibri" w:asciiTheme="minorEastAsia" w:hAnsiTheme="minorEastAsia" w:eastAsiaTheme="minorEastAsia"/>
          <w:kern w:val="0"/>
          <w:sz w:val="24"/>
          <w:lang w:val="zh-CN"/>
        </w:rPr>
        <w:t>1</w:t>
      </w:r>
      <w:r>
        <w:rPr>
          <w:rFonts w:hint="eastAsia" w:cs="Calibri" w:asciiTheme="minorEastAsia" w:hAnsiTheme="minorEastAsia" w:eastAsiaTheme="minorEastAsia"/>
          <w:kern w:val="0"/>
          <w:sz w:val="24"/>
          <w:lang w:val="zh-CN"/>
        </w:rPr>
        <w:t>5</w:t>
      </w:r>
      <w:r>
        <w:rPr>
          <w:rFonts w:cs="Calibri" w:asciiTheme="minorEastAsia" w:hAnsiTheme="minorEastAsia" w:eastAsiaTheme="minorEastAsia"/>
          <w:kern w:val="0"/>
          <w:sz w:val="24"/>
          <w:lang w:val="zh-CN"/>
        </w:rPr>
        <w:t>.3 不可抗力事件延续120天以上，双方可通过友好协商，确定是否继续履行合同。</w:t>
      </w:r>
    </w:p>
    <w:p>
      <w:pPr>
        <w:tabs>
          <w:tab w:val="left" w:pos="567"/>
        </w:tabs>
        <w:snapToGrid w:val="0"/>
        <w:spacing w:line="560" w:lineRule="exact"/>
        <w:ind w:firstLine="482" w:firstLineChars="200"/>
        <w:rPr>
          <w:rFonts w:cs="仿宋_GB2312" w:asciiTheme="minorEastAsia" w:hAnsiTheme="minorEastAsia" w:eastAsiaTheme="minorEastAsia"/>
          <w:b/>
          <w:sz w:val="24"/>
        </w:rPr>
      </w:pPr>
      <w:r>
        <w:rPr>
          <w:rFonts w:cs="仿宋_GB2312" w:asciiTheme="minorEastAsia" w:hAnsiTheme="minorEastAsia" w:eastAsiaTheme="minorEastAsia"/>
          <w:b/>
          <w:sz w:val="24"/>
        </w:rPr>
        <w:t>1</w:t>
      </w:r>
      <w:r>
        <w:rPr>
          <w:rFonts w:hint="eastAsia" w:cs="仿宋_GB2312" w:asciiTheme="minorEastAsia" w:hAnsiTheme="minorEastAsia" w:eastAsiaTheme="minorEastAsia"/>
          <w:b/>
          <w:sz w:val="24"/>
        </w:rPr>
        <w:t>6</w:t>
      </w:r>
      <w:r>
        <w:rPr>
          <w:rFonts w:cs="仿宋_GB2312" w:asciiTheme="minorEastAsia" w:hAnsiTheme="minorEastAsia" w:eastAsiaTheme="minorEastAsia"/>
          <w:b/>
          <w:sz w:val="24"/>
        </w:rPr>
        <w:t>、其他</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16</w:t>
      </w:r>
      <w:r>
        <w:rPr>
          <w:rFonts w:cs="仿宋_GB2312" w:asciiTheme="minorEastAsia" w:hAnsiTheme="minorEastAsia" w:eastAsiaTheme="minorEastAsia"/>
          <w:sz w:val="24"/>
        </w:rPr>
        <w:t>.</w:t>
      </w:r>
      <w:r>
        <w:rPr>
          <w:rFonts w:hint="eastAsia" w:cs="仿宋_GB2312" w:asciiTheme="minorEastAsia" w:hAnsiTheme="minorEastAsia" w:eastAsiaTheme="minorEastAsia"/>
          <w:sz w:val="24"/>
        </w:rPr>
        <w:t>1本合同服务期限届满的，若在服务期限届满后甲方仍未确定下一个服务期限的服务提供方的，则乙方应甲方的要求继续为本协议项下提供服务，直至甲方确定下一个服务期限的服务提供方，费用协商解决。</w:t>
      </w:r>
    </w:p>
    <w:p>
      <w:pPr>
        <w:snapToGrid w:val="0"/>
        <w:spacing w:line="560" w:lineRule="exact"/>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16.2</w:t>
      </w:r>
      <w:r>
        <w:rPr>
          <w:rFonts w:cs="仿宋_GB2312" w:asciiTheme="minorEastAsia" w:hAnsiTheme="minorEastAsia" w:eastAsiaTheme="minorEastAsia"/>
          <w:sz w:val="24"/>
        </w:rPr>
        <w:t>招标文件及其补充文件、投标文件、中标通知书等作为合同的组成部分</w:t>
      </w:r>
      <w:r>
        <w:rPr>
          <w:rFonts w:hint="eastAsia" w:cs="仿宋_GB2312" w:asciiTheme="minorEastAsia" w:hAnsiTheme="minorEastAsia" w:eastAsiaTheme="minorEastAsia"/>
          <w:sz w:val="24"/>
        </w:rPr>
        <w:t>。</w:t>
      </w:r>
      <w:r>
        <w:rPr>
          <w:rFonts w:cs="仿宋_GB2312" w:asciiTheme="minorEastAsia" w:hAnsiTheme="minorEastAsia" w:eastAsiaTheme="minorEastAsia"/>
          <w:sz w:val="24"/>
        </w:rPr>
        <w:t>解释顺序为：本合同以及补充协议-中标通知书-招标文件及其补充文件-投标文件。</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6</w:t>
      </w:r>
      <w:r>
        <w:rPr>
          <w:rFonts w:cs="仿宋_GB2312" w:asciiTheme="minorEastAsia" w:hAnsiTheme="minorEastAsia" w:eastAsiaTheme="minorEastAsia"/>
          <w:sz w:val="24"/>
        </w:rPr>
        <w:t>.</w:t>
      </w:r>
      <w:r>
        <w:rPr>
          <w:rFonts w:hint="eastAsia" w:cs="仿宋_GB2312" w:asciiTheme="minorEastAsia" w:hAnsiTheme="minorEastAsia" w:eastAsiaTheme="minorEastAsia"/>
          <w:sz w:val="24"/>
        </w:rPr>
        <w:t>3</w:t>
      </w:r>
      <w:r>
        <w:rPr>
          <w:rFonts w:cs="仿宋_GB2312" w:asciiTheme="minorEastAsia" w:hAnsiTheme="minorEastAsia" w:eastAsiaTheme="minorEastAsia"/>
          <w:sz w:val="24"/>
        </w:rPr>
        <w:t xml:space="preserve"> 本合同由甲乙双方签署之日起生效。</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6</w:t>
      </w:r>
      <w:r>
        <w:rPr>
          <w:rFonts w:cs="仿宋_GB2312" w:asciiTheme="minorEastAsia" w:hAnsiTheme="minorEastAsia" w:eastAsiaTheme="minorEastAsia"/>
          <w:sz w:val="24"/>
        </w:rPr>
        <w:t>.</w:t>
      </w:r>
      <w:r>
        <w:rPr>
          <w:rFonts w:hint="eastAsia" w:cs="仿宋_GB2312" w:asciiTheme="minorEastAsia" w:hAnsiTheme="minorEastAsia" w:eastAsiaTheme="minorEastAsia"/>
          <w:sz w:val="24"/>
        </w:rPr>
        <w:t>4</w:t>
      </w:r>
      <w:r>
        <w:rPr>
          <w:rFonts w:cs="仿宋_GB2312" w:asciiTheme="minorEastAsia" w:hAnsiTheme="minorEastAsia" w:eastAsiaTheme="minorEastAsia"/>
          <w:sz w:val="24"/>
        </w:rPr>
        <w:t xml:space="preserve"> 对本合同的任何修改和补充均应以补充合同的形式作出，由双方签署后生效。本合同的附件、补充合同与本合同具有同等法律效力。</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1</w:t>
      </w:r>
      <w:r>
        <w:rPr>
          <w:rFonts w:hint="eastAsia" w:cs="仿宋_GB2312" w:asciiTheme="minorEastAsia" w:hAnsiTheme="minorEastAsia" w:eastAsiaTheme="minorEastAsia"/>
          <w:sz w:val="24"/>
        </w:rPr>
        <w:t>6</w:t>
      </w:r>
      <w:r>
        <w:rPr>
          <w:rFonts w:cs="仿宋_GB2312" w:asciiTheme="minorEastAsia" w:hAnsiTheme="minorEastAsia" w:eastAsiaTheme="minorEastAsia"/>
          <w:sz w:val="24"/>
        </w:rPr>
        <w:t>.</w:t>
      </w:r>
      <w:r>
        <w:rPr>
          <w:rFonts w:hint="eastAsia" w:cs="仿宋_GB2312" w:asciiTheme="minorEastAsia" w:hAnsiTheme="minorEastAsia" w:eastAsiaTheme="minorEastAsia"/>
          <w:sz w:val="24"/>
        </w:rPr>
        <w:t>5</w:t>
      </w:r>
      <w:r>
        <w:rPr>
          <w:rFonts w:cs="仿宋_GB2312" w:asciiTheme="minorEastAsia" w:hAnsiTheme="minorEastAsia" w:eastAsiaTheme="minorEastAsia"/>
          <w:sz w:val="24"/>
        </w:rPr>
        <w:t xml:space="preserve"> 本合同一式陆份，甲方执叁份，乙方执叁份，各份具有同等法律效力。</w:t>
      </w:r>
    </w:p>
    <w:p>
      <w:pPr>
        <w:snapToGrid w:val="0"/>
        <w:spacing w:line="560" w:lineRule="exact"/>
        <w:ind w:firstLine="480" w:firstLineChars="200"/>
        <w:rPr>
          <w:rFonts w:cs="仿宋_GB2312" w:asciiTheme="minorEastAsia" w:hAnsiTheme="minorEastAsia" w:eastAsiaTheme="minorEastAsia"/>
          <w:sz w:val="24"/>
        </w:rPr>
      </w:pPr>
      <w:r>
        <w:rPr>
          <w:rFonts w:cs="仿宋_GB2312" w:asciiTheme="minorEastAsia" w:hAnsiTheme="minorEastAsia" w:eastAsiaTheme="minorEastAsia"/>
          <w:sz w:val="24"/>
        </w:rPr>
        <w:t>（以下无正文）</w:t>
      </w:r>
    </w:p>
    <w:p>
      <w:pPr>
        <w:adjustRightInd/>
        <w:spacing w:line="560" w:lineRule="exact"/>
        <w:rPr>
          <w:rFonts w:cs="仿宋_GB2312" w:asciiTheme="minorEastAsia" w:hAnsiTheme="minorEastAsia" w:eastAsiaTheme="minorEastAsia"/>
          <w:sz w:val="24"/>
        </w:rPr>
      </w:pPr>
    </w:p>
    <w:p>
      <w:pPr>
        <w:adjustRightInd/>
        <w:spacing w:line="560" w:lineRule="exact"/>
        <w:rPr>
          <w:rFonts w:cs="Calibri" w:asciiTheme="minorEastAsia" w:hAnsiTheme="minorEastAsia" w:eastAsiaTheme="minorEastAsia"/>
          <w:sz w:val="24"/>
        </w:rPr>
      </w:pPr>
      <w:r>
        <w:rPr>
          <w:rFonts w:cs="仿宋_GB2312" w:asciiTheme="minorEastAsia" w:hAnsiTheme="minorEastAsia" w:eastAsiaTheme="minorEastAsia"/>
          <w:sz w:val="24"/>
        </w:rPr>
        <w:br w:type="page"/>
      </w:r>
    </w:p>
    <w:p>
      <w:pPr>
        <w:adjustRightInd/>
        <w:spacing w:line="560" w:lineRule="exact"/>
        <w:rPr>
          <w:rFonts w:cs="Calibri" w:asciiTheme="minorEastAsia" w:hAnsiTheme="minorEastAsia" w:eastAsiaTheme="minorEastAsia"/>
          <w:sz w:val="24"/>
        </w:rPr>
      </w:pPr>
      <w:r>
        <w:rPr>
          <w:rFonts w:hint="eastAsia" w:cs="Calibri" w:asciiTheme="minorEastAsia" w:hAnsiTheme="minorEastAsia" w:eastAsiaTheme="minorEastAsia"/>
          <w:sz w:val="24"/>
        </w:rPr>
        <w:t xml:space="preserve">           </w:t>
      </w:r>
      <w:r>
        <w:rPr>
          <w:rFonts w:cs="Calibri" w:asciiTheme="minorEastAsia" w:hAnsiTheme="minorEastAsia" w:eastAsiaTheme="minorEastAsia"/>
          <w:sz w:val="24"/>
        </w:rPr>
        <w:t xml:space="preserve">甲方（盖章）：         </w:t>
      </w:r>
      <w:r>
        <w:rPr>
          <w:rFonts w:hint="eastAsia" w:cs="Calibri" w:asciiTheme="minorEastAsia" w:hAnsiTheme="minorEastAsia" w:eastAsiaTheme="minorEastAsia"/>
          <w:sz w:val="24"/>
        </w:rPr>
        <w:t xml:space="preserve">                  </w:t>
      </w:r>
      <w:r>
        <w:rPr>
          <w:rFonts w:cs="Calibri" w:asciiTheme="minorEastAsia" w:hAnsiTheme="minorEastAsia" w:eastAsiaTheme="minorEastAsia"/>
          <w:sz w:val="24"/>
        </w:rPr>
        <w:t>乙方（盖章）：</w:t>
      </w:r>
    </w:p>
    <w:p>
      <w:pPr>
        <w:adjustRightInd/>
        <w:spacing w:line="560" w:lineRule="exact"/>
        <w:rPr>
          <w:rFonts w:cs="Calibri" w:asciiTheme="minorEastAsia" w:hAnsiTheme="minorEastAsia" w:eastAsiaTheme="minorEastAsia"/>
          <w:sz w:val="24"/>
        </w:rPr>
      </w:pPr>
      <w:r>
        <w:rPr>
          <w:rFonts w:cs="Calibri" w:asciiTheme="minorEastAsia" w:hAnsiTheme="minorEastAsia" w:eastAsiaTheme="minorEastAsia"/>
          <w:sz w:val="24"/>
        </w:rPr>
        <w:t xml:space="preserve">     </w:t>
      </w:r>
    </w:p>
    <w:p>
      <w:pPr>
        <w:adjustRightInd/>
        <w:spacing w:line="560" w:lineRule="exact"/>
        <w:rPr>
          <w:rFonts w:cs="Calibri" w:asciiTheme="minorEastAsia" w:hAnsiTheme="minorEastAsia" w:eastAsiaTheme="minorEastAsia"/>
          <w:sz w:val="24"/>
        </w:rPr>
      </w:pPr>
      <w:r>
        <w:rPr>
          <w:rFonts w:hint="eastAsia" w:cs="Calibri" w:asciiTheme="minorEastAsia" w:hAnsiTheme="minorEastAsia" w:eastAsiaTheme="minorEastAsia"/>
          <w:sz w:val="24"/>
        </w:rPr>
        <w:t xml:space="preserve">           </w:t>
      </w:r>
      <w:r>
        <w:rPr>
          <w:rFonts w:cs="Calibri" w:asciiTheme="minorEastAsia" w:hAnsiTheme="minorEastAsia" w:eastAsiaTheme="minorEastAsia"/>
          <w:sz w:val="24"/>
        </w:rPr>
        <w:t xml:space="preserve">法定代表人             </w:t>
      </w:r>
      <w:r>
        <w:rPr>
          <w:rFonts w:hint="eastAsia" w:cs="Calibri" w:asciiTheme="minorEastAsia" w:hAnsiTheme="minorEastAsia" w:eastAsiaTheme="minorEastAsia"/>
          <w:sz w:val="24"/>
        </w:rPr>
        <w:t xml:space="preserve">                  </w:t>
      </w:r>
      <w:r>
        <w:rPr>
          <w:rFonts w:cs="Calibri" w:asciiTheme="minorEastAsia" w:hAnsiTheme="minorEastAsia" w:eastAsiaTheme="minorEastAsia"/>
          <w:sz w:val="24"/>
        </w:rPr>
        <w:t xml:space="preserve">法定代表人           </w:t>
      </w:r>
    </w:p>
    <w:p>
      <w:pPr>
        <w:tabs>
          <w:tab w:val="left" w:pos="4395"/>
        </w:tabs>
        <w:adjustRightInd/>
        <w:spacing w:line="560" w:lineRule="exact"/>
        <w:rPr>
          <w:rFonts w:cs="Calibri" w:asciiTheme="minorEastAsia" w:hAnsiTheme="minorEastAsia" w:eastAsiaTheme="minorEastAsia"/>
          <w:sz w:val="24"/>
        </w:rPr>
      </w:pPr>
    </w:p>
    <w:p>
      <w:pPr>
        <w:adjustRightInd/>
        <w:spacing w:line="560" w:lineRule="exact"/>
        <w:rPr>
          <w:rFonts w:cs="Calibri" w:asciiTheme="minorEastAsia" w:hAnsiTheme="minorEastAsia" w:eastAsiaTheme="minorEastAsia"/>
          <w:sz w:val="24"/>
        </w:rPr>
      </w:pPr>
      <w:r>
        <w:rPr>
          <w:rFonts w:hint="eastAsia" w:cs="Calibri" w:asciiTheme="minorEastAsia" w:hAnsiTheme="minorEastAsia" w:eastAsiaTheme="minorEastAsia"/>
          <w:sz w:val="24"/>
        </w:rPr>
        <w:t xml:space="preserve">           </w:t>
      </w:r>
      <w:r>
        <w:rPr>
          <w:rFonts w:cs="Calibri" w:asciiTheme="minorEastAsia" w:hAnsiTheme="minorEastAsia" w:eastAsiaTheme="minorEastAsia"/>
          <w:sz w:val="24"/>
        </w:rPr>
        <w:t xml:space="preserve">或受委托人             </w:t>
      </w:r>
      <w:r>
        <w:rPr>
          <w:rFonts w:hint="eastAsia" w:cs="Calibri" w:asciiTheme="minorEastAsia" w:hAnsiTheme="minorEastAsia" w:eastAsiaTheme="minorEastAsia"/>
          <w:sz w:val="24"/>
        </w:rPr>
        <w:t xml:space="preserve">                  </w:t>
      </w:r>
      <w:r>
        <w:rPr>
          <w:rFonts w:cs="Calibri" w:asciiTheme="minorEastAsia" w:hAnsiTheme="minorEastAsia" w:eastAsiaTheme="minorEastAsia"/>
          <w:sz w:val="24"/>
        </w:rPr>
        <w:t xml:space="preserve">或受委托人  </w:t>
      </w:r>
    </w:p>
    <w:p>
      <w:pPr>
        <w:adjustRightInd/>
        <w:spacing w:line="560" w:lineRule="exact"/>
        <w:rPr>
          <w:rFonts w:cs="Calibri" w:asciiTheme="minorEastAsia" w:hAnsiTheme="minorEastAsia" w:eastAsiaTheme="minorEastAsia"/>
          <w:sz w:val="24"/>
        </w:rPr>
      </w:pPr>
      <w:r>
        <w:rPr>
          <w:rFonts w:cs="Calibri" w:asciiTheme="minorEastAsia" w:hAnsiTheme="minorEastAsia" w:eastAsiaTheme="minorEastAsia"/>
          <w:sz w:val="24"/>
        </w:rPr>
        <w:t xml:space="preserve">         </w:t>
      </w:r>
      <w:r>
        <w:rPr>
          <w:rFonts w:hint="eastAsia" w:cs="Calibri" w:asciiTheme="minorEastAsia" w:hAnsiTheme="minorEastAsia" w:eastAsiaTheme="minorEastAsia"/>
          <w:sz w:val="24"/>
        </w:rPr>
        <w:t xml:space="preserve">   </w:t>
      </w:r>
      <w:r>
        <w:rPr>
          <w:rFonts w:cs="Calibri" w:asciiTheme="minorEastAsia" w:hAnsiTheme="minorEastAsia" w:eastAsiaTheme="minorEastAsia"/>
          <w:sz w:val="24"/>
        </w:rPr>
        <w:t xml:space="preserve">（签字）：              </w:t>
      </w:r>
      <w:r>
        <w:rPr>
          <w:rFonts w:hint="eastAsia" w:cs="Calibri" w:asciiTheme="minorEastAsia" w:hAnsiTheme="minorEastAsia" w:eastAsiaTheme="minorEastAsia"/>
          <w:sz w:val="24"/>
        </w:rPr>
        <w:t xml:space="preserve">                 </w:t>
      </w:r>
      <w:r>
        <w:rPr>
          <w:rFonts w:cs="Calibri" w:asciiTheme="minorEastAsia" w:hAnsiTheme="minorEastAsia" w:eastAsiaTheme="minorEastAsia"/>
          <w:sz w:val="24"/>
        </w:rPr>
        <w:t xml:space="preserve">（签字）：         </w:t>
      </w:r>
    </w:p>
    <w:p>
      <w:pPr>
        <w:adjustRightInd/>
        <w:spacing w:line="560" w:lineRule="exact"/>
        <w:rPr>
          <w:rFonts w:cs="Calibri" w:asciiTheme="minorEastAsia" w:hAnsiTheme="minorEastAsia" w:eastAsiaTheme="minorEastAsia"/>
          <w:sz w:val="24"/>
        </w:rPr>
      </w:pPr>
    </w:p>
    <w:p>
      <w:pPr>
        <w:adjustRightInd/>
        <w:spacing w:line="560" w:lineRule="exact"/>
        <w:rPr>
          <w:rFonts w:cs="Calibri" w:asciiTheme="minorEastAsia" w:hAnsiTheme="minorEastAsia" w:eastAsiaTheme="minorEastAsia"/>
          <w:sz w:val="24"/>
        </w:rPr>
      </w:pPr>
      <w:r>
        <w:rPr>
          <w:rFonts w:hint="eastAsia" w:cs="Calibri" w:asciiTheme="minorEastAsia" w:hAnsiTheme="minorEastAsia" w:eastAsiaTheme="minorEastAsia"/>
          <w:sz w:val="24"/>
        </w:rPr>
        <w:t xml:space="preserve">           </w:t>
      </w:r>
      <w:r>
        <w:rPr>
          <w:rFonts w:cs="Calibri" w:asciiTheme="minorEastAsia" w:hAnsiTheme="minorEastAsia" w:eastAsiaTheme="minorEastAsia"/>
          <w:sz w:val="24"/>
        </w:rPr>
        <w:t xml:space="preserve">联系人：        </w:t>
      </w:r>
      <w:r>
        <w:rPr>
          <w:rFonts w:hint="eastAsia" w:cs="Calibri" w:asciiTheme="minorEastAsia" w:hAnsiTheme="minorEastAsia" w:eastAsiaTheme="minorEastAsia"/>
          <w:sz w:val="24"/>
        </w:rPr>
        <w:t xml:space="preserve">                          </w:t>
      </w:r>
      <w:r>
        <w:rPr>
          <w:rFonts w:cs="Calibri" w:asciiTheme="minorEastAsia" w:hAnsiTheme="minorEastAsia" w:eastAsiaTheme="minorEastAsia"/>
          <w:sz w:val="24"/>
        </w:rPr>
        <w:t xml:space="preserve">联系人：         </w:t>
      </w:r>
    </w:p>
    <w:p>
      <w:pPr>
        <w:adjustRightInd/>
        <w:spacing w:line="560" w:lineRule="exact"/>
        <w:rPr>
          <w:rFonts w:cs="Calibri" w:asciiTheme="minorEastAsia" w:hAnsiTheme="minorEastAsia" w:eastAsiaTheme="minorEastAsia"/>
          <w:sz w:val="24"/>
        </w:rPr>
      </w:pPr>
    </w:p>
    <w:p>
      <w:pPr>
        <w:adjustRightInd/>
        <w:spacing w:line="560" w:lineRule="exact"/>
        <w:rPr>
          <w:rFonts w:cs="Calibri" w:asciiTheme="minorEastAsia" w:hAnsiTheme="minorEastAsia" w:eastAsiaTheme="minorEastAsia"/>
          <w:sz w:val="24"/>
        </w:rPr>
      </w:pPr>
      <w:r>
        <w:rPr>
          <w:rFonts w:hint="eastAsia" w:cs="Calibri" w:asciiTheme="minorEastAsia" w:hAnsiTheme="minorEastAsia" w:eastAsiaTheme="minorEastAsia"/>
          <w:sz w:val="24"/>
        </w:rPr>
        <w:t xml:space="preserve">           </w:t>
      </w:r>
      <w:r>
        <w:rPr>
          <w:rFonts w:cs="Calibri" w:asciiTheme="minorEastAsia" w:hAnsiTheme="minorEastAsia" w:eastAsiaTheme="minorEastAsia"/>
          <w:sz w:val="24"/>
        </w:rPr>
        <w:t xml:space="preserve">电话：    </w:t>
      </w:r>
      <w:r>
        <w:rPr>
          <w:rFonts w:hint="eastAsia" w:cs="Calibri" w:asciiTheme="minorEastAsia" w:hAnsiTheme="minorEastAsia" w:eastAsiaTheme="minorEastAsia"/>
          <w:sz w:val="24"/>
        </w:rPr>
        <w:t xml:space="preserve">                                </w:t>
      </w:r>
      <w:r>
        <w:rPr>
          <w:rFonts w:cs="Calibri" w:asciiTheme="minorEastAsia" w:hAnsiTheme="minorEastAsia" w:eastAsiaTheme="minorEastAsia"/>
          <w:sz w:val="24"/>
        </w:rPr>
        <w:t xml:space="preserve">电话：     </w:t>
      </w:r>
    </w:p>
    <w:p>
      <w:pPr>
        <w:adjustRightInd/>
        <w:spacing w:line="360" w:lineRule="auto"/>
        <w:rPr>
          <w:rFonts w:cs="Calibri" w:asciiTheme="minorEastAsia" w:hAnsiTheme="minorEastAsia" w:eastAsiaTheme="minorEastAsia"/>
          <w:kern w:val="0"/>
          <w:sz w:val="24"/>
        </w:rPr>
      </w:pPr>
    </w:p>
    <w:p>
      <w:pPr>
        <w:adjustRightInd/>
        <w:spacing w:line="360" w:lineRule="auto"/>
        <w:rPr>
          <w:rFonts w:cs="Calibri" w:asciiTheme="minorEastAsia" w:hAnsiTheme="minorEastAsia" w:eastAsiaTheme="minorEastAsia"/>
          <w:kern w:val="0"/>
          <w:sz w:val="24"/>
          <w:lang w:val="zh-CN"/>
        </w:rPr>
      </w:pPr>
    </w:p>
    <w:p>
      <w:pPr>
        <w:adjustRightInd/>
        <w:spacing w:line="360" w:lineRule="auto"/>
        <w:rPr>
          <w:rFonts w:cs="Calibri" w:asciiTheme="minorEastAsia" w:hAnsiTheme="minorEastAsia" w:eastAsiaTheme="minorEastAsia"/>
          <w:kern w:val="0"/>
          <w:sz w:val="24"/>
          <w:lang w:val="zh-CN"/>
        </w:rPr>
      </w:pPr>
    </w:p>
    <w:p>
      <w:pPr>
        <w:adjustRightInd/>
        <w:spacing w:line="360" w:lineRule="auto"/>
        <w:rPr>
          <w:rFonts w:cs="Calibri" w:asciiTheme="minorEastAsia" w:hAnsiTheme="minorEastAsia" w:eastAsiaTheme="minorEastAsia"/>
          <w:kern w:val="0"/>
          <w:sz w:val="24"/>
          <w:lang w:val="zh-CN"/>
        </w:rPr>
      </w:pPr>
    </w:p>
    <w:p>
      <w:pPr>
        <w:adjustRightInd/>
        <w:spacing w:line="360" w:lineRule="auto"/>
        <w:rPr>
          <w:rFonts w:cs="Calibri" w:asciiTheme="minorEastAsia" w:hAnsiTheme="minorEastAsia" w:eastAsiaTheme="minorEastAsia"/>
          <w:kern w:val="0"/>
          <w:sz w:val="24"/>
          <w:lang w:val="zh-CN"/>
        </w:rPr>
      </w:pPr>
    </w:p>
    <w:p>
      <w:pPr>
        <w:adjustRightInd/>
        <w:spacing w:line="360" w:lineRule="auto"/>
        <w:rPr>
          <w:rFonts w:cs="Calibri" w:asciiTheme="minorEastAsia" w:hAnsiTheme="minorEastAsia" w:eastAsiaTheme="minorEastAsia"/>
          <w:kern w:val="0"/>
          <w:sz w:val="24"/>
          <w:lang w:val="zh-CN"/>
        </w:rPr>
      </w:pPr>
    </w:p>
    <w:p>
      <w:pPr>
        <w:adjustRightInd/>
        <w:spacing w:line="360" w:lineRule="auto"/>
        <w:rPr>
          <w:rFonts w:cs="Calibri" w:asciiTheme="minorEastAsia" w:hAnsiTheme="minorEastAsia" w:eastAsiaTheme="minorEastAsia"/>
          <w:kern w:val="0"/>
          <w:sz w:val="24"/>
          <w:lang w:val="zh-CN"/>
        </w:rPr>
      </w:pPr>
    </w:p>
    <w:p>
      <w:pPr>
        <w:adjustRightInd/>
        <w:spacing w:line="560" w:lineRule="exact"/>
        <w:ind w:right="480" w:firstLine="2400" w:firstLineChars="1000"/>
        <w:jc w:val="right"/>
        <w:rPr>
          <w:rFonts w:cs="Calibri" w:asciiTheme="minorEastAsia" w:hAnsiTheme="minorEastAsia" w:eastAsiaTheme="minorEastAsia"/>
          <w:kern w:val="0"/>
          <w:sz w:val="24"/>
          <w:lang w:val="zh-CN"/>
        </w:rPr>
      </w:pPr>
      <w:r>
        <w:rPr>
          <w:rFonts w:cs="Calibri" w:asciiTheme="minorEastAsia" w:hAnsiTheme="minorEastAsia" w:eastAsiaTheme="minorEastAsia"/>
          <w:kern w:val="0"/>
          <w:sz w:val="24"/>
          <w:lang w:val="zh-CN"/>
        </w:rPr>
        <w:t>签 约 地：浙江省杭州市</w:t>
      </w:r>
    </w:p>
    <w:p>
      <w:pPr>
        <w:adjustRightInd/>
        <w:spacing w:line="560" w:lineRule="exact"/>
        <w:ind w:firstLine="2400" w:firstLineChars="1000"/>
        <w:jc w:val="right"/>
        <w:rPr>
          <w:rFonts w:cs="Calibri" w:asciiTheme="minorEastAsia" w:hAnsiTheme="minorEastAsia" w:eastAsiaTheme="minorEastAsia"/>
          <w:kern w:val="0"/>
          <w:sz w:val="24"/>
          <w:lang w:val="zh-CN"/>
        </w:rPr>
      </w:pPr>
      <w:r>
        <w:rPr>
          <w:rFonts w:cs="Calibri" w:asciiTheme="minorEastAsia" w:hAnsiTheme="minorEastAsia" w:eastAsiaTheme="minorEastAsia"/>
          <w:kern w:val="0"/>
          <w:sz w:val="24"/>
          <w:lang w:val="zh-CN"/>
        </w:rPr>
        <w:t>签约日期：     年   月   日</w:t>
      </w:r>
    </w:p>
    <w:p>
      <w:pPr>
        <w:pStyle w:val="889"/>
        <w:spacing w:line="360" w:lineRule="auto"/>
        <w:ind w:firstLine="480"/>
        <w:rPr>
          <w:rFonts w:ascii="黑体" w:hAnsi="黑体" w:eastAsia="黑体" w:cs="宋体"/>
          <w:szCs w:val="28"/>
          <w:lang w:val="zh-CN"/>
        </w:rPr>
      </w:pPr>
      <w:r>
        <w:rPr>
          <w:rFonts w:cs="Calibri" w:asciiTheme="minorEastAsia" w:hAnsiTheme="minorEastAsia" w:eastAsiaTheme="minorEastAsia"/>
          <w:sz w:val="24"/>
          <w:lang w:val="zh-CN"/>
        </w:rPr>
        <w:br w:type="page"/>
      </w:r>
    </w:p>
    <w:p>
      <w:pPr>
        <w:pStyle w:val="889"/>
        <w:spacing w:line="360" w:lineRule="auto"/>
        <w:ind w:firstLine="0" w:firstLineChars="0"/>
        <w:rPr>
          <w:rFonts w:ascii="黑体" w:hAnsi="黑体" w:eastAsia="黑体" w:cs="宋体"/>
          <w:szCs w:val="28"/>
          <w:lang w:val="zh-CN"/>
        </w:rPr>
      </w:pPr>
      <w:r>
        <w:rPr>
          <w:rFonts w:ascii="黑体" w:hAnsi="黑体" w:eastAsia="黑体" w:cs="宋体"/>
          <w:szCs w:val="28"/>
          <w:lang w:val="zh-CN"/>
        </w:rPr>
        <w:t>附件1</w:t>
      </w:r>
    </w:p>
    <w:p>
      <w:pPr>
        <w:pStyle w:val="889"/>
        <w:spacing w:line="360" w:lineRule="auto"/>
        <w:ind w:firstLine="0" w:firstLineChars="0"/>
        <w:rPr>
          <w:rFonts w:ascii="宋体" w:hAnsi="宋体" w:eastAsia="宋体" w:cs="宋体"/>
          <w:sz w:val="24"/>
          <w:lang w:val="zh-CN"/>
        </w:rPr>
      </w:pPr>
    </w:p>
    <w:p>
      <w:pPr>
        <w:pStyle w:val="889"/>
        <w:spacing w:line="360" w:lineRule="auto"/>
        <w:ind w:firstLine="0" w:firstLineChars="0"/>
        <w:jc w:val="center"/>
        <w:rPr>
          <w:rFonts w:ascii="方正小标宋_GBK" w:hAnsi="宋体" w:eastAsia="方正小标宋_GBK" w:cs="宋体"/>
          <w:bCs/>
          <w:sz w:val="32"/>
          <w:szCs w:val="32"/>
          <w:lang w:val="zh-CN"/>
        </w:rPr>
      </w:pPr>
      <w:r>
        <w:rPr>
          <w:rFonts w:ascii="方正小标宋_GBK" w:hAnsi="宋体" w:eastAsia="方正小标宋_GBK" w:cs="宋体"/>
          <w:bCs/>
          <w:sz w:val="32"/>
          <w:szCs w:val="32"/>
          <w:lang w:val="zh-CN"/>
        </w:rPr>
        <w:t>网络安全与数据安全责任书</w:t>
      </w:r>
    </w:p>
    <w:p>
      <w:pPr>
        <w:pStyle w:val="889"/>
        <w:spacing w:line="360" w:lineRule="auto"/>
        <w:ind w:firstLine="0" w:firstLineChars="0"/>
        <w:rPr>
          <w:rFonts w:ascii="宋体" w:hAnsi="宋体" w:eastAsia="宋体" w:cs="宋体"/>
          <w:sz w:val="24"/>
          <w:lang w:val="zh-CN"/>
        </w:rPr>
      </w:pPr>
    </w:p>
    <w:p>
      <w:pPr>
        <w:snapToGrid w:val="0"/>
        <w:spacing w:line="360" w:lineRule="auto"/>
        <w:ind w:firstLine="480" w:firstLineChars="200"/>
        <w:rPr>
          <w:rFonts w:ascii="黑体" w:hAnsi="黑体" w:eastAsia="黑体" w:cs="宋体"/>
          <w:bCs/>
          <w:sz w:val="24"/>
        </w:rPr>
      </w:pPr>
      <w:r>
        <w:rPr>
          <w:rFonts w:ascii="黑体" w:hAnsi="黑体" w:eastAsia="黑体" w:cs="宋体"/>
          <w:bCs/>
          <w:sz w:val="24"/>
        </w:rPr>
        <w:t>一、乙方义务</w:t>
      </w:r>
    </w:p>
    <w:p>
      <w:pPr>
        <w:snapToGrid w:val="0"/>
        <w:spacing w:line="360" w:lineRule="auto"/>
        <w:ind w:firstLine="480" w:firstLineChars="200"/>
        <w:rPr>
          <w:rFonts w:ascii="宋体" w:hAnsi="宋体" w:cs="宋体"/>
          <w:bCs/>
          <w:sz w:val="24"/>
        </w:rPr>
      </w:pPr>
      <w:r>
        <w:rPr>
          <w:rFonts w:ascii="宋体" w:hAnsi="宋体" w:cs="宋体"/>
          <w:bCs/>
          <w:sz w:val="24"/>
        </w:rPr>
        <w:t>1.乙方应按照《中华人民共和国网络安全法》《中华人民共和国数据安全法》《中华人民共和国个人信息保护法》等法律法规及规章制度的要求，履行网络和数据安全保护义务。</w:t>
      </w:r>
    </w:p>
    <w:p>
      <w:pPr>
        <w:snapToGrid w:val="0"/>
        <w:spacing w:line="360" w:lineRule="auto"/>
        <w:ind w:firstLine="480" w:firstLineChars="200"/>
        <w:rPr>
          <w:rFonts w:ascii="宋体" w:hAnsi="宋体" w:cs="宋体"/>
          <w:bCs/>
          <w:sz w:val="24"/>
        </w:rPr>
      </w:pPr>
      <w:r>
        <w:rPr>
          <w:rFonts w:ascii="宋体" w:hAnsi="宋体" w:cs="宋体"/>
          <w:bCs/>
          <w:sz w:val="24"/>
        </w:rPr>
        <w:t>2.本项目所涉及的乙方工作人员均需签订《保密承诺书》，且乙方应对项目涉及工作人员进行背景审查，存在泄密风险的乙方工作人员不得接触项目。乙方应做好人员保密教育工作。</w:t>
      </w:r>
    </w:p>
    <w:p>
      <w:pPr>
        <w:snapToGrid w:val="0"/>
        <w:spacing w:line="360" w:lineRule="auto"/>
        <w:ind w:firstLine="480" w:firstLineChars="200"/>
        <w:rPr>
          <w:rFonts w:ascii="宋体" w:hAnsi="宋体" w:cs="宋体"/>
          <w:bCs/>
          <w:sz w:val="24"/>
        </w:rPr>
      </w:pPr>
      <w:r>
        <w:rPr>
          <w:rFonts w:ascii="宋体" w:hAnsi="宋体" w:cs="宋体"/>
          <w:bCs/>
          <w:sz w:val="24"/>
        </w:rPr>
        <w:t>3.乙方应当采取技术措施和其他必要措施，确保其网络和数据安全，防止出现信息泄露、毁损、丢失等风险。在发生或者可能发生信息泄露、毁损、丢失等情况时，应当立即采取补救措施，并将相关情况及时告知甲方。</w:t>
      </w:r>
    </w:p>
    <w:p>
      <w:pPr>
        <w:snapToGrid w:val="0"/>
        <w:spacing w:line="360" w:lineRule="auto"/>
        <w:ind w:firstLine="480" w:firstLineChars="200"/>
        <w:rPr>
          <w:rFonts w:ascii="宋体" w:hAnsi="宋体" w:cs="宋体"/>
          <w:bCs/>
          <w:sz w:val="24"/>
        </w:rPr>
      </w:pPr>
      <w:r>
        <w:rPr>
          <w:rFonts w:ascii="宋体" w:hAnsi="宋体" w:cs="宋体"/>
          <w:bCs/>
          <w:sz w:val="24"/>
        </w:rPr>
        <w:t>4.项目中所包含的建设、运营、运维的信息系统、应用、数据库等，乙方开通相关账号、权限等必须经过甲方审批允许，不得私开账号、擅自更改权限等。</w:t>
      </w:r>
    </w:p>
    <w:p>
      <w:pPr>
        <w:snapToGrid w:val="0"/>
        <w:spacing w:line="360" w:lineRule="auto"/>
        <w:ind w:firstLine="480" w:firstLineChars="200"/>
        <w:rPr>
          <w:rFonts w:ascii="宋体" w:hAnsi="宋体" w:cs="宋体"/>
          <w:bCs/>
          <w:sz w:val="24"/>
        </w:rPr>
      </w:pPr>
      <w:r>
        <w:rPr>
          <w:rFonts w:ascii="宋体" w:hAnsi="宋体" w:cs="宋体"/>
          <w:bCs/>
          <w:sz w:val="24"/>
        </w:rPr>
        <w:t>5.乙方应合理使用操作账号，严禁乙方存在多名（2人及以上）工作人员共用一个操作账号的情形，同时操作账号应采用高强度的密码，乙方应妥善保管密码并定期更新账号密码。</w:t>
      </w:r>
    </w:p>
    <w:p>
      <w:pPr>
        <w:snapToGrid w:val="0"/>
        <w:spacing w:line="360" w:lineRule="auto"/>
        <w:ind w:firstLine="480" w:firstLineChars="200"/>
        <w:rPr>
          <w:rFonts w:ascii="宋体" w:hAnsi="宋体" w:cs="宋体"/>
          <w:bCs/>
          <w:sz w:val="24"/>
        </w:rPr>
      </w:pPr>
      <w:r>
        <w:rPr>
          <w:rFonts w:ascii="宋体" w:hAnsi="宋体" w:cs="宋体"/>
          <w:bCs/>
          <w:sz w:val="24"/>
        </w:rPr>
        <w:t>6.未经甲方允许，乙方不得对项目云资源私开端口，不得利用项目资源进行与该项目无关的工作，不得将政务网和互联网私自打通。</w:t>
      </w:r>
    </w:p>
    <w:p>
      <w:pPr>
        <w:snapToGrid w:val="0"/>
        <w:spacing w:line="360" w:lineRule="auto"/>
        <w:ind w:firstLine="480" w:firstLineChars="200"/>
        <w:rPr>
          <w:rFonts w:ascii="宋体" w:hAnsi="宋体" w:cs="宋体"/>
          <w:bCs/>
          <w:sz w:val="24"/>
        </w:rPr>
      </w:pPr>
      <w:r>
        <w:rPr>
          <w:rFonts w:ascii="宋体" w:hAnsi="宋体" w:cs="宋体"/>
          <w:bCs/>
          <w:sz w:val="24"/>
        </w:rPr>
        <w:t>7.乙方应严格按照相关要求收集、归集、存储、加工、传输、共享、开放、利用数据资源。做好数据落地相应的数据保护工作，严格执行数据安全技术标准和安全管理措施，避免相关数据出现篡改、破坏、泄露、丢失、非法利用等风险。</w:t>
      </w:r>
    </w:p>
    <w:p>
      <w:pPr>
        <w:snapToGrid w:val="0"/>
        <w:spacing w:line="360" w:lineRule="auto"/>
        <w:ind w:firstLine="480" w:firstLineChars="200"/>
        <w:rPr>
          <w:rFonts w:ascii="宋体" w:hAnsi="宋体" w:cs="宋体"/>
          <w:bCs/>
          <w:sz w:val="24"/>
        </w:rPr>
      </w:pPr>
      <w:r>
        <w:rPr>
          <w:rFonts w:ascii="宋体" w:hAnsi="宋体" w:cs="宋体"/>
          <w:bCs/>
          <w:sz w:val="24"/>
        </w:rPr>
        <w:t>8.乙方应认真组织开展各项数据处理活动，查找项目数据安全隐患和漏洞，对薄弱环节和潜在威胁采取有力措施并进行及时整改，避免和消除数据安全风险，履行数据安全保护义务。</w:t>
      </w:r>
    </w:p>
    <w:p>
      <w:pPr>
        <w:snapToGrid w:val="0"/>
        <w:spacing w:line="360" w:lineRule="auto"/>
        <w:ind w:firstLine="480" w:firstLineChars="200"/>
        <w:rPr>
          <w:rFonts w:ascii="宋体" w:hAnsi="宋体" w:cs="宋体"/>
          <w:bCs/>
          <w:sz w:val="24"/>
        </w:rPr>
      </w:pPr>
      <w:r>
        <w:rPr>
          <w:rFonts w:ascii="宋体" w:hAnsi="宋体" w:cs="宋体"/>
          <w:bCs/>
          <w:sz w:val="24"/>
        </w:rPr>
        <w:t>9.乙方应加强网络和数据安全风险监测，制定网络与数据安全应急预案，完善应急机制。一旦发现数据安全缺陷、漏洞等风险时，立即采取补救措施；发生数据安全事件时，立即采取处置措施。确保第一时间监测发现，第一时间应急处置，第一时间向甲方报告。</w:t>
      </w:r>
    </w:p>
    <w:p>
      <w:pPr>
        <w:snapToGrid w:val="0"/>
        <w:spacing w:line="360" w:lineRule="auto"/>
        <w:ind w:firstLine="480" w:firstLineChars="200"/>
        <w:rPr>
          <w:rFonts w:ascii="宋体" w:hAnsi="宋体" w:cs="宋体"/>
          <w:bCs/>
          <w:sz w:val="24"/>
        </w:rPr>
      </w:pPr>
      <w:r>
        <w:rPr>
          <w:rFonts w:ascii="宋体" w:hAnsi="宋体" w:cs="宋体"/>
          <w:bCs/>
          <w:sz w:val="24"/>
        </w:rPr>
        <w:t>10.乙方应及时响应、处置甲方布置的安全工作，对其主管的系统、组件、云资源等所属安全事件、隐患及时发现、阻断、排查、处置、溯源（包括但不限于攻防演练等相关活动中发现的）。</w:t>
      </w:r>
    </w:p>
    <w:p>
      <w:pPr>
        <w:snapToGrid w:val="0"/>
        <w:spacing w:line="360" w:lineRule="auto"/>
        <w:ind w:firstLine="480" w:firstLineChars="200"/>
        <w:rPr>
          <w:rFonts w:ascii="宋体" w:hAnsi="宋体" w:cs="宋体"/>
          <w:bCs/>
          <w:sz w:val="24"/>
        </w:rPr>
      </w:pPr>
      <w:r>
        <w:rPr>
          <w:rFonts w:ascii="宋体" w:hAnsi="宋体" w:cs="宋体"/>
          <w:bCs/>
          <w:sz w:val="24"/>
        </w:rPr>
        <w:t>11.项目中所建设的系统、提供的基础设施服务等，乙方应无偿提供操作、告警等安全日志以及资产清单，并且按照规范要求与甲方审计平台实现对接，并且提供相关解析服务（如日志字典等）供甲方进行安全审计。</w:t>
      </w:r>
    </w:p>
    <w:p>
      <w:pPr>
        <w:snapToGrid w:val="0"/>
        <w:spacing w:line="360" w:lineRule="auto"/>
        <w:ind w:firstLine="480" w:firstLineChars="200"/>
        <w:rPr>
          <w:rFonts w:ascii="宋体" w:hAnsi="宋体" w:cs="宋体"/>
          <w:bCs/>
          <w:sz w:val="24"/>
        </w:rPr>
      </w:pPr>
      <w:r>
        <w:rPr>
          <w:rFonts w:ascii="宋体" w:hAnsi="宋体" w:cs="宋体"/>
          <w:bCs/>
          <w:sz w:val="24"/>
        </w:rPr>
        <w:t>12.乙方派驻的驻场人员应按照甲方要求办理入场、离场等手续，入驻全省ISV系统，并且遵守甲方劳动、工作纪律，按照甲方要求的工作时间进行出勤。</w:t>
      </w:r>
    </w:p>
    <w:p>
      <w:pPr>
        <w:snapToGrid w:val="0"/>
        <w:spacing w:line="360" w:lineRule="auto"/>
        <w:ind w:firstLine="480" w:firstLineChars="200"/>
        <w:rPr>
          <w:rFonts w:ascii="宋体" w:hAnsi="宋体" w:cs="宋体"/>
          <w:bCs/>
          <w:sz w:val="24"/>
        </w:rPr>
      </w:pPr>
      <w:r>
        <w:rPr>
          <w:rFonts w:ascii="宋体" w:hAnsi="宋体" w:cs="宋体"/>
          <w:bCs/>
          <w:sz w:val="24"/>
        </w:rPr>
        <w:t>13. 乙方应配合甲方对项目涉及的资源、系统等常态化安全漏洞扫描，并且及时修复漏洞。</w:t>
      </w:r>
    </w:p>
    <w:p>
      <w:pPr>
        <w:snapToGrid w:val="0"/>
        <w:spacing w:line="360" w:lineRule="auto"/>
        <w:ind w:firstLine="480" w:firstLineChars="200"/>
        <w:rPr>
          <w:rFonts w:ascii="宋体" w:hAnsi="宋体" w:cs="宋体"/>
          <w:bCs/>
          <w:sz w:val="24"/>
        </w:rPr>
      </w:pPr>
      <w:r>
        <w:rPr>
          <w:rFonts w:ascii="宋体" w:hAnsi="宋体" w:cs="宋体"/>
          <w:bCs/>
          <w:sz w:val="24"/>
        </w:rPr>
        <w:t>14.乙方应配合甲方完成项目中所建设、运营的应用系统、服务等的网络数据安全检查，并且按要求及时完成检查中发现问题的整改。</w:t>
      </w:r>
    </w:p>
    <w:p>
      <w:pPr>
        <w:snapToGrid w:val="0"/>
        <w:spacing w:line="360" w:lineRule="auto"/>
        <w:ind w:firstLine="480" w:firstLineChars="200"/>
        <w:rPr>
          <w:rFonts w:ascii="宋体" w:hAnsi="宋体" w:cs="宋体"/>
          <w:bCs/>
          <w:sz w:val="24"/>
        </w:rPr>
      </w:pPr>
      <w:r>
        <w:rPr>
          <w:rFonts w:ascii="宋体" w:hAnsi="宋体" w:cs="宋体"/>
          <w:bCs/>
          <w:sz w:val="24"/>
        </w:rPr>
        <w:t>15.未经甲方允许，乙方不得擅自将项目中涉及的数据拷贝、转移出指定数据区域外进行开发、调试等，包括不限于乙方公司、第三方公司的服务器等。</w:t>
      </w:r>
    </w:p>
    <w:p>
      <w:pPr>
        <w:snapToGrid w:val="0"/>
        <w:spacing w:line="360" w:lineRule="auto"/>
        <w:ind w:firstLine="480" w:firstLineChars="200"/>
        <w:rPr>
          <w:rFonts w:ascii="宋体" w:hAnsi="宋体" w:cs="宋体"/>
          <w:bCs/>
          <w:sz w:val="24"/>
        </w:rPr>
      </w:pPr>
      <w:r>
        <w:rPr>
          <w:rFonts w:ascii="宋体" w:hAnsi="宋体" w:cs="宋体"/>
          <w:bCs/>
          <w:sz w:val="24"/>
        </w:rPr>
        <w:t>16．每次通报后，乙方应当及时解决并向甲方提交整改报告并根据整改报告内容进行及时整改。</w:t>
      </w:r>
    </w:p>
    <w:p>
      <w:pPr>
        <w:snapToGrid w:val="0"/>
        <w:spacing w:line="360" w:lineRule="auto"/>
        <w:ind w:firstLine="480" w:firstLineChars="200"/>
        <w:rPr>
          <w:rFonts w:ascii="宋体" w:hAnsi="宋体" w:cs="宋体"/>
          <w:bCs/>
          <w:sz w:val="24"/>
        </w:rPr>
      </w:pPr>
      <w:r>
        <w:rPr>
          <w:rFonts w:ascii="宋体" w:hAnsi="宋体" w:cs="宋体"/>
          <w:bCs/>
          <w:sz w:val="24"/>
        </w:rPr>
        <w:t>17.乙方在项目中所承建信息系统的开发、测试环境，不允许出现甲方及项目相关的标识名称，并且在项目建成后及时下架测试环境。</w:t>
      </w:r>
    </w:p>
    <w:p>
      <w:pPr>
        <w:snapToGrid w:val="0"/>
        <w:spacing w:line="360" w:lineRule="auto"/>
        <w:ind w:firstLine="480" w:firstLineChars="200"/>
        <w:rPr>
          <w:rFonts w:ascii="宋体" w:hAnsi="宋体" w:cs="宋体"/>
          <w:bCs/>
          <w:sz w:val="24"/>
        </w:rPr>
      </w:pPr>
      <w:r>
        <w:rPr>
          <w:rFonts w:ascii="宋体" w:hAnsi="宋体" w:cs="宋体"/>
          <w:bCs/>
          <w:sz w:val="24"/>
        </w:rPr>
        <w:t>18.乙方应承担在项目运维期中的安全责任，履行运维期的项目、应用系统、云资源的安全义务。</w:t>
      </w:r>
    </w:p>
    <w:p>
      <w:pPr>
        <w:snapToGrid w:val="0"/>
        <w:spacing w:line="360" w:lineRule="auto"/>
        <w:ind w:firstLine="480" w:firstLineChars="200"/>
        <w:rPr>
          <w:rFonts w:ascii="宋体" w:hAnsi="宋体" w:cs="宋体"/>
          <w:bCs/>
          <w:sz w:val="24"/>
        </w:rPr>
      </w:pPr>
      <w:r>
        <w:rPr>
          <w:rFonts w:ascii="宋体" w:hAnsi="宋体" w:cs="宋体"/>
          <w:bCs/>
          <w:sz w:val="24"/>
        </w:rPr>
        <w:t>19.乙方驻场人员应在重要活动、会议期间，根据甲方安全保障要求，参与重保值班值守工作。</w:t>
      </w:r>
    </w:p>
    <w:p>
      <w:pPr>
        <w:snapToGrid w:val="0"/>
        <w:spacing w:line="360" w:lineRule="auto"/>
        <w:ind w:firstLine="480" w:firstLineChars="200"/>
        <w:rPr>
          <w:rFonts w:ascii="宋体" w:hAnsi="宋体" w:cs="宋体"/>
          <w:bCs/>
          <w:sz w:val="24"/>
        </w:rPr>
      </w:pPr>
      <w:r>
        <w:rPr>
          <w:rFonts w:ascii="宋体" w:hAnsi="宋体" w:cs="宋体"/>
          <w:bCs/>
          <w:sz w:val="24"/>
        </w:rPr>
        <w:t>20.乙方应按照甲方业务要求，围绕项目内容，提供甲方所需要的业务相关进展及数据，最迟须在甲方要求的24小时内提供准确的信息。</w:t>
      </w:r>
    </w:p>
    <w:p>
      <w:pPr>
        <w:snapToGrid w:val="0"/>
        <w:spacing w:line="360" w:lineRule="auto"/>
        <w:ind w:firstLine="480" w:firstLineChars="200"/>
        <w:rPr>
          <w:rFonts w:ascii="宋体" w:hAnsi="宋体" w:cs="宋体"/>
          <w:bCs/>
          <w:sz w:val="24"/>
        </w:rPr>
      </w:pPr>
      <w:r>
        <w:rPr>
          <w:rFonts w:ascii="宋体" w:hAnsi="宋体" w:cs="宋体"/>
          <w:bCs/>
          <w:sz w:val="24"/>
        </w:rPr>
        <w:t>21.乙方在项目中所建设、运营的应用系统、应用服务等涉及鉴权登录的，应使用浙政钉/浙里办扫码方式，若使用账号口令方式的，需要经甲方允许后，并且采用二次验证的方式。</w:t>
      </w:r>
    </w:p>
    <w:p>
      <w:pPr>
        <w:snapToGrid w:val="0"/>
        <w:spacing w:line="360" w:lineRule="auto"/>
        <w:ind w:firstLine="480" w:firstLineChars="200"/>
        <w:rPr>
          <w:rFonts w:ascii="宋体" w:hAnsi="宋体" w:cs="宋体"/>
          <w:bCs/>
          <w:sz w:val="24"/>
        </w:rPr>
      </w:pPr>
      <w:r>
        <w:rPr>
          <w:rFonts w:ascii="宋体" w:hAnsi="宋体" w:cs="宋体"/>
          <w:bCs/>
          <w:sz w:val="24"/>
        </w:rPr>
        <w:t>22.乙方驻场人员原则上需按照甲方要求，从事项目中约定的相关驻场工作，不得参与其他项目，不得从事项目中已单独支付服务费的等非驻场工作。</w:t>
      </w:r>
    </w:p>
    <w:p>
      <w:pPr>
        <w:snapToGrid w:val="0"/>
        <w:spacing w:line="360" w:lineRule="auto"/>
        <w:ind w:firstLine="480" w:firstLineChars="200"/>
        <w:rPr>
          <w:rFonts w:ascii="黑体" w:hAnsi="黑体" w:eastAsia="黑体" w:cs="宋体"/>
          <w:bCs/>
          <w:sz w:val="24"/>
        </w:rPr>
      </w:pPr>
      <w:r>
        <w:rPr>
          <w:rFonts w:ascii="黑体" w:hAnsi="黑体" w:eastAsia="黑体" w:cs="宋体"/>
          <w:bCs/>
          <w:sz w:val="24"/>
        </w:rPr>
        <w:t>二、违约责任</w:t>
      </w:r>
    </w:p>
    <w:p>
      <w:pPr>
        <w:snapToGrid w:val="0"/>
        <w:spacing w:line="360" w:lineRule="auto"/>
        <w:ind w:firstLine="480" w:firstLineChars="200"/>
        <w:rPr>
          <w:rFonts w:ascii="宋体" w:hAnsi="宋体" w:cs="宋体"/>
          <w:bCs/>
          <w:sz w:val="24"/>
        </w:rPr>
      </w:pPr>
      <w:r>
        <w:rPr>
          <w:rFonts w:ascii="宋体" w:hAnsi="宋体" w:cs="宋体"/>
          <w:bCs/>
          <w:sz w:val="24"/>
        </w:rPr>
        <w:t>1.由于乙方原因，受到国家级安全问题通报的、或造成特别重大事故的，每通报一个问题或发生一次事故，从合同金额内扣除5万元。</w:t>
      </w:r>
    </w:p>
    <w:p>
      <w:pPr>
        <w:snapToGrid w:val="0"/>
        <w:spacing w:line="360" w:lineRule="auto"/>
        <w:ind w:firstLine="480" w:firstLineChars="200"/>
        <w:rPr>
          <w:rFonts w:ascii="宋体" w:hAnsi="宋体" w:cs="宋体"/>
          <w:bCs/>
          <w:sz w:val="24"/>
        </w:rPr>
      </w:pPr>
      <w:r>
        <w:rPr>
          <w:rFonts w:ascii="宋体" w:hAnsi="宋体" w:cs="宋体"/>
          <w:bCs/>
          <w:sz w:val="24"/>
        </w:rPr>
        <w:t>2.由于乙方原因，受到省级安全问题通报的、或造成重大事故的，每通报一个问题或发生一次事故，从合同金额扣除3万元。</w:t>
      </w:r>
    </w:p>
    <w:p>
      <w:pPr>
        <w:snapToGrid w:val="0"/>
        <w:spacing w:line="360" w:lineRule="auto"/>
        <w:ind w:firstLine="480" w:firstLineChars="200"/>
        <w:rPr>
          <w:rFonts w:ascii="宋体" w:hAnsi="宋体" w:cs="宋体"/>
          <w:bCs/>
          <w:sz w:val="24"/>
        </w:rPr>
      </w:pPr>
      <w:r>
        <w:rPr>
          <w:rFonts w:ascii="宋体" w:hAnsi="宋体" w:cs="宋体"/>
          <w:bCs/>
          <w:sz w:val="24"/>
        </w:rPr>
        <w:t>3.由于乙方原因，受到市级安全问题通报的、或造成较大事故（一般事故）的，每通报一个问题或发生一次事故，从合同金额扣除1万元。</w:t>
      </w:r>
    </w:p>
    <w:p>
      <w:pPr>
        <w:snapToGrid w:val="0"/>
        <w:spacing w:line="360" w:lineRule="auto"/>
        <w:ind w:firstLine="480" w:firstLineChars="200"/>
        <w:rPr>
          <w:rFonts w:ascii="宋体" w:hAnsi="宋体" w:cs="宋体"/>
          <w:bCs/>
          <w:sz w:val="24"/>
        </w:rPr>
      </w:pPr>
      <w:r>
        <w:rPr>
          <w:rFonts w:ascii="宋体" w:hAnsi="宋体" w:cs="宋体"/>
          <w:bCs/>
          <w:sz w:val="24"/>
        </w:rPr>
        <w:t>4.乙方未按照甲方要求及时处置所属安全事件、隐患的，每发生一次，从合同金额扣除5000元。</w:t>
      </w:r>
    </w:p>
    <w:p>
      <w:pPr>
        <w:snapToGrid w:val="0"/>
        <w:spacing w:line="360" w:lineRule="auto"/>
        <w:ind w:firstLine="480" w:firstLineChars="200"/>
        <w:rPr>
          <w:rFonts w:ascii="宋体" w:hAnsi="宋体" w:cs="宋体"/>
          <w:bCs/>
          <w:sz w:val="24"/>
        </w:rPr>
      </w:pPr>
      <w:r>
        <w:rPr>
          <w:rFonts w:ascii="宋体" w:hAnsi="宋体" w:cs="宋体"/>
          <w:bCs/>
          <w:sz w:val="24"/>
        </w:rPr>
        <w:t>5.乙方存在多名（2人及以上）工作人员共用一个操作账户的，或所主管的系统、云资源等账号出现弱口令的（强口令需至少包含数字、大小写字母、特殊字符等，且无明显规律），每出现1次，从合同金额扣除2000元。</w:t>
      </w:r>
    </w:p>
    <w:p>
      <w:pPr>
        <w:snapToGrid w:val="0"/>
        <w:spacing w:line="360" w:lineRule="auto"/>
        <w:ind w:firstLine="480" w:firstLineChars="200"/>
        <w:rPr>
          <w:rFonts w:ascii="宋体" w:hAnsi="宋体" w:cs="宋体"/>
          <w:bCs/>
          <w:sz w:val="24"/>
        </w:rPr>
      </w:pPr>
      <w:r>
        <w:rPr>
          <w:rFonts w:ascii="宋体" w:hAnsi="宋体" w:cs="宋体"/>
          <w:bCs/>
          <w:sz w:val="24"/>
        </w:rPr>
        <w:t>6.未经甲方审批允许，乙方不得私开账号、擅自更改权限，不得对项目云资源私开端口，不得利用项目资源进行与该项目无关的工作，不得将政务网和互联网私自打通的。每出现一次，从合同金额中扣除5000元。</w:t>
      </w:r>
    </w:p>
    <w:p>
      <w:pPr>
        <w:snapToGrid w:val="0"/>
        <w:spacing w:line="360" w:lineRule="auto"/>
        <w:ind w:firstLine="480" w:firstLineChars="200"/>
        <w:rPr>
          <w:rFonts w:ascii="宋体" w:hAnsi="宋体" w:cs="宋体"/>
          <w:bCs/>
          <w:sz w:val="24"/>
        </w:rPr>
      </w:pPr>
      <w:r>
        <w:rPr>
          <w:rFonts w:ascii="宋体" w:hAnsi="宋体" w:cs="宋体"/>
          <w:bCs/>
          <w:sz w:val="24"/>
        </w:rPr>
        <w:t>7.乙方发现数据安全缺陷、漏洞等风险时，未立即采取补救措施的；或发生数字安全事件时，未立即采取处置措施的；相关情况未第一时间向甲方报告的；每出现一次，从合同金额中扣除2000元。</w:t>
      </w:r>
    </w:p>
    <w:p>
      <w:pPr>
        <w:snapToGrid w:val="0"/>
        <w:spacing w:line="360" w:lineRule="auto"/>
        <w:ind w:firstLine="480" w:firstLineChars="200"/>
        <w:rPr>
          <w:rFonts w:ascii="宋体" w:hAnsi="宋体" w:cs="宋体"/>
          <w:bCs/>
          <w:sz w:val="24"/>
        </w:rPr>
      </w:pPr>
      <w:r>
        <w:rPr>
          <w:rFonts w:ascii="宋体" w:hAnsi="宋体" w:cs="宋体"/>
          <w:bCs/>
          <w:sz w:val="24"/>
        </w:rPr>
        <w:t>8.若乙方未按需提供日志，或提供的操作记录、安全日志等不完整、存在缺失的，每发现一次，每次从合同金额扣除5000元。</w:t>
      </w:r>
    </w:p>
    <w:p>
      <w:pPr>
        <w:snapToGrid w:val="0"/>
        <w:spacing w:line="360" w:lineRule="auto"/>
        <w:ind w:firstLine="480" w:firstLineChars="200"/>
        <w:rPr>
          <w:rFonts w:ascii="宋体" w:hAnsi="宋体" w:cs="宋体"/>
          <w:bCs/>
          <w:sz w:val="24"/>
        </w:rPr>
      </w:pPr>
      <w:r>
        <w:rPr>
          <w:rFonts w:ascii="宋体" w:hAnsi="宋体" w:cs="宋体"/>
          <w:bCs/>
          <w:sz w:val="24"/>
        </w:rPr>
        <w:t>9.乙方拒不配合网络数据安全检查或经检查后拒不进行整改的，每出现一次从合同金额中扣除5000元。</w:t>
      </w:r>
    </w:p>
    <w:p>
      <w:pPr>
        <w:snapToGrid w:val="0"/>
        <w:spacing w:line="360" w:lineRule="auto"/>
        <w:ind w:firstLine="480" w:firstLineChars="200"/>
        <w:rPr>
          <w:rFonts w:ascii="宋体" w:hAnsi="宋体" w:cs="宋体"/>
          <w:bCs/>
          <w:sz w:val="24"/>
        </w:rPr>
      </w:pPr>
      <w:r>
        <w:rPr>
          <w:rFonts w:ascii="宋体" w:hAnsi="宋体" w:cs="宋体"/>
          <w:bCs/>
          <w:sz w:val="24"/>
        </w:rPr>
        <w:t>10.项目结束后，乙方未按约删除其在项目过程中获取的数据资料并擅自使用或许可他人使用的，承担项目合同总金额10%的违约责任。</w:t>
      </w:r>
    </w:p>
    <w:p>
      <w:pPr>
        <w:snapToGrid w:val="0"/>
        <w:spacing w:line="360" w:lineRule="auto"/>
        <w:ind w:firstLine="480" w:firstLineChars="200"/>
        <w:rPr>
          <w:rFonts w:ascii="宋体" w:hAnsi="宋体" w:cs="宋体"/>
          <w:bCs/>
          <w:sz w:val="24"/>
        </w:rPr>
      </w:pPr>
      <w:r>
        <w:rPr>
          <w:rFonts w:ascii="宋体" w:hAnsi="宋体" w:cs="宋体"/>
          <w:bCs/>
          <w:sz w:val="24"/>
        </w:rPr>
        <w:t>11.乙方未配合甲方对项目涉及的资源、系统等常态化安全漏洞扫描，或未及时修复漏洞的，每出现一次，从合同金额扣除2000元。</w:t>
      </w:r>
    </w:p>
    <w:p>
      <w:pPr>
        <w:snapToGrid w:val="0"/>
        <w:spacing w:line="360" w:lineRule="auto"/>
        <w:ind w:firstLine="480" w:firstLineChars="200"/>
        <w:rPr>
          <w:rFonts w:ascii="宋体" w:hAnsi="宋体" w:cs="宋体"/>
          <w:bCs/>
          <w:sz w:val="24"/>
        </w:rPr>
      </w:pPr>
      <w:r>
        <w:rPr>
          <w:rFonts w:ascii="宋体" w:hAnsi="宋体" w:cs="宋体"/>
          <w:bCs/>
          <w:sz w:val="24"/>
        </w:rPr>
        <w:t>12. 乙方未配合甲方完成项目中所建设、运营的应用系统、服务等的网络数据安全检查，并且按要求及时完成检查中发现问题的整改,每出现一次，从合同金额中扣除2000元</w:t>
      </w:r>
    </w:p>
    <w:p>
      <w:pPr>
        <w:snapToGrid w:val="0"/>
        <w:spacing w:line="360" w:lineRule="auto"/>
        <w:ind w:firstLine="480" w:firstLineChars="200"/>
        <w:rPr>
          <w:rFonts w:ascii="宋体" w:hAnsi="宋体" w:cs="宋体"/>
          <w:bCs/>
          <w:sz w:val="24"/>
        </w:rPr>
      </w:pPr>
      <w:r>
        <w:rPr>
          <w:rFonts w:ascii="宋体" w:hAnsi="宋体" w:cs="宋体"/>
          <w:bCs/>
          <w:sz w:val="24"/>
        </w:rPr>
        <w:t>13.乙方未按照甲方相关要求，签订《保密承诺书》，办理入场、离场手续的、未入驻全省ISV系统，出现一人次，每人次从合同金额扣除1万元。</w:t>
      </w:r>
    </w:p>
    <w:p>
      <w:pPr>
        <w:snapToGrid w:val="0"/>
        <w:spacing w:line="360" w:lineRule="auto"/>
        <w:ind w:firstLine="480" w:firstLineChars="200"/>
        <w:rPr>
          <w:rFonts w:ascii="宋体" w:hAnsi="宋体" w:cs="宋体"/>
          <w:bCs/>
          <w:sz w:val="24"/>
        </w:rPr>
      </w:pPr>
      <w:r>
        <w:rPr>
          <w:rFonts w:ascii="宋体" w:hAnsi="宋体" w:cs="宋体"/>
          <w:bCs/>
          <w:sz w:val="24"/>
        </w:rPr>
        <w:t>14．乙方派驻的驻场人员未按照甲方工作要求进行出勤的，每出现一人次天从合同金额扣除500元。</w:t>
      </w:r>
    </w:p>
    <w:p>
      <w:pPr>
        <w:snapToGrid w:val="0"/>
        <w:spacing w:line="360" w:lineRule="auto"/>
        <w:ind w:firstLine="480" w:firstLineChars="200"/>
        <w:rPr>
          <w:rFonts w:ascii="宋体" w:hAnsi="宋体" w:cs="宋体"/>
          <w:bCs/>
          <w:sz w:val="24"/>
        </w:rPr>
      </w:pPr>
      <w:r>
        <w:rPr>
          <w:rFonts w:ascii="宋体" w:hAnsi="宋体" w:cs="宋体"/>
          <w:bCs/>
          <w:sz w:val="24"/>
        </w:rPr>
        <w:t>15.乙方不得擅自将项目中涉及的数据拷贝、转移出指定数据区域外进行开发、调试等，包括不限于乙方公司、第三方公司的服务器等，每出现一次，从合同金额扣除2000元。</w:t>
      </w:r>
    </w:p>
    <w:p>
      <w:pPr>
        <w:snapToGrid w:val="0"/>
        <w:spacing w:line="360" w:lineRule="auto"/>
        <w:ind w:firstLine="480" w:firstLineChars="200"/>
        <w:rPr>
          <w:rFonts w:ascii="宋体" w:hAnsi="宋体" w:cs="宋体"/>
          <w:bCs/>
          <w:sz w:val="24"/>
        </w:rPr>
      </w:pPr>
      <w:r>
        <w:rPr>
          <w:rFonts w:ascii="宋体" w:hAnsi="宋体" w:cs="宋体"/>
          <w:bCs/>
          <w:sz w:val="24"/>
        </w:rPr>
        <w:t>16.每次通报后，若乙方未及时提供整改报告的；或未根据通报内容及时进行整改的，每出现一次，从合同金额扣除2000元。</w:t>
      </w:r>
    </w:p>
    <w:p>
      <w:pPr>
        <w:snapToGrid w:val="0"/>
        <w:spacing w:line="360" w:lineRule="auto"/>
        <w:ind w:firstLine="480" w:firstLineChars="200"/>
        <w:rPr>
          <w:rFonts w:ascii="宋体" w:hAnsi="宋体" w:cs="宋体"/>
          <w:bCs/>
          <w:sz w:val="24"/>
        </w:rPr>
      </w:pPr>
      <w:r>
        <w:rPr>
          <w:rFonts w:ascii="宋体" w:hAnsi="宋体" w:cs="宋体"/>
          <w:bCs/>
          <w:sz w:val="24"/>
        </w:rPr>
        <w:t>17. 乙方在项目中所承建信息系统的开发、测试环境，出现甲方及项目相关的标识名称，或在项目建成后未及时下架测试环境，每出现一次，从合同金额扣除2000元。</w:t>
      </w:r>
    </w:p>
    <w:p>
      <w:pPr>
        <w:snapToGrid w:val="0"/>
        <w:spacing w:line="360" w:lineRule="auto"/>
        <w:ind w:firstLine="480" w:firstLineChars="200"/>
        <w:rPr>
          <w:rFonts w:ascii="宋体" w:hAnsi="宋体" w:cs="宋体"/>
          <w:bCs/>
          <w:sz w:val="24"/>
        </w:rPr>
      </w:pPr>
      <w:r>
        <w:rPr>
          <w:rFonts w:ascii="宋体" w:hAnsi="宋体" w:cs="宋体"/>
          <w:bCs/>
          <w:sz w:val="24"/>
        </w:rPr>
        <w:t>18. 乙方驻场人员在重要活动、会议期间，未按照甲方安全保障要求，参与重保值班值守工作，每出现一人次天，从合同金额扣除5000元。</w:t>
      </w:r>
    </w:p>
    <w:p>
      <w:pPr>
        <w:snapToGrid w:val="0"/>
        <w:spacing w:line="360" w:lineRule="auto"/>
        <w:ind w:firstLine="480" w:firstLineChars="200"/>
        <w:rPr>
          <w:rFonts w:ascii="宋体" w:hAnsi="宋体" w:cs="宋体"/>
          <w:bCs/>
          <w:sz w:val="24"/>
        </w:rPr>
      </w:pPr>
      <w:r>
        <w:rPr>
          <w:rFonts w:ascii="宋体" w:hAnsi="宋体" w:cs="宋体"/>
          <w:bCs/>
          <w:sz w:val="24"/>
        </w:rPr>
        <w:t>19. 乙方未按照甲方业务要求，围绕项目内容，未及时提供甲方所需要的业务相关进展及数据，每出现一次，从合同金额扣除2000元。</w:t>
      </w:r>
    </w:p>
    <w:p>
      <w:pPr>
        <w:snapToGrid w:val="0"/>
        <w:spacing w:line="360" w:lineRule="auto"/>
        <w:ind w:firstLine="480" w:firstLineChars="200"/>
        <w:rPr>
          <w:rFonts w:ascii="宋体" w:hAnsi="宋体" w:cs="宋体"/>
          <w:bCs/>
          <w:sz w:val="24"/>
        </w:rPr>
      </w:pPr>
      <w:r>
        <w:rPr>
          <w:rFonts w:ascii="宋体" w:hAnsi="宋体" w:cs="宋体"/>
          <w:bCs/>
          <w:sz w:val="24"/>
        </w:rPr>
        <w:t>20. 乙方在项目中所建设、运营的应用系统、应用服务等涉及鉴权登录的，未使用浙政钉/浙里办扫码方式、二次验证的方式的，每发现一次，从合同金额扣除2000元。</w:t>
      </w:r>
    </w:p>
    <w:p>
      <w:pPr>
        <w:snapToGrid w:val="0"/>
        <w:spacing w:line="360" w:lineRule="auto"/>
        <w:ind w:firstLine="480" w:firstLineChars="200"/>
        <w:rPr>
          <w:rFonts w:ascii="宋体" w:hAnsi="宋体" w:cs="宋体"/>
          <w:bCs/>
          <w:sz w:val="24"/>
        </w:rPr>
      </w:pPr>
      <w:r>
        <w:rPr>
          <w:rFonts w:ascii="宋体" w:hAnsi="宋体" w:cs="宋体"/>
          <w:bCs/>
          <w:sz w:val="24"/>
        </w:rPr>
        <w:t>21. 乙方驻场人员未按照甲方约定允许，从事其他项目内容、本项目中已额外单独支付服务费的相关工作，甲方有权扣除涉及的驻场人员服务费。</w:t>
      </w:r>
    </w:p>
    <w:p>
      <w:pPr>
        <w:snapToGrid w:val="0"/>
        <w:spacing w:line="360" w:lineRule="auto"/>
        <w:ind w:firstLine="480" w:firstLineChars="200"/>
        <w:rPr>
          <w:rFonts w:ascii="宋体" w:hAnsi="宋体" w:cs="宋体"/>
          <w:bCs/>
          <w:sz w:val="24"/>
        </w:rPr>
      </w:pPr>
      <w:r>
        <w:rPr>
          <w:rFonts w:ascii="宋体" w:hAnsi="宋体" w:cs="宋体"/>
          <w:bCs/>
          <w:sz w:val="24"/>
        </w:rPr>
        <w:t>22．乙方应当按照《中华人民共和国网络安全法》《中华人民共和国数据安全法》《中华人民共和国个人信息保护法》等法律法规及规章制度要求开展工作，乙方不履行合同义务或者履行合同义务不符合约定的，应当依照法律及合同约定承担相应责任。</w:t>
      </w:r>
    </w:p>
    <w:p>
      <w:pPr>
        <w:snapToGrid w:val="0"/>
        <w:spacing w:line="360" w:lineRule="auto"/>
        <w:ind w:firstLine="480" w:firstLineChars="200"/>
        <w:rPr>
          <w:rFonts w:ascii="宋体" w:hAnsi="宋体" w:cs="宋体"/>
          <w:bCs/>
          <w:sz w:val="24"/>
        </w:rPr>
      </w:pPr>
      <w:r>
        <w:rPr>
          <w:rFonts w:ascii="宋体" w:hAnsi="宋体" w:cs="宋体"/>
          <w:bCs/>
          <w:sz w:val="24"/>
        </w:rPr>
        <w:t>三、其他</w:t>
      </w:r>
    </w:p>
    <w:p>
      <w:pPr>
        <w:snapToGrid w:val="0"/>
        <w:spacing w:line="360" w:lineRule="auto"/>
        <w:ind w:firstLine="480" w:firstLineChars="200"/>
        <w:rPr>
          <w:rFonts w:ascii="宋体" w:hAnsi="宋体" w:cs="宋体"/>
          <w:sz w:val="24"/>
        </w:rPr>
      </w:pPr>
      <w:r>
        <w:rPr>
          <w:rFonts w:ascii="宋体" w:hAnsi="宋体" w:cs="宋体"/>
          <w:sz w:val="24"/>
        </w:rPr>
        <w:t>本附件与主合同具有同等法律效力，自乙方盖章后生效。</w:t>
      </w:r>
    </w:p>
    <w:p>
      <w:pPr>
        <w:snapToGrid w:val="0"/>
        <w:spacing w:line="360" w:lineRule="auto"/>
        <w:ind w:firstLine="480" w:firstLineChars="200"/>
        <w:rPr>
          <w:rFonts w:ascii="宋体" w:hAnsi="宋体" w:cs="宋体"/>
          <w:sz w:val="24"/>
        </w:rPr>
      </w:pPr>
    </w:p>
    <w:p>
      <w:pPr>
        <w:pStyle w:val="889"/>
        <w:spacing w:line="360" w:lineRule="auto"/>
        <w:ind w:firstLine="480"/>
        <w:rPr>
          <w:rFonts w:ascii="宋体" w:hAnsi="宋体" w:eastAsia="宋体" w:cs="宋体"/>
          <w:sz w:val="24"/>
        </w:rPr>
      </w:pPr>
      <w:r>
        <w:rPr>
          <w:rFonts w:ascii="宋体" w:hAnsi="宋体" w:eastAsia="宋体" w:cs="宋体"/>
          <w:sz w:val="24"/>
        </w:rPr>
        <w:t xml:space="preserve">乙方（盖章）：                    </w:t>
      </w:r>
    </w:p>
    <w:p>
      <w:pPr>
        <w:pStyle w:val="889"/>
        <w:spacing w:line="360" w:lineRule="auto"/>
        <w:ind w:firstLine="480"/>
        <w:rPr>
          <w:rFonts w:ascii="宋体" w:hAnsi="宋体" w:eastAsia="宋体" w:cs="宋体"/>
          <w:sz w:val="24"/>
        </w:rPr>
      </w:pPr>
    </w:p>
    <w:p>
      <w:pPr>
        <w:pStyle w:val="889"/>
        <w:spacing w:line="360" w:lineRule="auto"/>
        <w:ind w:firstLine="480"/>
        <w:rPr>
          <w:rFonts w:ascii="宋体" w:hAnsi="宋体" w:eastAsia="宋体" w:cs="宋体"/>
          <w:sz w:val="24"/>
        </w:rPr>
      </w:pPr>
    </w:p>
    <w:p>
      <w:pPr>
        <w:snapToGrid w:val="0"/>
        <w:spacing w:line="600" w:lineRule="exact"/>
        <w:ind w:firstLine="6120" w:firstLineChars="2550"/>
        <w:rPr>
          <w:rFonts w:ascii="黑体" w:hAnsi="黑体" w:eastAsia="黑体" w:cs="黑体"/>
          <w:sz w:val="32"/>
          <w:szCs w:val="32"/>
        </w:rPr>
      </w:pPr>
      <w:r>
        <w:rPr>
          <w:rFonts w:ascii="宋体" w:hAnsi="宋体" w:cs="宋体"/>
          <w:sz w:val="24"/>
        </w:rPr>
        <w:t xml:space="preserve">时间：     年  月  日             </w:t>
      </w:r>
      <w:r>
        <w:rPr>
          <w:rFonts w:ascii="宋体" w:hAnsi="宋体" w:cs="宋体"/>
          <w:sz w:val="24"/>
        </w:rPr>
        <w:br w:type="page"/>
      </w:r>
      <w:r>
        <w:rPr>
          <w:rFonts w:eastAsia="黑体"/>
          <w:sz w:val="32"/>
          <w:szCs w:val="32"/>
        </w:rPr>
        <w:t>附件1-1</w:t>
      </w:r>
    </w:p>
    <w:p>
      <w:pPr>
        <w:snapToGrid w:val="0"/>
        <w:spacing w:line="600" w:lineRule="exact"/>
        <w:ind w:right="45"/>
        <w:jc w:val="center"/>
        <w:rPr>
          <w:rFonts w:ascii="方正小标宋_GBK" w:hAnsi="方正小标宋_GBK" w:eastAsia="方正小标宋_GBK" w:cs="方正小标宋_GBK"/>
          <w:spacing w:val="5"/>
          <w:sz w:val="32"/>
          <w:szCs w:val="32"/>
          <w:u w:val="single" w:color="231F20"/>
        </w:rPr>
      </w:pPr>
    </w:p>
    <w:p>
      <w:pPr>
        <w:snapToGrid w:val="0"/>
        <w:spacing w:line="720" w:lineRule="exact"/>
        <w:ind w:right="45"/>
        <w:jc w:val="center"/>
        <w:rPr>
          <w:rFonts w:ascii="方正小标宋_GBK" w:hAnsi="方正小标宋_GBK" w:eastAsia="方正小标宋_GBK" w:cs="方正小标宋_GBK"/>
          <w:sz w:val="44"/>
          <w:szCs w:val="44"/>
        </w:rPr>
      </w:pPr>
      <w:r>
        <w:rPr>
          <w:rFonts w:ascii="方正小标宋_GBK" w:hAnsi="方正小标宋_GBK" w:eastAsia="方正小标宋_GBK" w:cs="方正小标宋_GBK"/>
          <w:spacing w:val="22"/>
          <w:sz w:val="44"/>
          <w:szCs w:val="44"/>
        </w:rPr>
        <w:t>网</w:t>
      </w:r>
      <w:r>
        <w:rPr>
          <w:rFonts w:ascii="方正小标宋_GBK" w:hAnsi="方正小标宋_GBK" w:eastAsia="方正小标宋_GBK" w:cs="方正小标宋_GBK"/>
          <w:spacing w:val="19"/>
          <w:sz w:val="44"/>
          <w:szCs w:val="44"/>
        </w:rPr>
        <w:t>络安全承诺书（单位）</w:t>
      </w:r>
    </w:p>
    <w:p>
      <w:pPr>
        <w:snapToGrid w:val="0"/>
        <w:spacing w:line="600" w:lineRule="exact"/>
        <w:rPr>
          <w:rFonts w:ascii="黑体" w:hAnsi="黑体" w:eastAsia="黑体" w:cs="黑体"/>
          <w:spacing w:val="4"/>
          <w:sz w:val="32"/>
          <w:szCs w:val="32"/>
          <w:u w:val="single" w:color="231F20"/>
        </w:rPr>
      </w:pPr>
    </w:p>
    <w:p>
      <w:pPr>
        <w:snapToGrid w:val="0"/>
        <w:spacing w:line="600" w:lineRule="exact"/>
        <w:rPr>
          <w:rFonts w:ascii="黑体" w:hAnsi="黑体" w:eastAsia="黑体" w:cs="黑体"/>
          <w:sz w:val="32"/>
          <w:szCs w:val="32"/>
        </w:rPr>
      </w:pPr>
      <w:r>
        <w:rPr>
          <w:rFonts w:ascii="黑体" w:hAnsi="黑体" w:eastAsia="黑体" w:cs="黑体"/>
          <w:spacing w:val="4"/>
          <w:sz w:val="32"/>
          <w:szCs w:val="32"/>
          <w:u w:val="single" w:color="231F20"/>
        </w:rPr>
        <w:t>杭州市规划和自然资源局</w:t>
      </w:r>
      <w:r>
        <w:rPr>
          <w:rFonts w:ascii="黑体" w:hAnsi="黑体" w:eastAsia="黑体" w:cs="黑体"/>
          <w:spacing w:val="2"/>
          <w:sz w:val="32"/>
          <w:szCs w:val="32"/>
          <w:u w:val="single" w:color="231F20"/>
        </w:rPr>
        <w:t>：</w:t>
      </w:r>
    </w:p>
    <w:p>
      <w:pPr>
        <w:snapToGrid w:val="0"/>
        <w:spacing w:line="600" w:lineRule="exact"/>
        <w:ind w:left="15" w:firstLine="639"/>
        <w:rPr>
          <w:rFonts w:eastAsia="仿宋_GB2312"/>
          <w:sz w:val="32"/>
          <w:szCs w:val="32"/>
        </w:rPr>
      </w:pPr>
      <w:r>
        <w:rPr>
          <w:rFonts w:eastAsia="仿宋_GB2312"/>
          <w:sz w:val="32"/>
          <w:szCs w:val="32"/>
        </w:rPr>
        <w:t>为确保我单位开发/运维的系统安全稳定运行，我单位郑重承诺认真落实</w:t>
      </w:r>
      <w:r>
        <w:rPr>
          <w:rFonts w:ascii="仿宋_GB2312" w:hAnsi="仿宋_GB2312" w:eastAsia="仿宋_GB2312" w:cs="仿宋_GB2312"/>
          <w:spacing w:val="4"/>
          <w:sz w:val="32"/>
          <w:szCs w:val="32"/>
          <w:u w:val="single" w:color="231F20"/>
        </w:rPr>
        <w:t>杭州市规划和自然资源局</w:t>
      </w:r>
      <w:r>
        <w:rPr>
          <w:rFonts w:eastAsia="仿宋_GB2312"/>
          <w:sz w:val="32"/>
          <w:szCs w:val="32"/>
        </w:rPr>
        <w:t>部署的各项网络安全工作任务，采取包括增加人员和经费投入在内的一切必要手段，确保系统安全运行，确保不发生网络安全事件。</w:t>
      </w:r>
    </w:p>
    <w:p>
      <w:pPr>
        <w:snapToGrid w:val="0"/>
        <w:spacing w:line="600" w:lineRule="exact"/>
        <w:ind w:left="16" w:firstLine="636"/>
        <w:rPr>
          <w:rFonts w:eastAsia="仿宋_GB2312"/>
          <w:sz w:val="32"/>
          <w:szCs w:val="32"/>
        </w:rPr>
      </w:pPr>
      <w:r>
        <w:rPr>
          <w:rFonts w:ascii="黑体" w:hAnsi="黑体" w:eastAsia="黑体" w:cs="黑体"/>
          <w:sz w:val="32"/>
          <w:szCs w:val="32"/>
        </w:rPr>
        <w:t>我单位明确：</w:t>
      </w:r>
      <w:r>
        <w:rPr>
          <w:rFonts w:hint="eastAsia" w:ascii="仿宋_GB2312" w:hAnsi="仿宋_GB2312" w:eastAsia="仿宋_GB2312" w:cs="仿宋_GB2312"/>
          <w:spacing w:val="7"/>
          <w:sz w:val="32"/>
          <w:szCs w:val="32"/>
          <w:u w:val="single" w:color="231F20"/>
          <w:lang w:bidi="ar"/>
        </w:rPr>
        <w:t xml:space="preserve">          </w:t>
      </w:r>
      <w:r>
        <w:rPr>
          <w:rFonts w:eastAsia="仿宋_GB2312"/>
          <w:sz w:val="32"/>
          <w:szCs w:val="32"/>
        </w:rPr>
        <w:t>为我单位项目负责人，全面负责信息系统管理和网络安全工作，派出骨干技术力量负责项目的开发、运维和保障工作。我单位将把应用系统安全运行情况纳入对上述人员的奖惩考核范围并充分征求贵单位意见。</w:t>
      </w:r>
    </w:p>
    <w:p>
      <w:pPr>
        <w:snapToGrid w:val="0"/>
        <w:spacing w:line="600" w:lineRule="exact"/>
        <w:ind w:left="15" w:firstLine="637"/>
        <w:rPr>
          <w:rFonts w:eastAsia="仿宋_GB2312"/>
          <w:sz w:val="32"/>
          <w:szCs w:val="32"/>
        </w:rPr>
      </w:pPr>
      <w:r>
        <w:rPr>
          <w:rFonts w:ascii="黑体" w:hAnsi="黑体" w:eastAsia="黑体" w:cs="黑体"/>
          <w:sz w:val="32"/>
          <w:szCs w:val="32"/>
        </w:rPr>
        <w:t>我单位承诺：</w:t>
      </w:r>
      <w:r>
        <w:rPr>
          <w:rFonts w:eastAsia="仿宋_GB2312"/>
          <w:sz w:val="32"/>
          <w:szCs w:val="32"/>
        </w:rPr>
        <w:t>按照国家法律法规和技术标准加强网络安全技术防护，确保自身和相关供应链的网络安全，积极配合贵单位和国家涉网监管部门组织的检查、检测等工作。与贵单位官方网络安全服务合作伙伴做好技术对接，确保重要网络安全态势信息互联互通。按照最小化原则管理相关权限、信息和数据，对重要信息系统原则上采用双因子认证进行身份认证和授权访问。做好日常监测、技术巡检等工作，及时修复高危漏洞、关闭高危端口，配备防范页面篡改、黑客攻击、病毒入侵、系统故障、数据泄露等情况的技术力量，确保系统安全稳定运行。制定应急预案，并定期开展应急演练，当发生网络安全事件时，应于24小时内向贵单位书面反馈突发网络安全和数据安全事件处置情况。留存系统日志、应用日志和行为审计日志等直至项目结束，确保网络访问行为可记录、可追溯。系统运行结束后按照贵单位的要求处置相关数据，确保系统安全关停。</w:t>
      </w:r>
    </w:p>
    <w:p>
      <w:pPr>
        <w:snapToGrid w:val="0"/>
        <w:spacing w:line="600" w:lineRule="exact"/>
        <w:ind w:firstLine="640" w:firstLineChars="200"/>
        <w:rPr>
          <w:rFonts w:eastAsia="仿宋_GB2312"/>
          <w:sz w:val="32"/>
          <w:szCs w:val="32"/>
        </w:rPr>
      </w:pPr>
      <w:r>
        <w:rPr>
          <w:rFonts w:ascii="黑体" w:hAnsi="黑体" w:eastAsia="黑体" w:cs="黑体"/>
          <w:sz w:val="32"/>
          <w:szCs w:val="32"/>
        </w:rPr>
        <w:t>我单位确认：</w:t>
      </w:r>
      <w:r>
        <w:rPr>
          <w:rFonts w:eastAsia="仿宋_GB2312"/>
          <w:sz w:val="32"/>
          <w:szCs w:val="32"/>
        </w:rPr>
        <w:t>已对该项目暴露在互联网上的系统测试账号、配置文件、系统数据、测试环境、试运行环境、密码记录、源代码（包括github、gitlab等）、弱口令、技术方案等与项目安全运行无关的信息进行了清理。后续也将对上述信息进行有效管理。</w:t>
      </w:r>
    </w:p>
    <w:p>
      <w:pPr>
        <w:snapToGrid w:val="0"/>
        <w:spacing w:line="600" w:lineRule="exact"/>
        <w:ind w:firstLine="640" w:firstLineChars="200"/>
        <w:rPr>
          <w:rFonts w:eastAsia="仿宋_GB2312"/>
          <w:sz w:val="32"/>
          <w:szCs w:val="32"/>
        </w:rPr>
      </w:pPr>
      <w:r>
        <w:rPr>
          <w:rFonts w:eastAsia="仿宋_GB2312"/>
          <w:sz w:val="32"/>
          <w:szCs w:val="32"/>
        </w:rPr>
        <w:t>如我单位承建信息系统发生任何网络安全事件引发任何损失，我单位将采取一切可能的措施配合贵单位积极开展处置，承担相应损失，并追究相关人员责任。</w:t>
      </w:r>
    </w:p>
    <w:p>
      <w:pPr>
        <w:pStyle w:val="889"/>
        <w:ind w:firstLine="560"/>
      </w:pPr>
    </w:p>
    <w:p>
      <w:pPr>
        <w:snapToGrid w:val="0"/>
        <w:spacing w:line="600" w:lineRule="exact"/>
        <w:ind w:left="5" w:firstLine="631"/>
        <w:jc w:val="right"/>
        <w:rPr>
          <w:rFonts w:ascii="仿宋_GB2312" w:hAnsi="仿宋_GB2312" w:eastAsia="仿宋_GB2312" w:cs="仿宋_GB2312"/>
          <w:spacing w:val="7"/>
          <w:sz w:val="32"/>
          <w:szCs w:val="32"/>
        </w:rPr>
      </w:pPr>
    </w:p>
    <w:p>
      <w:pPr>
        <w:snapToGrid w:val="0"/>
        <w:spacing w:line="600" w:lineRule="exact"/>
        <w:ind w:firstLine="4480" w:firstLineChars="1400"/>
        <w:rPr>
          <w:rFonts w:eastAsia="仿宋_GB2312"/>
          <w:sz w:val="32"/>
          <w:szCs w:val="32"/>
        </w:rPr>
      </w:pPr>
      <w:r>
        <w:rPr>
          <w:rFonts w:eastAsia="仿宋_GB2312"/>
          <w:sz w:val="32"/>
          <w:szCs w:val="32"/>
        </w:rPr>
        <w:t xml:space="preserve">单位名称(章)：     </w:t>
      </w:r>
    </w:p>
    <w:p>
      <w:pPr>
        <w:snapToGrid w:val="0"/>
        <w:spacing w:line="600" w:lineRule="exact"/>
        <w:ind w:firstLine="5120" w:firstLineChars="1600"/>
        <w:rPr>
          <w:rFonts w:eastAsia="仿宋_GB2312"/>
          <w:sz w:val="32"/>
          <w:szCs w:val="32"/>
        </w:rPr>
      </w:pPr>
      <w:r>
        <w:rPr>
          <w:rFonts w:eastAsia="仿宋_GB2312"/>
          <w:sz w:val="32"/>
          <w:szCs w:val="32"/>
        </w:rPr>
        <w:t>年    月    日</w:t>
      </w:r>
    </w:p>
    <w:p>
      <w:pPr>
        <w:snapToGrid w:val="0"/>
        <w:spacing w:line="600" w:lineRule="exact"/>
        <w:rPr>
          <w:rFonts w:eastAsia="黑体"/>
          <w:sz w:val="32"/>
          <w:szCs w:val="32"/>
        </w:rPr>
      </w:pPr>
      <w:r>
        <w:rPr>
          <w:rFonts w:ascii="宋体" w:hAnsi="宋体" w:cs="宋体"/>
          <w:sz w:val="24"/>
        </w:rPr>
        <w:br w:type="page"/>
      </w:r>
      <w:r>
        <w:rPr>
          <w:rFonts w:eastAsia="黑体"/>
          <w:sz w:val="32"/>
          <w:szCs w:val="32"/>
        </w:rPr>
        <w:t>附件1-2</w:t>
      </w:r>
    </w:p>
    <w:p>
      <w:pPr>
        <w:widowControl/>
        <w:kinsoku w:val="0"/>
        <w:autoSpaceDE w:val="0"/>
        <w:autoSpaceDN w:val="0"/>
        <w:snapToGrid w:val="0"/>
        <w:spacing w:line="720" w:lineRule="exact"/>
        <w:jc w:val="center"/>
        <w:textAlignment w:val="baseline"/>
        <w:rPr>
          <w:rFonts w:ascii="方正小标宋_GBK" w:hAnsi="方正小标宋_GBK" w:eastAsia="方正小标宋_GBK" w:cs="方正小标宋_GBK"/>
          <w:spacing w:val="22"/>
          <w:sz w:val="44"/>
          <w:szCs w:val="44"/>
        </w:rPr>
      </w:pPr>
    </w:p>
    <w:p>
      <w:pPr>
        <w:widowControl/>
        <w:kinsoku w:val="0"/>
        <w:autoSpaceDE w:val="0"/>
        <w:autoSpaceDN w:val="0"/>
        <w:snapToGrid w:val="0"/>
        <w:spacing w:line="720" w:lineRule="exact"/>
        <w:jc w:val="center"/>
        <w:textAlignment w:val="baseline"/>
        <w:rPr>
          <w:rFonts w:ascii="方正小标宋_GBK" w:hAnsi="方正小标宋_GBK" w:eastAsia="方正小标宋_GBK" w:cs="方正小标宋_GBK"/>
          <w:spacing w:val="22"/>
          <w:sz w:val="44"/>
          <w:szCs w:val="44"/>
        </w:rPr>
      </w:pPr>
      <w:r>
        <w:rPr>
          <w:rFonts w:ascii="方正小标宋_GBK" w:hAnsi="方正小标宋_GBK" w:eastAsia="方正小标宋_GBK" w:cs="方正小标宋_GBK"/>
          <w:spacing w:val="22"/>
          <w:sz w:val="44"/>
          <w:szCs w:val="44"/>
        </w:rPr>
        <w:t>网络安全承诺书（个人）</w:t>
      </w:r>
    </w:p>
    <w:p>
      <w:pPr>
        <w:pStyle w:val="889"/>
        <w:ind w:firstLine="560"/>
      </w:pPr>
    </w:p>
    <w:p>
      <w:pPr>
        <w:widowControl/>
        <w:kinsoku w:val="0"/>
        <w:autoSpaceDE w:val="0"/>
        <w:autoSpaceDN w:val="0"/>
        <w:snapToGrid w:val="0"/>
        <w:spacing w:line="540" w:lineRule="exact"/>
        <w:textAlignment w:val="baseline"/>
        <w:rPr>
          <w:rFonts w:ascii="黑体" w:hAnsi="黑体" w:eastAsia="黑体" w:cs="黑体"/>
          <w:sz w:val="32"/>
          <w:szCs w:val="32"/>
        </w:rPr>
      </w:pPr>
      <w:r>
        <w:rPr>
          <w:rFonts w:ascii="黑体" w:hAnsi="黑体" w:eastAsia="黑体" w:cs="黑体"/>
          <w:spacing w:val="4"/>
          <w:sz w:val="32"/>
          <w:szCs w:val="32"/>
          <w:u w:val="single" w:color="231F20"/>
        </w:rPr>
        <w:t>杭州市规划和自然资源局、(信息技术服务外包单位名称)</w:t>
      </w:r>
      <w:r>
        <w:rPr>
          <w:rFonts w:ascii="黑体" w:hAnsi="黑体" w:eastAsia="黑体" w:cs="黑体"/>
          <w:spacing w:val="7"/>
          <w:sz w:val="32"/>
          <w:szCs w:val="32"/>
          <w:u w:val="single" w:color="231F20"/>
        </w:rPr>
        <w:t>：</w:t>
      </w:r>
    </w:p>
    <w:p>
      <w:pPr>
        <w:widowControl/>
        <w:kinsoku w:val="0"/>
        <w:autoSpaceDE w:val="0"/>
        <w:autoSpaceDN w:val="0"/>
        <w:snapToGrid w:val="0"/>
        <w:spacing w:line="540" w:lineRule="exact"/>
        <w:ind w:firstLine="628"/>
        <w:textAlignment w:val="baseline"/>
        <w:rPr>
          <w:rFonts w:eastAsia="仿宋_GB2312"/>
          <w:sz w:val="32"/>
          <w:szCs w:val="32"/>
        </w:rPr>
      </w:pPr>
      <w:r>
        <w:rPr>
          <w:rFonts w:eastAsia="仿宋_GB2312"/>
          <w:sz w:val="32"/>
          <w:szCs w:val="32"/>
        </w:rPr>
        <w:t>本人已认真阅读并将持续学习网络安全管理办法等网络安全管理政策文件和操作流程等要求。本人对个人掌握的信息系统权限负责，不向他人泄露或共享本人所有的系统权限。提升安全意识、注重用网安全，确保本人管理的权限、账号以及计算机终端安全。如工作岗位发生调整，本人将及时做好必要的交接程序。</w:t>
      </w:r>
    </w:p>
    <w:p>
      <w:pPr>
        <w:widowControl/>
        <w:kinsoku w:val="0"/>
        <w:autoSpaceDE w:val="0"/>
        <w:autoSpaceDN w:val="0"/>
        <w:snapToGrid w:val="0"/>
        <w:spacing w:line="540" w:lineRule="exact"/>
        <w:ind w:firstLine="640" w:firstLineChars="200"/>
        <w:textAlignment w:val="baseline"/>
        <w:rPr>
          <w:rFonts w:ascii="仿宋_GB2312" w:hAnsi="仿宋_GB2312" w:eastAsia="仿宋_GB2312" w:cs="仿宋_GB2312"/>
          <w:spacing w:val="7"/>
          <w:sz w:val="32"/>
          <w:szCs w:val="32"/>
        </w:rPr>
      </w:pPr>
      <w:r>
        <w:rPr>
          <w:rFonts w:ascii="黑体" w:hAnsi="黑体" w:eastAsia="黑体" w:cs="黑体"/>
          <w:sz w:val="32"/>
          <w:szCs w:val="32"/>
        </w:rPr>
        <w:t>本人承诺：</w:t>
      </w:r>
      <w:r>
        <w:rPr>
          <w:rFonts w:eastAsia="仿宋_GB2312"/>
          <w:sz w:val="32"/>
          <w:szCs w:val="32"/>
        </w:rPr>
        <w:t>遵守《网络安全法》《数据安全法》《保密法》等国家法律法规及标准规范，遵守项目组和单位的各项网络安全管理制度和工作要求，认真做好技术服务和保障工作，确保信息系统安全稳定运行。及时向项目组报告信息系统的重大变更、重要操作、运行态势等重要信息，积极配合各类网络安全检查、检测和演练工作，确保不发生网络安全事件。</w:t>
      </w:r>
    </w:p>
    <w:p>
      <w:pPr>
        <w:kinsoku w:val="0"/>
        <w:autoSpaceDE w:val="0"/>
        <w:autoSpaceDN w:val="0"/>
        <w:snapToGrid w:val="0"/>
        <w:spacing w:line="540" w:lineRule="exact"/>
        <w:ind w:firstLine="629"/>
        <w:textAlignment w:val="baseline"/>
        <w:rPr>
          <w:rFonts w:eastAsia="仿宋_GB2312"/>
          <w:sz w:val="32"/>
          <w:szCs w:val="32"/>
        </w:rPr>
      </w:pPr>
      <w:r>
        <w:rPr>
          <w:rFonts w:ascii="黑体" w:hAnsi="黑体" w:eastAsia="黑体" w:cs="黑体"/>
          <w:sz w:val="32"/>
          <w:szCs w:val="32"/>
        </w:rPr>
        <w:t>本人同意：</w:t>
      </w:r>
      <w:r>
        <w:rPr>
          <w:rFonts w:eastAsia="仿宋_GB2312"/>
          <w:sz w:val="32"/>
          <w:szCs w:val="32"/>
        </w:rPr>
        <w:t>把</w:t>
      </w:r>
      <w:r>
        <w:rPr>
          <w:rFonts w:ascii="仿宋_GB2312" w:hAnsi="仿宋_GB2312" w:eastAsia="仿宋_GB2312" w:cs="仿宋_GB2312"/>
          <w:spacing w:val="7"/>
          <w:sz w:val="32"/>
          <w:szCs w:val="32"/>
        </w:rPr>
        <w:t>应</w:t>
      </w:r>
      <w:r>
        <w:rPr>
          <w:rFonts w:eastAsia="仿宋_GB2312"/>
          <w:sz w:val="32"/>
          <w:szCs w:val="32"/>
        </w:rPr>
        <w:t>用安全运行情况纳入本单位对本人的奖惩考核范围。如我单位承建信息系统发生任何网络安全事件引发任何损失，本人将采取一切可能的措施积极开展处置。</w:t>
      </w:r>
    </w:p>
    <w:p>
      <w:pPr>
        <w:widowControl/>
        <w:kinsoku w:val="0"/>
        <w:autoSpaceDE w:val="0"/>
        <w:autoSpaceDN w:val="0"/>
        <w:snapToGrid w:val="0"/>
        <w:spacing w:line="300" w:lineRule="exact"/>
        <w:textAlignment w:val="baseline"/>
        <w:rPr>
          <w:rFonts w:ascii="微软雅黑" w:hAnsi="微软雅黑" w:eastAsia="微软雅黑" w:cs="微软雅黑"/>
          <w:spacing w:val="7"/>
          <w:sz w:val="29"/>
          <w:szCs w:val="29"/>
        </w:rPr>
      </w:pPr>
    </w:p>
    <w:p>
      <w:pPr>
        <w:pStyle w:val="889"/>
        <w:ind w:firstLine="560"/>
      </w:pPr>
    </w:p>
    <w:p>
      <w:pPr>
        <w:snapToGrid w:val="0"/>
        <w:spacing w:line="540" w:lineRule="exact"/>
        <w:ind w:firstLine="5280" w:firstLineChars="1650"/>
        <w:rPr>
          <w:rFonts w:eastAsia="仿宋_GB2312"/>
          <w:sz w:val="32"/>
          <w:szCs w:val="32"/>
        </w:rPr>
      </w:pPr>
      <w:r>
        <w:rPr>
          <w:rFonts w:eastAsia="仿宋_GB2312"/>
          <w:sz w:val="32"/>
          <w:szCs w:val="32"/>
        </w:rPr>
        <w:t>承诺人(签字)：</w:t>
      </w:r>
    </w:p>
    <w:p>
      <w:pPr>
        <w:snapToGrid w:val="0"/>
        <w:spacing w:line="540" w:lineRule="exact"/>
        <w:ind w:firstLine="5120" w:firstLineChars="1600"/>
        <w:rPr>
          <w:rFonts w:ascii="黑体" w:hAnsi="黑体" w:eastAsia="黑体" w:cs="黑体"/>
          <w:sz w:val="32"/>
          <w:szCs w:val="32"/>
        </w:rPr>
      </w:pPr>
      <w:r>
        <w:rPr>
          <w:rFonts w:eastAsia="仿宋_GB2312"/>
          <w:sz w:val="32"/>
          <w:szCs w:val="32"/>
        </w:rPr>
        <w:t>年    月    日</w:t>
      </w:r>
    </w:p>
    <w:p>
      <w:pPr>
        <w:adjustRightInd/>
        <w:rPr>
          <w:rFonts w:ascii="Calibri" w:hAnsi="Calibri" w:eastAsia="仿宋_GB2312" w:cs="Calibri"/>
          <w:sz w:val="28"/>
        </w:rPr>
      </w:pPr>
    </w:p>
    <w:p>
      <w:pPr>
        <w:snapToGrid w:val="0"/>
        <w:spacing w:line="20" w:lineRule="exact"/>
        <w:ind w:firstLine="480" w:firstLineChars="200"/>
        <w:rPr>
          <w:rFonts w:ascii="Calibri" w:hAnsi="Calibri" w:eastAsia="仿宋_GB2312" w:cs="仿宋_GB2312"/>
          <w:sz w:val="24"/>
        </w:rPr>
      </w:pPr>
    </w:p>
    <w:p>
      <w:pPr>
        <w:widowControl/>
        <w:adjustRightInd/>
        <w:rPr>
          <w:rFonts w:ascii="宋体" w:hAnsi="宋体" w:cs="宋体"/>
          <w:b/>
          <w:sz w:val="36"/>
          <w:szCs w:val="20"/>
        </w:rPr>
        <w:sectPr>
          <w:headerReference r:id="rId9"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widowControl/>
        <w:adjustRightInd/>
        <w:jc w:val="center"/>
        <w:rPr>
          <w:rFonts w:ascii="宋体" w:hAnsi="宋体" w:cs="宋体"/>
          <w:b/>
          <w:sz w:val="36"/>
          <w:szCs w:val="20"/>
        </w:rPr>
      </w:pPr>
      <w:r>
        <w:rPr>
          <w:rFonts w:hint="eastAsia" w:ascii="宋体" w:hAnsi="宋体" w:cs="宋体"/>
          <w:b/>
          <w:sz w:val="36"/>
          <w:szCs w:val="20"/>
        </w:rPr>
        <w:t>第六部分</w:t>
      </w:r>
      <w:bookmarkEnd w:id="399"/>
      <w:bookmarkEnd w:id="400"/>
      <w:r>
        <w:rPr>
          <w:rFonts w:hint="eastAsia" w:ascii="宋体" w:hAnsi="宋体" w:cs="宋体"/>
          <w:b/>
          <w:sz w:val="36"/>
          <w:szCs w:val="20"/>
        </w:rPr>
        <w:t>应提交的有关格式范例</w:t>
      </w:r>
    </w:p>
    <w:p>
      <w:pPr>
        <w:spacing w:line="360" w:lineRule="auto"/>
        <w:jc w:val="center"/>
        <w:outlineLvl w:val="0"/>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pPr>
        <w:snapToGrid w:val="0"/>
        <w:spacing w:line="360" w:lineRule="auto"/>
        <w:rPr>
          <w:rFonts w:ascii="宋体" w:hAnsi="宋体" w:cs="宋体"/>
          <w:sz w:val="24"/>
        </w:rPr>
      </w:pPr>
      <w:r>
        <w:rPr>
          <w:rFonts w:hint="eastAsia" w:ascii="宋体" w:hAnsi="宋体" w:cs="宋体"/>
          <w:sz w:val="24"/>
        </w:rPr>
        <w:t>（3）落实政府采购政策需满足的资格要求………………………………（页码）</w:t>
      </w:r>
    </w:p>
    <w:p>
      <w:pPr>
        <w:snapToGrid w:val="0"/>
        <w:spacing w:line="360" w:lineRule="auto"/>
        <w:rPr>
          <w:rFonts w:ascii="宋体" w:hAnsi="宋体" w:cs="宋体"/>
          <w:sz w:val="24"/>
        </w:rPr>
      </w:pPr>
      <w:r>
        <w:rPr>
          <w:rFonts w:hint="eastAsia" w:ascii="宋体" w:hAnsi="宋体" w:cs="宋体"/>
          <w:sz w:val="24"/>
        </w:rPr>
        <w:t>（4）本项目的特定资格要求………………………………………………（页码）</w:t>
      </w:r>
    </w:p>
    <w:p>
      <w:pPr>
        <w:snapToGrid w:val="0"/>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杭州市规划和自然资源局、浙江科佳工程咨询有限公司：</w:t>
      </w:r>
    </w:p>
    <w:p>
      <w:pPr>
        <w:snapToGrid w:val="0"/>
        <w:spacing w:line="360" w:lineRule="auto"/>
        <w:ind w:firstLine="480" w:firstLineChars="200"/>
        <w:rPr>
          <w:rFonts w:ascii="宋体" w:hAnsi="宋体" w:cs="宋体"/>
          <w:sz w:val="24"/>
        </w:rPr>
      </w:pPr>
      <w:r>
        <w:rPr>
          <w:rFonts w:hint="eastAsia" w:ascii="宋体" w:hAnsi="宋体" w:cs="宋体"/>
          <w:sz w:val="24"/>
        </w:rPr>
        <w:t>我方参与杭州市“空间智治”数字化平台建设（2024）耕地保护集成应用项目【招标编号：ZJKJ2024-临[2024]6293号】政府采购活动，郑重承诺：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月日</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widowControl/>
        <w:adjustRightInd/>
        <w:jc w:val="left"/>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 xml:space="preserve">.专门面向中小企业，服务全部由符合政策要求的中小企业（或小微企业）承接的，提供相应的中小企业声明函（附件7）。 </w:t>
      </w:r>
    </w:p>
    <w:p>
      <w:pPr>
        <w:widowControl/>
        <w:spacing w:line="360" w:lineRule="auto"/>
        <w:ind w:firstLine="480"/>
        <w:jc w:val="left"/>
        <w:rPr>
          <w:rFonts w:ascii="宋体" w:hAnsi="宋体" w:cs="宋体"/>
          <w:sz w:val="24"/>
        </w:rPr>
      </w:pPr>
    </w:p>
    <w:p>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pPr>
        <w:snapToGrid w:val="0"/>
        <w:spacing w:before="50" w:after="50" w:line="360" w:lineRule="auto"/>
        <w:jc w:val="center"/>
        <w:rPr>
          <w:rFonts w:ascii="宋体" w:hAnsi="宋体" w:cs="宋体"/>
          <w:sz w:val="24"/>
        </w:rPr>
      </w:pPr>
    </w:p>
    <w:p>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rPr>
          <w:rFonts w:ascii="宋体" w:hAnsi="宋体" w:cs="宋体"/>
        </w:rPr>
      </w:pPr>
    </w:p>
    <w:p>
      <w:pPr>
        <w:snapToGrid w:val="0"/>
        <w:spacing w:line="360" w:lineRule="auto"/>
        <w:ind w:right="480"/>
        <w:jc w:val="center"/>
        <w:rPr>
          <w:rFonts w:ascii="宋体" w:hAnsi="宋体" w:cs="宋体"/>
          <w:b/>
          <w:kern w:val="0"/>
          <w:sz w:val="32"/>
          <w:szCs w:val="32"/>
        </w:rPr>
      </w:pPr>
    </w:p>
    <w:p>
      <w:pPr>
        <w:widowControl/>
        <w:adjustRightInd/>
        <w:jc w:val="left"/>
        <w:rPr>
          <w:rFonts w:ascii="宋体" w:hAnsi="宋体" w:cs="宋体"/>
          <w:b/>
          <w:kern w:val="0"/>
          <w:sz w:val="36"/>
          <w:szCs w:val="36"/>
        </w:rPr>
      </w:pPr>
      <w:r>
        <w:rPr>
          <w:rFonts w:hint="eastAsia" w:ascii="宋体" w:hAnsi="宋体" w:cs="宋体"/>
          <w:b/>
          <w:kern w:val="0"/>
          <w:sz w:val="36"/>
          <w:szCs w:val="36"/>
        </w:rPr>
        <w:br w:type="page"/>
      </w:r>
    </w:p>
    <w:p>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pPr>
        <w:spacing w:line="360" w:lineRule="auto"/>
        <w:jc w:val="center"/>
        <w:outlineLvl w:val="0"/>
        <w:rPr>
          <w:rFonts w:ascii="宋体" w:hAnsi="宋体" w:cs="宋体"/>
          <w:b/>
          <w:kern w:val="0"/>
          <w:sz w:val="24"/>
        </w:rPr>
      </w:pPr>
    </w:p>
    <w:p>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（3）分包意向协议</w:t>
      </w:r>
      <w:r>
        <w:rPr>
          <w:rFonts w:hint="eastAsia" w:ascii="宋体" w:hAnsi="宋体" w:cs="宋体"/>
        </w:rPr>
        <w:t>…………………………………………………………………………（页码）</w:t>
      </w:r>
    </w:p>
    <w:p>
      <w:pPr>
        <w:snapToGrid w:val="0"/>
        <w:spacing w:line="360" w:lineRule="auto"/>
        <w:ind w:firstLine="480" w:firstLineChars="200"/>
        <w:rPr>
          <w:rFonts w:ascii="宋体" w:hAnsi="宋体" w:cs="宋体"/>
        </w:rPr>
      </w:pPr>
      <w:r>
        <w:rPr>
          <w:rFonts w:hint="eastAsia" w:ascii="宋体" w:hAnsi="宋体" w:cs="宋体"/>
          <w:sz w:val="24"/>
        </w:rPr>
        <w:t>（4）符合性审查资料</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（5）评标标准相应的商务技术资料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（6）投标标的清单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（7）商务技术偏离表</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widowControl/>
        <w:adjustRightInd/>
        <w:jc w:val="left"/>
        <w:rPr>
          <w:rFonts w:ascii="宋体" w:hAnsi="宋体" w:cs="宋体"/>
          <w:b/>
          <w:kern w:val="0"/>
          <w:sz w:val="32"/>
          <w:szCs w:val="32"/>
        </w:rPr>
      </w:pPr>
      <w:r>
        <w:rPr>
          <w:rFonts w:hint="eastAsia" w:ascii="宋体" w:hAnsi="宋体" w:cs="宋体"/>
          <w:b/>
          <w:kern w:val="0"/>
          <w:sz w:val="32"/>
          <w:szCs w:val="32"/>
        </w:rPr>
        <w:br w:type="page"/>
      </w:r>
    </w:p>
    <w:p>
      <w:pPr>
        <w:snapToGrid w:val="0"/>
        <w:spacing w:line="360" w:lineRule="auto"/>
        <w:jc w:val="center"/>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snapToGrid w:val="0"/>
        <w:spacing w:line="360" w:lineRule="auto"/>
        <w:rPr>
          <w:rFonts w:ascii="宋体" w:hAnsi="宋体" w:cs="宋体"/>
          <w:sz w:val="24"/>
        </w:rPr>
      </w:pPr>
      <w:r>
        <w:rPr>
          <w:rFonts w:hint="eastAsia" w:ascii="宋体" w:hAnsi="宋体" w:cs="宋体"/>
          <w:sz w:val="24"/>
        </w:rPr>
        <w:t>杭州市规划和自然资源局、浙江科佳工程咨询有限公司：</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我方参加你方组织的杭州市“空间智治”数字化平台建设（2024）耕地保护集成应用项目【招标编号：ZJKJ2024-临[2024]6293号】招标的有关活动，并对此项目进行投标。为此：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1、我方承诺投标有效期从提交投标文件的截止之日起天（不少于90天）</w:t>
      </w:r>
      <w:r>
        <w:rPr>
          <w:rFonts w:hint="eastAsia" w:ascii="宋体" w:hAnsi="宋体" w:cs="宋体"/>
        </w:rPr>
        <w:t>，</w:t>
      </w:r>
      <w:r>
        <w:rPr>
          <w:rFonts w:hint="eastAsia" w:ascii="宋体" w:hAnsi="宋体" w:cs="宋体"/>
          <w:sz w:val="24"/>
        </w:rPr>
        <w:t>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bookmarkStart w:id="401" w:name="_Hlk101257010"/>
      <w:r>
        <w:rPr>
          <w:rFonts w:hint="eastAsia" w:ascii="宋体" w:hAnsi="宋体" w:cs="宋体"/>
          <w:sz w:val="24"/>
        </w:rPr>
        <w:t>（如果有)</w:t>
      </w:r>
      <w:bookmarkEnd w:id="401"/>
      <w:r>
        <w:rPr>
          <w:rFonts w:hint="eastAsia" w:ascii="宋体" w:hAnsi="宋体" w:cs="宋体"/>
          <w:snapToGrid w:val="0"/>
          <w:kern w:val="28"/>
          <w:sz w:val="24"/>
          <w:szCs w:val="20"/>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2.1.3落实政府采购政策需满足的资格要求（如果有）；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2.1.4本项目的特定资格要求（如果有)。</w:t>
      </w:r>
    </w:p>
    <w:p>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2商务技术</w:t>
      </w:r>
      <w:r>
        <w:rPr>
          <w:rFonts w:hint="eastAsia" w:ascii="宋体" w:hAnsi="宋体" w:cs="宋体"/>
          <w:sz w:val="24"/>
          <w:lang w:val="zh-CN"/>
        </w:rPr>
        <w:t>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2.2.3分包意向协议（如果有)；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2.2.4符合性审查资料；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2.2.5评标标准相应的商务技术资料；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2.2.6投标标的清单；</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2.2.7商务技术偏离表；</w:t>
      </w:r>
    </w:p>
    <w:p>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政府采购供应商廉洁自律承诺书；</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2.3.2中小企业声明函（如果有）。</w:t>
      </w:r>
    </w:p>
    <w:p>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p>
    <w:p>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60" w:lineRule="auto"/>
        <w:jc w:val="center"/>
        <w:rPr>
          <w:rFonts w:ascii="宋体" w:hAnsi="宋体" w:cs="宋体"/>
          <w:sz w:val="24"/>
        </w:rPr>
      </w:pPr>
      <w:r>
        <w:rPr>
          <w:rFonts w:hint="eastAsia" w:ascii="宋体" w:hAnsi="宋体" w:cs="宋体"/>
          <w:sz w:val="24"/>
        </w:rPr>
        <w:t xml:space="preserve">     日期：  年   月   日</w:t>
      </w:r>
    </w:p>
    <w:p>
      <w:pPr>
        <w:snapToGrid w:val="0"/>
        <w:spacing w:line="360" w:lineRule="auto"/>
        <w:ind w:left="420" w:leftChars="200" w:firstLine="4200" w:firstLineChars="1750"/>
        <w:rPr>
          <w:rFonts w:ascii="宋体" w:hAnsi="宋体" w:cs="宋体"/>
          <w:kern w:val="0"/>
          <w:sz w:val="24"/>
          <w:u w:val="single"/>
        </w:rPr>
      </w:pPr>
    </w:p>
    <w:p>
      <w:pPr>
        <w:spacing w:line="360" w:lineRule="auto"/>
        <w:ind w:right="420"/>
        <w:rPr>
          <w:rFonts w:ascii="宋体" w:hAnsi="宋体" w:cs="宋体"/>
          <w:sz w:val="24"/>
        </w:rPr>
      </w:pPr>
      <w:r>
        <w:rPr>
          <w:rFonts w:hint="eastAsia" w:ascii="宋体" w:hAnsi="宋体" w:cs="宋体"/>
          <w:sz w:val="24"/>
        </w:rPr>
        <w:t>注：按本格式和要求提供。</w:t>
      </w:r>
    </w:p>
    <w:p>
      <w:pPr>
        <w:snapToGrid w:val="0"/>
        <w:spacing w:line="360" w:lineRule="auto"/>
        <w:jc w:val="center"/>
        <w:rPr>
          <w:rFonts w:ascii="宋体" w:hAnsi="宋体" w:cs="宋体"/>
          <w:b/>
          <w:kern w:val="0"/>
          <w:sz w:val="32"/>
          <w:szCs w:val="32"/>
        </w:rPr>
      </w:pPr>
    </w:p>
    <w:p>
      <w:pPr>
        <w:snapToGrid w:val="0"/>
        <w:spacing w:line="360" w:lineRule="auto"/>
        <w:rPr>
          <w:rFonts w:ascii="宋体" w:hAnsi="宋体" w:cs="宋体"/>
          <w:sz w:val="24"/>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pStyle w:val="2"/>
        <w:rPr>
          <w:rFonts w:ascii="宋体" w:hAnsi="宋体" w:eastAsia="宋体" w:cs="宋体"/>
          <w:lang w:val="en-US"/>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pPr>
        <w:snapToGrid w:val="0"/>
        <w:spacing w:line="360" w:lineRule="auto"/>
        <w:rPr>
          <w:rFonts w:ascii="宋体" w:hAnsi="宋体" w:cs="宋体"/>
          <w:sz w:val="24"/>
        </w:rPr>
      </w:pPr>
    </w:p>
    <w:p>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p>
    <w:p>
      <w:pPr>
        <w:snapToGrid w:val="0"/>
        <w:spacing w:line="360" w:lineRule="auto"/>
        <w:rPr>
          <w:rFonts w:ascii="宋体" w:hAnsi="宋体" w:cs="宋体"/>
          <w:kern w:val="0"/>
          <w:sz w:val="24"/>
        </w:rPr>
      </w:pPr>
      <w:r>
        <w:rPr>
          <w:rFonts w:hint="eastAsia" w:ascii="宋体" w:hAnsi="宋体" w:cs="宋体"/>
          <w:sz w:val="24"/>
        </w:rPr>
        <w:t>杭州市规划和自然资源局、浙江科佳工程咨询有限公司</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委托（姓名）为我方代理人（身份证号码：，手机：），以我方名义处理</w:t>
      </w:r>
      <w:r>
        <w:rPr>
          <w:rFonts w:hint="eastAsia" w:ascii="宋体" w:hAnsi="宋体" w:cs="宋体"/>
          <w:sz w:val="24"/>
        </w:rPr>
        <w:t>杭州市“空间智治”数字化平台建设（2024）耕地保护集成应用项目【招标编号：ZJKJ2024-临[2024]6293号】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自年月日起至年月日止。</w:t>
      </w:r>
    </w:p>
    <w:p>
      <w:pPr>
        <w:snapToGrid w:val="0"/>
        <w:spacing w:line="360" w:lineRule="auto"/>
        <w:rPr>
          <w:rFonts w:ascii="宋体" w:hAnsi="宋体" w:cs="宋体"/>
          <w:kern w:val="0"/>
          <w:sz w:val="24"/>
        </w:rPr>
      </w:pPr>
      <w:r>
        <w:rPr>
          <w:rFonts w:hint="eastAsia" w:ascii="宋体" w:hAnsi="宋体" w:cs="宋体"/>
          <w:kern w:val="0"/>
          <w:sz w:val="24"/>
          <w:lang w:val="zh-CN"/>
        </w:rPr>
        <w:t>特此告知。</w:t>
      </w:r>
    </w:p>
    <w:p>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pPr>
        <w:snapToGrid w:val="0"/>
        <w:spacing w:line="360" w:lineRule="auto"/>
        <w:rPr>
          <w:rFonts w:ascii="宋体" w:hAnsi="宋体" w:cs="宋体"/>
          <w:sz w:val="24"/>
        </w:rPr>
      </w:pPr>
    </w:p>
    <w:p>
      <w:pPr>
        <w:jc w:val="center"/>
        <w:rPr>
          <w:rFonts w:ascii="宋体" w:hAnsi="宋体" w:cs="宋体"/>
          <w:b/>
          <w:kern w:val="0"/>
          <w:sz w:val="32"/>
          <w:szCs w:val="32"/>
        </w:rPr>
      </w:pPr>
      <w:r>
        <w:rPr>
          <w:rFonts w:hint="eastAsia" w:ascii="宋体" w:hAnsi="宋体" w:cs="宋体"/>
          <w:b/>
          <w:kern w:val="0"/>
          <w:sz w:val="32"/>
          <w:szCs w:val="32"/>
          <w:lang w:val="zh-CN"/>
        </w:rPr>
        <w:t>授权委托书（适用于联合体投标）</w:t>
      </w:r>
    </w:p>
    <w:p>
      <w:pPr>
        <w:snapToGrid w:val="0"/>
        <w:spacing w:line="360" w:lineRule="auto"/>
        <w:rPr>
          <w:rFonts w:ascii="宋体" w:hAnsi="宋体" w:cs="宋体"/>
          <w:kern w:val="0"/>
          <w:sz w:val="24"/>
        </w:rPr>
      </w:pPr>
      <w:r>
        <w:rPr>
          <w:rFonts w:hint="eastAsia" w:ascii="宋体" w:hAnsi="宋体" w:cs="宋体"/>
          <w:sz w:val="24"/>
        </w:rPr>
        <w:t>杭州市规划和自然资源局、浙江科佳工程咨询有限公司</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委托（姓名）为我方代理人（身份证号码：，手机：），以我方名义处理</w:t>
      </w:r>
      <w:r>
        <w:rPr>
          <w:rFonts w:hint="eastAsia" w:ascii="宋体" w:hAnsi="宋体" w:cs="宋体"/>
          <w:sz w:val="24"/>
        </w:rPr>
        <w:t>杭州市“空间智治”数字化平台建设（2024）耕地保护集成应用项目【招标编号：ZJKJ2024-临[2024]6293号】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自年月日起至年月日止。</w:t>
      </w:r>
    </w:p>
    <w:p>
      <w:pPr>
        <w:snapToGrid w:val="0"/>
        <w:spacing w:line="360" w:lineRule="auto"/>
        <w:rPr>
          <w:rFonts w:ascii="宋体" w:hAnsi="宋体" w:cs="宋体"/>
          <w:kern w:val="0"/>
          <w:sz w:val="24"/>
        </w:rPr>
      </w:pPr>
      <w:r>
        <w:rPr>
          <w:rFonts w:hint="eastAsia" w:ascii="宋体" w:hAnsi="宋体" w:cs="宋体"/>
          <w:kern w:val="0"/>
          <w:sz w:val="24"/>
          <w:lang w:val="zh-CN"/>
        </w:rPr>
        <w:t>特此告知。</w:t>
      </w:r>
    </w:p>
    <w:p>
      <w:pPr>
        <w:jc w:val="center"/>
        <w:rPr>
          <w:rFonts w:ascii="宋体" w:hAnsi="宋体" w:cs="宋体"/>
          <w:b/>
          <w:kern w:val="0"/>
          <w:sz w:val="32"/>
          <w:szCs w:val="32"/>
        </w:rPr>
      </w:pPr>
    </w:p>
    <w:p>
      <w:pPr>
        <w:rPr>
          <w:rFonts w:ascii="宋体" w:hAnsi="宋体" w:cs="宋体"/>
        </w:rPr>
      </w:pP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autoSpaceDE w:val="0"/>
        <w:autoSpaceDN w:val="0"/>
        <w:spacing w:line="360" w:lineRule="auto"/>
        <w:jc w:val="center"/>
        <w:rPr>
          <w:rFonts w:ascii="宋体" w:hAnsi="宋体" w:cs="宋体"/>
          <w:b/>
          <w:kern w:val="0"/>
          <w:sz w:val="32"/>
          <w:szCs w:val="32"/>
          <w:lang w:val="zh-CN"/>
        </w:rPr>
      </w:pPr>
    </w:p>
    <w:p>
      <w:pPr>
        <w:autoSpaceDE w:val="0"/>
        <w:autoSpaceDN w:val="0"/>
        <w:spacing w:line="360" w:lineRule="auto"/>
        <w:jc w:val="center"/>
        <w:rPr>
          <w:rFonts w:ascii="宋体" w:hAnsi="宋体" w:cs="宋体"/>
          <w:b/>
          <w:kern w:val="0"/>
          <w:sz w:val="32"/>
          <w:szCs w:val="32"/>
          <w:lang w:val="zh-CN"/>
        </w:rPr>
      </w:pPr>
    </w:p>
    <w:p>
      <w:pPr>
        <w:autoSpaceDE w:val="0"/>
        <w:autoSpaceDN w:val="0"/>
        <w:spacing w:line="360" w:lineRule="auto"/>
        <w:jc w:val="center"/>
        <w:rPr>
          <w:rFonts w:ascii="宋体" w:hAnsi="宋体" w:cs="宋体"/>
          <w:b/>
          <w:kern w:val="0"/>
          <w:sz w:val="32"/>
          <w:szCs w:val="32"/>
          <w:lang w:val="zh-CN"/>
        </w:rPr>
      </w:pPr>
    </w:p>
    <w:p>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pPr>
        <w:pStyle w:val="147"/>
        <w:spacing w:line="360" w:lineRule="auto"/>
        <w:rPr>
          <w:rFonts w:hAnsi="宋体" w:cs="宋体"/>
          <w:bCs/>
          <w:sz w:val="24"/>
        </w:rPr>
      </w:pP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Ansi="宋体" w:cs="宋体"/>
                <w:bCs/>
                <w:sz w:val="24"/>
              </w:rPr>
            </w:pPr>
            <w:r>
              <w:rPr>
                <w:rFonts w:hint="eastAsia" w:hAnsi="宋体" w:cs="宋体"/>
                <w:bCs/>
                <w:sz w:val="24"/>
              </w:rPr>
              <w:t>正面：                                 反面：</w:t>
            </w:r>
          </w:p>
          <w:p>
            <w:pPr>
              <w:pStyle w:val="147"/>
              <w:adjustRightInd w:val="0"/>
              <w:spacing w:line="360" w:lineRule="auto"/>
              <w:rPr>
                <w:rFonts w:hAnsi="宋体" w:cs="宋体"/>
                <w:bCs/>
                <w:sz w:val="24"/>
              </w:rPr>
            </w:pPr>
          </w:p>
        </w:tc>
      </w:tr>
    </w:tbl>
    <w:p>
      <w:pPr>
        <w:snapToGrid w:val="0"/>
        <w:spacing w:line="360" w:lineRule="auto"/>
        <w:ind w:firstLine="576"/>
        <w:jc w:val="center"/>
        <w:rPr>
          <w:rFonts w:ascii="宋体" w:hAnsi="宋体" w:cs="宋体"/>
          <w:kern w:val="0"/>
          <w:sz w:val="24"/>
          <w:lang w:val="zh-CN"/>
        </w:rPr>
      </w:pP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snapToGrid w:val="0"/>
        <w:spacing w:line="360" w:lineRule="auto"/>
        <w:ind w:right="480"/>
        <w:rPr>
          <w:rFonts w:ascii="宋体" w:hAnsi="宋体" w:cs="宋体"/>
          <w:b/>
          <w:kern w:val="0"/>
          <w:sz w:val="32"/>
          <w:szCs w:val="32"/>
        </w:rPr>
        <w:sectPr>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宋体" w:hAnsi="宋体" w:cs="宋体"/>
          <w:b/>
          <w:kern w:val="0"/>
          <w:sz w:val="32"/>
          <w:szCs w:val="32"/>
        </w:rPr>
      </w:pPr>
      <w:r>
        <w:rPr>
          <w:rFonts w:hint="eastAsia" w:ascii="宋体" w:hAnsi="宋体" w:cs="宋体"/>
          <w:b/>
          <w:kern w:val="0"/>
          <w:sz w:val="32"/>
          <w:szCs w:val="32"/>
        </w:rPr>
        <w:t>三、分包意向协议（如果有）</w:t>
      </w:r>
    </w:p>
    <w:p>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中标后以分包方式履行合同的，提供分包意向协议(附件6)；甲方不同意分包或者投标人中标后不以分包方式履行合同的，则不需要提供。</w:t>
      </w:r>
      <w:r>
        <w:rPr>
          <w:rFonts w:hint="eastAsia" w:ascii="宋体" w:hAnsi="宋体" w:cs="宋体"/>
          <w:sz w:val="24"/>
        </w:rPr>
        <w:t>]</w:t>
      </w:r>
    </w:p>
    <w:p>
      <w:pPr>
        <w:snapToGrid w:val="0"/>
        <w:spacing w:line="360" w:lineRule="auto"/>
        <w:rPr>
          <w:rFonts w:ascii="宋体" w:hAnsi="宋体" w:cs="宋体"/>
          <w:kern w:val="0"/>
          <w:sz w:val="24"/>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四、符合性审查资料</w:t>
      </w:r>
    </w:p>
    <w:p>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1</w:t>
            </w:r>
          </w:p>
        </w:tc>
        <w:tc>
          <w:tcPr>
            <w:tcW w:w="4991" w:type="dxa"/>
          </w:tcPr>
          <w:p>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pPr>
              <w:rPr>
                <w:rFonts w:ascii="宋体" w:hAnsi="宋体" w:cs="宋体"/>
                <w:sz w:val="24"/>
              </w:rPr>
            </w:pPr>
          </w:p>
          <w:p>
            <w:pPr>
              <w:rPr>
                <w:rFonts w:ascii="宋体" w:hAnsi="宋体" w:cs="宋体"/>
                <w:sz w:val="24"/>
              </w:rPr>
            </w:pPr>
            <w:r>
              <w:rPr>
                <w:rFonts w:hint="eastAsia" w:ascii="宋体" w:hAnsi="宋体" w:cs="宋体"/>
                <w:sz w:val="24"/>
              </w:rPr>
              <w:t>见投标文件</w:t>
            </w:r>
          </w:p>
          <w:p>
            <w:pPr>
              <w:rPr>
                <w:rFonts w:ascii="宋体" w:hAnsi="宋体" w:cs="宋体"/>
              </w:rPr>
            </w:pPr>
            <w:r>
              <w:rPr>
                <w:rFonts w:hint="eastAsia" w:ascii="宋体" w:hAnsi="宋体" w:cs="宋体"/>
                <w:sz w:val="24"/>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2</w:t>
            </w:r>
          </w:p>
        </w:tc>
        <w:tc>
          <w:tcPr>
            <w:tcW w:w="4991" w:type="dxa"/>
          </w:tcPr>
          <w:p>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pPr>
              <w:rPr>
                <w:rFonts w:ascii="宋体" w:hAnsi="宋体" w:cs="宋体"/>
                <w:sz w:val="24"/>
              </w:rPr>
            </w:pPr>
            <w:r>
              <w:rPr>
                <w:rFonts w:hint="eastAsia" w:ascii="宋体" w:hAnsi="宋体" w:cs="宋体"/>
                <w:sz w:val="24"/>
              </w:rPr>
              <w:t>投标函</w:t>
            </w:r>
          </w:p>
        </w:tc>
        <w:tc>
          <w:tcPr>
            <w:tcW w:w="1418" w:type="dxa"/>
          </w:tcPr>
          <w:p>
            <w:pPr>
              <w:rPr>
                <w:rFonts w:ascii="宋体" w:hAnsi="宋体" w:cs="宋体"/>
              </w:rPr>
            </w:pPr>
            <w:r>
              <w:rPr>
                <w:rFonts w:hint="eastAsia" w:ascii="宋体" w:hAnsi="宋体" w:cs="宋体"/>
                <w:sz w:val="24"/>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3</w:t>
            </w:r>
          </w:p>
        </w:tc>
        <w:tc>
          <w:tcPr>
            <w:tcW w:w="4991" w:type="dxa"/>
          </w:tcPr>
          <w:p>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pPr>
              <w:rPr>
                <w:rFonts w:ascii="宋体" w:hAnsi="宋体" w:cs="宋体"/>
              </w:rPr>
            </w:pPr>
            <w:r>
              <w:rPr>
                <w:rFonts w:hint="eastAsia" w:ascii="宋体" w:hAnsi="宋体" w:cs="宋体"/>
                <w:sz w:val="24"/>
              </w:rPr>
              <w:t>见投标文件第页</w:t>
            </w: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rPr>
      </w:pPr>
      <w:r>
        <w:rPr>
          <w:rFonts w:hint="eastAsia" w:ascii="宋体" w:hAnsi="宋体" w:cs="宋体"/>
          <w:b/>
          <w:kern w:val="0"/>
          <w:sz w:val="32"/>
          <w:szCs w:val="32"/>
        </w:rPr>
        <w:t>五、评标标准相应的商务技术资料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备注（如果有）</w:t>
            </w:r>
          </w:p>
          <w:p>
            <w:pPr>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spacing w:line="360" w:lineRule="auto"/>
        <w:ind w:right="420"/>
        <w:rPr>
          <w:rFonts w:ascii="宋体" w:hAnsi="宋体" w:cs="宋体"/>
          <w:sz w:val="24"/>
        </w:rPr>
      </w:pPr>
      <w:r>
        <w:rPr>
          <w:rFonts w:hint="eastAsia" w:ascii="宋体" w:hAnsi="宋体" w:cs="宋体"/>
          <w:sz w:val="24"/>
        </w:rPr>
        <w:t>注：按本格式和要求提供。</w:t>
      </w: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widowControl/>
        <w:adjustRightInd/>
        <w:jc w:val="left"/>
        <w:rPr>
          <w:rFonts w:ascii="宋体" w:hAnsi="宋体" w:cs="宋体"/>
          <w:b/>
          <w:bCs/>
          <w:sz w:val="32"/>
          <w:szCs w:val="32"/>
        </w:rPr>
      </w:pPr>
      <w:r>
        <w:rPr>
          <w:rFonts w:hint="eastAsia" w:ascii="宋体" w:hAnsi="宋体" w:cs="宋体"/>
          <w:b/>
          <w:bCs/>
          <w:sz w:val="32"/>
          <w:szCs w:val="32"/>
        </w:rPr>
        <w:br w:type="page"/>
      </w:r>
    </w:p>
    <w:p>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sz w:val="24"/>
        </w:rPr>
        <w:t>杭州市规划和自然资源局、浙江科佳工程咨询有限公司</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spacing w:line="360" w:lineRule="auto"/>
        <w:jc w:val="center"/>
        <w:rPr>
          <w:rFonts w:ascii="宋体" w:hAnsi="宋体" w:cs="宋体"/>
          <w:b/>
          <w:bCs/>
          <w:sz w:val="24"/>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（1）开标一览表（报价表）………………………………………………………（页码）</w:t>
      </w:r>
    </w:p>
    <w:p>
      <w:pPr>
        <w:snapToGrid w:val="0"/>
        <w:spacing w:line="360" w:lineRule="auto"/>
        <w:rPr>
          <w:rFonts w:ascii="宋体" w:hAnsi="宋体" w:cs="宋体"/>
          <w:sz w:val="24"/>
        </w:rPr>
      </w:pPr>
      <w:r>
        <w:rPr>
          <w:rFonts w:hint="eastAsia" w:ascii="宋体" w:hAnsi="宋体" w:cs="宋体"/>
          <w:sz w:val="24"/>
        </w:rPr>
        <w:t>（2）中小企业声明函………………………………………………………………（页码）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6" w:type="first"/>
          <w:footerReference r:id="rId18" w:type="first"/>
          <w:headerReference r:id="rId15" w:type="default"/>
          <w:footerReference r:id="rId17"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spacing w:line="360" w:lineRule="auto"/>
        <w:rPr>
          <w:rFonts w:ascii="宋体" w:hAnsi="宋体" w:cs="宋体"/>
          <w:kern w:val="0"/>
          <w:sz w:val="24"/>
        </w:rPr>
      </w:pPr>
      <w:r>
        <w:rPr>
          <w:rFonts w:hint="eastAsia" w:ascii="宋体" w:hAnsi="宋体" w:cs="宋体"/>
          <w:sz w:val="24"/>
        </w:rPr>
        <w:t>杭州市规划和自然资源局、浙江科佳工程咨询有限公司</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杭州市“空间智治”数字化平台建设（2024）耕地保护集成应用项目</w:t>
      </w:r>
      <w:r>
        <w:rPr>
          <w:rFonts w:hint="eastAsia" w:ascii="宋体" w:hAnsi="宋体" w:cs="宋体"/>
          <w:kern w:val="0"/>
          <w:sz w:val="24"/>
          <w:lang w:val="zh-CN"/>
        </w:rPr>
        <w:t>【招标编号：</w:t>
      </w:r>
      <w:r>
        <w:rPr>
          <w:rFonts w:hint="eastAsia" w:ascii="宋体" w:hAnsi="宋体" w:cs="宋体"/>
          <w:sz w:val="24"/>
        </w:rPr>
        <w:t>ZJKJ2024-临[2024]6293号】的实施</w:t>
      </w:r>
      <w:r>
        <w:rPr>
          <w:rFonts w:hint="eastAsia" w:ascii="宋体" w:hAnsi="宋体" w:cs="宋体"/>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992" w:type="dxa"/>
            <w:vAlign w:val="center"/>
          </w:tcPr>
          <w:p>
            <w:pPr>
              <w:spacing w:line="360" w:lineRule="auto"/>
              <w:jc w:val="center"/>
              <w:rPr>
                <w:rFonts w:ascii="宋体" w:hAnsi="宋体" w:cs="宋体"/>
                <w:b/>
                <w:sz w:val="24"/>
              </w:rPr>
            </w:pPr>
            <w:r>
              <w:rPr>
                <w:rFonts w:hint="eastAsia" w:ascii="宋体" w:hAnsi="宋体" w:cs="宋体"/>
                <w:b/>
                <w:sz w:val="24"/>
              </w:rPr>
              <w:t>名称</w:t>
            </w:r>
          </w:p>
        </w:tc>
        <w:tc>
          <w:tcPr>
            <w:tcW w:w="2268" w:type="dxa"/>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服务范围</w:t>
            </w:r>
          </w:p>
        </w:tc>
        <w:tc>
          <w:tcPr>
            <w:tcW w:w="2410" w:type="dxa"/>
            <w:vAlign w:val="center"/>
          </w:tcPr>
          <w:p>
            <w:pPr>
              <w:spacing w:line="360" w:lineRule="auto"/>
              <w:jc w:val="center"/>
              <w:rPr>
                <w:rFonts w:ascii="宋体" w:hAnsi="宋体" w:cs="宋体"/>
                <w:b/>
                <w:sz w:val="24"/>
              </w:rPr>
            </w:pPr>
            <w:r>
              <w:rPr>
                <w:rFonts w:hint="eastAsia" w:ascii="宋体" w:hAnsi="宋体" w:cs="宋体"/>
                <w:b/>
                <w:sz w:val="24"/>
              </w:rPr>
              <w:t>服务要求</w:t>
            </w:r>
          </w:p>
        </w:tc>
        <w:tc>
          <w:tcPr>
            <w:tcW w:w="2268" w:type="dxa"/>
            <w:vAlign w:val="center"/>
          </w:tcPr>
          <w:p>
            <w:pPr>
              <w:spacing w:line="360" w:lineRule="auto"/>
              <w:jc w:val="center"/>
              <w:rPr>
                <w:rFonts w:ascii="宋体" w:hAnsi="宋体" w:cs="宋体"/>
                <w:b/>
                <w:sz w:val="24"/>
              </w:rPr>
            </w:pPr>
            <w:r>
              <w:rPr>
                <w:rFonts w:hint="eastAsia" w:ascii="宋体" w:hAnsi="宋体" w:cs="宋体"/>
                <w:b/>
                <w:sz w:val="24"/>
              </w:rPr>
              <w:t>服务时间</w:t>
            </w:r>
          </w:p>
        </w:tc>
        <w:tc>
          <w:tcPr>
            <w:tcW w:w="2126" w:type="dxa"/>
            <w:vAlign w:val="center"/>
          </w:tcPr>
          <w:p>
            <w:pPr>
              <w:spacing w:line="360" w:lineRule="auto"/>
              <w:jc w:val="center"/>
              <w:rPr>
                <w:rFonts w:ascii="宋体" w:hAnsi="宋体" w:cs="宋体"/>
                <w:b/>
                <w:sz w:val="24"/>
              </w:rPr>
            </w:pPr>
            <w:r>
              <w:rPr>
                <w:rFonts w:hint="eastAsia" w:ascii="宋体" w:hAnsi="宋体" w:cs="宋体"/>
                <w:b/>
                <w:sz w:val="24"/>
              </w:rPr>
              <w:t>服务标准</w:t>
            </w:r>
          </w:p>
        </w:tc>
        <w:tc>
          <w:tcPr>
            <w:tcW w:w="2127" w:type="dxa"/>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服务人数</w:t>
            </w:r>
          </w:p>
        </w:tc>
        <w:tc>
          <w:tcPr>
            <w:tcW w:w="2126" w:type="dxa"/>
            <w:vAlign w:val="center"/>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备注（如果有）</w:t>
            </w:r>
          </w:p>
          <w:p>
            <w:pPr>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宋体" w:hAnsi="宋体" w:cs="宋体"/>
                <w:sz w:val="24"/>
              </w:rPr>
            </w:pPr>
            <w:r>
              <w:rPr>
                <w:rFonts w:hint="eastAsia" w:ascii="宋体" w:hAnsi="宋体" w:cs="宋体"/>
                <w:sz w:val="24"/>
              </w:rPr>
              <w:t>1</w:t>
            </w:r>
          </w:p>
        </w:tc>
        <w:tc>
          <w:tcPr>
            <w:tcW w:w="992" w:type="dxa"/>
            <w:vAlign w:val="center"/>
          </w:tcPr>
          <w:p>
            <w:pPr>
              <w:snapToGrid w:val="0"/>
              <w:spacing w:line="360" w:lineRule="auto"/>
              <w:jc w:val="center"/>
              <w:rPr>
                <w:rFonts w:ascii="宋体" w:hAnsi="宋体" w:cs="宋体"/>
                <w:sz w:val="24"/>
              </w:rPr>
            </w:pPr>
          </w:p>
        </w:tc>
        <w:tc>
          <w:tcPr>
            <w:tcW w:w="2268" w:type="dxa"/>
            <w:vAlign w:val="center"/>
          </w:tcPr>
          <w:p>
            <w:pPr>
              <w:snapToGrid w:val="0"/>
              <w:spacing w:line="360" w:lineRule="auto"/>
              <w:jc w:val="center"/>
              <w:rPr>
                <w:rFonts w:ascii="宋体" w:hAnsi="宋体" w:cs="宋体"/>
                <w:sz w:val="24"/>
              </w:rPr>
            </w:pPr>
          </w:p>
        </w:tc>
        <w:tc>
          <w:tcPr>
            <w:tcW w:w="2410" w:type="dxa"/>
            <w:vAlign w:val="center"/>
          </w:tcPr>
          <w:p>
            <w:pPr>
              <w:snapToGrid w:val="0"/>
              <w:spacing w:line="360" w:lineRule="auto"/>
              <w:jc w:val="center"/>
              <w:rPr>
                <w:rFonts w:ascii="宋体" w:hAnsi="宋体" w:cs="宋体"/>
                <w:sz w:val="24"/>
              </w:rPr>
            </w:pPr>
          </w:p>
        </w:tc>
        <w:tc>
          <w:tcPr>
            <w:tcW w:w="2268" w:type="dxa"/>
            <w:vAlign w:val="center"/>
          </w:tcPr>
          <w:p>
            <w:pPr>
              <w:snapToGrid w:val="0"/>
              <w:spacing w:line="360" w:lineRule="auto"/>
              <w:jc w:val="center"/>
              <w:rPr>
                <w:rFonts w:ascii="宋体" w:hAnsi="宋体" w:cs="宋体"/>
                <w:sz w:val="24"/>
              </w:rPr>
            </w:pPr>
          </w:p>
        </w:tc>
        <w:tc>
          <w:tcPr>
            <w:tcW w:w="2126" w:type="dxa"/>
            <w:vAlign w:val="center"/>
          </w:tcPr>
          <w:p>
            <w:pPr>
              <w:spacing w:line="360" w:lineRule="auto"/>
              <w:jc w:val="center"/>
              <w:rPr>
                <w:rFonts w:ascii="宋体" w:hAnsi="宋体" w:cs="宋体"/>
                <w:sz w:val="24"/>
              </w:rPr>
            </w:pPr>
          </w:p>
        </w:tc>
        <w:tc>
          <w:tcPr>
            <w:tcW w:w="2127" w:type="dxa"/>
          </w:tcPr>
          <w:p>
            <w:pPr>
              <w:spacing w:line="360" w:lineRule="auto"/>
              <w:jc w:val="center"/>
              <w:rPr>
                <w:rFonts w:ascii="宋体" w:hAnsi="宋体" w:cs="宋体"/>
                <w:sz w:val="24"/>
              </w:rPr>
            </w:pPr>
          </w:p>
        </w:tc>
        <w:tc>
          <w:tcPr>
            <w:tcW w:w="2126"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sz w:val="24"/>
              </w:rPr>
            </w:pPr>
            <w:r>
              <w:rPr>
                <w:rFonts w:hint="eastAsia" w:ascii="宋体" w:hAnsi="宋体" w:cs="宋体"/>
                <w:sz w:val="24"/>
              </w:rPr>
              <w:t>2</w:t>
            </w:r>
          </w:p>
        </w:tc>
        <w:tc>
          <w:tcPr>
            <w:tcW w:w="992" w:type="dxa"/>
            <w:vAlign w:val="center"/>
          </w:tcPr>
          <w:p>
            <w:pPr>
              <w:snapToGrid w:val="0"/>
              <w:spacing w:line="360" w:lineRule="auto"/>
              <w:jc w:val="center"/>
              <w:rPr>
                <w:rFonts w:ascii="宋体" w:hAnsi="宋体" w:cs="宋体"/>
                <w:sz w:val="24"/>
              </w:rPr>
            </w:pPr>
          </w:p>
        </w:tc>
        <w:tc>
          <w:tcPr>
            <w:tcW w:w="2268" w:type="dxa"/>
            <w:vAlign w:val="center"/>
          </w:tcPr>
          <w:p>
            <w:pPr>
              <w:snapToGrid w:val="0"/>
              <w:spacing w:line="360" w:lineRule="auto"/>
              <w:jc w:val="center"/>
              <w:rPr>
                <w:rFonts w:ascii="宋体" w:hAnsi="宋体" w:cs="宋体"/>
                <w:sz w:val="24"/>
              </w:rPr>
            </w:pPr>
          </w:p>
        </w:tc>
        <w:tc>
          <w:tcPr>
            <w:tcW w:w="2410" w:type="dxa"/>
            <w:vAlign w:val="center"/>
          </w:tcPr>
          <w:p>
            <w:pPr>
              <w:snapToGrid w:val="0"/>
              <w:spacing w:line="360" w:lineRule="auto"/>
              <w:jc w:val="center"/>
              <w:rPr>
                <w:rFonts w:ascii="宋体" w:hAnsi="宋体" w:cs="宋体"/>
                <w:sz w:val="24"/>
              </w:rPr>
            </w:pPr>
          </w:p>
        </w:tc>
        <w:tc>
          <w:tcPr>
            <w:tcW w:w="2268" w:type="dxa"/>
            <w:vAlign w:val="center"/>
          </w:tcPr>
          <w:p>
            <w:pPr>
              <w:snapToGrid w:val="0"/>
              <w:spacing w:line="360" w:lineRule="auto"/>
              <w:jc w:val="center"/>
              <w:rPr>
                <w:rFonts w:ascii="宋体" w:hAnsi="宋体" w:cs="宋体"/>
                <w:sz w:val="24"/>
              </w:rPr>
            </w:pPr>
          </w:p>
        </w:tc>
        <w:tc>
          <w:tcPr>
            <w:tcW w:w="2126" w:type="dxa"/>
            <w:vAlign w:val="center"/>
          </w:tcPr>
          <w:p>
            <w:pPr>
              <w:spacing w:line="360" w:lineRule="auto"/>
              <w:jc w:val="center"/>
              <w:rPr>
                <w:rFonts w:ascii="宋体" w:hAnsi="宋体" w:cs="宋体"/>
                <w:sz w:val="24"/>
              </w:rPr>
            </w:pPr>
          </w:p>
        </w:tc>
        <w:tc>
          <w:tcPr>
            <w:tcW w:w="2127" w:type="dxa"/>
          </w:tcPr>
          <w:p>
            <w:pPr>
              <w:spacing w:line="360" w:lineRule="auto"/>
              <w:jc w:val="center"/>
              <w:rPr>
                <w:rFonts w:ascii="宋体" w:hAnsi="宋体" w:cs="宋体"/>
                <w:sz w:val="24"/>
              </w:rPr>
            </w:pPr>
          </w:p>
        </w:tc>
        <w:tc>
          <w:tcPr>
            <w:tcW w:w="2126"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sz w:val="24"/>
              </w:rPr>
            </w:pPr>
            <w:r>
              <w:rPr>
                <w:rFonts w:hint="eastAsia" w:ascii="宋体" w:hAnsi="宋体" w:cs="宋体"/>
                <w:sz w:val="24"/>
              </w:rPr>
              <w:t>…</w:t>
            </w:r>
          </w:p>
        </w:tc>
        <w:tc>
          <w:tcPr>
            <w:tcW w:w="992" w:type="dxa"/>
            <w:vAlign w:val="center"/>
          </w:tcPr>
          <w:p>
            <w:pPr>
              <w:snapToGrid w:val="0"/>
              <w:spacing w:line="360" w:lineRule="auto"/>
              <w:jc w:val="center"/>
              <w:rPr>
                <w:rFonts w:ascii="宋体" w:hAnsi="宋体" w:cs="宋体"/>
                <w:sz w:val="24"/>
              </w:rPr>
            </w:pPr>
          </w:p>
        </w:tc>
        <w:tc>
          <w:tcPr>
            <w:tcW w:w="2268" w:type="dxa"/>
            <w:vAlign w:val="center"/>
          </w:tcPr>
          <w:p>
            <w:pPr>
              <w:snapToGrid w:val="0"/>
              <w:spacing w:line="360" w:lineRule="auto"/>
              <w:jc w:val="center"/>
              <w:rPr>
                <w:rFonts w:ascii="宋体" w:hAnsi="宋体" w:cs="宋体"/>
                <w:sz w:val="24"/>
              </w:rPr>
            </w:pPr>
          </w:p>
        </w:tc>
        <w:tc>
          <w:tcPr>
            <w:tcW w:w="2410" w:type="dxa"/>
            <w:vAlign w:val="center"/>
          </w:tcPr>
          <w:p>
            <w:pPr>
              <w:snapToGrid w:val="0"/>
              <w:spacing w:line="360" w:lineRule="auto"/>
              <w:jc w:val="center"/>
              <w:rPr>
                <w:rFonts w:ascii="宋体" w:hAnsi="宋体" w:cs="宋体"/>
                <w:sz w:val="24"/>
              </w:rPr>
            </w:pPr>
          </w:p>
        </w:tc>
        <w:tc>
          <w:tcPr>
            <w:tcW w:w="2268" w:type="dxa"/>
            <w:vAlign w:val="center"/>
          </w:tcPr>
          <w:p>
            <w:pPr>
              <w:snapToGrid w:val="0"/>
              <w:spacing w:line="360" w:lineRule="auto"/>
              <w:jc w:val="center"/>
              <w:rPr>
                <w:rFonts w:ascii="宋体" w:hAnsi="宋体" w:cs="宋体"/>
                <w:sz w:val="24"/>
              </w:rPr>
            </w:pPr>
          </w:p>
        </w:tc>
        <w:tc>
          <w:tcPr>
            <w:tcW w:w="2126" w:type="dxa"/>
            <w:vAlign w:val="center"/>
          </w:tcPr>
          <w:p>
            <w:pPr>
              <w:spacing w:line="360" w:lineRule="auto"/>
              <w:jc w:val="center"/>
              <w:rPr>
                <w:rFonts w:ascii="宋体" w:hAnsi="宋体" w:cs="宋体"/>
                <w:sz w:val="24"/>
              </w:rPr>
            </w:pPr>
          </w:p>
        </w:tc>
        <w:tc>
          <w:tcPr>
            <w:tcW w:w="2127" w:type="dxa"/>
          </w:tcPr>
          <w:p>
            <w:pPr>
              <w:spacing w:line="360" w:lineRule="auto"/>
              <w:jc w:val="center"/>
              <w:rPr>
                <w:rFonts w:ascii="宋体" w:hAnsi="宋体" w:cs="宋体"/>
                <w:sz w:val="24"/>
              </w:rPr>
            </w:pPr>
          </w:p>
        </w:tc>
        <w:tc>
          <w:tcPr>
            <w:tcW w:w="2126"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817" w:type="dxa"/>
            <w:vAlign w:val="center"/>
          </w:tcPr>
          <w:p>
            <w:pPr>
              <w:spacing w:line="360" w:lineRule="auto"/>
              <w:jc w:val="center"/>
              <w:rPr>
                <w:rFonts w:ascii="宋体" w:hAnsi="宋体" w:cs="宋体"/>
                <w:sz w:val="24"/>
              </w:rPr>
            </w:pPr>
          </w:p>
        </w:tc>
        <w:tc>
          <w:tcPr>
            <w:tcW w:w="992" w:type="dxa"/>
            <w:vAlign w:val="center"/>
          </w:tcPr>
          <w:p>
            <w:pPr>
              <w:snapToGrid w:val="0"/>
              <w:spacing w:line="360" w:lineRule="auto"/>
              <w:jc w:val="center"/>
              <w:rPr>
                <w:rFonts w:ascii="宋体" w:hAnsi="宋体" w:cs="宋体"/>
                <w:sz w:val="24"/>
              </w:rPr>
            </w:pPr>
          </w:p>
        </w:tc>
        <w:tc>
          <w:tcPr>
            <w:tcW w:w="2268" w:type="dxa"/>
            <w:vAlign w:val="center"/>
          </w:tcPr>
          <w:p>
            <w:pPr>
              <w:snapToGrid w:val="0"/>
              <w:spacing w:line="360" w:lineRule="auto"/>
              <w:jc w:val="center"/>
              <w:rPr>
                <w:rFonts w:ascii="宋体" w:hAnsi="宋体" w:cs="宋体"/>
                <w:sz w:val="24"/>
              </w:rPr>
            </w:pPr>
          </w:p>
        </w:tc>
        <w:tc>
          <w:tcPr>
            <w:tcW w:w="2410" w:type="dxa"/>
            <w:vAlign w:val="center"/>
          </w:tcPr>
          <w:p>
            <w:pPr>
              <w:snapToGrid w:val="0"/>
              <w:spacing w:line="360" w:lineRule="auto"/>
              <w:jc w:val="center"/>
              <w:rPr>
                <w:rFonts w:ascii="宋体" w:hAnsi="宋体" w:cs="宋体"/>
                <w:sz w:val="24"/>
              </w:rPr>
            </w:pPr>
          </w:p>
        </w:tc>
        <w:tc>
          <w:tcPr>
            <w:tcW w:w="2268" w:type="dxa"/>
            <w:vAlign w:val="center"/>
          </w:tcPr>
          <w:p>
            <w:pPr>
              <w:snapToGrid w:val="0"/>
              <w:spacing w:line="360" w:lineRule="auto"/>
              <w:jc w:val="center"/>
              <w:rPr>
                <w:rFonts w:ascii="宋体" w:hAnsi="宋体" w:cs="宋体"/>
                <w:sz w:val="24"/>
              </w:rPr>
            </w:pPr>
          </w:p>
        </w:tc>
        <w:tc>
          <w:tcPr>
            <w:tcW w:w="2126" w:type="dxa"/>
            <w:vAlign w:val="center"/>
          </w:tcPr>
          <w:p>
            <w:pPr>
              <w:spacing w:line="360" w:lineRule="auto"/>
              <w:jc w:val="center"/>
              <w:rPr>
                <w:rFonts w:ascii="宋体" w:hAnsi="宋体" w:cs="宋体"/>
                <w:sz w:val="24"/>
              </w:rPr>
            </w:pPr>
          </w:p>
        </w:tc>
        <w:tc>
          <w:tcPr>
            <w:tcW w:w="2127" w:type="dxa"/>
          </w:tcPr>
          <w:p>
            <w:pPr>
              <w:spacing w:line="360" w:lineRule="auto"/>
              <w:jc w:val="center"/>
              <w:rPr>
                <w:rFonts w:ascii="宋体" w:hAnsi="宋体" w:cs="宋体"/>
                <w:sz w:val="24"/>
              </w:rPr>
            </w:pPr>
          </w:p>
        </w:tc>
        <w:tc>
          <w:tcPr>
            <w:tcW w:w="2126"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817" w:type="dxa"/>
            <w:vAlign w:val="center"/>
          </w:tcPr>
          <w:p>
            <w:pPr>
              <w:spacing w:line="360" w:lineRule="auto"/>
              <w:jc w:val="center"/>
              <w:rPr>
                <w:rFonts w:ascii="宋体" w:hAnsi="宋体" w:cs="宋体"/>
                <w:sz w:val="24"/>
              </w:rPr>
            </w:pPr>
          </w:p>
        </w:tc>
        <w:tc>
          <w:tcPr>
            <w:tcW w:w="992" w:type="dxa"/>
            <w:vAlign w:val="center"/>
          </w:tcPr>
          <w:p>
            <w:pPr>
              <w:snapToGrid w:val="0"/>
              <w:spacing w:line="360" w:lineRule="auto"/>
              <w:jc w:val="center"/>
              <w:rPr>
                <w:rFonts w:ascii="宋体" w:hAnsi="宋体" w:cs="宋体"/>
                <w:sz w:val="24"/>
              </w:rPr>
            </w:pPr>
          </w:p>
        </w:tc>
        <w:tc>
          <w:tcPr>
            <w:tcW w:w="2268" w:type="dxa"/>
            <w:vAlign w:val="center"/>
          </w:tcPr>
          <w:p>
            <w:pPr>
              <w:snapToGrid w:val="0"/>
              <w:spacing w:line="360" w:lineRule="auto"/>
              <w:jc w:val="center"/>
              <w:rPr>
                <w:rFonts w:ascii="宋体" w:hAnsi="宋体" w:cs="宋体"/>
                <w:sz w:val="24"/>
              </w:rPr>
            </w:pPr>
          </w:p>
        </w:tc>
        <w:tc>
          <w:tcPr>
            <w:tcW w:w="2410" w:type="dxa"/>
            <w:vAlign w:val="center"/>
          </w:tcPr>
          <w:p>
            <w:pPr>
              <w:snapToGrid w:val="0"/>
              <w:spacing w:line="360" w:lineRule="auto"/>
              <w:jc w:val="center"/>
              <w:rPr>
                <w:rFonts w:ascii="宋体" w:hAnsi="宋体" w:cs="宋体"/>
                <w:sz w:val="24"/>
              </w:rPr>
            </w:pPr>
          </w:p>
        </w:tc>
        <w:tc>
          <w:tcPr>
            <w:tcW w:w="2268" w:type="dxa"/>
            <w:vAlign w:val="center"/>
          </w:tcPr>
          <w:p>
            <w:pPr>
              <w:snapToGrid w:val="0"/>
              <w:spacing w:line="360" w:lineRule="auto"/>
              <w:jc w:val="center"/>
              <w:rPr>
                <w:rFonts w:ascii="宋体" w:hAnsi="宋体" w:cs="宋体"/>
                <w:sz w:val="24"/>
              </w:rPr>
            </w:pPr>
          </w:p>
        </w:tc>
        <w:tc>
          <w:tcPr>
            <w:tcW w:w="2126" w:type="dxa"/>
            <w:vAlign w:val="center"/>
          </w:tcPr>
          <w:p>
            <w:pPr>
              <w:spacing w:line="360" w:lineRule="auto"/>
              <w:jc w:val="center"/>
              <w:rPr>
                <w:rFonts w:ascii="宋体" w:hAnsi="宋体" w:cs="宋体"/>
                <w:sz w:val="24"/>
              </w:rPr>
            </w:pPr>
          </w:p>
        </w:tc>
        <w:tc>
          <w:tcPr>
            <w:tcW w:w="2127" w:type="dxa"/>
          </w:tcPr>
          <w:p>
            <w:pPr>
              <w:spacing w:line="360" w:lineRule="auto"/>
              <w:jc w:val="center"/>
              <w:rPr>
                <w:rFonts w:ascii="宋体" w:hAnsi="宋体" w:cs="宋体"/>
                <w:sz w:val="24"/>
              </w:rPr>
            </w:pPr>
          </w:p>
        </w:tc>
        <w:tc>
          <w:tcPr>
            <w:tcW w:w="2126"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ascii="宋体" w:hAnsi="宋体" w:cs="宋体"/>
                <w:b/>
                <w:sz w:val="24"/>
              </w:rPr>
            </w:pPr>
            <w:r>
              <w:rPr>
                <w:rFonts w:hint="eastAsia" w:ascii="宋体" w:hAnsi="宋体" w:cs="宋体"/>
                <w:b/>
                <w:sz w:val="24"/>
              </w:rPr>
              <w:t>投标报价（小写）</w:t>
            </w:r>
          </w:p>
        </w:tc>
        <w:tc>
          <w:tcPr>
            <w:tcW w:w="8647" w:type="dxa"/>
            <w:gridSpan w:val="4"/>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ascii="宋体" w:hAnsi="宋体" w:cs="宋体"/>
                <w:b/>
                <w:sz w:val="24"/>
              </w:rPr>
            </w:pPr>
            <w:r>
              <w:rPr>
                <w:rFonts w:hint="eastAsia" w:ascii="宋体" w:hAnsi="宋体" w:cs="宋体"/>
                <w:b/>
                <w:sz w:val="24"/>
              </w:rPr>
              <w:t>投标报价（大写）</w:t>
            </w:r>
          </w:p>
        </w:tc>
        <w:tc>
          <w:tcPr>
            <w:tcW w:w="8647" w:type="dxa"/>
            <w:gridSpan w:val="4"/>
          </w:tcPr>
          <w:p>
            <w:pPr>
              <w:spacing w:line="360" w:lineRule="auto"/>
              <w:jc w:val="center"/>
              <w:rPr>
                <w:rFonts w:ascii="宋体" w:hAnsi="宋体" w:cs="宋体"/>
                <w:sz w:val="24"/>
              </w:rPr>
            </w:pPr>
          </w:p>
        </w:tc>
      </w:tr>
    </w:tbl>
    <w:p>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投标文件含有甲方不能接受的附加条件，投标无效</w:t>
      </w:r>
      <w:r>
        <w:rPr>
          <w:rFonts w:hint="eastAsia" w:ascii="宋体" w:hAnsi="宋体" w:cs="宋体"/>
          <w:b/>
          <w:kern w:val="0"/>
          <w:sz w:val="24"/>
          <w:lang w:val="zh-CN"/>
        </w:rPr>
        <w:t>；</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甲方将以合同形式有偿取得货物或服务，不接受投标人给予的赠品、回扣或者与采购无关的其他商品、服务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投标文件含有甲方不能接受的附加条件，投标无效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投标文件含有甲方不能接受的附加条件的，投标无效。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4、</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kern w:val="0"/>
          <w:sz w:val="24"/>
        </w:r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中小企业声明函（如果有）</w:t>
      </w:r>
    </w:p>
    <w:p>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691"/>
        <w:keepNext w:val="0"/>
        <w:pageBreakBefore w:val="0"/>
        <w:tabs>
          <w:tab w:val="clear" w:pos="720"/>
        </w:tabs>
        <w:snapToGrid w:val="0"/>
        <w:spacing w:before="120" w:after="120"/>
        <w:ind w:firstLine="643"/>
        <w:outlineLvl w:val="9"/>
        <w:rPr>
          <w:rFonts w:ascii="宋体" w:hAnsi="宋体" w:eastAsia="宋体" w:cs="宋体"/>
          <w:b w:val="0"/>
          <w:sz w:val="32"/>
          <w:szCs w:val="32"/>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rPr>
      </w:pPr>
      <w:r>
        <w:rPr>
          <w:rFonts w:hint="eastAsia" w:ascii="宋体" w:hAnsi="宋体" w:cs="宋体"/>
        </w:rPr>
        <w:t>附件</w:t>
      </w:r>
    </w:p>
    <w:p>
      <w:pPr>
        <w:spacing w:line="360" w:lineRule="auto"/>
        <w:rPr>
          <w:rFonts w:ascii="宋体" w:hAnsi="宋体" w:cs="宋体"/>
          <w:b/>
          <w:spacing w:val="6"/>
          <w:sz w:val="32"/>
          <w:szCs w:val="32"/>
        </w:rPr>
      </w:pPr>
      <w:r>
        <w:rPr>
          <w:rFonts w:hint="eastAsia" w:ascii="宋体" w:hAnsi="宋体" w:cs="宋体"/>
          <w:b/>
          <w:spacing w:val="6"/>
          <w:sz w:val="32"/>
          <w:szCs w:val="32"/>
        </w:rPr>
        <w:t>附件1：</w:t>
      </w:r>
    </w:p>
    <w:p>
      <w:pPr>
        <w:spacing w:line="360" w:lineRule="auto"/>
        <w:jc w:val="center"/>
        <w:rPr>
          <w:rFonts w:ascii="宋体" w:hAnsi="宋体" w:cs="宋体"/>
          <w:b/>
          <w:spacing w:val="6"/>
          <w:sz w:val="32"/>
          <w:szCs w:val="32"/>
        </w:rPr>
      </w:pPr>
      <w:bookmarkStart w:id="402" w:name="OLE_LINK14"/>
      <w:bookmarkStart w:id="403" w:name="OLE_LINK13"/>
      <w:r>
        <w:rPr>
          <w:rFonts w:hint="eastAsia" w:ascii="宋体" w:hAnsi="宋体" w:cs="宋体"/>
          <w:b/>
          <w:spacing w:val="6"/>
          <w:sz w:val="32"/>
          <w:szCs w:val="32"/>
        </w:rPr>
        <w:t>残疾人福利性单位声明函</w:t>
      </w:r>
    </w:p>
    <w:bookmarkEnd w:id="402"/>
    <w:bookmarkEnd w:id="403"/>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杭州市规划和自然资源局单位的_杭州市“空间智治”数字化平台建设（2024）耕地保护集成应用项目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spacing w:line="360" w:lineRule="auto"/>
        <w:ind w:firstLine="480" w:firstLineChars="200"/>
        <w:rPr>
          <w:rFonts w:ascii="宋体" w:hAnsi="宋体" w:cs="宋体"/>
          <w:sz w:val="24"/>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p>
    <w:p>
      <w:pPr>
        <w:snapToGrid w:val="0"/>
        <w:spacing w:line="360" w:lineRule="auto"/>
        <w:rPr>
          <w:rFonts w:ascii="宋体" w:hAnsi="宋体" w:cs="宋体"/>
          <w:sz w:val="24"/>
        </w:rPr>
      </w:pPr>
      <w:r>
        <w:rPr>
          <w:rFonts w:hint="eastAsia" w:ascii="宋体" w:hAnsi="宋体" w:cs="宋体"/>
          <w:sz w:val="24"/>
        </w:rPr>
        <w:t>地址：邮编：</w:t>
      </w:r>
    </w:p>
    <w:p>
      <w:pPr>
        <w:snapToGrid w:val="0"/>
        <w:spacing w:line="360" w:lineRule="auto"/>
        <w:rPr>
          <w:rFonts w:ascii="宋体" w:hAnsi="宋体" w:cs="宋体"/>
          <w:sz w:val="24"/>
        </w:rPr>
      </w:pPr>
      <w:r>
        <w:rPr>
          <w:rFonts w:hint="eastAsia" w:ascii="宋体" w:hAnsi="宋体" w:cs="宋体"/>
          <w:sz w:val="24"/>
        </w:rPr>
        <w:t>联系人：联系电话：</w:t>
      </w:r>
    </w:p>
    <w:p>
      <w:pPr>
        <w:snapToGrid w:val="0"/>
        <w:spacing w:line="360" w:lineRule="auto"/>
        <w:rPr>
          <w:rFonts w:ascii="宋体" w:hAnsi="宋体" w:cs="宋体"/>
          <w:sz w:val="24"/>
          <w:u w:val="dotted"/>
        </w:rPr>
      </w:pPr>
      <w:r>
        <w:rPr>
          <w:rFonts w:hint="eastAsia" w:ascii="宋体" w:hAnsi="宋体" w:cs="宋体"/>
          <w:sz w:val="24"/>
        </w:rPr>
        <w:t>授权代表：</w:t>
      </w:r>
    </w:p>
    <w:p>
      <w:pPr>
        <w:snapToGrid w:val="0"/>
        <w:spacing w:line="360" w:lineRule="auto"/>
        <w:rPr>
          <w:rFonts w:ascii="宋体" w:hAnsi="宋体" w:cs="宋体"/>
          <w:sz w:val="24"/>
        </w:rPr>
      </w:pPr>
      <w:r>
        <w:rPr>
          <w:rFonts w:hint="eastAsia" w:ascii="宋体" w:hAnsi="宋体" w:cs="宋体"/>
          <w:sz w:val="24"/>
        </w:rPr>
        <w:t>联系电话：</w:t>
      </w:r>
    </w:p>
    <w:p>
      <w:pPr>
        <w:snapToGrid w:val="0"/>
        <w:spacing w:line="360" w:lineRule="auto"/>
        <w:rPr>
          <w:rFonts w:ascii="宋体" w:hAnsi="宋体" w:cs="宋体"/>
          <w:sz w:val="24"/>
        </w:rPr>
      </w:pPr>
      <w:r>
        <w:rPr>
          <w:rFonts w:hint="eastAsia" w:ascii="宋体" w:hAnsi="宋体" w:cs="宋体"/>
          <w:sz w:val="24"/>
        </w:rPr>
        <w:t>地址： 邮编：</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p>
    <w:p>
      <w:pPr>
        <w:snapToGrid w:val="0"/>
        <w:spacing w:line="360" w:lineRule="auto"/>
        <w:rPr>
          <w:rFonts w:ascii="宋体" w:hAnsi="宋体" w:cs="宋体"/>
          <w:sz w:val="24"/>
        </w:rPr>
      </w:pPr>
      <w:r>
        <w:rPr>
          <w:rFonts w:hint="eastAsia" w:ascii="宋体" w:hAnsi="宋体" w:cs="宋体"/>
          <w:sz w:val="24"/>
        </w:rPr>
        <w:t>质疑项目的编号：包号：</w:t>
      </w:r>
    </w:p>
    <w:p>
      <w:pPr>
        <w:snapToGrid w:val="0"/>
        <w:spacing w:line="360" w:lineRule="auto"/>
        <w:rPr>
          <w:rFonts w:ascii="宋体" w:hAnsi="宋体" w:cs="宋体"/>
          <w:sz w:val="24"/>
          <w:u w:val="dotted"/>
        </w:rPr>
      </w:pPr>
      <w:r>
        <w:rPr>
          <w:rFonts w:hint="eastAsia" w:ascii="宋体" w:hAnsi="宋体" w:cs="宋体"/>
          <w:sz w:val="24"/>
        </w:rPr>
        <w:t>甲方名称：</w:t>
      </w:r>
    </w:p>
    <w:p>
      <w:pPr>
        <w:snapToGrid w:val="0"/>
        <w:spacing w:line="360" w:lineRule="auto"/>
        <w:rPr>
          <w:rFonts w:ascii="宋体" w:hAnsi="宋体" w:cs="宋体"/>
          <w:sz w:val="24"/>
        </w:rPr>
      </w:pPr>
      <w:r>
        <w:rPr>
          <w:rFonts w:hint="eastAsia" w:ascii="宋体" w:hAnsi="宋体" w:cs="宋体"/>
          <w:sz w:val="24"/>
        </w:rPr>
        <w:t>采购文件获取日期：</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p>
    <w:p>
      <w:pPr>
        <w:snapToGrid w:val="0"/>
        <w:spacing w:line="360" w:lineRule="auto"/>
        <w:rPr>
          <w:rFonts w:ascii="宋体" w:hAnsi="宋体" w:cs="宋体"/>
          <w:sz w:val="24"/>
          <w:u w:val="dotted"/>
        </w:rPr>
      </w:pPr>
      <w:r>
        <w:rPr>
          <w:rFonts w:hint="eastAsia" w:ascii="宋体" w:hAnsi="宋体" w:cs="宋体"/>
          <w:sz w:val="24"/>
        </w:rPr>
        <w:t>事实依据：</w:t>
      </w:r>
    </w:p>
    <w:p>
      <w:pPr>
        <w:snapToGrid w:val="0"/>
        <w:spacing w:line="360" w:lineRule="auto"/>
        <w:rPr>
          <w:rFonts w:ascii="宋体" w:hAnsi="宋体" w:cs="宋体"/>
          <w:sz w:val="24"/>
        </w:rPr>
      </w:pPr>
    </w:p>
    <w:p>
      <w:pPr>
        <w:snapToGrid w:val="0"/>
        <w:spacing w:line="360" w:lineRule="auto"/>
        <w:rPr>
          <w:rFonts w:ascii="宋体" w:hAnsi="宋体" w:cs="宋体"/>
          <w:sz w:val="24"/>
          <w:u w:val="dotted"/>
        </w:rPr>
      </w:pPr>
      <w:r>
        <w:rPr>
          <w:rFonts w:hint="eastAsia" w:ascii="宋体" w:hAnsi="宋体" w:cs="宋体"/>
          <w:sz w:val="24"/>
        </w:rPr>
        <w:t>法律依据：</w:t>
      </w:r>
    </w:p>
    <w:p>
      <w:pPr>
        <w:snapToGrid w:val="0"/>
        <w:spacing w:line="360" w:lineRule="auto"/>
        <w:rPr>
          <w:rFonts w:ascii="宋体" w:hAnsi="宋体" w:cs="宋体"/>
          <w:sz w:val="24"/>
          <w:u w:val="dotted"/>
        </w:rPr>
      </w:pP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p>
    <w:p>
      <w:pPr>
        <w:spacing w:line="360" w:lineRule="auto"/>
        <w:rPr>
          <w:rFonts w:ascii="宋体" w:hAnsi="宋体" w:cs="宋体"/>
          <w:sz w:val="24"/>
          <w:u w:val="single"/>
        </w:rPr>
      </w:pPr>
      <w:r>
        <w:rPr>
          <w:rFonts w:hint="eastAsia" w:ascii="宋体" w:hAnsi="宋体" w:cs="宋体"/>
          <w:sz w:val="24"/>
        </w:rPr>
        <w:t>地     址：邮编：</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p>
    <w:p>
      <w:pPr>
        <w:tabs>
          <w:tab w:val="left" w:pos="6510"/>
        </w:tabs>
        <w:spacing w:line="360" w:lineRule="auto"/>
        <w:rPr>
          <w:rFonts w:ascii="宋体" w:hAnsi="宋体" w:cs="宋体"/>
          <w:sz w:val="24"/>
          <w:u w:val="dotted"/>
        </w:rPr>
      </w:pPr>
      <w:r>
        <w:rPr>
          <w:rFonts w:hint="eastAsia" w:ascii="宋体" w:hAnsi="宋体" w:cs="宋体"/>
          <w:sz w:val="24"/>
        </w:rPr>
        <w:t>联系电话：</w:t>
      </w:r>
    </w:p>
    <w:p>
      <w:pPr>
        <w:spacing w:line="360" w:lineRule="auto"/>
        <w:rPr>
          <w:rFonts w:ascii="宋体" w:hAnsi="宋体" w:cs="宋体"/>
          <w:sz w:val="24"/>
          <w:u w:val="dotted"/>
        </w:rPr>
      </w:pPr>
      <w:r>
        <w:rPr>
          <w:rFonts w:hint="eastAsia" w:ascii="宋体" w:hAnsi="宋体" w:cs="宋体"/>
          <w:sz w:val="24"/>
        </w:rPr>
        <w:t>授权代表：联系电话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址：邮编：</w:t>
      </w:r>
    </w:p>
    <w:p>
      <w:pPr>
        <w:spacing w:line="360" w:lineRule="auto"/>
        <w:rPr>
          <w:rFonts w:ascii="宋体" w:hAnsi="宋体" w:cs="宋体"/>
          <w:sz w:val="24"/>
          <w:u w:val="single"/>
        </w:rPr>
      </w:pPr>
      <w:r>
        <w:rPr>
          <w:rFonts w:hint="eastAsia" w:ascii="宋体" w:hAnsi="宋体" w:cs="宋体"/>
          <w:sz w:val="24"/>
        </w:rPr>
        <w:t>被投诉人1：</w:t>
      </w:r>
    </w:p>
    <w:p>
      <w:pPr>
        <w:spacing w:line="360" w:lineRule="auto"/>
        <w:rPr>
          <w:rFonts w:ascii="宋体" w:hAnsi="宋体" w:cs="宋体"/>
          <w:sz w:val="24"/>
          <w:u w:val="single"/>
        </w:rPr>
      </w:pPr>
      <w:r>
        <w:rPr>
          <w:rFonts w:hint="eastAsia" w:ascii="宋体" w:hAnsi="宋体" w:cs="宋体"/>
          <w:sz w:val="24"/>
        </w:rPr>
        <w:t>地     址：邮编：</w:t>
      </w:r>
    </w:p>
    <w:p>
      <w:pPr>
        <w:spacing w:line="360" w:lineRule="auto"/>
        <w:rPr>
          <w:rFonts w:ascii="宋体" w:hAnsi="宋体" w:cs="宋体"/>
          <w:sz w:val="24"/>
          <w:u w:val="single"/>
        </w:rPr>
      </w:pPr>
      <w:r>
        <w:rPr>
          <w:rFonts w:hint="eastAsia" w:ascii="宋体" w:hAnsi="宋体" w:cs="宋体"/>
          <w:sz w:val="24"/>
        </w:rPr>
        <w:t>联系人：联系电话：</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p>
    <w:p>
      <w:pPr>
        <w:spacing w:line="360" w:lineRule="auto"/>
        <w:rPr>
          <w:rFonts w:ascii="宋体" w:hAnsi="宋体" w:cs="宋体"/>
          <w:sz w:val="24"/>
          <w:u w:val="single"/>
        </w:rPr>
      </w:pPr>
      <w:r>
        <w:rPr>
          <w:rFonts w:hint="eastAsia" w:ascii="宋体" w:hAnsi="宋体" w:cs="宋体"/>
          <w:sz w:val="24"/>
        </w:rPr>
        <w:t>地     址：邮编：</w:t>
      </w:r>
    </w:p>
    <w:p>
      <w:pPr>
        <w:spacing w:line="360" w:lineRule="auto"/>
        <w:rPr>
          <w:rFonts w:ascii="宋体" w:hAnsi="宋体" w:cs="宋体"/>
          <w:sz w:val="24"/>
          <w:u w:val="single"/>
        </w:rPr>
      </w:pPr>
      <w:r>
        <w:rPr>
          <w:rFonts w:hint="eastAsia" w:ascii="宋体" w:hAnsi="宋体" w:cs="宋体"/>
          <w:sz w:val="24"/>
        </w:rPr>
        <w:t>联系人：联系电话：</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p>
    <w:p>
      <w:pPr>
        <w:spacing w:line="360" w:lineRule="auto"/>
        <w:rPr>
          <w:rFonts w:ascii="宋体" w:hAnsi="宋体" w:cs="宋体"/>
          <w:sz w:val="24"/>
          <w:u w:val="single"/>
        </w:rPr>
      </w:pPr>
      <w:r>
        <w:rPr>
          <w:rFonts w:hint="eastAsia" w:ascii="宋体" w:hAnsi="宋体" w:cs="宋体"/>
          <w:sz w:val="24"/>
        </w:rPr>
        <w:t>采购项目编号：包号：</w:t>
      </w:r>
    </w:p>
    <w:p>
      <w:pPr>
        <w:spacing w:line="360" w:lineRule="auto"/>
        <w:rPr>
          <w:rFonts w:ascii="宋体" w:hAnsi="宋体" w:cs="宋体"/>
          <w:sz w:val="24"/>
        </w:rPr>
      </w:pPr>
      <w:r>
        <w:rPr>
          <w:rFonts w:hint="eastAsia" w:ascii="宋体" w:hAnsi="宋体" w:cs="宋体"/>
          <w:sz w:val="24"/>
        </w:rPr>
        <w:t>甲方名称：</w:t>
      </w:r>
    </w:p>
    <w:p>
      <w:pPr>
        <w:spacing w:line="360" w:lineRule="auto"/>
        <w:rPr>
          <w:rFonts w:ascii="宋体" w:hAnsi="宋体" w:cs="宋体"/>
          <w:sz w:val="24"/>
          <w:u w:val="single"/>
        </w:rPr>
      </w:pPr>
      <w:r>
        <w:rPr>
          <w:rFonts w:hint="eastAsia" w:ascii="宋体" w:hAnsi="宋体" w:cs="宋体"/>
          <w:sz w:val="24"/>
        </w:rPr>
        <w:t>代理机构名称：</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投诉人于年月日,向提出质疑，质疑事项为：</w:t>
      </w:r>
    </w:p>
    <w:p>
      <w:pPr>
        <w:spacing w:line="360" w:lineRule="auto"/>
        <w:rPr>
          <w:rFonts w:ascii="宋体" w:hAnsi="宋体" w:cs="宋体"/>
          <w:sz w:val="24"/>
          <w:u w:val="dotted"/>
        </w:rPr>
      </w:pPr>
    </w:p>
    <w:p>
      <w:pPr>
        <w:spacing w:line="360" w:lineRule="auto"/>
        <w:ind w:firstLine="360" w:firstLineChars="150"/>
        <w:rPr>
          <w:rFonts w:ascii="宋体" w:hAnsi="宋体" w:cs="宋体"/>
          <w:sz w:val="24"/>
        </w:rPr>
      </w:pPr>
      <w:r>
        <w:rPr>
          <w:rFonts w:hint="eastAsia" w:ascii="宋体" w:hAnsi="宋体" w:cs="宋体"/>
          <w:sz w:val="24"/>
          <w:u w:val="dotted"/>
        </w:rPr>
        <w:t>甲方/代理机构</w:t>
      </w:r>
      <w:r>
        <w:rPr>
          <w:rFonts w:hint="eastAsia" w:ascii="宋体" w:hAnsi="宋体" w:cs="宋体"/>
          <w:sz w:val="24"/>
        </w:rPr>
        <w:t>于年月日,就质疑事项作出了答复/没有在法定期限内作出答复。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p>
    <w:p>
      <w:pPr>
        <w:spacing w:line="360" w:lineRule="auto"/>
        <w:rPr>
          <w:rFonts w:ascii="宋体" w:hAnsi="宋体" w:cs="宋体"/>
          <w:sz w:val="24"/>
        </w:rPr>
      </w:pPr>
      <w:r>
        <w:rPr>
          <w:rFonts w:hint="eastAsia" w:ascii="宋体" w:hAnsi="宋体" w:cs="宋体"/>
          <w:sz w:val="24"/>
        </w:rPr>
        <w:t>事实依据：</w:t>
      </w:r>
    </w:p>
    <w:p>
      <w:pPr>
        <w:spacing w:line="360" w:lineRule="auto"/>
        <w:rPr>
          <w:rFonts w:ascii="宋体" w:hAnsi="宋体" w:cs="宋体"/>
          <w:sz w:val="24"/>
          <w:u w:val="dotted"/>
        </w:rPr>
      </w:pPr>
    </w:p>
    <w:p>
      <w:pPr>
        <w:spacing w:line="360" w:lineRule="auto"/>
        <w:rPr>
          <w:rFonts w:ascii="宋体" w:hAnsi="宋体" w:cs="宋体"/>
          <w:sz w:val="24"/>
          <w:u w:val="single"/>
        </w:rPr>
      </w:pPr>
      <w:r>
        <w:rPr>
          <w:rFonts w:hint="eastAsia" w:ascii="宋体" w:hAnsi="宋体" w:cs="宋体"/>
          <w:sz w:val="24"/>
        </w:rPr>
        <w:t>法律依据：</w:t>
      </w:r>
    </w:p>
    <w:p>
      <w:pPr>
        <w:spacing w:line="360" w:lineRule="auto"/>
        <w:rPr>
          <w:rFonts w:ascii="宋体" w:hAnsi="宋体" w:cs="宋体"/>
          <w:sz w:val="24"/>
          <w:u w:val="dotted"/>
        </w:rPr>
      </w:pP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p>
    <w:p>
      <w:pPr>
        <w:spacing w:line="360" w:lineRule="auto"/>
        <w:rPr>
          <w:rFonts w:ascii="宋体" w:hAnsi="宋体" w:cs="宋体"/>
          <w:sz w:val="24"/>
          <w:u w:val="single"/>
        </w:rPr>
      </w:pP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pPr>
        <w:spacing w:line="360" w:lineRule="auto"/>
        <w:rPr>
          <w:rFonts w:ascii="宋体" w:hAnsi="宋体" w:cs="宋体"/>
          <w:sz w:val="24"/>
          <w:u w:val="single"/>
        </w:rPr>
      </w:pPr>
    </w:p>
    <w:p>
      <w:pPr>
        <w:spacing w:line="360" w:lineRule="auto"/>
        <w:rPr>
          <w:rFonts w:ascii="宋体" w:hAnsi="宋体" w:cs="宋体"/>
          <w:sz w:val="24"/>
        </w:rPr>
      </w:pPr>
      <w:r>
        <w:rPr>
          <w:rFonts w:hint="eastAsia" w:ascii="宋体" w:hAnsi="宋体" w:cs="宋体"/>
          <w:sz w:val="24"/>
          <w:u w:val="single"/>
        </w:rPr>
        <w:t>（甲方）、（采购代理机构）：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你方组织的（项目名称）【招标编号：ZJKJ2024-临[2024]6293号】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rPr>
          <w:rFonts w:ascii="宋体" w:hAnsi="宋体" w:cs="宋体"/>
          <w:b/>
          <w:spacing w:val="6"/>
          <w:sz w:val="32"/>
          <w:szCs w:val="32"/>
        </w:rPr>
      </w:pPr>
    </w:p>
    <w:p>
      <w:pPr>
        <w:autoSpaceDE w:val="0"/>
        <w:autoSpaceDN w:val="0"/>
        <w:jc w:val="center"/>
        <w:rPr>
          <w:rFonts w:ascii="宋体" w:hAnsi="宋体" w:cs="宋体"/>
          <w:b/>
          <w:kern w:val="0"/>
          <w:sz w:val="32"/>
          <w:szCs w:val="32"/>
          <w:lang w:val="zh-CN"/>
        </w:rPr>
      </w:pPr>
      <w:r>
        <w:rPr>
          <w:rFonts w:hint="eastAsia" w:ascii="宋体" w:hAnsi="宋体" w:cs="宋体"/>
          <w:b/>
          <w:spacing w:val="6"/>
          <w:sz w:val="32"/>
          <w:szCs w:val="32"/>
        </w:rPr>
        <w:t>附件5：</w:t>
      </w:r>
      <w:r>
        <w:rPr>
          <w:rFonts w:hint="eastAsia" w:ascii="宋体" w:hAnsi="宋体" w:cs="宋体"/>
          <w:b/>
          <w:kern w:val="0"/>
          <w:sz w:val="32"/>
          <w:szCs w:val="32"/>
          <w:lang w:val="zh-CN"/>
        </w:rPr>
        <w:t>联合协议</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（项目名称）【招标编号：ZJKJ2024-临[2024]6293号】</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授权代表根据招标文件规定及投标内容而对甲方、采购代理机构所作的任何合法承诺，包括书面澄清及相应等均对联合投标各方产生约束力。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（联合体成员1）</w:t>
      </w:r>
      <w:r>
        <w:rPr>
          <w:rFonts w:hint="eastAsia" w:ascii="宋体" w:hAnsi="宋体" w:cs="宋体"/>
          <w:kern w:val="0"/>
          <w:sz w:val="24"/>
          <w:lang w:val="zh-CN"/>
        </w:rPr>
        <w:t>承担的工作和义务为：；</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（联合体成员2）</w:t>
      </w:r>
      <w:r>
        <w:rPr>
          <w:rFonts w:hint="eastAsia" w:ascii="宋体" w:hAnsi="宋体" w:cs="宋体"/>
          <w:kern w:val="0"/>
          <w:sz w:val="24"/>
          <w:lang w:val="zh-CN"/>
        </w:rPr>
        <w:t>承担的工作和义务为：；</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w:t>
      </w:r>
      <w:bookmarkStart w:id="404" w:name="_Hlk101131882"/>
      <w:r>
        <w:rPr>
          <w:rFonts w:hint="eastAsia" w:ascii="宋体" w:hAnsi="宋体" w:cs="宋体"/>
          <w:kern w:val="0"/>
          <w:sz w:val="24"/>
          <w:u w:val="single"/>
        </w:rPr>
        <w:t>联合体成员X,……</w:t>
      </w:r>
      <w:bookmarkEnd w:id="404"/>
      <w:r>
        <w:rPr>
          <w:rFonts w:hint="eastAsia" w:ascii="宋体" w:hAnsi="宋体" w:cs="宋体"/>
          <w:kern w:val="0"/>
          <w:sz w:val="24"/>
          <w:u w:val="single"/>
        </w:rPr>
        <w:t>）</w:t>
      </w:r>
      <w:r>
        <w:rPr>
          <w:rFonts w:hint="eastAsia" w:ascii="宋体" w:hAnsi="宋体" w:cs="宋体"/>
          <w:kern w:val="0"/>
          <w:sz w:val="24"/>
        </w:rPr>
        <w:t>提供的服务由小微企业承接，其合同份额占到合同总金额%以上</w:t>
      </w:r>
      <w:r>
        <w:rPr>
          <w:rFonts w:hint="eastAsia" w:ascii="宋体" w:hAnsi="宋体" w:cs="宋体"/>
          <w:kern w:val="0"/>
          <w:sz w:val="24"/>
          <w:lang w:val="zh-CN"/>
        </w:rPr>
        <w:t>。</w:t>
      </w:r>
      <w:r>
        <w:rPr>
          <w:rFonts w:hint="eastAsia" w:ascii="宋体" w:hAnsi="宋体" w:cs="宋体"/>
          <w:b/>
          <w:kern w:val="0"/>
          <w:sz w:val="24"/>
          <w:lang w:val="zh-CN"/>
        </w:rPr>
        <w:t>（</w:t>
      </w:r>
      <w:bookmarkStart w:id="405" w:name="_Hlk101133598"/>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bookmarkEnd w:id="405"/>
      <w:r>
        <w:rPr>
          <w:rFonts w:hint="eastAsia" w:ascii="宋体" w:hAnsi="宋体" w:cs="宋体"/>
          <w:b/>
          <w:kern w:val="0"/>
          <w:sz w:val="24"/>
          <w:lang w:val="zh-CN"/>
        </w:rPr>
        <w:t>）</w:t>
      </w:r>
    </w:p>
    <w:p>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406" w:name="_Hlk101133173"/>
      <w:r>
        <w:rPr>
          <w:rFonts w:hint="eastAsia" w:ascii="宋体" w:hAnsi="宋体" w:cs="宋体"/>
          <w:sz w:val="24"/>
        </w:rPr>
        <w:t>中小企业合同金额达到%，小微企业合同金额达到%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bookmarkEnd w:id="406"/>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联合体各成员方共同与甲方签订合同，并就采购合同约定的事项对甲方承担连带责任。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3、本协议提交甲方、采购代理机构后，联合体各方不得以任何形式对上述内容进行修改或撤销。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jc w:val="center"/>
        <w:rPr>
          <w:rFonts w:ascii="宋体" w:hAnsi="宋体" w:cs="宋体"/>
          <w:b/>
          <w:kern w:val="0"/>
          <w:sz w:val="32"/>
          <w:szCs w:val="32"/>
        </w:rPr>
      </w:pPr>
      <w:r>
        <w:rPr>
          <w:rFonts w:hint="eastAsia" w:ascii="宋体" w:hAnsi="宋体" w:cs="宋体"/>
          <w:b/>
          <w:spacing w:val="6"/>
          <w:sz w:val="32"/>
          <w:szCs w:val="32"/>
        </w:rPr>
        <w:t>附件6：</w:t>
      </w:r>
      <w:r>
        <w:rPr>
          <w:rFonts w:hint="eastAsia" w:ascii="宋体" w:hAnsi="宋体" w:cs="宋体"/>
          <w:b/>
          <w:kern w:val="0"/>
          <w:sz w:val="32"/>
          <w:szCs w:val="32"/>
        </w:rPr>
        <w:t>分包意向协议</w:t>
      </w:r>
    </w:p>
    <w:p>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中标后以分包方式履行合同的，提供分包意向协议；甲方不同意分包或者投标人中标后不以分包方式履行合同的，则不需要提供。</w:t>
      </w:r>
      <w:r>
        <w:rPr>
          <w:rFonts w:hint="eastAsia" w:ascii="宋体" w:hAnsi="宋体" w:cs="宋体"/>
          <w:sz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（项目名称）【招标编号：ZJKJ2024-临[2024]6293号】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（分包供应商2名称），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pPr>
        <w:pStyle w:val="2"/>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pPr>
        <w:rPr>
          <w:rFonts w:ascii="宋体" w:hAnsi="宋体" w:cs="宋体"/>
        </w:rPr>
      </w:pP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pPr>
        <w:snapToGrid w:val="0"/>
        <w:spacing w:line="360" w:lineRule="auto"/>
        <w:ind w:firstLine="576"/>
        <w:rPr>
          <w:rFonts w:ascii="宋体" w:hAnsi="宋体" w:cs="宋体"/>
          <w:b/>
          <w:kern w:val="0"/>
          <w:sz w:val="24"/>
          <w:lang w:val="zh-CN"/>
        </w:rPr>
      </w:pPr>
      <w:r>
        <w:rPr>
          <w:rFonts w:hint="eastAsia" w:ascii="宋体" w:hAnsi="宋体" w:cs="宋体"/>
          <w:kern w:val="0"/>
          <w:sz w:val="24"/>
        </w:rPr>
        <w:t>1、</w:t>
      </w:r>
      <w:r>
        <w:rPr>
          <w:rFonts w:hint="eastAsia" w:ascii="宋体" w:hAnsi="宋体" w:cs="宋体"/>
          <w:kern w:val="0"/>
          <w:sz w:val="24"/>
          <w:u w:val="single"/>
        </w:rPr>
        <w:t>（分包供应商X,……）提供的服务全部由小微企业承接，</w:t>
      </w:r>
      <w:r>
        <w:rPr>
          <w:rFonts w:hint="eastAsia" w:ascii="宋体" w:hAnsi="宋体" w:cs="宋体"/>
          <w:kern w:val="0"/>
          <w:sz w:val="24"/>
        </w:rPr>
        <w:t>其合同份额占到合同总金额%以上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pacing w:line="360" w:lineRule="auto"/>
        <w:ind w:firstLine="480" w:firstLineChars="200"/>
        <w:rPr>
          <w:rFonts w:ascii="宋体" w:hAnsi="宋体" w:cs="宋体"/>
          <w:b/>
          <w:bCs/>
          <w:kern w:val="0"/>
          <w:sz w:val="24"/>
          <w:lang w:val="zh-CN"/>
        </w:rPr>
      </w:pPr>
      <w:r>
        <w:rPr>
          <w:rFonts w:hint="eastAsia" w:ascii="宋体" w:hAnsi="宋体" w:cs="宋体"/>
          <w:sz w:val="24"/>
        </w:rPr>
        <w:t>2、中小企业合同金额达到%，小微企业合同金额达到%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pPr>
        <w:snapToGrid w:val="0"/>
        <w:spacing w:line="360" w:lineRule="auto"/>
        <w:ind w:firstLine="576"/>
        <w:rPr>
          <w:rFonts w:ascii="宋体" w:hAnsi="宋体" w:cs="宋体"/>
          <w:u w:val="single"/>
        </w:rPr>
      </w:pP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pPr>
        <w:snapToGrid w:val="0"/>
        <w:spacing w:line="360" w:lineRule="auto"/>
        <w:ind w:firstLine="576"/>
        <w:rPr>
          <w:rFonts w:ascii="宋体" w:hAnsi="宋体" w:cs="宋体"/>
          <w:kern w:val="0"/>
          <w:sz w:val="24"/>
          <w:lang w:val="zh-CN"/>
        </w:rPr>
      </w:pP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pPr>
        <w:snapToGrid w:val="0"/>
        <w:spacing w:line="360" w:lineRule="auto"/>
        <w:ind w:left="573" w:leftChars="273"/>
        <w:rPr>
          <w:rFonts w:ascii="宋体" w:hAnsi="宋体" w:cs="宋体"/>
          <w:kern w:val="0"/>
          <w:sz w:val="24"/>
          <w:lang w:val="zh-CN"/>
        </w:rPr>
      </w:pPr>
    </w:p>
    <w:p>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pPr>
        <w:snapToGrid w:val="0"/>
        <w:spacing w:line="360" w:lineRule="auto"/>
        <w:ind w:firstLine="576"/>
        <w:rPr>
          <w:rFonts w:ascii="宋体" w:hAnsi="宋体" w:cs="宋体"/>
          <w:kern w:val="0"/>
          <w:sz w:val="24"/>
          <w:lang w:val="zh-CN"/>
        </w:rPr>
      </w:pP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pPr>
        <w:snapToGrid w:val="0"/>
        <w:spacing w:line="360" w:lineRule="auto"/>
        <w:ind w:firstLine="576"/>
        <w:rPr>
          <w:rFonts w:ascii="宋体" w:hAnsi="宋体" w:cs="宋体"/>
          <w:kern w:val="0"/>
          <w:sz w:val="24"/>
          <w:lang w:val="zh-CN"/>
        </w:rPr>
      </w:pP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八、其他</w:t>
      </w:r>
    </w:p>
    <w:p>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sz w:val="24"/>
        </w:rPr>
        <w:t>中小企业合同金额达到%，小微企业合同金额达到%</w:t>
      </w:r>
      <w:r>
        <w:rPr>
          <w:rFonts w:hint="eastAsia" w:ascii="宋体" w:hAnsi="宋体" w:cs="宋体"/>
          <w:kern w:val="0"/>
          <w:sz w:val="24"/>
          <w:lang w:val="zh-CN"/>
        </w:rPr>
        <w:t xml:space="preserve">  。                                           投标人名称(电子签名)：</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rPr>
          <w:rFonts w:ascii="宋体" w:hAnsi="宋体" w:cs="宋体"/>
          <w:b/>
          <w:spacing w:val="6"/>
          <w:sz w:val="32"/>
          <w:szCs w:val="32"/>
        </w:rPr>
      </w:pPr>
    </w:p>
    <w:p>
      <w:pPr>
        <w:spacing w:line="360" w:lineRule="auto"/>
        <w:jc w:val="center"/>
        <w:outlineLvl w:val="0"/>
        <w:rPr>
          <w:rFonts w:ascii="宋体" w:hAnsi="宋体" w:cs="宋体"/>
          <w:b/>
          <w:sz w:val="36"/>
          <w:szCs w:val="20"/>
        </w:rPr>
      </w:pPr>
      <w:r>
        <w:rPr>
          <w:rFonts w:hint="eastAsia" w:ascii="宋体" w:hAnsi="宋体" w:cs="宋体"/>
          <w:b/>
          <w:sz w:val="36"/>
          <w:szCs w:val="20"/>
        </w:rPr>
        <w:t>附件7：中小企业声明函</w:t>
      </w:r>
    </w:p>
    <w:p>
      <w:pPr>
        <w:spacing w:line="360" w:lineRule="auto"/>
        <w:jc w:val="center"/>
        <w:rPr>
          <w:rFonts w:ascii="宋体" w:hAnsi="宋体" w:cs="宋体"/>
          <w:sz w:val="24"/>
          <w:u w:val="single"/>
        </w:rPr>
      </w:pPr>
    </w:p>
    <w:p>
      <w:pPr>
        <w:spacing w:line="360" w:lineRule="auto"/>
        <w:jc w:val="center"/>
        <w:rPr>
          <w:rFonts w:ascii="宋体" w:hAnsi="宋体" w:cs="宋体"/>
          <w:b/>
          <w:sz w:val="32"/>
          <w:szCs w:val="32"/>
        </w:rPr>
      </w:pPr>
      <w:r>
        <w:rPr>
          <w:rFonts w:hint="eastAsia" w:ascii="宋体" w:hAnsi="宋体" w:cs="宋体"/>
          <w:b/>
          <w:sz w:val="32"/>
          <w:szCs w:val="32"/>
        </w:rPr>
        <w:t>中小企业声明函（服务）</w:t>
      </w:r>
    </w:p>
    <w:p>
      <w:pPr>
        <w:spacing w:line="360" w:lineRule="auto"/>
        <w:ind w:firstLine="360" w:firstLineChars="150"/>
        <w:jc w:val="left"/>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（甲方） </w:t>
      </w:r>
      <w:r>
        <w:rPr>
          <w:rFonts w:hint="eastAsia" w:ascii="宋体" w:hAnsi="宋体" w:cs="宋体"/>
          <w:sz w:val="24"/>
        </w:rPr>
        <w:t>的</w:t>
      </w:r>
      <w:r>
        <w:rPr>
          <w:rFonts w:hint="eastAsia" w:ascii="宋体" w:hAnsi="宋体" w:cs="宋体"/>
          <w:sz w:val="24"/>
          <w:u w:val="single"/>
        </w:rPr>
        <w:t xml:space="preserve"> （项目名称） </w:t>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sz w:val="24"/>
          <w:u w:val="single"/>
        </w:rPr>
        <w:t>（标的名称）</w:t>
      </w:r>
      <w:r>
        <w:rPr>
          <w:rFonts w:hint="eastAsia" w:ascii="宋体" w:hAnsi="宋体" w:cs="宋体"/>
          <w:sz w:val="24"/>
        </w:rPr>
        <w:t>，属于</w:t>
      </w:r>
      <w:r>
        <w:rPr>
          <w:rFonts w:hint="eastAsia" w:ascii="宋体" w:hAnsi="宋体" w:cs="宋体"/>
          <w:sz w:val="24"/>
          <w:u w:val="single"/>
        </w:rPr>
        <w:t xml:space="preserve"> （采购文件中明确的所属行业）</w:t>
      </w:r>
      <w:r>
        <w:rPr>
          <w:rFonts w:hint="eastAsia" w:ascii="宋体" w:hAnsi="宋体" w:cs="宋体"/>
          <w:sz w:val="24"/>
        </w:rPr>
        <w:t xml:space="preserve"> ；承建（承接）企业为 </w:t>
      </w:r>
      <w:r>
        <w:rPr>
          <w:rFonts w:hint="eastAsia" w:ascii="宋体" w:hAnsi="宋体" w:cs="宋体"/>
          <w:sz w:val="24"/>
          <w:u w:val="single"/>
        </w:rPr>
        <w:t>（企业名称）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 </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z w:val="24"/>
          <w:u w:val="single"/>
        </w:rPr>
        <w:t xml:space="preserve"> （标的名称），</w:t>
      </w:r>
      <w:r>
        <w:rPr>
          <w:rFonts w:hint="eastAsia" w:ascii="宋体" w:hAnsi="宋体" w:cs="宋体"/>
          <w:sz w:val="24"/>
        </w:rPr>
        <w:t xml:space="preserve">属于 </w:t>
      </w:r>
      <w:r>
        <w:rPr>
          <w:rFonts w:hint="eastAsia" w:ascii="宋体" w:hAnsi="宋体" w:cs="宋体"/>
          <w:sz w:val="24"/>
          <w:u w:val="single"/>
        </w:rPr>
        <w:t xml:space="preserve">（采购文件中明确的所属行业） </w:t>
      </w:r>
      <w:r>
        <w:rPr>
          <w:rFonts w:hint="eastAsia" w:ascii="宋体" w:hAnsi="宋体" w:cs="宋体"/>
          <w:sz w:val="24"/>
        </w:rPr>
        <w:t xml:space="preserve">；承建（承接）企业为 </w:t>
      </w:r>
      <w:r>
        <w:rPr>
          <w:rFonts w:hint="eastAsia" w:ascii="宋体" w:hAnsi="宋体" w:cs="宋体"/>
          <w:sz w:val="24"/>
          <w:u w:val="single"/>
        </w:rPr>
        <w:t>（企业名称）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 </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spacing w:line="360" w:lineRule="auto"/>
        <w:ind w:right="1760"/>
        <w:jc w:val="right"/>
        <w:rPr>
          <w:rFonts w:ascii="宋体" w:hAnsi="宋体" w:cs="宋体"/>
          <w:sz w:val="24"/>
        </w:rPr>
      </w:pPr>
      <w:r>
        <w:rPr>
          <w:rFonts w:hint="eastAsia" w:ascii="宋体" w:hAnsi="宋体" w:cs="宋体"/>
          <w:sz w:val="24"/>
        </w:rPr>
        <w:t>投标人名称（电子签名）：</w:t>
      </w:r>
    </w:p>
    <w:p>
      <w:pPr>
        <w:spacing w:line="360" w:lineRule="auto"/>
        <w:ind w:right="1120" w:firstLine="4680" w:firstLineChars="1950"/>
        <w:rPr>
          <w:rFonts w:ascii="宋体" w:hAnsi="宋体" w:cs="宋体"/>
          <w:sz w:val="24"/>
        </w:rPr>
      </w:pPr>
      <w:r>
        <w:rPr>
          <w:rFonts w:hint="eastAsia" w:ascii="宋体" w:hAnsi="宋体" w:cs="宋体"/>
          <w:sz w:val="24"/>
        </w:rPr>
        <w:t>日 期：</w:t>
      </w:r>
    </w:p>
    <w:p>
      <w:pPr>
        <w:spacing w:line="360" w:lineRule="auto"/>
        <w:ind w:firstLine="310" w:firstLineChars="147"/>
        <w:jc w:val="left"/>
        <w:rPr>
          <w:rFonts w:ascii="宋体" w:hAnsi="宋体" w:cs="宋体"/>
          <w:b/>
          <w:szCs w:val="21"/>
        </w:rPr>
      </w:pPr>
      <w:r>
        <w:rPr>
          <w:rFonts w:hint="eastAsia" w:ascii="宋体" w:hAnsi="宋体" w:cs="宋体"/>
          <w:b/>
          <w:szCs w:val="21"/>
        </w:rPr>
        <w:t>从业人员、营业收入、资产总额填报上一年度数据，无上一年度数据的新成立企业可不填报。</w:t>
      </w:r>
    </w:p>
    <w:p>
      <w:pPr>
        <w:spacing w:line="360" w:lineRule="auto"/>
        <w:ind w:right="420"/>
        <w:rPr>
          <w:rFonts w:ascii="宋体" w:hAnsi="宋体" w:cs="宋体"/>
          <w:sz w:val="24"/>
        </w:rPr>
      </w:pPr>
    </w:p>
    <w:p>
      <w:pPr>
        <w:spacing w:line="360" w:lineRule="auto"/>
        <w:ind w:right="420"/>
        <w:rPr>
          <w:rFonts w:ascii="宋体" w:hAnsi="宋体" w:cs="宋体"/>
          <w:sz w:val="24"/>
        </w:rPr>
      </w:pPr>
      <w:r>
        <w:rPr>
          <w:rFonts w:hint="eastAsia" w:ascii="宋体" w:hAnsi="宋体" w:cs="宋体"/>
          <w:sz w:val="24"/>
        </w:rPr>
        <w:t xml:space="preserve">   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rPr>
          <w:rFonts w:ascii="宋体" w:hAnsi="宋体" w:eastAsia="宋体" w:cs="宋体"/>
          <w:lang w:val="en-US"/>
        </w:rPr>
      </w:pPr>
    </w:p>
    <w:p>
      <w:pPr>
        <w:spacing w:line="360" w:lineRule="auto"/>
        <w:ind w:right="420"/>
        <w:rPr>
          <w:rFonts w:ascii="宋体" w:hAnsi="宋体" w:cs="宋体"/>
        </w:rPr>
      </w:pPr>
    </w:p>
    <w:p>
      <w:pPr>
        <w:spacing w:line="360" w:lineRule="auto"/>
        <w:rPr>
          <w:rFonts w:ascii="宋体" w:hAnsi="宋体" w:cs="宋体"/>
          <w:bCs/>
          <w:sz w:val="24"/>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CDA03C9-E38F-4328-AD08-D14C54E6BF06}"/>
  </w:font>
  <w:font w:name="Arial">
    <w:panose1 w:val="020B0604020202020204"/>
    <w:charset w:val="01"/>
    <w:family w:val="swiss"/>
    <w:pitch w:val="default"/>
    <w:sig w:usb0="E0002EFF" w:usb1="C000785B" w:usb2="00000009" w:usb3="00000000" w:csb0="400001FF" w:csb1="FFFF0000"/>
    <w:embedRegular r:id="rId2" w:fontKey="{C1D1E295-5A05-4F61-A1F3-105A8CE7F490}"/>
  </w:font>
  <w:font w:name="黑体">
    <w:panose1 w:val="02010609060101010101"/>
    <w:charset w:val="86"/>
    <w:family w:val="auto"/>
    <w:pitch w:val="default"/>
    <w:sig w:usb0="800002BF" w:usb1="38CF7CFA" w:usb2="00000016" w:usb3="00000000" w:csb0="00040001" w:csb1="00000000"/>
    <w:embedRegular r:id="rId3" w:fontKey="{AF51D056-BE71-4294-AEA8-019920046A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4DA00FB-3B34-4374-AC45-F86F5F12A037}"/>
  </w:font>
  <w:font w:name="仿宋_GB2312">
    <w:panose1 w:val="02010609030101010101"/>
    <w:charset w:val="86"/>
    <w:family w:val="roman"/>
    <w:pitch w:val="default"/>
    <w:sig w:usb0="00000001" w:usb1="080E0000" w:usb2="00000000" w:usb3="00000000" w:csb0="00040000" w:csb1="00000000"/>
    <w:embedRegular r:id="rId5" w:fontKey="{5566E5CB-A718-48A2-8FC8-D8E6EB2900E9}"/>
  </w:font>
  <w:font w:name="仿宋">
    <w:panose1 w:val="02010609060101010101"/>
    <w:charset w:val="86"/>
    <w:family w:val="roman"/>
    <w:pitch w:val="default"/>
    <w:sig w:usb0="800002BF" w:usb1="38CF7CFA" w:usb2="00000016" w:usb3="00000000" w:csb0="00040001" w:csb1="00000000"/>
    <w:embedRegular r:id="rId6" w:fontKey="{9974A9C2-54AE-4B97-857D-D68D7828B3CC}"/>
  </w:font>
  <w:font w:name="Cambria">
    <w:panose1 w:val="02040503050406030204"/>
    <w:charset w:val="00"/>
    <w:family w:val="modern"/>
    <w:pitch w:val="default"/>
    <w:sig w:usb0="E00006FF" w:usb1="420024FF" w:usb2="02000000" w:usb3="00000000" w:csb0="2000019F" w:csb1="00000000"/>
  </w:font>
  <w:font w:name="微软雅黑">
    <w:panose1 w:val="020B0503020204020204"/>
    <w:charset w:val="86"/>
    <w:family w:val="modern"/>
    <w:pitch w:val="default"/>
    <w:sig w:usb0="80000287" w:usb1="2ACF3C50" w:usb2="00000016" w:usb3="00000000" w:csb0="0004001F" w:csb1="00000000"/>
    <w:embedRegular r:id="rId7" w:fontKey="{54F521FC-2AAF-4E1B-884A-D9583A92BC0C}"/>
  </w:font>
  <w:font w:name="隶书">
    <w:panose1 w:val="02010509060101010101"/>
    <w:charset w:val="86"/>
    <w:family w:val="roman"/>
    <w:pitch w:val="default"/>
    <w:sig w:usb0="00000001" w:usb1="080E0000" w:usb2="00000000" w:usb3="00000000" w:csb0="00040000" w:csb1="00000000"/>
  </w:font>
  <w:font w:name="楷体_GB2312">
    <w:altName w:val="楷体"/>
    <w:panose1 w:val="02010609030101010101"/>
    <w:charset w:val="86"/>
    <w:family w:val="roman"/>
    <w:pitch w:val="default"/>
    <w:sig w:usb0="00000000" w:usb1="00000000" w:usb2="00000010" w:usb3="00000000" w:csb0="00040000" w:csb1="00000000"/>
  </w:font>
  <w:font w:name="Futura Bk">
    <w:altName w:val="Arial"/>
    <w:panose1 w:val="00000000000000000000"/>
    <w:charset w:val="00"/>
    <w:family w:val="decorative"/>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modern"/>
    <w:pitch w:val="default"/>
    <w:sig w:usb0="E1002EFF" w:usb1="C000605B" w:usb2="00000029" w:usb3="00000000" w:csb0="200101FF" w:csb1="20280000"/>
  </w:font>
  <w:font w:name="MS Sans Serif">
    <w:altName w:val="Arial"/>
    <w:panose1 w:val="00000000000000000000"/>
    <w:charset w:val="00"/>
    <w:family w:val="decorative"/>
    <w:pitch w:val="default"/>
    <w:sig w:usb0="00000000" w:usb1="00000000" w:usb2="00000000" w:usb3="00000000" w:csb0="00000001" w:csb1="00000000"/>
  </w:font>
  <w:font w:name="Lucida Sans">
    <w:altName w:val="Lucida Sans Unicode"/>
    <w:panose1 w:val="020B0602030504020204"/>
    <w:charset w:val="00"/>
    <w:family w:val="modern"/>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modern"/>
    <w:pitch w:val="default"/>
    <w:sig w:usb0="A00006FF" w:usb1="4000205B" w:usb2="00000010" w:usb3="00000000" w:csb0="2000019F" w:csb1="00000000"/>
  </w:font>
  <w:font w:name="ˎ̥">
    <w:altName w:val="微软雅黑"/>
    <w:panose1 w:val="00000000000000000000"/>
    <w:charset w:val="00"/>
    <w:family w:val="modern"/>
    <w:pitch w:val="default"/>
    <w:sig w:usb0="00000000" w:usb1="00000000" w:usb2="00000000" w:usb3="00000000" w:csb0="00040001" w:csb1="00000000"/>
  </w:font>
  <w:font w:name="幼圆">
    <w:panose1 w:val="02010509060101010101"/>
    <w:charset w:val="86"/>
    <w:family w:val="roman"/>
    <w:pitch w:val="default"/>
    <w:sig w:usb0="00000001" w:usb1="080E0000" w:usb2="00000000" w:usb3="00000000" w:csb0="00040000" w:csb1="00000000"/>
  </w:font>
  <w:font w:name="Arial Narrow">
    <w:panose1 w:val="020B0606020202030204"/>
    <w:charset w:val="00"/>
    <w:family w:val="modern"/>
    <w:pitch w:val="default"/>
    <w:sig w:usb0="00000287" w:usb1="00000800" w:usb2="00000000" w:usb3="00000000" w:csb0="2000009F" w:csb1="DFD70000"/>
  </w:font>
  <w:font w:name="FHLHE E+ Futura Bk">
    <w:altName w:val="宋体"/>
    <w:panose1 w:val="00000000000000000000"/>
    <w:charset w:val="86"/>
    <w:family w:val="decorative"/>
    <w:pitch w:val="default"/>
    <w:sig w:usb0="00000000" w:usb1="00000000" w:usb2="00000010" w:usb3="00000000" w:csb0="00040000" w:csb1="00000000"/>
  </w:font>
  <w:font w:name="Arial (W1)">
    <w:altName w:val="Arial"/>
    <w:panose1 w:val="00000000000000000000"/>
    <w:charset w:val="00"/>
    <w:family w:val="decorative"/>
    <w:pitch w:val="default"/>
    <w:sig w:usb0="00000000" w:usb1="00000000" w:usb2="00000008" w:usb3="00000000" w:csb0="000001FF" w:csb1="00000000"/>
  </w:font>
  <w:font w:name="Arial Unicode MS">
    <w:panose1 w:val="020B0604020202020204"/>
    <w:charset w:val="86"/>
    <w:family w:val="modern"/>
    <w:pitch w:val="default"/>
    <w:sig w:usb0="FFFFFFFF" w:usb1="E9FFFFFF" w:usb2="0000003F" w:usb3="00000000" w:csb0="603F01FF" w:csb1="FFFF0000"/>
  </w:font>
  <w:font w:name="Helvetica">
    <w:panose1 w:val="020B0504020202030204"/>
    <w:charset w:val="00"/>
    <w:family w:val="modern"/>
    <w:pitch w:val="default"/>
    <w:sig w:usb0="00000007" w:usb1="00000000" w:usb2="00000000" w:usb3="00000000" w:csb0="00000093" w:csb1="00000000"/>
  </w:font>
  <w:font w:name="Cumberland">
    <w:altName w:val="微软雅黑"/>
    <w:panose1 w:val="00000000000000000000"/>
    <w:charset w:val="00"/>
    <w:family w:val="swiss"/>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decorative"/>
    <w:pitch w:val="default"/>
    <w:sig w:usb0="00000000" w:usb1="00000000" w:usb2="00000000" w:usb3="00000000" w:csb0="000001FB" w:csb1="00000000"/>
  </w:font>
  <w:font w:name="Segoe UI">
    <w:panose1 w:val="020B0502040204020203"/>
    <w:charset w:val="00"/>
    <w:family w:val="modern"/>
    <w:pitch w:val="default"/>
    <w:sig w:usb0="E4002EFF" w:usb1="C000E47F" w:usb2="00000009" w:usb3="00000000" w:csb0="200001FF" w:csb1="00000000"/>
  </w:font>
  <w:font w:name="Latha">
    <w:altName w:val="Segoe Print"/>
    <w:panose1 w:val="020B0604020202020204"/>
    <w:charset w:val="00"/>
    <w:family w:val="moder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roman"/>
    <w:pitch w:val="default"/>
    <w:sig w:usb0="00000283" w:usb1="288F0000" w:usb2="00000006" w:usb3="00000000" w:csb0="00040001" w:csb1="00000000"/>
  </w:font>
  <w:font w:name="楷体">
    <w:panose1 w:val="02010609060101010101"/>
    <w:charset w:val="86"/>
    <w:family w:val="roman"/>
    <w:pitch w:val="default"/>
    <w:sig w:usb0="800002BF" w:usb1="38CF7CFA" w:usb2="00000016" w:usb3="00000000" w:csb0="00040001" w:csb1="00000000"/>
  </w:font>
  <w:font w:name="Lucida Sans Unicode">
    <w:panose1 w:val="020B0602030504020204"/>
    <w:charset w:val="00"/>
    <w:family w:val="modern"/>
    <w:pitch w:val="default"/>
    <w:sig w:usb0="80001AFF" w:usb1="0000396B" w:usb2="00000000" w:usb3="00000000" w:csb0="200000BF" w:csb1="D7F70000"/>
  </w:font>
  <w:font w:name="Century Gothic">
    <w:panose1 w:val="020B0502020202020204"/>
    <w:charset w:val="00"/>
    <w:family w:val="modern"/>
    <w:pitch w:val="default"/>
    <w:sig w:usb0="00000287" w:usb1="00000000" w:usb2="00000000" w:usb3="00000000" w:csb0="2000009F" w:csb1="DFD70000"/>
  </w:font>
  <w:font w:name="Aldine401 BT">
    <w:altName w:val="Arial"/>
    <w:panose1 w:val="00000000000000000000"/>
    <w:charset w:val="00"/>
    <w:family w:val="modern"/>
    <w:pitch w:val="default"/>
    <w:sig w:usb0="00000000" w:usb1="00000000" w:usb2="00000000" w:usb3="00000000" w:csb0="00000011" w:csb1="00000000"/>
  </w:font>
  <w:font w:name=".PingFang SC">
    <w:altName w:val="宋体"/>
    <w:panose1 w:val="00000000000000000000"/>
    <w:charset w:val="86"/>
    <w:family w:val="swiss"/>
    <w:pitch w:val="default"/>
    <w:sig w:usb0="00000000" w:usb1="00000000" w:usb2="00000000" w:usb3="00000000" w:csb0="00040001" w:csb1="00000000"/>
  </w:font>
  <w:font w:name="MS Gothic">
    <w:panose1 w:val="020B0609070205080204"/>
    <w:charset w:val="80"/>
    <w:family w:val="roman"/>
    <w:pitch w:val="default"/>
    <w:sig w:usb0="E00002FF" w:usb1="6AC7FDFB" w:usb2="08000012" w:usb3="00000000" w:csb0="4002009F" w:csb1="DFD70000"/>
    <w:embedRegular r:id="rId8" w:fontKey="{5D2F3BEF-AF6E-4692-867B-CEF369AFB955}"/>
  </w:font>
  <w:font w:name="Segoe UI Symbol">
    <w:panose1 w:val="020B0502040204020203"/>
    <w:charset w:val="00"/>
    <w:family w:val="modern"/>
    <w:pitch w:val="default"/>
    <w:sig w:usb0="800001E3" w:usb1="1200FFEF" w:usb2="00040000" w:usb3="04000000" w:csb0="00000001" w:csb1="40000000"/>
    <w:embedRegular r:id="rId9" w:fontKey="{6E57E990-71DD-4368-A9B5-9AC7A5EDF22E}"/>
  </w:font>
  <w:font w:name="PMingLiU">
    <w:altName w:val="PMingLiU-ExtB"/>
    <w:panose1 w:val="02020500000000000000"/>
    <w:charset w:val="88"/>
    <w:family w:val="decorative"/>
    <w:pitch w:val="default"/>
    <w:sig w:usb0="00000000" w:usb1="00000000" w:usb2="00000016" w:usb3="00000000" w:csb0="00100001" w:csb1="00000000"/>
    <w:embedRegular r:id="rId10" w:fontKey="{29019596-B0EE-4F3B-A3B5-500CDD2B4533}"/>
  </w:font>
  <w:font w:name="方正小标宋_GBK">
    <w:panose1 w:val="03000509000000000000"/>
    <w:charset w:val="86"/>
    <w:family w:val="script"/>
    <w:pitch w:val="default"/>
    <w:sig w:usb0="00000001" w:usb1="080E0000" w:usb2="00000000" w:usb3="00000000" w:csb0="00040000" w:csb1="00000000"/>
    <w:embedRegular r:id="rId11" w:fontKey="{699D5CD2-4D19-4E6F-86BE-57C68F9DF64D}"/>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4834222"/>
    </w:sdtPr>
    <w:sdtContent>
      <w:p>
        <w:pPr>
          <w:pStyle w:val="40"/>
          <w:jc w:val="center"/>
        </w:pPr>
        <w:r>
          <w:rPr>
            <w:rFonts w:hint="eastAsia"/>
          </w:rPr>
          <w:t>第</w:t>
        </w:r>
        <w:r>
          <w:fldChar w:fldCharType="begin"/>
        </w:r>
        <w:r>
          <w:instrText xml:space="preserve"> PAGE  \* Arabic  \* MERGEFORMAT </w:instrText>
        </w:r>
        <w:r>
          <w:fldChar w:fldCharType="separate"/>
        </w:r>
        <w:r>
          <w:t>27</w:t>
        </w:r>
        <w:r>
          <w:fldChar w:fldCharType="end"/>
        </w:r>
        <w:r>
          <w:rPr>
            <w:rFonts w:hint="eastAsia"/>
          </w:rPr>
          <w:t>页 共</w:t>
        </w:r>
        <w:r>
          <w:fldChar w:fldCharType="begin"/>
        </w:r>
        <w:r>
          <w:instrText xml:space="preserve"> NUMPAGES  \* Arabic  \* MERGEFORMAT </w:instrText>
        </w:r>
        <w:r>
          <w:fldChar w:fldCharType="separate"/>
        </w:r>
        <w:r>
          <w:t>108</w:t>
        </w:r>
        <w:r>
          <w:fldChar w:fldCharType="end"/>
        </w:r>
        <w:r>
          <w:rPr>
            <w:rFonts w:hint="eastAsia"/>
          </w:rPr>
          <w:t>页</w:t>
        </w:r>
      </w:p>
    </w:sdtContent>
  </w:sdt>
  <w:p>
    <w:pPr>
      <w:pStyle w:val="40"/>
      <w:jc w:val="center"/>
      <w:rPr>
        <w:rFonts w:ascii="仿宋_GB2312" w:eastAsia="仿宋_GB231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408" w:name="_Toc91899912"/>
    <w:bookmarkStart w:id="409" w:name="_Toc131845147"/>
    <w:bookmarkStart w:id="410" w:name="_Toc164085800"/>
    <w:bookmarkStart w:id="411" w:name="_Toc36110187"/>
    <w:r>
      <w:rPr>
        <w:rFonts w:hint="eastAsia" w:ascii="仿宋_GB2312" w:eastAsia="仿宋_GB2312"/>
        <w:kern w:val="0"/>
        <w:szCs w:val="21"/>
      </w:rPr>
      <w:t xml:space="preserve"> 页</w:t>
    </w:r>
    <w:bookmarkEnd w:id="408"/>
    <w:bookmarkEnd w:id="409"/>
    <w:bookmarkEnd w:id="410"/>
    <w:bookmarkEnd w:id="411"/>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
    </w:sdtPr>
    <w:sdtContent>
      <w:p>
        <w:pPr>
          <w:pStyle w:val="40"/>
          <w:jc w:val="center"/>
        </w:pPr>
        <w:bookmarkStart w:id="407" w:name="_Hlk162945569"/>
        <w:r>
          <w:rPr>
            <w:rFonts w:hint="eastAsia"/>
          </w:rPr>
          <w:t>第</w:t>
        </w:r>
        <w:r>
          <w:fldChar w:fldCharType="begin"/>
        </w:r>
        <w:r>
          <w:instrText xml:space="preserve"> PAGE  \* Arabic  \* MERGEFORMAT </w:instrText>
        </w:r>
        <w:r>
          <w:fldChar w:fldCharType="separate"/>
        </w:r>
        <w:r>
          <w:t>77</w:t>
        </w:r>
        <w:r>
          <w:fldChar w:fldCharType="end"/>
        </w:r>
        <w:r>
          <w:rPr>
            <w:rFonts w:hint="eastAsia"/>
          </w:rPr>
          <w:t>页 共</w:t>
        </w:r>
        <w:r>
          <w:fldChar w:fldCharType="begin"/>
        </w:r>
        <w:r>
          <w:instrText xml:space="preserve"> NUMPAGES  \* Arabic  \* MERGEFORMAT </w:instrText>
        </w:r>
        <w:r>
          <w:fldChar w:fldCharType="separate"/>
        </w:r>
        <w:r>
          <w:t>77</w:t>
        </w:r>
        <w:r>
          <w:fldChar w:fldCharType="end"/>
        </w:r>
        <w:r>
          <w:rPr>
            <w:rFonts w:hint="eastAsia"/>
          </w:rPr>
          <w:t>页</w:t>
        </w:r>
      </w:p>
    </w:sdtContent>
  </w:sdt>
  <w:bookmarkEnd w:id="407"/>
  <w:p>
    <w:pPr>
      <w:pStyle w:val="40"/>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sdt>
    <w:sdtPr>
      <w:id w:val="731591389"/>
    </w:sdtPr>
    <w:sdtContent>
      <w:p>
        <w:pPr>
          <w:pStyle w:val="40"/>
          <w:jc w:val="center"/>
        </w:pPr>
      </w:p>
      <w:p>
        <w:pPr>
          <w:pStyle w:val="40"/>
          <w:jc w:val="center"/>
        </w:pPr>
        <w:r>
          <w:rPr>
            <w:rFonts w:hint="eastAsia"/>
          </w:rPr>
          <w:t>第</w:t>
        </w:r>
        <w:r>
          <w:fldChar w:fldCharType="begin"/>
        </w:r>
        <w:r>
          <w:instrText xml:space="preserve"> PAGE  \* Arabic  \* MERGEFORMAT </w:instrText>
        </w:r>
        <w:r>
          <w:fldChar w:fldCharType="separate"/>
        </w:r>
        <w:r>
          <w:t>70</w:t>
        </w:r>
        <w:r>
          <w:fldChar w:fldCharType="end"/>
        </w:r>
        <w:r>
          <w:rPr>
            <w:rFonts w:hint="eastAsia"/>
          </w:rPr>
          <w:t>页 共</w:t>
        </w:r>
        <w:r>
          <w:fldChar w:fldCharType="begin"/>
        </w:r>
        <w:r>
          <w:instrText xml:space="preserve"> NUMPAGES  \* Arabic  \* MERGEFORMAT </w:instrText>
        </w:r>
        <w:r>
          <w:fldChar w:fldCharType="separate"/>
        </w:r>
        <w:r>
          <w:t>108</w:t>
        </w:r>
        <w:r>
          <w:fldChar w:fldCharType="end"/>
        </w:r>
        <w:r>
          <w:rPr>
            <w:rFonts w:hint="eastAsia"/>
          </w:rPr>
          <w:t>页</w:t>
        </w:r>
      </w:p>
    </w:sdtContent>
  </w:sdt>
  <w:p>
    <w:pPr>
      <w:pStyle w:val="40"/>
      <w:rPr>
        <w:rFonts w:ascii="仿宋_GB2312" w:eastAsia="仿宋_GB2312"/>
      </w:rPr>
    </w:pP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pStyle w:val="40"/>
      <w:jc w:val="center"/>
      <w:rPr>
        <w:rFonts w:ascii="仿宋_GB2312" w:eastAsia="仿宋_GB2312"/>
        <w:szCs w:val="24"/>
      </w:rPr>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杭州市政府采购公开招标文件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杭州市政府采购公开招标文件</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             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p>
  <w:p>
    <w:pPr>
      <w:pStyle w:val="41"/>
    </w:pP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杭州市政府采购公开招标文件</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B341E7"/>
    <w:multiLevelType w:val="singleLevel"/>
    <w:tmpl w:val="3BB341E7"/>
    <w:lvl w:ilvl="0" w:tentative="0">
      <w:start w:val="1"/>
      <w:numFmt w:val="decimal"/>
      <w:suff w:val="nothing"/>
      <w:lvlText w:val="（%1）"/>
      <w:lvlJc w:val="left"/>
    </w:lvl>
  </w:abstractNum>
  <w:abstractNum w:abstractNumId="1">
    <w:nsid w:val="5E13A7FF"/>
    <w:multiLevelType w:val="singleLevel"/>
    <w:tmpl w:val="5E13A7FF"/>
    <w:lvl w:ilvl="0" w:tentative="0">
      <w:start w:val="4"/>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hYzZlOTIwZGQ0MTJhNTNlZTZkMGUyNjA0YWFkZjgifQ=="/>
  </w:docVars>
  <w:rsids>
    <w:rsidRoot w:val="00172A27"/>
    <w:rsid w:val="00000451"/>
    <w:rsid w:val="0000108B"/>
    <w:rsid w:val="0000133D"/>
    <w:rsid w:val="00001509"/>
    <w:rsid w:val="00001E3F"/>
    <w:rsid w:val="000025FA"/>
    <w:rsid w:val="000032B2"/>
    <w:rsid w:val="0000363B"/>
    <w:rsid w:val="000058BD"/>
    <w:rsid w:val="00006109"/>
    <w:rsid w:val="00006150"/>
    <w:rsid w:val="000063E8"/>
    <w:rsid w:val="00006725"/>
    <w:rsid w:val="0000675E"/>
    <w:rsid w:val="000071E3"/>
    <w:rsid w:val="00007CAA"/>
    <w:rsid w:val="00010E4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B2"/>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2E81"/>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97F9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5E5"/>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22"/>
    <w:rsid w:val="000C7BEB"/>
    <w:rsid w:val="000D0124"/>
    <w:rsid w:val="000D11E5"/>
    <w:rsid w:val="000D19E8"/>
    <w:rsid w:val="000D1DE9"/>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08F9"/>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0F09"/>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876"/>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2C88"/>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68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53D6"/>
    <w:rsid w:val="00185B7D"/>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4E"/>
    <w:rsid w:val="0019756A"/>
    <w:rsid w:val="00197BE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98"/>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3CC2"/>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253"/>
    <w:rsid w:val="001E2492"/>
    <w:rsid w:val="001E257C"/>
    <w:rsid w:val="001E286C"/>
    <w:rsid w:val="001E2F34"/>
    <w:rsid w:val="001E35EE"/>
    <w:rsid w:val="001E4B2C"/>
    <w:rsid w:val="001E507F"/>
    <w:rsid w:val="001E56C2"/>
    <w:rsid w:val="001E59FB"/>
    <w:rsid w:val="001E5E3D"/>
    <w:rsid w:val="001E7F81"/>
    <w:rsid w:val="001F0FD1"/>
    <w:rsid w:val="001F1526"/>
    <w:rsid w:val="001F19D1"/>
    <w:rsid w:val="001F1CB9"/>
    <w:rsid w:val="001F1F18"/>
    <w:rsid w:val="001F2F92"/>
    <w:rsid w:val="001F456F"/>
    <w:rsid w:val="001F5DA1"/>
    <w:rsid w:val="001F612E"/>
    <w:rsid w:val="001F6A92"/>
    <w:rsid w:val="001F77E8"/>
    <w:rsid w:val="001F7F7E"/>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1DE"/>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AA2"/>
    <w:rsid w:val="00217E1F"/>
    <w:rsid w:val="002204BC"/>
    <w:rsid w:val="00220F7B"/>
    <w:rsid w:val="002213CE"/>
    <w:rsid w:val="00221AF7"/>
    <w:rsid w:val="00221DF1"/>
    <w:rsid w:val="00222494"/>
    <w:rsid w:val="00222775"/>
    <w:rsid w:val="00222A31"/>
    <w:rsid w:val="00222CF6"/>
    <w:rsid w:val="00223050"/>
    <w:rsid w:val="00224037"/>
    <w:rsid w:val="002244E4"/>
    <w:rsid w:val="00224D2A"/>
    <w:rsid w:val="00224D8D"/>
    <w:rsid w:val="0022555A"/>
    <w:rsid w:val="00227214"/>
    <w:rsid w:val="00227DDC"/>
    <w:rsid w:val="0023079F"/>
    <w:rsid w:val="00231135"/>
    <w:rsid w:val="00231B0B"/>
    <w:rsid w:val="00232555"/>
    <w:rsid w:val="002332C7"/>
    <w:rsid w:val="00233538"/>
    <w:rsid w:val="00234248"/>
    <w:rsid w:val="0023449F"/>
    <w:rsid w:val="002344F5"/>
    <w:rsid w:val="0023454D"/>
    <w:rsid w:val="00234679"/>
    <w:rsid w:val="002359FC"/>
    <w:rsid w:val="002361C8"/>
    <w:rsid w:val="00236260"/>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5FAD"/>
    <w:rsid w:val="0025631F"/>
    <w:rsid w:val="00256986"/>
    <w:rsid w:val="00256D61"/>
    <w:rsid w:val="00256E23"/>
    <w:rsid w:val="00257246"/>
    <w:rsid w:val="00257438"/>
    <w:rsid w:val="0026119C"/>
    <w:rsid w:val="00261AC6"/>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9A8"/>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6DB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0F12"/>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9C6"/>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07B"/>
    <w:rsid w:val="00325FCC"/>
    <w:rsid w:val="00326106"/>
    <w:rsid w:val="00326805"/>
    <w:rsid w:val="003269B7"/>
    <w:rsid w:val="00326C0E"/>
    <w:rsid w:val="003272A3"/>
    <w:rsid w:val="003272E4"/>
    <w:rsid w:val="00327B71"/>
    <w:rsid w:val="00331461"/>
    <w:rsid w:val="003316A8"/>
    <w:rsid w:val="00331C80"/>
    <w:rsid w:val="00331CC9"/>
    <w:rsid w:val="003320D7"/>
    <w:rsid w:val="00332160"/>
    <w:rsid w:val="00332265"/>
    <w:rsid w:val="00332862"/>
    <w:rsid w:val="00332D52"/>
    <w:rsid w:val="003331AC"/>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39C0"/>
    <w:rsid w:val="0035455F"/>
    <w:rsid w:val="00354A88"/>
    <w:rsid w:val="00355D75"/>
    <w:rsid w:val="00355D8F"/>
    <w:rsid w:val="00356A73"/>
    <w:rsid w:val="00356C1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225"/>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1DC7"/>
    <w:rsid w:val="003C247B"/>
    <w:rsid w:val="003C3292"/>
    <w:rsid w:val="003C3383"/>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CB0"/>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2FD"/>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3209"/>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3BEE"/>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1D1"/>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4D76"/>
    <w:rsid w:val="00486516"/>
    <w:rsid w:val="0048664F"/>
    <w:rsid w:val="004868AD"/>
    <w:rsid w:val="00486D00"/>
    <w:rsid w:val="00487FE1"/>
    <w:rsid w:val="00490707"/>
    <w:rsid w:val="00490815"/>
    <w:rsid w:val="0049117E"/>
    <w:rsid w:val="00492503"/>
    <w:rsid w:val="004925C8"/>
    <w:rsid w:val="00492AF9"/>
    <w:rsid w:val="00492B76"/>
    <w:rsid w:val="0049333E"/>
    <w:rsid w:val="00493E9A"/>
    <w:rsid w:val="0049418F"/>
    <w:rsid w:val="0049570D"/>
    <w:rsid w:val="00495C48"/>
    <w:rsid w:val="00495DC6"/>
    <w:rsid w:val="00496CCE"/>
    <w:rsid w:val="004978C1"/>
    <w:rsid w:val="00497AAD"/>
    <w:rsid w:val="00497BD7"/>
    <w:rsid w:val="00497D1A"/>
    <w:rsid w:val="004A00C9"/>
    <w:rsid w:val="004A03D0"/>
    <w:rsid w:val="004A1049"/>
    <w:rsid w:val="004A1309"/>
    <w:rsid w:val="004A1AFA"/>
    <w:rsid w:val="004A1EA7"/>
    <w:rsid w:val="004A26F5"/>
    <w:rsid w:val="004A2CCC"/>
    <w:rsid w:val="004A2EF8"/>
    <w:rsid w:val="004A3629"/>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48A"/>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2E7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1F3F"/>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3B6"/>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80C"/>
    <w:rsid w:val="00525AD8"/>
    <w:rsid w:val="00526429"/>
    <w:rsid w:val="005266C1"/>
    <w:rsid w:val="005267F4"/>
    <w:rsid w:val="005269D3"/>
    <w:rsid w:val="00527317"/>
    <w:rsid w:val="00527ED6"/>
    <w:rsid w:val="0053024F"/>
    <w:rsid w:val="00531064"/>
    <w:rsid w:val="005312CB"/>
    <w:rsid w:val="005313B2"/>
    <w:rsid w:val="005317CE"/>
    <w:rsid w:val="00531911"/>
    <w:rsid w:val="00531E92"/>
    <w:rsid w:val="005324D7"/>
    <w:rsid w:val="005326F0"/>
    <w:rsid w:val="00532764"/>
    <w:rsid w:val="00532988"/>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956"/>
    <w:rsid w:val="00545ACB"/>
    <w:rsid w:val="00545DB9"/>
    <w:rsid w:val="005462ED"/>
    <w:rsid w:val="00546585"/>
    <w:rsid w:val="00546703"/>
    <w:rsid w:val="0054680A"/>
    <w:rsid w:val="005469A4"/>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2ED8"/>
    <w:rsid w:val="00592FEA"/>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6F8E"/>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23"/>
    <w:rsid w:val="00602DAD"/>
    <w:rsid w:val="006030D3"/>
    <w:rsid w:val="00603373"/>
    <w:rsid w:val="006036D0"/>
    <w:rsid w:val="00603B1C"/>
    <w:rsid w:val="006042CD"/>
    <w:rsid w:val="00605217"/>
    <w:rsid w:val="006054A5"/>
    <w:rsid w:val="006059E4"/>
    <w:rsid w:val="00605D60"/>
    <w:rsid w:val="006062A0"/>
    <w:rsid w:val="00606D30"/>
    <w:rsid w:val="00607015"/>
    <w:rsid w:val="00610597"/>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27A"/>
    <w:rsid w:val="00627B14"/>
    <w:rsid w:val="0063001E"/>
    <w:rsid w:val="00630023"/>
    <w:rsid w:val="006308EE"/>
    <w:rsid w:val="00630C70"/>
    <w:rsid w:val="00630D67"/>
    <w:rsid w:val="00631005"/>
    <w:rsid w:val="00631C79"/>
    <w:rsid w:val="00631E10"/>
    <w:rsid w:val="00632727"/>
    <w:rsid w:val="0063283D"/>
    <w:rsid w:val="00633769"/>
    <w:rsid w:val="00633FE3"/>
    <w:rsid w:val="00634276"/>
    <w:rsid w:val="00634570"/>
    <w:rsid w:val="0063487C"/>
    <w:rsid w:val="00634CE6"/>
    <w:rsid w:val="006359AB"/>
    <w:rsid w:val="00635B73"/>
    <w:rsid w:val="00635BB7"/>
    <w:rsid w:val="00636888"/>
    <w:rsid w:val="00636CC7"/>
    <w:rsid w:val="00637F27"/>
    <w:rsid w:val="006405EC"/>
    <w:rsid w:val="00640A4D"/>
    <w:rsid w:val="006418F2"/>
    <w:rsid w:val="00641A84"/>
    <w:rsid w:val="00641B05"/>
    <w:rsid w:val="00641DA1"/>
    <w:rsid w:val="00641E5B"/>
    <w:rsid w:val="00641E96"/>
    <w:rsid w:val="00642C69"/>
    <w:rsid w:val="0064330A"/>
    <w:rsid w:val="00643F89"/>
    <w:rsid w:val="00644334"/>
    <w:rsid w:val="0064487C"/>
    <w:rsid w:val="00644BED"/>
    <w:rsid w:val="00644E2E"/>
    <w:rsid w:val="00645A3A"/>
    <w:rsid w:val="00645B87"/>
    <w:rsid w:val="00645CB4"/>
    <w:rsid w:val="00646084"/>
    <w:rsid w:val="006468ED"/>
    <w:rsid w:val="00646E9D"/>
    <w:rsid w:val="00647664"/>
    <w:rsid w:val="00650D19"/>
    <w:rsid w:val="006526BE"/>
    <w:rsid w:val="00652CF5"/>
    <w:rsid w:val="00652F6C"/>
    <w:rsid w:val="0065343E"/>
    <w:rsid w:val="00653548"/>
    <w:rsid w:val="006536BB"/>
    <w:rsid w:val="0065398F"/>
    <w:rsid w:val="00653C7C"/>
    <w:rsid w:val="00654252"/>
    <w:rsid w:val="006543B7"/>
    <w:rsid w:val="006543C3"/>
    <w:rsid w:val="00654EA5"/>
    <w:rsid w:val="006552CC"/>
    <w:rsid w:val="0065587E"/>
    <w:rsid w:val="006558CD"/>
    <w:rsid w:val="00655C26"/>
    <w:rsid w:val="0065637A"/>
    <w:rsid w:val="00656998"/>
    <w:rsid w:val="00656E4D"/>
    <w:rsid w:val="006576BA"/>
    <w:rsid w:val="006600BF"/>
    <w:rsid w:val="00660AF7"/>
    <w:rsid w:val="00660D3E"/>
    <w:rsid w:val="00661691"/>
    <w:rsid w:val="00662D3D"/>
    <w:rsid w:val="00662F1F"/>
    <w:rsid w:val="0066341D"/>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10F"/>
    <w:rsid w:val="00684592"/>
    <w:rsid w:val="00684963"/>
    <w:rsid w:val="00685033"/>
    <w:rsid w:val="0068517F"/>
    <w:rsid w:val="00685D65"/>
    <w:rsid w:val="00685FC8"/>
    <w:rsid w:val="00686E80"/>
    <w:rsid w:val="0068790B"/>
    <w:rsid w:val="00687AF2"/>
    <w:rsid w:val="006901AC"/>
    <w:rsid w:val="0069089E"/>
    <w:rsid w:val="00690C8D"/>
    <w:rsid w:val="00691890"/>
    <w:rsid w:val="00691AAD"/>
    <w:rsid w:val="00692416"/>
    <w:rsid w:val="00692AFF"/>
    <w:rsid w:val="00692D2D"/>
    <w:rsid w:val="00693B73"/>
    <w:rsid w:val="00693FF7"/>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6D60"/>
    <w:rsid w:val="006A7C29"/>
    <w:rsid w:val="006A7D46"/>
    <w:rsid w:val="006B0580"/>
    <w:rsid w:val="006B0DA2"/>
    <w:rsid w:val="006B0F70"/>
    <w:rsid w:val="006B1486"/>
    <w:rsid w:val="006B169F"/>
    <w:rsid w:val="006B1BEB"/>
    <w:rsid w:val="006B1D06"/>
    <w:rsid w:val="006B2506"/>
    <w:rsid w:val="006B2823"/>
    <w:rsid w:val="006B29DC"/>
    <w:rsid w:val="006B2E37"/>
    <w:rsid w:val="006B2F60"/>
    <w:rsid w:val="006B2FD6"/>
    <w:rsid w:val="006B33DB"/>
    <w:rsid w:val="006B33DD"/>
    <w:rsid w:val="006B362A"/>
    <w:rsid w:val="006B3669"/>
    <w:rsid w:val="006B36E5"/>
    <w:rsid w:val="006B3D00"/>
    <w:rsid w:val="006B4CF8"/>
    <w:rsid w:val="006B506B"/>
    <w:rsid w:val="006B54E8"/>
    <w:rsid w:val="006B5FBC"/>
    <w:rsid w:val="006B6ED2"/>
    <w:rsid w:val="006B7F74"/>
    <w:rsid w:val="006C0230"/>
    <w:rsid w:val="006C05C7"/>
    <w:rsid w:val="006C09F2"/>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59C9"/>
    <w:rsid w:val="006E727B"/>
    <w:rsid w:val="006E76C8"/>
    <w:rsid w:val="006E7A92"/>
    <w:rsid w:val="006F01FF"/>
    <w:rsid w:val="006F0CB2"/>
    <w:rsid w:val="006F0F75"/>
    <w:rsid w:val="006F1493"/>
    <w:rsid w:val="006F1911"/>
    <w:rsid w:val="006F1DE9"/>
    <w:rsid w:val="006F2046"/>
    <w:rsid w:val="006F2F59"/>
    <w:rsid w:val="006F311E"/>
    <w:rsid w:val="006F3442"/>
    <w:rsid w:val="006F36A5"/>
    <w:rsid w:val="006F3FC9"/>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A84"/>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49"/>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BD3"/>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6CF"/>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2DF"/>
    <w:rsid w:val="00780636"/>
    <w:rsid w:val="00780E86"/>
    <w:rsid w:val="0078108C"/>
    <w:rsid w:val="00781727"/>
    <w:rsid w:val="007823E8"/>
    <w:rsid w:val="00782CF3"/>
    <w:rsid w:val="00783959"/>
    <w:rsid w:val="00783BA5"/>
    <w:rsid w:val="007844A9"/>
    <w:rsid w:val="00785091"/>
    <w:rsid w:val="0078622B"/>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3F1C"/>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1B"/>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0F7"/>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5DC"/>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79C"/>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606"/>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4F"/>
    <w:rsid w:val="0085237B"/>
    <w:rsid w:val="00852FA5"/>
    <w:rsid w:val="00853525"/>
    <w:rsid w:val="00853864"/>
    <w:rsid w:val="00853F7D"/>
    <w:rsid w:val="0085517F"/>
    <w:rsid w:val="0085562D"/>
    <w:rsid w:val="00855A78"/>
    <w:rsid w:val="00856154"/>
    <w:rsid w:val="00856286"/>
    <w:rsid w:val="0085657E"/>
    <w:rsid w:val="00856F0E"/>
    <w:rsid w:val="008573AF"/>
    <w:rsid w:val="008576B0"/>
    <w:rsid w:val="00857EF6"/>
    <w:rsid w:val="00860296"/>
    <w:rsid w:val="008602E3"/>
    <w:rsid w:val="00860DA4"/>
    <w:rsid w:val="00861146"/>
    <w:rsid w:val="00861948"/>
    <w:rsid w:val="00862011"/>
    <w:rsid w:val="00862A15"/>
    <w:rsid w:val="00862CC9"/>
    <w:rsid w:val="00862D8E"/>
    <w:rsid w:val="00862EF2"/>
    <w:rsid w:val="00863059"/>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4D7D"/>
    <w:rsid w:val="00875542"/>
    <w:rsid w:val="00875E14"/>
    <w:rsid w:val="0087677E"/>
    <w:rsid w:val="0087712C"/>
    <w:rsid w:val="008776E7"/>
    <w:rsid w:val="00877746"/>
    <w:rsid w:val="00877C5D"/>
    <w:rsid w:val="00880354"/>
    <w:rsid w:val="0088093C"/>
    <w:rsid w:val="00880BC0"/>
    <w:rsid w:val="00880F7D"/>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A43"/>
    <w:rsid w:val="008A5F2F"/>
    <w:rsid w:val="008A6BAE"/>
    <w:rsid w:val="008A7350"/>
    <w:rsid w:val="008A7A72"/>
    <w:rsid w:val="008B09F3"/>
    <w:rsid w:val="008B111A"/>
    <w:rsid w:val="008B16E6"/>
    <w:rsid w:val="008B1AB2"/>
    <w:rsid w:val="008B1D9B"/>
    <w:rsid w:val="008B2042"/>
    <w:rsid w:val="008B25F1"/>
    <w:rsid w:val="008B2664"/>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3AA6"/>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2C4B"/>
    <w:rsid w:val="009141F2"/>
    <w:rsid w:val="0091472C"/>
    <w:rsid w:val="00914DC9"/>
    <w:rsid w:val="00914F9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86"/>
    <w:rsid w:val="009261DB"/>
    <w:rsid w:val="00926939"/>
    <w:rsid w:val="00926F4C"/>
    <w:rsid w:val="00927330"/>
    <w:rsid w:val="00927710"/>
    <w:rsid w:val="009307CA"/>
    <w:rsid w:val="009312F9"/>
    <w:rsid w:val="00931445"/>
    <w:rsid w:val="00931AB8"/>
    <w:rsid w:val="00931C19"/>
    <w:rsid w:val="00931C63"/>
    <w:rsid w:val="00931D10"/>
    <w:rsid w:val="0093218A"/>
    <w:rsid w:val="00933613"/>
    <w:rsid w:val="0093386D"/>
    <w:rsid w:val="00934C8E"/>
    <w:rsid w:val="00935194"/>
    <w:rsid w:val="0093521B"/>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67009"/>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402"/>
    <w:rsid w:val="009A1ECA"/>
    <w:rsid w:val="009A1FED"/>
    <w:rsid w:val="009A2BE9"/>
    <w:rsid w:val="009A2BF3"/>
    <w:rsid w:val="009A3688"/>
    <w:rsid w:val="009A3713"/>
    <w:rsid w:val="009A3C3E"/>
    <w:rsid w:val="009A4153"/>
    <w:rsid w:val="009A4C2C"/>
    <w:rsid w:val="009A4E60"/>
    <w:rsid w:val="009A59B3"/>
    <w:rsid w:val="009A5FAE"/>
    <w:rsid w:val="009A6B3A"/>
    <w:rsid w:val="009A6B4A"/>
    <w:rsid w:val="009A6DF5"/>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5D"/>
    <w:rsid w:val="009C10DA"/>
    <w:rsid w:val="009C19FC"/>
    <w:rsid w:val="009C27F7"/>
    <w:rsid w:val="009C2974"/>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1C20"/>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190"/>
    <w:rsid w:val="00A249D2"/>
    <w:rsid w:val="00A254AB"/>
    <w:rsid w:val="00A259F2"/>
    <w:rsid w:val="00A266CC"/>
    <w:rsid w:val="00A26DB4"/>
    <w:rsid w:val="00A27425"/>
    <w:rsid w:val="00A3023E"/>
    <w:rsid w:val="00A305C5"/>
    <w:rsid w:val="00A30919"/>
    <w:rsid w:val="00A31F05"/>
    <w:rsid w:val="00A31FD2"/>
    <w:rsid w:val="00A33AFD"/>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BA0"/>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BBB"/>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7D6"/>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2ECB"/>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DA9"/>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2C20"/>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542"/>
    <w:rsid w:val="00B038F1"/>
    <w:rsid w:val="00B03C1B"/>
    <w:rsid w:val="00B04678"/>
    <w:rsid w:val="00B047C9"/>
    <w:rsid w:val="00B04A04"/>
    <w:rsid w:val="00B04B78"/>
    <w:rsid w:val="00B04C37"/>
    <w:rsid w:val="00B04F00"/>
    <w:rsid w:val="00B05BA6"/>
    <w:rsid w:val="00B066FE"/>
    <w:rsid w:val="00B06912"/>
    <w:rsid w:val="00B06A85"/>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17A12"/>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1B8"/>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5E0C"/>
    <w:rsid w:val="00B86289"/>
    <w:rsid w:val="00B863B3"/>
    <w:rsid w:val="00B8647C"/>
    <w:rsid w:val="00B869D3"/>
    <w:rsid w:val="00B86CF8"/>
    <w:rsid w:val="00B86E44"/>
    <w:rsid w:val="00B87359"/>
    <w:rsid w:val="00B87F1C"/>
    <w:rsid w:val="00B90D8D"/>
    <w:rsid w:val="00B91263"/>
    <w:rsid w:val="00B9164F"/>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691"/>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110"/>
    <w:rsid w:val="00BB36C9"/>
    <w:rsid w:val="00BB3974"/>
    <w:rsid w:val="00BB3A66"/>
    <w:rsid w:val="00BB40D1"/>
    <w:rsid w:val="00BB6D85"/>
    <w:rsid w:val="00BB777D"/>
    <w:rsid w:val="00BB7EC0"/>
    <w:rsid w:val="00BB7F88"/>
    <w:rsid w:val="00BC0207"/>
    <w:rsid w:val="00BC089F"/>
    <w:rsid w:val="00BC0A0C"/>
    <w:rsid w:val="00BC0A5A"/>
    <w:rsid w:val="00BC0E64"/>
    <w:rsid w:val="00BC1333"/>
    <w:rsid w:val="00BC25D1"/>
    <w:rsid w:val="00BC2DBD"/>
    <w:rsid w:val="00BC3BCB"/>
    <w:rsid w:val="00BC3CF1"/>
    <w:rsid w:val="00BC4202"/>
    <w:rsid w:val="00BC428A"/>
    <w:rsid w:val="00BC4C40"/>
    <w:rsid w:val="00BC5A29"/>
    <w:rsid w:val="00BC5AE3"/>
    <w:rsid w:val="00BC5BAD"/>
    <w:rsid w:val="00BC6414"/>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617"/>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3776"/>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57706"/>
    <w:rsid w:val="00C60B61"/>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AF4"/>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42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47B"/>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35D"/>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6F9"/>
    <w:rsid w:val="00D42B0C"/>
    <w:rsid w:val="00D42D6E"/>
    <w:rsid w:val="00D43DEF"/>
    <w:rsid w:val="00D43E0C"/>
    <w:rsid w:val="00D44259"/>
    <w:rsid w:val="00D45C61"/>
    <w:rsid w:val="00D45DDC"/>
    <w:rsid w:val="00D5064C"/>
    <w:rsid w:val="00D50C94"/>
    <w:rsid w:val="00D511E7"/>
    <w:rsid w:val="00D51372"/>
    <w:rsid w:val="00D517ED"/>
    <w:rsid w:val="00D5251C"/>
    <w:rsid w:val="00D52F56"/>
    <w:rsid w:val="00D539DA"/>
    <w:rsid w:val="00D54330"/>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8D9"/>
    <w:rsid w:val="00D77AF6"/>
    <w:rsid w:val="00D804C5"/>
    <w:rsid w:val="00D815E6"/>
    <w:rsid w:val="00D81A28"/>
    <w:rsid w:val="00D81A97"/>
    <w:rsid w:val="00D81BDE"/>
    <w:rsid w:val="00D8201D"/>
    <w:rsid w:val="00D82B00"/>
    <w:rsid w:val="00D82B04"/>
    <w:rsid w:val="00D82BE4"/>
    <w:rsid w:val="00D82E05"/>
    <w:rsid w:val="00D83C0D"/>
    <w:rsid w:val="00D83C80"/>
    <w:rsid w:val="00D83F5B"/>
    <w:rsid w:val="00D85FDE"/>
    <w:rsid w:val="00D8665E"/>
    <w:rsid w:val="00D867B2"/>
    <w:rsid w:val="00D869C1"/>
    <w:rsid w:val="00D86EC6"/>
    <w:rsid w:val="00D87418"/>
    <w:rsid w:val="00D87A39"/>
    <w:rsid w:val="00D87FE6"/>
    <w:rsid w:val="00D90851"/>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49"/>
    <w:rsid w:val="00DB6F96"/>
    <w:rsid w:val="00DB71B9"/>
    <w:rsid w:val="00DB733F"/>
    <w:rsid w:val="00DB7662"/>
    <w:rsid w:val="00DB7E46"/>
    <w:rsid w:val="00DC0DF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6BA3"/>
    <w:rsid w:val="00DC7608"/>
    <w:rsid w:val="00DC761E"/>
    <w:rsid w:val="00DC7B3B"/>
    <w:rsid w:val="00DC7CFC"/>
    <w:rsid w:val="00DD09F2"/>
    <w:rsid w:val="00DD0DEE"/>
    <w:rsid w:val="00DD1205"/>
    <w:rsid w:val="00DD1633"/>
    <w:rsid w:val="00DD17A0"/>
    <w:rsid w:val="00DD1B97"/>
    <w:rsid w:val="00DD2831"/>
    <w:rsid w:val="00DD2A6D"/>
    <w:rsid w:val="00DD2E17"/>
    <w:rsid w:val="00DD2FE4"/>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DF7B39"/>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562"/>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6F22"/>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5D3"/>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4A3B"/>
    <w:rsid w:val="00EB54AB"/>
    <w:rsid w:val="00EB5774"/>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102"/>
    <w:rsid w:val="00EF0CA6"/>
    <w:rsid w:val="00EF0D4B"/>
    <w:rsid w:val="00EF0FE6"/>
    <w:rsid w:val="00EF1130"/>
    <w:rsid w:val="00EF1432"/>
    <w:rsid w:val="00EF1511"/>
    <w:rsid w:val="00EF1F01"/>
    <w:rsid w:val="00EF2C39"/>
    <w:rsid w:val="00EF2C5F"/>
    <w:rsid w:val="00EF3811"/>
    <w:rsid w:val="00EF3AC4"/>
    <w:rsid w:val="00EF3FF9"/>
    <w:rsid w:val="00EF41AF"/>
    <w:rsid w:val="00EF44CB"/>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07B5A"/>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8AB"/>
    <w:rsid w:val="00F37C99"/>
    <w:rsid w:val="00F37FCC"/>
    <w:rsid w:val="00F419B8"/>
    <w:rsid w:val="00F41C0F"/>
    <w:rsid w:val="00F42856"/>
    <w:rsid w:val="00F42ED7"/>
    <w:rsid w:val="00F43777"/>
    <w:rsid w:val="00F4482B"/>
    <w:rsid w:val="00F44F02"/>
    <w:rsid w:val="00F45039"/>
    <w:rsid w:val="00F4526B"/>
    <w:rsid w:val="00F45298"/>
    <w:rsid w:val="00F455A2"/>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663"/>
    <w:rsid w:val="00F65BA9"/>
    <w:rsid w:val="00F65BC8"/>
    <w:rsid w:val="00F65EEA"/>
    <w:rsid w:val="00F66205"/>
    <w:rsid w:val="00F6630F"/>
    <w:rsid w:val="00F66419"/>
    <w:rsid w:val="00F67079"/>
    <w:rsid w:val="00F67B58"/>
    <w:rsid w:val="00F67E81"/>
    <w:rsid w:val="00F7022F"/>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82"/>
    <w:rsid w:val="00F83EC7"/>
    <w:rsid w:val="00F8421D"/>
    <w:rsid w:val="00F85325"/>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4AAE"/>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5D03"/>
    <w:rsid w:val="00FE6870"/>
    <w:rsid w:val="00FE713E"/>
    <w:rsid w:val="00FE7877"/>
    <w:rsid w:val="00FE7DD1"/>
    <w:rsid w:val="00FF0B4F"/>
    <w:rsid w:val="00FF0F58"/>
    <w:rsid w:val="00FF183C"/>
    <w:rsid w:val="00FF1A06"/>
    <w:rsid w:val="00FF1AD3"/>
    <w:rsid w:val="00FF1B46"/>
    <w:rsid w:val="00FF219D"/>
    <w:rsid w:val="00FF2A52"/>
    <w:rsid w:val="00FF2A7B"/>
    <w:rsid w:val="00FF2DF3"/>
    <w:rsid w:val="00FF3D2B"/>
    <w:rsid w:val="00FF49B4"/>
    <w:rsid w:val="00FF49F4"/>
    <w:rsid w:val="00FF5C6A"/>
    <w:rsid w:val="00FF651D"/>
    <w:rsid w:val="00FF6843"/>
    <w:rsid w:val="00FF6C25"/>
    <w:rsid w:val="00FF7757"/>
    <w:rsid w:val="010651D9"/>
    <w:rsid w:val="011F6449"/>
    <w:rsid w:val="01236AFB"/>
    <w:rsid w:val="019F7441"/>
    <w:rsid w:val="01B37585"/>
    <w:rsid w:val="01D55165"/>
    <w:rsid w:val="01DF6BF8"/>
    <w:rsid w:val="01EC2C57"/>
    <w:rsid w:val="025F0711"/>
    <w:rsid w:val="026B2E25"/>
    <w:rsid w:val="02824D4D"/>
    <w:rsid w:val="02B50415"/>
    <w:rsid w:val="02DC4B10"/>
    <w:rsid w:val="02DD76CE"/>
    <w:rsid w:val="02F36323"/>
    <w:rsid w:val="02F5619C"/>
    <w:rsid w:val="0326446A"/>
    <w:rsid w:val="032D5555"/>
    <w:rsid w:val="03537341"/>
    <w:rsid w:val="036634D2"/>
    <w:rsid w:val="03DD35E4"/>
    <w:rsid w:val="04076900"/>
    <w:rsid w:val="041A5A3B"/>
    <w:rsid w:val="042311BA"/>
    <w:rsid w:val="042B157A"/>
    <w:rsid w:val="048F763B"/>
    <w:rsid w:val="049F330E"/>
    <w:rsid w:val="04AA775C"/>
    <w:rsid w:val="04AF1889"/>
    <w:rsid w:val="04BA5BC7"/>
    <w:rsid w:val="04F66F48"/>
    <w:rsid w:val="05251E14"/>
    <w:rsid w:val="05462EFF"/>
    <w:rsid w:val="055B1181"/>
    <w:rsid w:val="05A16594"/>
    <w:rsid w:val="05A7762D"/>
    <w:rsid w:val="05E25CD6"/>
    <w:rsid w:val="05FF54DC"/>
    <w:rsid w:val="060E5941"/>
    <w:rsid w:val="06110FAF"/>
    <w:rsid w:val="06402896"/>
    <w:rsid w:val="06493CA7"/>
    <w:rsid w:val="065A6178"/>
    <w:rsid w:val="066F1CF3"/>
    <w:rsid w:val="06930BB8"/>
    <w:rsid w:val="06AB60C8"/>
    <w:rsid w:val="07245D42"/>
    <w:rsid w:val="07264C62"/>
    <w:rsid w:val="0779354C"/>
    <w:rsid w:val="08061376"/>
    <w:rsid w:val="08452D77"/>
    <w:rsid w:val="086401F8"/>
    <w:rsid w:val="08751CAA"/>
    <w:rsid w:val="087E4C40"/>
    <w:rsid w:val="08A871D0"/>
    <w:rsid w:val="08D66AD6"/>
    <w:rsid w:val="08DA33A3"/>
    <w:rsid w:val="08E80F13"/>
    <w:rsid w:val="08F37ADF"/>
    <w:rsid w:val="09335624"/>
    <w:rsid w:val="0944690F"/>
    <w:rsid w:val="09535675"/>
    <w:rsid w:val="095F057D"/>
    <w:rsid w:val="09642282"/>
    <w:rsid w:val="09733572"/>
    <w:rsid w:val="09772C16"/>
    <w:rsid w:val="098353B5"/>
    <w:rsid w:val="09A6526C"/>
    <w:rsid w:val="09A92330"/>
    <w:rsid w:val="09B06B87"/>
    <w:rsid w:val="09C13146"/>
    <w:rsid w:val="09D52F1F"/>
    <w:rsid w:val="09E04166"/>
    <w:rsid w:val="0A1C0718"/>
    <w:rsid w:val="0A3E7710"/>
    <w:rsid w:val="0A5B7E63"/>
    <w:rsid w:val="0A5C7633"/>
    <w:rsid w:val="0AA374A5"/>
    <w:rsid w:val="0AAB7649"/>
    <w:rsid w:val="0ABC5606"/>
    <w:rsid w:val="0B30404E"/>
    <w:rsid w:val="0B4C6C14"/>
    <w:rsid w:val="0B547599"/>
    <w:rsid w:val="0B631A88"/>
    <w:rsid w:val="0B683D45"/>
    <w:rsid w:val="0B7E44E2"/>
    <w:rsid w:val="0B7F3F11"/>
    <w:rsid w:val="0B884417"/>
    <w:rsid w:val="0B9730BE"/>
    <w:rsid w:val="0B973B7F"/>
    <w:rsid w:val="0BF6188C"/>
    <w:rsid w:val="0BF73C91"/>
    <w:rsid w:val="0C170175"/>
    <w:rsid w:val="0C571A41"/>
    <w:rsid w:val="0C5C1171"/>
    <w:rsid w:val="0C5E1CBC"/>
    <w:rsid w:val="0C615B50"/>
    <w:rsid w:val="0C8445DA"/>
    <w:rsid w:val="0C87121B"/>
    <w:rsid w:val="0CC007F7"/>
    <w:rsid w:val="0CC617AC"/>
    <w:rsid w:val="0CCB6973"/>
    <w:rsid w:val="0CE618DF"/>
    <w:rsid w:val="0CFE707A"/>
    <w:rsid w:val="0D063BDA"/>
    <w:rsid w:val="0D08375F"/>
    <w:rsid w:val="0D184CFB"/>
    <w:rsid w:val="0D4A7419"/>
    <w:rsid w:val="0D65264E"/>
    <w:rsid w:val="0D827401"/>
    <w:rsid w:val="0D84094E"/>
    <w:rsid w:val="0D8A00E9"/>
    <w:rsid w:val="0D8D589E"/>
    <w:rsid w:val="0DA01C73"/>
    <w:rsid w:val="0DD63300"/>
    <w:rsid w:val="0DF35478"/>
    <w:rsid w:val="0DF50604"/>
    <w:rsid w:val="0DF702FE"/>
    <w:rsid w:val="0E060E51"/>
    <w:rsid w:val="0E5604B2"/>
    <w:rsid w:val="0E6D5D79"/>
    <w:rsid w:val="0E976173"/>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65CF3"/>
    <w:rsid w:val="154A6454"/>
    <w:rsid w:val="15762120"/>
    <w:rsid w:val="16A8729C"/>
    <w:rsid w:val="16B33777"/>
    <w:rsid w:val="16BC70A7"/>
    <w:rsid w:val="16C6339E"/>
    <w:rsid w:val="172D2B29"/>
    <w:rsid w:val="172E3542"/>
    <w:rsid w:val="172F2D79"/>
    <w:rsid w:val="17557BEF"/>
    <w:rsid w:val="17D349C1"/>
    <w:rsid w:val="1830729E"/>
    <w:rsid w:val="1870062C"/>
    <w:rsid w:val="18817102"/>
    <w:rsid w:val="18830A15"/>
    <w:rsid w:val="18852B28"/>
    <w:rsid w:val="188B5321"/>
    <w:rsid w:val="197F74D6"/>
    <w:rsid w:val="19932372"/>
    <w:rsid w:val="19A20DD5"/>
    <w:rsid w:val="19AE03F1"/>
    <w:rsid w:val="19DA3FFF"/>
    <w:rsid w:val="1A071A03"/>
    <w:rsid w:val="1A1F16AE"/>
    <w:rsid w:val="1A2C6B54"/>
    <w:rsid w:val="1A3B5C77"/>
    <w:rsid w:val="1A984BAD"/>
    <w:rsid w:val="1AB8220E"/>
    <w:rsid w:val="1AE4166C"/>
    <w:rsid w:val="1AF06CFB"/>
    <w:rsid w:val="1AF11B8D"/>
    <w:rsid w:val="1B11359C"/>
    <w:rsid w:val="1B19589E"/>
    <w:rsid w:val="1B2A271F"/>
    <w:rsid w:val="1B530544"/>
    <w:rsid w:val="1B713184"/>
    <w:rsid w:val="1BA209CF"/>
    <w:rsid w:val="1BB4777D"/>
    <w:rsid w:val="1BD75AB8"/>
    <w:rsid w:val="1C0459C2"/>
    <w:rsid w:val="1C160766"/>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EE77D56"/>
    <w:rsid w:val="1F0A0FF3"/>
    <w:rsid w:val="1F5771FF"/>
    <w:rsid w:val="1FA405E6"/>
    <w:rsid w:val="1FD52DD5"/>
    <w:rsid w:val="1FE868A9"/>
    <w:rsid w:val="20034907"/>
    <w:rsid w:val="20173E4B"/>
    <w:rsid w:val="204607B7"/>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814DB"/>
    <w:rsid w:val="22BE6801"/>
    <w:rsid w:val="233500BF"/>
    <w:rsid w:val="23377FF7"/>
    <w:rsid w:val="236B425F"/>
    <w:rsid w:val="237B69CA"/>
    <w:rsid w:val="23836192"/>
    <w:rsid w:val="23901F29"/>
    <w:rsid w:val="239C0061"/>
    <w:rsid w:val="23B908A4"/>
    <w:rsid w:val="23D31D8F"/>
    <w:rsid w:val="23E95BEF"/>
    <w:rsid w:val="23FD0064"/>
    <w:rsid w:val="24341072"/>
    <w:rsid w:val="245375B0"/>
    <w:rsid w:val="24573806"/>
    <w:rsid w:val="24642C0A"/>
    <w:rsid w:val="24B22173"/>
    <w:rsid w:val="24B95AD9"/>
    <w:rsid w:val="24BE24DA"/>
    <w:rsid w:val="24CF5825"/>
    <w:rsid w:val="24D663E6"/>
    <w:rsid w:val="24D77F2B"/>
    <w:rsid w:val="25547DCE"/>
    <w:rsid w:val="258B00E2"/>
    <w:rsid w:val="25A917A6"/>
    <w:rsid w:val="25BE27CC"/>
    <w:rsid w:val="25EC4515"/>
    <w:rsid w:val="25F74A5C"/>
    <w:rsid w:val="2628662C"/>
    <w:rsid w:val="262D45DE"/>
    <w:rsid w:val="26871DC8"/>
    <w:rsid w:val="26A53EF9"/>
    <w:rsid w:val="26A94201"/>
    <w:rsid w:val="26AC274F"/>
    <w:rsid w:val="26DD1E76"/>
    <w:rsid w:val="27044A29"/>
    <w:rsid w:val="271D34C8"/>
    <w:rsid w:val="276142BF"/>
    <w:rsid w:val="27783712"/>
    <w:rsid w:val="27907362"/>
    <w:rsid w:val="28333E1D"/>
    <w:rsid w:val="28454BD6"/>
    <w:rsid w:val="28455253"/>
    <w:rsid w:val="28551971"/>
    <w:rsid w:val="285856AF"/>
    <w:rsid w:val="285B1C53"/>
    <w:rsid w:val="289F7086"/>
    <w:rsid w:val="28C32028"/>
    <w:rsid w:val="28CC490F"/>
    <w:rsid w:val="28DE0127"/>
    <w:rsid w:val="28DE40AA"/>
    <w:rsid w:val="28E673FB"/>
    <w:rsid w:val="28E868B0"/>
    <w:rsid w:val="29345E77"/>
    <w:rsid w:val="294C65AD"/>
    <w:rsid w:val="29806583"/>
    <w:rsid w:val="298B3C4C"/>
    <w:rsid w:val="29F26D24"/>
    <w:rsid w:val="2A15033F"/>
    <w:rsid w:val="2A1662C1"/>
    <w:rsid w:val="2A1C7367"/>
    <w:rsid w:val="2A2815FA"/>
    <w:rsid w:val="2A2D5B29"/>
    <w:rsid w:val="2A6D6092"/>
    <w:rsid w:val="2A7D76B4"/>
    <w:rsid w:val="2B437463"/>
    <w:rsid w:val="2B7807EE"/>
    <w:rsid w:val="2BA153F1"/>
    <w:rsid w:val="2BA50BF7"/>
    <w:rsid w:val="2BA60333"/>
    <w:rsid w:val="2BBF00EC"/>
    <w:rsid w:val="2BC37CFD"/>
    <w:rsid w:val="2BD5237F"/>
    <w:rsid w:val="2BE536CE"/>
    <w:rsid w:val="2BE758D9"/>
    <w:rsid w:val="2C09049E"/>
    <w:rsid w:val="2C0A653C"/>
    <w:rsid w:val="2C191F85"/>
    <w:rsid w:val="2CE82D6F"/>
    <w:rsid w:val="2D343236"/>
    <w:rsid w:val="2DBF5A82"/>
    <w:rsid w:val="2DD15014"/>
    <w:rsid w:val="2DF72DE4"/>
    <w:rsid w:val="2E0220AF"/>
    <w:rsid w:val="2E4B082A"/>
    <w:rsid w:val="2E5D4E86"/>
    <w:rsid w:val="2E5D790B"/>
    <w:rsid w:val="2E666BF4"/>
    <w:rsid w:val="2E9A3C18"/>
    <w:rsid w:val="2EBB0FEE"/>
    <w:rsid w:val="2EC63002"/>
    <w:rsid w:val="2F0A6B38"/>
    <w:rsid w:val="2F946CCB"/>
    <w:rsid w:val="2FD25781"/>
    <w:rsid w:val="2FDC745C"/>
    <w:rsid w:val="2FFD7934"/>
    <w:rsid w:val="30733ACD"/>
    <w:rsid w:val="308C3862"/>
    <w:rsid w:val="309379D8"/>
    <w:rsid w:val="30A270F7"/>
    <w:rsid w:val="30DF1478"/>
    <w:rsid w:val="30EC586F"/>
    <w:rsid w:val="313D6A2D"/>
    <w:rsid w:val="314550B7"/>
    <w:rsid w:val="319C6071"/>
    <w:rsid w:val="31AC537E"/>
    <w:rsid w:val="31BE4652"/>
    <w:rsid w:val="31E3679B"/>
    <w:rsid w:val="31E732FD"/>
    <w:rsid w:val="32517576"/>
    <w:rsid w:val="32BE5C2C"/>
    <w:rsid w:val="32EC14AA"/>
    <w:rsid w:val="32FB6478"/>
    <w:rsid w:val="33263B3F"/>
    <w:rsid w:val="33614CBD"/>
    <w:rsid w:val="336963EB"/>
    <w:rsid w:val="33816EEB"/>
    <w:rsid w:val="33CA618F"/>
    <w:rsid w:val="33EB55CD"/>
    <w:rsid w:val="33EC4C02"/>
    <w:rsid w:val="33F75A83"/>
    <w:rsid w:val="340D2360"/>
    <w:rsid w:val="3410665D"/>
    <w:rsid w:val="34211214"/>
    <w:rsid w:val="342E63AB"/>
    <w:rsid w:val="34950E68"/>
    <w:rsid w:val="34986E94"/>
    <w:rsid w:val="34AF62C9"/>
    <w:rsid w:val="34CB4388"/>
    <w:rsid w:val="34FA6E12"/>
    <w:rsid w:val="352E4C5F"/>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8A225D"/>
    <w:rsid w:val="38BC0149"/>
    <w:rsid w:val="38D87D1C"/>
    <w:rsid w:val="392133B0"/>
    <w:rsid w:val="39636459"/>
    <w:rsid w:val="396B7F6C"/>
    <w:rsid w:val="39B417A9"/>
    <w:rsid w:val="39FC5695"/>
    <w:rsid w:val="3A006D8E"/>
    <w:rsid w:val="3A3651E5"/>
    <w:rsid w:val="3A744481"/>
    <w:rsid w:val="3A8C7BEF"/>
    <w:rsid w:val="3A906246"/>
    <w:rsid w:val="3B2349B7"/>
    <w:rsid w:val="3B616CFF"/>
    <w:rsid w:val="3B6259F6"/>
    <w:rsid w:val="3B662D9F"/>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267A49"/>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8925A4"/>
    <w:rsid w:val="45C63B94"/>
    <w:rsid w:val="45F20916"/>
    <w:rsid w:val="460E7DA5"/>
    <w:rsid w:val="46422483"/>
    <w:rsid w:val="4659254A"/>
    <w:rsid w:val="465B0637"/>
    <w:rsid w:val="465E3F0D"/>
    <w:rsid w:val="466A16E6"/>
    <w:rsid w:val="46893F2B"/>
    <w:rsid w:val="46C4686E"/>
    <w:rsid w:val="477B778F"/>
    <w:rsid w:val="478203EC"/>
    <w:rsid w:val="47B025FA"/>
    <w:rsid w:val="4809698F"/>
    <w:rsid w:val="4811697D"/>
    <w:rsid w:val="483C39DF"/>
    <w:rsid w:val="483F49A5"/>
    <w:rsid w:val="487A3E25"/>
    <w:rsid w:val="488B5503"/>
    <w:rsid w:val="48937E21"/>
    <w:rsid w:val="489A0361"/>
    <w:rsid w:val="489E0D6C"/>
    <w:rsid w:val="48B94FF3"/>
    <w:rsid w:val="48E37AAB"/>
    <w:rsid w:val="48FD4B4C"/>
    <w:rsid w:val="490A68E0"/>
    <w:rsid w:val="491055FE"/>
    <w:rsid w:val="495F5B3E"/>
    <w:rsid w:val="496F77D7"/>
    <w:rsid w:val="497654FD"/>
    <w:rsid w:val="499D1F90"/>
    <w:rsid w:val="49B64211"/>
    <w:rsid w:val="49E56AF9"/>
    <w:rsid w:val="49F6167F"/>
    <w:rsid w:val="4A043C8E"/>
    <w:rsid w:val="4A064FA0"/>
    <w:rsid w:val="4A16615C"/>
    <w:rsid w:val="4A4424D7"/>
    <w:rsid w:val="4AB82D0F"/>
    <w:rsid w:val="4AEB7664"/>
    <w:rsid w:val="4AFD7C19"/>
    <w:rsid w:val="4B0567D1"/>
    <w:rsid w:val="4B236AAE"/>
    <w:rsid w:val="4B5D2B69"/>
    <w:rsid w:val="4B707271"/>
    <w:rsid w:val="4B9739F7"/>
    <w:rsid w:val="4B9761E7"/>
    <w:rsid w:val="4BEE2503"/>
    <w:rsid w:val="4C245A30"/>
    <w:rsid w:val="4C8E58D9"/>
    <w:rsid w:val="4CB6685F"/>
    <w:rsid w:val="4CC367FE"/>
    <w:rsid w:val="4CDA6A9C"/>
    <w:rsid w:val="4D077F3C"/>
    <w:rsid w:val="4D123355"/>
    <w:rsid w:val="4D1D0585"/>
    <w:rsid w:val="4D2A3B31"/>
    <w:rsid w:val="4D312C52"/>
    <w:rsid w:val="4D8847DF"/>
    <w:rsid w:val="4D905305"/>
    <w:rsid w:val="4D964A72"/>
    <w:rsid w:val="4D9C1254"/>
    <w:rsid w:val="4DE728E7"/>
    <w:rsid w:val="4E793892"/>
    <w:rsid w:val="4E800872"/>
    <w:rsid w:val="4EBF35DF"/>
    <w:rsid w:val="4EC569ED"/>
    <w:rsid w:val="4ED50EA1"/>
    <w:rsid w:val="4EEC050C"/>
    <w:rsid w:val="4F104EC3"/>
    <w:rsid w:val="4F47354A"/>
    <w:rsid w:val="4F5F3877"/>
    <w:rsid w:val="4F911C54"/>
    <w:rsid w:val="4FE625E0"/>
    <w:rsid w:val="4FF57980"/>
    <w:rsid w:val="5021480F"/>
    <w:rsid w:val="50656E8A"/>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750905"/>
    <w:rsid w:val="52977FD4"/>
    <w:rsid w:val="52A25790"/>
    <w:rsid w:val="52A96B6F"/>
    <w:rsid w:val="52B45975"/>
    <w:rsid w:val="52D94AA4"/>
    <w:rsid w:val="52EA3A62"/>
    <w:rsid w:val="52F50BB8"/>
    <w:rsid w:val="53097272"/>
    <w:rsid w:val="53544462"/>
    <w:rsid w:val="5397158E"/>
    <w:rsid w:val="54013861"/>
    <w:rsid w:val="5436719A"/>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6A47B0"/>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0665C"/>
    <w:rsid w:val="596D5BD4"/>
    <w:rsid w:val="597E3DD8"/>
    <w:rsid w:val="598245A6"/>
    <w:rsid w:val="59F80043"/>
    <w:rsid w:val="5A09252F"/>
    <w:rsid w:val="5A0B2778"/>
    <w:rsid w:val="5A2A7C7B"/>
    <w:rsid w:val="5A3E2560"/>
    <w:rsid w:val="5A5D3B6E"/>
    <w:rsid w:val="5A637A76"/>
    <w:rsid w:val="5A6D33BA"/>
    <w:rsid w:val="5A792B1F"/>
    <w:rsid w:val="5A874767"/>
    <w:rsid w:val="5AA85BE2"/>
    <w:rsid w:val="5AAD6F28"/>
    <w:rsid w:val="5AD63A24"/>
    <w:rsid w:val="5AF31688"/>
    <w:rsid w:val="5B2E1A1D"/>
    <w:rsid w:val="5B5419FF"/>
    <w:rsid w:val="5B843A1C"/>
    <w:rsid w:val="5B873E3F"/>
    <w:rsid w:val="5BA46FF0"/>
    <w:rsid w:val="5BD4669C"/>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34776C"/>
    <w:rsid w:val="5E472D79"/>
    <w:rsid w:val="5E4A7017"/>
    <w:rsid w:val="5E552BBA"/>
    <w:rsid w:val="5E611C10"/>
    <w:rsid w:val="5E7A0F3F"/>
    <w:rsid w:val="5EFC7377"/>
    <w:rsid w:val="5F06174D"/>
    <w:rsid w:val="5F081359"/>
    <w:rsid w:val="5F3A3602"/>
    <w:rsid w:val="5F45733B"/>
    <w:rsid w:val="5F6277C6"/>
    <w:rsid w:val="5F6D0B1D"/>
    <w:rsid w:val="5F8D0B82"/>
    <w:rsid w:val="5FBC03E9"/>
    <w:rsid w:val="5FCC5339"/>
    <w:rsid w:val="5FE34A5B"/>
    <w:rsid w:val="5FFE1E36"/>
    <w:rsid w:val="600A2E41"/>
    <w:rsid w:val="60232584"/>
    <w:rsid w:val="607330CE"/>
    <w:rsid w:val="60825176"/>
    <w:rsid w:val="609F2AC4"/>
    <w:rsid w:val="60A42DDE"/>
    <w:rsid w:val="60FA2EE8"/>
    <w:rsid w:val="61054A27"/>
    <w:rsid w:val="610A52BC"/>
    <w:rsid w:val="611D2366"/>
    <w:rsid w:val="61421856"/>
    <w:rsid w:val="615227C4"/>
    <w:rsid w:val="61654E3F"/>
    <w:rsid w:val="6182292A"/>
    <w:rsid w:val="619F7F92"/>
    <w:rsid w:val="61E71554"/>
    <w:rsid w:val="61F94C26"/>
    <w:rsid w:val="62000E56"/>
    <w:rsid w:val="623937F7"/>
    <w:rsid w:val="624F3E49"/>
    <w:rsid w:val="62632286"/>
    <w:rsid w:val="62885958"/>
    <w:rsid w:val="62F40B65"/>
    <w:rsid w:val="62FC2CFE"/>
    <w:rsid w:val="63024505"/>
    <w:rsid w:val="635600A5"/>
    <w:rsid w:val="635B1DB5"/>
    <w:rsid w:val="63711FED"/>
    <w:rsid w:val="63880DDC"/>
    <w:rsid w:val="638D750D"/>
    <w:rsid w:val="63AC6CC0"/>
    <w:rsid w:val="63F613E1"/>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6B5531C"/>
    <w:rsid w:val="67011F07"/>
    <w:rsid w:val="67114C48"/>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C0A9B"/>
    <w:rsid w:val="69FD55B8"/>
    <w:rsid w:val="6A0B1C62"/>
    <w:rsid w:val="6A2406C8"/>
    <w:rsid w:val="6A2904FB"/>
    <w:rsid w:val="6A503CD9"/>
    <w:rsid w:val="6ADE0BD1"/>
    <w:rsid w:val="6AE96859"/>
    <w:rsid w:val="6B147746"/>
    <w:rsid w:val="6B24787C"/>
    <w:rsid w:val="6B573233"/>
    <w:rsid w:val="6B5B6274"/>
    <w:rsid w:val="6B935D53"/>
    <w:rsid w:val="6C196F71"/>
    <w:rsid w:val="6C226FCB"/>
    <w:rsid w:val="6C31226F"/>
    <w:rsid w:val="6C552F0B"/>
    <w:rsid w:val="6C8C67B7"/>
    <w:rsid w:val="6C9D744C"/>
    <w:rsid w:val="6CDE7EDD"/>
    <w:rsid w:val="6D167928"/>
    <w:rsid w:val="6D26299B"/>
    <w:rsid w:val="6D4772EC"/>
    <w:rsid w:val="6D9078AF"/>
    <w:rsid w:val="6DAA3FEF"/>
    <w:rsid w:val="6DC0172B"/>
    <w:rsid w:val="6DCB690C"/>
    <w:rsid w:val="6DD41A5B"/>
    <w:rsid w:val="6DF43C2E"/>
    <w:rsid w:val="6DF51CA3"/>
    <w:rsid w:val="6E0C41BD"/>
    <w:rsid w:val="6E8335BD"/>
    <w:rsid w:val="6E8E12EF"/>
    <w:rsid w:val="6E972936"/>
    <w:rsid w:val="6ED446C5"/>
    <w:rsid w:val="6F2A7D94"/>
    <w:rsid w:val="6F8331F1"/>
    <w:rsid w:val="6FAE1A09"/>
    <w:rsid w:val="6FD75BF8"/>
    <w:rsid w:val="700A0487"/>
    <w:rsid w:val="707723D0"/>
    <w:rsid w:val="70B76ECA"/>
    <w:rsid w:val="70C92CA1"/>
    <w:rsid w:val="70F5661B"/>
    <w:rsid w:val="71360107"/>
    <w:rsid w:val="713B688E"/>
    <w:rsid w:val="71D43752"/>
    <w:rsid w:val="71F1796A"/>
    <w:rsid w:val="72154626"/>
    <w:rsid w:val="72262B5D"/>
    <w:rsid w:val="72283FF7"/>
    <w:rsid w:val="722E7212"/>
    <w:rsid w:val="723A0474"/>
    <w:rsid w:val="723B0DCB"/>
    <w:rsid w:val="725923E4"/>
    <w:rsid w:val="72864BF7"/>
    <w:rsid w:val="729023FC"/>
    <w:rsid w:val="73C0646E"/>
    <w:rsid w:val="742222F5"/>
    <w:rsid w:val="74476126"/>
    <w:rsid w:val="74706664"/>
    <w:rsid w:val="747F3682"/>
    <w:rsid w:val="749C4185"/>
    <w:rsid w:val="75067759"/>
    <w:rsid w:val="752E6DCD"/>
    <w:rsid w:val="7551380D"/>
    <w:rsid w:val="755D3A5D"/>
    <w:rsid w:val="75600BE5"/>
    <w:rsid w:val="7564475C"/>
    <w:rsid w:val="7583797F"/>
    <w:rsid w:val="75D20F1D"/>
    <w:rsid w:val="75DA2C18"/>
    <w:rsid w:val="75F54412"/>
    <w:rsid w:val="761D08E0"/>
    <w:rsid w:val="762124B6"/>
    <w:rsid w:val="765D347C"/>
    <w:rsid w:val="76826699"/>
    <w:rsid w:val="769C0E6E"/>
    <w:rsid w:val="76C87133"/>
    <w:rsid w:val="76CD08D5"/>
    <w:rsid w:val="76DB4B92"/>
    <w:rsid w:val="77052AA4"/>
    <w:rsid w:val="77136511"/>
    <w:rsid w:val="77340A39"/>
    <w:rsid w:val="77351FD0"/>
    <w:rsid w:val="77472422"/>
    <w:rsid w:val="777F31F2"/>
    <w:rsid w:val="77D1700D"/>
    <w:rsid w:val="77EC04CC"/>
    <w:rsid w:val="78531EA3"/>
    <w:rsid w:val="78775729"/>
    <w:rsid w:val="78A42DB0"/>
    <w:rsid w:val="78A656AB"/>
    <w:rsid w:val="78B2245C"/>
    <w:rsid w:val="78E172CC"/>
    <w:rsid w:val="78EA1D1F"/>
    <w:rsid w:val="7904172F"/>
    <w:rsid w:val="790F7E27"/>
    <w:rsid w:val="792A231A"/>
    <w:rsid w:val="79316829"/>
    <w:rsid w:val="797D616D"/>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832160"/>
    <w:rsid w:val="7E9A4E1F"/>
    <w:rsid w:val="7EA7723A"/>
    <w:rsid w:val="7EF56FBB"/>
    <w:rsid w:val="7F0768EB"/>
    <w:rsid w:val="7F143BEC"/>
    <w:rsid w:val="7F33EBA3"/>
    <w:rsid w:val="7F715AF2"/>
    <w:rsid w:val="7F886E69"/>
    <w:rsid w:val="BB7FA927"/>
    <w:rsid w:val="F5FFD31F"/>
    <w:rsid w:val="FFD9EAA7"/>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0"/>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unhideWhenUsed/>
    <w:qFormat/>
    <w:uiPriority w:val="1"/>
  </w:style>
  <w:style w:type="table" w:default="1" w:styleId="62">
    <w:name w:val="Normal Table"/>
    <w:autoRedefine/>
    <w:unhideWhenUsed/>
    <w:qFormat/>
    <w:uiPriority w:val="99"/>
    <w:tblPr>
      <w:tblCellMar>
        <w:top w:w="0" w:type="dxa"/>
        <w:left w:w="108" w:type="dxa"/>
        <w:bottom w:w="0" w:type="dxa"/>
        <w:right w:w="108" w:type="dxa"/>
      </w:tblCellMar>
    </w:tblPr>
  </w:style>
  <w:style w:type="paragraph" w:styleId="5">
    <w:name w:val="Normal Indent"/>
    <w:basedOn w:val="1"/>
    <w:link w:val="191"/>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7"/>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0"/>
    <w:autoRedefine/>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autoRedefine/>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toc 4"/>
    <w:basedOn w:val="1"/>
    <w:next w:val="1"/>
    <w:autoRedefine/>
    <w:qFormat/>
    <w:uiPriority w:val="0"/>
    <w:pPr>
      <w:ind w:left="1260" w:leftChars="600"/>
    </w:pPr>
  </w:style>
  <w:style w:type="paragraph" w:styleId="25">
    <w:name w:val="Body Text Indent"/>
    <w:basedOn w:val="1"/>
    <w:link w:val="263"/>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7"/>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3"/>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79"/>
    <w:autoRedefine/>
    <w:qFormat/>
    <w:uiPriority w:val="0"/>
    <w:pPr>
      <w:ind w:left="100" w:leftChars="2500"/>
    </w:pPr>
    <w:rPr>
      <w:rFonts w:ascii="宋体"/>
      <w:sz w:val="24"/>
      <w:szCs w:val="21"/>
      <w:lang w:val="zh-CN"/>
    </w:rPr>
  </w:style>
  <w:style w:type="paragraph" w:styleId="37">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29"/>
    <w:autoRedefine/>
    <w:qFormat/>
    <w:uiPriority w:val="0"/>
    <w:rPr>
      <w:lang w:val="zh-CN"/>
    </w:rPr>
  </w:style>
  <w:style w:type="paragraph" w:styleId="39">
    <w:name w:val="Balloon Text"/>
    <w:basedOn w:val="1"/>
    <w:link w:val="186"/>
    <w:autoRedefine/>
    <w:qFormat/>
    <w:uiPriority w:val="0"/>
    <w:rPr>
      <w:sz w:val="18"/>
      <w:szCs w:val="18"/>
    </w:rPr>
  </w:style>
  <w:style w:type="paragraph" w:styleId="40">
    <w:name w:val="footer"/>
    <w:basedOn w:val="1"/>
    <w:link w:val="381"/>
    <w:autoRedefine/>
    <w:qFormat/>
    <w:uiPriority w:val="99"/>
    <w:pPr>
      <w:tabs>
        <w:tab w:val="center" w:pos="4153"/>
        <w:tab w:val="right" w:pos="8306"/>
      </w:tabs>
      <w:snapToGrid w:val="0"/>
      <w:jc w:val="left"/>
    </w:pPr>
    <w:rPr>
      <w:sz w:val="18"/>
      <w:szCs w:val="18"/>
    </w:rPr>
  </w:style>
  <w:style w:type="paragraph" w:styleId="41">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5"/>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3"/>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0"/>
    <w:autoRedefine/>
    <w:qFormat/>
    <w:uiPriority w:val="0"/>
    <w:pPr>
      <w:spacing w:after="120" w:line="480" w:lineRule="auto"/>
    </w:pPr>
  </w:style>
  <w:style w:type="paragraph" w:styleId="56">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4"/>
    <w:autoRedefine/>
    <w:qFormat/>
    <w:uiPriority w:val="0"/>
    <w:rPr>
      <w:b/>
      <w:bCs/>
    </w:rPr>
  </w:style>
  <w:style w:type="paragraph" w:styleId="60">
    <w:name w:val="Body Text First Indent"/>
    <w:basedOn w:val="23"/>
    <w:link w:val="319"/>
    <w:autoRedefine/>
    <w:qFormat/>
    <w:uiPriority w:val="0"/>
    <w:pPr>
      <w:ind w:firstLine="420"/>
    </w:pPr>
    <w:rPr>
      <w:rFonts w:hAnsi="Calibri" w:cs="Times New Roman"/>
      <w:snapToGrid/>
      <w:szCs w:val="20"/>
    </w:rPr>
  </w:style>
  <w:style w:type="paragraph" w:styleId="61">
    <w:name w:val="Body Text First Indent 2"/>
    <w:basedOn w:val="25"/>
    <w:link w:val="119"/>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首行缩进"/>
    <w:basedOn w:val="1"/>
    <w:autoRedefine/>
    <w:qFormat/>
    <w:uiPriority w:val="0"/>
    <w:pPr>
      <w:spacing w:line="360" w:lineRule="auto"/>
      <w:ind w:firstLine="480" w:firstLineChars="200"/>
    </w:pPr>
    <w:rPr>
      <w:rFonts w:ascii="宋体"/>
      <w:sz w:val="24"/>
      <w:szCs w:val="20"/>
    </w:rPr>
  </w:style>
  <w:style w:type="character" w:customStyle="1" w:styleId="80">
    <w:name w:val="表格非标题文字 Char"/>
    <w:link w:val="81"/>
    <w:autoRedefine/>
    <w:qFormat/>
    <w:uiPriority w:val="0"/>
    <w:rPr>
      <w:rFonts w:ascii="Futura Bk" w:hAnsi="Futura Bk"/>
      <w:kern w:val="2"/>
      <w:sz w:val="18"/>
      <w:szCs w:val="21"/>
      <w:lang w:val="en-US" w:eastAsia="zh-CN" w:bidi="ar-SA"/>
    </w:rPr>
  </w:style>
  <w:style w:type="paragraph" w:customStyle="1" w:styleId="81">
    <w:name w:val="表格非标题文字"/>
    <w:link w:val="80"/>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autoRedefine/>
    <w:qFormat/>
    <w:locked/>
    <w:uiPriority w:val="0"/>
    <w:rPr>
      <w:rFonts w:ascii="宋体" w:hAnsi="宋体"/>
      <w:sz w:val="24"/>
    </w:rPr>
  </w:style>
  <w:style w:type="paragraph" w:customStyle="1" w:styleId="83">
    <w:name w:val="*正文"/>
    <w:basedOn w:val="1"/>
    <w:link w:val="82"/>
    <w:autoRedefine/>
    <w:qFormat/>
    <w:uiPriority w:val="0"/>
    <w:pPr>
      <w:snapToGrid w:val="0"/>
      <w:spacing w:line="360" w:lineRule="auto"/>
      <w:ind w:firstLine="482"/>
      <w:jc w:val="left"/>
    </w:pPr>
    <w:rPr>
      <w:rFonts w:ascii="宋体" w:hAnsi="宋体"/>
      <w:kern w:val="0"/>
      <w:sz w:val="24"/>
      <w:szCs w:val="20"/>
    </w:rPr>
  </w:style>
  <w:style w:type="character" w:customStyle="1" w:styleId="84">
    <w:name w:val="Char Char71"/>
    <w:autoRedefine/>
    <w:semiHidden/>
    <w:qFormat/>
    <w:uiPriority w:val="0"/>
    <w:rPr>
      <w:rFonts w:eastAsia="宋体"/>
      <w:kern w:val="2"/>
      <w:sz w:val="21"/>
      <w:szCs w:val="24"/>
      <w:lang w:val="en-US" w:eastAsia="zh-CN" w:bidi="ar-SA"/>
    </w:rPr>
  </w:style>
  <w:style w:type="character" w:customStyle="1" w:styleId="85">
    <w:name w:val="Char Char6"/>
    <w:autoRedefine/>
    <w:qFormat/>
    <w:uiPriority w:val="0"/>
    <w:rPr>
      <w:rFonts w:eastAsia="宋体"/>
      <w:kern w:val="2"/>
      <w:sz w:val="21"/>
      <w:szCs w:val="24"/>
      <w:lang w:val="en-US" w:eastAsia="zh-CN" w:bidi="ar-SA"/>
    </w:rPr>
  </w:style>
  <w:style w:type="character" w:customStyle="1" w:styleId="86">
    <w:name w:val="正文缩进 Char"/>
    <w:autoRedefine/>
    <w:qFormat/>
    <w:uiPriority w:val="0"/>
    <w:rPr>
      <w:rFonts w:eastAsia="宋体"/>
      <w:kern w:val="2"/>
      <w:sz w:val="21"/>
      <w:lang w:val="en-US" w:eastAsia="zh-CN"/>
    </w:rPr>
  </w:style>
  <w:style w:type="character" w:customStyle="1" w:styleId="87">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8">
    <w:name w:val="Char Char28"/>
    <w:autoRedefine/>
    <w:qFormat/>
    <w:uiPriority w:val="6"/>
    <w:rPr>
      <w:rFonts w:ascii="仿宋_GB2312" w:hAnsi="仿宋_GB2312" w:eastAsia="仿宋_GB2312"/>
      <w:kern w:val="1"/>
      <w:sz w:val="28"/>
    </w:rPr>
  </w:style>
  <w:style w:type="character" w:customStyle="1" w:styleId="89">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autoRedefine/>
    <w:qFormat/>
    <w:uiPriority w:val="6"/>
    <w:rPr>
      <w:rFonts w:ascii="Times New Roman" w:hAnsi="Times New Roman" w:eastAsia="黑体" w:cs="Times New Roman"/>
      <w:b/>
      <w:kern w:val="0"/>
      <w:sz w:val="24"/>
      <w:szCs w:val="24"/>
    </w:rPr>
  </w:style>
  <w:style w:type="character" w:customStyle="1" w:styleId="91">
    <w:name w:val="U_正文 Char"/>
    <w:link w:val="92"/>
    <w:autoRedefine/>
    <w:qFormat/>
    <w:uiPriority w:val="0"/>
    <w:rPr>
      <w:sz w:val="24"/>
      <w:szCs w:val="24"/>
    </w:rPr>
  </w:style>
  <w:style w:type="paragraph" w:customStyle="1" w:styleId="92">
    <w:name w:val="U_正文"/>
    <w:basedOn w:val="1"/>
    <w:link w:val="91"/>
    <w:autoRedefine/>
    <w:qFormat/>
    <w:uiPriority w:val="0"/>
    <w:pPr>
      <w:adjustRightInd/>
      <w:spacing w:beforeLines="20" w:afterLines="20" w:line="300" w:lineRule="auto"/>
      <w:ind w:firstLine="200" w:firstLineChars="200"/>
    </w:pPr>
    <w:rPr>
      <w:kern w:val="0"/>
      <w:sz w:val="24"/>
    </w:rPr>
  </w:style>
  <w:style w:type="character" w:customStyle="1" w:styleId="93">
    <w:name w:val="HTML 地址 Char1"/>
    <w:autoRedefine/>
    <w:qFormat/>
    <w:uiPriority w:val="0"/>
    <w:rPr>
      <w:rFonts w:ascii="Times New Roman" w:hAnsi="Times New Roman" w:eastAsia="宋体" w:cs="Times New Roman"/>
      <w:i/>
      <w:iCs/>
      <w:szCs w:val="24"/>
    </w:rPr>
  </w:style>
  <w:style w:type="character" w:customStyle="1" w:styleId="94">
    <w:name w:val="批注主题 Char1"/>
    <w:link w:val="59"/>
    <w:autoRedefine/>
    <w:qFormat/>
    <w:uiPriority w:val="0"/>
    <w:rPr>
      <w:b/>
      <w:bCs/>
      <w:kern w:val="2"/>
      <w:sz w:val="21"/>
      <w:szCs w:val="24"/>
    </w:rPr>
  </w:style>
  <w:style w:type="character" w:customStyle="1" w:styleId="95">
    <w:name w:val="Char Char51"/>
    <w:autoRedefine/>
    <w:qFormat/>
    <w:uiPriority w:val="0"/>
    <w:rPr>
      <w:rFonts w:ascii="宋体" w:hAnsi="Courier New" w:eastAsia="宋体"/>
      <w:kern w:val="2"/>
      <w:sz w:val="21"/>
      <w:lang w:val="en-US" w:eastAsia="zh-CN"/>
    </w:rPr>
  </w:style>
  <w:style w:type="character" w:customStyle="1" w:styleId="96">
    <w:name w:val="表正文 Char"/>
    <w:autoRedefine/>
    <w:qFormat/>
    <w:uiPriority w:val="0"/>
    <w:rPr>
      <w:rFonts w:ascii="宋体" w:eastAsia="宋体"/>
      <w:snapToGrid w:val="0"/>
      <w:color w:val="000000"/>
      <w:kern w:val="28"/>
      <w:sz w:val="28"/>
      <w:lang w:val="en-US" w:eastAsia="zh-CN" w:bidi="ar-SA"/>
    </w:rPr>
  </w:style>
  <w:style w:type="character" w:customStyle="1" w:styleId="97">
    <w:name w:val="Char Char34"/>
    <w:autoRedefine/>
    <w:qFormat/>
    <w:uiPriority w:val="6"/>
    <w:rPr>
      <w:b/>
      <w:kern w:val="1"/>
      <w:sz w:val="28"/>
      <w:szCs w:val="28"/>
    </w:rPr>
  </w:style>
  <w:style w:type="character" w:customStyle="1" w:styleId="98">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autoRedefine/>
    <w:qFormat/>
    <w:uiPriority w:val="0"/>
    <w:rPr>
      <w:rFonts w:ascii="宋体" w:hAnsi="宋体" w:eastAsia="宋体"/>
      <w:kern w:val="2"/>
      <w:sz w:val="24"/>
      <w:lang w:bidi="ar-SA"/>
    </w:rPr>
  </w:style>
  <w:style w:type="paragraph" w:customStyle="1" w:styleId="100">
    <w:name w:val="哈哈正文"/>
    <w:basedOn w:val="1"/>
    <w:link w:val="99"/>
    <w:autoRedefine/>
    <w:qFormat/>
    <w:uiPriority w:val="0"/>
    <w:pPr>
      <w:adjustRightInd/>
      <w:spacing w:line="360" w:lineRule="auto"/>
      <w:ind w:firstLine="200" w:firstLineChars="200"/>
    </w:pPr>
    <w:rPr>
      <w:rFonts w:ascii="宋体" w:hAnsi="宋体"/>
      <w:sz w:val="24"/>
      <w:szCs w:val="20"/>
    </w:rPr>
  </w:style>
  <w:style w:type="character" w:customStyle="1" w:styleId="101">
    <w:name w:val="未处理的提及1"/>
    <w:autoRedefine/>
    <w:qFormat/>
    <w:uiPriority w:val="0"/>
    <w:rPr>
      <w:color w:val="808080"/>
      <w:shd w:val="clear" w:color="auto" w:fill="E6E6E6"/>
    </w:rPr>
  </w:style>
  <w:style w:type="character" w:customStyle="1" w:styleId="102">
    <w:name w:val="txt"/>
    <w:autoRedefine/>
    <w:qFormat/>
    <w:uiPriority w:val="0"/>
    <w:rPr>
      <w:rFonts w:ascii="仿宋_GB2312" w:eastAsia="微软雅黑"/>
      <w:b/>
      <w:kern w:val="2"/>
      <w:sz w:val="32"/>
      <w:szCs w:val="32"/>
      <w:lang w:val="en-US" w:eastAsia="zh-CN" w:bidi="ar-SA"/>
    </w:rPr>
  </w:style>
  <w:style w:type="character" w:customStyle="1" w:styleId="10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4">
    <w:name w:val="Char Char32"/>
    <w:autoRedefine/>
    <w:qFormat/>
    <w:uiPriority w:val="6"/>
    <w:rPr>
      <w:b/>
      <w:kern w:val="1"/>
      <w:sz w:val="24"/>
      <w:szCs w:val="24"/>
    </w:rPr>
  </w:style>
  <w:style w:type="character" w:customStyle="1" w:styleId="105">
    <w:name w:val="PI Char1"/>
    <w:autoRedefine/>
    <w:qFormat/>
    <w:uiPriority w:val="0"/>
    <w:rPr>
      <w:rFonts w:ascii="宋体" w:hAnsi="宋体"/>
      <w:kern w:val="2"/>
      <w:sz w:val="24"/>
      <w:szCs w:val="24"/>
    </w:rPr>
  </w:style>
  <w:style w:type="character" w:customStyle="1" w:styleId="106">
    <w:name w:val="tw4winTerm"/>
    <w:autoRedefine/>
    <w:qFormat/>
    <w:uiPriority w:val="0"/>
    <w:rPr>
      <w:color w:val="0000FF"/>
    </w:rPr>
  </w:style>
  <w:style w:type="character" w:customStyle="1" w:styleId="107">
    <w:name w:val="Footer Char"/>
    <w:autoRedefine/>
    <w:qFormat/>
    <w:locked/>
    <w:uiPriority w:val="0"/>
    <w:rPr>
      <w:rFonts w:eastAsia="宋体"/>
      <w:kern w:val="2"/>
      <w:sz w:val="18"/>
      <w:lang w:val="en-US" w:eastAsia="zh-CN" w:bidi="ar-SA"/>
    </w:rPr>
  </w:style>
  <w:style w:type="character" w:customStyle="1" w:styleId="108">
    <w:name w:val="普通文字 Char Char1"/>
    <w:autoRedefine/>
    <w:qFormat/>
    <w:uiPriority w:val="0"/>
    <w:rPr>
      <w:rFonts w:ascii="宋体" w:hAnsi="Courier New"/>
      <w:kern w:val="2"/>
      <w:sz w:val="21"/>
    </w:rPr>
  </w:style>
  <w:style w:type="character" w:customStyle="1" w:styleId="109">
    <w:name w:val="Char Char101"/>
    <w:autoRedefine/>
    <w:qFormat/>
    <w:uiPriority w:val="6"/>
    <w:rPr>
      <w:rFonts w:ascii="宋体" w:hAnsi="宋体"/>
      <w:kern w:val="2"/>
      <w:sz w:val="21"/>
      <w:szCs w:val="24"/>
      <w:lang w:val="en-US" w:eastAsia="zh-CN"/>
    </w:rPr>
  </w:style>
  <w:style w:type="character" w:customStyle="1" w:styleId="110">
    <w:name w:val="标题 4 Char"/>
    <w:autoRedefine/>
    <w:qFormat/>
    <w:uiPriority w:val="0"/>
    <w:rPr>
      <w:rFonts w:ascii="Arial" w:hAnsi="Arial" w:eastAsia="黑体"/>
      <w:b/>
      <w:kern w:val="2"/>
      <w:sz w:val="28"/>
    </w:rPr>
  </w:style>
  <w:style w:type="character" w:customStyle="1" w:styleId="111">
    <w:name w:val="链接"/>
    <w:autoRedefine/>
    <w:qFormat/>
    <w:uiPriority w:val="0"/>
    <w:rPr>
      <w:color w:val="0000FF"/>
      <w:sz w:val="21"/>
      <w:szCs w:val="21"/>
      <w:u w:val="single"/>
    </w:rPr>
  </w:style>
  <w:style w:type="character" w:customStyle="1" w:styleId="112">
    <w:name w:val="h4 Char"/>
    <w:autoRedefine/>
    <w:qFormat/>
    <w:uiPriority w:val="0"/>
    <w:rPr>
      <w:rFonts w:ascii="Arial" w:hAnsi="Arial" w:eastAsia="黑体"/>
      <w:b/>
      <w:bCs/>
      <w:kern w:val="2"/>
      <w:sz w:val="28"/>
      <w:szCs w:val="28"/>
      <w:lang w:val="zh-CN" w:eastAsia="zh-CN" w:bidi="ar-SA"/>
    </w:rPr>
  </w:style>
  <w:style w:type="character" w:customStyle="1" w:styleId="113">
    <w:name w:val="5正文 Char"/>
    <w:link w:val="114"/>
    <w:autoRedefine/>
    <w:qFormat/>
    <w:uiPriority w:val="0"/>
    <w:rPr>
      <w:rFonts w:ascii="仿宋_GB2312" w:hAnsi="微软雅黑" w:eastAsia="仿宋_GB2312"/>
      <w:sz w:val="28"/>
      <w:szCs w:val="21"/>
    </w:rPr>
  </w:style>
  <w:style w:type="paragraph" w:customStyle="1" w:styleId="114">
    <w:name w:val="5正文"/>
    <w:basedOn w:val="1"/>
    <w:link w:val="113"/>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autoRedefine/>
    <w:qFormat/>
    <w:uiPriority w:val="9"/>
    <w:rPr>
      <w:b/>
      <w:bCs/>
      <w:kern w:val="2"/>
      <w:sz w:val="32"/>
      <w:szCs w:val="32"/>
    </w:rPr>
  </w:style>
  <w:style w:type="character" w:customStyle="1" w:styleId="116">
    <w:name w:val="样式6 Char"/>
    <w:autoRedefine/>
    <w:qFormat/>
    <w:uiPriority w:val="0"/>
    <w:rPr>
      <w:rFonts w:ascii="仿宋_GB2312" w:hAnsi="宋体" w:eastAsia="仿宋_GB2312"/>
      <w:b/>
      <w:bCs/>
      <w:kern w:val="2"/>
      <w:sz w:val="24"/>
      <w:szCs w:val="24"/>
      <w:lang w:val="en-US" w:eastAsia="zh-CN" w:bidi="ar-SA"/>
    </w:rPr>
  </w:style>
  <w:style w:type="character" w:customStyle="1" w:styleId="117">
    <w:name w:val="Char Char14"/>
    <w:autoRedefine/>
    <w:qFormat/>
    <w:uiPriority w:val="6"/>
    <w:rPr>
      <w:rFonts w:ascii="黑体" w:hAnsi="黑体" w:eastAsia="黑体"/>
    </w:rPr>
  </w:style>
  <w:style w:type="character" w:customStyle="1" w:styleId="118">
    <w:name w:val="Heading 2 Hidden Char"/>
    <w:autoRedefine/>
    <w:qFormat/>
    <w:uiPriority w:val="0"/>
    <w:rPr>
      <w:rFonts w:ascii="仿宋_GB2312" w:eastAsia="仿宋_GB2312"/>
      <w:b/>
      <w:bCs/>
      <w:kern w:val="2"/>
      <w:sz w:val="24"/>
      <w:szCs w:val="24"/>
      <w:lang w:val="zh-CN" w:eastAsia="zh-CN" w:bidi="ar-SA"/>
    </w:rPr>
  </w:style>
  <w:style w:type="character" w:customStyle="1" w:styleId="119">
    <w:name w:val="正文首行缩进 2 Char"/>
    <w:link w:val="61"/>
    <w:autoRedefine/>
    <w:qFormat/>
    <w:uiPriority w:val="0"/>
    <w:rPr>
      <w:rFonts w:ascii="宋体" w:hAnsi="宋体"/>
      <w:kern w:val="2"/>
      <w:sz w:val="21"/>
      <w:szCs w:val="24"/>
    </w:rPr>
  </w:style>
  <w:style w:type="character" w:customStyle="1" w:styleId="120">
    <w:name w:val="font11"/>
    <w:autoRedefine/>
    <w:qFormat/>
    <w:uiPriority w:val="0"/>
    <w:rPr>
      <w:rFonts w:hint="default" w:ascii="Times New Roman" w:hAnsi="Times New Roman" w:cs="Times New Roman"/>
      <w:color w:val="000000"/>
      <w:sz w:val="22"/>
      <w:szCs w:val="22"/>
      <w:u w:val="none"/>
    </w:rPr>
  </w:style>
  <w:style w:type="character" w:customStyle="1" w:styleId="121">
    <w:name w:val="表正文 Char1"/>
    <w:autoRedefine/>
    <w:qFormat/>
    <w:uiPriority w:val="0"/>
    <w:rPr>
      <w:rFonts w:ascii="宋体" w:eastAsia="宋体"/>
      <w:snapToGrid w:val="0"/>
      <w:color w:val="000000"/>
      <w:kern w:val="28"/>
      <w:sz w:val="28"/>
    </w:rPr>
  </w:style>
  <w:style w:type="character" w:customStyle="1" w:styleId="122">
    <w:name w:val="blue1"/>
    <w:basedOn w:val="69"/>
    <w:autoRedefine/>
    <w:qFormat/>
    <w:uiPriority w:val="0"/>
    <w:rPr>
      <w:rFonts w:ascii="Arial" w:hAnsi="Arial" w:eastAsia="黑体" w:cs="Arial"/>
      <w:snapToGrid w:val="0"/>
      <w:kern w:val="0"/>
      <w:szCs w:val="21"/>
    </w:rPr>
  </w:style>
  <w:style w:type="character" w:customStyle="1" w:styleId="123">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4">
    <w:name w:val="标书1 Char"/>
    <w:autoRedefine/>
    <w:qFormat/>
    <w:uiPriority w:val="0"/>
    <w:rPr>
      <w:rFonts w:eastAsia="宋体"/>
      <w:b/>
      <w:bCs/>
      <w:kern w:val="44"/>
      <w:sz w:val="44"/>
      <w:szCs w:val="44"/>
      <w:lang w:val="en-US" w:eastAsia="zh-CN" w:bidi="ar-SA"/>
    </w:rPr>
  </w:style>
  <w:style w:type="character" w:customStyle="1" w:styleId="125">
    <w:name w:val="样式5 Char"/>
    <w:autoRedefine/>
    <w:qFormat/>
    <w:uiPriority w:val="0"/>
    <w:rPr>
      <w:rFonts w:ascii="仿宋_GB2312" w:hAnsi="仿宋" w:eastAsia="仿宋_GB2312"/>
      <w:kern w:val="2"/>
      <w:sz w:val="24"/>
      <w:szCs w:val="24"/>
    </w:rPr>
  </w:style>
  <w:style w:type="character" w:customStyle="1" w:styleId="126">
    <w:name w:val="样式4 Char"/>
    <w:autoRedefine/>
    <w:qFormat/>
    <w:uiPriority w:val="0"/>
    <w:rPr>
      <w:rFonts w:ascii="仿宋_GB2312" w:hAnsi="仿宋" w:eastAsia="仿宋_GB2312"/>
      <w:b/>
      <w:kern w:val="2"/>
      <w:sz w:val="32"/>
      <w:szCs w:val="32"/>
      <w:lang w:bidi="ar-SA"/>
    </w:rPr>
  </w:style>
  <w:style w:type="character" w:customStyle="1" w:styleId="127">
    <w:name w:val="插图说明 Char"/>
    <w:autoRedefine/>
    <w:qFormat/>
    <w:uiPriority w:val="0"/>
    <w:rPr>
      <w:rFonts w:eastAsia="黑体"/>
      <w:sz w:val="24"/>
      <w:lang w:val="en-US" w:eastAsia="zh-CN"/>
    </w:rPr>
  </w:style>
  <w:style w:type="character" w:customStyle="1" w:styleId="128">
    <w:name w:val="正文2 Char Char"/>
    <w:link w:val="129"/>
    <w:autoRedefine/>
    <w:qFormat/>
    <w:uiPriority w:val="0"/>
    <w:rPr>
      <w:rFonts w:eastAsia="宋体"/>
      <w:kern w:val="2"/>
      <w:sz w:val="24"/>
      <w:lang w:val="en-US" w:eastAsia="zh-CN" w:bidi="ar-SA"/>
    </w:rPr>
  </w:style>
  <w:style w:type="paragraph" w:customStyle="1" w:styleId="129">
    <w:name w:val="正文2"/>
    <w:basedOn w:val="1"/>
    <w:link w:val="128"/>
    <w:autoRedefine/>
    <w:qFormat/>
    <w:uiPriority w:val="0"/>
    <w:pPr>
      <w:spacing w:before="156" w:line="360" w:lineRule="auto"/>
      <w:ind w:firstLine="510" w:firstLineChars="200"/>
    </w:pPr>
    <w:rPr>
      <w:sz w:val="24"/>
      <w:szCs w:val="20"/>
    </w:rPr>
  </w:style>
  <w:style w:type="character" w:customStyle="1" w:styleId="130">
    <w:name w:val="Char Char24"/>
    <w:autoRedefine/>
    <w:qFormat/>
    <w:uiPriority w:val="6"/>
    <w:rPr>
      <w:kern w:val="1"/>
      <w:sz w:val="21"/>
    </w:rPr>
  </w:style>
  <w:style w:type="character" w:customStyle="1" w:styleId="131">
    <w:name w:val="副标题 Char"/>
    <w:link w:val="46"/>
    <w:autoRedefine/>
    <w:qFormat/>
    <w:uiPriority w:val="0"/>
    <w:rPr>
      <w:rFonts w:ascii="Arial" w:hAnsi="Arial" w:eastAsia="隶书"/>
      <w:b/>
      <w:bCs/>
      <w:kern w:val="28"/>
      <w:sz w:val="44"/>
      <w:szCs w:val="32"/>
      <w:lang w:val="en-US" w:eastAsia="zh-CN" w:bidi="ar-SA"/>
    </w:rPr>
  </w:style>
  <w:style w:type="character" w:customStyle="1" w:styleId="132">
    <w:name w:val="普通文字 Char1 Char"/>
    <w:autoRedefine/>
    <w:qFormat/>
    <w:uiPriority w:val="0"/>
    <w:rPr>
      <w:rFonts w:ascii="宋体" w:hAnsi="Courier New" w:eastAsia="宋体"/>
      <w:kern w:val="2"/>
      <w:sz w:val="21"/>
      <w:szCs w:val="24"/>
      <w:lang w:val="en-US" w:eastAsia="zh-CN" w:bidi="ar-SA"/>
    </w:rPr>
  </w:style>
  <w:style w:type="character" w:customStyle="1" w:styleId="133">
    <w:name w:val="h3 Char1"/>
    <w:autoRedefine/>
    <w:qFormat/>
    <w:uiPriority w:val="0"/>
    <w:rPr>
      <w:rFonts w:eastAsia="宋体"/>
      <w:b/>
      <w:bCs/>
      <w:kern w:val="2"/>
      <w:sz w:val="32"/>
      <w:szCs w:val="32"/>
      <w:lang w:bidi="ar-SA"/>
    </w:rPr>
  </w:style>
  <w:style w:type="character" w:customStyle="1" w:styleId="134">
    <w:name w:val="标题 Char1"/>
    <w:autoRedefine/>
    <w:qFormat/>
    <w:uiPriority w:val="0"/>
    <w:rPr>
      <w:rFonts w:ascii="Cambria" w:hAnsi="Cambria" w:eastAsia="宋体" w:cs="Times New Roman"/>
      <w:b/>
      <w:bCs/>
      <w:sz w:val="32"/>
      <w:szCs w:val="32"/>
      <w:lang w:bidi="ar-SA"/>
    </w:rPr>
  </w:style>
  <w:style w:type="character" w:customStyle="1" w:styleId="135">
    <w:name w:val="gf正文1 Char"/>
    <w:autoRedefine/>
    <w:qFormat/>
    <w:uiPriority w:val="0"/>
    <w:rPr>
      <w:rFonts w:ascii="宋体" w:hAnsi="宋体" w:eastAsia="宋体" w:cs="宋体"/>
      <w:kern w:val="2"/>
      <w:sz w:val="24"/>
      <w:szCs w:val="24"/>
      <w:lang w:val="en-US" w:eastAsia="zh-CN" w:bidi="ar-SA"/>
    </w:rPr>
  </w:style>
  <w:style w:type="character" w:customStyle="1" w:styleId="136">
    <w:name w:val="正文文本缩进 Char1"/>
    <w:autoRedefine/>
    <w:qFormat/>
    <w:uiPriority w:val="0"/>
    <w:rPr>
      <w:rFonts w:ascii="Calibri" w:hAnsi="Calibri"/>
      <w:sz w:val="28"/>
    </w:rPr>
  </w:style>
  <w:style w:type="character" w:customStyle="1" w:styleId="137">
    <w:name w:val="No Spacing Char"/>
    <w:link w:val="138"/>
    <w:autoRedefine/>
    <w:qFormat/>
    <w:uiPriority w:val="1"/>
    <w:rPr>
      <w:sz w:val="22"/>
      <w:szCs w:val="22"/>
      <w:lang w:val="en-US" w:eastAsia="zh-CN" w:bidi="ar-SA"/>
    </w:rPr>
  </w:style>
  <w:style w:type="paragraph" w:customStyle="1" w:styleId="138">
    <w:name w:val="无间隔1"/>
    <w:link w:val="137"/>
    <w:autoRedefine/>
    <w:qFormat/>
    <w:uiPriority w:val="1"/>
    <w:rPr>
      <w:rFonts w:ascii="Times New Roman" w:hAnsi="Times New Roman" w:eastAsia="宋体" w:cs="Times New Roman"/>
      <w:sz w:val="22"/>
      <w:szCs w:val="22"/>
      <w:lang w:val="en-US" w:eastAsia="zh-CN" w:bidi="ar-SA"/>
    </w:rPr>
  </w:style>
  <w:style w:type="character" w:customStyle="1" w:styleId="139">
    <w:name w:val="样式7 Char"/>
    <w:autoRedefine/>
    <w:qFormat/>
    <w:uiPriority w:val="0"/>
    <w:rPr>
      <w:rFonts w:ascii="仿宋_GB2312" w:hAnsi="仿宋" w:eastAsia="仿宋_GB2312"/>
      <w:b/>
      <w:kern w:val="2"/>
      <w:sz w:val="24"/>
      <w:szCs w:val="24"/>
    </w:rPr>
  </w:style>
  <w:style w:type="character" w:customStyle="1" w:styleId="140">
    <w:name w:val="font12gray1"/>
    <w:autoRedefine/>
    <w:qFormat/>
    <w:uiPriority w:val="0"/>
    <w:rPr>
      <w:rFonts w:ascii="仿宋_GB2312" w:eastAsia="微软雅黑"/>
      <w:b/>
      <w:spacing w:val="300"/>
      <w:kern w:val="2"/>
      <w:sz w:val="18"/>
      <w:szCs w:val="18"/>
      <w:lang w:val="en-US" w:eastAsia="zh-CN" w:bidi="ar-SA"/>
    </w:rPr>
  </w:style>
  <w:style w:type="character" w:customStyle="1" w:styleId="141">
    <w:name w:val="Char Char7"/>
    <w:autoRedefine/>
    <w:semiHidden/>
    <w:qFormat/>
    <w:uiPriority w:val="0"/>
    <w:rPr>
      <w:rFonts w:eastAsia="宋体"/>
      <w:kern w:val="2"/>
      <w:sz w:val="21"/>
      <w:szCs w:val="24"/>
      <w:lang w:val="en-US" w:eastAsia="zh-CN" w:bidi="ar-SA"/>
    </w:rPr>
  </w:style>
  <w:style w:type="character" w:customStyle="1" w:styleId="142">
    <w:name w:val="表名 Char"/>
    <w:autoRedefine/>
    <w:qFormat/>
    <w:uiPriority w:val="0"/>
    <w:rPr>
      <w:rFonts w:eastAsia="宋体"/>
      <w:b/>
      <w:bCs/>
      <w:kern w:val="2"/>
      <w:sz w:val="24"/>
      <w:szCs w:val="24"/>
      <w:lang w:val="en-US" w:eastAsia="zh-CN" w:bidi="ar-SA"/>
    </w:rPr>
  </w:style>
  <w:style w:type="character" w:customStyle="1" w:styleId="143">
    <w:name w:val="Document Map Char"/>
    <w:autoRedefine/>
    <w:qFormat/>
    <w:locked/>
    <w:uiPriority w:val="0"/>
    <w:rPr>
      <w:rFonts w:eastAsia="宋体"/>
      <w:kern w:val="2"/>
      <w:sz w:val="21"/>
      <w:szCs w:val="24"/>
      <w:lang w:val="en-US" w:eastAsia="zh-CN" w:bidi="ar-SA"/>
    </w:rPr>
  </w:style>
  <w:style w:type="character" w:customStyle="1" w:styleId="144">
    <w:name w:val="font41"/>
    <w:autoRedefine/>
    <w:qFormat/>
    <w:uiPriority w:val="0"/>
    <w:rPr>
      <w:rFonts w:hint="eastAsia" w:ascii="仿宋_GB2312" w:eastAsia="仿宋_GB2312" w:cs="仿宋_GB2312"/>
      <w:color w:val="000000"/>
      <w:sz w:val="22"/>
      <w:szCs w:val="22"/>
      <w:u w:val="none"/>
    </w:rPr>
  </w:style>
  <w:style w:type="character" w:customStyle="1" w:styleId="145">
    <w:name w:val="标题 6 Char"/>
    <w:link w:val="8"/>
    <w:autoRedefine/>
    <w:qFormat/>
    <w:uiPriority w:val="0"/>
    <w:rPr>
      <w:rFonts w:ascii="Arial" w:hAnsi="Arial" w:eastAsia="黑体"/>
      <w:b/>
      <w:bCs/>
      <w:kern w:val="2"/>
      <w:sz w:val="24"/>
      <w:szCs w:val="24"/>
    </w:rPr>
  </w:style>
  <w:style w:type="character" w:customStyle="1" w:styleId="146">
    <w:name w:val="纯文本 Char_0"/>
    <w:link w:val="147"/>
    <w:autoRedefine/>
    <w:qFormat/>
    <w:uiPriority w:val="0"/>
    <w:rPr>
      <w:rFonts w:ascii="宋体" w:hAnsi="Courier New"/>
      <w:kern w:val="2"/>
      <w:sz w:val="21"/>
      <w:szCs w:val="21"/>
      <w:lang w:val="en-US" w:eastAsia="zh-CN"/>
    </w:rPr>
  </w:style>
  <w:style w:type="paragraph" w:customStyle="1" w:styleId="147">
    <w:name w:val="纯文本_0_0"/>
    <w:basedOn w:val="148"/>
    <w:link w:val="146"/>
    <w:autoRedefine/>
    <w:qFormat/>
    <w:uiPriority w:val="0"/>
    <w:rPr>
      <w:rFonts w:ascii="宋体" w:hAnsi="Courier New"/>
      <w:szCs w:val="21"/>
    </w:rPr>
  </w:style>
  <w:style w:type="paragraph" w:customStyle="1" w:styleId="14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autoRedefine/>
    <w:qFormat/>
    <w:locked/>
    <w:uiPriority w:val="0"/>
    <w:rPr>
      <w:rFonts w:eastAsia="宋体"/>
      <w:kern w:val="2"/>
      <w:sz w:val="18"/>
      <w:szCs w:val="18"/>
      <w:lang w:val="en-US" w:eastAsia="zh-CN" w:bidi="ar-SA"/>
    </w:rPr>
  </w:style>
  <w:style w:type="character" w:customStyle="1" w:styleId="150">
    <w:name w:val="正文 项目2 Char"/>
    <w:basedOn w:val="151"/>
    <w:autoRedefine/>
    <w:qFormat/>
    <w:uiPriority w:val="0"/>
    <w:rPr>
      <w:rFonts w:ascii="仿宋_GB2312" w:hAnsi="仿宋_GB2312" w:eastAsia="仿宋_GB2312"/>
      <w:kern w:val="2"/>
      <w:sz w:val="24"/>
      <w:lang w:bidi="ar-SA"/>
    </w:rPr>
  </w:style>
  <w:style w:type="character" w:customStyle="1" w:styleId="151">
    <w:name w:val="正文 项目 Char"/>
    <w:autoRedefine/>
    <w:qFormat/>
    <w:uiPriority w:val="0"/>
    <w:rPr>
      <w:rFonts w:ascii="仿宋_GB2312" w:hAnsi="仿宋_GB2312" w:eastAsia="仿宋_GB2312"/>
      <w:kern w:val="2"/>
      <w:sz w:val="24"/>
      <w:lang w:bidi="ar-SA"/>
    </w:rPr>
  </w:style>
  <w:style w:type="character" w:customStyle="1" w:styleId="152">
    <w:name w:val="h Char Char1"/>
    <w:autoRedefine/>
    <w:qFormat/>
    <w:uiPriority w:val="0"/>
    <w:rPr>
      <w:rFonts w:eastAsia="宋体"/>
      <w:kern w:val="2"/>
      <w:sz w:val="18"/>
      <w:szCs w:val="18"/>
      <w:lang w:val="en-US" w:eastAsia="zh-CN" w:bidi="ar-SA"/>
    </w:rPr>
  </w:style>
  <w:style w:type="character" w:customStyle="1" w:styleId="153">
    <w:name w:val="Char Char27"/>
    <w:autoRedefine/>
    <w:qFormat/>
    <w:uiPriority w:val="6"/>
    <w:rPr>
      <w:rFonts w:ascii="宋体" w:hAnsi="宋体" w:eastAsia="宋体"/>
      <w:color w:val="000000"/>
      <w:kern w:val="1"/>
      <w:sz w:val="28"/>
      <w:lang w:val="en-US" w:eastAsia="zh-CN" w:bidi="ar-SA"/>
    </w:rPr>
  </w:style>
  <w:style w:type="character" w:customStyle="1" w:styleId="154">
    <w:name w:val="px14"/>
    <w:autoRedefine/>
    <w:qFormat/>
    <w:uiPriority w:val="0"/>
    <w:rPr>
      <w:rFonts w:ascii="仿宋_GB2312" w:eastAsia="微软雅黑" w:cs="Times New Roman"/>
      <w:b/>
      <w:kern w:val="2"/>
      <w:sz w:val="32"/>
      <w:szCs w:val="32"/>
      <w:lang w:val="en-US" w:eastAsia="zh-CN" w:bidi="ar-SA"/>
    </w:rPr>
  </w:style>
  <w:style w:type="character" w:customStyle="1" w:styleId="155">
    <w:name w:val="HTML 预设格式 Char1"/>
    <w:autoRedefine/>
    <w:qFormat/>
    <w:uiPriority w:val="0"/>
    <w:rPr>
      <w:rFonts w:ascii="Courier New" w:hAnsi="Courier New" w:eastAsia="宋体" w:cs="Courier New"/>
      <w:sz w:val="20"/>
      <w:szCs w:val="20"/>
    </w:rPr>
  </w:style>
  <w:style w:type="character" w:customStyle="1" w:styleId="156">
    <w:name w:val="普通文字 Char1"/>
    <w:autoRedefine/>
    <w:qFormat/>
    <w:uiPriority w:val="0"/>
    <w:rPr>
      <w:rFonts w:ascii="宋体" w:hAnsi="Courier New" w:eastAsia="宋体"/>
      <w:kern w:val="2"/>
      <w:sz w:val="21"/>
      <w:lang w:val="en-US" w:eastAsia="zh-CN"/>
    </w:rPr>
  </w:style>
  <w:style w:type="character" w:customStyle="1" w:styleId="157">
    <w:name w:val="hei16b1"/>
    <w:autoRedefine/>
    <w:qFormat/>
    <w:uiPriority w:val="0"/>
    <w:rPr>
      <w:rFonts w:hint="default" w:ascii="Arial" w:hAnsi="Arial" w:cs="Arial"/>
      <w:b/>
      <w:bCs/>
      <w:color w:val="000000"/>
      <w:sz w:val="24"/>
      <w:szCs w:val="24"/>
    </w:rPr>
  </w:style>
  <w:style w:type="character" w:customStyle="1" w:styleId="158">
    <w:name w:val="正文（绿盟科技） Char"/>
    <w:link w:val="159"/>
    <w:autoRedefine/>
    <w:qFormat/>
    <w:uiPriority w:val="0"/>
    <w:rPr>
      <w:rFonts w:ascii="Arial" w:hAnsi="Arial"/>
      <w:sz w:val="21"/>
      <w:szCs w:val="21"/>
    </w:rPr>
  </w:style>
  <w:style w:type="paragraph" w:customStyle="1" w:styleId="159">
    <w:name w:val="正文（绿盟科技）"/>
    <w:link w:val="158"/>
    <w:autoRedefine/>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autoRedefine/>
    <w:qFormat/>
    <w:uiPriority w:val="6"/>
    <w:rPr>
      <w:rFonts w:ascii="宋体" w:hAnsi="宋体"/>
      <w:i/>
      <w:sz w:val="24"/>
      <w:szCs w:val="24"/>
    </w:rPr>
  </w:style>
  <w:style w:type="character" w:customStyle="1" w:styleId="161">
    <w:name w:val="页脚 Char"/>
    <w:autoRedefine/>
    <w:qFormat/>
    <w:uiPriority w:val="0"/>
    <w:rPr>
      <w:rFonts w:eastAsia="仿宋_GB2312"/>
      <w:kern w:val="2"/>
      <w:sz w:val="18"/>
      <w:lang w:val="en-US" w:eastAsia="zh-CN"/>
    </w:rPr>
  </w:style>
  <w:style w:type="character" w:customStyle="1" w:styleId="162">
    <w:name w:val="批注主题 Char"/>
    <w:autoRedefine/>
    <w:qFormat/>
    <w:uiPriority w:val="0"/>
    <w:rPr>
      <w:rFonts w:eastAsia="宋体"/>
      <w:b/>
      <w:bCs/>
      <w:kern w:val="2"/>
      <w:sz w:val="21"/>
      <w:szCs w:val="24"/>
      <w:lang w:val="en-US" w:eastAsia="zh-CN" w:bidi="ar-SA"/>
    </w:rPr>
  </w:style>
  <w:style w:type="character" w:customStyle="1" w:styleId="163">
    <w:name w:val="Comment Text Char"/>
    <w:autoRedefine/>
    <w:qFormat/>
    <w:locked/>
    <w:uiPriority w:val="0"/>
    <w:rPr>
      <w:rFonts w:ascii="宋体" w:hAnsi="宋体" w:eastAsia="宋体"/>
      <w:kern w:val="2"/>
      <w:sz w:val="24"/>
      <w:lang w:val="en-US" w:eastAsia="zh-CN" w:bidi="ar-SA"/>
    </w:rPr>
  </w:style>
  <w:style w:type="character" w:customStyle="1" w:styleId="164">
    <w:name w:val="标题 2 字符"/>
    <w:autoRedefine/>
    <w:qFormat/>
    <w:uiPriority w:val="1"/>
    <w:rPr>
      <w:rFonts w:ascii="仿宋_GB2312" w:hAnsi="Times New Roman" w:eastAsia="仿宋_GB2312" w:cs="Times New Roman"/>
      <w:b/>
      <w:kern w:val="2"/>
      <w:sz w:val="24"/>
      <w:lang w:val="zh-CN"/>
    </w:rPr>
  </w:style>
  <w:style w:type="character" w:customStyle="1" w:styleId="165">
    <w:name w:val="Char Char72"/>
    <w:autoRedefine/>
    <w:qFormat/>
    <w:uiPriority w:val="0"/>
    <w:rPr>
      <w:rFonts w:eastAsia="宋体"/>
      <w:kern w:val="2"/>
      <w:sz w:val="21"/>
      <w:szCs w:val="24"/>
      <w:lang w:val="en-US" w:eastAsia="zh-CN" w:bidi="ar-SA"/>
    </w:rPr>
  </w:style>
  <w:style w:type="character" w:customStyle="1" w:styleId="166">
    <w:name w:val="正文文本缩进 Char2"/>
    <w:autoRedefine/>
    <w:qFormat/>
    <w:uiPriority w:val="0"/>
    <w:rPr>
      <w:rFonts w:ascii="Times New Roman" w:hAnsi="Times New Roman" w:eastAsia="宋体" w:cs="Times New Roman"/>
      <w:snapToGrid w:val="0"/>
      <w:kern w:val="0"/>
      <w:szCs w:val="24"/>
    </w:rPr>
  </w:style>
  <w:style w:type="character" w:customStyle="1" w:styleId="167">
    <w:name w:val="样式2 Char"/>
    <w:autoRedefine/>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autoRedefine/>
    <w:qFormat/>
    <w:uiPriority w:val="0"/>
    <w:rPr>
      <w:sz w:val="32"/>
    </w:rPr>
  </w:style>
  <w:style w:type="paragraph" w:customStyle="1" w:styleId="169">
    <w:name w:val="表格名称"/>
    <w:basedOn w:val="2"/>
    <w:link w:val="168"/>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autoRedefine/>
    <w:qFormat/>
    <w:uiPriority w:val="0"/>
    <w:rPr>
      <w:rFonts w:eastAsia="宋体"/>
      <w:b/>
      <w:sz w:val="24"/>
      <w:lang w:val="en-GB" w:eastAsia="zh-CN" w:bidi="ar-SA"/>
    </w:rPr>
  </w:style>
  <w:style w:type="character" w:customStyle="1" w:styleId="171">
    <w:name w:val="c7 style3"/>
    <w:autoRedefine/>
    <w:qFormat/>
    <w:uiPriority w:val="0"/>
  </w:style>
  <w:style w:type="character" w:customStyle="1" w:styleId="172">
    <w:name w:val="正文文本 3 Char1"/>
    <w:autoRedefine/>
    <w:semiHidden/>
    <w:qFormat/>
    <w:uiPriority w:val="99"/>
    <w:rPr>
      <w:rFonts w:ascii="Times New Roman" w:hAnsi="Times New Roman" w:eastAsia="宋体" w:cs="Times New Roman"/>
      <w:sz w:val="16"/>
      <w:szCs w:val="16"/>
    </w:rPr>
  </w:style>
  <w:style w:type="character" w:customStyle="1" w:styleId="173">
    <w:name w:val="tw4winInternal"/>
    <w:autoRedefine/>
    <w:qFormat/>
    <w:uiPriority w:val="0"/>
    <w:rPr>
      <w:rFonts w:ascii="Courier New" w:hAnsi="Courier New" w:cs="Courier New"/>
      <w:color w:val="FF0000"/>
      <w:lang w:val="en-US" w:eastAsia="zh-CN"/>
    </w:rPr>
  </w:style>
  <w:style w:type="character" w:customStyle="1" w:styleId="174">
    <w:name w:val="Char Char10"/>
    <w:autoRedefine/>
    <w:semiHidden/>
    <w:qFormat/>
    <w:uiPriority w:val="0"/>
    <w:rPr>
      <w:rFonts w:ascii="宋体" w:hAnsi="宋体"/>
      <w:kern w:val="2"/>
      <w:sz w:val="21"/>
      <w:szCs w:val="24"/>
      <w:lang w:val="en-US" w:eastAsia="zh-CN"/>
    </w:rPr>
  </w:style>
  <w:style w:type="character" w:customStyle="1" w:styleId="175">
    <w:name w:val="shadow11"/>
    <w:autoRedefine/>
    <w:qFormat/>
    <w:uiPriority w:val="0"/>
    <w:rPr>
      <w:color w:val="000000"/>
      <w:sz w:val="21"/>
    </w:rPr>
  </w:style>
  <w:style w:type="character" w:customStyle="1" w:styleId="176">
    <w:name w:val="正文非缩进 Char3"/>
    <w:autoRedefine/>
    <w:qFormat/>
    <w:uiPriority w:val="0"/>
    <w:rPr>
      <w:rFonts w:ascii="宋体" w:eastAsia="宋体"/>
      <w:snapToGrid w:val="0"/>
      <w:color w:val="000000"/>
      <w:kern w:val="28"/>
      <w:sz w:val="28"/>
      <w:lang w:val="en-US" w:eastAsia="zh-CN" w:bidi="ar-SA"/>
    </w:rPr>
  </w:style>
  <w:style w:type="character" w:customStyle="1" w:styleId="177">
    <w:name w:val="Char Char"/>
    <w:autoRedefine/>
    <w:qFormat/>
    <w:uiPriority w:val="0"/>
    <w:rPr>
      <w:rFonts w:ascii="宋体" w:hAnsi="Courier New" w:eastAsia="宋体"/>
      <w:kern w:val="2"/>
      <w:sz w:val="21"/>
      <w:lang w:val="en-US" w:eastAsia="zh-CN" w:bidi="ar-SA"/>
    </w:rPr>
  </w:style>
  <w:style w:type="character" w:customStyle="1" w:styleId="178">
    <w:name w:val="签名 Char1"/>
    <w:autoRedefine/>
    <w:qFormat/>
    <w:uiPriority w:val="0"/>
    <w:rPr>
      <w:rFonts w:ascii="Times New Roman" w:hAnsi="Times New Roman" w:eastAsia="宋体" w:cs="Times New Roman"/>
      <w:szCs w:val="24"/>
    </w:rPr>
  </w:style>
  <w:style w:type="character" w:customStyle="1" w:styleId="179">
    <w:name w:val="日期 Char"/>
    <w:link w:val="36"/>
    <w:autoRedefine/>
    <w:qFormat/>
    <w:uiPriority w:val="0"/>
    <w:rPr>
      <w:rFonts w:ascii="宋体"/>
      <w:kern w:val="2"/>
      <w:sz w:val="24"/>
      <w:szCs w:val="21"/>
      <w:lang w:val="zh-CN"/>
    </w:rPr>
  </w:style>
  <w:style w:type="character" w:customStyle="1" w:styleId="180">
    <w:name w:val="标题 9 Char"/>
    <w:link w:val="11"/>
    <w:autoRedefine/>
    <w:qFormat/>
    <w:uiPriority w:val="0"/>
    <w:rPr>
      <w:rFonts w:ascii="Arial" w:hAnsi="Arial" w:eastAsia="黑体"/>
      <w:kern w:val="2"/>
      <w:sz w:val="21"/>
      <w:szCs w:val="21"/>
    </w:rPr>
  </w:style>
  <w:style w:type="character" w:customStyle="1" w:styleId="181">
    <w:name w:val="Char Char18"/>
    <w:autoRedefine/>
    <w:qFormat/>
    <w:uiPriority w:val="6"/>
    <w:rPr>
      <w:rFonts w:ascii="宋体" w:hAnsi="宋体"/>
      <w:sz w:val="28"/>
    </w:rPr>
  </w:style>
  <w:style w:type="character" w:customStyle="1" w:styleId="182">
    <w:name w:val="批注文字 Char"/>
    <w:autoRedefine/>
    <w:qFormat/>
    <w:uiPriority w:val="99"/>
    <w:rPr>
      <w:kern w:val="2"/>
      <w:sz w:val="21"/>
      <w:szCs w:val="24"/>
    </w:rPr>
  </w:style>
  <w:style w:type="character" w:customStyle="1" w:styleId="183">
    <w:name w:val="Char Char22"/>
    <w:autoRedefine/>
    <w:qFormat/>
    <w:uiPriority w:val="6"/>
    <w:rPr>
      <w:rFonts w:ascii="宋体" w:hAnsi="宋体"/>
      <w:kern w:val="1"/>
      <w:sz w:val="24"/>
      <w:szCs w:val="24"/>
    </w:rPr>
  </w:style>
  <w:style w:type="character" w:customStyle="1" w:styleId="184">
    <w:name w:val="pt141"/>
    <w:autoRedefine/>
    <w:qFormat/>
    <w:uiPriority w:val="0"/>
    <w:rPr>
      <w:color w:val="330066"/>
      <w:sz w:val="22"/>
      <w:szCs w:val="22"/>
    </w:rPr>
  </w:style>
  <w:style w:type="character" w:customStyle="1" w:styleId="185">
    <w:name w:val="正文文本缩进 2 Char1"/>
    <w:autoRedefine/>
    <w:semiHidden/>
    <w:qFormat/>
    <w:uiPriority w:val="99"/>
    <w:rPr>
      <w:rFonts w:ascii="Times New Roman" w:hAnsi="Times New Roman" w:eastAsia="宋体" w:cs="Times New Roman"/>
      <w:szCs w:val="24"/>
    </w:rPr>
  </w:style>
  <w:style w:type="character" w:customStyle="1" w:styleId="186">
    <w:name w:val="批注框文本 Char"/>
    <w:link w:val="39"/>
    <w:autoRedefine/>
    <w:qFormat/>
    <w:uiPriority w:val="0"/>
    <w:rPr>
      <w:kern w:val="2"/>
      <w:sz w:val="18"/>
      <w:szCs w:val="18"/>
    </w:rPr>
  </w:style>
  <w:style w:type="character" w:customStyle="1" w:styleId="187">
    <w:name w:val="Char Char611"/>
    <w:autoRedefine/>
    <w:qFormat/>
    <w:uiPriority w:val="0"/>
    <w:rPr>
      <w:rFonts w:eastAsia="宋体"/>
      <w:kern w:val="2"/>
      <w:sz w:val="21"/>
      <w:szCs w:val="24"/>
      <w:lang w:val="en-US" w:eastAsia="zh-CN" w:bidi="ar-SA"/>
    </w:rPr>
  </w:style>
  <w:style w:type="character" w:customStyle="1" w:styleId="188">
    <w:name w:val="highlight1"/>
    <w:autoRedefine/>
    <w:qFormat/>
    <w:uiPriority w:val="0"/>
    <w:rPr>
      <w:rFonts w:ascii="仿宋_GB2312" w:eastAsia="微软雅黑"/>
      <w:b/>
      <w:kern w:val="2"/>
      <w:sz w:val="23"/>
      <w:szCs w:val="23"/>
      <w:lang w:val="en-US" w:eastAsia="zh-CN" w:bidi="ar-SA"/>
    </w:rPr>
  </w:style>
  <w:style w:type="character" w:customStyle="1" w:styleId="189">
    <w:name w:val="my正文 Char"/>
    <w:link w:val="190"/>
    <w:autoRedefine/>
    <w:qFormat/>
    <w:locked/>
    <w:uiPriority w:val="0"/>
    <w:rPr>
      <w:rFonts w:ascii="Tahoma" w:hAnsi="Tahoma"/>
      <w:sz w:val="24"/>
      <w:szCs w:val="24"/>
    </w:rPr>
  </w:style>
  <w:style w:type="paragraph" w:customStyle="1" w:styleId="190">
    <w:name w:val="my正文"/>
    <w:basedOn w:val="1"/>
    <w:link w:val="189"/>
    <w:autoRedefine/>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autoRedefine/>
    <w:qFormat/>
    <w:uiPriority w:val="0"/>
    <w:rPr>
      <w:color w:val="0000FF"/>
      <w:sz w:val="21"/>
    </w:rPr>
  </w:style>
  <w:style w:type="character" w:customStyle="1" w:styleId="193">
    <w:name w:val="页眉 Char"/>
    <w:autoRedefine/>
    <w:qFormat/>
    <w:uiPriority w:val="0"/>
    <w:rPr>
      <w:rFonts w:eastAsia="仿宋_GB2312"/>
      <w:kern w:val="2"/>
      <w:sz w:val="18"/>
      <w:lang w:val="en-US" w:eastAsia="zh-CN"/>
    </w:rPr>
  </w:style>
  <w:style w:type="character" w:customStyle="1" w:styleId="194">
    <w:name w:val="FA正文 Char Char"/>
    <w:autoRedefine/>
    <w:qFormat/>
    <w:uiPriority w:val="0"/>
    <w:rPr>
      <w:rFonts w:hAnsi="宋体"/>
      <w:kern w:val="2"/>
      <w:sz w:val="24"/>
      <w:lang w:bidi="ar-SA"/>
    </w:rPr>
  </w:style>
  <w:style w:type="character" w:customStyle="1" w:styleId="195">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autoRedefine/>
    <w:qFormat/>
    <w:uiPriority w:val="0"/>
    <w:rPr>
      <w:rFonts w:ascii="宋体" w:hAnsi="宋体"/>
      <w:b/>
      <w:bCs/>
      <w:snapToGrid/>
      <w:sz w:val="28"/>
    </w:rPr>
  </w:style>
  <w:style w:type="paragraph" w:customStyle="1" w:styleId="197">
    <w:name w:val="3级"/>
    <w:basedOn w:val="198"/>
    <w:link w:val="196"/>
    <w:autoRedefine/>
    <w:qFormat/>
    <w:uiPriority w:val="0"/>
    <w:pPr>
      <w:ind w:left="0" w:right="466" w:firstLine="288"/>
    </w:pPr>
    <w:rPr>
      <w:rFonts w:hAnsi="宋体"/>
      <w:snapToGrid/>
    </w:rPr>
  </w:style>
  <w:style w:type="paragraph" w:customStyle="1" w:styleId="198">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autoRedefine/>
    <w:qFormat/>
    <w:uiPriority w:val="0"/>
    <w:rPr>
      <w:rFonts w:ascii="仿宋_GB2312" w:eastAsia="微软雅黑"/>
      <w:b/>
      <w:kern w:val="2"/>
      <w:sz w:val="32"/>
      <w:szCs w:val="32"/>
      <w:lang w:val="en-US" w:eastAsia="zh-CN" w:bidi="ar-SA"/>
    </w:rPr>
  </w:style>
  <w:style w:type="character" w:customStyle="1" w:styleId="200">
    <w:name w:val="文档结构图 Char1"/>
    <w:link w:val="18"/>
    <w:autoRedefine/>
    <w:qFormat/>
    <w:uiPriority w:val="0"/>
    <w:rPr>
      <w:kern w:val="2"/>
      <w:sz w:val="21"/>
      <w:szCs w:val="24"/>
      <w:shd w:val="clear" w:color="auto" w:fill="000080"/>
    </w:rPr>
  </w:style>
  <w:style w:type="character" w:customStyle="1" w:styleId="201">
    <w:name w:val="H6 Char"/>
    <w:autoRedefine/>
    <w:qFormat/>
    <w:uiPriority w:val="0"/>
    <w:rPr>
      <w:rFonts w:ascii="Arial" w:hAnsi="Arial" w:eastAsia="黑体"/>
      <w:b/>
      <w:bCs/>
      <w:kern w:val="2"/>
      <w:sz w:val="24"/>
      <w:szCs w:val="24"/>
    </w:rPr>
  </w:style>
  <w:style w:type="character" w:customStyle="1" w:styleId="202">
    <w:name w:val="Char Char91"/>
    <w:autoRedefine/>
    <w:qFormat/>
    <w:uiPriority w:val="0"/>
    <w:rPr>
      <w:rFonts w:eastAsia="宋体"/>
      <w:kern w:val="2"/>
      <w:sz w:val="18"/>
      <w:szCs w:val="18"/>
      <w:lang w:val="en-US" w:eastAsia="zh-CN" w:bidi="ar-SA"/>
    </w:rPr>
  </w:style>
  <w:style w:type="character" w:customStyle="1" w:styleId="203">
    <w:name w:val="副标题 Char1"/>
    <w:autoRedefine/>
    <w:qFormat/>
    <w:uiPriority w:val="0"/>
    <w:rPr>
      <w:rFonts w:ascii="Cambria" w:hAnsi="Cambria" w:eastAsia="宋体" w:cs="Times New Roman"/>
      <w:b/>
      <w:bCs/>
      <w:snapToGrid w:val="0"/>
      <w:kern w:val="28"/>
      <w:sz w:val="32"/>
      <w:szCs w:val="32"/>
    </w:rPr>
  </w:style>
  <w:style w:type="character" w:customStyle="1" w:styleId="204">
    <w:name w:val="font61"/>
    <w:autoRedefine/>
    <w:qFormat/>
    <w:uiPriority w:val="0"/>
    <w:rPr>
      <w:rFonts w:hint="eastAsia" w:ascii="仿宋" w:hAnsi="仿宋" w:eastAsia="仿宋" w:cs="仿宋"/>
      <w:color w:val="000000"/>
      <w:sz w:val="20"/>
      <w:szCs w:val="20"/>
      <w:u w:val="none"/>
    </w:rPr>
  </w:style>
  <w:style w:type="character" w:customStyle="1" w:styleId="205">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autoRedefine/>
    <w:qFormat/>
    <w:uiPriority w:val="0"/>
    <w:rPr>
      <w:rFonts w:eastAsia="宋体"/>
      <w:b/>
      <w:bCs/>
      <w:kern w:val="2"/>
      <w:sz w:val="21"/>
      <w:szCs w:val="24"/>
      <w:lang w:val="en-US" w:eastAsia="zh-CN" w:bidi="ar-SA"/>
    </w:rPr>
  </w:style>
  <w:style w:type="character" w:customStyle="1" w:styleId="207">
    <w:name w:val="标题 2 Char"/>
    <w:autoRedefine/>
    <w:qFormat/>
    <w:uiPriority w:val="0"/>
    <w:rPr>
      <w:rFonts w:ascii="Arial" w:hAnsi="Arial" w:eastAsia="黑体"/>
      <w:b/>
      <w:kern w:val="2"/>
      <w:sz w:val="32"/>
      <w:lang w:val="en-US" w:eastAsia="zh-CN"/>
    </w:rPr>
  </w:style>
  <w:style w:type="character" w:customStyle="1" w:styleId="208">
    <w:name w:val="maywed421"/>
    <w:autoRedefine/>
    <w:qFormat/>
    <w:uiPriority w:val="0"/>
    <w:rPr>
      <w:color w:val="366FB6"/>
      <w:u w:val="none"/>
    </w:rPr>
  </w:style>
  <w:style w:type="character" w:customStyle="1" w:styleId="209">
    <w:name w:val="正文文本缩进 Char"/>
    <w:autoRedefine/>
    <w:qFormat/>
    <w:uiPriority w:val="0"/>
    <w:rPr>
      <w:rFonts w:ascii="宋体" w:hAnsi="宋体"/>
      <w:kern w:val="2"/>
      <w:sz w:val="24"/>
      <w:szCs w:val="24"/>
    </w:rPr>
  </w:style>
  <w:style w:type="character" w:customStyle="1" w:styleId="210">
    <w:name w:val="Char Char102"/>
    <w:autoRedefine/>
    <w:semiHidden/>
    <w:qFormat/>
    <w:uiPriority w:val="0"/>
    <w:rPr>
      <w:rFonts w:ascii="宋体" w:hAnsi="宋体"/>
      <w:kern w:val="2"/>
      <w:sz w:val="21"/>
      <w:szCs w:val="24"/>
      <w:lang w:val="en-US" w:eastAsia="zh-CN"/>
    </w:rPr>
  </w:style>
  <w:style w:type="character" w:customStyle="1" w:styleId="211">
    <w:name w:val="页眉 Char1"/>
    <w:autoRedefine/>
    <w:qFormat/>
    <w:uiPriority w:val="0"/>
    <w:rPr>
      <w:rFonts w:eastAsia="宋体"/>
      <w:kern w:val="2"/>
      <w:sz w:val="18"/>
      <w:szCs w:val="18"/>
      <w:lang w:val="en-US" w:eastAsia="zh-CN" w:bidi="ar-SA"/>
    </w:rPr>
  </w:style>
  <w:style w:type="character" w:customStyle="1" w:styleId="212">
    <w:name w:val="md"/>
    <w:basedOn w:val="69"/>
    <w:autoRedefine/>
    <w:qFormat/>
    <w:uiPriority w:val="0"/>
    <w:rPr>
      <w:rFonts w:ascii="Arial" w:hAnsi="Arial" w:eastAsia="黑体" w:cs="Arial"/>
      <w:snapToGrid w:val="0"/>
      <w:kern w:val="0"/>
      <w:szCs w:val="21"/>
    </w:rPr>
  </w:style>
  <w:style w:type="character" w:customStyle="1" w:styleId="213">
    <w:name w:val="big1"/>
    <w:autoRedefine/>
    <w:qFormat/>
    <w:uiPriority w:val="0"/>
    <w:rPr>
      <w:rFonts w:hint="eastAsia" w:ascii="宋体" w:hAnsi="宋体" w:eastAsia="宋体"/>
      <w:color w:val="333333"/>
      <w:sz w:val="22"/>
      <w:szCs w:val="22"/>
    </w:rPr>
  </w:style>
  <w:style w:type="character" w:customStyle="1" w:styleId="214">
    <w:name w:val="Char Char311"/>
    <w:autoRedefine/>
    <w:qFormat/>
    <w:uiPriority w:val="0"/>
    <w:rPr>
      <w:rFonts w:eastAsia="宋体"/>
      <w:kern w:val="2"/>
      <w:sz w:val="21"/>
      <w:szCs w:val="24"/>
      <w:lang w:val="en-US" w:eastAsia="zh-CN" w:bidi="ar-SA"/>
    </w:rPr>
  </w:style>
  <w:style w:type="character" w:customStyle="1" w:styleId="215">
    <w:name w:val="Char Char81"/>
    <w:autoRedefine/>
    <w:qFormat/>
    <w:uiPriority w:val="6"/>
    <w:rPr>
      <w:rFonts w:eastAsia="宋体"/>
      <w:b/>
      <w:sz w:val="24"/>
      <w:lang w:val="en-GB" w:eastAsia="zh-CN"/>
    </w:rPr>
  </w:style>
  <w:style w:type="character" w:customStyle="1" w:styleId="216">
    <w:name w:val="样式3 Char"/>
    <w:basedOn w:val="167"/>
    <w:autoRedefine/>
    <w:qFormat/>
    <w:uiPriority w:val="0"/>
    <w:rPr>
      <w:rFonts w:ascii="仿宋_GB2312" w:hAnsi="仿宋" w:eastAsia="仿宋_GB2312" w:cs="仿宋_GB2312"/>
      <w:sz w:val="32"/>
      <w:szCs w:val="30"/>
      <w:lang w:val="zh-CN"/>
    </w:rPr>
  </w:style>
  <w:style w:type="character" w:customStyle="1" w:styleId="217">
    <w:name w:val="HTML 地址 Char"/>
    <w:link w:val="30"/>
    <w:autoRedefine/>
    <w:qFormat/>
    <w:uiPriority w:val="0"/>
    <w:rPr>
      <w:rFonts w:ascii="宋体" w:hAnsi="宋体"/>
      <w:i/>
      <w:iCs/>
      <w:sz w:val="24"/>
      <w:szCs w:val="24"/>
    </w:rPr>
  </w:style>
  <w:style w:type="character" w:customStyle="1" w:styleId="218">
    <w:name w:val="正文首行缩进 2 Char1"/>
    <w:autoRedefine/>
    <w:qFormat/>
    <w:uiPriority w:val="0"/>
    <w:rPr>
      <w:rFonts w:ascii="Times New Roman" w:hAnsi="Times New Roman" w:eastAsia="宋体" w:cs="Times New Roman"/>
      <w:kern w:val="2"/>
      <w:sz w:val="24"/>
      <w:szCs w:val="24"/>
    </w:rPr>
  </w:style>
  <w:style w:type="character" w:customStyle="1" w:styleId="219">
    <w:name w:val="副标题 Char2"/>
    <w:autoRedefine/>
    <w:qFormat/>
    <w:uiPriority w:val="0"/>
    <w:rPr>
      <w:rFonts w:ascii="Cambria" w:hAnsi="Cambria" w:eastAsia="宋体" w:cs="Times New Roman"/>
      <w:b/>
      <w:bCs/>
      <w:snapToGrid w:val="0"/>
      <w:kern w:val="28"/>
      <w:sz w:val="32"/>
      <w:szCs w:val="32"/>
    </w:rPr>
  </w:style>
  <w:style w:type="character" w:customStyle="1" w:styleId="220">
    <w:name w:val="标题4-dyf Char"/>
    <w:link w:val="221"/>
    <w:autoRedefine/>
    <w:qFormat/>
    <w:uiPriority w:val="0"/>
    <w:rPr>
      <w:rFonts w:ascii="Cambria" w:hAnsi="Cambria"/>
      <w:b/>
      <w:bCs/>
      <w:color w:val="000000"/>
      <w:kern w:val="2"/>
      <w:sz w:val="21"/>
      <w:szCs w:val="21"/>
    </w:rPr>
  </w:style>
  <w:style w:type="paragraph" w:customStyle="1" w:styleId="221">
    <w:name w:val="标题4-dyf"/>
    <w:basedOn w:val="6"/>
    <w:link w:val="220"/>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autoRedefine/>
    <w:qFormat/>
    <w:uiPriority w:val="0"/>
    <w:rPr>
      <w:rFonts w:ascii="宋体" w:hAnsi="宋体" w:eastAsia="宋体"/>
      <w:color w:val="333333"/>
      <w:sz w:val="21"/>
      <w:szCs w:val="21"/>
      <w:u w:val="none"/>
    </w:rPr>
  </w:style>
  <w:style w:type="character" w:customStyle="1" w:styleId="223">
    <w:name w:val="冯 Char"/>
    <w:link w:val="224"/>
    <w:autoRedefine/>
    <w:qFormat/>
    <w:uiPriority w:val="0"/>
    <w:rPr>
      <w:rFonts w:ascii="宋体" w:hAnsi="宋体"/>
      <w:color w:val="000000"/>
      <w:sz w:val="24"/>
      <w:szCs w:val="24"/>
    </w:rPr>
  </w:style>
  <w:style w:type="paragraph" w:customStyle="1" w:styleId="224">
    <w:name w:val="冯"/>
    <w:basedOn w:val="1"/>
    <w:link w:val="223"/>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autoRedefine/>
    <w:qFormat/>
    <w:locked/>
    <w:uiPriority w:val="0"/>
    <w:rPr>
      <w:rFonts w:eastAsia="宋体"/>
      <w:kern w:val="2"/>
      <w:sz w:val="18"/>
      <w:szCs w:val="18"/>
      <w:lang w:val="en-US" w:eastAsia="zh-CN" w:bidi="ar-SA"/>
    </w:rPr>
  </w:style>
  <w:style w:type="character" w:customStyle="1" w:styleId="226">
    <w:name w:val="Char Char12"/>
    <w:autoRedefine/>
    <w:qFormat/>
    <w:uiPriority w:val="0"/>
    <w:rPr>
      <w:rFonts w:ascii="仿宋_GB2312" w:eastAsia="仿宋_GB2312"/>
      <w:b/>
      <w:bCs/>
      <w:kern w:val="2"/>
      <w:sz w:val="24"/>
      <w:szCs w:val="24"/>
      <w:lang w:val="zh-CN" w:eastAsia="zh-CN" w:bidi="ar-SA"/>
    </w:rPr>
  </w:style>
  <w:style w:type="character" w:customStyle="1" w:styleId="227">
    <w:name w:val="题注 Char"/>
    <w:link w:val="16"/>
    <w:autoRedefine/>
    <w:qFormat/>
    <w:uiPriority w:val="0"/>
    <w:rPr>
      <w:b/>
      <w:kern w:val="2"/>
      <w:sz w:val="28"/>
    </w:rPr>
  </w:style>
  <w:style w:type="character" w:customStyle="1" w:styleId="228">
    <w:name w:val="普通文字 Char3"/>
    <w:autoRedefine/>
    <w:qFormat/>
    <w:uiPriority w:val="0"/>
    <w:rPr>
      <w:rFonts w:ascii="宋体" w:hAnsi="Courier New" w:eastAsia="宋体"/>
      <w:kern w:val="2"/>
      <w:sz w:val="21"/>
      <w:lang w:val="en-US" w:eastAsia="zh-CN" w:bidi="ar-SA"/>
    </w:rPr>
  </w:style>
  <w:style w:type="character" w:customStyle="1" w:styleId="229">
    <w:name w:val="公文正文 Char"/>
    <w:autoRedefine/>
    <w:qFormat/>
    <w:uiPriority w:val="0"/>
    <w:rPr>
      <w:rFonts w:ascii="仿宋_GB2312" w:eastAsia="仿宋_GB2312"/>
      <w:kern w:val="2"/>
      <w:sz w:val="24"/>
      <w:szCs w:val="24"/>
      <w:lang w:val="en-US" w:eastAsia="zh-CN" w:bidi="ar-SA"/>
    </w:rPr>
  </w:style>
  <w:style w:type="character" w:customStyle="1" w:styleId="230">
    <w:name w:val="正文首行缩进 Char Char Char Char Char"/>
    <w:autoRedefine/>
    <w:qFormat/>
    <w:uiPriority w:val="0"/>
    <w:rPr>
      <w:rFonts w:ascii="宋体"/>
      <w:kern w:val="2"/>
      <w:sz w:val="24"/>
      <w:lang w:val="zh-CN"/>
    </w:rPr>
  </w:style>
  <w:style w:type="character" w:customStyle="1" w:styleId="231">
    <w:name w:val="PI Char"/>
    <w:autoRedefine/>
    <w:qFormat/>
    <w:uiPriority w:val="0"/>
    <w:rPr>
      <w:rFonts w:ascii="宋体" w:hAnsi="宋体" w:eastAsia="宋体"/>
      <w:kern w:val="2"/>
      <w:sz w:val="24"/>
      <w:szCs w:val="24"/>
      <w:lang w:val="en-US" w:eastAsia="zh-CN" w:bidi="ar-SA"/>
    </w:rPr>
  </w:style>
  <w:style w:type="character" w:customStyle="1" w:styleId="232">
    <w:name w:val="Default Char"/>
    <w:link w:val="233"/>
    <w:autoRedefine/>
    <w:qFormat/>
    <w:uiPriority w:val="0"/>
    <w:rPr>
      <w:rFonts w:ascii="仿宋_GB2312" w:eastAsia="仿宋_GB2312" w:cs="仿宋_GB2312"/>
      <w:color w:val="000000"/>
      <w:sz w:val="24"/>
      <w:szCs w:val="24"/>
      <w:lang w:val="en-US" w:eastAsia="zh-CN" w:bidi="ar-SA"/>
    </w:rPr>
  </w:style>
  <w:style w:type="paragraph" w:customStyle="1" w:styleId="233">
    <w:name w:val="Default"/>
    <w:link w:val="232"/>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semiHidden/>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locked/>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5"/>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semiHidden/>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
    <w:autoRedefine/>
    <w:qFormat/>
    <w:locked/>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3"/>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8"/>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7"/>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autoRedefine/>
    <w:qFormat/>
    <w:uiPriority w:val="0"/>
    <w:rPr>
      <w:rFonts w:ascii="仿宋_GB2312" w:eastAsia="仿宋_GB2312"/>
      <w:kern w:val="2"/>
      <w:sz w:val="28"/>
    </w:rPr>
  </w:style>
  <w:style w:type="character" w:customStyle="1" w:styleId="297">
    <w:name w:val="文本正文 Char Char"/>
    <w:autoRedefine/>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9"/>
    <w:autoRedefine/>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semiHidden/>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0"/>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Lines="0" w:afterLines="0"/>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799">
    <w:name w:val="单元格左对齐"/>
    <w:basedOn w:val="1"/>
    <w:autoRedefine/>
    <w:qFormat/>
    <w:uiPriority w:val="0"/>
    <w:pPr>
      <w:adjustRightInd/>
      <w:spacing w:line="360" w:lineRule="auto"/>
    </w:pPr>
    <w:rPr>
      <w:sz w:val="24"/>
    </w:rPr>
  </w:style>
  <w:style w:type="paragraph" w:customStyle="1" w:styleId="800">
    <w:name w:val="正文主体"/>
    <w:basedOn w:val="622"/>
    <w:autoRedefine/>
    <w:qFormat/>
    <w:uiPriority w:val="0"/>
  </w:style>
  <w:style w:type="paragraph" w:customStyle="1" w:styleId="801">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autoRedefine/>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09">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0">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autoRedefine/>
    <w:qFormat/>
    <w:uiPriority w:val="0"/>
    <w:pPr>
      <w:widowControl/>
      <w:adjustRightInd/>
      <w:spacing w:after="160" w:line="240" w:lineRule="exact"/>
      <w:jc w:val="left"/>
    </w:pPr>
  </w:style>
  <w:style w:type="paragraph" w:customStyle="1" w:styleId="82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autoRedefine/>
    <w:qFormat/>
    <w:uiPriority w:val="0"/>
    <w:pPr>
      <w:adjustRightInd/>
      <w:ind w:firstLine="200" w:firstLineChars="200"/>
    </w:pPr>
    <w:rPr>
      <w:rFonts w:ascii="Tahoma" w:hAnsi="Tahoma"/>
      <w:sz w:val="24"/>
      <w:szCs w:val="20"/>
    </w:rPr>
  </w:style>
  <w:style w:type="paragraph" w:customStyle="1" w:styleId="830">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8"/>
    <w:qFormat/>
    <w:uiPriority w:val="0"/>
    <w:pPr>
      <w:tabs>
        <w:tab w:val="left" w:pos="0"/>
      </w:tabs>
      <w:ind w:left="900" w:firstLine="0" w:firstLineChars="0"/>
    </w:pPr>
  </w:style>
  <w:style w:type="paragraph" w:customStyle="1" w:styleId="833">
    <w:name w:val="Bulleted List"/>
    <w:basedOn w:val="1"/>
    <w:autoRedefine/>
    <w:qFormat/>
    <w:uiPriority w:val="0"/>
    <w:pPr>
      <w:tabs>
        <w:tab w:val="left" w:pos="1260"/>
      </w:tabs>
      <w:adjustRightInd/>
      <w:ind w:left="1260" w:hanging="420"/>
    </w:pPr>
  </w:style>
  <w:style w:type="paragraph" w:customStyle="1" w:styleId="834">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autoRedefine/>
    <w:qFormat/>
    <w:uiPriority w:val="0"/>
    <w:rPr>
      <w:rFonts w:ascii="Tahoma" w:hAnsi="Tahoma" w:cs="仿宋_GB2312"/>
      <w:sz w:val="24"/>
      <w:szCs w:val="20"/>
    </w:rPr>
  </w:style>
  <w:style w:type="paragraph" w:customStyle="1" w:styleId="837">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autoRedefine/>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autoRedefine/>
    <w:qFormat/>
    <w:uiPriority w:val="0"/>
    <w:pPr>
      <w:widowControl/>
      <w:spacing w:after="160" w:line="240" w:lineRule="exact"/>
      <w:jc w:val="left"/>
    </w:pPr>
    <w:rPr>
      <w:rFonts w:eastAsia="仿宋_GB2312"/>
      <w:sz w:val="28"/>
    </w:rPr>
  </w:style>
  <w:style w:type="paragraph" w:customStyle="1" w:styleId="858">
    <w:name w:val="Char21"/>
    <w:basedOn w:val="1"/>
    <w:autoRedefine/>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autoRedefine/>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3">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8"/>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70"/>
    <w:autoRedefine/>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autoRedefine/>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autoRedefine/>
    <w:qFormat/>
    <w:uiPriority w:val="0"/>
    <w:pPr>
      <w:adjustRightInd/>
    </w:pPr>
  </w:style>
  <w:style w:type="paragraph" w:customStyle="1" w:styleId="882">
    <w:name w:val="Char24"/>
    <w:basedOn w:val="1"/>
    <w:autoRedefine/>
    <w:qFormat/>
    <w:uiPriority w:val="0"/>
    <w:rPr>
      <w:rFonts w:ascii="仿宋_GB2312" w:eastAsia="仿宋_GB2312"/>
      <w:b/>
      <w:sz w:val="32"/>
      <w:szCs w:val="32"/>
    </w:rPr>
  </w:style>
  <w:style w:type="paragraph" w:customStyle="1" w:styleId="883">
    <w:name w:val="正文箭头"/>
    <w:basedOn w:val="536"/>
    <w:qFormat/>
    <w:uiPriority w:val="0"/>
  </w:style>
  <w:style w:type="paragraph" w:customStyle="1" w:styleId="884">
    <w:name w:val="U_编号2"/>
    <w:basedOn w:val="1"/>
    <w:autoRedefine/>
    <w:qFormat/>
    <w:uiPriority w:val="0"/>
    <w:pPr>
      <w:tabs>
        <w:tab w:val="left" w:pos="785"/>
      </w:tabs>
      <w:adjustRightInd/>
      <w:spacing w:beforeLines="10" w:afterLines="10" w:line="300" w:lineRule="auto"/>
    </w:pPr>
    <w:rPr>
      <w:sz w:val="24"/>
    </w:rPr>
  </w:style>
  <w:style w:type="paragraph" w:customStyle="1" w:styleId="885">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7"/>
    <w:autoRedefine/>
    <w:qFormat/>
    <w:uiPriority w:val="0"/>
    <w:rPr>
      <w:b w:val="0"/>
      <w:sz w:val="20"/>
    </w:rPr>
  </w:style>
  <w:style w:type="paragraph" w:customStyle="1" w:styleId="891">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7"/>
    <w:next w:val="1"/>
    <w:qFormat/>
    <w:uiPriority w:val="0"/>
    <w:pPr>
      <w:tabs>
        <w:tab w:val="left" w:pos="1080"/>
      </w:tabs>
      <w:ind w:left="1080" w:hanging="1080"/>
    </w:pPr>
  </w:style>
  <w:style w:type="paragraph" w:customStyle="1" w:styleId="894">
    <w:name w:val="数字标题1"/>
    <w:basedOn w:val="3"/>
    <w:next w:val="1"/>
    <w:autoRedefine/>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6">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autoRedefine/>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1"/>
    <w:autoRedefine/>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60"/>
    <w:qFormat/>
    <w:uiPriority w:val="0"/>
    <w:pPr>
      <w:ind w:left="0"/>
    </w:pPr>
  </w:style>
  <w:style w:type="paragraph" w:customStyle="1" w:styleId="915">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autoRedefine/>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8"/>
    <w:qFormat/>
    <w:uiPriority w:val="0"/>
    <w:rPr>
      <w:kern w:val="2"/>
      <w:sz w:val="21"/>
      <w:szCs w:val="24"/>
      <w:lang w:val="zh-CN"/>
    </w:rPr>
  </w:style>
  <w:style w:type="character" w:customStyle="1" w:styleId="930">
    <w:name w:val="无间隔 Char"/>
    <w:link w:val="481"/>
    <w:autoRedefine/>
    <w:qFormat/>
    <w:uiPriority w:val="99"/>
    <w:rPr>
      <w:kern w:val="2"/>
      <w:sz w:val="21"/>
      <w:szCs w:val="22"/>
    </w:rPr>
  </w:style>
  <w:style w:type="character" w:customStyle="1" w:styleId="931">
    <w:name w:val="标准文本 Char Char"/>
    <w:link w:val="932"/>
    <w:autoRedefine/>
    <w:qFormat/>
    <w:uiPriority w:val="0"/>
    <w:rPr>
      <w:rFonts w:cs="宋体"/>
      <w:kern w:val="2"/>
      <w:sz w:val="24"/>
    </w:rPr>
  </w:style>
  <w:style w:type="paragraph" w:customStyle="1" w:styleId="932">
    <w:name w:val="标准文本"/>
    <w:basedOn w:val="1"/>
    <w:link w:val="931"/>
    <w:autoRedefine/>
    <w:qFormat/>
    <w:uiPriority w:val="0"/>
    <w:pPr>
      <w:adjustRightInd/>
      <w:spacing w:line="360" w:lineRule="auto"/>
      <w:ind w:firstLine="480" w:firstLineChars="200"/>
    </w:pPr>
    <w:rPr>
      <w:rFonts w:cs="宋体"/>
      <w:sz w:val="24"/>
      <w:szCs w:val="20"/>
    </w:rPr>
  </w:style>
  <w:style w:type="character" w:customStyle="1" w:styleId="933">
    <w:name w:val="Char Char213"/>
    <w:autoRedefine/>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autoRedefine/>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autoRedefine/>
    <w:qFormat/>
    <w:uiPriority w:val="0"/>
    <w:rPr>
      <w:sz w:val="20"/>
      <w:szCs w:val="20"/>
    </w:rPr>
  </w:style>
  <w:style w:type="character" w:customStyle="1" w:styleId="939">
    <w:name w:val="正文文本缩进 字符"/>
    <w:autoRedefine/>
    <w:qFormat/>
    <w:uiPriority w:val="0"/>
    <w:rPr>
      <w:rFonts w:ascii="Century Gothic" w:hAnsi="Century Gothic" w:eastAsia="Century Gothic"/>
      <w:kern w:val="2"/>
      <w:sz w:val="24"/>
      <w:lang w:val="en-US" w:eastAsia="zh-CN" w:bidi="ar-SA"/>
    </w:rPr>
  </w:style>
  <w:style w:type="character" w:customStyle="1" w:styleId="940">
    <w:name w:val="正文文本 2 字符"/>
    <w:autoRedefine/>
    <w:qFormat/>
    <w:uiPriority w:val="0"/>
    <w:rPr>
      <w:rFonts w:ascii="Arial" w:hAnsi="Arial" w:eastAsia="宋体"/>
      <w:kern w:val="2"/>
      <w:sz w:val="24"/>
      <w:szCs w:val="24"/>
      <w:lang w:val="en-US" w:eastAsia="zh-CN" w:bidi="ar-SA"/>
    </w:rPr>
  </w:style>
  <w:style w:type="character" w:customStyle="1" w:styleId="941">
    <w:name w:val="edui-clickable2"/>
    <w:autoRedefine/>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autoRedefine/>
    <w:qFormat/>
    <w:uiPriority w:val="0"/>
    <w:rPr>
      <w:color w:val="000000"/>
      <w:sz w:val="18"/>
    </w:rPr>
  </w:style>
  <w:style w:type="paragraph" w:customStyle="1" w:styleId="946">
    <w:name w:val="_Style 947"/>
    <w:basedOn w:val="1"/>
    <w:next w:val="256"/>
    <w:autoRedefine/>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3">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autoRedefine/>
    <w:qFormat/>
    <w:uiPriority w:val="0"/>
    <w:pPr>
      <w:adjustRightInd/>
      <w:jc w:val="left"/>
    </w:pPr>
    <w:rPr>
      <w:rFonts w:ascii="Calibri" w:hAnsi="Calibri"/>
      <w:kern w:val="0"/>
      <w:sz w:val="22"/>
      <w:szCs w:val="22"/>
      <w:lang w:eastAsia="en-US"/>
    </w:rPr>
  </w:style>
  <w:style w:type="paragraph" w:customStyle="1" w:styleId="95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autoRedefine/>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2">
    <w:name w:val="A_正文_两端"/>
    <w:basedOn w:val="1"/>
    <w:qFormat/>
    <w:uiPriority w:val="0"/>
    <w:pPr>
      <w:ind w:firstLine="560" w:firstLineChars="200"/>
    </w:pPr>
    <w:rPr>
      <w:rFonts w:eastAsia="仿宋"/>
      <w:szCs w:val="28"/>
    </w:rPr>
  </w:style>
  <w:style w:type="paragraph" w:customStyle="1" w:styleId="963">
    <w:name w:val="BZ_正文"/>
    <w:basedOn w:val="1"/>
    <w:autoRedefine/>
    <w:qFormat/>
    <w:uiPriority w:val="0"/>
    <w:pPr>
      <w:spacing w:line="360" w:lineRule="auto"/>
      <w:ind w:firstLine="200" w:firstLineChars="200"/>
    </w:pPr>
    <w:rPr>
      <w:sz w:val="24"/>
    </w:rPr>
  </w:style>
  <w:style w:type="paragraph" w:customStyle="1" w:styleId="964">
    <w:name w:val="我的正文"/>
    <w:basedOn w:val="1"/>
    <w:autoRedefine/>
    <w:qFormat/>
    <w:uiPriority w:val="0"/>
    <w:pPr>
      <w:spacing w:line="360" w:lineRule="auto"/>
      <w:ind w:firstLine="539"/>
    </w:pPr>
    <w:rPr>
      <w:sz w:val="24"/>
    </w:rPr>
  </w:style>
  <w:style w:type="paragraph" w:customStyle="1" w:styleId="965">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6">
    <w:name w:val="列出段落6"/>
    <w:basedOn w:val="1"/>
    <w:unhideWhenUsed/>
    <w:qFormat/>
    <w:uiPriority w:val="99"/>
    <w:pPr>
      <w:ind w:firstLine="420" w:firstLineChars="200"/>
    </w:pPr>
  </w:style>
  <w:style w:type="paragraph" w:customStyle="1" w:styleId="967">
    <w:name w:val="修订6"/>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8">
    <w:name w:val="修订7"/>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969">
    <w:name w:val="修订8"/>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108</Pages>
  <Words>55193</Words>
  <Characters>57744</Characters>
  <Lines>439</Lines>
  <Paragraphs>123</Paragraphs>
  <TotalTime>60</TotalTime>
  <ScaleCrop>false</ScaleCrop>
  <LinksUpToDate>false</LinksUpToDate>
  <CharactersWithSpaces>59589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2024-05-29T07:58:00Z</dcterms:created>
  <dc:creator>玥</dc:creator>
  <cp:lastModifiedBy>dell</cp:lastModifiedBy>
  <cp:lastPrinted>2021-12-28T03:06:00Z</cp:lastPrinted>
  <dcterms:modified xsi:type="dcterms:W3CDTF">2024-05-31T08:04:01Z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86ED9164F8B543E38E9D50D86AC3DE6F_13</vt:lpwstr>
  </property>
</Properties>
</file>