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5E68D">
      <w:pPr>
        <w:spacing w:line="360" w:lineRule="auto"/>
        <w:jc w:val="center"/>
        <w:rPr>
          <w:rFonts w:hint="eastAsia" w:ascii="仿宋" w:hAnsi="仿宋" w:eastAsia="仿宋" w:cs="仿宋"/>
          <w:b/>
          <w:color w:val="auto"/>
          <w:sz w:val="24"/>
          <w:highlight w:val="none"/>
        </w:rPr>
      </w:pPr>
    </w:p>
    <w:p w14:paraId="3EC96820">
      <w:pPr>
        <w:spacing w:line="360" w:lineRule="auto"/>
        <w:jc w:val="center"/>
        <w:rPr>
          <w:rFonts w:hint="eastAsia" w:ascii="仿宋" w:hAnsi="仿宋" w:eastAsia="仿宋" w:cs="仿宋"/>
          <w:b/>
          <w:color w:val="auto"/>
          <w:sz w:val="24"/>
          <w:highlight w:val="none"/>
        </w:rPr>
      </w:pPr>
    </w:p>
    <w:p w14:paraId="42C3E5B2">
      <w:pPr>
        <w:adjustRightInd/>
        <w:spacing w:line="360" w:lineRule="auto"/>
        <w:jc w:val="center"/>
        <w:rPr>
          <w:rFonts w:hint="eastAsia" w:ascii="仿宋" w:hAnsi="仿宋" w:eastAsia="仿宋" w:cs="仿宋"/>
          <w:b/>
          <w:color w:val="auto"/>
          <w:sz w:val="44"/>
          <w:szCs w:val="44"/>
          <w:highlight w:val="none"/>
        </w:rPr>
      </w:pPr>
    </w:p>
    <w:p w14:paraId="078762E4">
      <w:pPr>
        <w:spacing w:line="360" w:lineRule="auto"/>
        <w:jc w:val="center"/>
        <w:rPr>
          <w:rFonts w:hint="eastAsia" w:ascii="仿宋" w:hAnsi="仿宋" w:eastAsia="仿宋" w:cs="仿宋"/>
          <w:b/>
          <w:color w:val="auto"/>
          <w:sz w:val="44"/>
          <w:szCs w:val="44"/>
          <w:highlight w:val="none"/>
        </w:rPr>
      </w:pPr>
    </w:p>
    <w:p w14:paraId="568F63E2">
      <w:pPr>
        <w:adjustRightInd/>
        <w:spacing w:line="360" w:lineRule="auto"/>
        <w:jc w:val="center"/>
        <w:rPr>
          <w:rFonts w:hint="eastAsia" w:ascii="仿宋" w:hAnsi="仿宋" w:eastAsia="仿宋" w:cs="仿宋"/>
          <w:b/>
          <w:color w:val="auto"/>
          <w:sz w:val="44"/>
          <w:szCs w:val="44"/>
          <w:highlight w:val="none"/>
        </w:rPr>
      </w:pPr>
    </w:p>
    <w:p w14:paraId="2EDA5135">
      <w:pPr>
        <w:adjustRightInd/>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fldChar w:fldCharType="begin"/>
      </w:r>
      <w:r>
        <w:rPr>
          <w:rFonts w:hint="eastAsia" w:ascii="仿宋" w:hAnsi="仿宋" w:eastAsia="仿宋" w:cs="仿宋"/>
          <w:color w:val="auto"/>
          <w:sz w:val="32"/>
          <w:szCs w:val="32"/>
          <w:highlight w:val="none"/>
          <w:lang w:eastAsia="zh-CN"/>
        </w:rPr>
        <w:instrText xml:space="preserve"> HYPERLINK "javascript:;" </w:instrText>
      </w:r>
      <w:r>
        <w:rPr>
          <w:rFonts w:hint="eastAsia" w:ascii="仿宋" w:hAnsi="仿宋" w:eastAsia="仿宋" w:cs="仿宋"/>
          <w:color w:val="auto"/>
          <w:sz w:val="32"/>
          <w:szCs w:val="32"/>
          <w:highlight w:val="none"/>
          <w:lang w:eastAsia="zh-CN"/>
        </w:rPr>
        <w:fldChar w:fldCharType="separate"/>
      </w:r>
      <w:r>
        <w:rPr>
          <w:rFonts w:hint="eastAsia" w:ascii="仿宋" w:hAnsi="仿宋" w:eastAsia="仿宋" w:cs="仿宋"/>
          <w:color w:val="auto"/>
          <w:sz w:val="32"/>
          <w:szCs w:val="32"/>
          <w:highlight w:val="none"/>
          <w:lang w:eastAsia="zh-CN"/>
        </w:rPr>
        <w:t>杭州市市民中心公务服务及会议中心劳务服务外包人员经费</w:t>
      </w:r>
      <w:r>
        <w:rPr>
          <w:rFonts w:hint="eastAsia" w:ascii="仿宋" w:hAnsi="仿宋" w:eastAsia="仿宋" w:cs="仿宋"/>
          <w:color w:val="auto"/>
          <w:sz w:val="32"/>
          <w:szCs w:val="32"/>
          <w:highlight w:val="none"/>
          <w:lang w:eastAsia="zh-CN"/>
        </w:rPr>
        <w:fldChar w:fldCharType="end"/>
      </w:r>
    </w:p>
    <w:p w14:paraId="18EDB055">
      <w:pPr>
        <w:adjustRightInd/>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招标文件 </w:t>
      </w:r>
    </w:p>
    <w:p w14:paraId="55DF3907">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4DB99818">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DL[2024]387</w:t>
      </w:r>
    </w:p>
    <w:p w14:paraId="13513FC7">
      <w:pPr>
        <w:snapToGrid w:val="0"/>
        <w:spacing w:line="360" w:lineRule="auto"/>
        <w:jc w:val="center"/>
        <w:rPr>
          <w:rFonts w:hint="eastAsia" w:ascii="仿宋" w:hAnsi="仿宋" w:eastAsia="仿宋" w:cs="仿宋"/>
          <w:color w:val="auto"/>
          <w:sz w:val="30"/>
          <w:szCs w:val="30"/>
          <w:highlight w:val="none"/>
        </w:rPr>
      </w:pPr>
    </w:p>
    <w:p w14:paraId="08BF693B">
      <w:pPr>
        <w:adjustRightInd/>
        <w:spacing w:line="360" w:lineRule="auto"/>
        <w:rPr>
          <w:rFonts w:hint="eastAsia" w:ascii="仿宋" w:hAnsi="仿宋" w:eastAsia="仿宋" w:cs="仿宋"/>
          <w:color w:val="auto"/>
          <w:sz w:val="28"/>
          <w:szCs w:val="20"/>
          <w:highlight w:val="none"/>
        </w:rPr>
      </w:pPr>
    </w:p>
    <w:p w14:paraId="17393370">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3643CD39">
      <w:pPr>
        <w:spacing w:line="360" w:lineRule="auto"/>
        <w:jc w:val="center"/>
        <w:rPr>
          <w:rFonts w:hint="eastAsia" w:ascii="仿宋" w:hAnsi="仿宋" w:eastAsia="仿宋" w:cs="仿宋"/>
          <w:b/>
          <w:color w:val="auto"/>
          <w:sz w:val="44"/>
          <w:szCs w:val="44"/>
          <w:highlight w:val="none"/>
        </w:rPr>
      </w:pPr>
    </w:p>
    <w:p w14:paraId="199B4A31">
      <w:pPr>
        <w:spacing w:line="360" w:lineRule="auto"/>
        <w:jc w:val="center"/>
        <w:rPr>
          <w:rFonts w:hint="eastAsia" w:ascii="仿宋" w:hAnsi="仿宋" w:eastAsia="仿宋" w:cs="仿宋"/>
          <w:color w:val="auto"/>
          <w:sz w:val="24"/>
          <w:highlight w:val="none"/>
        </w:rPr>
      </w:pPr>
    </w:p>
    <w:p w14:paraId="0E606FA5">
      <w:pPr>
        <w:spacing w:line="360" w:lineRule="auto"/>
        <w:jc w:val="center"/>
        <w:rPr>
          <w:rFonts w:hint="eastAsia" w:ascii="仿宋" w:hAnsi="仿宋" w:eastAsia="仿宋" w:cs="仿宋"/>
          <w:color w:val="auto"/>
          <w:sz w:val="24"/>
          <w:highlight w:val="none"/>
        </w:rPr>
      </w:pPr>
    </w:p>
    <w:p w14:paraId="1CD7CCAE">
      <w:pPr>
        <w:spacing w:line="360" w:lineRule="auto"/>
        <w:rPr>
          <w:rFonts w:hint="eastAsia" w:ascii="仿宋" w:hAnsi="仿宋" w:eastAsia="仿宋" w:cs="仿宋"/>
          <w:color w:val="auto"/>
          <w:sz w:val="32"/>
          <w:szCs w:val="32"/>
          <w:highlight w:val="none"/>
        </w:rPr>
      </w:pPr>
    </w:p>
    <w:p w14:paraId="071B77B9">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采购人：杭州市行政大楼服务保障中心</w:t>
      </w:r>
    </w:p>
    <w:p w14:paraId="69994A92">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采购代理机构：建正工程咨询有限公司</w:t>
      </w:r>
    </w:p>
    <w:p w14:paraId="58A41288">
      <w:pPr>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十一</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二十一日</w:t>
      </w:r>
      <w:r>
        <w:rPr>
          <w:rFonts w:hint="eastAsia" w:ascii="仿宋" w:hAnsi="仿宋" w:eastAsia="仿宋" w:cs="仿宋"/>
          <w:color w:val="auto"/>
          <w:sz w:val="24"/>
          <w:highlight w:val="none"/>
        </w:rPr>
        <w:br w:type="page"/>
      </w:r>
      <w:bookmarkStart w:id="0" w:name="_Hlt67893495"/>
      <w:bookmarkEnd w:id="0"/>
    </w:p>
    <w:p w14:paraId="46612E42">
      <w:pPr>
        <w:pStyle w:val="43"/>
        <w:tabs>
          <w:tab w:val="right" w:leader="dot" w:pos="9070"/>
        </w:tabs>
        <w:rPr>
          <w:rFonts w:hint="eastAsia" w:ascii="仿宋" w:hAnsi="仿宋" w:eastAsia="仿宋" w:cs="仿宋"/>
          <w:b/>
          <w:color w:val="auto"/>
          <w:sz w:val="36"/>
          <w:szCs w:val="20"/>
          <w:highlight w:val="none"/>
        </w:rPr>
      </w:pPr>
      <w:bookmarkStart w:id="1" w:name="第二部分"/>
      <w:bookmarkStart w:id="2" w:name="_Toc91899870"/>
      <w:bookmarkStart w:id="3" w:name="_Toc91899871"/>
    </w:p>
    <w:p w14:paraId="12E1099F">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lang w:val="en-US" w:eastAsia="zh-CN"/>
        </w:rPr>
        <w:t xml:space="preserve">  </w:t>
      </w:r>
      <w:r>
        <w:rPr>
          <w:rFonts w:hint="eastAsia" w:ascii="仿宋" w:hAnsi="仿宋" w:eastAsia="仿宋" w:cs="仿宋"/>
          <w:b/>
          <w:color w:val="auto"/>
          <w:sz w:val="48"/>
          <w:szCs w:val="48"/>
          <w:highlight w:val="none"/>
        </w:rPr>
        <w:t>目  录</w:t>
      </w:r>
    </w:p>
    <w:p w14:paraId="0C2DB838">
      <w:pPr>
        <w:pStyle w:val="43"/>
        <w:tabs>
          <w:tab w:val="right" w:leader="dot" w:pos="9070"/>
        </w:tabs>
        <w:rPr>
          <w:rFonts w:hint="eastAsia" w:ascii="仿宋" w:hAnsi="仿宋" w:eastAsia="仿宋" w:cs="仿宋"/>
          <w:b/>
          <w:color w:val="auto"/>
          <w:sz w:val="30"/>
          <w:szCs w:val="30"/>
          <w:highlight w:val="none"/>
        </w:rPr>
      </w:pPr>
    </w:p>
    <w:p w14:paraId="44331058">
      <w:pPr>
        <w:pStyle w:val="43"/>
        <w:keepNext w:val="0"/>
        <w:keepLines w:val="0"/>
        <w:pageBreakBefore w:val="0"/>
        <w:widowControl w:val="0"/>
        <w:tabs>
          <w:tab w:val="right" w:leader="dot" w:pos="9070"/>
        </w:tabs>
        <w:kinsoku/>
        <w:wordWrap/>
        <w:overflowPunct/>
        <w:topLinePunct w:val="0"/>
        <w:autoSpaceDE/>
        <w:autoSpaceDN/>
        <w:bidi w:val="0"/>
        <w:snapToGrid/>
        <w:spacing w:line="480" w:lineRule="auto"/>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TOC \o "1-1" \h \u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_Toc20363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_Toc20363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6C79871">
      <w:pPr>
        <w:pStyle w:val="43"/>
        <w:keepNext w:val="0"/>
        <w:keepLines w:val="0"/>
        <w:pageBreakBefore w:val="0"/>
        <w:widowControl w:val="0"/>
        <w:tabs>
          <w:tab w:val="right" w:leader="dot" w:pos="9070"/>
        </w:tabs>
        <w:kinsoku/>
        <w:wordWrap/>
        <w:overflowPunct/>
        <w:topLinePunct w:val="0"/>
        <w:autoSpaceDE/>
        <w:autoSpaceDN/>
        <w:bidi w:val="0"/>
        <w:snapToGrid/>
        <w:spacing w:line="48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_Toc118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第二部分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_Toc118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4DC69D7">
      <w:pPr>
        <w:pStyle w:val="43"/>
        <w:keepNext w:val="0"/>
        <w:keepLines w:val="0"/>
        <w:pageBreakBefore w:val="0"/>
        <w:widowControl w:val="0"/>
        <w:tabs>
          <w:tab w:val="right" w:leader="dot" w:pos="9070"/>
        </w:tabs>
        <w:kinsoku/>
        <w:wordWrap/>
        <w:overflowPunct/>
        <w:topLinePunct w:val="0"/>
        <w:autoSpaceDE/>
        <w:autoSpaceDN/>
        <w:bidi w:val="0"/>
        <w:snapToGrid/>
        <w:spacing w:line="48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_Toc14652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_Toc14652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88C3404">
      <w:pPr>
        <w:pStyle w:val="43"/>
        <w:keepNext w:val="0"/>
        <w:keepLines w:val="0"/>
        <w:pageBreakBefore w:val="0"/>
        <w:widowControl w:val="0"/>
        <w:tabs>
          <w:tab w:val="right" w:leader="dot" w:pos="9070"/>
        </w:tabs>
        <w:kinsoku/>
        <w:wordWrap/>
        <w:overflowPunct/>
        <w:topLinePunct w:val="0"/>
        <w:autoSpaceDE/>
        <w:autoSpaceDN/>
        <w:bidi w:val="0"/>
        <w:snapToGrid/>
        <w:spacing w:line="48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1B57DD7">
      <w:pPr>
        <w:pStyle w:val="43"/>
        <w:keepNext w:val="0"/>
        <w:keepLines w:val="0"/>
        <w:pageBreakBefore w:val="0"/>
        <w:widowControl w:val="0"/>
        <w:tabs>
          <w:tab w:val="right" w:leader="dot" w:pos="9070"/>
        </w:tabs>
        <w:kinsoku/>
        <w:wordWrap/>
        <w:overflowPunct/>
        <w:topLinePunct w:val="0"/>
        <w:autoSpaceDE/>
        <w:autoSpaceDN/>
        <w:bidi w:val="0"/>
        <w:snapToGrid/>
        <w:spacing w:line="48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_Toc23763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_Toc23763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CD58B85">
      <w:pPr>
        <w:pStyle w:val="43"/>
        <w:keepNext w:val="0"/>
        <w:keepLines w:val="0"/>
        <w:pageBreakBefore w:val="0"/>
        <w:widowControl w:val="0"/>
        <w:tabs>
          <w:tab w:val="right" w:leader="dot" w:pos="9070"/>
        </w:tabs>
        <w:kinsoku/>
        <w:wordWrap/>
        <w:overflowPunct/>
        <w:topLinePunct w:val="0"/>
        <w:autoSpaceDE/>
        <w:autoSpaceDN/>
        <w:bidi w:val="0"/>
        <w:snapToGrid/>
        <w:spacing w:line="48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_Toc32709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第六部分 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_Toc32709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CC585A7">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仿宋" w:hAnsi="仿宋" w:eastAsia="仿宋" w:cs="仿宋"/>
          <w:b/>
          <w:color w:val="auto"/>
          <w:sz w:val="36"/>
          <w:szCs w:val="20"/>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sz w:val="28"/>
          <w:szCs w:val="28"/>
          <w:highlight w:val="none"/>
        </w:rPr>
        <w:fldChar w:fldCharType="end"/>
      </w:r>
    </w:p>
    <w:p w14:paraId="371E9C03">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4" w:name="_Toc20363"/>
      <w:r>
        <w:rPr>
          <w:rFonts w:hint="eastAsia" w:ascii="仿宋" w:hAnsi="仿宋" w:eastAsia="仿宋" w:cs="仿宋"/>
          <w:b/>
          <w:color w:val="auto"/>
          <w:sz w:val="36"/>
          <w:szCs w:val="20"/>
          <w:highlight w:val="none"/>
        </w:rPr>
        <w:t>第一部分 招标公告</w:t>
      </w:r>
      <w:bookmarkEnd w:id="4"/>
    </w:p>
    <w:p w14:paraId="74173AD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w:t>
      </w:r>
    </w:p>
    <w:p w14:paraId="35F8826E">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仿宋" w:hAnsi="仿宋" w:eastAsia="仿宋" w:cs="仿宋"/>
          <w:color w:val="auto"/>
          <w:sz w:val="21"/>
          <w:szCs w:val="21"/>
          <w:highlight w:val="none"/>
          <w:u w:val="single"/>
        </w:rPr>
      </w:pPr>
      <w:r>
        <w:rPr>
          <w:rFonts w:hint="eastAsia" w:ascii="仿宋" w:hAnsi="仿宋" w:eastAsia="仿宋" w:cs="仿宋"/>
          <w:b/>
          <w:bCs/>
          <w:color w:val="auto"/>
          <w:sz w:val="21"/>
          <w:szCs w:val="21"/>
          <w:highlight w:val="none"/>
          <w:u w:val="single"/>
          <w:lang w:val="en-US" w:eastAsia="zh-CN"/>
        </w:rPr>
        <w:t>杭州市市民中心公务服务及会议中心劳务服务外包人员经费</w:t>
      </w:r>
      <w:r>
        <w:rPr>
          <w:rFonts w:hint="eastAsia" w:ascii="仿宋" w:hAnsi="仿宋" w:eastAsia="仿宋" w:cs="仿宋"/>
          <w:color w:val="auto"/>
          <w:sz w:val="21"/>
          <w:szCs w:val="21"/>
          <w:highlight w:val="none"/>
        </w:rPr>
        <w:t>招标项目的潜在投标人应在政采云平台（</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"https://www.zcygov.cn/）获取（下载）招标文件，并于202%20年%20月%20日%20点%20分00秒" </w:instrText>
      </w:r>
      <w:r>
        <w:rPr>
          <w:rFonts w:hint="eastAsia" w:ascii="仿宋" w:hAnsi="仿宋" w:eastAsia="仿宋" w:cs="仿宋"/>
          <w:color w:val="auto"/>
          <w:sz w:val="21"/>
          <w:szCs w:val="21"/>
          <w:highlight w:val="none"/>
        </w:rPr>
        <w:fldChar w:fldCharType="separate"/>
      </w:r>
      <w:r>
        <w:rPr>
          <w:rStyle w:val="77"/>
          <w:rFonts w:hint="eastAsia" w:ascii="仿宋" w:hAnsi="仿宋" w:eastAsia="仿宋" w:cs="仿宋"/>
          <w:snapToGrid/>
          <w:color w:val="auto"/>
          <w:kern w:val="2"/>
          <w:sz w:val="21"/>
          <w:szCs w:val="21"/>
          <w:highlight w:val="none"/>
        </w:rPr>
        <w:t>https://www.zcygov.cn/）获取（下载）招标文件，并于</w:t>
      </w:r>
      <w:r>
        <w:rPr>
          <w:rStyle w:val="77"/>
          <w:rFonts w:hint="eastAsia" w:ascii="仿宋" w:hAnsi="仿宋" w:eastAsia="仿宋" w:cs="仿宋"/>
          <w:b/>
          <w:bCs/>
          <w:snapToGrid/>
          <w:color w:val="auto"/>
          <w:kern w:val="2"/>
          <w:sz w:val="21"/>
          <w:szCs w:val="21"/>
          <w:highlight w:val="none"/>
          <w:u w:val="single"/>
        </w:rPr>
        <w:t>202</w:t>
      </w:r>
      <w:r>
        <w:rPr>
          <w:rStyle w:val="77"/>
          <w:rFonts w:hint="eastAsia" w:ascii="仿宋" w:hAnsi="仿宋" w:eastAsia="仿宋" w:cs="仿宋"/>
          <w:b/>
          <w:bCs/>
          <w:snapToGrid/>
          <w:color w:val="auto"/>
          <w:kern w:val="2"/>
          <w:sz w:val="21"/>
          <w:szCs w:val="21"/>
          <w:highlight w:val="none"/>
          <w:u w:val="single"/>
          <w:lang w:val="en-US" w:eastAsia="zh-CN"/>
        </w:rPr>
        <w:t>4</w:t>
      </w:r>
      <w:r>
        <w:rPr>
          <w:rStyle w:val="77"/>
          <w:rFonts w:hint="eastAsia" w:ascii="仿宋" w:hAnsi="仿宋" w:eastAsia="仿宋" w:cs="仿宋"/>
          <w:b/>
          <w:bCs/>
          <w:snapToGrid/>
          <w:color w:val="auto"/>
          <w:kern w:val="2"/>
          <w:sz w:val="21"/>
          <w:szCs w:val="21"/>
          <w:highlight w:val="none"/>
          <w:u w:val="single"/>
        </w:rPr>
        <w:t>年</w:t>
      </w:r>
      <w:r>
        <w:rPr>
          <w:rStyle w:val="77"/>
          <w:rFonts w:hint="eastAsia" w:ascii="仿宋" w:hAnsi="仿宋" w:eastAsia="仿宋" w:cs="仿宋"/>
          <w:b/>
          <w:bCs/>
          <w:snapToGrid/>
          <w:color w:val="auto"/>
          <w:kern w:val="2"/>
          <w:sz w:val="21"/>
          <w:szCs w:val="21"/>
          <w:highlight w:val="none"/>
          <w:u w:val="single"/>
          <w:lang w:val="en-US" w:eastAsia="zh-CN"/>
        </w:rPr>
        <w:t>12</w:t>
      </w:r>
      <w:r>
        <w:rPr>
          <w:rStyle w:val="77"/>
          <w:rFonts w:hint="eastAsia" w:ascii="仿宋" w:hAnsi="仿宋" w:eastAsia="仿宋" w:cs="仿宋"/>
          <w:b/>
          <w:bCs/>
          <w:snapToGrid/>
          <w:color w:val="auto"/>
          <w:kern w:val="2"/>
          <w:sz w:val="21"/>
          <w:szCs w:val="21"/>
          <w:highlight w:val="none"/>
          <w:u w:val="single"/>
        </w:rPr>
        <w:t>月</w:t>
      </w:r>
      <w:r>
        <w:rPr>
          <w:rStyle w:val="77"/>
          <w:rFonts w:hint="eastAsia" w:ascii="仿宋" w:hAnsi="仿宋" w:eastAsia="仿宋" w:cs="仿宋"/>
          <w:b/>
          <w:bCs/>
          <w:snapToGrid/>
          <w:color w:val="auto"/>
          <w:kern w:val="2"/>
          <w:sz w:val="21"/>
          <w:szCs w:val="21"/>
          <w:highlight w:val="none"/>
          <w:u w:val="single"/>
          <w:lang w:val="en-US" w:eastAsia="zh-CN"/>
        </w:rPr>
        <w:t>12</w:t>
      </w:r>
      <w:r>
        <w:rPr>
          <w:rStyle w:val="77"/>
          <w:rFonts w:hint="eastAsia" w:ascii="仿宋" w:hAnsi="仿宋" w:eastAsia="仿宋" w:cs="仿宋"/>
          <w:b/>
          <w:bCs/>
          <w:snapToGrid/>
          <w:color w:val="auto"/>
          <w:kern w:val="2"/>
          <w:sz w:val="21"/>
          <w:szCs w:val="21"/>
          <w:highlight w:val="none"/>
          <w:u w:val="single"/>
        </w:rPr>
        <w:t>日</w:t>
      </w:r>
      <w:r>
        <w:rPr>
          <w:rStyle w:val="77"/>
          <w:rFonts w:hint="eastAsia" w:ascii="仿宋" w:hAnsi="仿宋" w:eastAsia="仿宋" w:cs="仿宋"/>
          <w:b/>
          <w:bCs/>
          <w:snapToGrid/>
          <w:color w:val="auto"/>
          <w:kern w:val="2"/>
          <w:sz w:val="21"/>
          <w:szCs w:val="21"/>
          <w:highlight w:val="none"/>
          <w:u w:val="single"/>
          <w:lang w:val="en-US" w:eastAsia="zh-CN"/>
        </w:rPr>
        <w:t>14</w:t>
      </w:r>
      <w:r>
        <w:rPr>
          <w:rStyle w:val="77"/>
          <w:rFonts w:hint="eastAsia" w:ascii="仿宋" w:hAnsi="仿宋" w:eastAsia="仿宋" w:cs="仿宋"/>
          <w:b/>
          <w:bCs/>
          <w:snapToGrid/>
          <w:color w:val="auto"/>
          <w:kern w:val="2"/>
          <w:sz w:val="21"/>
          <w:szCs w:val="21"/>
          <w:highlight w:val="none"/>
          <w:u w:val="single"/>
        </w:rPr>
        <w:t xml:space="preserve">点 </w:t>
      </w:r>
      <w:r>
        <w:rPr>
          <w:rStyle w:val="77"/>
          <w:rFonts w:hint="eastAsia" w:ascii="仿宋" w:hAnsi="仿宋" w:eastAsia="仿宋" w:cs="仿宋"/>
          <w:b/>
          <w:bCs/>
          <w:snapToGrid/>
          <w:color w:val="auto"/>
          <w:kern w:val="2"/>
          <w:sz w:val="21"/>
          <w:szCs w:val="21"/>
          <w:highlight w:val="none"/>
          <w:u w:val="single"/>
          <w:lang w:val="en-US" w:eastAsia="zh-CN"/>
        </w:rPr>
        <w:t>00</w:t>
      </w:r>
      <w:r>
        <w:rPr>
          <w:rStyle w:val="77"/>
          <w:rFonts w:hint="eastAsia" w:ascii="仿宋" w:hAnsi="仿宋" w:eastAsia="仿宋" w:cs="仿宋"/>
          <w:b/>
          <w:bCs/>
          <w:snapToGrid/>
          <w:color w:val="auto"/>
          <w:kern w:val="2"/>
          <w:sz w:val="21"/>
          <w:szCs w:val="21"/>
          <w:highlight w:val="none"/>
          <w:u w:val="single"/>
        </w:rPr>
        <w:t>分00</w:t>
      </w:r>
      <w:r>
        <w:rPr>
          <w:rStyle w:val="77"/>
          <w:rFonts w:hint="eastAsia" w:ascii="仿宋" w:hAnsi="仿宋" w:eastAsia="仿宋" w:cs="仿宋"/>
          <w:bCs/>
          <w:snapToGrid/>
          <w:color w:val="auto"/>
          <w:kern w:val="2"/>
          <w:sz w:val="21"/>
          <w:szCs w:val="21"/>
          <w:highlight w:val="none"/>
        </w:rPr>
        <w:t>秒</w:t>
      </w:r>
      <w:r>
        <w:rPr>
          <w:rStyle w:val="77"/>
          <w:rFonts w:hint="eastAsia" w:ascii="仿宋" w:hAnsi="仿宋" w:eastAsia="仿宋" w:cs="仿宋"/>
          <w:bCs/>
          <w:snapToGrid/>
          <w:color w:val="auto"/>
          <w:kern w:val="2"/>
          <w:sz w:val="21"/>
          <w:szCs w:val="21"/>
          <w:highlight w:val="none"/>
        </w:rPr>
        <w:fldChar w:fldCharType="end"/>
      </w:r>
      <w:r>
        <w:rPr>
          <w:rFonts w:hint="eastAsia" w:ascii="仿宋" w:hAnsi="仿宋" w:eastAsia="仿宋" w:cs="仿宋"/>
          <w:bCs/>
          <w:color w:val="auto"/>
          <w:sz w:val="21"/>
          <w:szCs w:val="21"/>
          <w:highlight w:val="none"/>
        </w:rPr>
        <w:t>（北京时间）前</w:t>
      </w:r>
      <w:r>
        <w:rPr>
          <w:rFonts w:hint="eastAsia" w:ascii="仿宋" w:hAnsi="仿宋" w:eastAsia="仿宋" w:cs="仿宋"/>
          <w:color w:val="auto"/>
          <w:sz w:val="21"/>
          <w:szCs w:val="21"/>
          <w:highlight w:val="none"/>
        </w:rPr>
        <w:t>递交（上传）投标文件。</w:t>
      </w:r>
    </w:p>
    <w:p w14:paraId="62037BD8">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一、项目基本情况                                            </w:t>
      </w:r>
    </w:p>
    <w:p w14:paraId="5355A2E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rPr>
        <w:t>项目编号：</w:t>
      </w:r>
      <w:r>
        <w:rPr>
          <w:rFonts w:hint="eastAsia" w:ascii="仿宋" w:hAnsi="仿宋" w:eastAsia="仿宋" w:cs="仿宋"/>
          <w:b/>
          <w:bCs/>
          <w:color w:val="auto"/>
          <w:sz w:val="21"/>
          <w:szCs w:val="21"/>
          <w:highlight w:val="none"/>
          <w:u w:val="single"/>
          <w:lang w:val="en-US" w:eastAsia="zh-CN"/>
        </w:rPr>
        <w:t>DL[2024]387</w:t>
      </w:r>
    </w:p>
    <w:p w14:paraId="064A4E18">
      <w:pPr>
        <w:spacing w:line="360" w:lineRule="auto"/>
        <w:ind w:firstLine="480"/>
        <w:rPr>
          <w:rFonts w:hint="eastAsia" w:ascii="仿宋" w:hAnsi="仿宋" w:eastAsia="仿宋" w:cs="仿宋"/>
          <w:b/>
          <w:bCs/>
          <w:color w:val="auto"/>
          <w:sz w:val="21"/>
          <w:szCs w:val="21"/>
          <w:highlight w:val="none"/>
          <w:u w:val="single"/>
          <w:lang w:eastAsia="zh-CN"/>
        </w:rPr>
      </w:pPr>
      <w:r>
        <w:rPr>
          <w:rFonts w:hint="eastAsia" w:ascii="仿宋" w:hAnsi="仿宋" w:eastAsia="仿宋" w:cs="仿宋"/>
          <w:b/>
          <w:color w:val="auto"/>
          <w:sz w:val="21"/>
          <w:szCs w:val="21"/>
          <w:highlight w:val="none"/>
        </w:rPr>
        <w:t>项目名称：</w:t>
      </w:r>
      <w:r>
        <w:rPr>
          <w:rFonts w:hint="eastAsia" w:ascii="仿宋" w:hAnsi="仿宋" w:eastAsia="仿宋" w:cs="仿宋"/>
          <w:b/>
          <w:bCs/>
          <w:color w:val="auto"/>
          <w:sz w:val="21"/>
          <w:szCs w:val="21"/>
          <w:highlight w:val="none"/>
          <w:u w:val="single"/>
          <w:lang w:val="en-US" w:eastAsia="zh-CN"/>
        </w:rPr>
        <w:t>杭州市市民中心公务服务及会议中心劳务服务外包人员经费</w:t>
      </w:r>
    </w:p>
    <w:p w14:paraId="1B792C5C">
      <w:pPr>
        <w:spacing w:line="360" w:lineRule="auto"/>
        <w:ind w:firstLine="48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预算金额（元）：</w:t>
      </w:r>
      <w:r>
        <w:rPr>
          <w:rFonts w:hint="eastAsia" w:ascii="仿宋" w:hAnsi="仿宋" w:eastAsia="仿宋" w:cs="仿宋"/>
          <w:b/>
          <w:color w:val="auto"/>
          <w:sz w:val="21"/>
          <w:szCs w:val="21"/>
          <w:highlight w:val="none"/>
          <w:lang w:val="en-US" w:eastAsia="zh-CN"/>
        </w:rPr>
        <w:t>10123500</w:t>
      </w:r>
      <w:r>
        <w:rPr>
          <w:rFonts w:hint="eastAsia" w:ascii="仿宋" w:hAnsi="仿宋" w:eastAsia="仿宋" w:cs="仿宋"/>
          <w:color w:val="auto"/>
          <w:sz w:val="21"/>
          <w:szCs w:val="21"/>
          <w:highlight w:val="none"/>
        </w:rPr>
        <w:t xml:space="preserve"> </w:t>
      </w:r>
    </w:p>
    <w:p w14:paraId="4EBC8B91">
      <w:pPr>
        <w:spacing w:line="360" w:lineRule="auto"/>
        <w:ind w:firstLine="48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最高限价（元）：</w:t>
      </w:r>
      <w:r>
        <w:rPr>
          <w:rFonts w:hint="eastAsia" w:ascii="仿宋" w:hAnsi="仿宋" w:eastAsia="仿宋" w:cs="仿宋"/>
          <w:b/>
          <w:color w:val="auto"/>
          <w:sz w:val="21"/>
          <w:szCs w:val="21"/>
          <w:highlight w:val="none"/>
          <w:lang w:val="en-US" w:eastAsia="zh-CN"/>
        </w:rPr>
        <w:t>10123500</w:t>
      </w:r>
      <w:r>
        <w:rPr>
          <w:rFonts w:hint="eastAsia" w:ascii="仿宋" w:hAnsi="仿宋" w:eastAsia="仿宋" w:cs="仿宋"/>
          <w:color w:val="auto"/>
          <w:sz w:val="21"/>
          <w:szCs w:val="21"/>
          <w:highlight w:val="none"/>
        </w:rPr>
        <w:t xml:space="preserve">  </w:t>
      </w:r>
    </w:p>
    <w:p w14:paraId="7F733761">
      <w:pPr>
        <w:pStyle w:val="6"/>
        <w:spacing w:line="360" w:lineRule="auto"/>
        <w:ind w:firstLine="480"/>
        <w:rPr>
          <w:rFonts w:hint="eastAsia" w:ascii="仿宋" w:hAnsi="仿宋" w:eastAsia="仿宋" w:cs="仿宋"/>
          <w:bCs/>
          <w:snapToGrid/>
          <w:color w:val="auto"/>
          <w:kern w:val="2"/>
          <w:sz w:val="21"/>
          <w:szCs w:val="21"/>
          <w:highlight w:val="none"/>
        </w:rPr>
      </w:pPr>
      <w:r>
        <w:rPr>
          <w:rFonts w:hint="eastAsia" w:ascii="仿宋" w:hAnsi="仿宋" w:eastAsia="仿宋" w:cs="仿宋"/>
          <w:b/>
          <w:color w:val="auto"/>
          <w:sz w:val="21"/>
          <w:szCs w:val="21"/>
          <w:highlight w:val="none"/>
        </w:rPr>
        <w:t>采购需求：</w:t>
      </w:r>
      <w:r>
        <w:rPr>
          <w:rFonts w:hint="eastAsia" w:ascii="仿宋" w:hAnsi="仿宋" w:eastAsia="仿宋" w:cs="仿宋"/>
          <w:b/>
          <w:bCs/>
          <w:color w:val="auto"/>
          <w:sz w:val="21"/>
          <w:szCs w:val="21"/>
          <w:highlight w:val="none"/>
          <w:u w:val="single"/>
          <w:lang w:val="en-US" w:eastAsia="zh-CN"/>
        </w:rPr>
        <w:t>杭州市市民中心公务服务及会议中心劳务服务外包人员经费</w:t>
      </w:r>
      <w:r>
        <w:rPr>
          <w:rFonts w:hint="eastAsia" w:ascii="仿宋" w:hAnsi="仿宋" w:eastAsia="仿宋" w:cs="仿宋"/>
          <w:bCs/>
          <w:snapToGrid/>
          <w:color w:val="auto"/>
          <w:kern w:val="2"/>
          <w:sz w:val="21"/>
          <w:szCs w:val="21"/>
          <w:highlight w:val="none"/>
        </w:rPr>
        <w:t>主要内容：</w:t>
      </w:r>
      <w:r>
        <w:rPr>
          <w:rFonts w:hint="eastAsia" w:ascii="仿宋" w:hAnsi="仿宋" w:eastAsia="仿宋" w:cs="仿宋"/>
          <w:snapToGrid w:val="0"/>
          <w:color w:val="auto"/>
          <w:kern w:val="28"/>
          <w:sz w:val="21"/>
          <w:szCs w:val="21"/>
          <w:highlight w:val="none"/>
          <w:lang w:val="en-US" w:eastAsia="zh-CN" w:bidi="ar-SA"/>
        </w:rPr>
        <w:t>1、会议中心内会议厅及配套接待厅（室）共26间的会议服务保障工作；2、市民中心部分公务楼层办公室、会议室、健身房及接待休息室共100间的服务保障工作（最终数量根据实际需求确定）；3、市委全委会年度会务服务保障工作；4、市民中心区域内的重大应急保障服务以及其他临时性服务保障工作。详见招标文件第三部分采购需求。</w:t>
      </w:r>
    </w:p>
    <w:p w14:paraId="57E09F35">
      <w:pPr>
        <w:pStyle w:val="131"/>
        <w:ind w:firstLine="482"/>
        <w:outlineLvl w:val="2"/>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合同履约期限：</w:t>
      </w:r>
      <w:r>
        <w:rPr>
          <w:rFonts w:hint="eastAsia" w:ascii="仿宋" w:hAnsi="仿宋" w:eastAsia="仿宋" w:cs="仿宋"/>
          <w:b/>
          <w:color w:val="auto"/>
          <w:sz w:val="21"/>
          <w:szCs w:val="21"/>
          <w:highlight w:val="none"/>
          <w:lang w:val="en-US" w:eastAsia="zh-CN"/>
        </w:rPr>
        <w:t>1年。</w:t>
      </w:r>
      <w:r>
        <w:rPr>
          <w:rFonts w:hint="eastAsia" w:ascii="仿宋" w:hAnsi="仿宋" w:eastAsia="仿宋" w:cs="仿宋"/>
          <w:color w:val="auto"/>
          <w:sz w:val="21"/>
          <w:szCs w:val="21"/>
          <w:highlight w:val="none"/>
        </w:rPr>
        <w:t xml:space="preserve"> </w:t>
      </w:r>
    </w:p>
    <w:p w14:paraId="27AF7895">
      <w:pPr>
        <w:pStyle w:val="6"/>
        <w:spacing w:line="360" w:lineRule="auto"/>
        <w:ind w:firstLine="48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本项目接受联合体投标：</w:t>
      </w:r>
      <w:r>
        <w:rPr>
          <w:rFonts w:hint="eastAsia" w:ascii="仿宋" w:hAnsi="仿宋" w:eastAsia="仿宋" w:cs="仿宋"/>
          <w:color w:val="auto"/>
          <w:kern w:val="0"/>
          <w:sz w:val="21"/>
          <w:szCs w:val="21"/>
          <w:highlight w:val="none"/>
        </w:rPr>
        <w:t xml:space="preserve"> </w:t>
      </w:r>
      <w:sdt>
        <w:sdtPr>
          <w:rPr>
            <w:rFonts w:hint="eastAsia" w:ascii="仿宋" w:hAnsi="仿宋" w:eastAsia="仿宋" w:cs="仿宋"/>
            <w:color w:val="auto"/>
            <w:kern w:val="0"/>
            <w:sz w:val="21"/>
            <w:szCs w:val="21"/>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b/>
          <w:color w:val="auto"/>
          <w:sz w:val="21"/>
          <w:szCs w:val="21"/>
          <w:highlight w:val="none"/>
        </w:rPr>
        <w:t>是；</w:t>
      </w:r>
      <w:sdt>
        <w:sdtPr>
          <w:rPr>
            <w:rFonts w:hint="eastAsia" w:ascii="仿宋" w:hAnsi="仿宋" w:eastAsia="仿宋" w:cs="仿宋"/>
            <w:color w:val="auto"/>
            <w:kern w:val="0"/>
            <w:sz w:val="21"/>
            <w:szCs w:val="21"/>
            <w:highlight w:val="none"/>
          </w:rPr>
          <w:id w:val="14746290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snapToGrid w:val="0"/>
              <w:color w:val="auto"/>
              <w:kern w:val="0"/>
              <w:sz w:val="21"/>
              <w:szCs w:val="21"/>
              <w:highlight w:val="none"/>
              <w:lang w:val="en-US" w:eastAsia="zh-CN" w:bidi="ar-SA"/>
            </w:rPr>
            <w:t>☐</w:t>
          </w:r>
        </w:sdtContent>
      </w:sdt>
      <w:r>
        <w:rPr>
          <w:rFonts w:hint="eastAsia" w:ascii="仿宋" w:hAnsi="仿宋" w:eastAsia="仿宋" w:cs="仿宋"/>
          <w:b/>
          <w:color w:val="auto"/>
          <w:sz w:val="21"/>
          <w:szCs w:val="21"/>
          <w:highlight w:val="none"/>
        </w:rPr>
        <w:t>否</w:t>
      </w:r>
      <w:r>
        <w:rPr>
          <w:rFonts w:hint="eastAsia" w:ascii="仿宋" w:hAnsi="仿宋" w:eastAsia="仿宋" w:cs="仿宋"/>
          <w:color w:val="auto"/>
          <w:kern w:val="0"/>
          <w:sz w:val="21"/>
          <w:szCs w:val="21"/>
          <w:highlight w:val="none"/>
        </w:rPr>
        <w:t>。</w:t>
      </w:r>
    </w:p>
    <w:p w14:paraId="2DC34AED">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二、申请人的资格要求：</w:t>
      </w:r>
    </w:p>
    <w:p w14:paraId="059930D4">
      <w:pPr>
        <w:spacing w:line="360" w:lineRule="auto"/>
        <w:ind w:firstLine="480"/>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B939B74">
      <w:pPr>
        <w:spacing w:line="360" w:lineRule="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 xml:space="preserve">    2.</w:t>
      </w:r>
      <w:r>
        <w:rPr>
          <w:rFonts w:hint="eastAsia" w:ascii="仿宋" w:hAnsi="仿宋" w:eastAsia="仿宋" w:cs="仿宋"/>
          <w:color w:val="auto"/>
          <w:sz w:val="21"/>
          <w:szCs w:val="21"/>
          <w:highlight w:val="none"/>
        </w:rPr>
        <w:t xml:space="preserve"> </w:t>
      </w:r>
      <w:r>
        <w:rPr>
          <w:rFonts w:hint="eastAsia" w:ascii="仿宋" w:hAnsi="仿宋" w:eastAsia="仿宋" w:cs="仿宋"/>
          <w:snapToGrid w:val="0"/>
          <w:color w:val="auto"/>
          <w:kern w:val="28"/>
          <w:sz w:val="21"/>
          <w:szCs w:val="21"/>
          <w:highlight w:val="none"/>
        </w:rPr>
        <w:t>以联合体形式投标的，提供联合协议(不接受联合体投标或者投标人不以联合体形式投标的，则不需要提供) ；</w:t>
      </w:r>
    </w:p>
    <w:p w14:paraId="58FC9989">
      <w:pPr>
        <w:spacing w:line="360" w:lineRule="auto"/>
        <w:ind w:firstLine="420" w:firstLineChars="200"/>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3.落实政府采购政策需满足的资格要求：</w:t>
      </w:r>
    </w:p>
    <w:p w14:paraId="793AD829">
      <w:pPr>
        <w:spacing w:line="360" w:lineRule="auto"/>
        <w:ind w:firstLine="422" w:firstLineChars="200"/>
        <w:rPr>
          <w:rFonts w:hint="eastAsia" w:ascii="仿宋" w:hAnsi="仿宋" w:eastAsia="仿宋" w:cs="仿宋"/>
          <w:b/>
          <w:bCs/>
          <w:color w:val="auto"/>
          <w:sz w:val="21"/>
          <w:szCs w:val="21"/>
          <w:highlight w:val="none"/>
        </w:rPr>
      </w:pPr>
      <w:sdt>
        <w:sdtPr>
          <w:rPr>
            <w:rFonts w:hint="eastAsia" w:ascii="仿宋" w:hAnsi="仿宋" w:eastAsia="仿宋" w:cs="仿宋"/>
            <w:b/>
            <w:bCs/>
            <w:color w:val="auto"/>
            <w:kern w:val="0"/>
            <w:sz w:val="21"/>
            <w:szCs w:val="21"/>
            <w:highlight w:val="none"/>
          </w:rPr>
          <w:id w:val="147463191"/>
          <w14:checkbox>
            <w14:checked w14:val="1"/>
            <w14:checkedState w14:val="00FE" w14:font="Wingdings"/>
            <w14:uncheckedState w14:val="2610" w14:font="MS Gothic"/>
          </w14:checkbox>
        </w:sdtPr>
        <w:sdtEndPr>
          <w:rPr>
            <w:rFonts w:hint="eastAsia" w:ascii="仿宋" w:hAnsi="仿宋" w:eastAsia="仿宋" w:cs="仿宋"/>
            <w:b/>
            <w:bCs/>
            <w:color w:val="auto"/>
            <w:kern w:val="0"/>
            <w:sz w:val="21"/>
            <w:szCs w:val="21"/>
            <w:highlight w:val="none"/>
          </w:rPr>
        </w:sdtEndPr>
        <w:sdtContent>
          <w:r>
            <w:rPr>
              <w:rFonts w:hint="eastAsia" w:ascii="Wingdings" w:hAnsi="Wingdings" w:eastAsia="仿宋" w:cs="仿宋"/>
              <w:b/>
              <w:bCs/>
              <w:color w:val="auto"/>
              <w:kern w:val="0"/>
              <w:sz w:val="21"/>
              <w:szCs w:val="21"/>
              <w:highlight w:val="none"/>
              <w:lang w:val="en-US" w:eastAsia="zh-CN" w:bidi="ar-SA"/>
            </w:rPr>
            <w:t>þ</w:t>
          </w:r>
        </w:sdtContent>
      </w:sdt>
      <w:r>
        <w:rPr>
          <w:rFonts w:hint="eastAsia" w:ascii="仿宋" w:hAnsi="仿宋" w:eastAsia="仿宋" w:cs="仿宋"/>
          <w:b/>
          <w:bCs/>
          <w:color w:val="auto"/>
          <w:kern w:val="0"/>
          <w:sz w:val="21"/>
          <w:szCs w:val="21"/>
          <w:highlight w:val="none"/>
        </w:rPr>
        <w:t>专</w:t>
      </w:r>
      <w:r>
        <w:rPr>
          <w:rFonts w:hint="eastAsia" w:ascii="仿宋" w:hAnsi="仿宋" w:eastAsia="仿宋" w:cs="仿宋"/>
          <w:b/>
          <w:bCs/>
          <w:color w:val="auto"/>
          <w:sz w:val="21"/>
          <w:szCs w:val="21"/>
          <w:highlight w:val="none"/>
        </w:rPr>
        <w:t>门面向中小企业</w:t>
      </w:r>
    </w:p>
    <w:p w14:paraId="063C9421">
      <w:pPr>
        <w:spacing w:line="360" w:lineRule="auto"/>
        <w:ind w:firstLine="788" w:firstLineChars="374"/>
        <w:rPr>
          <w:rFonts w:hint="eastAsia" w:ascii="仿宋" w:hAnsi="仿宋" w:eastAsia="仿宋" w:cs="仿宋"/>
          <w:b/>
          <w:bCs/>
          <w:color w:val="auto"/>
          <w:sz w:val="21"/>
          <w:szCs w:val="21"/>
          <w:highlight w:val="none"/>
        </w:rPr>
      </w:pPr>
      <w:sdt>
        <w:sdtPr>
          <w:rPr>
            <w:rFonts w:hint="eastAsia" w:ascii="仿宋" w:hAnsi="仿宋" w:eastAsia="仿宋" w:cs="仿宋"/>
            <w:b/>
            <w:bCs/>
            <w:color w:val="auto"/>
            <w:kern w:val="0"/>
            <w:sz w:val="21"/>
            <w:szCs w:val="21"/>
            <w:highlight w:val="none"/>
          </w:rPr>
          <w:id w:val="147472983"/>
          <w14:checkbox>
            <w14:checked w14:val="1"/>
            <w14:checkedState w14:val="00FE" w14:font="Wingdings"/>
            <w14:uncheckedState w14:val="2610" w14:font="MS Gothic"/>
          </w14:checkbox>
        </w:sdtPr>
        <w:sdtEndPr>
          <w:rPr>
            <w:rFonts w:hint="eastAsia" w:ascii="仿宋" w:hAnsi="仿宋" w:eastAsia="仿宋" w:cs="仿宋"/>
            <w:b/>
            <w:bCs/>
            <w:color w:val="auto"/>
            <w:kern w:val="0"/>
            <w:sz w:val="21"/>
            <w:szCs w:val="21"/>
            <w:highlight w:val="none"/>
          </w:rPr>
        </w:sdtEndPr>
        <w:sdtContent>
          <w:r>
            <w:rPr>
              <w:rFonts w:hint="eastAsia" w:ascii="Wingdings" w:hAnsi="Wingdings" w:eastAsia="仿宋" w:cs="仿宋"/>
              <w:b/>
              <w:bCs/>
              <w:color w:val="auto"/>
              <w:kern w:val="0"/>
              <w:sz w:val="21"/>
              <w:szCs w:val="21"/>
              <w:highlight w:val="none"/>
              <w:lang w:val="en-US" w:eastAsia="zh-CN" w:bidi="ar-SA"/>
            </w:rPr>
            <w:t>þ</w:t>
          </w:r>
        </w:sdtContent>
      </w:sdt>
      <w:r>
        <w:rPr>
          <w:rFonts w:hint="eastAsia" w:ascii="仿宋" w:hAnsi="仿宋" w:eastAsia="仿宋" w:cs="仿宋"/>
          <w:b/>
          <w:bCs/>
          <w:color w:val="auto"/>
          <w:sz w:val="21"/>
          <w:szCs w:val="21"/>
          <w:highlight w:val="none"/>
        </w:rPr>
        <w:t>服务全部由符合政策要求的中小企业承接，提供中小企业声明函；</w:t>
      </w:r>
    </w:p>
    <w:p w14:paraId="5A2AA84D">
      <w:pPr>
        <w:spacing w:line="360" w:lineRule="auto"/>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4.本项目的特定资格要求：</w:t>
      </w:r>
      <w:r>
        <w:rPr>
          <w:rFonts w:hint="eastAsia" w:ascii="仿宋" w:hAnsi="仿宋" w:eastAsia="仿宋" w:cs="仿宋"/>
          <w:b w:val="0"/>
          <w:bCs w:val="0"/>
          <w:color w:val="auto"/>
          <w:sz w:val="21"/>
          <w:szCs w:val="21"/>
          <w:highlight w:val="none"/>
          <w:u w:val="single"/>
        </w:rPr>
        <w:t>无；</w:t>
      </w:r>
    </w:p>
    <w:p w14:paraId="6708BA3B">
      <w:pPr>
        <w:snapToGrid w:val="0"/>
        <w:spacing w:line="360" w:lineRule="auto"/>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3CE936">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三、获取招标文件 </w:t>
      </w:r>
    </w:p>
    <w:p w14:paraId="1A3FCE1F">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时间：</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12</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 xml:space="preserve">12 </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rPr>
        <w:t>，每天上午00:00至12:00 ，下午12:00至23:59（北京时间，线上获取法定节假日均可，线下获取文件法定节假日除外）</w:t>
      </w:r>
    </w:p>
    <w:p w14:paraId="2AA6E860">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地点（网址）：</w:t>
      </w:r>
      <w:r>
        <w:rPr>
          <w:rFonts w:hint="eastAsia" w:ascii="仿宋" w:hAnsi="仿宋" w:eastAsia="仿宋" w:cs="仿宋"/>
          <w:color w:val="auto"/>
          <w:sz w:val="21"/>
          <w:szCs w:val="21"/>
          <w:highlight w:val="none"/>
        </w:rPr>
        <w:t xml:space="preserve">政采云平台（https://www.zcygov.cn/） </w:t>
      </w:r>
    </w:p>
    <w:p w14:paraId="0CDB5FA7">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方式：</w:t>
      </w:r>
      <w:r>
        <w:rPr>
          <w:rFonts w:hint="eastAsia" w:ascii="仿宋" w:hAnsi="仿宋" w:eastAsia="仿宋" w:cs="仿宋"/>
          <w:color w:val="auto"/>
          <w:sz w:val="21"/>
          <w:szCs w:val="21"/>
          <w:highlight w:val="none"/>
        </w:rPr>
        <w:t xml:space="preserve">供应商登录政采云平台https://www.zcygov.cn/在线申请获取采购文件（进入“项目采购”应用，在获取采购文件菜单中选择项目，申请获取采购文件）。 </w:t>
      </w:r>
    </w:p>
    <w:p w14:paraId="5E53DF41">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售价（元）：</w:t>
      </w:r>
      <w:r>
        <w:rPr>
          <w:rFonts w:hint="eastAsia" w:ascii="仿宋" w:hAnsi="仿宋" w:eastAsia="仿宋" w:cs="仿宋"/>
          <w:color w:val="auto"/>
          <w:sz w:val="21"/>
          <w:szCs w:val="21"/>
          <w:highlight w:val="none"/>
        </w:rPr>
        <w:t xml:space="preserve">0 </w:t>
      </w:r>
      <w:r>
        <w:rPr>
          <w:rFonts w:hint="eastAsia" w:ascii="仿宋" w:hAnsi="仿宋" w:eastAsia="仿宋" w:cs="仿宋"/>
          <w:color w:val="auto"/>
          <w:sz w:val="21"/>
          <w:szCs w:val="21"/>
          <w:highlight w:val="none"/>
        </w:rPr>
        <w:tab/>
      </w:r>
    </w:p>
    <w:p w14:paraId="154B4FAC">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四、提交投标文件截止时间、开标时间和地点</w:t>
      </w:r>
    </w:p>
    <w:p w14:paraId="7CFBBE3D">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提交投标文件截止时间：</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12</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 xml:space="preserve"> 12</w:t>
      </w:r>
      <w:r>
        <w:rPr>
          <w:rFonts w:hint="eastAsia" w:ascii="仿宋" w:hAnsi="仿宋" w:eastAsia="仿宋" w:cs="仿宋"/>
          <w:color w:val="auto"/>
          <w:sz w:val="21"/>
          <w:szCs w:val="21"/>
          <w:highlight w:val="none"/>
          <w:u w:val="single"/>
        </w:rPr>
        <w:t xml:space="preserve"> 日</w:t>
      </w:r>
      <w:r>
        <w:rPr>
          <w:rFonts w:hint="eastAsia" w:ascii="仿宋" w:hAnsi="仿宋" w:eastAsia="仿宋" w:cs="仿宋"/>
          <w:color w:val="auto"/>
          <w:sz w:val="21"/>
          <w:szCs w:val="21"/>
          <w:highlight w:val="none"/>
          <w:u w:val="single"/>
          <w:lang w:val="en-US" w:eastAsia="zh-CN"/>
        </w:rPr>
        <w:t xml:space="preserve"> 14 </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00</w:t>
      </w:r>
      <w:r>
        <w:rPr>
          <w:rFonts w:hint="eastAsia" w:ascii="仿宋" w:hAnsi="仿宋" w:eastAsia="仿宋" w:cs="仿宋"/>
          <w:color w:val="auto"/>
          <w:sz w:val="21"/>
          <w:szCs w:val="21"/>
          <w:highlight w:val="none"/>
          <w:u w:val="single"/>
        </w:rPr>
        <w:t>分00秒</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color w:val="auto"/>
          <w:sz w:val="21"/>
          <w:szCs w:val="21"/>
          <w:highlight w:val="none"/>
        </w:rPr>
        <w:t>（北京时间）</w:t>
      </w:r>
    </w:p>
    <w:p w14:paraId="43FBB048">
      <w:pPr>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投标地点（网址）：</w:t>
      </w:r>
      <w:r>
        <w:rPr>
          <w:rFonts w:hint="eastAsia" w:ascii="仿宋" w:hAnsi="仿宋" w:eastAsia="仿宋" w:cs="仿宋"/>
          <w:color w:val="auto"/>
          <w:sz w:val="21"/>
          <w:szCs w:val="21"/>
          <w:highlight w:val="none"/>
        </w:rPr>
        <w:t xml:space="preserve">政采云平台（https://www.zcygov.cn/） </w:t>
      </w:r>
    </w:p>
    <w:p w14:paraId="2A2FB0E8">
      <w:pPr>
        <w:spacing w:line="360" w:lineRule="auto"/>
        <w:ind w:firstLine="422" w:firstLineChars="200"/>
        <w:rPr>
          <w:rFonts w:hint="eastAsia" w:ascii="仿宋" w:hAnsi="仿宋" w:eastAsia="仿宋" w:cs="仿宋"/>
          <w:bCs/>
          <w:color w:val="auto"/>
          <w:sz w:val="21"/>
          <w:szCs w:val="21"/>
          <w:highlight w:val="none"/>
          <w:u w:val="single"/>
        </w:rPr>
      </w:pPr>
      <w:r>
        <w:rPr>
          <w:rFonts w:hint="eastAsia" w:ascii="仿宋" w:hAnsi="仿宋" w:eastAsia="仿宋" w:cs="仿宋"/>
          <w:b/>
          <w:color w:val="auto"/>
          <w:sz w:val="21"/>
          <w:szCs w:val="21"/>
          <w:highlight w:val="none"/>
        </w:rPr>
        <w:t>开标时间：</w:t>
      </w:r>
      <w:r>
        <w:rPr>
          <w:rFonts w:hint="eastAsia" w:ascii="仿宋" w:hAnsi="仿宋" w:eastAsia="仿宋" w:cs="仿宋"/>
          <w:color w:val="auto"/>
          <w:sz w:val="21"/>
          <w:szCs w:val="21"/>
          <w:highlight w:val="none"/>
          <w:u w:val="single"/>
        </w:rPr>
        <w:t>202</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12</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 xml:space="preserve"> 12 </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 xml:space="preserve">  14</w:t>
      </w:r>
      <w:r>
        <w:rPr>
          <w:rFonts w:hint="eastAsia" w:ascii="仿宋" w:hAnsi="仿宋" w:eastAsia="仿宋" w:cs="仿宋"/>
          <w:color w:val="auto"/>
          <w:sz w:val="21"/>
          <w:szCs w:val="21"/>
          <w:highlight w:val="none"/>
          <w:u w:val="single"/>
        </w:rPr>
        <w:t>点</w:t>
      </w:r>
      <w:r>
        <w:rPr>
          <w:rFonts w:hint="eastAsia" w:ascii="仿宋" w:hAnsi="仿宋" w:eastAsia="仿宋" w:cs="仿宋"/>
          <w:color w:val="auto"/>
          <w:sz w:val="21"/>
          <w:szCs w:val="21"/>
          <w:highlight w:val="none"/>
          <w:u w:val="single"/>
          <w:lang w:val="en-US" w:eastAsia="zh-CN"/>
        </w:rPr>
        <w:t>00</w:t>
      </w:r>
      <w:r>
        <w:rPr>
          <w:rFonts w:hint="eastAsia" w:ascii="仿宋" w:hAnsi="仿宋" w:eastAsia="仿宋" w:cs="仿宋"/>
          <w:color w:val="auto"/>
          <w:sz w:val="21"/>
          <w:szCs w:val="21"/>
          <w:highlight w:val="none"/>
          <w:u w:val="single"/>
        </w:rPr>
        <w:t>分00秒</w:t>
      </w:r>
      <w:r>
        <w:rPr>
          <w:rFonts w:hint="eastAsia" w:ascii="仿宋" w:hAnsi="仿宋" w:eastAsia="仿宋" w:cs="仿宋"/>
          <w:bCs/>
          <w:color w:val="auto"/>
          <w:sz w:val="21"/>
          <w:szCs w:val="21"/>
          <w:highlight w:val="none"/>
          <w:u w:val="single"/>
        </w:rPr>
        <w:t xml:space="preserve">  </w:t>
      </w:r>
    </w:p>
    <w:p w14:paraId="58AE6E6C">
      <w:pPr>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开标地点（网址）：</w:t>
      </w:r>
      <w:r>
        <w:rPr>
          <w:rFonts w:hint="eastAsia" w:ascii="仿宋" w:hAnsi="仿宋" w:eastAsia="仿宋" w:cs="仿宋"/>
          <w:color w:val="auto"/>
          <w:sz w:val="21"/>
          <w:szCs w:val="21"/>
          <w:highlight w:val="none"/>
        </w:rPr>
        <w:t>政采云平台（https://www.zcygov.cn/）</w:t>
      </w:r>
    </w:p>
    <w:p w14:paraId="70EE84BD">
      <w:pPr>
        <w:spacing w:line="360" w:lineRule="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 xml:space="preserve">五、公告期限 </w:t>
      </w:r>
    </w:p>
    <w:p w14:paraId="3CD7C89F">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自本公告发布之日起5个工作日。</w:t>
      </w:r>
    </w:p>
    <w:p w14:paraId="4C46E152">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六、其他补充事宜</w:t>
      </w:r>
    </w:p>
    <w:p w14:paraId="6F6960D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AB0AAD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BCE44F">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8581F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02F16F7">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七、对本次采购提出询问、质疑、投诉，请按以下方式联系</w:t>
      </w:r>
    </w:p>
    <w:p w14:paraId="0F2EF57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1.采购人信息</w:t>
      </w:r>
    </w:p>
    <w:p w14:paraId="7B3C3AA0">
      <w:pPr>
        <w:spacing w:line="360" w:lineRule="auto"/>
        <w:ind w:firstLine="420" w:firstLineChars="200"/>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名    称：杭州市行政大楼服务保障中心</w:t>
      </w:r>
    </w:p>
    <w:p w14:paraId="38122068">
      <w:pPr>
        <w:spacing w:line="360" w:lineRule="auto"/>
        <w:ind w:firstLine="420" w:firstLineChars="200"/>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地    址：杭州市江干区解放东路18号市民中心B座</w:t>
      </w:r>
    </w:p>
    <w:p w14:paraId="041BE9D1">
      <w:pPr>
        <w:spacing w:line="360" w:lineRule="auto"/>
        <w:ind w:firstLine="420" w:firstLineChars="200"/>
        <w:rPr>
          <w:rFonts w:hint="eastAsia" w:ascii="仿宋_GB2312" w:hAnsi="仿宋" w:eastAsia="仿宋_GB2312"/>
          <w:color w:val="auto"/>
          <w:sz w:val="21"/>
          <w:szCs w:val="21"/>
          <w:highlight w:val="none"/>
        </w:rPr>
      </w:pPr>
      <w:r>
        <w:rPr>
          <w:rFonts w:hint="eastAsia" w:ascii="仿宋_GB2312" w:hAnsi="仿宋" w:eastAsia="仿宋_GB2312"/>
          <w:color w:val="auto"/>
          <w:sz w:val="21"/>
          <w:szCs w:val="21"/>
          <w:highlight w:val="none"/>
        </w:rPr>
        <w:t>传    真：</w:t>
      </w:r>
      <w:r>
        <w:rPr>
          <w:rFonts w:hint="eastAsia" w:ascii="仿宋_GB2312" w:hAnsi="仿宋" w:eastAsia="仿宋_GB2312" w:cs="Times New Roman"/>
          <w:color w:val="auto"/>
          <w:sz w:val="21"/>
          <w:szCs w:val="21"/>
          <w:highlight w:val="none"/>
        </w:rPr>
        <w:t>0571-85256115</w:t>
      </w:r>
    </w:p>
    <w:p w14:paraId="0A4BE544">
      <w:pPr>
        <w:spacing w:line="360" w:lineRule="auto"/>
        <w:ind w:firstLine="420" w:firstLineChars="200"/>
        <w:rPr>
          <w:rFonts w:hint="eastAsia" w:ascii="仿宋_GB2312" w:hAnsi="仿宋" w:eastAsia="仿宋_GB2312" w:cs="Times New Roman"/>
          <w:color w:val="auto"/>
          <w:sz w:val="21"/>
          <w:szCs w:val="21"/>
          <w:highlight w:val="none"/>
          <w:lang w:eastAsia="zh-CN"/>
        </w:rPr>
      </w:pPr>
      <w:r>
        <w:rPr>
          <w:rFonts w:hint="eastAsia" w:ascii="仿宋_GB2312" w:hAnsi="仿宋" w:eastAsia="仿宋_GB2312" w:cs="Times New Roman"/>
          <w:color w:val="auto"/>
          <w:sz w:val="21"/>
          <w:szCs w:val="21"/>
          <w:highlight w:val="none"/>
        </w:rPr>
        <w:t>项目联系人（询问）：</w:t>
      </w:r>
      <w:r>
        <w:rPr>
          <w:rFonts w:hint="eastAsia" w:ascii="仿宋_GB2312" w:hAnsi="仿宋" w:eastAsia="仿宋_GB2312" w:cs="Times New Roman"/>
          <w:color w:val="auto"/>
          <w:sz w:val="21"/>
          <w:szCs w:val="21"/>
          <w:highlight w:val="none"/>
          <w:lang w:val="en-US" w:eastAsia="zh-CN"/>
        </w:rPr>
        <w:t>王健</w:t>
      </w:r>
    </w:p>
    <w:p w14:paraId="58089CEB">
      <w:pPr>
        <w:spacing w:line="360" w:lineRule="auto"/>
        <w:ind w:firstLine="420" w:firstLineChars="200"/>
        <w:rPr>
          <w:rFonts w:hint="eastAsia" w:ascii="仿宋_GB2312" w:hAnsi="仿宋" w:eastAsia="仿宋_GB2312" w:cs="Times New Roman"/>
          <w:color w:val="auto"/>
          <w:sz w:val="21"/>
          <w:szCs w:val="21"/>
          <w:highlight w:val="none"/>
        </w:rPr>
      </w:pPr>
      <w:r>
        <w:rPr>
          <w:rFonts w:hint="eastAsia" w:ascii="仿宋_GB2312" w:hAnsi="仿宋" w:eastAsia="仿宋_GB2312" w:cs="Times New Roman"/>
          <w:color w:val="auto"/>
          <w:sz w:val="21"/>
          <w:szCs w:val="21"/>
          <w:highlight w:val="none"/>
        </w:rPr>
        <w:t>项目联系方式（询问）：0571-85256115</w:t>
      </w:r>
    </w:p>
    <w:p w14:paraId="2E780E56">
      <w:pPr>
        <w:spacing w:line="360" w:lineRule="auto"/>
        <w:ind w:firstLine="420" w:firstLineChars="200"/>
        <w:rPr>
          <w:rFonts w:hint="eastAsia" w:ascii="仿宋_GB2312" w:hAnsi="仿宋" w:eastAsia="仿宋_GB2312" w:cs="Times New Roman"/>
          <w:color w:val="auto"/>
          <w:sz w:val="21"/>
          <w:szCs w:val="21"/>
          <w:highlight w:val="none"/>
        </w:rPr>
      </w:pPr>
      <w:r>
        <w:rPr>
          <w:rFonts w:hint="eastAsia" w:ascii="仿宋_GB2312" w:hAnsi="仿宋" w:eastAsia="仿宋_GB2312" w:cs="Times New Roman"/>
          <w:color w:val="auto"/>
          <w:sz w:val="21"/>
          <w:szCs w:val="21"/>
          <w:highlight w:val="none"/>
        </w:rPr>
        <w:t>质疑联系人：翁建新</w:t>
      </w:r>
    </w:p>
    <w:p w14:paraId="7D10CA88">
      <w:pPr>
        <w:spacing w:line="360" w:lineRule="auto"/>
        <w:ind w:firstLine="420" w:firstLineChars="200"/>
        <w:rPr>
          <w:rFonts w:hint="eastAsia" w:ascii="仿宋_GB2312" w:hAnsi="仿宋" w:eastAsia="仿宋_GB2312" w:cs="Times New Roman"/>
          <w:color w:val="auto"/>
          <w:sz w:val="21"/>
          <w:szCs w:val="21"/>
          <w:highlight w:val="none"/>
        </w:rPr>
      </w:pPr>
      <w:r>
        <w:rPr>
          <w:rFonts w:hint="eastAsia" w:ascii="仿宋_GB2312" w:hAnsi="仿宋" w:eastAsia="仿宋_GB2312" w:cs="Times New Roman"/>
          <w:color w:val="auto"/>
          <w:sz w:val="21"/>
          <w:szCs w:val="21"/>
          <w:highlight w:val="none"/>
        </w:rPr>
        <w:t>质疑联系方式：0571-85253853</w:t>
      </w:r>
    </w:p>
    <w:p w14:paraId="67937AA2">
      <w:pPr>
        <w:pStyle w:val="25"/>
        <w:rPr>
          <w:rFonts w:hint="eastAsia"/>
          <w:color w:val="auto"/>
          <w:sz w:val="21"/>
          <w:szCs w:val="21"/>
          <w:highlight w:val="none"/>
        </w:rPr>
      </w:pPr>
    </w:p>
    <w:p w14:paraId="794E3E6E">
      <w:pPr>
        <w:spacing w:line="360" w:lineRule="auto"/>
        <w:ind w:firstLine="420" w:firstLineChars="200"/>
        <w:rPr>
          <w:rFonts w:hint="eastAsia" w:ascii="仿宋_GB2312" w:hAnsi="仿宋" w:eastAsia="仿宋_GB2312" w:cs="Times New Roman"/>
          <w:color w:val="auto"/>
          <w:sz w:val="21"/>
          <w:szCs w:val="21"/>
          <w:highlight w:val="none"/>
        </w:rPr>
      </w:pPr>
      <w:r>
        <w:rPr>
          <w:rFonts w:hint="eastAsia" w:ascii="仿宋_GB2312" w:hAnsi="仿宋" w:eastAsia="仿宋_GB2312" w:cs="Times New Roman"/>
          <w:color w:val="auto"/>
          <w:sz w:val="21"/>
          <w:szCs w:val="21"/>
          <w:highlight w:val="none"/>
        </w:rPr>
        <w:t xml:space="preserve"> 2.采购代理机构信息            </w:t>
      </w:r>
    </w:p>
    <w:p w14:paraId="29017AFC">
      <w:pPr>
        <w:spacing w:line="360" w:lineRule="auto"/>
        <w:ind w:firstLine="420" w:firstLineChars="200"/>
        <w:rPr>
          <w:rFonts w:hint="eastAsia" w:ascii="仿宋_GB2312" w:hAnsi="仿宋" w:eastAsia="仿宋_GB2312" w:cs="Times New Roman"/>
          <w:color w:val="auto"/>
          <w:sz w:val="21"/>
          <w:szCs w:val="21"/>
          <w:highlight w:val="none"/>
        </w:rPr>
      </w:pPr>
      <w:r>
        <w:rPr>
          <w:rFonts w:hint="eastAsia" w:ascii="仿宋_GB2312" w:hAnsi="仿宋" w:eastAsia="仿宋_GB2312" w:cs="Times New Roman"/>
          <w:color w:val="auto"/>
          <w:sz w:val="21"/>
          <w:szCs w:val="21"/>
          <w:highlight w:val="none"/>
        </w:rPr>
        <w:t>名称：建正工程咨询有限公司</w:t>
      </w:r>
    </w:p>
    <w:p w14:paraId="781DFF62">
      <w:pPr>
        <w:spacing w:line="360" w:lineRule="auto"/>
        <w:ind w:firstLine="420" w:firstLineChars="200"/>
        <w:rPr>
          <w:rFonts w:hint="eastAsia" w:ascii="仿宋_GB2312" w:hAnsi="仿宋" w:eastAsia="仿宋_GB2312" w:cs="Times New Roman"/>
          <w:color w:val="auto"/>
          <w:sz w:val="21"/>
          <w:szCs w:val="21"/>
          <w:highlight w:val="none"/>
          <w:lang w:eastAsia="zh-CN"/>
        </w:rPr>
      </w:pPr>
      <w:r>
        <w:rPr>
          <w:rFonts w:hint="eastAsia" w:ascii="仿宋_GB2312" w:hAnsi="仿宋" w:eastAsia="仿宋_GB2312" w:cs="Times New Roman"/>
          <w:color w:val="auto"/>
          <w:sz w:val="21"/>
          <w:szCs w:val="21"/>
          <w:highlight w:val="none"/>
        </w:rPr>
        <w:t>地址：</w:t>
      </w:r>
      <w:r>
        <w:rPr>
          <w:rFonts w:hint="eastAsia" w:ascii="仿宋_GB2312" w:hAnsi="仿宋" w:eastAsia="仿宋_GB2312" w:cs="Times New Roman"/>
          <w:color w:val="auto"/>
          <w:sz w:val="21"/>
          <w:szCs w:val="21"/>
          <w:highlight w:val="none"/>
          <w:lang w:eastAsia="zh-CN"/>
        </w:rPr>
        <w:t>杭州市西湖区西投万科开物创新大厦B座9楼</w:t>
      </w:r>
    </w:p>
    <w:p w14:paraId="22A0017A">
      <w:pPr>
        <w:spacing w:line="360" w:lineRule="auto"/>
        <w:ind w:firstLine="420" w:firstLineChars="200"/>
        <w:rPr>
          <w:rFonts w:hint="default" w:ascii="仿宋_GB2312" w:hAnsi="仿宋" w:eastAsia="仿宋_GB2312" w:cs="Times New Roman"/>
          <w:color w:val="auto"/>
          <w:sz w:val="21"/>
          <w:szCs w:val="21"/>
          <w:highlight w:val="none"/>
          <w:lang w:val="en-US" w:eastAsia="zh-CN"/>
        </w:rPr>
      </w:pPr>
      <w:r>
        <w:rPr>
          <w:rFonts w:hint="eastAsia" w:ascii="仿宋_GB2312" w:hAnsi="仿宋" w:eastAsia="仿宋_GB2312" w:cs="Times New Roman"/>
          <w:color w:val="auto"/>
          <w:sz w:val="21"/>
          <w:szCs w:val="21"/>
          <w:highlight w:val="none"/>
        </w:rPr>
        <w:t>项目联系人（询问）：</w:t>
      </w:r>
      <w:r>
        <w:rPr>
          <w:rFonts w:hint="eastAsia" w:ascii="仿宋_GB2312" w:hAnsi="仿宋" w:eastAsia="仿宋_GB2312" w:cs="Times New Roman"/>
          <w:color w:val="auto"/>
          <w:sz w:val="21"/>
          <w:szCs w:val="21"/>
          <w:highlight w:val="none"/>
          <w:lang w:eastAsia="zh-CN"/>
        </w:rPr>
        <w:t>贺</w:t>
      </w:r>
      <w:r>
        <w:rPr>
          <w:rFonts w:hint="eastAsia" w:ascii="仿宋_GB2312" w:hAnsi="仿宋" w:eastAsia="仿宋_GB2312" w:cs="Times New Roman"/>
          <w:color w:val="auto"/>
          <w:sz w:val="21"/>
          <w:szCs w:val="21"/>
          <w:highlight w:val="none"/>
          <w:lang w:val="en-US" w:eastAsia="zh-CN"/>
        </w:rPr>
        <w:t>妮娜</w:t>
      </w:r>
    </w:p>
    <w:p w14:paraId="1DB2E5EB">
      <w:pPr>
        <w:spacing w:line="360" w:lineRule="auto"/>
        <w:ind w:firstLine="420" w:firstLineChars="200"/>
        <w:rPr>
          <w:rFonts w:hint="eastAsia" w:ascii="仿宋_GB2312" w:hAnsi="仿宋" w:eastAsia="仿宋_GB2312" w:cs="Times New Roman"/>
          <w:color w:val="auto"/>
          <w:sz w:val="21"/>
          <w:szCs w:val="21"/>
          <w:highlight w:val="none"/>
          <w:lang w:eastAsia="zh-CN"/>
        </w:rPr>
      </w:pPr>
      <w:r>
        <w:rPr>
          <w:rFonts w:hint="eastAsia" w:ascii="仿宋_GB2312" w:hAnsi="仿宋" w:eastAsia="仿宋_GB2312" w:cs="Times New Roman"/>
          <w:color w:val="auto"/>
          <w:sz w:val="21"/>
          <w:szCs w:val="21"/>
          <w:highlight w:val="none"/>
        </w:rPr>
        <w:t>项目联系方式（询问）：</w:t>
      </w:r>
      <w:r>
        <w:rPr>
          <w:rFonts w:hint="eastAsia" w:ascii="仿宋_GB2312" w:hAnsi="仿宋" w:eastAsia="仿宋_GB2312" w:cs="Times New Roman"/>
          <w:color w:val="auto"/>
          <w:sz w:val="21"/>
          <w:szCs w:val="21"/>
          <w:highlight w:val="none"/>
          <w:lang w:eastAsia="zh-CN"/>
        </w:rPr>
        <w:t>13545165603</w:t>
      </w:r>
    </w:p>
    <w:p w14:paraId="38813709">
      <w:pPr>
        <w:spacing w:line="360" w:lineRule="auto"/>
        <w:ind w:firstLine="420" w:firstLineChars="200"/>
        <w:rPr>
          <w:rFonts w:hint="eastAsia" w:ascii="仿宋_GB2312" w:hAnsi="仿宋" w:eastAsia="仿宋_GB2312" w:cs="Times New Roman"/>
          <w:color w:val="auto"/>
          <w:sz w:val="21"/>
          <w:szCs w:val="21"/>
          <w:highlight w:val="none"/>
          <w:lang w:eastAsia="zh-CN"/>
        </w:rPr>
      </w:pPr>
      <w:r>
        <w:rPr>
          <w:rFonts w:hint="eastAsia" w:ascii="仿宋_GB2312" w:hAnsi="仿宋" w:eastAsia="仿宋_GB2312" w:cs="Times New Roman"/>
          <w:color w:val="auto"/>
          <w:sz w:val="21"/>
          <w:szCs w:val="21"/>
          <w:highlight w:val="none"/>
        </w:rPr>
        <w:t>质疑联系人：</w:t>
      </w:r>
      <w:r>
        <w:rPr>
          <w:rFonts w:hint="eastAsia" w:ascii="仿宋_GB2312" w:hAnsi="仿宋" w:eastAsia="仿宋_GB2312" w:cs="Times New Roman"/>
          <w:color w:val="auto"/>
          <w:sz w:val="21"/>
          <w:szCs w:val="21"/>
          <w:highlight w:val="none"/>
          <w:lang w:val="en-US" w:eastAsia="zh-CN"/>
        </w:rPr>
        <w:t>方玲霞</w:t>
      </w:r>
    </w:p>
    <w:p w14:paraId="67CE3E7B">
      <w:pPr>
        <w:spacing w:line="360" w:lineRule="auto"/>
        <w:ind w:firstLine="420" w:firstLineChars="200"/>
        <w:rPr>
          <w:rFonts w:hint="eastAsia" w:ascii="仿宋_GB2312" w:hAnsi="仿宋" w:eastAsia="仿宋_GB2312" w:cs="Times New Roman"/>
          <w:color w:val="auto"/>
          <w:sz w:val="21"/>
          <w:szCs w:val="21"/>
          <w:highlight w:val="none"/>
        </w:rPr>
      </w:pPr>
      <w:r>
        <w:rPr>
          <w:rFonts w:hint="eastAsia" w:ascii="仿宋_GB2312" w:hAnsi="仿宋" w:eastAsia="仿宋_GB2312" w:cs="Times New Roman"/>
          <w:color w:val="auto"/>
          <w:sz w:val="21"/>
          <w:szCs w:val="21"/>
          <w:highlight w:val="none"/>
        </w:rPr>
        <w:t>质疑联系方式：18058123450</w:t>
      </w:r>
    </w:p>
    <w:p w14:paraId="58E9D63B">
      <w:pPr>
        <w:pStyle w:val="25"/>
        <w:rPr>
          <w:rFonts w:hint="eastAsia"/>
          <w:color w:val="auto"/>
          <w:sz w:val="21"/>
          <w:szCs w:val="21"/>
          <w:highlight w:val="none"/>
        </w:rPr>
      </w:pPr>
    </w:p>
    <w:p w14:paraId="2991948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3.同级政府采购监督管理部门            </w:t>
      </w:r>
    </w:p>
    <w:p w14:paraId="07D5280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名    称：杭州市财政局政府采购监管处 /浙江省政府采购行政裁决服务中心（杭州）</w:t>
      </w:r>
    </w:p>
    <w:p w14:paraId="21D2B83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地    址：杭州市上城区四季青街道新业路市民之家G03办公室 </w:t>
      </w:r>
    </w:p>
    <w:p w14:paraId="4AB44A2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传    真： /</w:t>
      </w:r>
    </w:p>
    <w:p w14:paraId="303DE727">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联系人 ：朱女士、王女士</w:t>
      </w:r>
    </w:p>
    <w:p w14:paraId="53C98C69">
      <w:pPr>
        <w:spacing w:line="360" w:lineRule="auto"/>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监督投诉电话：电话：0571-85252453   </w:t>
      </w:r>
    </w:p>
    <w:p w14:paraId="00D720D7">
      <w:pPr>
        <w:spacing w:line="360" w:lineRule="auto"/>
        <w:ind w:firstLine="48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政策咨询：陈先生、厉先生，0571-89580460、89580456</w:t>
      </w:r>
    </w:p>
    <w:p w14:paraId="6DE26335">
      <w:pPr>
        <w:spacing w:line="360" w:lineRule="auto"/>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01DE5695">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CA问题联系电话（人工）：汇信CA 400-888-4636；天谷CA 400-087-8198。</w:t>
      </w:r>
    </w:p>
    <w:p w14:paraId="7FC70FEC">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br w:type="page"/>
      </w:r>
    </w:p>
    <w:p w14:paraId="613C9355">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5" w:name="_Toc118"/>
      <w:r>
        <w:rPr>
          <w:rFonts w:hint="eastAsia" w:ascii="仿宋" w:hAnsi="仿宋" w:eastAsia="仿宋" w:cs="仿宋"/>
          <w:b/>
          <w:color w:val="auto"/>
          <w:sz w:val="36"/>
          <w:szCs w:val="20"/>
          <w:highlight w:val="none"/>
        </w:rPr>
        <w:t>第二部分</w:t>
      </w:r>
      <w:bookmarkEnd w:id="1"/>
      <w:r>
        <w:rPr>
          <w:rFonts w:hint="eastAsia" w:ascii="仿宋" w:hAnsi="仿宋" w:eastAsia="仿宋" w:cs="仿宋"/>
          <w:b/>
          <w:color w:val="auto"/>
          <w:sz w:val="36"/>
          <w:szCs w:val="20"/>
          <w:highlight w:val="none"/>
        </w:rPr>
        <w:t xml:space="preserve"> 投标人须知</w:t>
      </w:r>
      <w:bookmarkEnd w:id="2"/>
      <w:bookmarkEnd w:id="5"/>
    </w:p>
    <w:p w14:paraId="513C3700">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6" w:name="_Toc27634"/>
      <w:r>
        <w:rPr>
          <w:rFonts w:hint="eastAsia" w:ascii="仿宋" w:hAnsi="仿宋" w:eastAsia="仿宋" w:cs="仿宋"/>
          <w:b/>
          <w:color w:val="auto"/>
          <w:sz w:val="32"/>
          <w:szCs w:val="20"/>
          <w:highlight w:val="none"/>
        </w:rPr>
        <w:t>前附表</w:t>
      </w:r>
      <w:bookmarkEnd w:id="6"/>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48E4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F96FBDA">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312A7F">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A366A33">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本项目的特别规定</w:t>
            </w:r>
          </w:p>
        </w:tc>
      </w:tr>
      <w:tr w14:paraId="60053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EFA3E3">
            <w:pPr>
              <w:snapToGrid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D8C95CA">
            <w:pPr>
              <w:snapToGrid w:val="0"/>
              <w:spacing w:line="360" w:lineRule="auto"/>
              <w:jc w:val="cente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 w:val="21"/>
                <w:szCs w:val="21"/>
                <w:highlight w:val="none"/>
              </w:rPr>
              <w:t>项目说明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F04C3A8">
            <w:pPr>
              <w:snapToGrid w:val="0"/>
              <w:spacing w:line="360" w:lineRule="auto"/>
              <w:jc w:val="left"/>
              <w:rPr>
                <w:rFonts w:hint="eastAsia" w:ascii="仿宋_GB2312" w:hAnsi="仿宋" w:eastAsia="仿宋_GB2312" w:cs="Times New Roman"/>
                <w:bCs/>
                <w:color w:val="auto"/>
                <w:sz w:val="21"/>
                <w:szCs w:val="21"/>
                <w:highlight w:val="none"/>
                <w:lang w:val="zh-CN"/>
              </w:rPr>
            </w:pPr>
            <w:r>
              <w:rPr>
                <w:rFonts w:hint="eastAsia" w:ascii="仿宋" w:hAnsi="仿宋" w:eastAsia="仿宋" w:cs="仿宋"/>
                <w:color w:val="auto"/>
                <w:kern w:val="0"/>
                <w:sz w:val="21"/>
                <w:szCs w:val="21"/>
                <w:highlight w:val="none"/>
              </w:rPr>
              <w:t>一、项目</w:t>
            </w:r>
            <w:r>
              <w:rPr>
                <w:rFonts w:hint="eastAsia" w:ascii="仿宋" w:hAnsi="仿宋" w:eastAsia="仿宋" w:cs="仿宋_GB2312"/>
                <w:color w:val="auto"/>
                <w:kern w:val="0"/>
                <w:sz w:val="21"/>
                <w:szCs w:val="21"/>
                <w:highlight w:val="none"/>
                <w:lang w:val="zh-CN"/>
              </w:rPr>
              <w:t>名称：</w:t>
            </w:r>
            <w:r>
              <w:rPr>
                <w:rFonts w:hint="eastAsia" w:ascii="仿宋_GB2312" w:hAnsi="仿宋" w:eastAsia="仿宋_GB2312" w:cs="Times New Roman"/>
                <w:bCs/>
                <w:color w:val="auto"/>
                <w:sz w:val="21"/>
                <w:szCs w:val="21"/>
                <w:highlight w:val="none"/>
                <w:lang w:val="en-US" w:eastAsia="zh-CN"/>
              </w:rPr>
              <w:t>杭州市市民中心公务服务及会议中心劳务服务外包人员经费</w:t>
            </w:r>
          </w:p>
          <w:p w14:paraId="2B99B7F6">
            <w:pPr>
              <w:snapToGrid w:val="0"/>
              <w:spacing w:line="360" w:lineRule="auto"/>
              <w:jc w:val="left"/>
              <w:rPr>
                <w:rFonts w:hint="eastAsia" w:ascii="仿宋_GB2312" w:hAnsi="仿宋" w:eastAsia="仿宋_GB2312" w:cs="Times New Roman"/>
                <w:bCs/>
                <w:color w:val="auto"/>
                <w:sz w:val="21"/>
                <w:szCs w:val="21"/>
                <w:highlight w:val="none"/>
                <w:lang w:val="zh-CN"/>
              </w:rPr>
            </w:pPr>
            <w:r>
              <w:rPr>
                <w:rFonts w:hint="eastAsia" w:ascii="仿宋_GB2312" w:hAnsi="仿宋" w:eastAsia="仿宋_GB2312" w:cs="Times New Roman"/>
                <w:bCs/>
                <w:color w:val="auto"/>
                <w:sz w:val="21"/>
                <w:szCs w:val="21"/>
                <w:highlight w:val="none"/>
                <w:lang w:val="zh-CN"/>
              </w:rPr>
              <w:t>二、采购内容：</w:t>
            </w:r>
            <w:r>
              <w:rPr>
                <w:rFonts w:hint="eastAsia" w:ascii="仿宋_GB2312" w:hAnsi="仿宋" w:eastAsia="仿宋_GB2312" w:cs="Times New Roman"/>
                <w:bCs/>
                <w:color w:val="auto"/>
                <w:sz w:val="21"/>
                <w:szCs w:val="21"/>
                <w:highlight w:val="none"/>
                <w:lang w:val="en-US" w:eastAsia="zh-CN"/>
              </w:rPr>
              <w:t>杭州市市民中心公务服务及会议中心劳务服务外包人员经费</w:t>
            </w:r>
            <w:r>
              <w:rPr>
                <w:rFonts w:hint="eastAsia" w:ascii="仿宋_GB2312" w:hAnsi="仿宋" w:eastAsia="仿宋_GB2312" w:cs="Times New Roman"/>
                <w:bCs/>
                <w:color w:val="auto"/>
                <w:sz w:val="21"/>
                <w:szCs w:val="21"/>
                <w:highlight w:val="none"/>
              </w:rPr>
              <w:t>，具体详见第三部分采购需求</w:t>
            </w:r>
            <w:r>
              <w:rPr>
                <w:rFonts w:hint="eastAsia" w:ascii="仿宋_GB2312" w:hAnsi="仿宋" w:eastAsia="仿宋_GB2312" w:cs="Times New Roman"/>
                <w:bCs/>
                <w:color w:val="auto"/>
                <w:sz w:val="21"/>
                <w:szCs w:val="21"/>
                <w:highlight w:val="none"/>
                <w:lang w:val="zh-CN"/>
              </w:rPr>
              <w:t>。</w:t>
            </w:r>
          </w:p>
          <w:p w14:paraId="38FF94FE">
            <w:pPr>
              <w:snapToGrid w:val="0"/>
              <w:spacing w:line="360" w:lineRule="auto"/>
              <w:jc w:val="left"/>
              <w:rPr>
                <w:rFonts w:ascii="仿宋" w:hAnsi="仿宋" w:eastAsia="仿宋" w:cs="仿宋"/>
                <w:color w:val="auto"/>
                <w:kern w:val="0"/>
                <w:sz w:val="21"/>
                <w:szCs w:val="21"/>
                <w:highlight w:val="none"/>
              </w:rPr>
            </w:pPr>
            <w:r>
              <w:rPr>
                <w:rFonts w:hint="eastAsia" w:ascii="仿宋" w:hAnsi="仿宋" w:eastAsia="仿宋" w:cs="仿宋_GB2312"/>
                <w:color w:val="auto"/>
                <w:kern w:val="0"/>
                <w:sz w:val="21"/>
                <w:szCs w:val="21"/>
                <w:highlight w:val="none"/>
                <w:lang w:val="zh-CN"/>
              </w:rPr>
              <w:t>三、服务地点：杭州市行政大楼服务保障中心</w:t>
            </w:r>
            <w:r>
              <w:rPr>
                <w:rFonts w:hint="eastAsia" w:ascii="仿宋" w:hAnsi="仿宋" w:eastAsia="仿宋"/>
                <w:bCs/>
                <w:color w:val="auto"/>
                <w:sz w:val="21"/>
                <w:szCs w:val="21"/>
                <w:highlight w:val="none"/>
              </w:rPr>
              <w:t>。</w:t>
            </w:r>
          </w:p>
          <w:p w14:paraId="2F61D169">
            <w:pPr>
              <w:snapToGrid w:val="0"/>
              <w:spacing w:line="360" w:lineRule="auto"/>
              <w:jc w:val="left"/>
              <w:rPr>
                <w:rFonts w:hint="eastAsia" w:ascii="仿宋" w:hAnsi="仿宋" w:eastAsia="仿宋" w:cs="仿宋"/>
                <w:b/>
                <w:bCs/>
                <w:color w:val="auto"/>
                <w:kern w:val="0"/>
                <w:sz w:val="21"/>
                <w:szCs w:val="21"/>
                <w:highlight w:val="none"/>
                <w:u w:val="single"/>
                <w:lang w:val="en-US" w:eastAsia="zh-CN"/>
              </w:rPr>
            </w:pPr>
            <w:r>
              <w:rPr>
                <w:rFonts w:hint="eastAsia" w:ascii="仿宋" w:hAnsi="仿宋" w:eastAsia="仿宋" w:cs="仿宋"/>
                <w:color w:val="auto"/>
                <w:kern w:val="0"/>
                <w:sz w:val="21"/>
                <w:szCs w:val="21"/>
                <w:highlight w:val="none"/>
              </w:rPr>
              <w:t>四、合同履约期限</w:t>
            </w:r>
            <w:r>
              <w:rPr>
                <w:rFonts w:hint="eastAsia" w:ascii="仿宋" w:hAnsi="仿宋" w:eastAsia="仿宋" w:cs="仿宋"/>
                <w:b/>
                <w:bCs/>
                <w:color w:val="auto"/>
                <w:kern w:val="0"/>
                <w:sz w:val="21"/>
                <w:szCs w:val="21"/>
                <w:highlight w:val="none"/>
                <w:u w:val="single"/>
              </w:rPr>
              <w:t>：</w:t>
            </w:r>
            <w:r>
              <w:rPr>
                <w:rFonts w:hint="eastAsia" w:ascii="仿宋" w:hAnsi="仿宋" w:eastAsia="仿宋" w:cs="仿宋"/>
                <w:b/>
                <w:bCs/>
                <w:color w:val="auto"/>
                <w:kern w:val="0"/>
                <w:sz w:val="21"/>
                <w:szCs w:val="21"/>
                <w:highlight w:val="none"/>
                <w:u w:val="single"/>
                <w:lang w:val="en-US" w:eastAsia="zh-CN"/>
              </w:rPr>
              <w:t>1年（自2025年1月1日至2025年12月31日止），</w:t>
            </w:r>
            <w:r>
              <w:rPr>
                <w:rFonts w:hint="eastAsia" w:ascii="仿宋" w:hAnsi="仿宋" w:eastAsia="仿宋" w:cs="仿宋"/>
                <w:b/>
                <w:bCs/>
                <w:color w:val="auto"/>
                <w:kern w:val="0"/>
                <w:sz w:val="21"/>
                <w:szCs w:val="21"/>
                <w:highlight w:val="none"/>
                <w:u w:val="single"/>
              </w:rPr>
              <w:t>服务期满，</w:t>
            </w:r>
            <w:r>
              <w:rPr>
                <w:rFonts w:hint="eastAsia" w:ascii="仿宋" w:hAnsi="仿宋" w:eastAsia="仿宋" w:cs="仿宋"/>
                <w:b/>
                <w:bCs/>
                <w:color w:val="auto"/>
                <w:kern w:val="0"/>
                <w:sz w:val="21"/>
                <w:szCs w:val="21"/>
                <w:highlight w:val="none"/>
                <w:u w:val="single"/>
                <w:lang w:val="en-US" w:eastAsia="zh-CN"/>
              </w:rPr>
              <w:t>中标</w:t>
            </w:r>
            <w:r>
              <w:rPr>
                <w:rFonts w:hint="eastAsia" w:ascii="仿宋" w:hAnsi="仿宋" w:eastAsia="仿宋" w:cs="仿宋"/>
                <w:b/>
                <w:bCs/>
                <w:color w:val="auto"/>
                <w:kern w:val="0"/>
                <w:sz w:val="21"/>
                <w:szCs w:val="21"/>
                <w:highlight w:val="none"/>
                <w:u w:val="single"/>
              </w:rPr>
              <w:t>供应商根据采购方的要求延续提供1-</w:t>
            </w:r>
            <w:r>
              <w:rPr>
                <w:rFonts w:hint="eastAsia" w:ascii="仿宋" w:hAnsi="仿宋" w:eastAsia="仿宋" w:cs="仿宋"/>
                <w:b/>
                <w:bCs/>
                <w:color w:val="auto"/>
                <w:kern w:val="0"/>
                <w:sz w:val="21"/>
                <w:szCs w:val="21"/>
                <w:highlight w:val="none"/>
                <w:u w:val="single"/>
                <w:lang w:val="en-US" w:eastAsia="zh-CN"/>
              </w:rPr>
              <w:t>3</w:t>
            </w:r>
            <w:r>
              <w:rPr>
                <w:rFonts w:hint="eastAsia" w:ascii="仿宋" w:hAnsi="仿宋" w:eastAsia="仿宋" w:cs="仿宋"/>
                <w:b/>
                <w:bCs/>
                <w:color w:val="auto"/>
                <w:kern w:val="0"/>
                <w:sz w:val="21"/>
                <w:szCs w:val="21"/>
                <w:highlight w:val="none"/>
                <w:u w:val="single"/>
              </w:rPr>
              <w:t>个月的服务，费用标准按</w:t>
            </w:r>
            <w:r>
              <w:rPr>
                <w:rFonts w:hint="eastAsia" w:ascii="仿宋" w:hAnsi="仿宋" w:eastAsia="仿宋" w:cs="仿宋"/>
                <w:b/>
                <w:bCs/>
                <w:color w:val="auto"/>
                <w:kern w:val="0"/>
                <w:sz w:val="21"/>
                <w:szCs w:val="21"/>
                <w:highlight w:val="none"/>
                <w:u w:val="single"/>
                <w:lang w:val="en-US" w:eastAsia="zh-CN"/>
              </w:rPr>
              <w:t>新</w:t>
            </w:r>
            <w:r>
              <w:rPr>
                <w:rFonts w:hint="eastAsia" w:ascii="仿宋" w:hAnsi="仿宋" w:eastAsia="仿宋" w:cs="仿宋"/>
                <w:b/>
                <w:bCs/>
                <w:color w:val="auto"/>
                <w:kern w:val="0"/>
                <w:sz w:val="21"/>
                <w:szCs w:val="21"/>
                <w:highlight w:val="none"/>
                <w:u w:val="single"/>
              </w:rPr>
              <w:t>合同规定执行</w:t>
            </w:r>
            <w:r>
              <w:rPr>
                <w:rFonts w:hint="eastAsia" w:ascii="仿宋" w:hAnsi="仿宋" w:eastAsia="仿宋" w:cs="仿宋"/>
                <w:b/>
                <w:bCs/>
                <w:color w:val="auto"/>
                <w:kern w:val="0"/>
                <w:sz w:val="21"/>
                <w:szCs w:val="21"/>
                <w:highlight w:val="none"/>
                <w:u w:val="single"/>
                <w:lang w:val="en-US" w:eastAsia="zh-CN"/>
              </w:rPr>
              <w:t>。</w:t>
            </w:r>
          </w:p>
          <w:p w14:paraId="3B7A1C5C">
            <w:pPr>
              <w:snapToGrid w:val="0"/>
              <w:spacing w:line="360" w:lineRule="auto"/>
              <w:jc w:val="left"/>
              <w:rPr>
                <w:rFonts w:ascii="仿宋" w:hAnsi="仿宋" w:eastAsia="仿宋"/>
                <w:color w:val="auto"/>
                <w:sz w:val="21"/>
                <w:szCs w:val="21"/>
                <w:highlight w:val="none"/>
              </w:rPr>
            </w:pPr>
            <w:r>
              <w:rPr>
                <w:rFonts w:hint="eastAsia" w:ascii="仿宋" w:hAnsi="仿宋" w:eastAsia="仿宋" w:cs="仿宋"/>
                <w:b/>
                <w:bCs/>
                <w:color w:val="auto"/>
                <w:kern w:val="0"/>
                <w:sz w:val="21"/>
                <w:szCs w:val="21"/>
                <w:highlight w:val="none"/>
                <w:u w:val="single"/>
                <w:lang w:val="en-US" w:eastAsia="zh-CN"/>
              </w:rPr>
              <w:t>若</w:t>
            </w:r>
            <w:r>
              <w:rPr>
                <w:rFonts w:hint="eastAsia" w:ascii="仿宋" w:hAnsi="仿宋" w:eastAsia="仿宋" w:cs="仿宋"/>
                <w:b/>
                <w:bCs/>
                <w:color w:val="auto"/>
                <w:kern w:val="0"/>
                <w:sz w:val="21"/>
                <w:szCs w:val="21"/>
                <w:highlight w:val="none"/>
                <w:u w:val="single"/>
              </w:rPr>
              <w:t>本项目因为采购流程时间导致原服务商需延期</w:t>
            </w:r>
            <w:r>
              <w:rPr>
                <w:rFonts w:hint="eastAsia" w:ascii="仿宋" w:hAnsi="仿宋" w:eastAsia="仿宋" w:cs="仿宋"/>
                <w:b/>
                <w:bCs/>
                <w:color w:val="auto"/>
                <w:kern w:val="0"/>
                <w:sz w:val="21"/>
                <w:szCs w:val="21"/>
                <w:highlight w:val="none"/>
                <w:u w:val="single"/>
                <w:lang w:val="en-US" w:eastAsia="zh-CN"/>
              </w:rPr>
              <w:t>1-3</w:t>
            </w:r>
            <w:r>
              <w:rPr>
                <w:rFonts w:hint="eastAsia" w:ascii="仿宋" w:hAnsi="仿宋" w:eastAsia="仿宋" w:cs="仿宋"/>
                <w:b/>
                <w:bCs/>
                <w:color w:val="auto"/>
                <w:kern w:val="0"/>
                <w:sz w:val="21"/>
                <w:szCs w:val="21"/>
                <w:highlight w:val="none"/>
                <w:u w:val="single"/>
              </w:rPr>
              <w:t>个月服务</w:t>
            </w:r>
            <w:r>
              <w:rPr>
                <w:rFonts w:hint="eastAsia" w:ascii="仿宋" w:hAnsi="仿宋" w:eastAsia="仿宋" w:cs="仿宋"/>
                <w:b/>
                <w:bCs/>
                <w:color w:val="auto"/>
                <w:kern w:val="0"/>
                <w:sz w:val="21"/>
                <w:szCs w:val="21"/>
                <w:highlight w:val="none"/>
                <w:u w:val="single"/>
                <w:lang w:val="en-US" w:eastAsia="zh-CN"/>
              </w:rPr>
              <w:t>的</w:t>
            </w:r>
            <w:r>
              <w:rPr>
                <w:rFonts w:hint="eastAsia" w:ascii="仿宋" w:hAnsi="仿宋" w:eastAsia="仿宋" w:cs="仿宋"/>
                <w:b/>
                <w:bCs/>
                <w:color w:val="auto"/>
                <w:kern w:val="0"/>
                <w:sz w:val="21"/>
                <w:szCs w:val="21"/>
                <w:highlight w:val="none"/>
                <w:u w:val="single"/>
              </w:rPr>
              <w:t>，供应商需在收到采购方支付首</w:t>
            </w:r>
            <w:r>
              <w:rPr>
                <w:rFonts w:hint="eastAsia" w:ascii="仿宋" w:hAnsi="仿宋" w:eastAsia="仿宋" w:cs="仿宋"/>
                <w:b/>
                <w:bCs/>
                <w:color w:val="auto"/>
                <w:kern w:val="0"/>
                <w:sz w:val="21"/>
                <w:szCs w:val="21"/>
                <w:highlight w:val="none"/>
                <w:u w:val="single"/>
                <w:lang w:val="en-US" w:eastAsia="zh-CN"/>
              </w:rPr>
              <w:t>笔</w:t>
            </w:r>
            <w:r>
              <w:rPr>
                <w:rFonts w:hint="eastAsia" w:ascii="仿宋" w:hAnsi="仿宋" w:eastAsia="仿宋" w:cs="仿宋"/>
                <w:b/>
                <w:bCs/>
                <w:color w:val="auto"/>
                <w:kern w:val="0"/>
                <w:sz w:val="21"/>
                <w:szCs w:val="21"/>
                <w:highlight w:val="none"/>
                <w:u w:val="single"/>
              </w:rPr>
              <w:t>费用后一周内，按中</w:t>
            </w:r>
            <w:r>
              <w:rPr>
                <w:rFonts w:hint="eastAsia" w:ascii="仿宋" w:hAnsi="仿宋" w:eastAsia="仿宋" w:cs="仿宋"/>
                <w:b/>
                <w:bCs/>
                <w:color w:val="auto"/>
                <w:kern w:val="0"/>
                <w:sz w:val="21"/>
                <w:szCs w:val="21"/>
                <w:highlight w:val="none"/>
                <w:u w:val="single"/>
                <w:lang w:val="en-US" w:eastAsia="zh-CN"/>
              </w:rPr>
              <w:t>标金额</w:t>
            </w:r>
            <w:r>
              <w:rPr>
                <w:rFonts w:hint="eastAsia" w:ascii="仿宋" w:hAnsi="仿宋" w:eastAsia="仿宋" w:cs="仿宋"/>
                <w:b/>
                <w:bCs/>
                <w:color w:val="auto"/>
                <w:kern w:val="0"/>
                <w:sz w:val="21"/>
                <w:szCs w:val="21"/>
                <w:highlight w:val="none"/>
                <w:u w:val="single"/>
              </w:rPr>
              <w:t>折算延期</w:t>
            </w:r>
            <w:r>
              <w:rPr>
                <w:rFonts w:hint="eastAsia" w:ascii="仿宋" w:hAnsi="仿宋" w:eastAsia="仿宋" w:cs="仿宋"/>
                <w:b/>
                <w:bCs/>
                <w:color w:val="auto"/>
                <w:kern w:val="0"/>
                <w:sz w:val="21"/>
                <w:szCs w:val="21"/>
                <w:highlight w:val="none"/>
                <w:u w:val="single"/>
                <w:lang w:val="en-US" w:eastAsia="zh-CN"/>
              </w:rPr>
              <w:t>1-3</w:t>
            </w:r>
            <w:r>
              <w:rPr>
                <w:rFonts w:hint="eastAsia" w:ascii="仿宋" w:hAnsi="仿宋" w:eastAsia="仿宋" w:cs="仿宋"/>
                <w:b/>
                <w:bCs/>
                <w:color w:val="auto"/>
                <w:kern w:val="0"/>
                <w:sz w:val="21"/>
                <w:szCs w:val="21"/>
                <w:highlight w:val="none"/>
                <w:u w:val="single"/>
              </w:rPr>
              <w:t>个月服务费支付至原服务单位。</w:t>
            </w:r>
          </w:p>
          <w:p w14:paraId="6F0C2B01">
            <w:pPr>
              <w:snapToGrid w:val="0"/>
              <w:spacing w:line="360" w:lineRule="auto"/>
              <w:jc w:val="left"/>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五、具体采购要求：详见采购文件第三部分采购需求。</w:t>
            </w:r>
          </w:p>
          <w:p w14:paraId="110188CE">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六、</w:t>
            </w:r>
            <w:r>
              <w:rPr>
                <w:rFonts w:hint="eastAsia" w:ascii="仿宋" w:hAnsi="仿宋" w:eastAsia="仿宋" w:cs="仿宋"/>
                <w:color w:val="auto"/>
                <w:kern w:val="0"/>
                <w:sz w:val="21"/>
                <w:szCs w:val="21"/>
                <w:highlight w:val="none"/>
                <w:lang w:val="en-US" w:eastAsia="zh-CN"/>
              </w:rPr>
              <w:t>最高限价：见采购公告</w:t>
            </w:r>
          </w:p>
        </w:tc>
      </w:tr>
      <w:tr w14:paraId="02E9C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7A1A2B9">
            <w:pPr>
              <w:snapToGrid w:val="0"/>
              <w:spacing w:line="360" w:lineRule="auto"/>
              <w:jc w:val="center"/>
              <w:rPr>
                <w:rFonts w:hint="eastAsia" w:ascii="仿宋" w:hAnsi="仿宋" w:eastAsia="仿宋" w:cs="仿宋"/>
                <w:color w:val="auto"/>
                <w:sz w:val="21"/>
                <w:szCs w:val="21"/>
                <w:highlight w:val="none"/>
              </w:rPr>
            </w:pPr>
          </w:p>
          <w:p w14:paraId="1466F9C5">
            <w:pPr>
              <w:snapToGrid w:val="0"/>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DFFD5E2">
            <w:pPr>
              <w:snapToGrid w:val="0"/>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B3F075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服务类。</w:t>
            </w:r>
          </w:p>
        </w:tc>
      </w:tr>
      <w:tr w14:paraId="33A80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3"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D2F04E2">
            <w:pPr>
              <w:snapToGrid w:val="0"/>
              <w:spacing w:line="360" w:lineRule="auto"/>
              <w:jc w:val="center"/>
              <w:rPr>
                <w:rFonts w:hint="eastAsia" w:ascii="仿宋" w:hAnsi="仿宋" w:eastAsia="仿宋" w:cs="仿宋"/>
                <w:color w:val="auto"/>
                <w:sz w:val="21"/>
                <w:szCs w:val="21"/>
                <w:highlight w:val="none"/>
              </w:rPr>
            </w:pPr>
          </w:p>
          <w:p w14:paraId="09CECCB2">
            <w:pPr>
              <w:snapToGrid w:val="0"/>
              <w:spacing w:line="360" w:lineRule="auto"/>
              <w:jc w:val="center"/>
              <w:rPr>
                <w:rFonts w:hint="eastAsia" w:ascii="仿宋" w:hAnsi="仿宋" w:eastAsia="仿宋" w:cs="仿宋"/>
                <w:color w:val="auto"/>
                <w:sz w:val="21"/>
                <w:szCs w:val="21"/>
                <w:highlight w:val="none"/>
              </w:rPr>
            </w:pPr>
          </w:p>
          <w:p w14:paraId="51536B46">
            <w:pPr>
              <w:snapToGrid w:val="0"/>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E70FDC8">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F7A59C">
            <w:pPr>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按照《关于印发中小企业划型标准规定的通知》（工信部联企业〔2011〕300号）的所属行业规定，本项目采购标的：</w:t>
            </w:r>
            <w:r>
              <w:rPr>
                <w:rFonts w:hint="eastAsia" w:ascii="仿宋" w:hAnsi="仿宋" w:eastAsia="仿宋" w:cs="仿宋"/>
                <w:b/>
                <w:bCs/>
                <w:color w:val="auto"/>
                <w:kern w:val="0"/>
                <w:sz w:val="21"/>
                <w:szCs w:val="21"/>
                <w:highlight w:val="none"/>
                <w:u w:val="single"/>
                <w:lang w:val="en-US" w:eastAsia="zh-CN"/>
              </w:rPr>
              <w:t>杭州市市民中心公务服务及会议中心劳务服务外包人员经费</w:t>
            </w:r>
            <w:r>
              <w:rPr>
                <w:rFonts w:hint="eastAsia" w:ascii="仿宋" w:hAnsi="仿宋" w:eastAsia="仿宋" w:cs="仿宋"/>
                <w:b/>
                <w:bCs/>
                <w:color w:val="auto"/>
                <w:sz w:val="21"/>
                <w:szCs w:val="21"/>
                <w:highlight w:val="none"/>
                <w:u w:val="single"/>
              </w:rPr>
              <w:t xml:space="preserve"> </w:t>
            </w:r>
            <w:r>
              <w:rPr>
                <w:rFonts w:hint="eastAsia" w:ascii="仿宋" w:hAnsi="仿宋" w:eastAsia="仿宋" w:cs="仿宋"/>
                <w:color w:val="auto"/>
                <w:sz w:val="21"/>
                <w:szCs w:val="21"/>
                <w:highlight w:val="none"/>
              </w:rPr>
              <w:t>，属于</w:t>
            </w:r>
            <w:r>
              <w:rPr>
                <w:rFonts w:hint="eastAsia" w:ascii="仿宋" w:hAnsi="仿宋" w:eastAsia="仿宋" w:cs="仿宋"/>
                <w:b/>
                <w:bCs/>
                <w:color w:val="auto"/>
                <w:kern w:val="0"/>
                <w:sz w:val="21"/>
                <w:szCs w:val="21"/>
                <w:highlight w:val="none"/>
                <w:u w:val="single"/>
                <w:lang w:val="en-US" w:eastAsia="zh-CN"/>
              </w:rPr>
              <w:t>租赁和商务服务业</w:t>
            </w:r>
            <w:r>
              <w:rPr>
                <w:rFonts w:hint="eastAsia" w:ascii="仿宋" w:hAnsi="仿宋" w:eastAsia="仿宋" w:cs="仿宋"/>
                <w:color w:val="auto"/>
                <w:sz w:val="21"/>
                <w:szCs w:val="21"/>
                <w:highlight w:val="none"/>
              </w:rPr>
              <w:t>行业；</w:t>
            </w:r>
          </w:p>
        </w:tc>
      </w:tr>
      <w:tr w14:paraId="308F2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6142DD">
            <w:pPr>
              <w:snapToGrid w:val="0"/>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4C64971">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1620C8">
            <w:pPr>
              <w:spacing w:line="360" w:lineRule="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47472275"/>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color w:val="auto"/>
                <w:kern w:val="0"/>
                <w:sz w:val="21"/>
                <w:szCs w:val="21"/>
                <w:highlight w:val="none"/>
              </w:rPr>
              <w:t>本项目不允许采购进口产品。</w:t>
            </w:r>
          </w:p>
          <w:p w14:paraId="2C6A0568">
            <w:pPr>
              <w:spacing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45224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可以就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采购进口产品。</w:t>
            </w:r>
          </w:p>
        </w:tc>
      </w:tr>
      <w:tr w14:paraId="7BCCF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B5119DC">
            <w:pPr>
              <w:snapToGrid w:val="0"/>
              <w:spacing w:line="360" w:lineRule="auto"/>
              <w:jc w:val="center"/>
              <w:rPr>
                <w:rFonts w:hint="eastAsia" w:ascii="仿宋" w:hAnsi="仿宋" w:eastAsia="仿宋" w:cs="仿宋"/>
                <w:color w:val="auto"/>
                <w:sz w:val="21"/>
                <w:szCs w:val="21"/>
                <w:highlight w:val="none"/>
              </w:rPr>
            </w:pPr>
          </w:p>
          <w:p w14:paraId="5D78EBFC">
            <w:pPr>
              <w:snapToGrid w:val="0"/>
              <w:spacing w:line="360" w:lineRule="auto"/>
              <w:jc w:val="center"/>
              <w:rPr>
                <w:rFonts w:hint="eastAsia" w:ascii="仿宋" w:hAnsi="仿宋" w:eastAsia="仿宋" w:cs="仿宋"/>
                <w:color w:val="auto"/>
                <w:sz w:val="21"/>
                <w:szCs w:val="21"/>
                <w:highlight w:val="none"/>
              </w:rPr>
            </w:pPr>
          </w:p>
          <w:p w14:paraId="521FBC35">
            <w:pPr>
              <w:snapToGrid w:val="0"/>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22794C6">
            <w:pPr>
              <w:snapToGri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E8D5DB6">
            <w:pPr>
              <w:spacing w:line="360" w:lineRule="auto"/>
              <w:rPr>
                <w:rFonts w:hint="eastAsia" w:ascii="仿宋" w:hAnsi="仿宋" w:eastAsia="仿宋" w:cs="仿宋"/>
                <w:color w:val="auto"/>
                <w:sz w:val="21"/>
                <w:szCs w:val="21"/>
                <w:highlight w:val="none"/>
                <w:lang w:eastAsia="zh-CN"/>
              </w:rPr>
            </w:pPr>
            <w:sdt>
              <w:sdtPr>
                <w:rPr>
                  <w:rFonts w:hint="eastAsia" w:ascii="仿宋" w:hAnsi="仿宋" w:eastAsia="仿宋" w:cs="仿宋"/>
                  <w:color w:val="auto"/>
                  <w:kern w:val="0"/>
                  <w:sz w:val="21"/>
                  <w:szCs w:val="21"/>
                  <w:highlight w:val="none"/>
                </w:rPr>
                <w:id w:val="147471390"/>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 xml:space="preserve"> A</w:t>
            </w:r>
            <w:r>
              <w:rPr>
                <w:rFonts w:hint="eastAsia" w:ascii="仿宋" w:hAnsi="仿宋" w:eastAsia="仿宋" w:cs="仿宋"/>
                <w:color w:val="auto"/>
                <w:sz w:val="21"/>
                <w:szCs w:val="21"/>
                <w:highlight w:val="none"/>
              </w:rPr>
              <w:t>同意将非主体、非关键性的</w:t>
            </w:r>
            <w:r>
              <w:rPr>
                <w:rFonts w:hint="eastAsia" w:ascii="仿宋" w:hAnsi="仿宋" w:eastAsia="仿宋" w:cs="仿宋"/>
                <w:color w:val="auto"/>
                <w:sz w:val="21"/>
                <w:szCs w:val="21"/>
                <w:highlight w:val="none"/>
                <w:u w:val="single"/>
                <w:lang w:val="en-US" w:eastAsia="zh-CN"/>
              </w:rPr>
              <w:t>保洁服务</w:t>
            </w:r>
            <w:r>
              <w:rPr>
                <w:rFonts w:hint="eastAsia" w:ascii="仿宋" w:hAnsi="仿宋" w:eastAsia="仿宋" w:cs="仿宋"/>
                <w:color w:val="auto"/>
                <w:sz w:val="21"/>
                <w:szCs w:val="21"/>
                <w:highlight w:val="none"/>
              </w:rPr>
              <w:t>工作分包</w:t>
            </w:r>
            <w:r>
              <w:rPr>
                <w:rFonts w:hint="eastAsia" w:ascii="仿宋" w:hAnsi="仿宋" w:eastAsia="仿宋" w:cs="仿宋"/>
                <w:color w:val="auto"/>
                <w:sz w:val="21"/>
                <w:szCs w:val="21"/>
                <w:highlight w:val="none"/>
                <w:lang w:eastAsia="zh-CN"/>
              </w:rPr>
              <w:t>。</w:t>
            </w:r>
          </w:p>
          <w:p w14:paraId="64A79AB0">
            <w:pPr>
              <w:spacing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46101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 xml:space="preserve"> B</w:t>
            </w:r>
            <w:r>
              <w:rPr>
                <w:rFonts w:hint="eastAsia" w:ascii="仿宋" w:hAnsi="仿宋" w:eastAsia="仿宋" w:cs="仿宋"/>
                <w:color w:val="auto"/>
                <w:sz w:val="21"/>
                <w:szCs w:val="21"/>
                <w:highlight w:val="none"/>
              </w:rPr>
              <w:t>不同意分包。</w:t>
            </w:r>
          </w:p>
          <w:p w14:paraId="7A9E97A9">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注：不得限制大中型企业向小微企业合理分包。</w:t>
            </w:r>
          </w:p>
        </w:tc>
      </w:tr>
      <w:tr w14:paraId="39F9E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93"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5FCA2D7">
            <w:pPr>
              <w:snapToGrid w:val="0"/>
              <w:spacing w:line="360" w:lineRule="auto"/>
              <w:jc w:val="center"/>
              <w:rPr>
                <w:rFonts w:hint="eastAsia" w:ascii="仿宋" w:hAnsi="仿宋" w:eastAsia="仿宋" w:cs="仿宋"/>
                <w:color w:val="auto"/>
                <w:sz w:val="21"/>
                <w:szCs w:val="21"/>
                <w:highlight w:val="none"/>
              </w:rPr>
            </w:pPr>
          </w:p>
          <w:p w14:paraId="7411B901">
            <w:pPr>
              <w:snapToGrid w:val="0"/>
              <w:spacing w:line="360" w:lineRule="auto"/>
              <w:jc w:val="center"/>
              <w:rPr>
                <w:rFonts w:hint="eastAsia" w:ascii="仿宋" w:hAnsi="仿宋" w:eastAsia="仿宋" w:cs="仿宋"/>
                <w:color w:val="auto"/>
                <w:sz w:val="21"/>
                <w:szCs w:val="21"/>
                <w:highlight w:val="none"/>
              </w:rPr>
            </w:pPr>
          </w:p>
          <w:p w14:paraId="3DBAF09D">
            <w:pPr>
              <w:snapToGrid w:val="0"/>
              <w:spacing w:line="360" w:lineRule="auto"/>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C4C29BC">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D23CC7A">
            <w:pPr>
              <w:spacing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46356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2469FAD9">
            <w:pPr>
              <w:spacing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48235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tc>
      </w:tr>
      <w:tr w14:paraId="70210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CEC3D1A">
            <w:pPr>
              <w:snapToGrid w:val="0"/>
              <w:spacing w:line="360" w:lineRule="auto"/>
              <w:jc w:val="center"/>
              <w:rPr>
                <w:rFonts w:hint="eastAsia" w:ascii="仿宋" w:hAnsi="仿宋" w:eastAsia="仿宋" w:cs="仿宋"/>
                <w:color w:val="auto"/>
                <w:sz w:val="21"/>
                <w:szCs w:val="21"/>
                <w:highlight w:val="none"/>
              </w:rPr>
            </w:pPr>
          </w:p>
          <w:p w14:paraId="16D12D53">
            <w:pPr>
              <w:snapToGrid w:val="0"/>
              <w:spacing w:line="360" w:lineRule="auto"/>
              <w:jc w:val="center"/>
              <w:rPr>
                <w:rFonts w:hint="eastAsia" w:ascii="仿宋" w:hAnsi="仿宋" w:eastAsia="仿宋" w:cs="仿宋"/>
                <w:color w:val="auto"/>
                <w:sz w:val="21"/>
                <w:szCs w:val="21"/>
                <w:highlight w:val="none"/>
              </w:rPr>
            </w:pPr>
          </w:p>
          <w:p w14:paraId="3FBBB5E4">
            <w:pPr>
              <w:snapToGrid w:val="0"/>
              <w:spacing w:line="360" w:lineRule="auto"/>
              <w:jc w:val="center"/>
              <w:rPr>
                <w:rFonts w:hint="eastAsia" w:ascii="仿宋" w:hAnsi="仿宋" w:eastAsia="仿宋" w:cs="仿宋"/>
                <w:color w:val="auto"/>
                <w:sz w:val="21"/>
                <w:szCs w:val="21"/>
                <w:highlight w:val="none"/>
              </w:rPr>
            </w:pPr>
          </w:p>
          <w:p w14:paraId="4F6BACE7">
            <w:pPr>
              <w:snapToGrid w:val="0"/>
              <w:spacing w:line="360" w:lineRule="auto"/>
              <w:jc w:val="center"/>
              <w:rPr>
                <w:rFonts w:hint="eastAsia" w:ascii="仿宋" w:hAnsi="仿宋" w:eastAsia="仿宋" w:cs="仿宋"/>
                <w:color w:val="auto"/>
                <w:sz w:val="21"/>
                <w:szCs w:val="21"/>
                <w:highlight w:val="none"/>
              </w:rPr>
            </w:pPr>
          </w:p>
          <w:p w14:paraId="0E87C14D">
            <w:pPr>
              <w:snapToGrid w:val="0"/>
              <w:spacing w:line="360" w:lineRule="auto"/>
              <w:jc w:val="center"/>
              <w:rPr>
                <w:rFonts w:hint="eastAsia" w:ascii="仿宋" w:hAnsi="仿宋" w:eastAsia="仿宋" w:cs="仿宋"/>
                <w:color w:val="auto"/>
                <w:sz w:val="21"/>
                <w:szCs w:val="21"/>
                <w:highlight w:val="none"/>
              </w:rPr>
            </w:pPr>
          </w:p>
          <w:p w14:paraId="6C1B276E">
            <w:pPr>
              <w:snapToGrid w:val="0"/>
              <w:spacing w:line="360" w:lineRule="auto"/>
              <w:jc w:val="center"/>
              <w:rPr>
                <w:rFonts w:hint="eastAsia" w:ascii="仿宋" w:hAnsi="仿宋" w:eastAsia="仿宋" w:cs="仿宋"/>
                <w:color w:val="auto"/>
                <w:sz w:val="21"/>
                <w:szCs w:val="21"/>
                <w:highlight w:val="none"/>
              </w:rPr>
            </w:pPr>
          </w:p>
          <w:p w14:paraId="7FAF0F35">
            <w:pPr>
              <w:snapToGrid w:val="0"/>
              <w:spacing w:line="360" w:lineRule="auto"/>
              <w:jc w:val="center"/>
              <w:rPr>
                <w:rFonts w:hint="eastAsia" w:ascii="仿宋" w:hAnsi="仿宋" w:eastAsia="仿宋" w:cs="仿宋"/>
                <w:color w:val="auto"/>
                <w:sz w:val="21"/>
                <w:szCs w:val="21"/>
                <w:highlight w:val="none"/>
              </w:rPr>
            </w:pPr>
          </w:p>
          <w:p w14:paraId="1D3999E1">
            <w:pPr>
              <w:snapToGrid w:val="0"/>
              <w:spacing w:line="360" w:lineRule="auto"/>
              <w:jc w:val="center"/>
              <w:rPr>
                <w:rFonts w:hint="eastAsia" w:ascii="仿宋" w:hAnsi="仿宋" w:eastAsia="仿宋" w:cs="仿宋"/>
                <w:color w:val="auto"/>
                <w:sz w:val="21"/>
                <w:szCs w:val="21"/>
                <w:highlight w:val="none"/>
              </w:rPr>
            </w:pPr>
          </w:p>
          <w:p w14:paraId="31F4B7A1">
            <w:pPr>
              <w:snapToGrid w:val="0"/>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EADCB44">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8700E1B">
            <w:pPr>
              <w:spacing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475257"/>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不要求提供。</w:t>
            </w:r>
          </w:p>
          <w:p w14:paraId="23532DC3">
            <w:pPr>
              <w:spacing w:line="360" w:lineRule="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B要求提供，</w:t>
            </w:r>
          </w:p>
          <w:p w14:paraId="49A7AAAF">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snapToGrid w:val="0"/>
                <w:color w:val="auto"/>
                <w:kern w:val="28"/>
                <w:sz w:val="21"/>
                <w:szCs w:val="21"/>
                <w:highlight w:val="none"/>
              </w:rPr>
              <w:t>样品：</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1614464C">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snapToGrid w:val="0"/>
                <w:color w:val="auto"/>
                <w:kern w:val="28"/>
                <w:sz w:val="21"/>
                <w:szCs w:val="21"/>
                <w:highlight w:val="none"/>
              </w:rPr>
              <w:t>样品制作的标准和要求：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1E84F942">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（3）样品的评审方法以及评审标准</w:t>
            </w:r>
            <w:r>
              <w:rPr>
                <w:rFonts w:hint="eastAsia" w:ascii="仿宋" w:hAnsi="仿宋" w:eastAsia="仿宋" w:cs="仿宋"/>
                <w:snapToGrid w:val="0"/>
                <w:color w:val="auto"/>
                <w:kern w:val="28"/>
                <w:sz w:val="21"/>
                <w:szCs w:val="21"/>
                <w:highlight w:val="none"/>
              </w:rPr>
              <w:t>：详见</w:t>
            </w:r>
            <w:r>
              <w:rPr>
                <w:rFonts w:hint="eastAsia" w:ascii="仿宋" w:hAnsi="仿宋" w:eastAsia="仿宋" w:cs="仿宋"/>
                <w:color w:val="auto"/>
                <w:sz w:val="21"/>
                <w:szCs w:val="21"/>
                <w:highlight w:val="none"/>
                <w:u w:val="single"/>
              </w:rPr>
              <w:t>评标办法</w:t>
            </w:r>
            <w:r>
              <w:rPr>
                <w:rFonts w:hint="eastAsia" w:ascii="仿宋" w:hAnsi="仿宋" w:eastAsia="仿宋" w:cs="仿宋"/>
                <w:color w:val="auto"/>
                <w:kern w:val="0"/>
                <w:sz w:val="21"/>
                <w:szCs w:val="21"/>
                <w:highlight w:val="none"/>
              </w:rPr>
              <w:t>；</w:t>
            </w:r>
          </w:p>
          <w:p w14:paraId="25F406CD">
            <w:pPr>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（4）是否需要随样品提交检测报告：</w:t>
            </w:r>
            <w:sdt>
              <w:sdtPr>
                <w:rPr>
                  <w:rFonts w:hint="eastAsia" w:ascii="仿宋" w:hAnsi="仿宋" w:eastAsia="仿宋" w:cs="仿宋"/>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否；</w:t>
            </w:r>
            <w:sdt>
              <w:sdtPr>
                <w:rPr>
                  <w:rFonts w:hint="eastAsia" w:ascii="仿宋" w:hAnsi="仿宋" w:eastAsia="仿宋" w:cs="仿宋"/>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是，检测机构的要求</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；检测内容</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0B4CA37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（5）提供样品的时间：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。请投标人在上述时间内提供样品并按规定位置安装完毕。超过截止时间的，采购人或采购代理机构将不予接收，并将清场并封闭样品现场。</w:t>
            </w:r>
          </w:p>
          <w:p w14:paraId="60062E9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(6)采购活动结束后，对于未中标人提供的样品，采购人、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将通知未中标人在规定的时间内取回，逾期未取回的，采购人、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不负保管义务；对于中标人提供的样品，采购人将进行保管、封存，并作为履约验收的参考。</w:t>
            </w:r>
          </w:p>
          <w:p w14:paraId="770869AF">
            <w:pPr>
              <w:spacing w:line="360" w:lineRule="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（7）制作、运输、安装和保管样品所发生的一切费用由投标人自理。</w:t>
            </w:r>
          </w:p>
        </w:tc>
      </w:tr>
      <w:tr w14:paraId="1C290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34998C3">
            <w:pPr>
              <w:snapToGrid w:val="0"/>
              <w:spacing w:line="360" w:lineRule="auto"/>
              <w:jc w:val="center"/>
              <w:rPr>
                <w:rFonts w:hint="eastAsia" w:ascii="仿宋" w:hAnsi="仿宋" w:eastAsia="仿宋" w:cs="仿宋"/>
                <w:color w:val="auto"/>
                <w:sz w:val="21"/>
                <w:szCs w:val="21"/>
                <w:highlight w:val="none"/>
              </w:rPr>
            </w:pPr>
          </w:p>
          <w:p w14:paraId="07286320">
            <w:pPr>
              <w:snapToGrid w:val="0"/>
              <w:spacing w:line="360" w:lineRule="auto"/>
              <w:jc w:val="center"/>
              <w:rPr>
                <w:rFonts w:hint="eastAsia" w:ascii="仿宋" w:hAnsi="仿宋" w:eastAsia="仿宋" w:cs="仿宋"/>
                <w:color w:val="auto"/>
                <w:sz w:val="21"/>
                <w:szCs w:val="21"/>
                <w:highlight w:val="none"/>
              </w:rPr>
            </w:pPr>
          </w:p>
          <w:p w14:paraId="6643F64D">
            <w:pPr>
              <w:snapToGrid w:val="0"/>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2E157DAB">
            <w:pPr>
              <w:snapToGrid w:val="0"/>
              <w:spacing w:line="360" w:lineRule="auto"/>
              <w:jc w:val="center"/>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8415353">
            <w:pPr>
              <w:spacing w:line="360" w:lineRule="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47088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6C67C7F2">
            <w:pPr>
              <w:spacing w:line="360" w:lineRule="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p>
          <w:p w14:paraId="04F07B43">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（1）在评标时安排每个投标人进行方案讲解演示。每个投标人时间不超过</w:t>
            </w:r>
            <w:r>
              <w:rPr>
                <w:rFonts w:hint="eastAsia" w:ascii="仿宋" w:hAnsi="仿宋" w:eastAsia="仿宋" w:cs="仿宋"/>
                <w:color w:val="auto"/>
                <w:kern w:val="0"/>
                <w:sz w:val="21"/>
                <w:szCs w:val="21"/>
                <w:highlight w:val="none"/>
                <w:u w:val="single"/>
              </w:rPr>
              <w:t>20</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u w:val="single"/>
                <w:lang w:val="en-US" w:eastAsia="zh-CN"/>
              </w:rPr>
              <w:t>编制时可根据项目情况进行调整</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rPr>
              <w:t>分钟，讲解次序以投标文件解密时间先后次序为准，讲解演示人员不超过</w:t>
            </w:r>
            <w:r>
              <w:rPr>
                <w:rFonts w:hint="eastAsia" w:ascii="仿宋" w:hAnsi="仿宋" w:eastAsia="仿宋" w:cs="仿宋"/>
                <w:color w:val="auto"/>
                <w:kern w:val="0"/>
                <w:sz w:val="21"/>
                <w:szCs w:val="21"/>
                <w:highlight w:val="none"/>
                <w:u w:val="single"/>
              </w:rPr>
              <w:t>3</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u w:val="single"/>
                <w:lang w:val="en-US" w:eastAsia="zh-CN"/>
              </w:rPr>
              <w:t>编制时可根据项目情况进行调整</w:t>
            </w:r>
            <w:r>
              <w:rPr>
                <w:rFonts w:hint="eastAsia" w:ascii="仿宋" w:hAnsi="仿宋" w:eastAsia="仿宋" w:cs="仿宋"/>
                <w:color w:val="auto"/>
                <w:kern w:val="0"/>
                <w:sz w:val="21"/>
                <w:szCs w:val="21"/>
                <w:highlight w:val="none"/>
                <w:u w:val="single"/>
                <w:lang w:eastAsia="zh-CN"/>
              </w:rPr>
              <w:t>）</w:t>
            </w:r>
            <w:r>
              <w:rPr>
                <w:rFonts w:hint="eastAsia" w:ascii="仿宋" w:hAnsi="仿宋" w:eastAsia="仿宋" w:cs="仿宋"/>
                <w:color w:val="auto"/>
                <w:kern w:val="0"/>
                <w:sz w:val="21"/>
                <w:szCs w:val="21"/>
                <w:highlight w:val="none"/>
              </w:rPr>
              <w:t>人。讲解演示结束后按要求解答评标委员会提问。</w:t>
            </w:r>
          </w:p>
          <w:p w14:paraId="74473C6C">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（2）方案讲解演示可选择以下其中一种方式：</w:t>
            </w:r>
          </w:p>
          <w:p w14:paraId="48CB6F4C">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方式一：政采云平台在线讲解演示。政采云平台在线讲解需投标人根据政采云平台操作要求做好准备工作，提前完善软硬件配置环境。</w:t>
            </w:r>
          </w:p>
          <w:p w14:paraId="362B1818">
            <w:pPr>
              <w:snapToGrid w:val="0"/>
              <w:spacing w:line="360"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方式二：交易中心现场讲解演示。现场讲解地点为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5C686CDC">
            <w:pPr>
              <w:snapToGrid w:val="0"/>
              <w:spacing w:line="360" w:lineRule="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0510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A6FF0C9">
            <w:pPr>
              <w:snapToGrid w:val="0"/>
              <w:spacing w:line="360" w:lineRule="auto"/>
              <w:jc w:val="center"/>
              <w:rPr>
                <w:rFonts w:hint="eastAsia" w:ascii="仿宋" w:hAnsi="仿宋" w:eastAsia="仿宋" w:cs="仿宋"/>
                <w:color w:val="auto"/>
                <w:sz w:val="21"/>
                <w:szCs w:val="21"/>
                <w:highlight w:val="none"/>
              </w:rPr>
            </w:pPr>
          </w:p>
          <w:p w14:paraId="76262EBB">
            <w:pPr>
              <w:snapToGrid w:val="0"/>
              <w:spacing w:line="360" w:lineRule="auto"/>
              <w:jc w:val="center"/>
              <w:rPr>
                <w:rFonts w:hint="eastAsia" w:ascii="仿宋" w:hAnsi="仿宋" w:eastAsia="仿宋" w:cs="仿宋"/>
                <w:color w:val="auto"/>
                <w:sz w:val="21"/>
                <w:szCs w:val="21"/>
                <w:highlight w:val="none"/>
              </w:rPr>
            </w:pPr>
          </w:p>
          <w:p w14:paraId="38ADD2D5">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p w14:paraId="367305B3">
            <w:pPr>
              <w:snapToGrid w:val="0"/>
              <w:spacing w:line="360" w:lineRule="auto"/>
              <w:jc w:val="center"/>
              <w:rPr>
                <w:rFonts w:hint="eastAsia" w:ascii="仿宋" w:hAnsi="仿宋" w:eastAsia="仿宋" w:cs="仿宋"/>
                <w:color w:val="auto"/>
                <w:sz w:val="21"/>
                <w:szCs w:val="21"/>
                <w:highlight w:val="none"/>
              </w:rPr>
            </w:pPr>
          </w:p>
          <w:p w14:paraId="219607D3">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1843" w:type="dxa"/>
            <w:vMerge w:val="restart"/>
            <w:tcBorders>
              <w:top w:val="single" w:color="000000" w:sz="8" w:space="0"/>
              <w:left w:val="single" w:color="auto" w:sz="4" w:space="0"/>
              <w:right w:val="single" w:color="000000" w:sz="8" w:space="0"/>
            </w:tcBorders>
            <w:vAlign w:val="center"/>
          </w:tcPr>
          <w:p w14:paraId="1D20C14B">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65EB86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（1）资格证明文件：见招标文件第二部分11.1。</w:t>
            </w:r>
          </w:p>
          <w:p w14:paraId="2E06F2F2">
            <w:pPr>
              <w:spacing w:line="360" w:lineRule="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1"/>
                <w:szCs w:val="21"/>
                <w:highlight w:val="none"/>
                <w:lang w:val="zh-CN"/>
              </w:rPr>
              <w:t>投标人未提供有效的资格证明文件的，视为投标人不具备招标文件中规定的资格要求，投标无效。</w:t>
            </w:r>
          </w:p>
        </w:tc>
      </w:tr>
      <w:tr w14:paraId="55C30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5C021FF9">
            <w:pPr>
              <w:snapToGrid w:val="0"/>
              <w:spacing w:line="360" w:lineRule="auto"/>
              <w:jc w:val="center"/>
              <w:rPr>
                <w:rFonts w:hint="eastAsia" w:ascii="仿宋" w:hAnsi="仿宋" w:eastAsia="仿宋" w:cs="仿宋"/>
                <w:color w:val="auto"/>
                <w:kern w:val="2"/>
                <w:sz w:val="21"/>
                <w:szCs w:val="21"/>
                <w:highlight w:val="none"/>
                <w:lang w:val="en-US" w:eastAsia="zh-CN" w:bidi="ar-SA"/>
              </w:rPr>
            </w:pPr>
          </w:p>
        </w:tc>
        <w:tc>
          <w:tcPr>
            <w:tcW w:w="1843" w:type="dxa"/>
            <w:vMerge w:val="continue"/>
            <w:tcBorders>
              <w:left w:val="single" w:color="auto" w:sz="4" w:space="0"/>
              <w:bottom w:val="single" w:color="000000" w:sz="8" w:space="0"/>
              <w:right w:val="single" w:color="000000" w:sz="8" w:space="0"/>
            </w:tcBorders>
            <w:vAlign w:val="center"/>
          </w:tcPr>
          <w:p w14:paraId="414552A6">
            <w:pPr>
              <w:snapToGrid w:val="0"/>
              <w:spacing w:line="360" w:lineRule="auto"/>
              <w:jc w:val="center"/>
              <w:rPr>
                <w:rFonts w:hint="eastAsia" w:ascii="仿宋" w:hAnsi="仿宋" w:eastAsia="仿宋" w:cs="仿宋"/>
                <w:b/>
                <w:color w:val="auto"/>
                <w:sz w:val="21"/>
                <w:szCs w:val="21"/>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95CD6E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（2）资信证明文件：根据招标文件第四部分评标标准提供。</w:t>
            </w:r>
          </w:p>
        </w:tc>
      </w:tr>
      <w:tr w14:paraId="7DFCA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037D21D">
            <w:pPr>
              <w:snapToGrid w:val="0"/>
              <w:spacing w:line="360" w:lineRule="auto"/>
              <w:jc w:val="center"/>
              <w:rPr>
                <w:rFonts w:hint="eastAsia" w:ascii="仿宋" w:hAnsi="仿宋" w:eastAsia="仿宋" w:cs="仿宋"/>
                <w:color w:val="auto"/>
                <w:sz w:val="21"/>
                <w:szCs w:val="21"/>
                <w:highlight w:val="none"/>
              </w:rPr>
            </w:pPr>
          </w:p>
          <w:p w14:paraId="41311DF0">
            <w:pPr>
              <w:snapToGrid w:val="0"/>
              <w:spacing w:line="360" w:lineRule="auto"/>
              <w:jc w:val="center"/>
              <w:rPr>
                <w:rFonts w:hint="eastAsia" w:ascii="仿宋" w:hAnsi="仿宋" w:eastAsia="仿宋" w:cs="仿宋"/>
                <w:color w:val="auto"/>
                <w:sz w:val="21"/>
                <w:szCs w:val="21"/>
                <w:highlight w:val="none"/>
              </w:rPr>
            </w:pPr>
          </w:p>
          <w:p w14:paraId="3E8499E3">
            <w:pPr>
              <w:snapToGrid w:val="0"/>
              <w:spacing w:line="360" w:lineRule="auto"/>
              <w:jc w:val="center"/>
              <w:rPr>
                <w:rFonts w:hint="eastAsia" w:ascii="仿宋" w:hAnsi="仿宋" w:eastAsia="仿宋" w:cs="仿宋"/>
                <w:color w:val="auto"/>
                <w:sz w:val="21"/>
                <w:szCs w:val="21"/>
                <w:highlight w:val="none"/>
              </w:rPr>
            </w:pPr>
          </w:p>
          <w:p w14:paraId="701CF463">
            <w:pPr>
              <w:snapToGrid w:val="0"/>
              <w:spacing w:line="360" w:lineRule="auto"/>
              <w:jc w:val="center"/>
              <w:rPr>
                <w:rFonts w:hint="eastAsia" w:ascii="仿宋" w:hAnsi="仿宋" w:eastAsia="仿宋" w:cs="仿宋"/>
                <w:color w:val="auto"/>
                <w:sz w:val="21"/>
                <w:szCs w:val="21"/>
                <w:highlight w:val="none"/>
              </w:rPr>
            </w:pPr>
          </w:p>
          <w:p w14:paraId="6B601376">
            <w:pPr>
              <w:snapToGrid w:val="0"/>
              <w:spacing w:line="360" w:lineRule="auto"/>
              <w:jc w:val="center"/>
              <w:rPr>
                <w:rFonts w:hint="eastAsia" w:ascii="仿宋" w:hAnsi="仿宋" w:eastAsia="仿宋" w:cs="仿宋"/>
                <w:color w:val="auto"/>
                <w:sz w:val="21"/>
                <w:szCs w:val="21"/>
                <w:highlight w:val="none"/>
              </w:rPr>
            </w:pPr>
          </w:p>
          <w:p w14:paraId="1C9F1DD9">
            <w:pPr>
              <w:snapToGrid w:val="0"/>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3DE8EB6">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75808D">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E95A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539F319">
            <w:pPr>
              <w:snapToGrid w:val="0"/>
              <w:spacing w:line="360" w:lineRule="auto"/>
              <w:jc w:val="center"/>
              <w:rPr>
                <w:rFonts w:hint="eastAsia" w:ascii="仿宋" w:hAnsi="仿宋" w:eastAsia="仿宋" w:cs="仿宋"/>
                <w:color w:val="auto"/>
                <w:sz w:val="21"/>
                <w:szCs w:val="21"/>
                <w:highlight w:val="none"/>
              </w:rPr>
            </w:pPr>
          </w:p>
          <w:p w14:paraId="50965D97">
            <w:pPr>
              <w:snapToGrid w:val="0"/>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173B56A">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5552A2A">
            <w:pPr>
              <w:snapToGrid w:val="0"/>
              <w:spacing w:line="360" w:lineRule="auto"/>
              <w:jc w:val="left"/>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有关本项目实施所需的所有费用（含税费）均计入报价。</w:t>
            </w:r>
            <w:r>
              <w:rPr>
                <w:rFonts w:hint="eastAsia" w:ascii="仿宋" w:hAnsi="仿宋" w:eastAsia="仿宋" w:cs="仿宋"/>
                <w:b/>
                <w:bCs/>
                <w:color w:val="auto"/>
                <w:kern w:val="0"/>
                <w:sz w:val="21"/>
                <w:szCs w:val="21"/>
                <w:highlight w:val="none"/>
                <w:lang w:val="zh-CN"/>
              </w:rPr>
              <w:t>投标文件</w:t>
            </w:r>
            <w:r>
              <w:rPr>
                <w:rFonts w:hint="eastAsia" w:ascii="仿宋" w:hAnsi="仿宋" w:eastAsia="仿宋" w:cs="仿宋"/>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1"/>
                <w:szCs w:val="21"/>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1"/>
                <w:szCs w:val="21"/>
                <w:highlight w:val="none"/>
                <w:lang w:val="zh-CN"/>
              </w:rPr>
              <w:t>提醒：验收时检测费用由采购人承担，不包含在投标总价中。</w:t>
            </w:r>
          </w:p>
          <w:p w14:paraId="302A9F7A">
            <w:pPr>
              <w:snapToGrid w:val="0"/>
              <w:spacing w:line="360" w:lineRule="auto"/>
              <w:jc w:val="left"/>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投标报价出现下列情形的，投标无效：</w:t>
            </w:r>
          </w:p>
          <w:p w14:paraId="4DAD129F">
            <w:pPr>
              <w:snapToGrid w:val="0"/>
              <w:spacing w:line="360" w:lineRule="auto"/>
              <w:ind w:firstLine="211" w:firstLineChars="100"/>
              <w:jc w:val="left"/>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投标文件出现不是唯一的、有选择性投标报价的；</w:t>
            </w:r>
          </w:p>
          <w:p w14:paraId="2C57ADB5">
            <w:pPr>
              <w:snapToGrid w:val="0"/>
              <w:spacing w:line="360" w:lineRule="auto"/>
              <w:ind w:firstLine="211" w:firstLineChars="100"/>
              <w:jc w:val="left"/>
              <w:rPr>
                <w:rFonts w:hint="eastAsia" w:ascii="仿宋" w:hAnsi="仿宋" w:eastAsia="仿宋" w:cs="仿宋"/>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投标报价超过招标文件中规定的预算金额或者最高限价的;</w:t>
            </w:r>
          </w:p>
          <w:p w14:paraId="3F46BFB8">
            <w:pPr>
              <w:spacing w:line="360" w:lineRule="auto"/>
              <w:ind w:firstLine="211" w:firstLineChars="100"/>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1"/>
                <w:szCs w:val="21"/>
                <w:highlight w:val="none"/>
              </w:rPr>
              <w:t>;</w:t>
            </w:r>
          </w:p>
          <w:p w14:paraId="454A59E2">
            <w:pPr>
              <w:spacing w:line="360" w:lineRule="auto"/>
              <w:ind w:firstLine="211" w:firstLineChars="100"/>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投标人对根据修正原则修正后的报价不确认的</w:t>
            </w:r>
            <w:r>
              <w:rPr>
                <w:rFonts w:hint="eastAsia" w:ascii="仿宋" w:hAnsi="仿宋" w:eastAsia="仿宋" w:cs="仿宋"/>
                <w:b/>
                <w:color w:val="auto"/>
                <w:sz w:val="21"/>
                <w:szCs w:val="21"/>
                <w:highlight w:val="none"/>
              </w:rPr>
              <w:t>。</w:t>
            </w:r>
          </w:p>
        </w:tc>
      </w:tr>
      <w:tr w14:paraId="10190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44D3BAB5">
            <w:pPr>
              <w:snapToGrid w:val="0"/>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12</w:t>
            </w:r>
          </w:p>
        </w:tc>
        <w:tc>
          <w:tcPr>
            <w:tcW w:w="1843" w:type="dxa"/>
            <w:tcBorders>
              <w:top w:val="single" w:color="000000" w:sz="8" w:space="0"/>
              <w:left w:val="single" w:color="000000" w:sz="2" w:space="0"/>
              <w:right w:val="single" w:color="000000" w:sz="8" w:space="0"/>
            </w:tcBorders>
            <w:vAlign w:val="center"/>
          </w:tcPr>
          <w:p w14:paraId="49D2637B">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655B15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B7BA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5044A7C">
            <w:pPr>
              <w:snapToGrid w:val="0"/>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A7620DC">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EA0E5DA">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28"/>
                <w:sz w:val="21"/>
                <w:szCs w:val="21"/>
                <w:highlight w:val="none"/>
              </w:rPr>
              <w:t>备份投标文件送达地点：</w:t>
            </w:r>
            <w:r>
              <w:rPr>
                <w:rFonts w:hint="eastAsia" w:ascii="仿宋_GB2312" w:hAnsi="仿宋" w:eastAsia="仿宋_GB2312" w:cs="Times New Roman"/>
                <w:b/>
                <w:bCs/>
                <w:color w:val="auto"/>
                <w:sz w:val="21"/>
                <w:szCs w:val="21"/>
                <w:highlight w:val="none"/>
                <w:u w:val="single"/>
                <w:lang w:eastAsia="zh-CN"/>
              </w:rPr>
              <w:t>杭州市西湖区西投万科开物创新大厦B座9楼</w:t>
            </w:r>
            <w:r>
              <w:rPr>
                <w:rFonts w:hint="eastAsia" w:ascii="仿宋" w:hAnsi="仿宋" w:eastAsia="仿宋" w:cs="仿宋"/>
                <w:color w:val="auto"/>
                <w:kern w:val="28"/>
                <w:sz w:val="21"/>
                <w:szCs w:val="21"/>
                <w:highlight w:val="none"/>
              </w:rPr>
              <w:t>；备份投标文件签收人员联系电话：</w:t>
            </w:r>
            <w:r>
              <w:rPr>
                <w:rFonts w:hint="eastAsia" w:ascii="仿宋_GB2312" w:hAnsi="仿宋" w:eastAsia="仿宋_GB2312" w:cs="Times New Roman"/>
                <w:b/>
                <w:bCs/>
                <w:color w:val="auto"/>
                <w:sz w:val="21"/>
                <w:szCs w:val="21"/>
                <w:highlight w:val="none"/>
                <w:u w:val="single"/>
                <w:lang w:eastAsia="zh-CN"/>
              </w:rPr>
              <w:t>贺</w:t>
            </w:r>
            <w:r>
              <w:rPr>
                <w:rFonts w:hint="eastAsia" w:ascii="仿宋_GB2312" w:hAnsi="仿宋" w:eastAsia="仿宋_GB2312" w:cs="Times New Roman"/>
                <w:b/>
                <w:bCs/>
                <w:color w:val="auto"/>
                <w:sz w:val="21"/>
                <w:szCs w:val="21"/>
                <w:highlight w:val="none"/>
                <w:u w:val="single"/>
                <w:lang w:val="en-US" w:eastAsia="zh-CN"/>
              </w:rPr>
              <w:t>妮娜</w:t>
            </w:r>
            <w:r>
              <w:rPr>
                <w:rFonts w:hint="eastAsia" w:ascii="仿宋_GB2312" w:hAnsi="仿宋" w:eastAsia="仿宋_GB2312" w:cs="Times New Roman"/>
                <w:b/>
                <w:bCs/>
                <w:color w:val="auto"/>
                <w:sz w:val="21"/>
                <w:szCs w:val="21"/>
                <w:highlight w:val="none"/>
                <w:u w:val="single"/>
                <w:lang w:eastAsia="zh-CN"/>
              </w:rPr>
              <w:t>13545165603</w:t>
            </w:r>
            <w:r>
              <w:rPr>
                <w:rFonts w:hint="eastAsia" w:ascii="仿宋" w:hAnsi="仿宋" w:eastAsia="仿宋" w:cs="仿宋"/>
                <w:color w:val="auto"/>
                <w:sz w:val="21"/>
                <w:szCs w:val="21"/>
                <w:highlight w:val="none"/>
              </w:rPr>
              <w:t>。</w:t>
            </w:r>
          </w:p>
          <w:p w14:paraId="18A00DA6">
            <w:pPr>
              <w:spacing w:line="360" w:lineRule="auto"/>
              <w:ind w:firstLine="422" w:firstLineChars="200"/>
              <w:rPr>
                <w:rFonts w:hint="eastAsia" w:ascii="仿宋" w:hAnsi="仿宋" w:eastAsia="仿宋" w:cs="仿宋"/>
                <w:color w:val="auto"/>
                <w:kern w:val="28"/>
                <w:sz w:val="21"/>
                <w:szCs w:val="21"/>
                <w:highlight w:val="none"/>
              </w:rPr>
            </w:pPr>
            <w:r>
              <w:rPr>
                <w:rFonts w:hint="eastAsia" w:ascii="仿宋" w:hAnsi="仿宋" w:eastAsia="仿宋" w:cs="仿宋"/>
                <w:b/>
                <w:color w:val="auto"/>
                <w:sz w:val="21"/>
                <w:szCs w:val="21"/>
                <w:highlight w:val="none"/>
              </w:rPr>
              <w:t>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不强制或变相强制投标人提交备份投标文件。</w:t>
            </w:r>
          </w:p>
        </w:tc>
      </w:tr>
      <w:tr w14:paraId="7FF8F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4625991">
            <w:pPr>
              <w:snapToGrid w:val="0"/>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0A04A2FA">
            <w:pPr>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80356C3">
            <w:pPr>
              <w:spacing w:line="360" w:lineRule="auto"/>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076CD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B471223">
            <w:pPr>
              <w:snapToGrid w:val="0"/>
              <w:spacing w:line="360" w:lineRule="auto"/>
              <w:jc w:val="center"/>
              <w:rPr>
                <w:rFonts w:hint="eastAsia" w:ascii="仿宋" w:hAnsi="仿宋" w:eastAsia="仿宋" w:cs="仿宋"/>
                <w:color w:val="auto"/>
                <w:sz w:val="21"/>
                <w:szCs w:val="21"/>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4457BC5">
            <w:pPr>
              <w:snapToGrid w:val="0"/>
              <w:spacing w:line="360" w:lineRule="auto"/>
              <w:jc w:val="center"/>
              <w:rPr>
                <w:rFonts w:hint="eastAsia" w:ascii="仿宋" w:hAnsi="仿宋" w:eastAsia="仿宋" w:cs="仿宋"/>
                <w:b/>
                <w:color w:val="auto"/>
                <w:sz w:val="21"/>
                <w:szCs w:val="21"/>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A237A6B">
            <w:pPr>
              <w:spacing w:line="360" w:lineRule="auto"/>
              <w:rPr>
                <w:rFonts w:hint="eastAsia" w:ascii="仿宋" w:hAnsi="仿宋" w:eastAsia="仿宋" w:cs="仿宋"/>
                <w:snapToGrid w:val="0"/>
                <w:color w:val="auto"/>
                <w:kern w:val="28"/>
                <w:sz w:val="21"/>
                <w:szCs w:val="21"/>
                <w:highlight w:val="none"/>
              </w:rPr>
            </w:pPr>
            <w:sdt>
              <w:sdtPr>
                <w:rPr>
                  <w:rFonts w:hint="eastAsia" w:ascii="仿宋" w:hAnsi="仿宋" w:eastAsia="仿宋" w:cs="仿宋"/>
                  <w:color w:val="auto"/>
                  <w:kern w:val="0"/>
                  <w:sz w:val="21"/>
                  <w:szCs w:val="21"/>
                  <w:highlight w:val="none"/>
                </w:rPr>
                <w:id w:val="147473171"/>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snapToGrid w:val="0"/>
                <w:color w:val="auto"/>
                <w:kern w:val="28"/>
                <w:sz w:val="21"/>
                <w:szCs w:val="21"/>
                <w:highlight w:val="none"/>
              </w:rPr>
              <w:t>联合体投标的，联合体各方均需按招标文件第四部分评标标准要求提供资信证明文件，否则视为不符合相关要求。</w:t>
            </w:r>
          </w:p>
          <w:p w14:paraId="083C22E6">
            <w:pPr>
              <w:spacing w:line="360" w:lineRule="auto"/>
              <w:rPr>
                <w:rFonts w:hint="eastAsia" w:ascii="仿宋" w:hAnsi="仿宋" w:eastAsia="仿宋" w:cs="仿宋"/>
                <w:snapToGrid w:val="0"/>
                <w:color w:val="auto"/>
                <w:kern w:val="28"/>
                <w:sz w:val="21"/>
                <w:szCs w:val="21"/>
                <w:highlight w:val="none"/>
              </w:rPr>
            </w:pPr>
            <w:sdt>
              <w:sdtPr>
                <w:rPr>
                  <w:rFonts w:hint="eastAsia" w:ascii="仿宋" w:hAnsi="仿宋" w:eastAsia="仿宋" w:cs="仿宋"/>
                  <w:color w:val="auto"/>
                  <w:kern w:val="0"/>
                  <w:sz w:val="21"/>
                  <w:szCs w:val="21"/>
                  <w:highlight w:val="none"/>
                </w:rPr>
                <w:id w:val="147451071"/>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F0FE"/>
                </w:r>
              </w:sdtContent>
            </w:sdt>
            <w:r>
              <w:rPr>
                <w:rFonts w:hint="eastAsia" w:ascii="仿宋" w:hAnsi="仿宋" w:eastAsia="仿宋" w:cs="仿宋"/>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5F952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DA74497">
            <w:pPr>
              <w:snapToGrid w:val="0"/>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1D47A329">
            <w:pPr>
              <w:snapToGrid w:val="0"/>
              <w:spacing w:line="360" w:lineRule="auto"/>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采购代理服务费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60BA101D">
            <w:pPr>
              <w:spacing w:line="360" w:lineRule="auto"/>
              <w:rPr>
                <w:rFonts w:hint="eastAsia" w:ascii="仿宋" w:hAnsi="仿宋" w:eastAsia="仿宋" w:cs="仿宋"/>
                <w:color w:val="auto"/>
                <w:kern w:val="0"/>
                <w:sz w:val="21"/>
                <w:szCs w:val="21"/>
                <w:highlight w:val="none"/>
              </w:rPr>
            </w:pPr>
            <w:bookmarkStart w:id="7" w:name="_Toc8545"/>
            <w:bookmarkStart w:id="8" w:name="_Toc12581"/>
            <w:bookmarkStart w:id="9" w:name="_Toc16766"/>
            <w:r>
              <w:rPr>
                <w:rFonts w:hint="eastAsia" w:ascii="仿宋" w:hAnsi="仿宋" w:eastAsia="仿宋" w:cs="仿宋"/>
                <w:color w:val="auto"/>
                <w:kern w:val="28"/>
                <w:sz w:val="21"/>
                <w:szCs w:val="21"/>
                <w:highlight w:val="none"/>
                <w:lang w:val="en-US" w:eastAsia="zh-CN"/>
              </w:rPr>
              <w:t>采购代理服务费</w:t>
            </w:r>
            <w:r>
              <w:rPr>
                <w:rFonts w:hint="eastAsia" w:ascii="仿宋" w:hAnsi="仿宋" w:eastAsia="仿宋" w:cs="仿宋"/>
                <w:color w:val="auto"/>
                <w:kern w:val="28"/>
                <w:sz w:val="21"/>
                <w:szCs w:val="21"/>
                <w:highlight w:val="none"/>
              </w:rPr>
              <w:t>由中标人支付，以</w:t>
            </w:r>
            <w:r>
              <w:rPr>
                <w:rFonts w:hint="eastAsia" w:ascii="仿宋" w:hAnsi="仿宋" w:eastAsia="仿宋" w:cs="仿宋"/>
                <w:color w:val="auto"/>
                <w:kern w:val="28"/>
                <w:sz w:val="21"/>
                <w:szCs w:val="21"/>
                <w:highlight w:val="none"/>
                <w:lang w:val="en-US" w:eastAsia="zh-CN"/>
              </w:rPr>
              <w:t>每个包项的</w:t>
            </w:r>
            <w:r>
              <w:rPr>
                <w:rFonts w:hint="eastAsia" w:ascii="仿宋" w:hAnsi="仿宋" w:eastAsia="仿宋" w:cs="仿宋"/>
                <w:color w:val="auto"/>
                <w:kern w:val="28"/>
                <w:sz w:val="21"/>
                <w:szCs w:val="21"/>
                <w:highlight w:val="none"/>
              </w:rPr>
              <w:t>成交总金额作为收费的计算基数，代理按照</w:t>
            </w:r>
            <w:r>
              <w:rPr>
                <w:rFonts w:hint="eastAsia" w:ascii="仿宋" w:hAnsi="仿宋" w:eastAsia="仿宋" w:cs="仿宋"/>
                <w:color w:val="auto"/>
                <w:kern w:val="28"/>
                <w:sz w:val="21"/>
                <w:szCs w:val="21"/>
                <w:highlight w:val="none"/>
                <w:lang w:val="en-US" w:eastAsia="zh-CN"/>
              </w:rPr>
              <w:t>计价格（2002）1980号</w:t>
            </w:r>
            <w:r>
              <w:rPr>
                <w:rFonts w:hint="eastAsia" w:ascii="仿宋" w:hAnsi="仿宋" w:eastAsia="仿宋" w:cs="仿宋"/>
                <w:color w:val="auto"/>
                <w:kern w:val="28"/>
                <w:sz w:val="21"/>
                <w:szCs w:val="21"/>
                <w:highlight w:val="none"/>
              </w:rPr>
              <w:t>文件规定的</w:t>
            </w:r>
            <w:r>
              <w:rPr>
                <w:rFonts w:hint="eastAsia" w:ascii="仿宋" w:hAnsi="仿宋" w:eastAsia="仿宋" w:cs="仿宋"/>
                <w:color w:val="auto"/>
                <w:kern w:val="28"/>
                <w:sz w:val="21"/>
                <w:szCs w:val="21"/>
                <w:highlight w:val="none"/>
                <w:lang w:val="en-US" w:eastAsia="zh-CN"/>
              </w:rPr>
              <w:t>78%</w:t>
            </w:r>
            <w:r>
              <w:rPr>
                <w:rFonts w:hint="eastAsia" w:ascii="仿宋" w:hAnsi="仿宋" w:eastAsia="仿宋" w:cs="仿宋"/>
                <w:color w:val="auto"/>
                <w:kern w:val="28"/>
                <w:sz w:val="21"/>
                <w:szCs w:val="21"/>
                <w:highlight w:val="none"/>
              </w:rPr>
              <w:t>相应项目收费标准</w:t>
            </w:r>
            <w:r>
              <w:rPr>
                <w:rFonts w:ascii="仿宋" w:hAnsi="仿宋" w:eastAsia="仿宋" w:cs="仿宋"/>
                <w:color w:val="auto"/>
                <w:kern w:val="28"/>
                <w:sz w:val="21"/>
                <w:szCs w:val="21"/>
                <w:highlight w:val="none"/>
              </w:rPr>
              <w:t>取费</w:t>
            </w:r>
            <w:r>
              <w:rPr>
                <w:rFonts w:hint="eastAsia" w:ascii="仿宋" w:hAnsi="仿宋" w:eastAsia="仿宋" w:cs="仿宋"/>
                <w:color w:val="auto"/>
                <w:kern w:val="28"/>
                <w:sz w:val="21"/>
                <w:szCs w:val="21"/>
                <w:highlight w:val="none"/>
                <w:lang w:eastAsia="zh-CN"/>
              </w:rPr>
              <w:t>，</w:t>
            </w:r>
            <w:r>
              <w:rPr>
                <w:rFonts w:hint="eastAsia" w:ascii="仿宋" w:hAnsi="仿宋" w:eastAsia="仿宋" w:cs="仿宋"/>
                <w:color w:val="auto"/>
                <w:kern w:val="28"/>
                <w:sz w:val="21"/>
                <w:szCs w:val="21"/>
                <w:highlight w:val="none"/>
                <w:lang w:val="en-US" w:eastAsia="zh-CN"/>
              </w:rPr>
              <w:t>低于5000元按5000元计取</w:t>
            </w:r>
            <w:r>
              <w:rPr>
                <w:rFonts w:hint="eastAsia" w:ascii="仿宋" w:hAnsi="仿宋" w:eastAsia="仿宋" w:cs="仿宋"/>
                <w:color w:val="auto"/>
                <w:kern w:val="28"/>
                <w:sz w:val="21"/>
                <w:szCs w:val="21"/>
                <w:highlight w:val="none"/>
              </w:rPr>
              <w:t>。</w:t>
            </w:r>
            <w:bookmarkEnd w:id="7"/>
            <w:bookmarkEnd w:id="8"/>
            <w:bookmarkEnd w:id="9"/>
          </w:p>
        </w:tc>
      </w:tr>
    </w:tbl>
    <w:p w14:paraId="1327754C">
      <w:pPr>
        <w:snapToGrid w:val="0"/>
        <w:spacing w:line="360" w:lineRule="auto"/>
        <w:jc w:val="center"/>
        <w:rPr>
          <w:rFonts w:hint="eastAsia" w:ascii="仿宋" w:hAnsi="仿宋" w:eastAsia="仿宋" w:cs="仿宋"/>
          <w:b/>
          <w:color w:val="auto"/>
          <w:sz w:val="21"/>
          <w:szCs w:val="21"/>
          <w:highlight w:val="none"/>
        </w:rPr>
      </w:pPr>
    </w:p>
    <w:bookmarkEnd w:id="3"/>
    <w:p w14:paraId="5805765F">
      <w:pPr>
        <w:adjustRightInd/>
        <w:spacing w:line="360" w:lineRule="auto"/>
        <w:ind w:firstLine="3845" w:firstLineChars="1197"/>
        <w:outlineLvl w:val="0"/>
        <w:rPr>
          <w:rFonts w:hint="eastAsia" w:ascii="仿宋" w:hAnsi="仿宋" w:eastAsia="仿宋" w:cs="仿宋"/>
          <w:b/>
          <w:color w:val="auto"/>
          <w:sz w:val="32"/>
          <w:szCs w:val="32"/>
          <w:highlight w:val="none"/>
        </w:rPr>
      </w:pPr>
      <w:bookmarkStart w:id="10" w:name="_Toc27317"/>
      <w:bookmarkStart w:id="11" w:name="_Toc164416483"/>
      <w:bookmarkStart w:id="12" w:name="第三部分"/>
      <w:r>
        <w:rPr>
          <w:rFonts w:hint="eastAsia" w:ascii="仿宋" w:hAnsi="仿宋" w:eastAsia="仿宋" w:cs="仿宋"/>
          <w:b/>
          <w:color w:val="auto"/>
          <w:sz w:val="32"/>
          <w:szCs w:val="32"/>
          <w:highlight w:val="none"/>
        </w:rPr>
        <w:t>一、总则</w:t>
      </w:r>
      <w:bookmarkEnd w:id="10"/>
    </w:p>
    <w:p w14:paraId="67E44B76">
      <w:pPr>
        <w:snapToGrid w:val="0"/>
        <w:spacing w:line="360" w:lineRule="auto"/>
        <w:ind w:firstLine="316" w:firstLineChars="150"/>
        <w:jc w:val="left"/>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 适用范围</w:t>
      </w:r>
    </w:p>
    <w:p w14:paraId="36F30FB7">
      <w:pPr>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本招标文件适用于该项目的招标、投标、开标、资格审查及信用信息查询、评标、定标、合同、验收等行为（法律、法规另有规定的，从其规定）。</w:t>
      </w:r>
    </w:p>
    <w:p w14:paraId="6AFA66E6">
      <w:pPr>
        <w:adjustRightInd/>
        <w:spacing w:line="360" w:lineRule="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   </w:t>
      </w:r>
      <w:bookmarkStart w:id="13" w:name="_Toc14075"/>
      <w:r>
        <w:rPr>
          <w:rFonts w:hint="eastAsia" w:ascii="仿宋" w:hAnsi="仿宋" w:eastAsia="仿宋" w:cs="仿宋"/>
          <w:b/>
          <w:color w:val="auto"/>
          <w:sz w:val="21"/>
          <w:szCs w:val="21"/>
          <w:highlight w:val="none"/>
        </w:rPr>
        <w:t>2.定义</w:t>
      </w:r>
      <w:bookmarkEnd w:id="13"/>
    </w:p>
    <w:p w14:paraId="761026EA">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 “采购人”系指招标公告中载明的本项目的采购人。</w:t>
      </w:r>
    </w:p>
    <w:p w14:paraId="7E6B50B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”系指招标公告中载明的本项目的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p>
    <w:p w14:paraId="2A751AE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 “投标人”系指是指响应招标、参加投标竞争的法人、其他组织或者自然人。</w:t>
      </w:r>
    </w:p>
    <w:p w14:paraId="7DC01CC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 “负责人”系指法人企业的法定负责人，或其他组织为法律、行政法规规定代表单位行使职权的主要负责人，或自然人本人。</w:t>
      </w:r>
    </w:p>
    <w:p w14:paraId="0E255A7A">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468E6C">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2.6“电子交易平台”</w:t>
      </w:r>
      <w:r>
        <w:rPr>
          <w:rFonts w:hint="eastAsia" w:ascii="仿宋" w:hAnsi="仿宋" w:eastAsia="仿宋" w:cs="仿宋"/>
          <w:color w:val="auto"/>
          <w:sz w:val="21"/>
          <w:szCs w:val="21"/>
          <w:highlight w:val="none"/>
          <w:lang w:val="en-US" w:eastAsia="zh-CN"/>
        </w:rPr>
        <w:t>系</w:t>
      </w:r>
      <w:r>
        <w:rPr>
          <w:rFonts w:hint="eastAsia" w:ascii="仿宋" w:hAnsi="仿宋" w:eastAsia="仿宋" w:cs="仿宋"/>
          <w:color w:val="auto"/>
          <w:sz w:val="21"/>
          <w:szCs w:val="21"/>
          <w:highlight w:val="none"/>
        </w:rPr>
        <w:t>指本项目政府采购活动所依托的政府采购云平台（https://www.zcygov.cn/）。</w:t>
      </w:r>
    </w:p>
    <w:p w14:paraId="4E69DB7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 “▲” 系指实质性要求条款，“</w:t>
      </w:r>
      <w:sdt>
        <w:sdtPr>
          <w:rPr>
            <w:rFonts w:hint="eastAsia" w:ascii="仿宋" w:hAnsi="仿宋" w:eastAsia="仿宋" w:cs="仿宋"/>
            <w:color w:val="auto"/>
            <w:kern w:val="0"/>
            <w:sz w:val="21"/>
            <w:szCs w:val="21"/>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 系指适用本项目的要求，“</w:t>
      </w:r>
      <w:sdt>
        <w:sdtPr>
          <w:rPr>
            <w:rFonts w:hint="eastAsia" w:ascii="仿宋" w:hAnsi="仿宋" w:eastAsia="仿宋" w:cs="仿宋"/>
            <w:color w:val="auto"/>
            <w:kern w:val="0"/>
            <w:sz w:val="21"/>
            <w:szCs w:val="21"/>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sz w:val="21"/>
          <w:szCs w:val="21"/>
          <w:highlight w:val="none"/>
        </w:rPr>
        <w:t>” 系指不适用本项目的要求。</w:t>
      </w:r>
    </w:p>
    <w:p w14:paraId="2D8F8170">
      <w:pPr>
        <w:spacing w:line="360" w:lineRule="auto"/>
        <w:ind w:firstLine="211" w:firstLineChars="1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w:t>
      </w: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rPr>
        <w:t>采购项目需要落实的政府采购政策</w:t>
      </w:r>
    </w:p>
    <w:p w14:paraId="164E223F">
      <w:pPr>
        <w:spacing w:line="36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不会对其加以限制，仍将按照公平竞争原则实施采购）；</w:t>
      </w:r>
      <w:r>
        <w:rPr>
          <w:rFonts w:hint="eastAsia" w:ascii="仿宋" w:hAnsi="仿宋" w:eastAsia="仿宋" w:cs="仿宋"/>
          <w:color w:val="auto"/>
          <w:kern w:val="0"/>
          <w:sz w:val="21"/>
          <w:szCs w:val="21"/>
          <w:highlight w:val="none"/>
        </w:rPr>
        <w:t>优先采购向我国企业转让技术、与我国企业签订消化吸收再创新方案的供应商的进口产品</w:t>
      </w:r>
      <w:r>
        <w:rPr>
          <w:rFonts w:hint="eastAsia" w:ascii="仿宋" w:hAnsi="仿宋" w:eastAsia="仿宋" w:cs="仿宋"/>
          <w:color w:val="auto"/>
          <w:sz w:val="21"/>
          <w:szCs w:val="21"/>
          <w:highlight w:val="none"/>
        </w:rPr>
        <w:t>。</w:t>
      </w:r>
    </w:p>
    <w:p w14:paraId="6BAD30A1">
      <w:pPr>
        <w:spacing w:line="36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 支持绿色发展</w:t>
      </w:r>
    </w:p>
    <w:p w14:paraId="4D04F607">
      <w:pPr>
        <w:spacing w:line="360" w:lineRule="auto"/>
        <w:ind w:firstLine="420" w:firstLineChars="20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6D25A454">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3.2.2 修缮、装修类项目采购建材的，采购人应将绿色建筑和绿色建材性能、指标等作为实质性条件纳入招标文件和合同。</w:t>
      </w:r>
    </w:p>
    <w:p w14:paraId="0439235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25EE165">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452667C">
      <w:pPr>
        <w:spacing w:line="36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3.3支持中小企业发展</w:t>
      </w:r>
    </w:p>
    <w:p w14:paraId="0557063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D98ED9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符合中小企业划分标准的个体工商户，在政府采购活动中视同中小企业。</w:t>
      </w:r>
    </w:p>
    <w:p w14:paraId="6921953F">
      <w:pPr>
        <w:widowControl/>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bCs/>
          <w:color w:val="auto"/>
          <w:sz w:val="21"/>
          <w:szCs w:val="21"/>
          <w:highlight w:val="none"/>
        </w:rPr>
        <w:t>3.3.2</w:t>
      </w:r>
      <w:r>
        <w:rPr>
          <w:rFonts w:hint="eastAsia" w:ascii="仿宋" w:hAnsi="仿宋" w:eastAsia="仿宋" w:cs="仿宋"/>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745CFAA">
      <w:pPr>
        <w:widowControl/>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以联合体形式参加政府采购活动，联合体各方均为中小企业的，联合体视同中小企业。其中，联合体各方均为小微企业的，联合体视同小微企业。</w:t>
      </w:r>
    </w:p>
    <w:p w14:paraId="70FAD3DE">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3.3.3对于未预留份额专门面向中小企业的政府采购服务项目，以及预留份额政府采购服务项目中的非预留部分标项，对小型和微型企业的投标报价给予10%-20%的扣除，用扣除后的价格参与评审</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eastAsia="zh-CN"/>
        </w:rPr>
        <w:t>具体根据</w:t>
      </w:r>
      <w:r>
        <w:rPr>
          <w:rFonts w:hint="eastAsia" w:ascii="仿宋" w:hAnsi="仿宋" w:eastAsia="仿宋" w:cs="仿宋"/>
          <w:b/>
          <w:color w:val="auto"/>
          <w:sz w:val="21"/>
          <w:szCs w:val="21"/>
          <w:highlight w:val="none"/>
        </w:rPr>
        <w:t>招标文件第四部分评标办法明确的扣除比例）</w:t>
      </w:r>
      <w:r>
        <w:rPr>
          <w:rFonts w:hint="eastAsia" w:ascii="仿宋" w:hAnsi="仿宋" w:eastAsia="仿宋" w:cs="仿宋"/>
          <w:color w:val="auto"/>
          <w:sz w:val="21"/>
          <w:szCs w:val="21"/>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eastAsia="zh-CN"/>
        </w:rPr>
        <w:t>具体根据</w:t>
      </w:r>
      <w:r>
        <w:rPr>
          <w:rFonts w:hint="eastAsia" w:ascii="仿宋" w:hAnsi="仿宋" w:eastAsia="仿宋" w:cs="仿宋"/>
          <w:b/>
          <w:color w:val="auto"/>
          <w:sz w:val="21"/>
          <w:szCs w:val="21"/>
          <w:highlight w:val="none"/>
        </w:rPr>
        <w:t>招标文件第四部分评标办法明确的扣除比例）</w:t>
      </w:r>
      <w:r>
        <w:rPr>
          <w:rFonts w:hint="eastAsia" w:ascii="仿宋" w:hAnsi="仿宋" w:eastAsia="仿宋" w:cs="仿宋"/>
          <w:color w:val="auto"/>
          <w:sz w:val="21"/>
          <w:szCs w:val="21"/>
          <w:highlight w:val="none"/>
        </w:rPr>
        <w:t>。组成联合体或者接受分包的小微企业与联合体内其他企业、分包企业之间存在直接控股、管理关系的，不享受价格扣除优惠政策。</w:t>
      </w:r>
    </w:p>
    <w:p w14:paraId="6BE51B1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5C090F0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A50AEE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43AB2FA">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3.3.7中小企业享受扶持政策获得政府采购合同的，小微企业不得将合同分包给大中型企业，中型企业不得将合同分包给大型企业。</w:t>
      </w:r>
    </w:p>
    <w:p w14:paraId="2F1938E9">
      <w:pPr>
        <w:spacing w:line="36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w:t>
      </w:r>
      <w:r>
        <w:rPr>
          <w:rFonts w:hint="eastAsia" w:ascii="仿宋" w:hAnsi="仿宋" w:eastAsia="仿宋" w:cs="仿宋"/>
          <w:bCs/>
          <w:color w:val="auto"/>
          <w:sz w:val="21"/>
          <w:szCs w:val="21"/>
          <w:highlight w:val="none"/>
        </w:rPr>
        <w:t>支持创新发展</w:t>
      </w:r>
    </w:p>
    <w:p w14:paraId="1DE8929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 采购人优先采购被认定为首台套产品和“制造精品”的自主创新产品。</w:t>
      </w:r>
    </w:p>
    <w:p w14:paraId="524DBEF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10C4BC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 xml:space="preserve">3.4.3 </w:t>
      </w:r>
      <w:r>
        <w:rPr>
          <w:rFonts w:hint="eastAsia" w:ascii="仿宋" w:hAnsi="仿宋" w:eastAsia="仿宋" w:cs="仿宋"/>
          <w:color w:val="auto"/>
          <w:sz w:val="21"/>
          <w:szCs w:val="21"/>
          <w:highlight w:val="none"/>
          <w:lang w:val="en-US" w:eastAsia="zh-CN"/>
        </w:rPr>
        <w:t>采购人应当贯彻落实知识产权保护相关法律法规，</w:t>
      </w:r>
      <w:r>
        <w:rPr>
          <w:rFonts w:hint="eastAsia" w:ascii="仿宋" w:hAnsi="仿宋" w:eastAsia="仿宋" w:cs="仿宋"/>
          <w:color w:val="auto"/>
          <w:sz w:val="21"/>
          <w:szCs w:val="21"/>
          <w:highlight w:val="none"/>
          <w:lang w:val="en-US"/>
        </w:rPr>
        <w:t>应当采购使用正版软件。</w:t>
      </w:r>
    </w:p>
    <w:p w14:paraId="10DB3A1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3.5平等对待内外资企业和符合条件的破产重整企业</w:t>
      </w:r>
    </w:p>
    <w:p w14:paraId="3EC87893">
      <w:pPr>
        <w:spacing w:line="360" w:lineRule="auto"/>
        <w:ind w:firstLine="210" w:firstLineChars="10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平等对待内外资企业和符合条件的破产重整企业，切实保障企业公平竞争，平等维护企业的合法利益。</w:t>
      </w:r>
      <w:r>
        <w:rPr>
          <w:rFonts w:hint="eastAsia" w:ascii="仿宋" w:hAnsi="仿宋" w:eastAsia="仿宋" w:cs="仿宋"/>
          <w:color w:val="auto"/>
          <w:sz w:val="21"/>
          <w:szCs w:val="21"/>
          <w:highlight w:val="none"/>
        </w:rPr>
        <w:cr/>
      </w:r>
      <w:r>
        <w:rPr>
          <w:rFonts w:hint="eastAsia" w:ascii="仿宋" w:hAnsi="仿宋" w:eastAsia="仿宋" w:cs="仿宋"/>
          <w:b/>
          <w:color w:val="auto"/>
          <w:sz w:val="21"/>
          <w:szCs w:val="21"/>
          <w:highlight w:val="none"/>
        </w:rPr>
        <w:t>4. 询问、质疑、投诉</w:t>
      </w:r>
      <w:r>
        <w:rPr>
          <w:rFonts w:hint="eastAsia" w:ascii="宋体" w:hAnsi="宋体" w:cs="仿宋"/>
          <w:color w:val="auto"/>
          <w:sz w:val="21"/>
          <w:szCs w:val="21"/>
          <w:highlight w:val="none"/>
        </w:rPr>
        <w:t>、</w:t>
      </w:r>
      <w:r>
        <w:rPr>
          <w:rFonts w:hint="eastAsia" w:ascii="仿宋" w:hAnsi="仿宋" w:eastAsia="仿宋" w:cs="仿宋"/>
          <w:b/>
          <w:color w:val="auto"/>
          <w:sz w:val="21"/>
          <w:szCs w:val="21"/>
          <w:highlight w:val="none"/>
        </w:rPr>
        <w:t>补偿救济</w:t>
      </w:r>
    </w:p>
    <w:p w14:paraId="1125B473">
      <w:pPr>
        <w:autoSpaceDE w:val="0"/>
        <w:autoSpaceDN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54C034">
      <w:pPr>
        <w:autoSpaceDE w:val="0"/>
        <w:autoSpaceDN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4.2供应商询问</w:t>
      </w:r>
    </w:p>
    <w:p w14:paraId="323F1BD0">
      <w:pPr>
        <w:autoSpaceDE w:val="0"/>
        <w:autoSpaceDN w:val="0"/>
        <w:spacing w:line="36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D34B59">
      <w:pPr>
        <w:autoSpaceDE w:val="0"/>
        <w:autoSpaceDN w:val="0"/>
        <w:spacing w:line="360" w:lineRule="auto"/>
        <w:ind w:firstLine="210" w:firstLineChars="1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4.3供应商质疑</w:t>
      </w:r>
    </w:p>
    <w:p w14:paraId="066FA6B9">
      <w:pPr>
        <w:pStyle w:val="33"/>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4.3</w:t>
      </w:r>
      <w:r>
        <w:rPr>
          <w:rFonts w:hint="eastAsia" w:ascii="仿宋" w:hAnsi="仿宋" w:eastAsia="仿宋" w:cs="仿宋"/>
          <w:color w:val="auto"/>
          <w:sz w:val="21"/>
          <w:szCs w:val="21"/>
          <w:highlight w:val="none"/>
        </w:rPr>
        <w:t>.1提出质疑的供应商应当是参与所质疑项目采购活动的供应商。潜在供应商已依法获取其可质疑的招标文件的，可以对该文件提出质疑。</w:t>
      </w:r>
    </w:p>
    <w:p w14:paraId="3A1CF1E2">
      <w:pPr>
        <w:pStyle w:val="33"/>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4.3</w:t>
      </w:r>
      <w:r>
        <w:rPr>
          <w:rFonts w:hint="eastAsia" w:ascii="仿宋" w:hAnsi="仿宋" w:eastAsia="仿宋" w:cs="仿宋"/>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提出质疑，否则，采购人或者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不予受理：</w:t>
      </w:r>
    </w:p>
    <w:p w14:paraId="14C52D53">
      <w:pPr>
        <w:pStyle w:val="6"/>
        <w:spacing w:line="360" w:lineRule="auto"/>
        <w:ind w:firstLine="420" w:firstLineChars="200"/>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4.3.2.1对招标文件提出质疑的，质疑期限为供应商获得招标文件之日或者招标文件公告期限届满之日起计算。</w:t>
      </w:r>
    </w:p>
    <w:p w14:paraId="1F8CA964">
      <w:pPr>
        <w:pStyle w:val="33"/>
        <w:spacing w:line="360" w:lineRule="auto"/>
        <w:ind w:left="479" w:leftChars="2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4.3.2.2对采购过程提出质疑的，质疑期限为各采购程序环节结束之日起计算。4.3.2.3对采购结果提出质疑的，质疑期限自采购结果公告期限届满之日起计算。</w:t>
      </w:r>
    </w:p>
    <w:p w14:paraId="288230ED">
      <w:pPr>
        <w:pStyle w:val="33"/>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w:t>
      </w:r>
      <w:r>
        <w:rPr>
          <w:rFonts w:hint="eastAsia" w:ascii="仿宋" w:hAnsi="仿宋" w:eastAsia="仿宋" w:cs="仿宋"/>
          <w:color w:val="auto"/>
          <w:sz w:val="21"/>
          <w:szCs w:val="21"/>
          <w:highlight w:val="none"/>
        </w:rPr>
        <w:t>供应商提出质疑应当提交质疑函和必要的证明材料。质疑函应当包括下列内容：</w:t>
      </w:r>
    </w:p>
    <w:p w14:paraId="4C5D9EB2">
      <w:pPr>
        <w:pStyle w:val="33"/>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4.3.3.1供应商的姓名或者名称、地址、邮编、联系人及联系电话；</w:t>
      </w:r>
    </w:p>
    <w:p w14:paraId="5FCD7467">
      <w:pPr>
        <w:pStyle w:val="33"/>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4.3.3.2质疑项目的名称、编号；</w:t>
      </w:r>
    </w:p>
    <w:p w14:paraId="5E411F15">
      <w:pPr>
        <w:pStyle w:val="33"/>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4.3.3.3具体、明确的质疑事项和与质疑事项相关的请求；</w:t>
      </w:r>
    </w:p>
    <w:p w14:paraId="383B757A">
      <w:pPr>
        <w:pStyle w:val="33"/>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4.3.3.4事实依据；</w:t>
      </w:r>
    </w:p>
    <w:p w14:paraId="2DA5B395">
      <w:pPr>
        <w:pStyle w:val="33"/>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　　4.3.3.5必要的法律依据；</w:t>
      </w:r>
    </w:p>
    <w:p w14:paraId="639510B2">
      <w:pPr>
        <w:pStyle w:val="33"/>
        <w:spacing w:line="360" w:lineRule="auto"/>
        <w:ind w:firstLine="840" w:firstLineChars="4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4.3.3.6提出质疑的日期。</w:t>
      </w:r>
    </w:p>
    <w:p w14:paraId="683529E1">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12CEB85F">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质疑函范本及制作说明详见附件2。</w:t>
      </w:r>
    </w:p>
    <w:p w14:paraId="2373C9D4">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4.3.4对同一采购程序环节的质疑，供应商须在法定质疑期内一次性提出。</w:t>
      </w:r>
    </w:p>
    <w:p w14:paraId="643637C5">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4.3</w:t>
      </w:r>
      <w:r>
        <w:rPr>
          <w:rFonts w:hint="eastAsia" w:ascii="仿宋" w:hAnsi="仿宋" w:eastAsia="仿宋" w:cs="仿宋"/>
          <w:color w:val="auto"/>
          <w:sz w:val="21"/>
          <w:szCs w:val="21"/>
          <w:highlight w:val="none"/>
        </w:rPr>
        <w:t>.5采购人或者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在质疑回复后5个工作日内，在浙江政府采购网的“其他公告”栏目公开质疑答复，答复内容应当完整。质疑函作为附件上传。</w:t>
      </w:r>
    </w:p>
    <w:p w14:paraId="4EFEC738">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4.3</w:t>
      </w:r>
      <w:r>
        <w:rPr>
          <w:rFonts w:hint="eastAsia" w:ascii="仿宋" w:hAnsi="仿宋" w:eastAsia="仿宋" w:cs="仿宋"/>
          <w:color w:val="auto"/>
          <w:sz w:val="21"/>
          <w:szCs w:val="21"/>
          <w:highlight w:val="none"/>
        </w:rPr>
        <w:t>.6询问或者质疑事项可能影响采购结果的，采购人应当暂停签订合同，已经签订合同的，应当中止履行合同。</w:t>
      </w:r>
    </w:p>
    <w:p w14:paraId="5307A025">
      <w:pPr>
        <w:pStyle w:val="889"/>
        <w:shd w:val="clear" w:color="auto" w:fill="FFFFFF"/>
        <w:snapToGrid w:val="0"/>
        <w:spacing w:after="240" w:afterAutospacing="0" w:line="360" w:lineRule="auto"/>
        <w:ind w:firstLine="420" w:firstLineChars="200"/>
        <w:contextualSpacing/>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4.4供应商投诉</w:t>
      </w:r>
    </w:p>
    <w:p w14:paraId="09EF4BF8">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4.4.1质疑供应商对采购人、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的答复不满意或者采购人、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未在规定的时间内作出答复的，可以在答复期满后十五个工作日内向同级政府采购监督管理部门提出投诉。</w:t>
      </w:r>
    </w:p>
    <w:p w14:paraId="49E55B23">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w:t>
      </w: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供应商投诉的事项不得超出已质疑事项的范围，基于质疑答复内容提出的投诉事项除外。</w:t>
      </w:r>
    </w:p>
    <w:p w14:paraId="29A8448B">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4.4.3供应商投诉应当有明确的请求和必要的证明材料。</w:t>
      </w:r>
    </w:p>
    <w:p w14:paraId="6F022885">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4.4.4以联合体形式参加政府采购活动的，其投诉应当由组成联合体的所有供应商共同提出。</w:t>
      </w:r>
    </w:p>
    <w:p w14:paraId="735DCFC6">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B55A30C">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4.5 补偿救济</w:t>
      </w:r>
    </w:p>
    <w:p w14:paraId="6CD70AA4">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采购人（行政机关）因政策变化、规划调整而不履行政府采购合同的，供应商可依据《杭州市涉企补偿救济实施办法（试行）》向采购人（行政机关）提起补偿申请。</w:t>
      </w:r>
    </w:p>
    <w:p w14:paraId="4421CC38">
      <w:pPr>
        <w:pStyle w:val="889"/>
        <w:shd w:val="clear" w:color="auto" w:fill="FFFFFF"/>
        <w:snapToGrid w:val="0"/>
        <w:spacing w:after="240" w:afterAutospacing="0" w:line="360" w:lineRule="auto"/>
        <w:ind w:firstLine="4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投诉书范本及制作说明详见附件3。</w:t>
      </w:r>
    </w:p>
    <w:p w14:paraId="7BBF6776">
      <w:pPr>
        <w:pStyle w:val="131"/>
        <w:snapToGrid w:val="0"/>
        <w:spacing w:before="0"/>
        <w:ind w:firstLine="360"/>
        <w:rPr>
          <w:rFonts w:hint="eastAsia" w:ascii="仿宋" w:hAnsi="仿宋" w:eastAsia="仿宋" w:cs="仿宋"/>
          <w:color w:val="auto"/>
          <w:sz w:val="21"/>
          <w:szCs w:val="21"/>
          <w:highlight w:val="none"/>
        </w:rPr>
      </w:pPr>
    </w:p>
    <w:p w14:paraId="45074E7B">
      <w:pPr>
        <w:adjustRightInd/>
        <w:spacing w:line="360" w:lineRule="auto"/>
        <w:jc w:val="center"/>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  </w:t>
      </w:r>
      <w:r>
        <w:rPr>
          <w:rFonts w:hint="eastAsia" w:ascii="仿宋" w:hAnsi="仿宋" w:eastAsia="仿宋" w:cs="仿宋"/>
          <w:b/>
          <w:color w:val="auto"/>
          <w:sz w:val="32"/>
          <w:szCs w:val="32"/>
          <w:highlight w:val="none"/>
        </w:rPr>
        <w:t xml:space="preserve">    </w:t>
      </w:r>
      <w:bookmarkStart w:id="14" w:name="_Toc5096"/>
      <w:r>
        <w:rPr>
          <w:rFonts w:hint="eastAsia" w:ascii="仿宋" w:hAnsi="仿宋" w:eastAsia="仿宋" w:cs="仿宋"/>
          <w:b/>
          <w:color w:val="auto"/>
          <w:sz w:val="32"/>
          <w:szCs w:val="32"/>
          <w:highlight w:val="none"/>
        </w:rPr>
        <w:t>二、招标文件的构成、澄清、修改</w:t>
      </w:r>
      <w:bookmarkEnd w:id="14"/>
    </w:p>
    <w:p w14:paraId="61CD1810">
      <w:pPr>
        <w:pStyle w:val="33"/>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5．招标文件的构成</w:t>
      </w:r>
    </w:p>
    <w:p w14:paraId="686E6E3C">
      <w:pPr>
        <w:pStyle w:val="33"/>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 招标文件包括下列文件及附件：</w:t>
      </w:r>
    </w:p>
    <w:p w14:paraId="0283AD22">
      <w:pPr>
        <w:pStyle w:val="33"/>
        <w:tabs>
          <w:tab w:val="left" w:pos="840"/>
        </w:tabs>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5.1.1招标公告；</w:t>
      </w:r>
    </w:p>
    <w:p w14:paraId="6E913452">
      <w:pPr>
        <w:pStyle w:val="33"/>
        <w:tabs>
          <w:tab w:val="left" w:pos="840"/>
        </w:tabs>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5.1.2投标人须知；</w:t>
      </w:r>
    </w:p>
    <w:p w14:paraId="2718087E">
      <w:pPr>
        <w:pStyle w:val="33"/>
        <w:tabs>
          <w:tab w:val="left" w:pos="840"/>
        </w:tabs>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5.1.3采购需求；</w:t>
      </w:r>
    </w:p>
    <w:p w14:paraId="2A142106">
      <w:pPr>
        <w:pStyle w:val="33"/>
        <w:tabs>
          <w:tab w:val="left" w:pos="840"/>
        </w:tabs>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5.1.4评标办法；</w:t>
      </w:r>
    </w:p>
    <w:p w14:paraId="6068908D">
      <w:pPr>
        <w:pStyle w:val="33"/>
        <w:tabs>
          <w:tab w:val="left" w:pos="840"/>
        </w:tabs>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5.1.5拟签订的合同文本；</w:t>
      </w:r>
    </w:p>
    <w:p w14:paraId="0934CF7E">
      <w:pPr>
        <w:pStyle w:val="33"/>
        <w:tabs>
          <w:tab w:val="left" w:pos="840"/>
        </w:tabs>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5.1.6应提交的有关格式范例。</w:t>
      </w:r>
    </w:p>
    <w:p w14:paraId="49BCF2F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5.2与本项目有关的</w:t>
      </w:r>
      <w:r>
        <w:rPr>
          <w:rFonts w:hint="eastAsia" w:ascii="仿宋" w:hAnsi="仿宋" w:eastAsia="仿宋" w:cs="仿宋"/>
          <w:bCs/>
          <w:color w:val="auto"/>
          <w:sz w:val="21"/>
          <w:szCs w:val="21"/>
          <w:highlight w:val="none"/>
        </w:rPr>
        <w:t>澄清或者修改的内容为招标文件的组成部分</w:t>
      </w:r>
      <w:r>
        <w:rPr>
          <w:rFonts w:hint="eastAsia" w:ascii="仿宋" w:hAnsi="仿宋" w:eastAsia="仿宋" w:cs="仿宋"/>
          <w:color w:val="auto"/>
          <w:sz w:val="21"/>
          <w:szCs w:val="21"/>
          <w:highlight w:val="none"/>
        </w:rPr>
        <w:t>。</w:t>
      </w:r>
    </w:p>
    <w:p w14:paraId="6A6509DE">
      <w:pPr>
        <w:pStyle w:val="33"/>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6. 招标文件的澄清、修改</w:t>
      </w:r>
    </w:p>
    <w:p w14:paraId="28D9C52D">
      <w:pPr>
        <w:pStyle w:val="131"/>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6.1已获取招标文件的潜在投标人，若有问题需要澄清，应于投标截止时间前，以书面形式向</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提出。</w:t>
      </w:r>
    </w:p>
    <w:p w14:paraId="5A5FDC6B">
      <w:pPr>
        <w:pStyle w:val="131"/>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6.2 </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708450">
      <w:pPr>
        <w:pStyle w:val="24"/>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 xml:space="preserve">    </w:t>
      </w:r>
    </w:p>
    <w:p w14:paraId="5567BED3">
      <w:pPr>
        <w:adjustRightInd/>
        <w:spacing w:line="360" w:lineRule="auto"/>
        <w:jc w:val="center"/>
        <w:outlineLvl w:val="0"/>
        <w:rPr>
          <w:rFonts w:hint="eastAsia" w:ascii="仿宋" w:hAnsi="仿宋" w:eastAsia="仿宋" w:cs="仿宋"/>
          <w:b/>
          <w:color w:val="auto"/>
          <w:sz w:val="32"/>
          <w:szCs w:val="32"/>
          <w:highlight w:val="none"/>
        </w:rPr>
      </w:pPr>
      <w:bookmarkStart w:id="15" w:name="_Toc9618"/>
      <w:r>
        <w:rPr>
          <w:rFonts w:hint="eastAsia" w:ascii="仿宋" w:hAnsi="仿宋" w:eastAsia="仿宋" w:cs="仿宋"/>
          <w:b/>
          <w:color w:val="auto"/>
          <w:sz w:val="32"/>
          <w:szCs w:val="32"/>
          <w:highlight w:val="none"/>
        </w:rPr>
        <w:t>三、投标</w:t>
      </w:r>
      <w:bookmarkEnd w:id="15"/>
    </w:p>
    <w:p w14:paraId="5EAAE078">
      <w:pPr>
        <w:pStyle w:val="33"/>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 招标文件的获取</w:t>
      </w:r>
    </w:p>
    <w:p w14:paraId="2D798292">
      <w:pPr>
        <w:spacing w:line="360" w:lineRule="auto"/>
        <w:ind w:firstLine="420" w:firstLineChars="200"/>
        <w:rPr>
          <w:rFonts w:hint="eastAsia" w:ascii="仿宋" w:hAnsi="仿宋" w:eastAsia="仿宋" w:cs="仿宋"/>
          <w:snapToGrid w:val="0"/>
          <w:color w:val="auto"/>
          <w:kern w:val="28"/>
          <w:sz w:val="21"/>
          <w:szCs w:val="21"/>
          <w:highlight w:val="none"/>
        </w:rPr>
      </w:pPr>
      <w:r>
        <w:rPr>
          <w:rFonts w:hint="eastAsia" w:ascii="仿宋" w:hAnsi="仿宋" w:eastAsia="仿宋" w:cs="仿宋"/>
          <w:snapToGrid w:val="0"/>
          <w:color w:val="auto"/>
          <w:kern w:val="28"/>
          <w:sz w:val="21"/>
          <w:szCs w:val="21"/>
          <w:highlight w:val="none"/>
        </w:rPr>
        <w:t>详见招标公告中获取招标文件的时间期限、地点、方式及招标文件售价。</w:t>
      </w:r>
    </w:p>
    <w:p w14:paraId="29E37152">
      <w:pPr>
        <w:pStyle w:val="33"/>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8.开标前答疑会或现场考察</w:t>
      </w:r>
    </w:p>
    <w:p w14:paraId="71CAEF77">
      <w:pPr>
        <w:pStyle w:val="33"/>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采购人组织潜在投标人现场考察或者召开开标前答疑会的，潜在投标人按第二部分投标人须知前附表的规定参加现场考察或者开标前答疑会。</w:t>
      </w:r>
    </w:p>
    <w:p w14:paraId="01D97F1D">
      <w:pPr>
        <w:pStyle w:val="33"/>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kern w:val="28"/>
          <w:sz w:val="21"/>
          <w:szCs w:val="21"/>
          <w:highlight w:val="none"/>
        </w:rPr>
        <w:t>9.投标保证金</w:t>
      </w:r>
    </w:p>
    <w:p w14:paraId="6DDFE55E">
      <w:pPr>
        <w:pStyle w:val="6"/>
        <w:spacing w:line="360"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本项目不需缴纳投标保证金。</w:t>
      </w:r>
    </w:p>
    <w:p w14:paraId="0C1EF6FC">
      <w:pPr>
        <w:pStyle w:val="33"/>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10. 投标文件的语言</w:t>
      </w:r>
    </w:p>
    <w:p w14:paraId="62A05A3B">
      <w:pPr>
        <w:autoSpaceDE w:val="0"/>
        <w:autoSpaceDN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投标文件及投标人与采购有关的来往通知、函件和文件均应使用中文。</w:t>
      </w:r>
    </w:p>
    <w:p w14:paraId="7B239DB7">
      <w:pPr>
        <w:pStyle w:val="33"/>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11. 投标文件的组成</w:t>
      </w:r>
    </w:p>
    <w:p w14:paraId="7E4546CA">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w:t>
      </w:r>
      <w:r>
        <w:rPr>
          <w:rFonts w:hint="eastAsia" w:ascii="仿宋" w:hAnsi="仿宋" w:eastAsia="仿宋" w:cs="仿宋"/>
          <w:b/>
          <w:color w:val="auto"/>
          <w:sz w:val="21"/>
          <w:szCs w:val="21"/>
          <w:highlight w:val="none"/>
        </w:rPr>
        <w:t>资格文件</w:t>
      </w:r>
      <w:r>
        <w:rPr>
          <w:rFonts w:hint="eastAsia" w:ascii="仿宋" w:hAnsi="仿宋" w:eastAsia="仿宋" w:cs="仿宋"/>
          <w:color w:val="auto"/>
          <w:sz w:val="21"/>
          <w:szCs w:val="21"/>
          <w:highlight w:val="none"/>
        </w:rPr>
        <w:t>：</w:t>
      </w:r>
    </w:p>
    <w:p w14:paraId="56A02270">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11.1.1符合参加政府采购活动应当具备的一般条件的承诺函；</w:t>
      </w:r>
    </w:p>
    <w:p w14:paraId="4722444E">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11.1.2</w:t>
      </w:r>
      <w:r>
        <w:rPr>
          <w:rFonts w:hint="eastAsia" w:ascii="仿宋" w:hAnsi="仿宋" w:eastAsia="仿宋" w:cs="仿宋"/>
          <w:snapToGrid w:val="0"/>
          <w:color w:val="auto"/>
          <w:kern w:val="28"/>
          <w:sz w:val="21"/>
          <w:szCs w:val="21"/>
          <w:highlight w:val="none"/>
        </w:rPr>
        <w:t>联合协议（如果有)；</w:t>
      </w:r>
    </w:p>
    <w:p w14:paraId="041B9C40">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11.1.3落实政府采购政策需满足的资格要求</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5ED2566C">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11.1.4本项目的特定资格要求</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5B077BEA">
      <w:pPr>
        <w:snapToGrid w:val="0"/>
        <w:spacing w:line="360" w:lineRule="auto"/>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11.</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商务技术</w:t>
      </w:r>
      <w:r>
        <w:rPr>
          <w:rFonts w:hint="eastAsia" w:ascii="仿宋" w:hAnsi="仿宋" w:eastAsia="仿宋" w:cs="仿宋"/>
          <w:color w:val="auto"/>
          <w:sz w:val="21"/>
          <w:szCs w:val="21"/>
          <w:highlight w:val="none"/>
          <w:lang w:val="zh-CN"/>
        </w:rPr>
        <w:t>文件：</w:t>
      </w:r>
    </w:p>
    <w:p w14:paraId="51302807">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11.2.1投标函；</w:t>
      </w:r>
      <w:r>
        <w:rPr>
          <w:rFonts w:hint="eastAsia" w:ascii="仿宋" w:hAnsi="仿宋" w:eastAsia="仿宋" w:cs="仿宋"/>
          <w:color w:val="auto"/>
          <w:sz w:val="21"/>
          <w:szCs w:val="21"/>
          <w:highlight w:val="none"/>
          <w:lang w:val="zh-CN"/>
        </w:rPr>
        <w:t xml:space="preserve"> </w:t>
      </w:r>
    </w:p>
    <w:p w14:paraId="0BED4D04">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11.2.2授权委托书或法定代表人（单位负责人、自然人本人）身份证明；</w:t>
      </w:r>
    </w:p>
    <w:p w14:paraId="7A94A6A3">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11.2.3分包意向协议</w:t>
      </w:r>
      <w:r>
        <w:rPr>
          <w:rFonts w:hint="eastAsia" w:ascii="仿宋" w:hAnsi="仿宋" w:eastAsia="仿宋" w:cs="仿宋"/>
          <w:snapToGrid w:val="0"/>
          <w:color w:val="auto"/>
          <w:kern w:val="28"/>
          <w:sz w:val="21"/>
          <w:szCs w:val="21"/>
          <w:highlight w:val="none"/>
        </w:rPr>
        <w:t>（如果有)</w:t>
      </w:r>
      <w:r>
        <w:rPr>
          <w:rFonts w:hint="eastAsia" w:ascii="仿宋" w:hAnsi="仿宋" w:eastAsia="仿宋" w:cs="仿宋"/>
          <w:color w:val="auto"/>
          <w:sz w:val="21"/>
          <w:szCs w:val="21"/>
          <w:highlight w:val="none"/>
        </w:rPr>
        <w:t>；</w:t>
      </w:r>
    </w:p>
    <w:p w14:paraId="46AA89A5">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11.2.4符合性审查资料；</w:t>
      </w:r>
    </w:p>
    <w:p w14:paraId="72E7F67B">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11.2.5评标标准相应的商务技术资料；</w:t>
      </w:r>
    </w:p>
    <w:p w14:paraId="651AAD84">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11.2.6投标标的清单；</w:t>
      </w:r>
    </w:p>
    <w:p w14:paraId="361C0A5D">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11.2.7商务技术偏离表；</w:t>
      </w:r>
    </w:p>
    <w:p w14:paraId="2BB41EDB">
      <w:pPr>
        <w:snapToGrid w:val="0"/>
        <w:spacing w:line="360" w:lineRule="auto"/>
        <w:ind w:firstLine="840" w:firstLineChars="4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11.</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zh-CN"/>
        </w:rPr>
        <w:t>政府采购供应商廉洁自律承诺书；</w:t>
      </w:r>
    </w:p>
    <w:p w14:paraId="58187DDD">
      <w:pPr>
        <w:snapToGrid w:val="0"/>
        <w:spacing w:line="360" w:lineRule="auto"/>
        <w:ind w:firstLine="420" w:firstLineChars="200"/>
        <w:rPr>
          <w:rFonts w:hint="eastAsia" w:ascii="仿宋" w:hAnsi="仿宋" w:eastAsia="仿宋" w:cs="仿宋"/>
          <w:color w:val="auto"/>
          <w:sz w:val="21"/>
          <w:szCs w:val="21"/>
          <w:highlight w:val="none"/>
          <w:u w:val="single"/>
          <w:lang w:val="zh-CN"/>
        </w:rPr>
      </w:pPr>
      <w:r>
        <w:rPr>
          <w:rFonts w:hint="eastAsia" w:ascii="仿宋" w:hAnsi="仿宋" w:eastAsia="仿宋" w:cs="仿宋"/>
          <w:color w:val="auto"/>
          <w:kern w:val="0"/>
          <w:sz w:val="21"/>
          <w:szCs w:val="21"/>
          <w:highlight w:val="none"/>
          <w:lang w:val="zh-CN"/>
        </w:rPr>
        <w:t>11.</w:t>
      </w:r>
      <w:r>
        <w:rPr>
          <w:rFonts w:hint="eastAsia" w:ascii="仿宋" w:hAnsi="仿宋" w:eastAsia="仿宋" w:cs="仿宋"/>
          <w:color w:val="auto"/>
          <w:kern w:val="0"/>
          <w:sz w:val="21"/>
          <w:szCs w:val="21"/>
          <w:highlight w:val="none"/>
        </w:rPr>
        <w:t>3</w:t>
      </w:r>
      <w:r>
        <w:rPr>
          <w:rFonts w:hint="eastAsia" w:ascii="仿宋" w:hAnsi="仿宋" w:eastAsia="仿宋" w:cs="仿宋"/>
          <w:b/>
          <w:color w:val="auto"/>
          <w:sz w:val="21"/>
          <w:szCs w:val="21"/>
          <w:highlight w:val="none"/>
        </w:rPr>
        <w:t>报价文件：</w:t>
      </w:r>
      <w:r>
        <w:rPr>
          <w:rFonts w:hint="eastAsia" w:ascii="仿宋" w:hAnsi="仿宋" w:eastAsia="仿宋" w:cs="仿宋"/>
          <w:color w:val="auto"/>
          <w:sz w:val="21"/>
          <w:szCs w:val="21"/>
          <w:highlight w:val="none"/>
        </w:rPr>
        <w:t xml:space="preserve"> </w:t>
      </w:r>
    </w:p>
    <w:p w14:paraId="15E29D3B">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11.3.1开标一览表（报价表）；</w:t>
      </w:r>
    </w:p>
    <w:p w14:paraId="5F1E322A">
      <w:pPr>
        <w:snapToGrid w:val="0"/>
        <w:spacing w:line="360" w:lineRule="auto"/>
        <w:ind w:firstLine="840" w:firstLineChars="400"/>
        <w:rPr>
          <w:rFonts w:hint="eastAsia"/>
          <w:color w:val="auto"/>
          <w:sz w:val="21"/>
          <w:szCs w:val="21"/>
          <w:highlight w:val="none"/>
        </w:rPr>
      </w:pPr>
      <w:r>
        <w:rPr>
          <w:rFonts w:hint="eastAsia" w:ascii="仿宋" w:hAnsi="仿宋" w:eastAsia="仿宋" w:cs="仿宋"/>
          <w:color w:val="auto"/>
          <w:sz w:val="21"/>
          <w:szCs w:val="21"/>
          <w:highlight w:val="none"/>
          <w:lang w:val="en-US"/>
        </w:rPr>
        <w:t>11.3.</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color w:val="auto"/>
          <w:sz w:val="21"/>
          <w:szCs w:val="21"/>
          <w:highlight w:val="none"/>
          <w:lang w:val="en-US" w:eastAsia="zh-CN"/>
        </w:rPr>
        <w:t>；</w:t>
      </w:r>
    </w:p>
    <w:p w14:paraId="1A736D7B">
      <w:pPr>
        <w:snapToGrid w:val="0"/>
        <w:spacing w:line="360" w:lineRule="auto"/>
        <w:ind w:firstLine="840" w:firstLineChars="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中小企业声明函。</w:t>
      </w:r>
    </w:p>
    <w:p w14:paraId="571E2109">
      <w:pPr>
        <w:spacing w:line="360" w:lineRule="auto"/>
        <w:ind w:firstLine="632" w:firstLineChars="3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投标文件含有采购人不能接受的附加条件的，投标无效；</w:t>
      </w:r>
    </w:p>
    <w:p w14:paraId="17C65494">
      <w:pPr>
        <w:spacing w:line="360" w:lineRule="auto"/>
        <w:ind w:firstLine="632" w:firstLineChars="3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投标人提供虚假材料投标的，投标无效。</w:t>
      </w:r>
    </w:p>
    <w:p w14:paraId="7DC7161B">
      <w:pPr>
        <w:snapToGrid w:val="0"/>
        <w:spacing w:line="360" w:lineRule="auto"/>
        <w:ind w:firstLine="630" w:firstLineChars="300"/>
        <w:rPr>
          <w:rFonts w:hint="eastAsia"/>
          <w:color w:val="auto"/>
          <w:sz w:val="21"/>
          <w:szCs w:val="21"/>
          <w:highlight w:val="none"/>
        </w:rPr>
      </w:pPr>
      <w:r>
        <w:rPr>
          <w:rFonts w:hint="eastAsia" w:ascii="仿宋" w:hAnsi="仿宋" w:eastAsia="仿宋" w:cs="仿宋"/>
          <w:color w:val="auto"/>
          <w:sz w:val="21"/>
          <w:szCs w:val="21"/>
          <w:highlight w:val="none"/>
          <w:lang w:val="en-US" w:eastAsia="zh-CN"/>
        </w:rPr>
        <w:t>投标人应对投标文件中材料的真实性、合法性负责。</w:t>
      </w:r>
    </w:p>
    <w:p w14:paraId="04E34C0C">
      <w:pPr>
        <w:pStyle w:val="131"/>
        <w:snapToGrid w:val="0"/>
        <w:spacing w:before="0"/>
        <w:ind w:firstLine="0" w:firstLineChars="0"/>
        <w:outlineLvl w:val="0"/>
        <w:rPr>
          <w:rFonts w:hint="eastAsia" w:ascii="仿宋" w:hAnsi="仿宋" w:eastAsia="仿宋" w:cs="仿宋"/>
          <w:b/>
          <w:color w:val="auto"/>
          <w:sz w:val="21"/>
          <w:szCs w:val="21"/>
          <w:highlight w:val="none"/>
        </w:rPr>
      </w:pPr>
      <w:bookmarkStart w:id="16" w:name="_Toc28210"/>
      <w:r>
        <w:rPr>
          <w:rFonts w:hint="eastAsia" w:ascii="仿宋" w:hAnsi="仿宋" w:eastAsia="仿宋" w:cs="仿宋"/>
          <w:b/>
          <w:color w:val="auto"/>
          <w:sz w:val="21"/>
          <w:szCs w:val="21"/>
          <w:highlight w:val="none"/>
        </w:rPr>
        <w:t>12</w:t>
      </w:r>
      <w:r>
        <w:rPr>
          <w:rFonts w:hint="eastAsia" w:ascii="仿宋" w:hAnsi="仿宋" w:eastAsia="仿宋" w:cs="仿宋"/>
          <w:b/>
          <w:color w:val="auto"/>
          <w:kern w:val="0"/>
          <w:sz w:val="21"/>
          <w:szCs w:val="21"/>
          <w:highlight w:val="none"/>
          <w:lang w:val="zh-CN"/>
        </w:rPr>
        <w:t xml:space="preserve">. </w:t>
      </w:r>
      <w:r>
        <w:rPr>
          <w:rFonts w:hint="eastAsia" w:ascii="仿宋" w:hAnsi="仿宋" w:eastAsia="仿宋" w:cs="仿宋"/>
          <w:b/>
          <w:color w:val="auto"/>
          <w:sz w:val="21"/>
          <w:szCs w:val="21"/>
          <w:highlight w:val="none"/>
        </w:rPr>
        <w:t>投标文件的编制</w:t>
      </w:r>
      <w:bookmarkEnd w:id="16"/>
    </w:p>
    <w:p w14:paraId="79C74809">
      <w:pPr>
        <w:spacing w:line="360" w:lineRule="auto"/>
        <w:ind w:firstLine="420" w:firstLineChars="200"/>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9CC6AA">
      <w:pPr>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651BA08">
      <w:pPr>
        <w:spacing w:line="360" w:lineRule="auto"/>
        <w:ind w:firstLine="420" w:firstLineChars="20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5EAE1129">
      <w:pPr>
        <w:snapToGrid w:val="0"/>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13.投标文件的签署、盖章</w:t>
      </w:r>
    </w:p>
    <w:p w14:paraId="53E7253E">
      <w:pPr>
        <w:pStyle w:val="131"/>
        <w:snapToGrid w:val="0"/>
        <w:spacing w:before="0"/>
        <w:ind w:firstLine="48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13.1投标文件按照招标文件第六部分格式要求进行签署、盖章。</w:t>
      </w:r>
      <w:r>
        <w:rPr>
          <w:rFonts w:hint="eastAsia" w:ascii="仿宋" w:hAnsi="仿宋" w:eastAsia="仿宋" w:cs="仿宋"/>
          <w:b/>
          <w:color w:val="auto"/>
          <w:sz w:val="21"/>
          <w:szCs w:val="21"/>
          <w:highlight w:val="none"/>
        </w:rPr>
        <w:t>▲投标人的投标文件未按照招标文件要求签署、盖章的，其投标无效</w:t>
      </w:r>
      <w:r>
        <w:rPr>
          <w:rFonts w:hint="eastAsia" w:ascii="仿宋" w:hAnsi="仿宋" w:eastAsia="仿宋" w:cs="仿宋"/>
          <w:color w:val="auto"/>
          <w:sz w:val="21"/>
          <w:szCs w:val="21"/>
          <w:highlight w:val="none"/>
        </w:rPr>
        <w:t>。</w:t>
      </w:r>
    </w:p>
    <w:p w14:paraId="501DB511">
      <w:pPr>
        <w:pStyle w:val="131"/>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6F5417B4">
      <w:pPr>
        <w:pStyle w:val="131"/>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13.3招标文件对投标文件签署、盖章的要求适用于电子签名。</w:t>
      </w:r>
    </w:p>
    <w:p w14:paraId="489D3CAE">
      <w:pPr>
        <w:pStyle w:val="131"/>
        <w:spacing w:before="0"/>
        <w:ind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14. 投标文件的提交、补充、修改、撤回</w:t>
      </w:r>
    </w:p>
    <w:p w14:paraId="1B0B9658">
      <w:pPr>
        <w:pStyle w:val="131"/>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A59426D">
      <w:pPr>
        <w:pStyle w:val="131"/>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14CACF1F">
      <w:pPr>
        <w:pStyle w:val="131"/>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14.3采购人、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可以视情况延长投标文件提交的截止时间。在上述情况下，</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与投标人以前在投标截止期方面的全部权利、责任和义务，将适用于延长至新的投标截止期。</w:t>
      </w:r>
    </w:p>
    <w:p w14:paraId="03239DCE">
      <w:pPr>
        <w:pStyle w:val="33"/>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15.备份投标文件</w:t>
      </w:r>
    </w:p>
    <w:p w14:paraId="3B917F74">
      <w:pPr>
        <w:pStyle w:val="33"/>
        <w:spacing w:line="360" w:lineRule="auto"/>
        <w:ind w:firstLine="315" w:firstLineChars="15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1"/>
          <w:szCs w:val="21"/>
          <w:highlight w:val="none"/>
        </w:rPr>
        <w:t>但采购人、</w:t>
      </w:r>
      <w:r>
        <w:rPr>
          <w:rFonts w:hint="eastAsia" w:ascii="仿宋" w:hAnsi="仿宋" w:eastAsia="仿宋" w:cs="仿宋"/>
          <w:b/>
          <w:color w:val="auto"/>
          <w:sz w:val="21"/>
          <w:szCs w:val="21"/>
          <w:highlight w:val="none"/>
          <w:lang w:eastAsia="zh-CN"/>
        </w:rPr>
        <w:t>采购代理机构</w:t>
      </w:r>
      <w:r>
        <w:rPr>
          <w:rFonts w:hint="eastAsia" w:ascii="仿宋" w:hAnsi="仿宋" w:eastAsia="仿宋" w:cs="仿宋"/>
          <w:b/>
          <w:color w:val="auto"/>
          <w:sz w:val="21"/>
          <w:szCs w:val="21"/>
          <w:highlight w:val="none"/>
        </w:rPr>
        <w:t>不强制或变相强制投标人提交备份投标文件。</w:t>
      </w:r>
    </w:p>
    <w:p w14:paraId="43F839E4">
      <w:pPr>
        <w:pStyle w:val="33"/>
        <w:spacing w:line="360" w:lineRule="auto"/>
        <w:ind w:firstLine="420" w:firstLineChars="20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15.2备份投标文件须在“政采云投标客户端”制作生成，并储存在DVD光盘</w:t>
      </w:r>
      <w:r>
        <w:rPr>
          <w:rFonts w:hint="eastAsia" w:ascii="仿宋" w:hAnsi="仿宋" w:eastAsia="仿宋" w:cs="仿宋"/>
          <w:color w:val="auto"/>
          <w:sz w:val="21"/>
          <w:szCs w:val="21"/>
          <w:highlight w:val="none"/>
          <w:lang w:val="en-US" w:eastAsia="zh-CN"/>
        </w:rPr>
        <w:t>等存储介质</w:t>
      </w:r>
      <w:r>
        <w:rPr>
          <w:rFonts w:hint="eastAsia" w:ascii="仿宋" w:hAnsi="仿宋" w:eastAsia="仿宋" w:cs="仿宋"/>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1"/>
          <w:szCs w:val="21"/>
          <w:highlight w:val="none"/>
        </w:rPr>
        <w:t>不符合上述制作、存储、密封规定的备份投标文件将被视为无效或者被拒绝接收。</w:t>
      </w:r>
    </w:p>
    <w:p w14:paraId="1D9192B4">
      <w:pPr>
        <w:pStyle w:val="33"/>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将拒绝接受逾期送达的备份投标文件。</w:t>
      </w:r>
    </w:p>
    <w:p w14:paraId="105D817F">
      <w:pPr>
        <w:pStyle w:val="33"/>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1"/>
          <w:szCs w:val="21"/>
          <w:highlight w:val="none"/>
        </w:rPr>
        <w:t>招标文件第二部分投标人须知前附表规定的备份投标文件送达地点；</w:t>
      </w:r>
      <w:r>
        <w:rPr>
          <w:rFonts w:hint="eastAsia" w:ascii="仿宋" w:hAnsi="仿宋" w:eastAsia="仿宋" w:cs="仿宋"/>
          <w:color w:val="auto"/>
          <w:sz w:val="21"/>
          <w:szCs w:val="21"/>
          <w:highlight w:val="none"/>
        </w:rPr>
        <w:t>送达时间以签收人签收时间为准。</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将拒绝接受逾期送达的备份投标文件。邮寄过程中，电子备份投标文件发生泄露、遗失、损坏或延期送达等情况的，由投标人自行负责。</w:t>
      </w:r>
    </w:p>
    <w:p w14:paraId="6ADF5911">
      <w:pPr>
        <w:pStyle w:val="33"/>
        <w:spacing w:line="360" w:lineRule="auto"/>
        <w:ind w:firstLine="420" w:firstLineChars="19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15.5投标人仅提交备份投标文件，未在电子交易平台传输递交投标文件的，投标无效。</w:t>
      </w:r>
    </w:p>
    <w:p w14:paraId="7F59FE9D">
      <w:pPr>
        <w:pStyle w:val="131"/>
        <w:spacing w:before="0"/>
        <w:ind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16.投标文件的无效处理</w:t>
      </w:r>
    </w:p>
    <w:p w14:paraId="00C13F63">
      <w:pPr>
        <w:pStyle w:val="25"/>
        <w:spacing w:line="360"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有招标文件第四部分4.2规定的情形之一的，投标无效：</w:t>
      </w:r>
    </w:p>
    <w:p w14:paraId="709EA24F">
      <w:pPr>
        <w:pStyle w:val="131"/>
        <w:spacing w:before="0"/>
        <w:ind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17.投标有效期</w:t>
      </w:r>
    </w:p>
    <w:p w14:paraId="732FBF96">
      <w:pPr>
        <w:spacing w:line="360" w:lineRule="auto"/>
        <w:ind w:firstLine="420" w:firstLineChars="20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17.1投标有效期为从提交投标文件的截止之日起90天。▲</w:t>
      </w:r>
      <w:r>
        <w:rPr>
          <w:rFonts w:hint="eastAsia" w:ascii="仿宋" w:hAnsi="仿宋" w:eastAsia="仿宋" w:cs="仿宋"/>
          <w:b/>
          <w:color w:val="auto"/>
          <w:sz w:val="21"/>
          <w:szCs w:val="21"/>
          <w:highlight w:val="none"/>
        </w:rPr>
        <w:t>投标人的投标文件中承诺的投标有效期少于招标文件中载明的投标有效期的，投标无效。</w:t>
      </w:r>
    </w:p>
    <w:p w14:paraId="7B46ED26">
      <w:pPr>
        <w:pStyle w:val="131"/>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17.2投标文件合格投递后，自投标截止日期起，在投标有效期内有效。</w:t>
      </w:r>
    </w:p>
    <w:p w14:paraId="6A2AA8DC">
      <w:pPr>
        <w:pStyle w:val="131"/>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17.3在原定投标有效期满之前，如果出现特殊情况，</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可以以书面形式通知投标人延长投标有效期。投标人同意延长的，不得要求或被允许修改其投标文件，投标人拒绝延长的，其投标无效。</w:t>
      </w:r>
    </w:p>
    <w:p w14:paraId="3562D3E1">
      <w:pPr>
        <w:pStyle w:val="131"/>
        <w:spacing w:before="0"/>
        <w:ind w:firstLine="643"/>
        <w:rPr>
          <w:rFonts w:hint="eastAsia" w:ascii="仿宋" w:hAnsi="仿宋" w:eastAsia="仿宋" w:cs="仿宋"/>
          <w:b/>
          <w:color w:val="auto"/>
          <w:sz w:val="21"/>
          <w:szCs w:val="21"/>
          <w:highlight w:val="none"/>
        </w:rPr>
      </w:pPr>
    </w:p>
    <w:p w14:paraId="33C70DDD">
      <w:pPr>
        <w:pStyle w:val="131"/>
        <w:spacing w:before="0"/>
        <w:ind w:firstLine="1928" w:firstLineChars="6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四、开标、资格审查与信用信息查询</w:t>
      </w:r>
    </w:p>
    <w:p w14:paraId="653EBB7E">
      <w:pPr>
        <w:pStyle w:val="557"/>
        <w:spacing w:before="0" w:line="360" w:lineRule="auto"/>
        <w:ind w:left="0" w:firstLine="211" w:firstLineChars="100"/>
        <w:contextualSpacing/>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18.开标</w:t>
      </w:r>
      <w:r>
        <w:rPr>
          <w:rFonts w:hint="eastAsia" w:ascii="仿宋" w:hAnsi="仿宋" w:eastAsia="仿宋" w:cs="仿宋"/>
          <w:color w:val="auto"/>
          <w:sz w:val="21"/>
          <w:szCs w:val="21"/>
          <w:highlight w:val="none"/>
        </w:rPr>
        <w:t xml:space="preserve"> </w:t>
      </w:r>
    </w:p>
    <w:p w14:paraId="3B73C475">
      <w:pPr>
        <w:pStyle w:val="557"/>
        <w:spacing w:before="0" w:line="360" w:lineRule="auto"/>
        <w:ind w:left="0"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18.1</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按照招标文件规定的时间通过电子交易平台组织开标，所有投标人均应当准时在线参加。投标人不足3家的，不得开标。</w:t>
      </w:r>
    </w:p>
    <w:p w14:paraId="5A112342">
      <w:pPr>
        <w:pStyle w:val="557"/>
        <w:spacing w:before="0" w:line="360" w:lineRule="auto"/>
        <w:ind w:left="0" w:firstLine="210" w:firstLineChars="1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18.2开标时，电子交易平台按开标时间自动提取所有投标文件。</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依托电子交易平台发起开始解密指令，投标人按照平台提示和招标文件的规定在半小时内完成在线解密。</w:t>
      </w:r>
    </w:p>
    <w:p w14:paraId="41A9756E">
      <w:pPr>
        <w:pStyle w:val="557"/>
        <w:spacing w:before="0" w:line="360" w:lineRule="auto"/>
        <w:ind w:left="0" w:firstLine="210" w:firstLineChars="100"/>
        <w:contextualSpacing/>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　18.3</w:t>
      </w:r>
      <w:r>
        <w:rPr>
          <w:rFonts w:hint="eastAsia" w:ascii="仿宋" w:hAnsi="仿宋" w:eastAsia="仿宋" w:cs="仿宋"/>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296C7355">
      <w:pPr>
        <w:widowControl/>
        <w:spacing w:before="100" w:beforeAutospacing="1" w:after="240"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19、资格审查</w:t>
      </w:r>
    </w:p>
    <w:p w14:paraId="3D0E957E">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sz w:val="21"/>
          <w:szCs w:val="21"/>
          <w:highlight w:val="none"/>
        </w:rPr>
        <w:t>采购人或</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依据法律法规和招标文件的规定，对投标人的资格进行审查。</w:t>
      </w:r>
    </w:p>
    <w:p w14:paraId="50F1A356">
      <w:pPr>
        <w:pStyle w:val="131"/>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投标人未按照招标文件要求提供与</w:t>
      </w:r>
      <w:r>
        <w:rPr>
          <w:rFonts w:hint="eastAsia" w:ascii="仿宋" w:hAnsi="仿宋" w:eastAsia="仿宋" w:cs="仿宋"/>
          <w:color w:val="auto"/>
          <w:sz w:val="21"/>
          <w:szCs w:val="21"/>
          <w:highlight w:val="none"/>
        </w:rPr>
        <w:t>资格条件相应的</w:t>
      </w:r>
      <w:r>
        <w:rPr>
          <w:rFonts w:hint="eastAsia" w:ascii="仿宋" w:hAnsi="仿宋" w:eastAsia="仿宋" w:cs="仿宋"/>
          <w:color w:val="auto"/>
          <w:kern w:val="0"/>
          <w:sz w:val="21"/>
          <w:szCs w:val="21"/>
          <w:highlight w:val="none"/>
        </w:rPr>
        <w:t>有效资格证明材料的，视为</w:t>
      </w:r>
      <w:r>
        <w:rPr>
          <w:rFonts w:hint="eastAsia" w:ascii="仿宋" w:hAnsi="仿宋" w:eastAsia="仿宋" w:cs="仿宋"/>
          <w:color w:val="auto"/>
          <w:sz w:val="21"/>
          <w:szCs w:val="21"/>
          <w:highlight w:val="none"/>
        </w:rPr>
        <w:t>投标人不具备招标文件中规定的资格要求，其投标无效。</w:t>
      </w:r>
    </w:p>
    <w:p w14:paraId="1876F190">
      <w:pPr>
        <w:pStyle w:val="131"/>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对未通过资格审查的投标人，采购人或</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告知其未通过的原因。</w:t>
      </w:r>
    </w:p>
    <w:p w14:paraId="135E524A">
      <w:pPr>
        <w:pStyle w:val="131"/>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合格投标人不足3家的，不再评标。</w:t>
      </w:r>
    </w:p>
    <w:p w14:paraId="04D8685E">
      <w:pPr>
        <w:pStyle w:val="131"/>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0CB8A54">
      <w:pPr>
        <w:pStyle w:val="131"/>
        <w:spacing w:before="0"/>
        <w:ind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20、信用信息查询</w:t>
      </w:r>
    </w:p>
    <w:p w14:paraId="29A1F565">
      <w:pPr>
        <w:pStyle w:val="131"/>
        <w:spacing w:before="0"/>
        <w:ind w:firstLine="495"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20.1信用信息查询渠道及截止时间：</w:t>
      </w:r>
      <w:r>
        <w:rPr>
          <w:rFonts w:hint="eastAsia" w:ascii="仿宋" w:hAnsi="仿宋" w:eastAsia="仿宋" w:cs="仿宋"/>
          <w:color w:val="auto"/>
          <w:kern w:val="0"/>
          <w:sz w:val="21"/>
          <w:szCs w:val="21"/>
          <w:highlight w:val="none"/>
          <w:lang w:eastAsia="zh-CN"/>
        </w:rPr>
        <w:t>采购代理机构</w:t>
      </w:r>
      <w:r>
        <w:rPr>
          <w:rFonts w:hint="eastAsia" w:ascii="仿宋" w:hAnsi="仿宋" w:eastAsia="仿宋" w:cs="仿宋"/>
          <w:color w:val="auto"/>
          <w:kern w:val="0"/>
          <w:sz w:val="21"/>
          <w:szCs w:val="21"/>
          <w:highlight w:val="none"/>
        </w:rPr>
        <w:t>将在资格审查时通过“信用中国”网站(www.creditchina.gov.cn)、中国政府采购网(www.ccgp.gov.cn)渠道查询投标人接受资格时的信用记录。</w:t>
      </w:r>
    </w:p>
    <w:p w14:paraId="29B477C9">
      <w:pPr>
        <w:pStyle w:val="131"/>
        <w:spacing w:before="0"/>
        <w:ind w:firstLine="495"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20.2信用信息查询记录和证据留存的具体方式：现场查询的投标人的信用记录、查询结果经确认后将与采购文件一起存档。</w:t>
      </w:r>
    </w:p>
    <w:p w14:paraId="2B6B55BB">
      <w:pPr>
        <w:pStyle w:val="131"/>
        <w:spacing w:before="0"/>
        <w:ind w:firstLine="495"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278A1F20">
      <w:pPr>
        <w:pStyle w:val="131"/>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1"/>
          <w:szCs w:val="21"/>
          <w:highlight w:val="none"/>
        </w:rPr>
        <w:t>。</w:t>
      </w:r>
    </w:p>
    <w:p w14:paraId="44EDBEFE">
      <w:pPr>
        <w:pStyle w:val="131"/>
        <w:spacing w:before="0"/>
        <w:ind w:firstLine="0" w:firstLineChars="0"/>
        <w:rPr>
          <w:rFonts w:hint="eastAsia" w:ascii="仿宋" w:hAnsi="仿宋" w:eastAsia="仿宋" w:cs="仿宋"/>
          <w:color w:val="auto"/>
          <w:kern w:val="0"/>
          <w:sz w:val="21"/>
          <w:szCs w:val="21"/>
          <w:highlight w:val="none"/>
        </w:rPr>
      </w:pPr>
    </w:p>
    <w:p w14:paraId="1A9830B6">
      <w:pPr>
        <w:snapToGrid w:val="0"/>
        <w:spacing w:line="360" w:lineRule="auto"/>
        <w:jc w:val="center"/>
        <w:outlineLvl w:val="0"/>
        <w:rPr>
          <w:rFonts w:hint="eastAsia" w:ascii="仿宋" w:hAnsi="仿宋" w:eastAsia="仿宋" w:cs="仿宋"/>
          <w:b/>
          <w:color w:val="auto"/>
          <w:sz w:val="32"/>
          <w:szCs w:val="32"/>
          <w:highlight w:val="none"/>
        </w:rPr>
      </w:pPr>
      <w:bookmarkStart w:id="17" w:name="_Toc30380"/>
      <w:r>
        <w:rPr>
          <w:rFonts w:hint="eastAsia" w:ascii="仿宋" w:hAnsi="仿宋" w:eastAsia="仿宋" w:cs="仿宋"/>
          <w:b/>
          <w:color w:val="auto"/>
          <w:sz w:val="32"/>
          <w:szCs w:val="32"/>
          <w:highlight w:val="none"/>
        </w:rPr>
        <w:t>五、评标</w:t>
      </w:r>
      <w:bookmarkEnd w:id="17"/>
    </w:p>
    <w:p w14:paraId="02037FB2">
      <w:pPr>
        <w:spacing w:line="360" w:lineRule="auto"/>
        <w:rPr>
          <w:rFonts w:hint="eastAsia" w:ascii="仿宋" w:hAnsi="仿宋" w:eastAsia="仿宋" w:cs="仿宋"/>
          <w:b/>
          <w:color w:val="auto"/>
          <w:sz w:val="21"/>
          <w:szCs w:val="21"/>
          <w:highlight w:val="none"/>
        </w:rPr>
      </w:pPr>
      <w:bookmarkStart w:id="18" w:name="_Toc91899903"/>
      <w:r>
        <w:rPr>
          <w:rFonts w:hint="eastAsia" w:ascii="仿宋" w:hAnsi="仿宋" w:eastAsia="仿宋" w:cs="仿宋"/>
          <w:b/>
          <w:color w:val="auto"/>
          <w:sz w:val="21"/>
          <w:szCs w:val="21"/>
          <w:highlight w:val="none"/>
        </w:rPr>
        <w:t>21.</w:t>
      </w:r>
      <w:r>
        <w:rPr>
          <w:rFonts w:hint="eastAsia" w:ascii="仿宋" w:hAnsi="仿宋" w:eastAsia="仿宋" w:cs="仿宋"/>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1"/>
          <w:szCs w:val="21"/>
          <w:highlight w:val="none"/>
        </w:rPr>
        <w:t>详见招标文件第四部分评标办法。</w:t>
      </w:r>
    </w:p>
    <w:p w14:paraId="4B2CA174">
      <w:pPr>
        <w:spacing w:line="360" w:lineRule="auto"/>
        <w:rPr>
          <w:rFonts w:hint="eastAsia" w:ascii="仿宋" w:hAnsi="仿宋" w:eastAsia="仿宋" w:cs="仿宋"/>
          <w:b/>
          <w:color w:val="auto"/>
          <w:sz w:val="21"/>
          <w:szCs w:val="21"/>
          <w:highlight w:val="none"/>
        </w:rPr>
      </w:pPr>
    </w:p>
    <w:p w14:paraId="5D782F30">
      <w:pPr>
        <w:snapToGrid w:val="0"/>
        <w:spacing w:line="360" w:lineRule="auto"/>
        <w:jc w:val="center"/>
        <w:outlineLvl w:val="0"/>
        <w:rPr>
          <w:rFonts w:hint="eastAsia" w:ascii="仿宋" w:hAnsi="仿宋" w:eastAsia="仿宋" w:cs="仿宋"/>
          <w:b/>
          <w:color w:val="auto"/>
          <w:sz w:val="32"/>
          <w:szCs w:val="32"/>
          <w:highlight w:val="none"/>
        </w:rPr>
      </w:pPr>
      <w:bookmarkStart w:id="19" w:name="_Toc25763"/>
      <w:r>
        <w:rPr>
          <w:rFonts w:hint="eastAsia" w:ascii="仿宋" w:hAnsi="仿宋" w:eastAsia="仿宋" w:cs="仿宋"/>
          <w:b/>
          <w:color w:val="auto"/>
          <w:sz w:val="32"/>
          <w:szCs w:val="32"/>
          <w:highlight w:val="none"/>
        </w:rPr>
        <w:t>六、定 标</w:t>
      </w:r>
      <w:bookmarkEnd w:id="19"/>
    </w:p>
    <w:p w14:paraId="26A0F068">
      <w:pPr>
        <w:pStyle w:val="25"/>
        <w:spacing w:line="360" w:lineRule="auto"/>
        <w:ind w:left="479" w:hanging="420" w:hangingChars="19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22. 确定中标供应商</w:t>
      </w:r>
    </w:p>
    <w:p w14:paraId="046775BA">
      <w:pPr>
        <w:pStyle w:val="131"/>
        <w:snapToGrid w:val="0"/>
        <w:spacing w:before="0"/>
        <w:ind w:firstLine="48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为提高政府采购效率，</w:t>
      </w:r>
      <w:r>
        <w:rPr>
          <w:rFonts w:hint="eastAsia" w:ascii="仿宋" w:hAnsi="仿宋" w:eastAsia="仿宋" w:cs="仿宋"/>
          <w:color w:val="auto"/>
          <w:sz w:val="21"/>
          <w:szCs w:val="21"/>
          <w:highlight w:val="none"/>
          <w:lang w:val="en-US" w:eastAsia="zh-CN"/>
        </w:rPr>
        <w:t>鼓励</w:t>
      </w:r>
      <w:r>
        <w:rPr>
          <w:rFonts w:hint="eastAsia" w:ascii="仿宋" w:hAnsi="仿宋" w:eastAsia="仿宋" w:cs="仿宋"/>
          <w:color w:val="auto"/>
          <w:sz w:val="21"/>
          <w:szCs w:val="21"/>
          <w:highlight w:val="none"/>
        </w:rPr>
        <w:t>在收到评审报告当天</w:t>
      </w:r>
      <w:r>
        <w:rPr>
          <w:rFonts w:hint="eastAsia" w:ascii="仿宋" w:hAnsi="仿宋" w:eastAsia="仿宋" w:cs="仿宋"/>
          <w:color w:val="auto"/>
          <w:sz w:val="21"/>
          <w:szCs w:val="21"/>
          <w:highlight w:val="none"/>
          <w:lang w:val="en-US" w:eastAsia="zh-CN"/>
        </w:rPr>
        <w:t>在线</w:t>
      </w:r>
      <w:r>
        <w:rPr>
          <w:rFonts w:hint="eastAsia" w:ascii="仿宋" w:hAnsi="仿宋" w:eastAsia="仿宋" w:cs="仿宋"/>
          <w:color w:val="auto"/>
          <w:sz w:val="21"/>
          <w:szCs w:val="21"/>
          <w:highlight w:val="none"/>
        </w:rPr>
        <w:t>确定中标或者成交供应商。中标、成交通知书和中标、成交结果公告应当在规定时间内同时发出。</w:t>
      </w:r>
    </w:p>
    <w:p w14:paraId="30310AB7">
      <w:pPr>
        <w:pStyle w:val="131"/>
        <w:snapToGrid w:val="0"/>
        <w:spacing w:before="0"/>
        <w:ind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23. 中标通知与中标结果公告</w:t>
      </w:r>
    </w:p>
    <w:p w14:paraId="7C64A125">
      <w:pPr>
        <w:widowControl/>
        <w:shd w:val="clear" w:color="auto" w:fill="FFFFFF"/>
        <w:spacing w:line="360" w:lineRule="auto"/>
        <w:ind w:firstLine="48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23.1自中标人确定之日起2个工作日内，</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通过电子交易平台向中标人发出中标通知书，同时编制发布采购结果公告。</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也可以以纸质形式进行中标通知。</w:t>
      </w:r>
    </w:p>
    <w:p w14:paraId="28984332">
      <w:pPr>
        <w:widowControl/>
        <w:shd w:val="clear" w:color="auto" w:fill="FFFFFF"/>
        <w:spacing w:line="360" w:lineRule="auto"/>
        <w:ind w:firstLine="48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23.2中标结果公告内容包括采购人及其委托的</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的名称、地址、联系方式，项目名称和项目编号，中标人名称、地址和中标金额，主要中标标的的名称、规格型号、数量、单价、服务要求，开标记录、</w:t>
      </w:r>
      <w:bookmarkStart w:id="20" w:name="_Hlk101184471"/>
      <w:r>
        <w:rPr>
          <w:rFonts w:hint="eastAsia" w:ascii="仿宋" w:hAnsi="仿宋" w:eastAsia="仿宋" w:cs="仿宋"/>
          <w:color w:val="auto"/>
          <w:sz w:val="21"/>
          <w:szCs w:val="21"/>
          <w:highlight w:val="none"/>
        </w:rPr>
        <w:t>资格审查情况、评审专家抽取规则、符合性审查情况、</w:t>
      </w:r>
      <w:bookmarkEnd w:id="20"/>
      <w:r>
        <w:rPr>
          <w:rFonts w:hint="eastAsia" w:ascii="仿宋" w:hAnsi="仿宋" w:eastAsia="仿宋" w:cs="仿宋"/>
          <w:color w:val="auto"/>
          <w:sz w:val="21"/>
          <w:szCs w:val="21"/>
          <w:highlight w:val="none"/>
        </w:rPr>
        <w:t>未中标情况说明、中标公告期限以及评审专家名单、评分汇总及明细。</w:t>
      </w:r>
    </w:p>
    <w:p w14:paraId="7F368130">
      <w:pPr>
        <w:widowControl/>
        <w:shd w:val="clear" w:color="auto" w:fill="FFFFFF"/>
        <w:spacing w:line="360" w:lineRule="auto"/>
        <w:ind w:firstLine="48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23.3公告期限为1个工作日。</w:t>
      </w:r>
    </w:p>
    <w:p w14:paraId="6A68AF78">
      <w:pPr>
        <w:widowControl/>
        <w:shd w:val="clear" w:color="auto" w:fill="FFFFFF"/>
        <w:spacing w:line="360" w:lineRule="auto"/>
        <w:ind w:firstLine="48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23.4 </w:t>
      </w:r>
      <w:r>
        <w:rPr>
          <w:rFonts w:hint="eastAsia" w:ascii="仿宋" w:hAnsi="仿宋" w:eastAsia="仿宋" w:cs="仿宋"/>
          <w:color w:val="auto"/>
          <w:sz w:val="21"/>
          <w:szCs w:val="21"/>
          <w:highlight w:val="none"/>
        </w:rPr>
        <w:t>由于中标、成交供应商原因导致重新采购的，应当承担支付代理费和专家评审费等费用在内的赔偿责任。</w:t>
      </w:r>
    </w:p>
    <w:p w14:paraId="1DEE3A5A">
      <w:pPr>
        <w:snapToGrid w:val="0"/>
        <w:spacing w:line="360" w:lineRule="auto"/>
        <w:ind w:left="120" w:leftChars="57" w:firstLine="316" w:firstLineChars="150"/>
        <w:jc w:val="center"/>
        <w:rPr>
          <w:rFonts w:hint="eastAsia" w:ascii="仿宋" w:hAnsi="仿宋" w:eastAsia="仿宋" w:cs="仿宋"/>
          <w:b/>
          <w:color w:val="auto"/>
          <w:sz w:val="21"/>
          <w:szCs w:val="21"/>
          <w:highlight w:val="none"/>
        </w:rPr>
      </w:pPr>
    </w:p>
    <w:p w14:paraId="299274FB">
      <w:pPr>
        <w:snapToGrid w:val="0"/>
        <w:spacing w:line="360" w:lineRule="auto"/>
        <w:ind w:left="120" w:leftChars="57" w:firstLine="482" w:firstLineChars="1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七、合同授予</w:t>
      </w:r>
    </w:p>
    <w:p w14:paraId="026F3C14">
      <w:pPr>
        <w:pStyle w:val="25"/>
        <w:spacing w:line="360" w:lineRule="auto"/>
        <w:ind w:left="479" w:hanging="420" w:hangingChars="19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24. </w:t>
      </w:r>
      <w:r>
        <w:rPr>
          <w:rFonts w:hint="eastAsia" w:ascii="仿宋" w:hAnsi="仿宋" w:eastAsia="仿宋" w:cs="仿宋"/>
          <w:color w:val="auto"/>
          <w:sz w:val="21"/>
          <w:szCs w:val="21"/>
          <w:highlight w:val="none"/>
        </w:rPr>
        <w:t>合同主要条款详见第五部分拟签订的合同文本。</w:t>
      </w:r>
    </w:p>
    <w:p w14:paraId="16617DBC">
      <w:pPr>
        <w:pStyle w:val="25"/>
        <w:spacing w:line="360" w:lineRule="auto"/>
        <w:ind w:left="479" w:hanging="420" w:hangingChars="19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25. 合同的签订</w:t>
      </w:r>
    </w:p>
    <w:p w14:paraId="0E588EFD">
      <w:pPr>
        <w:widowControl/>
        <w:shd w:val="clear" w:color="auto" w:fill="FFFFFF"/>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25.1</w:t>
      </w:r>
      <w:r>
        <w:rPr>
          <w:rFonts w:hint="eastAsia" w:ascii="仿宋" w:hAnsi="仿宋" w:eastAsia="仿宋" w:cs="仿宋"/>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EB99B7E">
      <w:pPr>
        <w:pStyle w:val="131"/>
        <w:snapToGrid w:val="0"/>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467A505">
      <w:pPr>
        <w:pStyle w:val="131"/>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25.3如签订合同并生效后，供应商无故拒绝或延期，除按照合同条款处理外，列入不良行为记录一次，并给予通报。</w:t>
      </w:r>
    </w:p>
    <w:p w14:paraId="0160F6B8">
      <w:pPr>
        <w:pStyle w:val="131"/>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0ED55276">
      <w:pPr>
        <w:pStyle w:val="131"/>
        <w:snapToGrid w:val="0"/>
        <w:spacing w:before="0" w:after="12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25.5采购合同由采购人与中标供应商根据招标文件、投标文件等内容通过政府采购电子交易平台在线签订，自动备案。</w:t>
      </w:r>
    </w:p>
    <w:p w14:paraId="229E94D2">
      <w:pPr>
        <w:pStyle w:val="25"/>
        <w:spacing w:line="360" w:lineRule="auto"/>
        <w:ind w:left="479" w:hanging="420" w:hangingChars="19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26. 履约保证金</w:t>
      </w:r>
    </w:p>
    <w:p w14:paraId="1057228E">
      <w:pPr>
        <w:tabs>
          <w:tab w:val="left" w:pos="0"/>
        </w:tabs>
        <w:spacing w:line="360" w:lineRule="auto"/>
        <w:ind w:firstLine="482"/>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1"/>
          <w:szCs w:val="21"/>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6E3518F">
      <w:pPr>
        <w:pStyle w:val="4"/>
        <w:ind w:left="0" w:firstLine="420" w:firstLineChars="200"/>
        <w:rPr>
          <w:rFonts w:hint="eastAsia" w:ascii="仿宋" w:hAnsi="仿宋" w:eastAsia="仿宋" w:cs="仿宋"/>
          <w:b w:val="0"/>
          <w:bCs w:val="0"/>
          <w:snapToGrid w:val="0"/>
          <w:color w:val="auto"/>
          <w:kern w:val="28"/>
          <w:sz w:val="21"/>
          <w:szCs w:val="21"/>
          <w:highlight w:val="none"/>
        </w:rPr>
      </w:pPr>
      <w:r>
        <w:rPr>
          <w:rFonts w:hint="eastAsia" w:ascii="仿宋" w:hAnsi="仿宋" w:eastAsia="仿宋" w:cs="仿宋"/>
          <w:b w:val="0"/>
          <w:bCs w:val="0"/>
          <w:snapToGrid w:val="0"/>
          <w:color w:val="auto"/>
          <w:kern w:val="28"/>
          <w:sz w:val="21"/>
          <w:szCs w:val="21"/>
          <w:highlight w:val="none"/>
        </w:rPr>
        <w:t>供应商</w:t>
      </w:r>
      <w:r>
        <w:rPr>
          <w:rFonts w:hint="eastAsia" w:ascii="仿宋" w:hAnsi="仿宋" w:eastAsia="仿宋" w:cs="仿宋"/>
          <w:b w:val="0"/>
          <w:bCs w:val="0"/>
          <w:snapToGrid w:val="0"/>
          <w:color w:val="auto"/>
          <w:kern w:val="28"/>
          <w:sz w:val="21"/>
          <w:szCs w:val="21"/>
          <w:highlight w:val="none"/>
          <w:lang w:val="en-US"/>
        </w:rPr>
        <w:t>可</w:t>
      </w:r>
      <w:r>
        <w:rPr>
          <w:rFonts w:hint="eastAsia" w:ascii="仿宋" w:hAnsi="仿宋" w:eastAsia="仿宋" w:cs="仿宋"/>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6ABA55E">
      <w:pPr>
        <w:pStyle w:val="4"/>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rPr>
        <w:t>27.预付款</w:t>
      </w:r>
    </w:p>
    <w:p w14:paraId="4C4BB2CC">
      <w:pPr>
        <w:adjustRightInd/>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7359E05">
      <w:pPr>
        <w:rPr>
          <w:rFonts w:hint="eastAsia" w:ascii="仿宋" w:hAnsi="仿宋" w:eastAsia="仿宋" w:cs="仿宋"/>
          <w:color w:val="auto"/>
          <w:sz w:val="21"/>
          <w:szCs w:val="21"/>
          <w:highlight w:val="none"/>
        </w:rPr>
      </w:pPr>
    </w:p>
    <w:p w14:paraId="25E71D3D">
      <w:pPr>
        <w:snapToGrid w:val="0"/>
        <w:spacing w:line="360" w:lineRule="auto"/>
        <w:ind w:firstLine="2203" w:firstLineChars="1045"/>
        <w:rPr>
          <w:rFonts w:hint="eastAsia" w:ascii="仿宋" w:hAnsi="仿宋" w:eastAsia="仿宋" w:cs="仿宋"/>
          <w:b/>
          <w:color w:val="auto"/>
          <w:sz w:val="21"/>
          <w:szCs w:val="21"/>
          <w:highlight w:val="none"/>
        </w:rPr>
      </w:pPr>
    </w:p>
    <w:p w14:paraId="33A570D4">
      <w:pPr>
        <w:snapToGrid w:val="0"/>
        <w:spacing w:line="360" w:lineRule="auto"/>
        <w:ind w:firstLine="3357" w:firstLineChars="1045"/>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八、电子交易活动的中止</w:t>
      </w:r>
    </w:p>
    <w:p w14:paraId="6EAA2848">
      <w:pPr>
        <w:pStyle w:val="131"/>
        <w:snapToGrid w:val="0"/>
        <w:spacing w:before="0"/>
        <w:ind w:firstLine="0" w:firstLineChars="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28</w:t>
      </w:r>
      <w:r>
        <w:rPr>
          <w:rFonts w:hint="eastAsia" w:ascii="仿宋" w:hAnsi="仿宋" w:eastAsia="仿宋" w:cs="仿宋"/>
          <w:b/>
          <w:color w:val="auto"/>
          <w:sz w:val="21"/>
          <w:szCs w:val="21"/>
          <w:highlight w:val="none"/>
        </w:rPr>
        <w:t>. 电子交易活动的中止。</w:t>
      </w:r>
      <w:r>
        <w:rPr>
          <w:rFonts w:hint="eastAsia" w:ascii="仿宋" w:hAnsi="仿宋" w:eastAsia="仿宋" w:cs="仿宋"/>
          <w:color w:val="auto"/>
          <w:sz w:val="21"/>
          <w:szCs w:val="21"/>
          <w:highlight w:val="none"/>
        </w:rPr>
        <w:t>采购过程中出现以下情形，导致电子交易平台无法正常运行，或者无法保证电子交易的公平、公正和安全时，</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可中止电子交易活动：</w:t>
      </w:r>
    </w:p>
    <w:p w14:paraId="1E73DA32">
      <w:pPr>
        <w:pStyle w:val="131"/>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28.1电子交易平台发生故障而无法登录访问的； </w:t>
      </w:r>
    </w:p>
    <w:p w14:paraId="7CBEEA4A">
      <w:pPr>
        <w:pStyle w:val="131"/>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28.2电子交易平台应用或数据库出现错误，不能进行正常操作的；</w:t>
      </w:r>
    </w:p>
    <w:p w14:paraId="32C7AB9B">
      <w:pPr>
        <w:pStyle w:val="131"/>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28.3电子交易平台发现严重安全漏洞，有潜在泄密危险的；</w:t>
      </w:r>
    </w:p>
    <w:p w14:paraId="32C5B3CF">
      <w:pPr>
        <w:pStyle w:val="131"/>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28.4病毒发作导致不能进行正常操作的； </w:t>
      </w:r>
    </w:p>
    <w:p w14:paraId="546FD46D">
      <w:pPr>
        <w:pStyle w:val="131"/>
        <w:snapToGrid w:val="0"/>
        <w:spacing w:before="0"/>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28.5其他无法保证电子交易的公平、公正和安全的情况。</w:t>
      </w:r>
    </w:p>
    <w:p w14:paraId="4B59C08F">
      <w:pPr>
        <w:pStyle w:val="131"/>
        <w:snapToGrid w:val="0"/>
        <w:spacing w:before="0"/>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1F0724F">
      <w:pPr>
        <w:tabs>
          <w:tab w:val="left" w:pos="0"/>
        </w:tabs>
        <w:spacing w:line="360" w:lineRule="auto"/>
        <w:ind w:firstLine="480"/>
        <w:rPr>
          <w:rFonts w:hint="eastAsia" w:ascii="仿宋" w:hAnsi="仿宋" w:eastAsia="仿宋" w:cs="仿宋"/>
          <w:color w:val="auto"/>
          <w:sz w:val="21"/>
          <w:szCs w:val="21"/>
          <w:highlight w:val="none"/>
        </w:rPr>
      </w:pPr>
    </w:p>
    <w:p w14:paraId="1CB0F037">
      <w:pPr>
        <w:snapToGrid w:val="0"/>
        <w:spacing w:line="360" w:lineRule="auto"/>
        <w:ind w:left="120" w:leftChars="57" w:firstLine="482" w:firstLineChars="1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九、验收</w:t>
      </w:r>
    </w:p>
    <w:p w14:paraId="45B4CFDC">
      <w:pPr>
        <w:pStyle w:val="25"/>
        <w:spacing w:line="360" w:lineRule="auto"/>
        <w:ind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30.验收</w:t>
      </w:r>
    </w:p>
    <w:p w14:paraId="671BEDD5">
      <w:pPr>
        <w:tabs>
          <w:tab w:val="left" w:pos="0"/>
        </w:tabs>
        <w:spacing w:line="360" w:lineRule="auto"/>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8E7B24">
      <w:pPr>
        <w:tabs>
          <w:tab w:val="left" w:pos="0"/>
        </w:tabs>
        <w:spacing w:line="360" w:lineRule="auto"/>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22E88F60">
      <w:pPr>
        <w:tabs>
          <w:tab w:val="left" w:pos="0"/>
        </w:tabs>
        <w:spacing w:line="360" w:lineRule="auto"/>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7B3A26">
      <w:pPr>
        <w:tabs>
          <w:tab w:val="left" w:pos="0"/>
        </w:tabs>
        <w:spacing w:line="360" w:lineRule="auto"/>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3C73CD6">
      <w:pPr>
        <w:tabs>
          <w:tab w:val="left" w:pos="0"/>
        </w:tabs>
        <w:adjustRightInd w:val="0"/>
        <w:snapToGrid w:val="0"/>
        <w:spacing w:line="360" w:lineRule="auto"/>
        <w:ind w:left="0" w:firstLine="420" w:firstLineChars="200"/>
        <w:rPr>
          <w:rFonts w:hint="eastAsia" w:ascii="仿宋" w:hAnsi="仿宋" w:eastAsia="仿宋" w:cs="仿宋"/>
          <w:b w:val="0"/>
          <w:bCs w:val="0"/>
          <w:color w:val="auto"/>
          <w:kern w:val="0"/>
          <w:sz w:val="21"/>
          <w:szCs w:val="21"/>
          <w:highlight w:val="none"/>
          <w:lang w:val="en-US"/>
        </w:rPr>
      </w:pPr>
      <w:r>
        <w:rPr>
          <w:rFonts w:hint="eastAsia" w:ascii="仿宋" w:hAnsi="仿宋" w:eastAsia="仿宋" w:cs="仿宋"/>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1"/>
          <w:szCs w:val="21"/>
          <w:highlight w:val="none"/>
          <w:lang w:val="en-US" w:eastAsia="zh-CN"/>
        </w:rPr>
        <w:t>合同管理</w:t>
      </w:r>
      <w:r>
        <w:rPr>
          <w:rFonts w:hint="eastAsia" w:ascii="仿宋" w:hAnsi="仿宋" w:eastAsia="仿宋" w:cs="仿宋"/>
          <w:b w:val="0"/>
          <w:bCs w:val="0"/>
          <w:color w:val="auto"/>
          <w:kern w:val="0"/>
          <w:sz w:val="21"/>
          <w:szCs w:val="21"/>
          <w:highlight w:val="none"/>
          <w:lang w:val="en-US"/>
        </w:rPr>
        <w:t>-支付管理。对于供应商提起在线支付申请的，采购</w:t>
      </w:r>
      <w:r>
        <w:rPr>
          <w:rFonts w:hint="eastAsia" w:ascii="仿宋" w:hAnsi="仿宋" w:eastAsia="仿宋" w:cs="仿宋"/>
          <w:b w:val="0"/>
          <w:bCs w:val="0"/>
          <w:color w:val="auto"/>
          <w:kern w:val="0"/>
          <w:sz w:val="21"/>
          <w:szCs w:val="21"/>
          <w:highlight w:val="none"/>
          <w:lang w:val="en-US" w:eastAsia="zh-CN"/>
        </w:rPr>
        <w:t>人</w:t>
      </w:r>
      <w:r>
        <w:rPr>
          <w:rFonts w:hint="eastAsia" w:ascii="仿宋" w:hAnsi="仿宋" w:eastAsia="仿宋" w:cs="仿宋"/>
          <w:b w:val="0"/>
          <w:bCs w:val="0"/>
          <w:color w:val="auto"/>
          <w:kern w:val="0"/>
          <w:sz w:val="21"/>
          <w:szCs w:val="21"/>
          <w:highlight w:val="none"/>
          <w:lang w:val="en-US"/>
        </w:rPr>
        <w:t>应当</w:t>
      </w:r>
      <w:r>
        <w:rPr>
          <w:rFonts w:hint="eastAsia" w:ascii="仿宋" w:hAnsi="仿宋" w:eastAsia="仿宋" w:cs="仿宋"/>
          <w:b w:val="0"/>
          <w:bCs w:val="0"/>
          <w:color w:val="auto"/>
          <w:kern w:val="0"/>
          <w:sz w:val="21"/>
          <w:szCs w:val="21"/>
          <w:highlight w:val="none"/>
          <w:lang w:val="en-US" w:eastAsia="zh-CN"/>
        </w:rPr>
        <w:t>按规定</w:t>
      </w:r>
      <w:r>
        <w:rPr>
          <w:rFonts w:hint="eastAsia" w:ascii="仿宋" w:hAnsi="仿宋" w:eastAsia="仿宋" w:cs="仿宋"/>
          <w:b w:val="0"/>
          <w:bCs w:val="0"/>
          <w:color w:val="auto"/>
          <w:kern w:val="0"/>
          <w:sz w:val="21"/>
          <w:szCs w:val="21"/>
          <w:highlight w:val="none"/>
          <w:lang w:val="en-US"/>
        </w:rPr>
        <w:t>做好审核并完成支付。</w:t>
      </w:r>
    </w:p>
    <w:p w14:paraId="4FB00C14">
      <w:pPr>
        <w:tabs>
          <w:tab w:val="left" w:pos="0"/>
        </w:tabs>
        <w:spacing w:line="360" w:lineRule="auto"/>
        <w:ind w:firstLine="480"/>
        <w:rPr>
          <w:rFonts w:hint="eastAsia" w:ascii="仿宋" w:hAnsi="仿宋" w:eastAsia="仿宋" w:cs="仿宋"/>
          <w:color w:val="auto"/>
          <w:kern w:val="0"/>
          <w:sz w:val="24"/>
          <w:highlight w:val="none"/>
        </w:rPr>
      </w:pPr>
    </w:p>
    <w:bookmarkEnd w:id="18"/>
    <w:p w14:paraId="08C90977">
      <w:pPr>
        <w:tabs>
          <w:tab w:val="left" w:pos="0"/>
        </w:tabs>
        <w:spacing w:line="360" w:lineRule="auto"/>
        <w:ind w:firstLine="480"/>
        <w:rPr>
          <w:rFonts w:hint="eastAsia" w:ascii="仿宋" w:hAnsi="仿宋" w:eastAsia="仿宋" w:cs="仿宋"/>
          <w:color w:val="auto"/>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21" w:name="_Hlt75236101"/>
      <w:bookmarkEnd w:id="21"/>
      <w:bookmarkStart w:id="22" w:name="_Hlt75236290"/>
      <w:bookmarkEnd w:id="22"/>
      <w:bookmarkStart w:id="23" w:name="_Hlt74714665"/>
      <w:bookmarkEnd w:id="23"/>
      <w:bookmarkStart w:id="24" w:name="_Hlt68072998"/>
      <w:bookmarkEnd w:id="24"/>
      <w:bookmarkStart w:id="25" w:name="_Hlt74729768"/>
      <w:bookmarkEnd w:id="25"/>
      <w:bookmarkStart w:id="26" w:name="_Hlt68073093"/>
      <w:bookmarkEnd w:id="26"/>
      <w:bookmarkStart w:id="27" w:name="_Hlt74730295"/>
      <w:bookmarkEnd w:id="27"/>
      <w:bookmarkStart w:id="28" w:name="_Hlt68057669"/>
      <w:bookmarkEnd w:id="28"/>
      <w:bookmarkStart w:id="29" w:name="_Hlt74707468"/>
      <w:bookmarkEnd w:id="29"/>
      <w:bookmarkStart w:id="30" w:name="_Hlt68403820"/>
      <w:bookmarkEnd w:id="30"/>
      <w:bookmarkStart w:id="31" w:name="_Hlt68072990"/>
      <w:bookmarkEnd w:id="31"/>
      <w:bookmarkStart w:id="32" w:name="_Hlt75236011"/>
      <w:bookmarkEnd w:id="32"/>
    </w:p>
    <w:bookmarkEnd w:id="11"/>
    <w:bookmarkEnd w:id="12"/>
    <w:p w14:paraId="0BB07808">
      <w:pPr>
        <w:spacing w:line="360" w:lineRule="auto"/>
        <w:jc w:val="center"/>
        <w:outlineLvl w:val="0"/>
        <w:rPr>
          <w:rFonts w:hint="eastAsia" w:ascii="仿宋" w:hAnsi="仿宋" w:eastAsia="仿宋" w:cs="仿宋"/>
          <w:b/>
          <w:color w:val="auto"/>
          <w:sz w:val="36"/>
          <w:szCs w:val="36"/>
          <w:highlight w:val="none"/>
        </w:rPr>
      </w:pPr>
      <w:bookmarkStart w:id="33" w:name="_Toc14652"/>
      <w:bookmarkStart w:id="34" w:name="第四部分"/>
      <w:r>
        <w:rPr>
          <w:rFonts w:hint="eastAsia" w:ascii="仿宋" w:hAnsi="仿宋" w:eastAsia="仿宋" w:cs="仿宋"/>
          <w:b/>
          <w:color w:val="auto"/>
          <w:sz w:val="36"/>
          <w:szCs w:val="36"/>
          <w:highlight w:val="none"/>
        </w:rPr>
        <w:t>第三部分   采购需求</w:t>
      </w:r>
      <w:bookmarkEnd w:id="33"/>
    </w:p>
    <w:p w14:paraId="2691425E">
      <w:pPr>
        <w:keepNext w:val="0"/>
        <w:keepLines w:val="0"/>
        <w:widowControl w:val="0"/>
        <w:numPr>
          <w:ilvl w:val="0"/>
          <w:numId w:val="1"/>
        </w:numPr>
        <w:suppressLineNumbers w:val="0"/>
        <w:adjustRightInd w:val="0"/>
        <w:snapToGrid w:val="0"/>
        <w:spacing w:before="0" w:beforeAutospacing="0" w:after="0" w:afterAutospacing="0" w:line="360" w:lineRule="auto"/>
        <w:ind w:left="0" w:right="0" w:firstLine="0"/>
        <w:jc w:val="both"/>
        <w:rPr>
          <w:rFonts w:hint="eastAsia" w:ascii="仿宋" w:hAnsi="仿宋" w:eastAsia="仿宋" w:cs="仿宋"/>
          <w:b/>
          <w:bCs/>
          <w:color w:val="auto"/>
          <w:kern w:val="0"/>
          <w:sz w:val="24"/>
          <w:szCs w:val="24"/>
          <w:highlight w:val="none"/>
          <w:lang w:val="en-US"/>
        </w:rPr>
      </w:pPr>
      <w:r>
        <w:rPr>
          <w:rFonts w:hint="eastAsia" w:ascii="仿宋" w:hAnsi="仿宋" w:eastAsia="仿宋" w:cs="仿宋"/>
          <w:b/>
          <w:bCs/>
          <w:snapToGrid w:val="0"/>
          <w:color w:val="auto"/>
          <w:kern w:val="0"/>
          <w:sz w:val="24"/>
          <w:szCs w:val="24"/>
          <w:highlight w:val="none"/>
          <w:lang w:val="en-US" w:eastAsia="zh-CN" w:bidi="ar"/>
        </w:rPr>
        <w:t>项目简介</w:t>
      </w:r>
    </w:p>
    <w:p w14:paraId="151041E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4"/>
          <w:szCs w:val="24"/>
          <w:highlight w:val="none"/>
          <w:lang w:val="en-US" w:eastAsia="zh-CN" w:bidi="ar"/>
        </w:rPr>
        <w:t>杭州市市民中心</w:t>
      </w:r>
      <w:r>
        <w:rPr>
          <w:rFonts w:hint="eastAsia" w:ascii="仿宋" w:hAnsi="仿宋" w:eastAsia="仿宋" w:cs="仿宋"/>
          <w:color w:val="auto"/>
          <w:kern w:val="2"/>
          <w:sz w:val="21"/>
          <w:szCs w:val="21"/>
          <w:highlight w:val="none"/>
          <w:lang w:val="en-US" w:eastAsia="zh-CN" w:bidi="ar"/>
        </w:rPr>
        <w:t>会议中心的会议服务保障及部分行政楼公务楼层的会议和公务服务保障。会议中心位于6幢行政楼正中央，地面四层建筑，南、北与礼仪大厅相连，总建筑面积约3.7万平方米，是杭州市级机关召开公共会议、新闻发布、信息媒体与公务接见等功能的场所，按特性可分为商务厅、会见厅、公共会议厅、电视电话会议厅、网络视频会议厅等。</w:t>
      </w:r>
    </w:p>
    <w:p w14:paraId="5B9A79B5">
      <w:pPr>
        <w:keepNext w:val="0"/>
        <w:keepLines w:val="0"/>
        <w:widowControl w:val="0"/>
        <w:numPr>
          <w:ilvl w:val="0"/>
          <w:numId w:val="1"/>
        </w:numPr>
        <w:suppressLineNumbers w:val="0"/>
        <w:adjustRightInd w:val="0"/>
        <w:snapToGrid w:val="0"/>
        <w:spacing w:before="0" w:beforeAutospacing="0" w:after="0" w:afterAutospacing="0" w:line="360" w:lineRule="auto"/>
        <w:ind w:left="0" w:right="0" w:firstLine="0"/>
        <w:jc w:val="both"/>
        <w:rPr>
          <w:rFonts w:hint="eastAsia" w:ascii="仿宋" w:hAnsi="仿宋" w:eastAsia="仿宋" w:cs="仿宋"/>
          <w:b/>
          <w:bCs/>
          <w:color w:val="auto"/>
          <w:kern w:val="0"/>
          <w:sz w:val="21"/>
          <w:szCs w:val="21"/>
          <w:highlight w:val="none"/>
          <w:lang w:val="en-US"/>
        </w:rPr>
      </w:pPr>
      <w:r>
        <w:rPr>
          <w:rFonts w:hint="eastAsia" w:ascii="仿宋" w:hAnsi="仿宋" w:eastAsia="仿宋" w:cs="仿宋"/>
          <w:b/>
          <w:bCs/>
          <w:snapToGrid w:val="0"/>
          <w:color w:val="auto"/>
          <w:kern w:val="0"/>
          <w:sz w:val="21"/>
          <w:szCs w:val="21"/>
          <w:highlight w:val="none"/>
          <w:lang w:val="en-US" w:eastAsia="zh-CN" w:bidi="ar"/>
        </w:rPr>
        <w:t>服务内容</w:t>
      </w:r>
    </w:p>
    <w:p w14:paraId="133278DB">
      <w:pPr>
        <w:keepNext w:val="0"/>
        <w:keepLines w:val="0"/>
        <w:widowControl w:val="0"/>
        <w:suppressLineNumbers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1.会议中心内会议厅及配套接待厅（室）共</w:t>
      </w:r>
      <w:r>
        <w:rPr>
          <w:rFonts w:hint="eastAsia" w:ascii="仿宋" w:hAnsi="仿宋" w:eastAsia="仿宋" w:cs="仿宋"/>
          <w:color w:val="auto"/>
          <w:kern w:val="0"/>
          <w:sz w:val="21"/>
          <w:szCs w:val="21"/>
          <w:highlight w:val="none"/>
          <w:lang w:val="en-US" w:eastAsia="zh-CN" w:bidi="ar"/>
        </w:rPr>
        <w:t>26</w:t>
      </w:r>
      <w:r>
        <w:rPr>
          <w:rFonts w:hint="eastAsia" w:ascii="仿宋" w:hAnsi="仿宋" w:eastAsia="仿宋" w:cs="仿宋"/>
          <w:snapToGrid w:val="0"/>
          <w:color w:val="auto"/>
          <w:kern w:val="0"/>
          <w:sz w:val="21"/>
          <w:szCs w:val="21"/>
          <w:highlight w:val="none"/>
          <w:lang w:val="en-US" w:eastAsia="zh-CN" w:bidi="ar"/>
        </w:rPr>
        <w:t>间的会议服务保障工作。</w:t>
      </w:r>
    </w:p>
    <w:p w14:paraId="19ED768F">
      <w:pPr>
        <w:keepNext w:val="0"/>
        <w:keepLines w:val="0"/>
        <w:widowControl w:val="0"/>
        <w:suppressLineNumbers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2.市民中心部分公务楼层办公室、会议室、健身房及接待休息室共10</w:t>
      </w:r>
      <w:r>
        <w:rPr>
          <w:rFonts w:hint="eastAsia" w:ascii="仿宋" w:hAnsi="仿宋" w:eastAsia="仿宋" w:cs="仿宋"/>
          <w:snapToGrid w:val="0"/>
          <w:color w:val="auto"/>
          <w:kern w:val="0"/>
          <w:sz w:val="21"/>
          <w:szCs w:val="21"/>
          <w:highlight w:val="none"/>
          <w:lang w:eastAsia="zh-CN" w:bidi="ar"/>
        </w:rPr>
        <w:t>0</w:t>
      </w:r>
      <w:r>
        <w:rPr>
          <w:rFonts w:hint="eastAsia" w:ascii="仿宋" w:hAnsi="仿宋" w:eastAsia="仿宋" w:cs="仿宋"/>
          <w:snapToGrid w:val="0"/>
          <w:color w:val="auto"/>
          <w:kern w:val="0"/>
          <w:sz w:val="21"/>
          <w:szCs w:val="21"/>
          <w:highlight w:val="none"/>
          <w:lang w:val="en-US" w:eastAsia="zh-CN" w:bidi="ar"/>
        </w:rPr>
        <w:t>间的服务保障工作。（最终数量根据实际需求确定）。</w:t>
      </w:r>
    </w:p>
    <w:p w14:paraId="3DD04E48">
      <w:pPr>
        <w:keepNext w:val="0"/>
        <w:keepLines w:val="0"/>
        <w:widowControl w:val="0"/>
        <w:suppressLineNumbers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3.市委全委会年度会务服务保障工作。</w:t>
      </w:r>
    </w:p>
    <w:p w14:paraId="57A2CCBB">
      <w:pPr>
        <w:keepNext w:val="0"/>
        <w:keepLines w:val="0"/>
        <w:widowControl w:val="0"/>
        <w:suppressLineNumbers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4.</w:t>
      </w:r>
      <w:r>
        <w:rPr>
          <w:rFonts w:hint="eastAsia" w:ascii="仿宋" w:hAnsi="仿宋" w:eastAsia="仿宋" w:cs="仿宋"/>
          <w:color w:val="auto"/>
          <w:sz w:val="21"/>
          <w:szCs w:val="21"/>
          <w:highlight w:val="none"/>
        </w:rPr>
        <w:t>市民中心区域内的</w:t>
      </w:r>
      <w:r>
        <w:rPr>
          <w:rFonts w:hint="eastAsia" w:ascii="仿宋" w:hAnsi="仿宋" w:eastAsia="仿宋" w:cs="仿宋"/>
          <w:color w:val="auto"/>
          <w:sz w:val="21"/>
          <w:szCs w:val="21"/>
          <w:highlight w:val="none"/>
          <w:lang w:val="en-US" w:eastAsia="zh-CN"/>
        </w:rPr>
        <w:t>重大</w:t>
      </w:r>
      <w:r>
        <w:rPr>
          <w:rFonts w:hint="eastAsia" w:ascii="仿宋" w:hAnsi="仿宋" w:eastAsia="仿宋" w:cs="仿宋"/>
          <w:color w:val="auto"/>
          <w:sz w:val="21"/>
          <w:szCs w:val="21"/>
          <w:highlight w:val="none"/>
        </w:rPr>
        <w:t>应急保障服务</w:t>
      </w:r>
      <w:r>
        <w:rPr>
          <w:rFonts w:hint="eastAsia" w:ascii="仿宋" w:hAnsi="仿宋" w:eastAsia="仿宋" w:cs="仿宋"/>
          <w:color w:val="auto"/>
          <w:sz w:val="21"/>
          <w:szCs w:val="21"/>
          <w:highlight w:val="none"/>
          <w:lang w:val="en-US" w:eastAsia="zh-CN"/>
        </w:rPr>
        <w:t>以及</w:t>
      </w:r>
      <w:r>
        <w:rPr>
          <w:rFonts w:hint="eastAsia" w:ascii="仿宋" w:hAnsi="仿宋" w:eastAsia="仿宋" w:cs="仿宋"/>
          <w:snapToGrid w:val="0"/>
          <w:color w:val="auto"/>
          <w:kern w:val="0"/>
          <w:sz w:val="21"/>
          <w:szCs w:val="21"/>
          <w:highlight w:val="none"/>
          <w:lang w:val="en-US" w:eastAsia="zh-CN" w:bidi="ar"/>
        </w:rPr>
        <w:t>其他临时性服务保障工作。</w:t>
      </w:r>
    </w:p>
    <w:p w14:paraId="0DD9D310">
      <w:pPr>
        <w:keepNext w:val="0"/>
        <w:keepLines w:val="0"/>
        <w:widowControl w:val="0"/>
        <w:numPr>
          <w:ilvl w:val="0"/>
          <w:numId w:val="1"/>
        </w:numPr>
        <w:suppressLineNumbers w:val="0"/>
        <w:adjustRightInd w:val="0"/>
        <w:snapToGrid w:val="0"/>
        <w:spacing w:before="0" w:beforeAutospacing="0" w:after="0" w:afterAutospacing="0" w:line="360" w:lineRule="auto"/>
        <w:ind w:left="0" w:right="0" w:firstLine="0"/>
        <w:jc w:val="both"/>
        <w:rPr>
          <w:rFonts w:hint="eastAsia" w:ascii="仿宋" w:hAnsi="仿宋" w:eastAsia="仿宋" w:cs="仿宋"/>
          <w:b/>
          <w:bCs/>
          <w:color w:val="auto"/>
          <w:kern w:val="0"/>
          <w:sz w:val="21"/>
          <w:szCs w:val="21"/>
          <w:highlight w:val="none"/>
          <w:lang w:val="en-US"/>
        </w:rPr>
      </w:pPr>
      <w:r>
        <w:rPr>
          <w:rFonts w:hint="eastAsia" w:ascii="仿宋" w:hAnsi="仿宋" w:eastAsia="仿宋" w:cs="仿宋"/>
          <w:b/>
          <w:bCs/>
          <w:snapToGrid w:val="0"/>
          <w:color w:val="auto"/>
          <w:kern w:val="0"/>
          <w:sz w:val="21"/>
          <w:szCs w:val="21"/>
          <w:highlight w:val="none"/>
          <w:lang w:val="en-US" w:eastAsia="zh-CN" w:bidi="ar"/>
        </w:rPr>
        <w:t>会议中心服务人员要求</w:t>
      </w:r>
    </w:p>
    <w:p w14:paraId="6D27505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36" w:lineRule="auto"/>
        <w:ind w:right="0" w:rightChars="0" w:firstLine="420" w:firstLineChars="200"/>
        <w:jc w:val="left"/>
        <w:textAlignment w:val="auto"/>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1.按服务要求合理配置项目经理、主管、领班、专业音控员、服务员、保洁员等服务队伍，且管理人员须具备相关职业资历，技术人员具备相关职业资格证书。</w:t>
      </w:r>
    </w:p>
    <w:p w14:paraId="3E95E4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firstLine="420" w:firstLineChars="200"/>
        <w:jc w:val="both"/>
        <w:textAlignment w:val="auto"/>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2"/>
          <w:sz w:val="21"/>
          <w:szCs w:val="21"/>
          <w:highlight w:val="none"/>
          <w:shd w:val="clear" w:color="auto" w:fill="FFFFFF"/>
          <w:lang w:val="en-US" w:eastAsia="zh-CN" w:bidi="ar"/>
        </w:rPr>
        <w:t>根据日常服务保障要求及年工作量、岗位要求，工作日到岗人数不得低于岗位要求的85%。当所有会场同时启用或遇有重大会议同时召开时，保障人员不设上限，超岗位数人员要求时，供应商需及时调整到位，确保各会场及各重要会议保障有序开展。</w:t>
      </w:r>
    </w:p>
    <w:p w14:paraId="53E2DA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firstLine="420" w:firstLineChars="200"/>
        <w:jc w:val="both"/>
        <w:textAlignment w:val="auto"/>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3．服务岗位数不少于</w:t>
      </w:r>
      <w:r>
        <w:rPr>
          <w:rFonts w:hint="eastAsia" w:ascii="仿宋" w:hAnsi="仿宋" w:eastAsia="仿宋" w:cs="仿宋"/>
          <w:color w:val="auto"/>
          <w:kern w:val="0"/>
          <w:sz w:val="21"/>
          <w:szCs w:val="21"/>
          <w:highlight w:val="none"/>
          <w:u w:val="single"/>
          <w:lang w:val="en-US" w:eastAsia="zh-CN" w:bidi="ar"/>
        </w:rPr>
        <w:t xml:space="preserve">  </w:t>
      </w:r>
      <w:r>
        <w:rPr>
          <w:rFonts w:hint="eastAsia" w:ascii="仿宋" w:hAnsi="仿宋" w:eastAsia="仿宋" w:cs="仿宋"/>
          <w:color w:val="auto"/>
          <w:kern w:val="0"/>
          <w:sz w:val="21"/>
          <w:szCs w:val="21"/>
          <w:highlight w:val="none"/>
          <w:u w:val="single"/>
          <w:lang w:eastAsia="zh-CN" w:bidi="ar"/>
        </w:rPr>
        <w:t>115</w:t>
      </w:r>
      <w:r>
        <w:rPr>
          <w:rFonts w:hint="eastAsia" w:ascii="仿宋" w:hAnsi="仿宋" w:eastAsia="仿宋" w:cs="仿宋"/>
          <w:color w:val="auto"/>
          <w:kern w:val="0"/>
          <w:sz w:val="21"/>
          <w:szCs w:val="21"/>
          <w:highlight w:val="none"/>
          <w:u w:val="single"/>
          <w:lang w:val="en-US" w:eastAsia="zh-CN" w:bidi="ar"/>
        </w:rPr>
        <w:t xml:space="preserve">  </w:t>
      </w:r>
      <w:r>
        <w:rPr>
          <w:rFonts w:hint="eastAsia" w:ascii="仿宋" w:hAnsi="仿宋" w:eastAsia="仿宋" w:cs="仿宋"/>
          <w:color w:val="auto"/>
          <w:kern w:val="0"/>
          <w:sz w:val="21"/>
          <w:szCs w:val="21"/>
          <w:highlight w:val="none"/>
          <w:lang w:val="en-US" w:eastAsia="zh-CN" w:bidi="ar"/>
        </w:rPr>
        <w:t>个</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871"/>
        <w:gridCol w:w="1140"/>
        <w:gridCol w:w="5104"/>
      </w:tblGrid>
      <w:tr w14:paraId="1814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119B89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序号</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6F00ECC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人员岗位</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86E2B5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数量</w:t>
            </w:r>
          </w:p>
        </w:tc>
        <w:tc>
          <w:tcPr>
            <w:tcW w:w="5104" w:type="dxa"/>
            <w:tcBorders>
              <w:top w:val="single" w:color="auto" w:sz="4" w:space="0"/>
              <w:left w:val="single" w:color="auto" w:sz="4" w:space="0"/>
              <w:bottom w:val="single" w:color="auto" w:sz="4" w:space="0"/>
              <w:right w:val="single" w:color="auto" w:sz="4" w:space="0"/>
            </w:tcBorders>
            <w:noWrap w:val="0"/>
            <w:vAlign w:val="center"/>
          </w:tcPr>
          <w:p w14:paraId="4CA2FDB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备注</w:t>
            </w:r>
          </w:p>
        </w:tc>
      </w:tr>
      <w:tr w14:paraId="020C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2F0DF2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1</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430D526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项目负责人</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E65D4A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1</w:t>
            </w:r>
          </w:p>
        </w:tc>
        <w:tc>
          <w:tcPr>
            <w:tcW w:w="5104" w:type="dxa"/>
            <w:tcBorders>
              <w:top w:val="single" w:color="auto" w:sz="4" w:space="0"/>
              <w:left w:val="single" w:color="auto" w:sz="4" w:space="0"/>
              <w:bottom w:val="single" w:color="auto" w:sz="4" w:space="0"/>
              <w:right w:val="single" w:color="auto" w:sz="4" w:space="0"/>
            </w:tcBorders>
            <w:noWrap w:val="0"/>
            <w:vAlign w:val="center"/>
          </w:tcPr>
          <w:p w14:paraId="76DE386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p>
        </w:tc>
      </w:tr>
      <w:tr w14:paraId="65BF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A8FFFC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2</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6754F84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管理人员</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2C281D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3</w:t>
            </w:r>
          </w:p>
        </w:tc>
        <w:tc>
          <w:tcPr>
            <w:tcW w:w="5104" w:type="dxa"/>
            <w:tcBorders>
              <w:top w:val="single" w:color="auto" w:sz="4" w:space="0"/>
              <w:left w:val="single" w:color="auto" w:sz="4" w:space="0"/>
              <w:bottom w:val="single" w:color="auto" w:sz="4" w:space="0"/>
              <w:right w:val="single" w:color="auto" w:sz="4" w:space="0"/>
            </w:tcBorders>
            <w:noWrap w:val="0"/>
            <w:vAlign w:val="center"/>
          </w:tcPr>
          <w:p w14:paraId="18BB616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p>
        </w:tc>
      </w:tr>
      <w:tr w14:paraId="2DF7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E9178F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3</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0056A34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服务总台接待员</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10F053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4</w:t>
            </w:r>
          </w:p>
        </w:tc>
        <w:tc>
          <w:tcPr>
            <w:tcW w:w="5104" w:type="dxa"/>
            <w:tcBorders>
              <w:top w:val="single" w:color="auto" w:sz="4" w:space="0"/>
              <w:left w:val="single" w:color="auto" w:sz="4" w:space="0"/>
              <w:bottom w:val="single" w:color="auto" w:sz="4" w:space="0"/>
              <w:right w:val="single" w:color="auto" w:sz="4" w:space="0"/>
            </w:tcBorders>
            <w:noWrap w:val="0"/>
            <w:vAlign w:val="center"/>
          </w:tcPr>
          <w:p w14:paraId="3A027F7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领班1人</w:t>
            </w:r>
          </w:p>
        </w:tc>
      </w:tr>
      <w:tr w14:paraId="74EB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838440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4</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18A1D26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会议服务员</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2D7876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eastAsia="zh-CN" w:bidi="ar"/>
              </w:rPr>
              <w:t>43</w:t>
            </w:r>
          </w:p>
        </w:tc>
        <w:tc>
          <w:tcPr>
            <w:tcW w:w="5104" w:type="dxa"/>
            <w:tcBorders>
              <w:top w:val="single" w:color="auto" w:sz="4" w:space="0"/>
              <w:left w:val="single" w:color="auto" w:sz="4" w:space="0"/>
              <w:bottom w:val="single" w:color="auto" w:sz="4" w:space="0"/>
              <w:right w:val="single" w:color="auto" w:sz="4" w:space="0"/>
            </w:tcBorders>
            <w:noWrap w:val="0"/>
            <w:vAlign w:val="center"/>
          </w:tcPr>
          <w:p w14:paraId="4B292DA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主管2人、领班4人</w:t>
            </w:r>
          </w:p>
        </w:tc>
      </w:tr>
      <w:tr w14:paraId="3FD4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4574FD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5</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416C12C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楼层服务员</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7D400C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eastAsia="zh-CN" w:bidi="ar"/>
              </w:rPr>
              <w:t>30</w:t>
            </w:r>
          </w:p>
        </w:tc>
        <w:tc>
          <w:tcPr>
            <w:tcW w:w="5104" w:type="dxa"/>
            <w:tcBorders>
              <w:top w:val="single" w:color="auto" w:sz="4" w:space="0"/>
              <w:left w:val="single" w:color="auto" w:sz="4" w:space="0"/>
              <w:bottom w:val="single" w:color="auto" w:sz="4" w:space="0"/>
              <w:right w:val="single" w:color="auto" w:sz="4" w:space="0"/>
            </w:tcBorders>
            <w:noWrap w:val="0"/>
            <w:vAlign w:val="center"/>
          </w:tcPr>
          <w:p w14:paraId="2EF784A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主管</w:t>
            </w:r>
            <w:r>
              <w:rPr>
                <w:rFonts w:hint="eastAsia" w:ascii="仿宋" w:hAnsi="仿宋" w:eastAsia="仿宋" w:cs="仿宋"/>
                <w:color w:val="auto"/>
                <w:kern w:val="2"/>
                <w:sz w:val="21"/>
                <w:szCs w:val="21"/>
                <w:highlight w:val="none"/>
                <w:shd w:val="clear" w:color="auto" w:fill="FFFFFF"/>
                <w:lang w:eastAsia="zh-CN" w:bidi="ar"/>
              </w:rPr>
              <w:t>2</w:t>
            </w:r>
            <w:r>
              <w:rPr>
                <w:rFonts w:hint="eastAsia" w:ascii="仿宋" w:hAnsi="仿宋" w:eastAsia="仿宋" w:cs="仿宋"/>
                <w:color w:val="auto"/>
                <w:kern w:val="2"/>
                <w:sz w:val="21"/>
                <w:szCs w:val="21"/>
                <w:highlight w:val="none"/>
                <w:shd w:val="clear" w:color="auto" w:fill="FFFFFF"/>
                <w:lang w:val="en-US" w:eastAsia="zh-CN" w:bidi="ar"/>
              </w:rPr>
              <w:t>人、领班4人</w:t>
            </w:r>
          </w:p>
        </w:tc>
      </w:tr>
      <w:tr w14:paraId="209A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E37893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6</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0BC223D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音控员</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2937E3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eastAsia="zh-CN" w:bidi="ar"/>
              </w:rPr>
              <w:t>18</w:t>
            </w:r>
          </w:p>
        </w:tc>
        <w:tc>
          <w:tcPr>
            <w:tcW w:w="5104" w:type="dxa"/>
            <w:tcBorders>
              <w:top w:val="single" w:color="auto" w:sz="4" w:space="0"/>
              <w:left w:val="single" w:color="auto" w:sz="4" w:space="0"/>
              <w:bottom w:val="single" w:color="auto" w:sz="4" w:space="0"/>
              <w:right w:val="single" w:color="auto" w:sz="4" w:space="0"/>
            </w:tcBorders>
            <w:noWrap w:val="0"/>
            <w:vAlign w:val="center"/>
          </w:tcPr>
          <w:p w14:paraId="20BEA46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主管2人、领班2人</w:t>
            </w:r>
          </w:p>
        </w:tc>
      </w:tr>
      <w:tr w14:paraId="613C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F5148B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7</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397B4E2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保洁员</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4A1BAB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16</w:t>
            </w:r>
          </w:p>
        </w:tc>
        <w:tc>
          <w:tcPr>
            <w:tcW w:w="5104" w:type="dxa"/>
            <w:tcBorders>
              <w:top w:val="single" w:color="auto" w:sz="4" w:space="0"/>
              <w:left w:val="single" w:color="auto" w:sz="4" w:space="0"/>
              <w:bottom w:val="single" w:color="auto" w:sz="4" w:space="0"/>
              <w:right w:val="single" w:color="auto" w:sz="4" w:space="0"/>
            </w:tcBorders>
            <w:noWrap w:val="0"/>
            <w:vAlign w:val="center"/>
          </w:tcPr>
          <w:p w14:paraId="5E1D25A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领班1人（含洗杯员）</w:t>
            </w:r>
          </w:p>
        </w:tc>
      </w:tr>
      <w:tr w14:paraId="7536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703" w:type="dxa"/>
            <w:gridSpan w:val="2"/>
            <w:tcBorders>
              <w:top w:val="single" w:color="auto" w:sz="4" w:space="0"/>
              <w:left w:val="single" w:color="auto" w:sz="4" w:space="0"/>
              <w:bottom w:val="single" w:color="auto" w:sz="4" w:space="0"/>
              <w:right w:val="single" w:color="auto" w:sz="4" w:space="0"/>
            </w:tcBorders>
            <w:noWrap w:val="0"/>
            <w:vAlign w:val="center"/>
          </w:tcPr>
          <w:p w14:paraId="71C185E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合计</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B69FFE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eastAsia="zh-CN" w:bidi="ar"/>
              </w:rPr>
              <w:t>115</w:t>
            </w:r>
          </w:p>
        </w:tc>
        <w:tc>
          <w:tcPr>
            <w:tcW w:w="5104" w:type="dxa"/>
            <w:tcBorders>
              <w:top w:val="single" w:color="auto" w:sz="4" w:space="0"/>
              <w:left w:val="single" w:color="auto" w:sz="4" w:space="0"/>
              <w:bottom w:val="single" w:color="auto" w:sz="4" w:space="0"/>
              <w:right w:val="single" w:color="auto" w:sz="4" w:space="0"/>
            </w:tcBorders>
            <w:noWrap w:val="0"/>
            <w:vAlign w:val="center"/>
          </w:tcPr>
          <w:p w14:paraId="6ED3A72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上述岗位数仅供参考，供应商可根据项目需求提供更多更好的人员服务保证，工作日实际到岗人数不得低于合同约定人数的85%。</w:t>
            </w:r>
          </w:p>
        </w:tc>
      </w:tr>
    </w:tbl>
    <w:p w14:paraId="52F41E2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36" w:lineRule="auto"/>
        <w:ind w:left="0" w:right="0" w:firstLine="422" w:firstLineChars="200"/>
        <w:jc w:val="both"/>
        <w:rPr>
          <w:rFonts w:hint="eastAsia" w:ascii="仿宋" w:hAnsi="仿宋" w:eastAsia="仿宋" w:cs="仿宋"/>
          <w:b/>
          <w:bCs/>
          <w:color w:val="auto"/>
          <w:kern w:val="0"/>
          <w:sz w:val="21"/>
          <w:szCs w:val="21"/>
          <w:highlight w:val="none"/>
          <w:lang w:val="en-US"/>
        </w:rPr>
      </w:pPr>
      <w:r>
        <w:rPr>
          <w:rFonts w:hint="eastAsia" w:ascii="仿宋" w:hAnsi="仿宋" w:eastAsia="仿宋" w:cs="仿宋"/>
          <w:b/>
          <w:bCs/>
          <w:color w:val="auto"/>
          <w:kern w:val="0"/>
          <w:sz w:val="21"/>
          <w:szCs w:val="21"/>
          <w:highlight w:val="none"/>
          <w:lang w:val="en-US" w:eastAsia="zh-CN" w:bidi="ar"/>
        </w:rPr>
        <w:t>（注：具体人员配备等内容，将按实际情况进行调整，供应商必须予以配合。）</w:t>
      </w:r>
    </w:p>
    <w:p w14:paraId="301C53E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 xml:space="preserve">  </w:t>
      </w:r>
      <w:r>
        <w:rPr>
          <w:rFonts w:hint="eastAsia" w:ascii="仿宋" w:hAnsi="仿宋" w:eastAsia="仿宋" w:cs="仿宋"/>
          <w:snapToGrid w:val="0"/>
          <w:color w:val="auto"/>
          <w:kern w:val="0"/>
          <w:sz w:val="21"/>
          <w:szCs w:val="21"/>
          <w:highlight w:val="none"/>
          <w:lang w:val="en-US" w:eastAsia="zh-CN" w:bidi="ar"/>
        </w:rPr>
        <w:t>4.</w:t>
      </w:r>
      <w:r>
        <w:rPr>
          <w:rFonts w:hint="eastAsia" w:ascii="仿宋" w:hAnsi="仿宋" w:eastAsia="仿宋" w:cs="仿宋"/>
          <w:b/>
          <w:bCs/>
          <w:snapToGrid w:val="0"/>
          <w:color w:val="auto"/>
          <w:kern w:val="0"/>
          <w:sz w:val="21"/>
          <w:szCs w:val="21"/>
          <w:highlight w:val="none"/>
          <w:lang w:val="en-US" w:eastAsia="zh-CN" w:bidi="ar"/>
        </w:rPr>
        <w:t>所有人员的驻场工作地点必须服从采购人的分配并满足项目的整体服务要求，由供应商在投标文件中承诺（其中三人安排至会议中心以外的指定岗位）。</w:t>
      </w:r>
    </w:p>
    <w:p w14:paraId="5181295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2" w:firstLineChars="200"/>
        <w:jc w:val="both"/>
        <w:rPr>
          <w:rFonts w:hint="eastAsia" w:ascii="仿宋" w:hAnsi="仿宋" w:eastAsia="仿宋" w:cs="仿宋"/>
          <w:b/>
          <w:bCs/>
          <w:color w:val="auto"/>
          <w:kern w:val="0"/>
          <w:sz w:val="21"/>
          <w:szCs w:val="21"/>
          <w:highlight w:val="none"/>
          <w:lang w:val="en-US"/>
        </w:rPr>
      </w:pPr>
      <w:r>
        <w:rPr>
          <w:rFonts w:hint="eastAsia" w:ascii="仿宋" w:hAnsi="仿宋" w:eastAsia="仿宋" w:cs="仿宋"/>
          <w:b/>
          <w:bCs/>
          <w:snapToGrid w:val="0"/>
          <w:color w:val="auto"/>
          <w:kern w:val="0"/>
          <w:sz w:val="21"/>
          <w:szCs w:val="21"/>
          <w:highlight w:val="none"/>
          <w:lang w:val="en-US" w:eastAsia="zh-CN" w:bidi="ar"/>
        </w:rPr>
        <w:t>5. 供应商须在投标文件中出具“如会议服务有特殊任务，供应商务必配备相应数量及专业的服务人员以满足会议服务的正常需要”的承诺书。</w:t>
      </w:r>
    </w:p>
    <w:p w14:paraId="37E9E70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2" w:firstLineChars="200"/>
        <w:jc w:val="both"/>
        <w:rPr>
          <w:rFonts w:hint="eastAsia" w:ascii="仿宋" w:hAnsi="仿宋" w:eastAsia="仿宋" w:cs="仿宋"/>
          <w:b/>
          <w:bCs/>
          <w:color w:val="auto"/>
          <w:kern w:val="0"/>
          <w:sz w:val="21"/>
          <w:szCs w:val="21"/>
          <w:highlight w:val="none"/>
          <w:lang w:val="en-US"/>
        </w:rPr>
      </w:pPr>
      <w:r>
        <w:rPr>
          <w:rFonts w:hint="eastAsia" w:ascii="仿宋" w:hAnsi="仿宋" w:eastAsia="仿宋" w:cs="仿宋"/>
          <w:b/>
          <w:bCs/>
          <w:snapToGrid w:val="0"/>
          <w:color w:val="auto"/>
          <w:kern w:val="0"/>
          <w:sz w:val="21"/>
          <w:szCs w:val="21"/>
          <w:highlight w:val="none"/>
          <w:lang w:val="en-US" w:eastAsia="zh-CN" w:bidi="ar"/>
        </w:rPr>
        <w:t>6. 供应商须在投标文件中出具“会议服务保密承诺书”。</w:t>
      </w:r>
    </w:p>
    <w:p w14:paraId="7004898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7．所有人员的驻场工作地点必须服从采购人的分配，并满足项目的整体服务要求，由供应商在文件中承诺。</w:t>
      </w:r>
    </w:p>
    <w:p w14:paraId="5418625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8.人员培训：为保证服务质量的延续性，服务团队的稳定性，供应商对人员应有切实、充分的培训提升服务，以保证服务质量。比如建立日常的培训制度及礼仪培训、专业技能培训等。</w:t>
      </w:r>
    </w:p>
    <w:p w14:paraId="7C0FED1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9．筹备方案要求</w:t>
      </w:r>
    </w:p>
    <w:p w14:paraId="4A19953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1）</w:t>
      </w:r>
      <w:r>
        <w:rPr>
          <w:rFonts w:hint="eastAsia" w:ascii="仿宋" w:hAnsi="仿宋" w:eastAsia="仿宋" w:cs="仿宋"/>
          <w:b/>
          <w:bCs/>
          <w:snapToGrid w:val="0"/>
          <w:color w:val="auto"/>
          <w:kern w:val="0"/>
          <w:sz w:val="21"/>
          <w:szCs w:val="21"/>
          <w:highlight w:val="none"/>
          <w:lang w:val="en-US" w:eastAsia="zh-CN" w:bidi="ar"/>
        </w:rPr>
        <w:t>供应商须在投标文件中出具“如中标，主要管理人员及技术人员在中标通知书发出后</w:t>
      </w:r>
      <w:r>
        <w:rPr>
          <w:rFonts w:hint="eastAsia" w:ascii="仿宋" w:hAnsi="仿宋" w:eastAsia="仿宋" w:cs="仿宋"/>
          <w:b/>
          <w:bCs/>
          <w:color w:val="auto"/>
          <w:kern w:val="0"/>
          <w:sz w:val="21"/>
          <w:szCs w:val="21"/>
          <w:highlight w:val="none"/>
          <w:lang w:val="en-US" w:eastAsia="zh-CN" w:bidi="ar"/>
        </w:rPr>
        <w:t>5</w:t>
      </w:r>
      <w:r>
        <w:rPr>
          <w:rFonts w:hint="eastAsia" w:ascii="仿宋" w:hAnsi="仿宋" w:eastAsia="仿宋" w:cs="仿宋"/>
          <w:b/>
          <w:bCs/>
          <w:snapToGrid w:val="0"/>
          <w:color w:val="auto"/>
          <w:kern w:val="0"/>
          <w:sz w:val="21"/>
          <w:szCs w:val="21"/>
          <w:highlight w:val="none"/>
          <w:lang w:val="en-US" w:eastAsia="zh-CN" w:bidi="ar"/>
        </w:rPr>
        <w:t>日内入场熟悉场地和先期准备工作，所有人员在</w:t>
      </w:r>
      <w:r>
        <w:rPr>
          <w:rFonts w:hint="eastAsia" w:ascii="仿宋" w:hAnsi="仿宋" w:eastAsia="仿宋" w:cs="仿宋"/>
          <w:b/>
          <w:bCs/>
          <w:color w:val="auto"/>
          <w:kern w:val="0"/>
          <w:sz w:val="21"/>
          <w:szCs w:val="21"/>
          <w:highlight w:val="none"/>
          <w:lang w:val="en-US" w:eastAsia="zh-CN" w:bidi="ar"/>
        </w:rPr>
        <w:t>15</w:t>
      </w:r>
      <w:r>
        <w:rPr>
          <w:rFonts w:hint="eastAsia" w:ascii="仿宋" w:hAnsi="仿宋" w:eastAsia="仿宋" w:cs="仿宋"/>
          <w:b/>
          <w:bCs/>
          <w:snapToGrid w:val="0"/>
          <w:color w:val="auto"/>
          <w:kern w:val="0"/>
          <w:sz w:val="21"/>
          <w:szCs w:val="21"/>
          <w:highlight w:val="none"/>
          <w:lang w:val="en-US" w:eastAsia="zh-CN" w:bidi="ar"/>
        </w:rPr>
        <w:t>日内入场并办理完成交接手续，期间将保证会议中心、公务楼层正常运行”的承诺</w:t>
      </w:r>
      <w:r>
        <w:rPr>
          <w:rFonts w:hint="eastAsia" w:ascii="仿宋" w:hAnsi="仿宋" w:eastAsia="仿宋" w:cs="仿宋"/>
          <w:snapToGrid w:val="0"/>
          <w:color w:val="auto"/>
          <w:kern w:val="0"/>
          <w:sz w:val="21"/>
          <w:szCs w:val="21"/>
          <w:highlight w:val="none"/>
          <w:lang w:val="en-US" w:eastAsia="zh-CN" w:bidi="ar"/>
        </w:rPr>
        <w:t>。</w:t>
      </w:r>
    </w:p>
    <w:p w14:paraId="7F602189">
      <w:pPr>
        <w:pStyle w:val="58"/>
        <w:keepNext w:val="0"/>
        <w:keepLines w:val="0"/>
        <w:pageBreakBefore w:val="0"/>
        <w:widowControl w:val="0"/>
        <w:suppressLineNumbers w:val="0"/>
        <w:kinsoku/>
        <w:wordWrap/>
        <w:overflowPunct/>
        <w:topLinePunct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2）考虑项目时间的急迫条件，供应商需对筹备准备工作有充分的认识准备，对按时交接运营的可行性等进行充分评估，并对筹备过程提供应有的支持保障。</w:t>
      </w:r>
    </w:p>
    <w:p w14:paraId="74BA750D">
      <w:pPr>
        <w:pStyle w:val="58"/>
        <w:keepNext w:val="0"/>
        <w:keepLines w:val="0"/>
        <w:pageBreakBefore w:val="0"/>
        <w:widowControl w:val="0"/>
        <w:suppressLineNumbers w:val="0"/>
        <w:kinsoku/>
        <w:wordWrap/>
        <w:overflowPunct/>
        <w:topLinePunct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3）筹备过程中供应商需准备好进场的的设施、材料、服装，以及所有人员进场前报审等具体的对接方案。</w:t>
      </w:r>
    </w:p>
    <w:p w14:paraId="23BEDC04">
      <w:pPr>
        <w:pStyle w:val="58"/>
        <w:keepNext w:val="0"/>
        <w:keepLines w:val="0"/>
        <w:pageBreakBefore w:val="0"/>
        <w:widowControl w:val="0"/>
        <w:suppressLineNumbers w:val="0"/>
        <w:kinsoku/>
        <w:wordWrap/>
        <w:overflowPunct/>
        <w:topLinePunct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4）如在承诺的时限内，未能及时安排人员到岗影响会议保障的，供应商应提出具体、明确的违约责任承诺条款，且能充分保障项目顺利履行。</w:t>
      </w:r>
    </w:p>
    <w:p w14:paraId="092E02F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b/>
          <w:bCs/>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b/>
          <w:bCs/>
          <w:snapToGrid w:val="0"/>
          <w:color w:val="auto"/>
          <w:kern w:val="0"/>
          <w:sz w:val="21"/>
          <w:szCs w:val="21"/>
          <w:highlight w:val="none"/>
          <w:lang w:val="en-US" w:eastAsia="zh-CN" w:bidi="ar"/>
        </w:rPr>
        <w:t>10.服务人员工资不得低于杭州市最低工资标准和社会保障费用之和（杭州市人民政府关于调整市区最低工资标准的通知 杭政函〔</w:t>
      </w:r>
      <w:r>
        <w:rPr>
          <w:rFonts w:hint="eastAsia" w:ascii="仿宋" w:hAnsi="仿宋" w:eastAsia="仿宋" w:cs="仿宋"/>
          <w:b/>
          <w:bCs/>
          <w:color w:val="auto"/>
          <w:kern w:val="0"/>
          <w:sz w:val="21"/>
          <w:szCs w:val="21"/>
          <w:highlight w:val="none"/>
          <w:lang w:val="en-US" w:eastAsia="zh-CN" w:bidi="ar"/>
        </w:rPr>
        <w:t>2021</w:t>
      </w:r>
      <w:r>
        <w:rPr>
          <w:rFonts w:hint="eastAsia" w:ascii="仿宋" w:hAnsi="仿宋" w:eastAsia="仿宋" w:cs="仿宋"/>
          <w:b/>
          <w:bCs/>
          <w:snapToGrid w:val="0"/>
          <w:color w:val="auto"/>
          <w:kern w:val="0"/>
          <w:sz w:val="21"/>
          <w:szCs w:val="21"/>
          <w:highlight w:val="none"/>
          <w:lang w:val="en-US" w:eastAsia="zh-CN" w:bidi="ar"/>
        </w:rPr>
        <w:t>〕</w:t>
      </w:r>
      <w:r>
        <w:rPr>
          <w:rFonts w:hint="eastAsia" w:ascii="仿宋" w:hAnsi="仿宋" w:eastAsia="仿宋" w:cs="仿宋"/>
          <w:b/>
          <w:bCs/>
          <w:color w:val="auto"/>
          <w:kern w:val="0"/>
          <w:sz w:val="21"/>
          <w:szCs w:val="21"/>
          <w:highlight w:val="none"/>
          <w:lang w:val="en-US" w:eastAsia="zh-CN" w:bidi="ar"/>
        </w:rPr>
        <w:t>69</w:t>
      </w:r>
      <w:r>
        <w:rPr>
          <w:rFonts w:hint="eastAsia" w:ascii="仿宋" w:hAnsi="仿宋" w:eastAsia="仿宋" w:cs="仿宋"/>
          <w:b/>
          <w:bCs/>
          <w:snapToGrid w:val="0"/>
          <w:color w:val="auto"/>
          <w:kern w:val="0"/>
          <w:sz w:val="21"/>
          <w:szCs w:val="21"/>
          <w:highlight w:val="none"/>
          <w:lang w:val="en-US" w:eastAsia="zh-CN" w:bidi="ar"/>
        </w:rPr>
        <w:t>号）。</w:t>
      </w:r>
    </w:p>
    <w:p w14:paraId="65224DD4">
      <w:pPr>
        <w:pStyle w:val="58"/>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rPr>
          <w:rFonts w:hint="eastAsia" w:ascii="仿宋" w:hAnsi="仿宋" w:eastAsia="仿宋" w:cs="仿宋"/>
          <w:b/>
          <w:bCs w:val="0"/>
          <w:color w:val="auto"/>
          <w:sz w:val="21"/>
          <w:szCs w:val="21"/>
          <w:highlight w:val="none"/>
          <w:lang w:val="en-US"/>
        </w:rPr>
      </w:pPr>
      <w:r>
        <w:rPr>
          <w:rFonts w:hint="eastAsia" w:ascii="仿宋" w:hAnsi="仿宋" w:eastAsia="仿宋" w:cs="仿宋"/>
          <w:b/>
          <w:bCs w:val="0"/>
          <w:color w:val="auto"/>
          <w:kern w:val="0"/>
          <w:sz w:val="21"/>
          <w:szCs w:val="21"/>
          <w:highlight w:val="none"/>
          <w:lang w:val="en-US" w:eastAsia="zh-CN" w:bidi="ar"/>
        </w:rPr>
        <w:t>（一）对会议服务供应商的基本要求</w:t>
      </w:r>
    </w:p>
    <w:p w14:paraId="1154388C">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bCs/>
          <w:color w:val="auto"/>
          <w:sz w:val="21"/>
          <w:szCs w:val="21"/>
          <w:highlight w:val="none"/>
          <w:lang w:val="en-US"/>
        </w:rPr>
      </w:pPr>
      <w:r>
        <w:rPr>
          <w:rFonts w:hint="eastAsia" w:ascii="仿宋" w:hAnsi="仿宋" w:eastAsia="仿宋" w:cs="仿宋"/>
          <w:bCs/>
          <w:color w:val="auto"/>
          <w:kern w:val="0"/>
          <w:sz w:val="21"/>
          <w:szCs w:val="21"/>
          <w:highlight w:val="none"/>
          <w:lang w:val="en-US" w:eastAsia="zh-CN" w:bidi="ar"/>
        </w:rPr>
        <w:t>1.供应商具有完善的会议服务管理制度及对本项目的服务方案，质量管理、财务管理、档案管理等制度健全；有专门的管理机构，办公设施设备较先进完备，应用计算机等现代化管理手段进行科学管理，办公场所整洁有序。</w:t>
      </w:r>
    </w:p>
    <w:p w14:paraId="16FB0778">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bCs/>
          <w:color w:val="auto"/>
          <w:sz w:val="21"/>
          <w:szCs w:val="21"/>
          <w:highlight w:val="none"/>
          <w:lang w:val="en-US"/>
        </w:rPr>
      </w:pPr>
      <w:r>
        <w:rPr>
          <w:rFonts w:hint="eastAsia" w:ascii="仿宋" w:hAnsi="仿宋" w:eastAsia="仿宋" w:cs="仿宋"/>
          <w:bCs/>
          <w:color w:val="auto"/>
          <w:kern w:val="0"/>
          <w:sz w:val="21"/>
          <w:szCs w:val="21"/>
          <w:highlight w:val="none"/>
          <w:lang w:val="en-US" w:eastAsia="zh-CN" w:bidi="ar"/>
        </w:rPr>
        <w:t>2.供应商根据采购人要求派出的全体人员，须遵纪守法、品行端正，确保全体人员无犯罪和不良记录；具有正常履行职责的身体条件；具有符合职位要求的文化程度、从业资格和工作能力，能自觉服从工作安排；且身体健康、五官端正、着装统一、行为规范、举止文明、责任心强。对政审情况和银行征信情况进行严格检查。</w:t>
      </w:r>
    </w:p>
    <w:p w14:paraId="7E24CAF2">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bCs/>
          <w:color w:val="auto"/>
          <w:sz w:val="21"/>
          <w:szCs w:val="21"/>
          <w:highlight w:val="none"/>
          <w:lang w:val="en-US"/>
        </w:rPr>
      </w:pPr>
      <w:r>
        <w:rPr>
          <w:rFonts w:hint="eastAsia" w:ascii="仿宋" w:hAnsi="仿宋" w:eastAsia="仿宋" w:cs="仿宋"/>
          <w:bCs/>
          <w:color w:val="auto"/>
          <w:kern w:val="0"/>
          <w:sz w:val="21"/>
          <w:szCs w:val="21"/>
          <w:highlight w:val="none"/>
          <w:lang w:val="en-US" w:eastAsia="zh-CN" w:bidi="ar"/>
        </w:rPr>
        <w:t>3.供应商负责采购人所指定区域、场所的各项工作。未经采购人同意，供应商所派出的工作人员不能进入涉密场所，不得干涉采购人内部管理和内部行政事务及纠纷。人员进驻后，必须服从采购人的管理，严格遵守采购人有关规章制度并接受采购人监督。</w:t>
      </w:r>
    </w:p>
    <w:p w14:paraId="439B435F">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bCs/>
          <w:color w:val="auto"/>
          <w:sz w:val="21"/>
          <w:szCs w:val="21"/>
          <w:highlight w:val="none"/>
          <w:lang w:val="en-US"/>
        </w:rPr>
      </w:pPr>
      <w:r>
        <w:rPr>
          <w:rFonts w:hint="eastAsia" w:ascii="仿宋" w:hAnsi="仿宋" w:eastAsia="仿宋" w:cs="仿宋"/>
          <w:bCs/>
          <w:color w:val="auto"/>
          <w:kern w:val="0"/>
          <w:sz w:val="21"/>
          <w:szCs w:val="21"/>
          <w:highlight w:val="none"/>
          <w:lang w:val="en-US" w:eastAsia="zh-CN" w:bidi="ar"/>
        </w:rPr>
        <w:t>4.音控人员必须有专业设备的上岗资格证书，技能熟练，严格执行操作规程。</w:t>
      </w:r>
    </w:p>
    <w:p w14:paraId="20382580">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bCs/>
          <w:color w:val="auto"/>
          <w:sz w:val="21"/>
          <w:szCs w:val="21"/>
          <w:highlight w:val="none"/>
          <w:lang w:val="en-US"/>
        </w:rPr>
      </w:pPr>
      <w:r>
        <w:rPr>
          <w:rFonts w:hint="eastAsia" w:ascii="仿宋" w:hAnsi="仿宋" w:eastAsia="仿宋" w:cs="仿宋"/>
          <w:bCs/>
          <w:color w:val="auto"/>
          <w:kern w:val="0"/>
          <w:sz w:val="21"/>
          <w:szCs w:val="21"/>
          <w:highlight w:val="none"/>
          <w:lang w:val="en-US" w:eastAsia="zh-CN" w:bidi="ar"/>
        </w:rPr>
        <w:t>5</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bCs/>
          <w:color w:val="auto"/>
          <w:kern w:val="0"/>
          <w:sz w:val="21"/>
          <w:szCs w:val="21"/>
          <w:highlight w:val="none"/>
          <w:lang w:val="en-US" w:eastAsia="zh-CN" w:bidi="ar"/>
        </w:rPr>
        <w:t>会议服务管理及服务人员上岗前或调动时需报采购人备案；所有工作人员必须签订保密协议并经采购人认可后才方可上岗。</w:t>
      </w:r>
    </w:p>
    <w:p w14:paraId="688F374B">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bCs/>
          <w:color w:val="auto"/>
          <w:sz w:val="21"/>
          <w:szCs w:val="21"/>
          <w:highlight w:val="none"/>
          <w:lang w:val="en-US"/>
        </w:rPr>
      </w:pPr>
      <w:r>
        <w:rPr>
          <w:rFonts w:hint="eastAsia" w:ascii="仿宋" w:hAnsi="仿宋" w:eastAsia="仿宋" w:cs="仿宋"/>
          <w:bCs/>
          <w:color w:val="auto"/>
          <w:kern w:val="0"/>
          <w:sz w:val="21"/>
          <w:szCs w:val="21"/>
          <w:highlight w:val="none"/>
          <w:lang w:val="en-US" w:eastAsia="zh-CN" w:bidi="ar"/>
        </w:rPr>
        <w:t>6</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bCs/>
          <w:color w:val="auto"/>
          <w:kern w:val="0"/>
          <w:sz w:val="21"/>
          <w:szCs w:val="21"/>
          <w:highlight w:val="none"/>
          <w:lang w:val="en-US" w:eastAsia="zh-CN" w:bidi="ar"/>
        </w:rPr>
        <w:t>协助采购人做好厉行节约工作。</w:t>
      </w:r>
    </w:p>
    <w:p w14:paraId="5DD7FD1C">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（二）对工作人员的基本要求</w:t>
      </w:r>
    </w:p>
    <w:p w14:paraId="7AD89622">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bCs/>
          <w:color w:val="auto"/>
          <w:sz w:val="21"/>
          <w:szCs w:val="21"/>
          <w:highlight w:val="none"/>
          <w:lang w:val="en-US"/>
        </w:rPr>
      </w:pPr>
      <w:r>
        <w:rPr>
          <w:rFonts w:hint="eastAsia" w:ascii="仿宋" w:hAnsi="仿宋" w:eastAsia="仿宋" w:cs="仿宋"/>
          <w:bCs/>
          <w:color w:val="auto"/>
          <w:kern w:val="0"/>
          <w:sz w:val="21"/>
          <w:szCs w:val="21"/>
          <w:highlight w:val="none"/>
          <w:lang w:val="en-US" w:eastAsia="zh-CN" w:bidi="ar"/>
        </w:rPr>
        <w:t>1</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bCs/>
          <w:color w:val="auto"/>
          <w:kern w:val="0"/>
          <w:sz w:val="21"/>
          <w:szCs w:val="21"/>
          <w:highlight w:val="none"/>
          <w:lang w:val="en-US" w:eastAsia="zh-CN" w:bidi="ar"/>
        </w:rPr>
        <w:t>项目负责人：有担任类似会议服务管理主管工作岗位5年以上工作经历，知识面广，熟悉会务服务流程，专业技能熟练，有较强的组织领导能力和协调能力。</w:t>
      </w:r>
    </w:p>
    <w:p w14:paraId="5379E6C1">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bCs/>
          <w:color w:val="auto"/>
          <w:sz w:val="21"/>
          <w:szCs w:val="21"/>
          <w:highlight w:val="none"/>
          <w:lang w:val="en-US"/>
        </w:rPr>
      </w:pPr>
      <w:r>
        <w:rPr>
          <w:rFonts w:hint="eastAsia" w:ascii="仿宋" w:hAnsi="仿宋" w:eastAsia="仿宋" w:cs="仿宋"/>
          <w:bCs/>
          <w:color w:val="auto"/>
          <w:kern w:val="0"/>
          <w:sz w:val="21"/>
          <w:szCs w:val="21"/>
          <w:highlight w:val="none"/>
          <w:lang w:val="en-US" w:eastAsia="zh-CN" w:bidi="ar"/>
        </w:rPr>
        <w:t>2</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bCs/>
          <w:color w:val="auto"/>
          <w:kern w:val="0"/>
          <w:sz w:val="21"/>
          <w:szCs w:val="21"/>
          <w:highlight w:val="none"/>
          <w:lang w:val="en-US" w:eastAsia="zh-CN" w:bidi="ar"/>
        </w:rPr>
        <w:t>管理人员：有3年以上相关工作经验，专业对口，年龄45周岁以下，有一定的组织管理能力和协调能力。</w:t>
      </w:r>
    </w:p>
    <w:p w14:paraId="43279753">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bCs/>
          <w:color w:val="auto"/>
          <w:sz w:val="21"/>
          <w:szCs w:val="21"/>
          <w:highlight w:val="none"/>
          <w:lang w:val="en-US"/>
        </w:rPr>
      </w:pPr>
      <w:r>
        <w:rPr>
          <w:rFonts w:hint="eastAsia" w:ascii="仿宋" w:hAnsi="仿宋" w:eastAsia="仿宋" w:cs="仿宋"/>
          <w:bCs/>
          <w:color w:val="auto"/>
          <w:kern w:val="0"/>
          <w:sz w:val="21"/>
          <w:szCs w:val="21"/>
          <w:highlight w:val="none"/>
          <w:lang w:val="en-US" w:eastAsia="zh-CN" w:bidi="ar"/>
        </w:rPr>
        <w:t>3</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bCs/>
          <w:color w:val="auto"/>
          <w:kern w:val="0"/>
          <w:sz w:val="21"/>
          <w:szCs w:val="21"/>
          <w:highlight w:val="none"/>
          <w:lang w:val="en-US" w:eastAsia="zh-CN" w:bidi="ar"/>
        </w:rPr>
        <w:t>会议服务人员及楼层服务员：要求35周岁以下女性，高中及以上文化程度，身高近160公分，懂得相关礼仪知识，五官端正，形象较好，具有良好沟通能力，确保会议机密，入职前需提供健康证及相关体检合格证明。</w:t>
      </w:r>
    </w:p>
    <w:p w14:paraId="29F71313">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bCs/>
          <w:color w:val="auto"/>
          <w:sz w:val="21"/>
          <w:szCs w:val="21"/>
          <w:highlight w:val="none"/>
          <w:lang w:val="en-US"/>
        </w:rPr>
      </w:pPr>
      <w:r>
        <w:rPr>
          <w:rFonts w:hint="eastAsia" w:ascii="仿宋" w:hAnsi="仿宋" w:eastAsia="仿宋" w:cs="仿宋"/>
          <w:bCs/>
          <w:color w:val="auto"/>
          <w:kern w:val="0"/>
          <w:sz w:val="21"/>
          <w:szCs w:val="21"/>
          <w:highlight w:val="none"/>
          <w:lang w:val="en-US" w:eastAsia="zh-CN" w:bidi="ar"/>
        </w:rPr>
        <w:t>4</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bCs/>
          <w:color w:val="auto"/>
          <w:kern w:val="0"/>
          <w:sz w:val="21"/>
          <w:szCs w:val="21"/>
          <w:highlight w:val="none"/>
          <w:lang w:val="en-US" w:eastAsia="zh-CN" w:bidi="ar"/>
        </w:rPr>
        <w:t>音控员：要求48周岁及以下男性，高中及以上文化程度，懂得相关礼仪知识，具有专业的设备操作上岗证书，能熟练掌握音响设备操作，并严格执行操作规程，保证会议机密，要定期开展专业培训加强技能。必须配备扩声音响工程专业技术顾问一名进行定期指导，配备人员要求实际从事音控工作两年以上的音响调音员人数占所有音响调音员的50%以上且具有相应专业技术等级（具备专人对日常设备故障的基础判断及维修）。</w:t>
      </w:r>
    </w:p>
    <w:p w14:paraId="75B12EDE">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bCs/>
          <w:color w:val="auto"/>
          <w:sz w:val="21"/>
          <w:szCs w:val="21"/>
          <w:highlight w:val="none"/>
          <w:lang w:val="en-US"/>
        </w:rPr>
      </w:pPr>
      <w:r>
        <w:rPr>
          <w:rFonts w:hint="eastAsia" w:ascii="仿宋" w:hAnsi="仿宋" w:eastAsia="仿宋" w:cs="仿宋"/>
          <w:bCs/>
          <w:color w:val="auto"/>
          <w:kern w:val="0"/>
          <w:sz w:val="21"/>
          <w:szCs w:val="21"/>
          <w:highlight w:val="none"/>
          <w:lang w:val="en-US" w:eastAsia="zh-CN" w:bidi="ar"/>
        </w:rPr>
        <w:t>5</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bCs/>
          <w:color w:val="auto"/>
          <w:kern w:val="0"/>
          <w:sz w:val="21"/>
          <w:szCs w:val="21"/>
          <w:highlight w:val="none"/>
          <w:lang w:val="en-US" w:eastAsia="zh-CN" w:bidi="ar"/>
        </w:rPr>
        <w:t>保洁员：年龄在48周岁以下，1年以上从业经历，作风正派，工作认真负责，服务前需体检合格。</w:t>
      </w:r>
    </w:p>
    <w:p w14:paraId="6D08574D">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bCs/>
          <w:color w:val="auto"/>
          <w:kern w:val="0"/>
          <w:sz w:val="21"/>
          <w:szCs w:val="21"/>
          <w:highlight w:val="none"/>
          <w:lang w:val="en-US" w:eastAsia="zh-CN" w:bidi="ar"/>
        </w:rPr>
      </w:pPr>
      <w:r>
        <w:rPr>
          <w:rFonts w:hint="eastAsia" w:ascii="仿宋" w:hAnsi="仿宋" w:eastAsia="仿宋" w:cs="仿宋"/>
          <w:bCs/>
          <w:color w:val="auto"/>
          <w:kern w:val="0"/>
          <w:sz w:val="21"/>
          <w:szCs w:val="21"/>
          <w:highlight w:val="none"/>
          <w:lang w:val="en-US" w:eastAsia="zh-CN" w:bidi="ar"/>
        </w:rPr>
        <w:t>6</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bCs/>
          <w:color w:val="auto"/>
          <w:kern w:val="0"/>
          <w:sz w:val="21"/>
          <w:szCs w:val="21"/>
          <w:highlight w:val="none"/>
          <w:lang w:val="en-US" w:eastAsia="zh-CN" w:bidi="ar"/>
        </w:rPr>
        <w:t>考虑会议保障中出入场所的保密特殊性要求，服务保障措施中拟派人员必须有保证有一定的中共党员比例。</w:t>
      </w:r>
    </w:p>
    <w:p w14:paraId="5235F9CA">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（三）保密措施要求</w:t>
      </w:r>
    </w:p>
    <w:p w14:paraId="40CA13AE">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bCs/>
          <w:color w:val="auto"/>
          <w:kern w:val="0"/>
          <w:sz w:val="21"/>
          <w:szCs w:val="21"/>
          <w:highlight w:val="none"/>
          <w:lang w:val="en-US" w:eastAsia="zh-CN" w:bidi="ar"/>
        </w:rPr>
      </w:pPr>
      <w:r>
        <w:rPr>
          <w:rFonts w:hint="eastAsia" w:ascii="仿宋" w:hAnsi="仿宋" w:eastAsia="仿宋" w:cs="仿宋"/>
          <w:bCs/>
          <w:color w:val="auto"/>
          <w:kern w:val="0"/>
          <w:sz w:val="21"/>
          <w:szCs w:val="21"/>
          <w:highlight w:val="none"/>
          <w:lang w:val="en-US" w:eastAsia="zh-CN" w:bidi="ar"/>
        </w:rPr>
        <w:t>针对本项目的服务的特定性，供应商需考虑必要的保密管理，包括企业的保密制度建设、人员的保密培训、管理、保密协议约定等内容并针对本项目提出具体的实施方案。</w:t>
      </w:r>
    </w:p>
    <w:p w14:paraId="101EA53C">
      <w:pPr>
        <w:keepNext w:val="0"/>
        <w:keepLines w:val="0"/>
        <w:widowControl w:val="0"/>
        <w:numPr>
          <w:ilvl w:val="0"/>
          <w:numId w:val="1"/>
        </w:numPr>
        <w:suppressLineNumbers w:val="0"/>
        <w:adjustRightInd w:val="0"/>
        <w:snapToGrid w:val="0"/>
        <w:spacing w:before="0" w:beforeAutospacing="0" w:after="0" w:afterAutospacing="0" w:line="360" w:lineRule="auto"/>
        <w:ind w:left="0" w:right="0" w:firstLine="0"/>
        <w:jc w:val="both"/>
        <w:rPr>
          <w:rFonts w:hint="eastAsia" w:ascii="仿宋" w:hAnsi="仿宋" w:eastAsia="仿宋" w:cs="仿宋"/>
          <w:b/>
          <w:bCs/>
          <w:color w:val="auto"/>
          <w:kern w:val="0"/>
          <w:sz w:val="21"/>
          <w:szCs w:val="21"/>
          <w:highlight w:val="none"/>
          <w:lang w:val="en-US"/>
        </w:rPr>
      </w:pPr>
      <w:r>
        <w:rPr>
          <w:rFonts w:hint="eastAsia" w:ascii="仿宋" w:hAnsi="仿宋" w:eastAsia="仿宋" w:cs="仿宋"/>
          <w:b/>
          <w:bCs/>
          <w:snapToGrid w:val="0"/>
          <w:color w:val="auto"/>
          <w:kern w:val="0"/>
          <w:sz w:val="21"/>
          <w:szCs w:val="21"/>
          <w:highlight w:val="none"/>
          <w:lang w:val="en-US" w:eastAsia="zh-CN" w:bidi="ar"/>
        </w:rPr>
        <w:t>服务的内容和要求</w:t>
      </w:r>
    </w:p>
    <w:p w14:paraId="5270B162">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kern w:val="0"/>
          <w:sz w:val="21"/>
          <w:szCs w:val="21"/>
          <w:highlight w:val="none"/>
          <w:lang w:val="en-US" w:eastAsia="zh-CN" w:bidi="ar-SA"/>
        </w:rPr>
      </w:pPr>
      <w:bookmarkStart w:id="35" w:name="_Toc29474"/>
      <w:r>
        <w:rPr>
          <w:rFonts w:hint="eastAsia" w:ascii="仿宋" w:hAnsi="仿宋" w:eastAsia="仿宋" w:cs="仿宋"/>
          <w:color w:val="auto"/>
          <w:kern w:val="0"/>
          <w:sz w:val="21"/>
          <w:szCs w:val="21"/>
          <w:highlight w:val="none"/>
          <w:lang w:val="en-US" w:eastAsia="zh-CN" w:bidi="ar-SA"/>
        </w:rPr>
        <w:t>（一）前期准备</w:t>
      </w:r>
    </w:p>
    <w:p w14:paraId="03B1A4A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0"/>
          <w:sz w:val="21"/>
          <w:szCs w:val="21"/>
          <w:highlight w:val="none"/>
          <w:lang w:val="en-US" w:eastAsia="zh-CN" w:bidi="ar"/>
        </w:rPr>
        <w:t>本次会议服务采购人要求供应商根据会议中心楼层公务服务及会议服务现状,做好各种准备，提前完成相关人员培训，具备在采购人需要时即可提供全面完整的服务。</w:t>
      </w:r>
    </w:p>
    <w:p w14:paraId="786A51D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0"/>
          <w:sz w:val="21"/>
          <w:szCs w:val="21"/>
          <w:highlight w:val="none"/>
          <w:lang w:val="en-US" w:eastAsia="zh-CN" w:bidi="ar"/>
        </w:rPr>
        <w:t>无偿参与设备设施交接、会议家具整理及前期场地、设备熟悉等工作。</w:t>
      </w:r>
    </w:p>
    <w:p w14:paraId="71E25003">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（二）会议及公务服务</w:t>
      </w:r>
    </w:p>
    <w:p w14:paraId="26FED26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2"/>
          <w:sz w:val="21"/>
          <w:szCs w:val="21"/>
          <w:highlight w:val="none"/>
          <w:lang w:val="en-US" w:eastAsia="zh-CN" w:bidi="ar"/>
        </w:rPr>
        <w:t>1</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根据采购人需要提供在服务范围内重大活动、会议、节日等活动的服务，包括会议预定、接待、会场布置、茶水服务、音响保障、横幅制作及悬挂、搬运器材、搬动桌椅、空调控制、会后清场保洁、各类活动需要的礼仪服务等工作。</w:t>
      </w:r>
    </w:p>
    <w:p w14:paraId="5B851D1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2"/>
          <w:sz w:val="21"/>
          <w:szCs w:val="21"/>
          <w:highlight w:val="none"/>
          <w:shd w:val="clear" w:color="auto" w:fill="FFFFFF"/>
          <w:lang w:val="en-US" w:eastAsia="zh-CN" w:bidi="ar"/>
        </w:rPr>
        <w:t>2</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会前，根据会议、活动日程安排提前布置好会场，准确掌握会议相关议程。</w:t>
      </w:r>
    </w:p>
    <w:p w14:paraId="167C0E9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3</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shd w:val="clear" w:color="auto" w:fill="FFFFFF"/>
          <w:lang w:val="en-US" w:eastAsia="zh-CN" w:bidi="ar"/>
        </w:rPr>
        <w:t>会议期间全程在指定岗位提供会议服务及音响服务保障，服务人员在服务过程中要做到微笑服务，续水时间控制在20分钟以内或视会场实际需求进行临时调整。</w:t>
      </w:r>
    </w:p>
    <w:p w14:paraId="615ECA2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2"/>
          <w:sz w:val="21"/>
          <w:szCs w:val="21"/>
          <w:highlight w:val="none"/>
          <w:shd w:val="clear" w:color="auto" w:fill="FFFFFF"/>
          <w:lang w:val="en-US" w:eastAsia="zh-CN" w:bidi="ar"/>
        </w:rPr>
        <w:t>4</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shd w:val="clear" w:color="auto" w:fill="FFFFFF"/>
          <w:lang w:val="en-US" w:eastAsia="zh-CN" w:bidi="ar"/>
        </w:rPr>
        <w:t>会议服务过程中密切注意会场内参会人员情况，观察主席台及参会者的动态，从参会者的眼神或动作中领会需求并及时上前询问帮助解决。</w:t>
      </w:r>
    </w:p>
    <w:p w14:paraId="632393C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2"/>
          <w:sz w:val="21"/>
          <w:szCs w:val="21"/>
          <w:highlight w:val="none"/>
          <w:shd w:val="clear" w:color="auto" w:fill="FFFFFF"/>
          <w:lang w:val="en-US" w:eastAsia="zh-CN" w:bidi="ar"/>
        </w:rPr>
        <w:t>5</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shd w:val="clear" w:color="auto" w:fill="FFFFFF"/>
          <w:lang w:val="en-US" w:eastAsia="zh-CN" w:bidi="ar"/>
        </w:rPr>
        <w:t>会议服务人员必须有较高的政治觉悟和保密意识，保证会议机密。会议期间若有重要会议事项要讨论不需要会议服务，服务人员应倒完水后退出会议室在外等候。</w:t>
      </w:r>
    </w:p>
    <w:p w14:paraId="186369B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2"/>
          <w:sz w:val="21"/>
          <w:szCs w:val="21"/>
          <w:highlight w:val="none"/>
          <w:shd w:val="clear" w:color="auto" w:fill="FFFFFF"/>
          <w:lang w:val="en-US" w:eastAsia="zh-CN" w:bidi="ar"/>
        </w:rPr>
        <w:t>6</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shd w:val="clear" w:color="auto" w:fill="FFFFFF"/>
          <w:lang w:val="en-US" w:eastAsia="zh-CN" w:bidi="ar"/>
        </w:rPr>
        <w:t>会议结束后服务人员要立即将会议室所有的门打开，热情送客。客人离开会议室后要及时清理会场物品，打扫会场卫生，查看有无客人遗留物品，若发现遗留物品应及时通知客人或者交于部门主管联系帮忙转交。</w:t>
      </w:r>
    </w:p>
    <w:p w14:paraId="2D992F3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2"/>
          <w:sz w:val="21"/>
          <w:szCs w:val="21"/>
          <w:highlight w:val="none"/>
          <w:shd w:val="clear" w:color="auto" w:fill="FFFFFF"/>
          <w:lang w:val="en-US" w:eastAsia="zh-CN" w:bidi="ar"/>
        </w:rPr>
        <w:t>7</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shd w:val="clear" w:color="auto" w:fill="FFFFFF"/>
          <w:lang w:val="en-US" w:eastAsia="zh-CN" w:bidi="ar"/>
        </w:rPr>
        <w:t>各个会议室配套的服务间、音控室、休息室等要保持干净整洁，会议结束后要及时打扫干净。</w:t>
      </w:r>
    </w:p>
    <w:p w14:paraId="782BB25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2"/>
          <w:sz w:val="21"/>
          <w:szCs w:val="21"/>
          <w:highlight w:val="none"/>
          <w:shd w:val="clear" w:color="auto" w:fill="FFFFFF"/>
          <w:lang w:val="en-US" w:eastAsia="zh-CN" w:bidi="ar"/>
        </w:rPr>
        <w:t>8</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shd w:val="clear" w:color="auto" w:fill="FFFFFF"/>
          <w:lang w:val="en-US" w:eastAsia="zh-CN" w:bidi="ar"/>
        </w:rPr>
        <w:t>重大会议期间，主管以上给管理人员要到场监督会议服务情况，巡视会议室的准备情况和会议的进行情况，以便有突发事情时及时应对。</w:t>
      </w:r>
    </w:p>
    <w:p w14:paraId="5B3CCFE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9</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shd w:val="clear" w:color="auto" w:fill="FFFFFF"/>
          <w:lang w:val="en-US" w:eastAsia="zh-CN" w:bidi="ar"/>
        </w:rPr>
        <w:t>应对各会议室，根据不同的功能定位和需求提供优质、规范的会议服务。会议负责人要制定完备的会议服务工作细则及服务工作计划并严格执行，保证各项会议的正常进行。</w:t>
      </w:r>
    </w:p>
    <w:p w14:paraId="2A87487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2"/>
          <w:sz w:val="21"/>
          <w:szCs w:val="21"/>
          <w:highlight w:val="none"/>
          <w:shd w:val="clear" w:color="auto" w:fill="FFFFFF"/>
          <w:lang w:val="en-US" w:eastAsia="zh-CN" w:bidi="ar"/>
        </w:rPr>
        <w:t>10</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shd w:val="clear" w:color="auto" w:fill="FFFFFF"/>
          <w:lang w:val="en-US" w:eastAsia="zh-CN" w:bidi="ar"/>
        </w:rPr>
        <w:t>会议室内表决器需配专人操作。</w:t>
      </w:r>
    </w:p>
    <w:p w14:paraId="168C2BE6">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（三）楼层公务服务保障</w:t>
      </w:r>
    </w:p>
    <w:p w14:paraId="0C178724">
      <w:pPr>
        <w:pStyle w:val="2"/>
        <w:keepNext w:val="0"/>
        <w:keepLines w:val="0"/>
        <w:pageBreakBefore w:val="0"/>
        <w:widowControl/>
        <w:kinsoku/>
        <w:wordWrap/>
        <w:overflowPunct/>
        <w:topLinePunct w:val="0"/>
        <w:bidi w:val="0"/>
        <w:adjustRightInd w:val="0"/>
        <w:snapToGrid w:val="0"/>
        <w:spacing w:line="336" w:lineRule="auto"/>
        <w:ind w:left="0"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sz w:val="21"/>
          <w:szCs w:val="21"/>
          <w:highlight w:val="none"/>
          <w:lang w:eastAsia="zh-CN"/>
        </w:rPr>
        <w:t>楼层办公室的卫生保洁、报刊分发等公务服务，至少有</w:t>
      </w:r>
      <w:r>
        <w:rPr>
          <w:rFonts w:hint="eastAsia" w:ascii="仿宋" w:hAnsi="仿宋" w:eastAsia="仿宋" w:cs="仿宋"/>
          <w:color w:val="auto"/>
          <w:sz w:val="21"/>
          <w:szCs w:val="21"/>
          <w:highlight w:val="none"/>
          <w:lang w:val="en-US"/>
        </w:rPr>
        <w:t>2</w:t>
      </w:r>
      <w:r>
        <w:rPr>
          <w:rFonts w:hint="eastAsia" w:ascii="仿宋" w:hAnsi="仿宋" w:eastAsia="仿宋" w:cs="仿宋"/>
          <w:color w:val="auto"/>
          <w:sz w:val="21"/>
          <w:szCs w:val="21"/>
          <w:highlight w:val="none"/>
          <w:lang w:eastAsia="zh-CN"/>
        </w:rPr>
        <w:t>人分两班在公务监管人员带领下进入办公室服务，并需在机关工作人员上班前或下班后进入服务，严禁携带手机。</w:t>
      </w:r>
    </w:p>
    <w:p w14:paraId="2F437D01">
      <w:pPr>
        <w:pStyle w:val="2"/>
        <w:keepNext w:val="0"/>
        <w:keepLines w:val="0"/>
        <w:pageBreakBefore w:val="0"/>
        <w:widowControl/>
        <w:kinsoku/>
        <w:wordWrap/>
        <w:overflowPunct/>
        <w:topLinePunct w:val="0"/>
        <w:bidi w:val="0"/>
        <w:adjustRightInd w:val="0"/>
        <w:snapToGrid w:val="0"/>
        <w:spacing w:line="336"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sz w:val="21"/>
          <w:szCs w:val="21"/>
          <w:highlight w:val="none"/>
          <w:lang w:eastAsia="zh-CN"/>
        </w:rPr>
        <w:t>楼层会议室根据不同的功能定位和需求，做好会前的准备、会后的保洁工作，并提供优质的会议服务</w:t>
      </w:r>
    </w:p>
    <w:p w14:paraId="466121C6">
      <w:pPr>
        <w:pStyle w:val="2"/>
        <w:keepNext w:val="0"/>
        <w:keepLines w:val="0"/>
        <w:pageBreakBefore w:val="0"/>
        <w:widowControl/>
        <w:kinsoku/>
        <w:wordWrap/>
        <w:overflowPunct/>
        <w:topLinePunct w:val="0"/>
        <w:bidi w:val="0"/>
        <w:adjustRightInd w:val="0"/>
        <w:snapToGrid w:val="0"/>
        <w:spacing w:line="336"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sz w:val="21"/>
          <w:szCs w:val="21"/>
          <w:highlight w:val="none"/>
          <w:lang w:eastAsia="zh-CN"/>
        </w:rPr>
        <w:t>工作日早晚对市领导办公区域进行清洁检查。按时领取报刊杂志分发到领导办公室，做好早、晚班工作交接台账记录，认真完成监管人员交办的任务，并确保服务质量。</w:t>
      </w:r>
    </w:p>
    <w:p w14:paraId="2E0093BB">
      <w:pPr>
        <w:pStyle w:val="2"/>
        <w:keepNext w:val="0"/>
        <w:keepLines w:val="0"/>
        <w:pageBreakBefore w:val="0"/>
        <w:widowControl/>
        <w:kinsoku/>
        <w:wordWrap/>
        <w:overflowPunct/>
        <w:topLinePunct w:val="0"/>
        <w:bidi w:val="0"/>
        <w:adjustRightInd w:val="0"/>
        <w:snapToGrid w:val="0"/>
        <w:spacing w:line="336"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4</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sz w:val="21"/>
          <w:szCs w:val="21"/>
          <w:highlight w:val="none"/>
          <w:lang w:eastAsia="zh-CN"/>
        </w:rPr>
        <w:t>双休、节假日期间认真落实值班制度，值班人员做好工作交接台账记录，做好服务保障工作。</w:t>
      </w:r>
    </w:p>
    <w:p w14:paraId="49766F82">
      <w:pPr>
        <w:pStyle w:val="2"/>
        <w:keepNext w:val="0"/>
        <w:keepLines w:val="0"/>
        <w:pageBreakBefore w:val="0"/>
        <w:widowControl/>
        <w:kinsoku/>
        <w:wordWrap/>
        <w:overflowPunct/>
        <w:topLinePunct w:val="0"/>
        <w:bidi w:val="0"/>
        <w:adjustRightInd w:val="0"/>
        <w:snapToGrid w:val="0"/>
        <w:spacing w:line="336"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5</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sz w:val="21"/>
          <w:szCs w:val="21"/>
          <w:highlight w:val="none"/>
          <w:lang w:eastAsia="zh-CN"/>
        </w:rPr>
        <w:t>对领导办公室和公务接待休息室电器日常的管理，每月配合相关科室和物业做好对领导办公室所有用电和电器的进场排查工作，以及日常领导办公室设备报修和跟进工作，做好相关台账记录。</w:t>
      </w:r>
    </w:p>
    <w:p w14:paraId="5BD40284">
      <w:pPr>
        <w:pStyle w:val="2"/>
        <w:keepNext w:val="0"/>
        <w:keepLines w:val="0"/>
        <w:pageBreakBefore w:val="0"/>
        <w:widowControl/>
        <w:kinsoku/>
        <w:wordWrap/>
        <w:overflowPunct/>
        <w:topLinePunct w:val="0"/>
        <w:bidi w:val="0"/>
        <w:adjustRightInd w:val="0"/>
        <w:snapToGrid w:val="0"/>
        <w:spacing w:line="336"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6</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sz w:val="21"/>
          <w:szCs w:val="21"/>
          <w:highlight w:val="none"/>
          <w:lang w:eastAsia="zh-CN"/>
        </w:rPr>
        <w:t>每月定期对领导办公室和公务接待休息室的洗漱用品、矿泉水等消耗品进行生产日期检查。</w:t>
      </w:r>
    </w:p>
    <w:p w14:paraId="36E56522">
      <w:pPr>
        <w:pStyle w:val="2"/>
        <w:keepNext w:val="0"/>
        <w:keepLines w:val="0"/>
        <w:pageBreakBefore w:val="0"/>
        <w:widowControl/>
        <w:kinsoku/>
        <w:wordWrap/>
        <w:overflowPunct/>
        <w:topLinePunct w:val="0"/>
        <w:bidi w:val="0"/>
        <w:adjustRightInd w:val="0"/>
        <w:snapToGrid w:val="0"/>
        <w:spacing w:line="336"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7</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sz w:val="21"/>
          <w:szCs w:val="21"/>
          <w:highlight w:val="none"/>
          <w:lang w:eastAsia="zh-CN"/>
        </w:rPr>
        <w:t>公务接到休息室无人员入住时做好日常保洁维护，在接到保障通知后第一时间做好准备，使用后，及时更换床上用品，打扫卫生并做好工作记录；</w:t>
      </w:r>
    </w:p>
    <w:p w14:paraId="612B7D8C">
      <w:pPr>
        <w:pStyle w:val="2"/>
        <w:keepNext w:val="0"/>
        <w:keepLines w:val="0"/>
        <w:pageBreakBefore w:val="0"/>
        <w:widowControl/>
        <w:kinsoku/>
        <w:wordWrap/>
        <w:overflowPunct/>
        <w:topLinePunct w:val="0"/>
        <w:bidi w:val="0"/>
        <w:adjustRightInd w:val="0"/>
        <w:snapToGrid w:val="0"/>
        <w:spacing w:line="336" w:lineRule="auto"/>
        <w:ind w:left="0"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8</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sz w:val="21"/>
          <w:szCs w:val="21"/>
          <w:highlight w:val="none"/>
          <w:lang w:eastAsia="zh-CN"/>
        </w:rPr>
        <w:t>出现特殊天气或事件，提前做好相关准备，确保公务接待休息室可以立即使用，及时增加值班人员。</w:t>
      </w:r>
    </w:p>
    <w:p w14:paraId="6B67F8BA">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（四）市委全委会服务</w:t>
      </w:r>
    </w:p>
    <w:p w14:paraId="296ADB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l</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0"/>
          <w:sz w:val="21"/>
          <w:szCs w:val="21"/>
          <w:highlight w:val="none"/>
          <w:lang w:val="en-US" w:eastAsia="zh-CN" w:bidi="ar"/>
        </w:rPr>
        <w:t>市委全委会</w:t>
      </w:r>
      <w:r>
        <w:rPr>
          <w:rFonts w:hint="eastAsia" w:ascii="仿宋" w:hAnsi="仿宋" w:eastAsia="仿宋" w:cs="仿宋"/>
          <w:color w:val="auto"/>
          <w:kern w:val="0"/>
          <w:sz w:val="21"/>
          <w:szCs w:val="21"/>
          <w:highlight w:val="none"/>
          <w:lang w:eastAsia="zh-CN" w:bidi="ar"/>
        </w:rPr>
        <w:t>保障</w:t>
      </w:r>
      <w:r>
        <w:rPr>
          <w:rFonts w:hint="eastAsia" w:ascii="仿宋" w:hAnsi="仿宋" w:eastAsia="仿宋" w:cs="仿宋"/>
          <w:color w:val="auto"/>
          <w:kern w:val="0"/>
          <w:sz w:val="21"/>
          <w:szCs w:val="21"/>
          <w:highlight w:val="none"/>
          <w:lang w:val="en-US" w:eastAsia="zh-CN" w:bidi="ar"/>
        </w:rPr>
        <w:t>。</w:t>
      </w:r>
    </w:p>
    <w:p w14:paraId="03154BE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0"/>
          <w:sz w:val="21"/>
          <w:szCs w:val="21"/>
          <w:highlight w:val="none"/>
          <w:lang w:val="en-US" w:eastAsia="zh-CN" w:bidi="ar"/>
        </w:rPr>
        <w:t>服务内容</w:t>
      </w:r>
    </w:p>
    <w:p w14:paraId="444A3B5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1）市委全委会</w:t>
      </w:r>
      <w:r>
        <w:rPr>
          <w:rFonts w:hint="eastAsia" w:ascii="仿宋" w:hAnsi="仿宋" w:eastAsia="仿宋" w:cs="仿宋"/>
          <w:color w:val="auto"/>
          <w:kern w:val="0"/>
          <w:sz w:val="21"/>
          <w:szCs w:val="21"/>
          <w:highlight w:val="none"/>
          <w:lang w:eastAsia="zh-CN" w:bidi="ar"/>
        </w:rPr>
        <w:t>保障的布置、撤场</w:t>
      </w:r>
      <w:r>
        <w:rPr>
          <w:rFonts w:hint="eastAsia" w:ascii="仿宋" w:hAnsi="仿宋" w:eastAsia="仿宋" w:cs="仿宋"/>
          <w:color w:val="auto"/>
          <w:kern w:val="0"/>
          <w:sz w:val="21"/>
          <w:szCs w:val="21"/>
          <w:highlight w:val="none"/>
          <w:lang w:val="en-US" w:eastAsia="zh-CN" w:bidi="ar"/>
        </w:rPr>
        <w:t>（含主席台背景搭建、音响、移动电视机设备、屏风、茶歇台、茶杯、热水瓶、桌套等</w:t>
      </w:r>
      <w:r>
        <w:rPr>
          <w:rFonts w:hint="eastAsia" w:ascii="仿宋" w:hAnsi="仿宋" w:eastAsia="仿宋" w:cs="仿宋"/>
          <w:color w:val="auto"/>
          <w:kern w:val="0"/>
          <w:sz w:val="21"/>
          <w:szCs w:val="21"/>
          <w:highlight w:val="none"/>
          <w:lang w:eastAsia="zh-CN" w:bidi="ar"/>
        </w:rPr>
        <w:t>）。</w:t>
      </w:r>
    </w:p>
    <w:p w14:paraId="4C8A046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2）所有会场桌椅等家具摆放、桌套铺设、帷幕悬挂熨烫、横幅制作悬挂、茶杯、茶叶、小毛巾等会议用品摆放和移动电视机、话筒等音响设备调试等；</w:t>
      </w:r>
    </w:p>
    <w:p w14:paraId="1C415A2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3）会前打水，会前所有岗位人员点位迎领，会中茶水服务;会后收尾倒茶水、清空热水瓶、用品装框收回。</w:t>
      </w:r>
    </w:p>
    <w:p w14:paraId="0516B79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4）茶杯清洗、消毒、烘干、桌套熨烫等。</w:t>
      </w:r>
    </w:p>
    <w:p w14:paraId="28A5325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5）主席台搭建、音视频安装（含撤场）须由专业人员拆卸拼装，包含主席台重组及复位，原有音响设备拆除及复位、会议专用音控设备安装拆除和调试、背景惟幕调整及回收、红旗党微悬挂放置及回收、舞台灯光调试等。</w:t>
      </w:r>
    </w:p>
    <w:p w14:paraId="6C990D1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3</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0"/>
          <w:sz w:val="21"/>
          <w:szCs w:val="21"/>
          <w:highlight w:val="none"/>
          <w:lang w:val="en-US" w:eastAsia="zh-CN" w:bidi="ar"/>
        </w:rPr>
        <w:t>服务的标准参照浙江省杭州市地方标准《机关事务管理会议服务规范》，要求不低于会议中心A类会议服务标准。</w:t>
      </w:r>
    </w:p>
    <w:p w14:paraId="67E9A34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4</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0"/>
          <w:sz w:val="21"/>
          <w:szCs w:val="21"/>
          <w:highlight w:val="none"/>
          <w:lang w:val="en-US" w:eastAsia="zh-CN" w:bidi="ar"/>
        </w:rPr>
        <w:t>岗位设置和人数安排表</w:t>
      </w:r>
    </w:p>
    <w:p w14:paraId="2722279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b/>
          <w:bCs/>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按全会服务保障要求配置所需相关人员。</w:t>
      </w:r>
    </w:p>
    <w:p w14:paraId="7E7F6426">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（五）其它重大会议保障工作</w:t>
      </w:r>
    </w:p>
    <w:p w14:paraId="7CCFF8D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0"/>
          <w:sz w:val="21"/>
          <w:szCs w:val="21"/>
          <w:highlight w:val="none"/>
          <w:lang w:val="en-US" w:eastAsia="zh-CN" w:bidi="ar"/>
        </w:rPr>
        <w:t>市民中心范围内的临时性会议保障工作。</w:t>
      </w:r>
    </w:p>
    <w:p w14:paraId="474687B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0"/>
          <w:sz w:val="21"/>
          <w:szCs w:val="21"/>
          <w:highlight w:val="none"/>
          <w:lang w:val="en-US" w:eastAsia="zh-CN" w:bidi="ar"/>
        </w:rPr>
        <w:t>其它</w:t>
      </w:r>
      <w:r>
        <w:rPr>
          <w:rFonts w:hint="eastAsia" w:ascii="仿宋" w:hAnsi="仿宋" w:eastAsia="仿宋" w:cs="仿宋"/>
          <w:color w:val="auto"/>
          <w:kern w:val="0"/>
          <w:sz w:val="21"/>
          <w:szCs w:val="21"/>
          <w:highlight w:val="none"/>
          <w:lang w:eastAsia="zh-CN" w:bidi="ar"/>
        </w:rPr>
        <w:t>重大</w:t>
      </w:r>
      <w:r>
        <w:rPr>
          <w:rFonts w:hint="eastAsia" w:ascii="仿宋" w:hAnsi="仿宋" w:eastAsia="仿宋" w:cs="仿宋"/>
          <w:color w:val="auto"/>
          <w:kern w:val="0"/>
          <w:sz w:val="21"/>
          <w:szCs w:val="21"/>
          <w:highlight w:val="none"/>
          <w:lang w:val="en-US" w:eastAsia="zh-CN" w:bidi="ar"/>
        </w:rPr>
        <w:t>会议保障工作</w:t>
      </w:r>
      <w:r>
        <w:rPr>
          <w:rFonts w:hint="eastAsia" w:ascii="仿宋" w:hAnsi="仿宋" w:eastAsia="仿宋" w:cs="仿宋"/>
          <w:color w:val="auto"/>
          <w:kern w:val="0"/>
          <w:sz w:val="21"/>
          <w:szCs w:val="21"/>
          <w:highlight w:val="none"/>
          <w:lang w:eastAsia="zh-CN" w:bidi="ar"/>
        </w:rPr>
        <w:t>.</w:t>
      </w:r>
    </w:p>
    <w:p w14:paraId="1C822A2F">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（六）档案管理</w:t>
      </w:r>
    </w:p>
    <w:p w14:paraId="2479DFB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有较完善的会议服务管理档案制度，档案内容至少应包括：</w:t>
      </w:r>
    </w:p>
    <w:p w14:paraId="6D7F58F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1</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0"/>
          <w:sz w:val="21"/>
          <w:szCs w:val="21"/>
          <w:highlight w:val="none"/>
          <w:lang w:val="en-US" w:eastAsia="zh-CN" w:bidi="ar"/>
        </w:rPr>
        <w:t>会议预约登记记录、会议服务保障人员记录及数据统计；</w:t>
      </w:r>
    </w:p>
    <w:p w14:paraId="4477CD1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0"/>
          <w:sz w:val="21"/>
          <w:szCs w:val="21"/>
          <w:highlight w:val="none"/>
          <w:lang w:val="en-US" w:eastAsia="zh-CN" w:bidi="ar"/>
        </w:rPr>
        <w:t>各会议室音响设备设施清册；</w:t>
      </w:r>
    </w:p>
    <w:p w14:paraId="1C88076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3</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0"/>
          <w:sz w:val="21"/>
          <w:szCs w:val="21"/>
          <w:highlight w:val="none"/>
          <w:lang w:val="en-US" w:eastAsia="zh-CN" w:bidi="ar"/>
        </w:rPr>
        <w:t>设备管理档案；</w:t>
      </w:r>
    </w:p>
    <w:p w14:paraId="5D9D41A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4</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0"/>
          <w:sz w:val="21"/>
          <w:szCs w:val="21"/>
          <w:highlight w:val="none"/>
          <w:lang w:val="en-US" w:eastAsia="zh-CN" w:bidi="ar"/>
        </w:rPr>
        <w:t>来访者登记资料档案；</w:t>
      </w:r>
    </w:p>
    <w:p w14:paraId="6E7D795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bidi="ar"/>
        </w:rPr>
        <w:t>5</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0"/>
          <w:sz w:val="21"/>
          <w:szCs w:val="21"/>
          <w:highlight w:val="none"/>
          <w:lang w:val="en-US" w:eastAsia="zh-CN" w:bidi="ar"/>
        </w:rPr>
        <w:t>日常管理台账档案，包括安全卫生检查、设备维修保养记录、物品领用记录、疫情防控相关台账等。</w:t>
      </w:r>
    </w:p>
    <w:p w14:paraId="42BD80FB">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（七）消耗用品</w:t>
      </w:r>
    </w:p>
    <w:p w14:paraId="25879A9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2"/>
          <w:sz w:val="21"/>
          <w:szCs w:val="21"/>
          <w:highlight w:val="none"/>
          <w:lang w:val="en-US" w:eastAsia="zh-CN" w:bidi="ar"/>
        </w:rPr>
        <w:t>办公用品、保洁用品</w:t>
      </w:r>
      <w:r>
        <w:rPr>
          <w:rFonts w:hint="eastAsia" w:ascii="仿宋" w:hAnsi="仿宋" w:eastAsia="仿宋" w:cs="仿宋"/>
          <w:color w:val="auto"/>
          <w:kern w:val="0"/>
          <w:sz w:val="21"/>
          <w:szCs w:val="21"/>
          <w:highlight w:val="none"/>
          <w:lang w:val="en-US" w:eastAsia="zh-CN" w:bidi="ar"/>
        </w:rPr>
        <w:t>等消耗品由投标供应商提供。</w:t>
      </w:r>
    </w:p>
    <w:p w14:paraId="249D7E31">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（八）会场音响设备管理</w:t>
      </w:r>
    </w:p>
    <w:p w14:paraId="5EE36B6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1</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供应商应配合采购人定期做好音响设备检查和日常养护报修工作；</w:t>
      </w:r>
    </w:p>
    <w:p w14:paraId="1DE410A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供应商应建立会议设备设施日常维护、检查机制，聘请专人加强对音控人员的培训和设备的日常检查维护，发现安全隐患及时上报采购人；</w:t>
      </w:r>
    </w:p>
    <w:p w14:paraId="7368466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3</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供应商在使用中如发现人为损坏需要赔偿；</w:t>
      </w:r>
    </w:p>
    <w:p w14:paraId="5AADF02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4</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供应商对采购人各会议厅（室）及其相关服务配套的设备设施负有保管义务，涉及固定资产的设备设施须参照采购人相关制度和要求执行；</w:t>
      </w:r>
    </w:p>
    <w:p w14:paraId="463A5FF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5</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供应商应妥善保管和使用茶具、茶叶、湿巾等会议消耗品，对于超过实际需求的上述消耗用品，采购人有权要求服务单位作出说明并</w:t>
      </w:r>
      <w:r>
        <w:rPr>
          <w:rFonts w:hint="eastAsia" w:ascii="仿宋" w:hAnsi="仿宋" w:eastAsia="仿宋" w:cs="仿宋"/>
          <w:color w:val="auto"/>
          <w:kern w:val="2"/>
          <w:sz w:val="21"/>
          <w:szCs w:val="21"/>
          <w:highlight w:val="none"/>
          <w:lang w:eastAsia="zh-CN" w:bidi="ar"/>
        </w:rPr>
        <w:t>自行承担超出部分消耗品购置</w:t>
      </w:r>
      <w:r>
        <w:rPr>
          <w:rFonts w:hint="eastAsia" w:ascii="仿宋" w:hAnsi="仿宋" w:eastAsia="仿宋" w:cs="仿宋"/>
          <w:color w:val="auto"/>
          <w:kern w:val="2"/>
          <w:sz w:val="21"/>
          <w:szCs w:val="21"/>
          <w:highlight w:val="none"/>
          <w:lang w:val="en-US" w:eastAsia="zh-CN" w:bidi="ar"/>
        </w:rPr>
        <w:t>；</w:t>
      </w:r>
    </w:p>
    <w:p w14:paraId="0FF9911B">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（九）会议服务管理质量考核指标要求</w:t>
      </w:r>
    </w:p>
    <w:p w14:paraId="283B4E7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供应商对会议服务要满足采购文件相关要求，采购人按上述但不限于上述标准，根据《杭州市行政大楼服务保障中心公务服务及会议中心劳务服务监管考核办法》等相关制度对服务单位的服务质量进行监管考核，并结合第三方社会测评机构的年度测评结果支付服务费。</w:t>
      </w:r>
    </w:p>
    <w:p w14:paraId="582EE8C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1.月监管考核（指当年1-12月）：采购人按照月监管考核结果支付每月服务费，当月监管考核90分及以上的服务费全额支付；当月监管考核80-90（不含90）分的，服务费扣减5%；当月监管考核70-80（不含80）分的,服务费扣减10%；当月监管考核60-70（不含70）分的，服务费扣减20%；当月考核低于60分的为不合格，视情服务费扣减30%-50%。当月监管考核应扣减的服务费在次月的服务费中扣除。</w:t>
      </w:r>
    </w:p>
    <w:p w14:paraId="7EFF458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2.年度第三方测评达92分及以上且1-11月监管考核平均分在90分及以上的，已扣减的服务费可以全额退还给供应商，12月份监管考核扣减的服务费在当年合同履约保证金中扣除，扣完为止，12月份监管考核扣减的服务费不再返还（注：因管理疏漏，导致严重安全事故，影响较大的情形，当月扣除的服务费不予以返还。）</w:t>
      </w:r>
    </w:p>
    <w:p w14:paraId="6548C896">
      <w:pPr>
        <w:keepNext w:val="0"/>
        <w:keepLines w:val="0"/>
        <w:widowControl w:val="0"/>
        <w:numPr>
          <w:ilvl w:val="0"/>
          <w:numId w:val="1"/>
        </w:numPr>
        <w:suppressLineNumbers w:val="0"/>
        <w:adjustRightInd w:val="0"/>
        <w:snapToGrid w:val="0"/>
        <w:spacing w:before="0" w:beforeAutospacing="0" w:after="0" w:afterAutospacing="0" w:line="360" w:lineRule="auto"/>
        <w:ind w:left="0" w:right="0" w:firstLine="0"/>
        <w:jc w:val="both"/>
        <w:rPr>
          <w:rFonts w:hint="eastAsia" w:ascii="仿宋" w:hAnsi="仿宋" w:eastAsia="仿宋" w:cs="仿宋"/>
          <w:b/>
          <w:bCs/>
          <w:snapToGrid w:val="0"/>
          <w:color w:val="auto"/>
          <w:kern w:val="0"/>
          <w:sz w:val="21"/>
          <w:szCs w:val="21"/>
          <w:highlight w:val="none"/>
          <w:lang w:val="en-US"/>
        </w:rPr>
      </w:pPr>
      <w:r>
        <w:rPr>
          <w:rFonts w:hint="eastAsia" w:ascii="仿宋" w:hAnsi="仿宋" w:eastAsia="仿宋" w:cs="仿宋"/>
          <w:b/>
          <w:bCs/>
          <w:snapToGrid w:val="0"/>
          <w:color w:val="auto"/>
          <w:kern w:val="0"/>
          <w:sz w:val="21"/>
          <w:szCs w:val="21"/>
          <w:highlight w:val="none"/>
          <w:lang w:val="en-US" w:eastAsia="zh-CN" w:bidi="ar"/>
        </w:rPr>
        <w:t>报价基准及其它</w:t>
      </w:r>
      <w:bookmarkEnd w:id="35"/>
    </w:p>
    <w:p w14:paraId="41D2569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1</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报价应包括会议服务管理工作人员的工资、社保福利费、卫生保洁材料费、办公费、固定资产折旧费、法定税费、合理利润，以及管理、劳务、培训、环境布置、宣传服务、风险及政策性文件规定等各项应有费用，以及为完成采购文件规定的会议服务管理工作所涉及到的一切相关费用。</w:t>
      </w:r>
    </w:p>
    <w:p w14:paraId="65B10A7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供应商自行解决员工养老、失业、医疗、工伤、生育等保险及劳保、工资、福利、食宿、交通等有关问题。</w:t>
      </w:r>
    </w:p>
    <w:p w14:paraId="46FEDDA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3</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供应商自备服务过程中涉及的办公用品及保洁消耗品。</w:t>
      </w:r>
    </w:p>
    <w:p w14:paraId="6AADB4E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4</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项目实施中根据实际需要，采购人如对采购服务内容作适当变更，供应商应予以配合。</w:t>
      </w:r>
    </w:p>
    <w:p w14:paraId="645DFE3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5</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采购人提供会议服务管理必要的办公场地。</w:t>
      </w:r>
    </w:p>
    <w:p w14:paraId="7471D14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6</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所有工作人员服装由供应商自行采购，服装样式事先需经过采购人认可</w:t>
      </w:r>
      <w:r>
        <w:rPr>
          <w:rFonts w:hint="eastAsia" w:ascii="仿宋" w:hAnsi="仿宋" w:eastAsia="仿宋" w:cs="仿宋"/>
          <w:color w:val="auto"/>
          <w:kern w:val="2"/>
          <w:sz w:val="21"/>
          <w:szCs w:val="21"/>
          <w:highlight w:val="none"/>
          <w:lang w:eastAsia="zh-CN" w:bidi="ar"/>
        </w:rPr>
        <w:t>（要求三到五年更新一套春季、两套夏季、一套冬季工作服，并统一配备鞋、袜等配饰）</w:t>
      </w:r>
      <w:r>
        <w:rPr>
          <w:rFonts w:hint="eastAsia" w:ascii="仿宋" w:hAnsi="仿宋" w:eastAsia="仿宋" w:cs="仿宋"/>
          <w:color w:val="auto"/>
          <w:kern w:val="2"/>
          <w:sz w:val="21"/>
          <w:szCs w:val="21"/>
          <w:highlight w:val="none"/>
          <w:lang w:val="en-US" w:eastAsia="zh-CN" w:bidi="ar"/>
        </w:rPr>
        <w:t>。</w:t>
      </w:r>
    </w:p>
    <w:p w14:paraId="5AB326D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7</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供应商需要充分考虑采购人工作的特殊性：</w:t>
      </w:r>
    </w:p>
    <w:p w14:paraId="403D426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（1）采购人楼层公务服务，一年365天都需要工作人员值班服务保障。</w:t>
      </w:r>
    </w:p>
    <w:p w14:paraId="6550C10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（2）突发性会议和重大活动较多。</w:t>
      </w:r>
    </w:p>
    <w:p w14:paraId="3718516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（3）工作时间要求：</w:t>
      </w:r>
    </w:p>
    <w:p w14:paraId="7A9CBBE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a.采购人楼层公务服务保障时间:工作日分上午和下午两班，上午班早上6：30—下午2：30，下午班下午1：00至晚上9：00；双休日、节假日在岗时间为早上7:00-晚上8：00，至少安排3人在岗值班。</w:t>
      </w:r>
    </w:p>
    <w:p w14:paraId="38C543C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b.采购人会议服务保障临时性、突发性会议保障及节假日会议保障，根据任务需要随传随到。</w:t>
      </w:r>
    </w:p>
    <w:p w14:paraId="488832E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8</w:t>
      </w:r>
      <w:r>
        <w:rPr>
          <w:rFonts w:hint="eastAsia" w:ascii="仿宋" w:hAnsi="仿宋" w:eastAsia="仿宋" w:cs="仿宋"/>
          <w:snapToGrid w:val="0"/>
          <w:color w:val="auto"/>
          <w:kern w:val="0"/>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因项目预算执行及服务交接导致的原服务单位在合同期外延续提供的服务，费用标准按新合同规定执行，由本项目的供应商承担并支付。</w:t>
      </w:r>
    </w:p>
    <w:p w14:paraId="0CD5A96A">
      <w:pPr>
        <w:keepNext w:val="0"/>
        <w:keepLines w:val="0"/>
        <w:widowControl w:val="0"/>
        <w:numPr>
          <w:ilvl w:val="0"/>
          <w:numId w:val="1"/>
        </w:numPr>
        <w:suppressLineNumbers w:val="0"/>
        <w:adjustRightInd w:val="0"/>
        <w:snapToGrid w:val="0"/>
        <w:spacing w:before="0" w:beforeAutospacing="0" w:after="0" w:afterAutospacing="0" w:line="360" w:lineRule="auto"/>
        <w:ind w:left="0" w:right="0" w:firstLine="0"/>
        <w:jc w:val="both"/>
        <w:rPr>
          <w:rFonts w:hint="eastAsia" w:ascii="仿宋" w:hAnsi="仿宋" w:eastAsia="仿宋" w:cs="仿宋"/>
          <w:b/>
          <w:bCs/>
          <w:color w:val="auto"/>
          <w:kern w:val="0"/>
          <w:sz w:val="21"/>
          <w:szCs w:val="21"/>
          <w:highlight w:val="none"/>
          <w:lang w:val="en-US"/>
        </w:rPr>
      </w:pPr>
      <w:r>
        <w:rPr>
          <w:rFonts w:hint="eastAsia" w:ascii="仿宋" w:hAnsi="仿宋" w:eastAsia="仿宋" w:cs="仿宋"/>
          <w:b/>
          <w:bCs/>
          <w:snapToGrid w:val="0"/>
          <w:color w:val="auto"/>
          <w:kern w:val="0"/>
          <w:sz w:val="21"/>
          <w:szCs w:val="21"/>
          <w:highlight w:val="none"/>
          <w:lang w:val="en-US" w:eastAsia="zh-CN" w:bidi="ar"/>
        </w:rPr>
        <w:t>其他要求：</w:t>
      </w:r>
    </w:p>
    <w:p w14:paraId="2C7C9401">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1.以会议服务保障、楼层公务服务保障等为主要管理内容。供应商宜从实际出发，充分考虑制定合适、有效的节约能源方案，并付诸实施。</w:t>
      </w:r>
    </w:p>
    <w:p w14:paraId="2428F8B6">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2.供应商按照管理内容编制检查表，每日进行检查，发现问题及时整改。</w:t>
      </w:r>
    </w:p>
    <w:p w14:paraId="721362AE">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3.除供应商对服务人员的培训外，需接受采购人对服务人员的集中培训。</w:t>
      </w:r>
    </w:p>
    <w:p w14:paraId="2DCD609B">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4.所有岗位建立岗位责任与运作程序、工作质量标准。</w:t>
      </w:r>
    </w:p>
    <w:p w14:paraId="6804C652">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5.供应商建立各类应急预案（如会议服务、大型室内活动服务，楼层公务保障、设备保障、疫情防控等），并培训相关人员达到相关要求。</w:t>
      </w:r>
    </w:p>
    <w:p w14:paraId="3238824A">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6.重大会议、接待任务必须事先制订周密的接待工作计划，并严格按照计划实施。</w:t>
      </w:r>
    </w:p>
    <w:p w14:paraId="0A4E5C91">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7.保密规定：供应商应当对涉及采购人的信息严格保密，未经采购人许可，不得将信息泄露给第三方。否则，采购人有保留追究法律责任的权利。</w:t>
      </w:r>
    </w:p>
    <w:p w14:paraId="24E5552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 w:hAnsi="仿宋" w:eastAsia="仿宋" w:cs="仿宋"/>
          <w:b/>
          <w:bCs/>
          <w:color w:val="auto"/>
          <w:kern w:val="0"/>
          <w:sz w:val="21"/>
          <w:szCs w:val="21"/>
          <w:highlight w:val="none"/>
          <w:lang w:val="en-US"/>
        </w:rPr>
      </w:pPr>
      <w:r>
        <w:rPr>
          <w:rFonts w:hint="eastAsia" w:ascii="仿宋" w:hAnsi="仿宋" w:eastAsia="仿宋" w:cs="仿宋"/>
          <w:b/>
          <w:bCs/>
          <w:snapToGrid w:val="0"/>
          <w:color w:val="auto"/>
          <w:kern w:val="0"/>
          <w:sz w:val="21"/>
          <w:szCs w:val="21"/>
          <w:highlight w:val="none"/>
          <w:lang w:val="en-US" w:eastAsia="zh-CN" w:bidi="ar"/>
        </w:rPr>
        <w:t>八、双方权利及义务：</w:t>
      </w:r>
    </w:p>
    <w:p w14:paraId="4780DDCB">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1.供应商负责管理、服务团队的组建，负责员工配置、工资、福利待遇、服装及人事、劳资、社保等所有关系。</w:t>
      </w:r>
    </w:p>
    <w:p w14:paraId="096C240C">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2.供应商必须按《中华人民共和国劳动合同法》和政府有关部门规定为劳务服务人员交纳所有相关的社会保险及其他相关费用，并在投标文件中作出明确承诺。工作人员在工作期间发生的一切安全事故均由供应商自行负责。（含因用工不当导致人员伤亡由供应商负全责）如造成采购人损失的，供应商应全部予以赔偿。</w:t>
      </w:r>
    </w:p>
    <w:p w14:paraId="113A5184">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3.供应商应当要求采购人根据生产岗位的需要，按照国家有关劳动安全、卫生的规定为供应商员工配置和完善必要的安全防护措施，发放必要的劳动保护用品。</w:t>
      </w:r>
    </w:p>
    <w:p w14:paraId="204A2D88">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4.采购人应当要求供应商根据国家有关法律、法规，建立安全生产制度。供应商员工严格遵守采购人的劳动安全制度。双方严禁违章作业，防止劳动过程中的事故，减少职业危害。</w:t>
      </w:r>
    </w:p>
    <w:p w14:paraId="1A6A7B0F">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5.采购人应当要求供应商建立、健全职业病防治责任制，制定并落实职业病防范措施。</w:t>
      </w:r>
    </w:p>
    <w:p w14:paraId="01F03F86">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6.采购人依法制定单位规章制度，通过有效方式及时告知供应商。</w:t>
      </w:r>
    </w:p>
    <w:p w14:paraId="54E2E04E">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7.供应商服从采购人管理，并严格遵守采购人依法制定的规章制度。</w:t>
      </w:r>
      <w:r>
        <w:rPr>
          <w:rFonts w:hint="eastAsia" w:ascii="仿宋" w:hAnsi="仿宋" w:eastAsia="仿宋" w:cs="仿宋"/>
          <w:color w:val="auto"/>
          <w:kern w:val="2"/>
          <w:sz w:val="21"/>
          <w:szCs w:val="21"/>
          <w:highlight w:val="none"/>
          <w:lang w:val="en-US" w:eastAsia="zh-CN" w:bidi="ar"/>
        </w:rPr>
        <w:t xml:space="preserve">    </w:t>
      </w:r>
    </w:p>
    <w:p w14:paraId="2FF544C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 w:hAnsi="仿宋" w:eastAsia="仿宋" w:cs="仿宋"/>
          <w:b/>
          <w:bCs/>
          <w:color w:val="auto"/>
          <w:kern w:val="0"/>
          <w:sz w:val="21"/>
          <w:szCs w:val="21"/>
          <w:highlight w:val="none"/>
          <w:lang w:val="en-US"/>
        </w:rPr>
      </w:pPr>
      <w:r>
        <w:rPr>
          <w:rFonts w:hint="eastAsia" w:ascii="仿宋" w:hAnsi="仿宋" w:eastAsia="仿宋" w:cs="仿宋"/>
          <w:b/>
          <w:bCs/>
          <w:snapToGrid w:val="0"/>
          <w:color w:val="auto"/>
          <w:kern w:val="0"/>
          <w:sz w:val="21"/>
          <w:szCs w:val="21"/>
          <w:highlight w:val="none"/>
          <w:lang w:val="en-US" w:eastAsia="zh-CN" w:bidi="ar"/>
        </w:rPr>
        <w:t>九、违约责任</w:t>
      </w:r>
    </w:p>
    <w:p w14:paraId="0B1CCB3D">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1.供应商员工给采购人造成的经济损失，由供应商负责赔偿。</w:t>
      </w:r>
    </w:p>
    <w:p w14:paraId="5E6518AD">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2.供应商员工有以下情形之一的，采购人可立即通知并退回：</w:t>
      </w:r>
    </w:p>
    <w:p w14:paraId="1CB39455">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①在试用期内不符合采购人工作要求的。</w:t>
      </w:r>
    </w:p>
    <w:p w14:paraId="2539D54F">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②严重违反采购人劳动纪律、规章制度的。</w:t>
      </w:r>
    </w:p>
    <w:p w14:paraId="16D07E6E">
      <w:pPr>
        <w:keepNext w:val="0"/>
        <w:keepLines w:val="0"/>
        <w:widowControl w:val="0"/>
        <w:suppressLineNumbers w:val="0"/>
        <w:adjustRightInd w:val="0"/>
        <w:snapToGrid w:val="0"/>
        <w:spacing w:before="0" w:beforeAutospacing="0" w:after="0" w:afterAutospacing="0" w:line="360" w:lineRule="auto"/>
        <w:ind w:left="479" w:leftChars="228" w:right="0" w:firstLine="0" w:firstLineChars="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③严重工作失职，营私舞弊，给采购人造成经济损失5000元以上及责任事故的。</w:t>
      </w:r>
    </w:p>
    <w:p w14:paraId="42B77E43">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④被依法追究刑事责任的。</w:t>
      </w:r>
    </w:p>
    <w:p w14:paraId="1B6FCAB9">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⑤发生其他应退回的事宜。</w:t>
      </w:r>
    </w:p>
    <w:p w14:paraId="7B87062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 w:hAnsi="仿宋" w:eastAsia="仿宋" w:cs="仿宋"/>
          <w:b/>
          <w:bCs/>
          <w:color w:val="auto"/>
          <w:kern w:val="0"/>
          <w:sz w:val="21"/>
          <w:szCs w:val="21"/>
          <w:highlight w:val="none"/>
          <w:lang w:val="en-US"/>
        </w:rPr>
      </w:pPr>
      <w:r>
        <w:rPr>
          <w:rFonts w:hint="eastAsia" w:ascii="仿宋" w:hAnsi="仿宋" w:eastAsia="仿宋" w:cs="仿宋"/>
          <w:b/>
          <w:bCs/>
          <w:snapToGrid w:val="0"/>
          <w:color w:val="auto"/>
          <w:kern w:val="0"/>
          <w:sz w:val="21"/>
          <w:szCs w:val="21"/>
          <w:highlight w:val="none"/>
          <w:lang w:val="en-US" w:eastAsia="zh-CN" w:bidi="ar"/>
        </w:rPr>
        <w:t>十、服务期限</w:t>
      </w:r>
    </w:p>
    <w:p w14:paraId="3853F2C1">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服务期限自</w:t>
      </w:r>
      <w:r>
        <w:rPr>
          <w:rFonts w:hint="eastAsia" w:ascii="仿宋" w:hAnsi="仿宋" w:eastAsia="仿宋" w:cs="仿宋"/>
          <w:color w:val="auto"/>
          <w:kern w:val="0"/>
          <w:sz w:val="21"/>
          <w:szCs w:val="21"/>
          <w:highlight w:val="none"/>
          <w:lang w:val="en-US"/>
        </w:rPr>
        <w:t>202</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snapToGrid w:val="0"/>
          <w:color w:val="auto"/>
          <w:kern w:val="0"/>
          <w:sz w:val="21"/>
          <w:szCs w:val="21"/>
          <w:highlight w:val="none"/>
          <w:lang w:eastAsia="zh-CN"/>
        </w:rPr>
        <w:t>年</w:t>
      </w:r>
      <w:r>
        <w:rPr>
          <w:rFonts w:hint="eastAsia" w:ascii="仿宋" w:hAnsi="仿宋" w:eastAsia="仿宋" w:cs="仿宋"/>
          <w:color w:val="auto"/>
          <w:kern w:val="0"/>
          <w:sz w:val="21"/>
          <w:szCs w:val="21"/>
          <w:highlight w:val="none"/>
          <w:lang w:val="en-US"/>
        </w:rPr>
        <w:t>1</w:t>
      </w:r>
      <w:r>
        <w:rPr>
          <w:rFonts w:hint="eastAsia" w:ascii="仿宋" w:hAnsi="仿宋" w:eastAsia="仿宋" w:cs="仿宋"/>
          <w:snapToGrid w:val="0"/>
          <w:color w:val="auto"/>
          <w:kern w:val="0"/>
          <w:sz w:val="21"/>
          <w:szCs w:val="21"/>
          <w:highlight w:val="none"/>
          <w:lang w:eastAsia="zh-CN"/>
        </w:rPr>
        <w:t>月</w:t>
      </w:r>
      <w:r>
        <w:rPr>
          <w:rFonts w:hint="eastAsia" w:ascii="仿宋" w:hAnsi="仿宋" w:eastAsia="仿宋" w:cs="仿宋"/>
          <w:color w:val="auto"/>
          <w:kern w:val="0"/>
          <w:sz w:val="21"/>
          <w:szCs w:val="21"/>
          <w:highlight w:val="none"/>
          <w:lang w:val="en-US"/>
        </w:rPr>
        <w:t>1</w:t>
      </w:r>
      <w:r>
        <w:rPr>
          <w:rFonts w:hint="eastAsia" w:ascii="仿宋" w:hAnsi="仿宋" w:eastAsia="仿宋" w:cs="仿宋"/>
          <w:snapToGrid w:val="0"/>
          <w:color w:val="auto"/>
          <w:kern w:val="0"/>
          <w:sz w:val="21"/>
          <w:szCs w:val="21"/>
          <w:highlight w:val="none"/>
          <w:lang w:eastAsia="zh-CN"/>
        </w:rPr>
        <w:t>日至</w:t>
      </w:r>
      <w:r>
        <w:rPr>
          <w:rFonts w:hint="eastAsia" w:ascii="仿宋" w:hAnsi="仿宋" w:eastAsia="仿宋" w:cs="仿宋"/>
          <w:color w:val="auto"/>
          <w:kern w:val="0"/>
          <w:sz w:val="21"/>
          <w:szCs w:val="21"/>
          <w:highlight w:val="none"/>
          <w:lang w:val="en-US"/>
        </w:rPr>
        <w:t>202</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snapToGrid w:val="0"/>
          <w:color w:val="auto"/>
          <w:kern w:val="0"/>
          <w:sz w:val="21"/>
          <w:szCs w:val="21"/>
          <w:highlight w:val="none"/>
          <w:lang w:eastAsia="zh-CN"/>
        </w:rPr>
        <w:t>年</w:t>
      </w:r>
      <w:r>
        <w:rPr>
          <w:rFonts w:hint="eastAsia" w:ascii="仿宋" w:hAnsi="仿宋" w:eastAsia="仿宋" w:cs="仿宋"/>
          <w:color w:val="auto"/>
          <w:kern w:val="0"/>
          <w:sz w:val="21"/>
          <w:szCs w:val="21"/>
          <w:highlight w:val="none"/>
          <w:lang w:val="en-US"/>
        </w:rPr>
        <w:t>12</w:t>
      </w:r>
      <w:r>
        <w:rPr>
          <w:rFonts w:hint="eastAsia" w:ascii="仿宋" w:hAnsi="仿宋" w:eastAsia="仿宋" w:cs="仿宋"/>
          <w:snapToGrid w:val="0"/>
          <w:color w:val="auto"/>
          <w:kern w:val="0"/>
          <w:sz w:val="21"/>
          <w:szCs w:val="21"/>
          <w:highlight w:val="none"/>
          <w:lang w:eastAsia="zh-CN"/>
        </w:rPr>
        <w:t>月</w:t>
      </w:r>
      <w:r>
        <w:rPr>
          <w:rFonts w:hint="eastAsia" w:ascii="仿宋" w:hAnsi="仿宋" w:eastAsia="仿宋" w:cs="仿宋"/>
          <w:color w:val="auto"/>
          <w:kern w:val="0"/>
          <w:sz w:val="21"/>
          <w:szCs w:val="21"/>
          <w:highlight w:val="none"/>
          <w:lang w:val="en-US"/>
        </w:rPr>
        <w:t>31</w:t>
      </w:r>
      <w:r>
        <w:rPr>
          <w:rFonts w:hint="eastAsia" w:ascii="仿宋" w:hAnsi="仿宋" w:eastAsia="仿宋" w:cs="仿宋"/>
          <w:snapToGrid w:val="0"/>
          <w:color w:val="auto"/>
          <w:kern w:val="0"/>
          <w:sz w:val="21"/>
          <w:szCs w:val="21"/>
          <w:highlight w:val="none"/>
          <w:lang w:eastAsia="zh-CN"/>
        </w:rPr>
        <w:t>日止。服务期满，供应商根据采购人的要求延续提供</w:t>
      </w:r>
      <w:r>
        <w:rPr>
          <w:rFonts w:hint="eastAsia" w:ascii="仿宋" w:hAnsi="仿宋" w:eastAsia="仿宋" w:cs="仿宋"/>
          <w:color w:val="auto"/>
          <w:kern w:val="0"/>
          <w:sz w:val="21"/>
          <w:szCs w:val="21"/>
          <w:highlight w:val="none"/>
          <w:lang w:val="en-US"/>
        </w:rPr>
        <w:t>1-</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snapToGrid w:val="0"/>
          <w:color w:val="auto"/>
          <w:kern w:val="0"/>
          <w:sz w:val="21"/>
          <w:szCs w:val="21"/>
          <w:highlight w:val="none"/>
          <w:lang w:eastAsia="zh-CN"/>
        </w:rPr>
        <w:t>个月的服务，费用标准按</w:t>
      </w:r>
      <w:r>
        <w:rPr>
          <w:rFonts w:hint="eastAsia" w:ascii="仿宋" w:hAnsi="仿宋" w:eastAsia="仿宋" w:cs="仿宋"/>
          <w:snapToGrid w:val="0"/>
          <w:color w:val="auto"/>
          <w:kern w:val="0"/>
          <w:sz w:val="21"/>
          <w:szCs w:val="21"/>
          <w:highlight w:val="none"/>
          <w:lang w:val="en-US" w:eastAsia="zh-CN"/>
        </w:rPr>
        <w:t>新</w:t>
      </w:r>
      <w:r>
        <w:rPr>
          <w:rFonts w:hint="eastAsia" w:ascii="仿宋" w:hAnsi="仿宋" w:eastAsia="仿宋" w:cs="仿宋"/>
          <w:snapToGrid w:val="0"/>
          <w:color w:val="auto"/>
          <w:kern w:val="0"/>
          <w:sz w:val="21"/>
          <w:szCs w:val="21"/>
          <w:highlight w:val="none"/>
          <w:lang w:eastAsia="zh-CN"/>
        </w:rPr>
        <w:t>合同规定执行。</w:t>
      </w:r>
    </w:p>
    <w:p w14:paraId="51713B7C">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kern w:val="0"/>
          <w:sz w:val="21"/>
          <w:szCs w:val="21"/>
          <w:highlight w:val="none"/>
          <w:lang w:val="en-US"/>
        </w:rPr>
      </w:pPr>
      <w:r>
        <w:rPr>
          <w:rFonts w:hint="eastAsia" w:ascii="仿宋" w:hAnsi="仿宋" w:eastAsia="仿宋" w:cs="仿宋"/>
          <w:snapToGrid w:val="0"/>
          <w:color w:val="auto"/>
          <w:kern w:val="0"/>
          <w:sz w:val="21"/>
          <w:szCs w:val="21"/>
          <w:highlight w:val="none"/>
          <w:lang w:val="en-US" w:eastAsia="zh-CN" w:bidi="ar"/>
        </w:rPr>
        <w:t>若本项目因为采购流程时间导致原服务商需延期1-3个月服务的，供应商需在收到采购方方支付首笔费用后一周内，按中标金额标准折算支付1-3个月服务费至原服务单位。</w:t>
      </w:r>
    </w:p>
    <w:p w14:paraId="26A0FAD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 w:hAnsi="仿宋" w:eastAsia="仿宋" w:cs="仿宋"/>
          <w:b/>
          <w:bCs/>
          <w:snapToGrid w:val="0"/>
          <w:color w:val="auto"/>
          <w:kern w:val="0"/>
          <w:sz w:val="21"/>
          <w:szCs w:val="21"/>
          <w:highlight w:val="none"/>
          <w:lang w:val="zh-CN" w:eastAsia="zh-CN"/>
        </w:rPr>
      </w:pPr>
      <w:r>
        <w:rPr>
          <w:rFonts w:hint="eastAsia" w:ascii="仿宋" w:hAnsi="仿宋" w:eastAsia="仿宋" w:cs="仿宋"/>
          <w:b/>
          <w:bCs/>
          <w:snapToGrid w:val="0"/>
          <w:color w:val="auto"/>
          <w:kern w:val="0"/>
          <w:sz w:val="21"/>
          <w:szCs w:val="21"/>
          <w:highlight w:val="none"/>
          <w:lang w:val="zh-CN" w:eastAsia="zh-CN" w:bidi="ar"/>
        </w:rPr>
        <w:t>十一、供应商的相关服务方案</w:t>
      </w:r>
    </w:p>
    <w:p w14:paraId="1AEF40A7">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1.考虑会议保障场所及会议内容的保密特性，供应商应针对性建立保密管理方案。</w:t>
      </w:r>
    </w:p>
    <w:p w14:paraId="6FB9685B">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2.针对项目需求及当前的疫情形势，供应商应建立应急预案管理方案。预案内容包括但不限于：</w:t>
      </w:r>
    </w:p>
    <w:p w14:paraId="7980E4A1">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（1）服务保障时，如项目有特殊接待任务及超负荷接待等应急服务的要求，供应商如何考虑人员临时调配的时效性与便捷性，以保障服务要求；</w:t>
      </w:r>
    </w:p>
    <w:p w14:paraId="0B3D5C8C">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（2）在当前疫情形势下的，会议人员聚集等特殊安全管理的双重要求。</w:t>
      </w:r>
    </w:p>
    <w:p w14:paraId="386BB31D">
      <w:pPr>
        <w:keepNext w:val="0"/>
        <w:keepLines w:val="0"/>
        <w:widowControl w:val="0"/>
        <w:suppressLineNumbers w:val="0"/>
        <w:autoSpaceDE w:val="0"/>
        <w:autoSpaceDN w:val="0"/>
        <w:adjustRightInd w:val="0"/>
        <w:snapToGrid w:val="0"/>
        <w:spacing w:before="120" w:beforeLines="50" w:beforeAutospacing="0" w:after="0" w:afterAutospacing="0" w:line="360" w:lineRule="auto"/>
        <w:ind w:left="0" w:right="0"/>
        <w:jc w:val="left"/>
        <w:rPr>
          <w:rFonts w:hint="eastAsia" w:ascii="仿宋" w:hAnsi="仿宋" w:eastAsia="仿宋" w:cs="仿宋"/>
          <w:b/>
          <w:bCs/>
          <w:color w:val="auto"/>
          <w:kern w:val="0"/>
          <w:sz w:val="21"/>
          <w:szCs w:val="21"/>
          <w:highlight w:val="none"/>
          <w:lang w:val="zh-CN" w:eastAsia="zh-CN"/>
        </w:rPr>
      </w:pPr>
      <w:r>
        <w:rPr>
          <w:rFonts w:hint="eastAsia" w:ascii="仿宋" w:hAnsi="仿宋" w:eastAsia="仿宋" w:cs="仿宋"/>
          <w:b/>
          <w:bCs/>
          <w:color w:val="auto"/>
          <w:kern w:val="0"/>
          <w:sz w:val="21"/>
          <w:szCs w:val="21"/>
          <w:highlight w:val="none"/>
          <w:lang w:val="zh-CN" w:eastAsia="zh-CN" w:bidi="ar"/>
        </w:rPr>
        <w:t>十二、商务要求</w:t>
      </w:r>
    </w:p>
    <w:p w14:paraId="6E107B0A">
      <w:pPr>
        <w:keepNext w:val="0"/>
        <w:keepLines w:val="0"/>
        <w:widowControl w:val="0"/>
        <w:numPr>
          <w:ilvl w:val="0"/>
          <w:numId w:val="2"/>
        </w:numPr>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考虑本项目服务的任务特殊性，供应商2019年11月1日以来应具备一定的项目实施经验，并配置有充分的专业技术人员保障服务质量。</w:t>
      </w:r>
    </w:p>
    <w:p w14:paraId="030030B8">
      <w:pPr>
        <w:keepNext w:val="0"/>
        <w:keepLines w:val="0"/>
        <w:widowControl w:val="0"/>
        <w:numPr>
          <w:ilvl w:val="0"/>
          <w:numId w:val="2"/>
        </w:numPr>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为切实履行会议管理责任及服务质量，供应商应建立完善的质量管理体系、环境管理体系、职业健康安全体系管理体系等管理规程及质量标准。</w:t>
      </w:r>
    </w:p>
    <w:p w14:paraId="791357CA">
      <w:pPr>
        <w:keepNext w:val="0"/>
        <w:keepLines w:val="0"/>
        <w:widowControl w:val="0"/>
        <w:numPr>
          <w:ilvl w:val="0"/>
          <w:numId w:val="2"/>
        </w:numPr>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建立会议管理制度：考虑现场的场地条件及会场保障需求，如何安排会场的及时清理及会前、会中、会后的保障方案，以保障会议召开的高效、及时性。</w:t>
      </w:r>
    </w:p>
    <w:p w14:paraId="5E6628CB">
      <w:pPr>
        <w:keepNext w:val="0"/>
        <w:keepLines w:val="0"/>
        <w:widowControl w:val="0"/>
        <w:suppressLineNumbers w:val="0"/>
        <w:autoSpaceDE w:val="0"/>
        <w:autoSpaceDN w:val="0"/>
        <w:adjustRightInd w:val="0"/>
        <w:snapToGrid w:val="0"/>
        <w:spacing w:before="120" w:beforeLines="50" w:beforeAutospacing="0" w:after="0" w:afterAutospacing="0" w:line="360" w:lineRule="auto"/>
        <w:ind w:left="0" w:right="0"/>
        <w:jc w:val="left"/>
        <w:rPr>
          <w:rFonts w:hint="eastAsia" w:ascii="仿宋" w:hAnsi="仿宋" w:eastAsia="仿宋" w:cs="仿宋"/>
          <w:b/>
          <w:bCs/>
          <w:color w:val="auto"/>
          <w:kern w:val="0"/>
          <w:sz w:val="21"/>
          <w:szCs w:val="21"/>
          <w:highlight w:val="none"/>
          <w:lang w:val="zh-CN" w:eastAsia="zh-CN"/>
        </w:rPr>
      </w:pPr>
      <w:r>
        <w:rPr>
          <w:rFonts w:hint="eastAsia" w:ascii="仿宋" w:hAnsi="仿宋" w:eastAsia="仿宋" w:cs="仿宋"/>
          <w:b/>
          <w:bCs/>
          <w:color w:val="auto"/>
          <w:kern w:val="0"/>
          <w:sz w:val="21"/>
          <w:szCs w:val="21"/>
          <w:highlight w:val="none"/>
          <w:lang w:val="zh-CN" w:eastAsia="zh-CN" w:bidi="ar"/>
        </w:rPr>
        <w:t>十三、验收</w:t>
      </w:r>
    </w:p>
    <w:p w14:paraId="72114004">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仿宋" w:hAnsi="仿宋" w:eastAsia="仿宋" w:cs="仿宋"/>
          <w:color w:val="auto"/>
          <w:highlight w:val="none"/>
        </w:rPr>
      </w:pPr>
      <w:r>
        <w:rPr>
          <w:rFonts w:hint="eastAsia" w:ascii="仿宋" w:hAnsi="仿宋" w:eastAsia="仿宋" w:cs="仿宋"/>
          <w:snapToGrid w:val="0"/>
          <w:color w:val="auto"/>
          <w:kern w:val="0"/>
          <w:sz w:val="21"/>
          <w:szCs w:val="21"/>
          <w:highlight w:val="none"/>
          <w:lang w:val="en-US" w:eastAsia="zh-CN" w:bidi="ar"/>
        </w:rPr>
        <w:t>采购人根据中标供应商的人员安排及服务质量，对服务质量分期考核和评</w:t>
      </w:r>
      <w:r>
        <w:rPr>
          <w:rFonts w:hint="eastAsia" w:ascii="仿宋" w:hAnsi="仿宋" w:eastAsia="仿宋" w:cs="仿宋"/>
          <w:snapToGrid w:val="0"/>
          <w:color w:val="auto"/>
          <w:kern w:val="0"/>
          <w:sz w:val="24"/>
          <w:szCs w:val="24"/>
          <w:highlight w:val="none"/>
          <w:lang w:val="en-US" w:eastAsia="zh-CN" w:bidi="ar"/>
        </w:rPr>
        <w:t>价，过程考核情况和服务质量可作为最终验收的依据。</w:t>
      </w:r>
    </w:p>
    <w:p w14:paraId="40DFC6FC">
      <w:pPr>
        <w:pStyle w:val="58"/>
        <w:keepNext w:val="0"/>
        <w:keepLines w:val="0"/>
        <w:widowControl w:val="0"/>
        <w:suppressLineNumbers w:val="0"/>
        <w:autoSpaceDE w:val="0"/>
        <w:autoSpaceDN w:val="0"/>
        <w:adjustRightInd w:val="0"/>
        <w:snapToGrid w:val="0"/>
        <w:spacing w:before="0" w:beforeAutospacing="0" w:after="0" w:afterAutospacing="0" w:line="360" w:lineRule="auto"/>
        <w:ind w:right="0"/>
        <w:jc w:val="left"/>
        <w:rPr>
          <w:rFonts w:hint="eastAsia" w:ascii="仿宋" w:hAnsi="仿宋" w:eastAsia="仿宋" w:cs="仿宋"/>
          <w:color w:val="auto"/>
          <w:sz w:val="21"/>
          <w:szCs w:val="21"/>
          <w:highlight w:val="none"/>
          <w:lang w:val="en-US"/>
        </w:rPr>
      </w:pPr>
      <w:bookmarkStart w:id="36" w:name="_Toc483"/>
      <w:r>
        <w:rPr>
          <w:rFonts w:hint="eastAsia" w:ascii="仿宋" w:hAnsi="仿宋" w:eastAsia="仿宋" w:cs="仿宋"/>
          <w:snapToGrid w:val="0"/>
          <w:color w:val="auto"/>
          <w:kern w:val="0"/>
          <w:sz w:val="21"/>
          <w:szCs w:val="21"/>
          <w:highlight w:val="none"/>
          <w:lang w:val="en-US" w:eastAsia="zh-CN" w:bidi="ar"/>
        </w:rPr>
        <w:t>附：</w:t>
      </w:r>
    </w:p>
    <w:p w14:paraId="401B66E1">
      <w:pPr>
        <w:snapToGrid w:val="0"/>
        <w:spacing w:line="240" w:lineRule="auto"/>
        <w:jc w:val="center"/>
        <w:textAlignment w:val="baseline"/>
        <w:rPr>
          <w:rFonts w:hint="eastAsia" w:ascii="仿宋" w:hAnsi="仿宋" w:eastAsia="仿宋" w:cs="仿宋"/>
          <w:b/>
          <w:bCs w:val="0"/>
          <w:color w:val="auto"/>
          <w:kern w:val="0"/>
          <w:sz w:val="21"/>
          <w:szCs w:val="21"/>
          <w:highlight w:val="none"/>
          <w:lang w:val="en-US"/>
        </w:rPr>
      </w:pPr>
      <w:r>
        <w:rPr>
          <w:rFonts w:hint="eastAsia" w:ascii="仿宋" w:hAnsi="仿宋" w:eastAsia="仿宋" w:cs="仿宋"/>
          <w:b/>
          <w:bCs w:val="0"/>
          <w:color w:val="auto"/>
          <w:kern w:val="0"/>
          <w:sz w:val="21"/>
          <w:szCs w:val="21"/>
          <w:highlight w:val="none"/>
          <w:lang w:val="en-US" w:eastAsia="zh-CN"/>
        </w:rPr>
        <w:t>《杭州市行政大楼服务保障中心公务服务及会议中心劳务服务监管考核办法》</w:t>
      </w:r>
    </w:p>
    <w:p w14:paraId="5C2323B0">
      <w:pPr>
        <w:pStyle w:val="58"/>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36" w:lineRule="auto"/>
        <w:ind w:left="0" w:right="0" w:firstLine="371" w:firstLineChars="177"/>
        <w:jc w:val="left"/>
        <w:rPr>
          <w:rFonts w:hint="eastAsia" w:ascii="仿宋" w:hAnsi="仿宋" w:eastAsia="仿宋" w:cs="仿宋"/>
          <w:snapToGrid w:val="0"/>
          <w:color w:val="auto"/>
          <w:sz w:val="21"/>
          <w:szCs w:val="21"/>
          <w:highlight w:val="none"/>
          <w:lang w:val="en-US"/>
        </w:rPr>
      </w:pPr>
    </w:p>
    <w:p w14:paraId="236D71A0">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为加强公务服务及会议服务管理，规范服务标准，提升服务品质，结合市民中心公务服务和会议服务的实际要求，特制定本办法。</w:t>
      </w:r>
    </w:p>
    <w:p w14:paraId="40FA863D">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一、监管考核要求</w:t>
      </w:r>
    </w:p>
    <w:p w14:paraId="060FCEE3">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根据购买服务合同科学制定监督考核细则，建立“日巡查、周报告、月考核”监管考核机制。</w:t>
      </w:r>
    </w:p>
    <w:p w14:paraId="6FF90004">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（一）建立日巡查情况台账，作为周报告和月考核的依据。</w:t>
      </w:r>
    </w:p>
    <w:p w14:paraId="28DC26C2">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（二）周报告情况一式三份，经服务承接单位、监管科室双方签字确认，于每周一上午前报中心办公室。</w:t>
      </w:r>
    </w:p>
    <w:p w14:paraId="262FF102">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（三）月度考核总分100分，其中公务服务监管考核评分分值30分（附表1），会议服务监管考核评分分值70分（附表2），每月汇总（附表3）。</w:t>
      </w:r>
    </w:p>
    <w:p w14:paraId="5A768792">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月考核表各科室一式</w:t>
      </w:r>
      <w:r>
        <w:rPr>
          <w:rFonts w:hint="eastAsia" w:ascii="仿宋" w:hAnsi="仿宋" w:eastAsia="仿宋" w:cs="仿宋"/>
          <w:color w:val="auto"/>
          <w:sz w:val="21"/>
          <w:szCs w:val="21"/>
          <w:highlight w:val="none"/>
          <w:lang w:val="en-US" w:eastAsia="zh-CN"/>
        </w:rPr>
        <w:t>四</w:t>
      </w:r>
      <w:r>
        <w:rPr>
          <w:rFonts w:hint="eastAsia" w:ascii="仿宋" w:hAnsi="仿宋" w:eastAsia="仿宋" w:cs="仿宋"/>
          <w:color w:val="auto"/>
          <w:sz w:val="21"/>
          <w:szCs w:val="21"/>
          <w:highlight w:val="none"/>
        </w:rPr>
        <w:t>份，经服务承接单位、</w:t>
      </w:r>
      <w:r>
        <w:rPr>
          <w:rFonts w:hint="eastAsia" w:ascii="仿宋" w:hAnsi="仿宋" w:eastAsia="仿宋" w:cs="仿宋"/>
          <w:color w:val="auto"/>
          <w:sz w:val="21"/>
          <w:szCs w:val="21"/>
          <w:highlight w:val="none"/>
          <w:lang w:val="en-US" w:eastAsia="zh-CN"/>
        </w:rPr>
        <w:t>相关</w:t>
      </w:r>
      <w:r>
        <w:rPr>
          <w:rFonts w:hint="eastAsia" w:ascii="仿宋" w:hAnsi="仿宋" w:eastAsia="仿宋" w:cs="仿宋"/>
          <w:color w:val="auto"/>
          <w:sz w:val="21"/>
          <w:szCs w:val="21"/>
          <w:highlight w:val="none"/>
        </w:rPr>
        <w:t>监管科室、分管</w:t>
      </w:r>
      <w:r>
        <w:rPr>
          <w:rFonts w:hint="eastAsia" w:ascii="仿宋" w:hAnsi="仿宋" w:eastAsia="仿宋" w:cs="仿宋"/>
          <w:color w:val="auto"/>
          <w:sz w:val="21"/>
          <w:szCs w:val="21"/>
          <w:highlight w:val="none"/>
          <w:lang w:val="en-US" w:eastAsia="zh-CN"/>
        </w:rPr>
        <w:t>领导多</w:t>
      </w:r>
      <w:r>
        <w:rPr>
          <w:rFonts w:hint="eastAsia" w:ascii="仿宋" w:hAnsi="仿宋" w:eastAsia="仿宋" w:cs="仿宋"/>
          <w:color w:val="auto"/>
          <w:sz w:val="21"/>
          <w:szCs w:val="21"/>
          <w:highlight w:val="none"/>
        </w:rPr>
        <w:t>方签字确认，于次月1日前报中心办公室备案。</w:t>
      </w:r>
    </w:p>
    <w:p w14:paraId="3C22A7E3">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二、监管考核范围</w:t>
      </w:r>
    </w:p>
    <w:p w14:paraId="6CA2540A">
      <w:pPr>
        <w:keepNext w:val="0"/>
        <w:keepLines w:val="0"/>
        <w:pageBreakBefore w:val="0"/>
        <w:numPr>
          <w:ilvl w:val="0"/>
          <w:numId w:val="0"/>
        </w:numPr>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公务服务监管考核的范围：市民中心行政大楼公务楼层会议服务保障工作，领导办公室公务服务保障工作，公务接待休息室的服务保障工作。</w:t>
      </w:r>
    </w:p>
    <w:p w14:paraId="028C2391">
      <w:pPr>
        <w:keepNext w:val="0"/>
        <w:keepLines w:val="0"/>
        <w:pageBreakBefore w:val="0"/>
        <w:numPr>
          <w:ilvl w:val="0"/>
          <w:numId w:val="0"/>
        </w:numPr>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会议服务监管考核的范围：会议中心各类会议服务保障工作。</w:t>
      </w:r>
    </w:p>
    <w:p w14:paraId="32ABF2FE">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三、监管考核细则</w:t>
      </w:r>
    </w:p>
    <w:p w14:paraId="2B38ABDE">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（一）基础管理</w:t>
      </w:r>
    </w:p>
    <w:p w14:paraId="4CCEF717">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合同约定配备人员，组织架构、人员调整须事先书面报备，经中心分管领导同意后方可实施。以不影响服务质量为原则，合理安排工作人员休假；由于工作原因，领班及以上管理人员调离需提前1个月时间做好交接工作（根据协议内容）；普通职员因离职空缺的岗位应在15个工作日内补齐,工作日人员到</w:t>
      </w:r>
      <w:r>
        <w:rPr>
          <w:rFonts w:hint="eastAsia" w:ascii="仿宋" w:hAnsi="仿宋" w:eastAsia="仿宋" w:cs="仿宋"/>
          <w:color w:val="auto"/>
          <w:sz w:val="21"/>
          <w:szCs w:val="21"/>
          <w:highlight w:val="none"/>
          <w:lang w:val="en-US" w:eastAsia="zh-CN"/>
        </w:rPr>
        <w:t>岗</w:t>
      </w:r>
      <w:r>
        <w:rPr>
          <w:rFonts w:hint="eastAsia" w:ascii="仿宋" w:hAnsi="仿宋" w:eastAsia="仿宋" w:cs="仿宋"/>
          <w:color w:val="auto"/>
          <w:sz w:val="21"/>
          <w:szCs w:val="21"/>
          <w:highlight w:val="none"/>
        </w:rPr>
        <w:t>率达到90%以上。建立内部管理制度和培训机制，提升员工素质和职业技能，按计划落实培训相关内容。工作人员值班，工作日、双休及节假日值班时间根据机关值班时间进行安排，做好工作交接记录，做好各类设施设备安全巡查工作，完成相应数据统计台账并上报监管部门。会议服务规章制度的管理，根据会议服务要求不断完善服务相关制度。自觉维护良好服务形象，严格遵守安全保密制度，会议保障期间须将手机调至静音，不得随意接听电话，保障重要会议或涉密会议时一律不准带手机或其他录音、录像设备进入会场。遵守中心的相关规定和纪律。针对突发事件建立应急预案和台账，通过定期组织培训、演练，提高应急处理能力，如遇突发事件须及时通知监管部门并采取相应措施。</w:t>
      </w:r>
    </w:p>
    <w:p w14:paraId="65A17AC1">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（二）公务服务监管考核标准</w:t>
      </w:r>
    </w:p>
    <w:p w14:paraId="0A014F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firstLine="422" w:firstLineChars="200"/>
        <w:jc w:val="both"/>
        <w:textAlignment w:val="baseline"/>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lang w:val="en-US" w:eastAsia="zh-CN" w:bidi="ar"/>
        </w:rPr>
        <w:t>1.</w:t>
      </w:r>
      <w:r>
        <w:rPr>
          <w:rFonts w:hint="eastAsia" w:ascii="仿宋" w:hAnsi="仿宋" w:eastAsia="仿宋" w:cs="仿宋"/>
          <w:color w:val="auto"/>
          <w:kern w:val="0"/>
          <w:sz w:val="21"/>
          <w:szCs w:val="21"/>
          <w:highlight w:val="none"/>
          <w:lang w:val="en-US" w:eastAsia="zh-CN" w:bidi="ar"/>
        </w:rPr>
        <w:t>公务楼层会议</w:t>
      </w:r>
      <w:r>
        <w:rPr>
          <w:rFonts w:hint="eastAsia" w:ascii="仿宋" w:hAnsi="仿宋" w:eastAsia="仿宋" w:cs="仿宋"/>
          <w:color w:val="auto"/>
          <w:kern w:val="0"/>
          <w:sz w:val="21"/>
          <w:szCs w:val="21"/>
          <w:highlight w:val="none"/>
          <w:lang w:eastAsia="zh-CN" w:bidi="ar"/>
        </w:rPr>
        <w:t>服务监管考核标准</w:t>
      </w:r>
      <w:r>
        <w:rPr>
          <w:rFonts w:hint="eastAsia" w:ascii="仿宋" w:hAnsi="仿宋" w:eastAsia="仿宋" w:cs="仿宋"/>
          <w:color w:val="auto"/>
          <w:kern w:val="0"/>
          <w:sz w:val="21"/>
          <w:szCs w:val="21"/>
          <w:highlight w:val="none"/>
          <w:lang w:val="en-US" w:eastAsia="zh-CN" w:bidi="ar"/>
        </w:rPr>
        <w:t>参照会议服务监管考核标准。</w:t>
      </w:r>
    </w:p>
    <w:p w14:paraId="5A547D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firstLine="422" w:firstLineChars="200"/>
        <w:jc w:val="both"/>
        <w:textAlignment w:val="baseline"/>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val="en-US" w:eastAsia="zh-CN" w:bidi="ar"/>
        </w:rPr>
        <w:t>公务服务、公务休息室</w:t>
      </w:r>
    </w:p>
    <w:p w14:paraId="0DFABB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firstLine="420" w:firstLineChars="20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（1）必须在监管人员带领下进入领导办公室进行保洁服务。严禁</w:t>
      </w:r>
      <w:r>
        <w:rPr>
          <w:rFonts w:hint="eastAsia" w:ascii="仿宋" w:hAnsi="仿宋" w:eastAsia="仿宋" w:cs="仿宋"/>
          <w:color w:val="auto"/>
          <w:kern w:val="0"/>
          <w:sz w:val="21"/>
          <w:szCs w:val="21"/>
          <w:highlight w:val="none"/>
          <w:lang w:eastAsia="zh-CN" w:bidi="ar"/>
        </w:rPr>
        <w:t>携</w:t>
      </w:r>
      <w:r>
        <w:rPr>
          <w:rFonts w:hint="eastAsia" w:ascii="仿宋" w:hAnsi="仿宋" w:eastAsia="仿宋" w:cs="仿宋"/>
          <w:color w:val="auto"/>
          <w:kern w:val="0"/>
          <w:sz w:val="21"/>
          <w:szCs w:val="21"/>
          <w:highlight w:val="none"/>
          <w:lang w:val="en-US" w:eastAsia="zh-CN" w:bidi="ar"/>
        </w:rPr>
        <w:t>带手机进领导办公室。</w:t>
      </w:r>
    </w:p>
    <w:p w14:paraId="3482CD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firstLine="420" w:firstLineChars="20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（2）工作日早晚对市领导办公区域进行清洁检查。按时领取报刊杂志分发到领导办公室，做好早、晚班工作交接台账记录，认真完成</w:t>
      </w:r>
      <w:r>
        <w:rPr>
          <w:rFonts w:hint="eastAsia" w:ascii="仿宋" w:hAnsi="仿宋" w:eastAsia="仿宋" w:cs="仿宋"/>
          <w:color w:val="auto"/>
          <w:kern w:val="0"/>
          <w:sz w:val="21"/>
          <w:szCs w:val="21"/>
          <w:highlight w:val="none"/>
          <w:lang w:eastAsia="zh-CN" w:bidi="ar"/>
        </w:rPr>
        <w:t>监管人员</w:t>
      </w:r>
      <w:r>
        <w:rPr>
          <w:rFonts w:hint="eastAsia" w:ascii="仿宋" w:hAnsi="仿宋" w:eastAsia="仿宋" w:cs="仿宋"/>
          <w:color w:val="auto"/>
          <w:kern w:val="0"/>
          <w:sz w:val="21"/>
          <w:szCs w:val="21"/>
          <w:highlight w:val="none"/>
          <w:lang w:val="en-US" w:eastAsia="zh-CN" w:bidi="ar"/>
        </w:rPr>
        <w:t>交办的任务，并确保服务质量。</w:t>
      </w:r>
    </w:p>
    <w:p w14:paraId="0416D3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firstLine="420" w:firstLineChars="20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（3）双休、节假日期间认真落实值班制度，值班人员做好工作交接台账记录，做好服务保障工作。</w:t>
      </w:r>
    </w:p>
    <w:p w14:paraId="213839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firstLine="420" w:firstLineChars="20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（4）对领导办公室和公务接待休息室电器日常的管理，每月配合做好物管二科和物业对领导办公室所有用电和电器的进场排查工作，以及日常领导办公室设备</w:t>
      </w:r>
      <w:r>
        <w:rPr>
          <w:rFonts w:hint="eastAsia" w:ascii="仿宋" w:hAnsi="仿宋" w:eastAsia="仿宋" w:cs="仿宋"/>
          <w:color w:val="auto"/>
          <w:kern w:val="0"/>
          <w:sz w:val="21"/>
          <w:szCs w:val="21"/>
          <w:highlight w:val="none"/>
          <w:lang w:eastAsia="zh-CN" w:bidi="ar"/>
        </w:rPr>
        <w:t>报</w:t>
      </w:r>
      <w:r>
        <w:rPr>
          <w:rFonts w:hint="eastAsia" w:ascii="仿宋" w:hAnsi="仿宋" w:eastAsia="仿宋" w:cs="仿宋"/>
          <w:color w:val="auto"/>
          <w:kern w:val="0"/>
          <w:sz w:val="21"/>
          <w:szCs w:val="21"/>
          <w:highlight w:val="none"/>
          <w:lang w:val="en-US" w:eastAsia="zh-CN" w:bidi="ar"/>
        </w:rPr>
        <w:t>修和跟进工作，做好相关台账记录。</w:t>
      </w:r>
    </w:p>
    <w:p w14:paraId="1B89A6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firstLine="420" w:firstLineChars="20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（5）每月定期对领导办公室和公务接待休息室的洗漱用品、矿泉水等消耗品进行生产日期检查。</w:t>
      </w:r>
    </w:p>
    <w:p w14:paraId="2AA64F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firstLine="420" w:firstLineChars="20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（6）公务接待休息室接到保障通知，第一时间做好准备，使用后，及时更换床上用品，打扫卫生并做好工作记录；</w:t>
      </w:r>
    </w:p>
    <w:p w14:paraId="3D339E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firstLine="420" w:firstLineChars="20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（7）出现特殊天气或事件，提前做好相关准备，确保公务接待休息室可以立即使用，及时增加值班人员。</w:t>
      </w:r>
    </w:p>
    <w:p w14:paraId="058FB8F6">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（三）会议服务监管考核标准</w:t>
      </w:r>
    </w:p>
    <w:p w14:paraId="27059052">
      <w:pPr>
        <w:keepNext w:val="0"/>
        <w:keepLines w:val="0"/>
        <w:pageBreakBefore w:val="0"/>
        <w:kinsoku/>
        <w:wordWrap/>
        <w:overflowPunct/>
        <w:topLinePunct w:val="0"/>
        <w:autoSpaceDE/>
        <w:autoSpaceDN/>
        <w:bidi w:val="0"/>
        <w:adjustRightInd w:val="0"/>
        <w:snapToGrid w:val="0"/>
        <w:spacing w:line="336"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1.会前管理</w:t>
      </w:r>
    </w:p>
    <w:p w14:paraId="78F5FAA2">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（1）会议登记调度员按平台预约信息，提前一天与主办方做好会场使用、会议内容确认、审核，打印派发会议通知单等相关工作。</w:t>
      </w:r>
    </w:p>
    <w:p w14:paraId="5E32E1E9">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接到会议任务单后，会议服务方按主办方的要求做好工作分配，根据主办方的需求提前对会场进行布置（包括音控、视频、会议相关议程等）。如遇特殊要求及时沟通协调解决，确保各项会前准备工作按会议主办方的标准、要求落实，并做到完善、细化。如遇A类会议，须在岗前会议召开前1小时向会议监管方报送《会议服务保障方案》（紧急会议除外），及时报告临时性增加或减少会议预订情况。</w:t>
      </w:r>
    </w:p>
    <w:p w14:paraId="2B83BBA1">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根据会议任务单下达的内容、参会人数及相关要求，现场会议负责人须提前1小时（重要会议提前1.5-2小时进行布置，至少1名主管以上管理人员）到岗，检查是否按通知单上的要求落实，及时沟通转达会议内容及服务保障的要求。</w:t>
      </w:r>
    </w:p>
    <w:p w14:paraId="13A3EFA7">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（4）A类会议提前1.5-2小时到岗布置会场并召开岗位会议，会前须按规定时间内完成所有准备工作，按会议需求检查会场，服务人员提前半小时</w:t>
      </w:r>
      <w:r>
        <w:rPr>
          <w:rFonts w:hint="eastAsia" w:ascii="仿宋" w:hAnsi="仿宋" w:eastAsia="仿宋" w:cs="仿宋"/>
          <w:color w:val="auto"/>
          <w:sz w:val="21"/>
          <w:szCs w:val="21"/>
          <w:highlight w:val="none"/>
          <w:lang w:val="en-US" w:eastAsia="zh-CN"/>
        </w:rPr>
        <w:t>站立服务</w:t>
      </w:r>
      <w:r>
        <w:rPr>
          <w:rFonts w:hint="eastAsia" w:ascii="仿宋" w:hAnsi="仿宋" w:eastAsia="仿宋" w:cs="仿宋"/>
          <w:color w:val="auto"/>
          <w:sz w:val="21"/>
          <w:szCs w:val="21"/>
          <w:highlight w:val="none"/>
        </w:rPr>
        <w:t>。会前20分钟倒好参会人员茶水，会前5—10分钟倒好主席台上的茶水。</w:t>
      </w:r>
    </w:p>
    <w:p w14:paraId="17904F4A">
      <w:pPr>
        <w:keepNext w:val="0"/>
        <w:keepLines w:val="0"/>
        <w:pageBreakBefore w:val="0"/>
        <w:widowControl/>
        <w:numPr>
          <w:ilvl w:val="0"/>
          <w:numId w:val="0"/>
        </w:numPr>
        <w:kinsoku/>
        <w:wordWrap/>
        <w:overflowPunct/>
        <w:topLinePunct w:val="0"/>
        <w:autoSpaceDE/>
        <w:autoSpaceDN/>
        <w:bidi w:val="0"/>
        <w:adjustRightInd w:val="0"/>
        <w:snapToGrid w:val="0"/>
        <w:spacing w:line="336" w:lineRule="auto"/>
        <w:ind w:firstLine="420" w:firstLineChars="20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话筒、茶杯、茶具、小毛巾、茶叶、矿泉水、桌椅、台布、笔纸、席签等有无按规范摆放、有无破损、污渍。桌椅、立式讲台、衣架、装饰物是否达到卫生标准。如有横幅需求，需对接人员落实、悬挂。如有展板、行架、电子大屏的须提前半天搭建制作，会场内及公共区域搭建须提供相关管理部门审批同意后进行报备，做好全程监管，对现场设施设备做好保护提醒，杜绝安全隐患。</w:t>
      </w:r>
      <w:r>
        <w:rPr>
          <w:rFonts w:hint="eastAsia" w:ascii="仿宋" w:hAnsi="仿宋" w:eastAsia="仿宋" w:cs="仿宋"/>
          <w:color w:val="auto"/>
          <w:sz w:val="21"/>
          <w:szCs w:val="21"/>
          <w:highlight w:val="none"/>
          <w:lang w:val="en-US" w:eastAsia="zh-CN"/>
        </w:rPr>
        <w:t>布置会场时，需</w:t>
      </w:r>
      <w:r>
        <w:rPr>
          <w:rFonts w:hint="eastAsia" w:ascii="仿宋" w:hAnsi="仿宋" w:eastAsia="仿宋" w:cs="仿宋"/>
          <w:color w:val="auto"/>
          <w:sz w:val="21"/>
          <w:szCs w:val="21"/>
          <w:highlight w:val="none"/>
        </w:rPr>
        <w:t>检查会场外电子屏显示内容是否准确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按要求完成会前准备相关流程，并在会议开始时同步电子屏信息至“进行中”</w:t>
      </w:r>
      <w:r>
        <w:rPr>
          <w:rFonts w:hint="eastAsia" w:ascii="仿宋" w:hAnsi="仿宋" w:eastAsia="仿宋" w:cs="仿宋"/>
          <w:color w:val="auto"/>
          <w:sz w:val="21"/>
          <w:szCs w:val="21"/>
          <w:highlight w:val="none"/>
        </w:rPr>
        <w:t>。如临近开会前席签、笔记本电脑（播放PPT的须自带笔记本电脑）还没到位，需提醒主办方提前摆放、调试好。控制茶叶量，同时做好重要参会者的个性化茶水服务。</w:t>
      </w:r>
    </w:p>
    <w:p w14:paraId="51C55DEB">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（6）对会场内的卫生、温湿度、空气质量和设施设备的完好进行检查。如遇问题及时反馈，及时处理，体现综合管理意识。</w:t>
      </w:r>
    </w:p>
    <w:p w14:paraId="5C81907F">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（7）现场会议服务人员须明确知晓本场会议服务的岗位安排、会议议程及本次会议其他事项。</w:t>
      </w:r>
    </w:p>
    <w:p w14:paraId="4E77D9B9">
      <w:pPr>
        <w:keepNext w:val="0"/>
        <w:keepLines w:val="0"/>
        <w:pageBreakBefore w:val="0"/>
        <w:kinsoku/>
        <w:wordWrap/>
        <w:overflowPunct/>
        <w:topLinePunct w:val="0"/>
        <w:autoSpaceDE/>
        <w:autoSpaceDN/>
        <w:bidi w:val="0"/>
        <w:adjustRightInd w:val="0"/>
        <w:snapToGrid w:val="0"/>
        <w:spacing w:line="336"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2.会中管理</w:t>
      </w:r>
    </w:p>
    <w:p w14:paraId="32450E2C">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（1）会议服务中全程站姿规范、微笑服务，做到主要通道不间断安排人员站岗。</w:t>
      </w:r>
    </w:p>
    <w:p w14:paraId="07C73AE6">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会场服务人员应密切关注现场情况，观察主要领导动态，从参会人员的表情或动作中领会他们的需求并及时上前询问，尽可能满足参会人员的需求。同时密切关注会场空调温度是否适宜、话筒设备等是否保持正常使用。</w:t>
      </w:r>
    </w:p>
    <w:p w14:paraId="33799E07">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（3）会议期间，续水时间控制在20分钟以内，如主要领导喝水较快可根据情况给领导先续水。如会议中更换参会人员需按实际情况更换茶水及相关服务用品。</w:t>
      </w:r>
    </w:p>
    <w:p w14:paraId="2A27B057">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（4）落实首问责任制，对会议方咨询有问必答，对于会议方提出的要求有条件满足的尽力满足，不推脱、不含糊。</w:t>
      </w:r>
    </w:p>
    <w:p w14:paraId="2F370471">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（5）重大A类会议期间，至少1名主管以上管理人员及会议负责人须全程全面监督服务保障过程</w:t>
      </w:r>
      <w:r>
        <w:rPr>
          <w:rFonts w:hint="eastAsia" w:ascii="仿宋" w:hAnsi="仿宋" w:eastAsia="仿宋" w:cs="仿宋"/>
          <w:color w:val="auto"/>
          <w:sz w:val="21"/>
          <w:szCs w:val="21"/>
          <w:highlight w:val="none"/>
          <w:lang w:val="en-US" w:eastAsia="zh-CN"/>
        </w:rPr>
        <w:t>和会场周边秩序</w:t>
      </w:r>
      <w:r>
        <w:rPr>
          <w:rFonts w:hint="eastAsia" w:ascii="仿宋" w:hAnsi="仿宋" w:eastAsia="仿宋" w:cs="仿宋"/>
          <w:color w:val="auto"/>
          <w:sz w:val="21"/>
          <w:szCs w:val="21"/>
          <w:highlight w:val="none"/>
        </w:rPr>
        <w:t>，应对、处理好会议中出现的突发事件</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rPr>
        <w:t>及时报告。</w:t>
      </w:r>
    </w:p>
    <w:p w14:paraId="70E158E7">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（6）对参会迟到人员要做好引导和送水服务。</w:t>
      </w:r>
    </w:p>
    <w:p w14:paraId="3CFD83BB">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（7）熟练操作音控设备，视频会议的信号切换使用，确保声音、图像显示正常。</w:t>
      </w:r>
    </w:p>
    <w:p w14:paraId="3F5866FA">
      <w:pPr>
        <w:keepNext w:val="0"/>
        <w:keepLines w:val="0"/>
        <w:pageBreakBefore w:val="0"/>
        <w:kinsoku/>
        <w:wordWrap/>
        <w:overflowPunct/>
        <w:topLinePunct w:val="0"/>
        <w:autoSpaceDE/>
        <w:autoSpaceDN/>
        <w:bidi w:val="0"/>
        <w:adjustRightInd w:val="0"/>
        <w:snapToGrid w:val="0"/>
        <w:spacing w:line="336"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3.会后管理</w:t>
      </w:r>
    </w:p>
    <w:p w14:paraId="00ED4736">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（1）会后及时打开门和通道，引导与会人员退场。</w:t>
      </w:r>
    </w:p>
    <w:p w14:paraId="64E7B793">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（2）会后及时收集整理提供的服务用品及设施设备等，</w:t>
      </w:r>
      <w:r>
        <w:rPr>
          <w:rFonts w:hint="eastAsia" w:ascii="仿宋" w:hAnsi="仿宋" w:eastAsia="仿宋" w:cs="仿宋"/>
          <w:color w:val="auto"/>
          <w:sz w:val="21"/>
          <w:szCs w:val="21"/>
          <w:highlight w:val="none"/>
          <w:lang w:val="en-US" w:eastAsia="zh-CN"/>
        </w:rPr>
        <w:t>并同步</w:t>
      </w:r>
      <w:r>
        <w:rPr>
          <w:rFonts w:hint="eastAsia" w:ascii="仿宋" w:hAnsi="仿宋" w:eastAsia="仿宋" w:cs="仿宋"/>
          <w:color w:val="auto"/>
          <w:sz w:val="21"/>
          <w:szCs w:val="21"/>
          <w:highlight w:val="none"/>
          <w:lang w:eastAsia="zh-CN"/>
        </w:rPr>
        <w:t>完成场</w:t>
      </w:r>
      <w:r>
        <w:rPr>
          <w:rFonts w:hint="eastAsia" w:ascii="仿宋" w:hAnsi="仿宋" w:eastAsia="仿宋" w:cs="仿宋"/>
          <w:color w:val="auto"/>
          <w:sz w:val="21"/>
          <w:szCs w:val="21"/>
          <w:highlight w:val="none"/>
          <w:lang w:val="en-US" w:eastAsia="zh-CN"/>
        </w:rPr>
        <w:t>外电子屏相关流程，同时点击屏幕至“</w:t>
      </w:r>
      <w:r>
        <w:rPr>
          <w:rFonts w:hint="eastAsia" w:ascii="仿宋" w:hAnsi="仿宋" w:eastAsia="仿宋" w:cs="仿宋"/>
          <w:color w:val="auto"/>
          <w:sz w:val="21"/>
          <w:szCs w:val="21"/>
          <w:highlight w:val="none"/>
          <w:lang w:eastAsia="zh-CN"/>
        </w:rPr>
        <w:t>已</w:t>
      </w:r>
      <w:r>
        <w:rPr>
          <w:rFonts w:hint="eastAsia" w:ascii="仿宋" w:hAnsi="仿宋" w:eastAsia="仿宋" w:cs="仿宋"/>
          <w:color w:val="auto"/>
          <w:sz w:val="21"/>
          <w:szCs w:val="21"/>
          <w:highlight w:val="none"/>
          <w:lang w:val="en-US" w:eastAsia="zh-CN"/>
        </w:rPr>
        <w:t>结束”状态。</w:t>
      </w:r>
      <w:r>
        <w:rPr>
          <w:rFonts w:hint="eastAsia" w:ascii="仿宋" w:hAnsi="仿宋" w:eastAsia="仿宋" w:cs="仿宋"/>
          <w:color w:val="auto"/>
          <w:sz w:val="21"/>
          <w:szCs w:val="21"/>
          <w:highlight w:val="none"/>
        </w:rPr>
        <w:t>如遇主办方有外借设施设备搭建，须及时提醒主办方撤回。</w:t>
      </w:r>
    </w:p>
    <w:p w14:paraId="247F0897">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（3）会场清洁及会议桌椅复原工作到位，查看有无客人遗留物品，若发现及时联络会议主办方并做好相关登记工作。</w:t>
      </w:r>
    </w:p>
    <w:p w14:paraId="28D23D7D">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（4）与物业配合做好会议场所厅室内的消毒、保洁、维修等工作。</w:t>
      </w:r>
    </w:p>
    <w:p w14:paraId="0500A432">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（5）会场遗留材料应全部回收，并按涉密材料妥善处理。</w:t>
      </w:r>
    </w:p>
    <w:p w14:paraId="14DD0D56">
      <w:pPr>
        <w:keepNext w:val="0"/>
        <w:keepLines w:val="0"/>
        <w:pageBreakBefore w:val="0"/>
        <w:kinsoku/>
        <w:wordWrap/>
        <w:overflowPunct/>
        <w:topLinePunct w:val="0"/>
        <w:autoSpaceDE/>
        <w:autoSpaceDN/>
        <w:bidi w:val="0"/>
        <w:adjustRightInd w:val="0"/>
        <w:snapToGrid w:val="0"/>
        <w:spacing w:line="336"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4.设施设备操作维护</w:t>
      </w:r>
    </w:p>
    <w:p w14:paraId="5D24C4D4">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（1）会前，技术操作人员必须对音视频设备做好检查登记工作，根据会议要求摆放话筒、调试音量和图像，确保会中音视频设备系统的正常运行。对有需要LED屏编辑会标的，须提前检查核对。</w:t>
      </w:r>
    </w:p>
    <w:p w14:paraId="028388EA">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做好会中可能出现各种问题的应急方案；在所有会议保障服务中，技术操作人员务必熟练掌握音视频设备配置的功能、性能与操作方法，做好在会议保障中音视频设备应急准备工作，如备用话筒、音频、视频资源等。</w:t>
      </w:r>
    </w:p>
    <w:p w14:paraId="2C5D035F">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（3）技术操作人员必须严格执行会议设备的操作程序，不得随意更改音视频设备设置的各种技术参数。会议结束之后及时整理好有关设备，并关闭电源。</w:t>
      </w:r>
    </w:p>
    <w:p w14:paraId="36DA516A">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（4）音控室的设备不得用于与会议无关的事项，如娱乐及其他事项；严禁非音控人员操控设备。</w:t>
      </w:r>
    </w:p>
    <w:p w14:paraId="6607BA9F">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（5）会议厅（室）、音控室的任何设施设备，不得擅自外借，不得擅自连接会议主办方的自带设备。</w:t>
      </w:r>
    </w:p>
    <w:p w14:paraId="6DF53C90">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（6）技术操作人员必须坚守岗位，严禁擅离岗位。若会中设施设备出现故障，做到第一时间响应并及时上报。</w:t>
      </w:r>
    </w:p>
    <w:p w14:paraId="18E3B7C0">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（7）会中严禁非工作人员在音控操作室滞留。</w:t>
      </w:r>
    </w:p>
    <w:p w14:paraId="7F398621">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（8）技术操作人员必须严格遵守安全保密制度，不得向任何人泄露会议内容，非主办方要求，不允许录音、录像。</w:t>
      </w:r>
    </w:p>
    <w:p w14:paraId="38F98AE5">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（9）会议服务承接单位，须每月对会议中心、楼层会议室的音视频设备进行一次保养、检查并做好保养台帐。</w:t>
      </w:r>
    </w:p>
    <w:p w14:paraId="20483459">
      <w:pPr>
        <w:keepNext w:val="0"/>
        <w:keepLines w:val="0"/>
        <w:pageBreakBefore w:val="0"/>
        <w:kinsoku/>
        <w:wordWrap/>
        <w:overflowPunct/>
        <w:topLinePunct w:val="0"/>
        <w:autoSpaceDE/>
        <w:autoSpaceDN/>
        <w:bidi w:val="0"/>
        <w:adjustRightInd w:val="0"/>
        <w:snapToGrid w:val="0"/>
        <w:spacing w:line="336"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5.日常管理</w:t>
      </w:r>
    </w:p>
    <w:p w14:paraId="10A5E91B">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（1）定时定期进行实际操作培训、理论测试和技能比武。</w:t>
      </w:r>
    </w:p>
    <w:p w14:paraId="3083831A">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（2）会议物品未经允许不得外借，确有外借做好借用手续</w:t>
      </w:r>
      <w:r>
        <w:rPr>
          <w:rFonts w:hint="eastAsia" w:ascii="仿宋" w:hAnsi="仿宋" w:eastAsia="仿宋" w:cs="仿宋"/>
          <w:color w:val="auto"/>
          <w:sz w:val="21"/>
          <w:szCs w:val="21"/>
          <w:highlight w:val="none"/>
          <w:lang w:eastAsia="zh-CN"/>
        </w:rPr>
        <w:t>。</w:t>
      </w:r>
    </w:p>
    <w:p w14:paraId="5D3B614A">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（3）会议日常用品按需求做好领用流程，按规范存放，并做到节能减耗。</w:t>
      </w:r>
    </w:p>
    <w:p w14:paraId="7834B513">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（4）会场布置时，原则上原有台型及物品摆放一律不准搬移、调换和拆装，如遇特殊情况，应及时向监管部门上报处理。</w:t>
      </w:r>
    </w:p>
    <w:p w14:paraId="62543231">
      <w:pPr>
        <w:pStyle w:val="25"/>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（5）做好服务间、音控间、洗杯间、办公室等日常保洁，用品必须摆放整齐，设施、设备确保正常使用，桌面、地面保持干净。</w:t>
      </w:r>
    </w:p>
    <w:p w14:paraId="2B99590A">
      <w:pPr>
        <w:pStyle w:val="25"/>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）定期对全员进行消防安全培训，熟练掌握消防基本技能，消防设施点位及消防安全通道路线。</w:t>
      </w:r>
    </w:p>
    <w:p w14:paraId="37C4331F">
      <w:pPr>
        <w:pStyle w:val="25"/>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（7）服务保障人员需符合上级及中心</w:t>
      </w:r>
      <w:r>
        <w:rPr>
          <w:rFonts w:hint="eastAsia" w:ascii="仿宋" w:hAnsi="仿宋" w:eastAsia="仿宋" w:cs="仿宋"/>
          <w:color w:val="auto"/>
          <w:sz w:val="21"/>
          <w:szCs w:val="21"/>
          <w:highlight w:val="none"/>
          <w:lang w:val="en-US" w:eastAsia="zh-CN"/>
        </w:rPr>
        <w:t>防疫</w:t>
      </w:r>
      <w:r>
        <w:rPr>
          <w:rFonts w:hint="eastAsia" w:ascii="仿宋" w:hAnsi="仿宋" w:eastAsia="仿宋" w:cs="仿宋"/>
          <w:color w:val="auto"/>
          <w:sz w:val="21"/>
          <w:szCs w:val="21"/>
          <w:highlight w:val="none"/>
        </w:rPr>
        <w:t>防控管理要求，并按要求完成会议中心疫情防控相关工作。</w:t>
      </w:r>
    </w:p>
    <w:p w14:paraId="265BDE4D">
      <w:pPr>
        <w:pStyle w:val="58"/>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36" w:lineRule="auto"/>
        <w:ind w:left="0" w:right="0"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（四）费用结算</w:t>
      </w:r>
    </w:p>
    <w:p w14:paraId="5673D0DD">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1.服务承接单位提供的结算票据必须保证合法、合规及完整性，如遇账户变动须提供情况说明并附相应变更依据并时更新。</w:t>
      </w:r>
    </w:p>
    <w:p w14:paraId="110CEA15">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2.服务承接单位结算费用要具备时效性，应按合同约定的结算方式及日期完成费用结算（财政预算指标下达后）。</w:t>
      </w:r>
    </w:p>
    <w:p w14:paraId="126BFD57">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四、监管考核评分等级</w:t>
      </w:r>
    </w:p>
    <w:p w14:paraId="7A544318">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对公务及会议服务管理考核评价实行百分制，评分等级分优秀、良好、合格、不合格四个级别。</w:t>
      </w:r>
    </w:p>
    <w:p w14:paraId="563CCBE9">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考核总评得分在90分（含）以上为优秀，80分（含）－89分为良好，60分（含）-79分为合格，60分以下为不合格。</w:t>
      </w:r>
    </w:p>
    <w:p w14:paraId="1638D0D4">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除会议服务管理日常月考核外，设置附加减分项。日常月考核分与附加减分的合计分不得超过100分。</w:t>
      </w:r>
    </w:p>
    <w:p w14:paraId="74F07D1D">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（一）有以下情形的给予加分，同一加分点可累计加分，最高可加5分。</w:t>
      </w:r>
    </w:p>
    <w:p w14:paraId="6DD6D16A">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1.公务及会议服务保障范围内，收到参会者或会议服务单位书面表扬，每次加1-2分。</w:t>
      </w:r>
    </w:p>
    <w:p w14:paraId="7F0ABC30">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2.因公务及会议服务保障受到市级以上荣誉的，每次加3-5分。</w:t>
      </w:r>
    </w:p>
    <w:p w14:paraId="076BD1A4">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（二）如出现以下管理责任事项的情形，视严重程度扣减10-40分。</w:t>
      </w:r>
    </w:p>
    <w:p w14:paraId="4F5DC6D9">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1.因工作人员操作失误、管理疏漏、应急处置不力等原因，造成严重影响的情形；</w:t>
      </w:r>
    </w:p>
    <w:p w14:paraId="607EA720">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2.被服务对象投诉，经证实且造成恶劣影响的情形；</w:t>
      </w:r>
    </w:p>
    <w:p w14:paraId="75122EDC">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3.其它被认定为严重责任事项的情形。</w:t>
      </w:r>
    </w:p>
    <w:p w14:paraId="52460CFD">
      <w:pPr>
        <w:keepNext w:val="0"/>
        <w:keepLines w:val="0"/>
        <w:pageBreakBefore w:val="0"/>
        <w:kinsoku/>
        <w:wordWrap/>
        <w:overflowPunct/>
        <w:topLinePunct w:val="0"/>
        <w:autoSpaceDE/>
        <w:autoSpaceDN/>
        <w:bidi w:val="0"/>
        <w:adjustRightInd w:val="0"/>
        <w:snapToGrid w:val="0"/>
        <w:spacing w:line="336"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监管考核评分的运用参照相关合同条款、《浙江省杭州市地方标准机关事务管理会议服务规范》及《会议服务手册》执行。</w:t>
      </w:r>
    </w:p>
    <w:p w14:paraId="36D0BD96">
      <w:pPr>
        <w:keepNext w:val="0"/>
        <w:keepLines w:val="0"/>
        <w:pageBreakBefore w:val="0"/>
        <w:kinsoku/>
        <w:wordWrap/>
        <w:overflowPunct/>
        <w:topLinePunct w:val="0"/>
        <w:autoSpaceDE/>
        <w:autoSpaceDN/>
        <w:bidi w:val="0"/>
        <w:adjustRightInd w:val="0"/>
        <w:snapToGrid w:val="0"/>
        <w:spacing w:line="336" w:lineRule="auto"/>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五、本办法由中心</w:t>
      </w:r>
      <w:r>
        <w:rPr>
          <w:rFonts w:hint="eastAsia" w:ascii="仿宋" w:hAnsi="仿宋" w:eastAsia="仿宋" w:cs="仿宋"/>
          <w:color w:val="auto"/>
          <w:sz w:val="21"/>
          <w:szCs w:val="21"/>
          <w:highlight w:val="none"/>
          <w:lang w:val="en-US" w:eastAsia="zh-CN"/>
        </w:rPr>
        <w:t>公务科</w:t>
      </w:r>
      <w:r>
        <w:rPr>
          <w:rFonts w:hint="eastAsia" w:ascii="仿宋" w:hAnsi="仿宋" w:eastAsia="仿宋" w:cs="仿宋"/>
          <w:color w:val="auto"/>
          <w:sz w:val="21"/>
          <w:szCs w:val="21"/>
          <w:highlight w:val="none"/>
        </w:rPr>
        <w:t>和</w:t>
      </w:r>
      <w:r>
        <w:rPr>
          <w:rFonts w:hint="eastAsia" w:ascii="仿宋" w:hAnsi="仿宋" w:eastAsia="仿宋" w:cs="仿宋"/>
          <w:color w:val="auto"/>
          <w:sz w:val="21"/>
          <w:szCs w:val="21"/>
          <w:highlight w:val="none"/>
          <w:lang w:val="en-US" w:eastAsia="zh-CN"/>
        </w:rPr>
        <w:t>会议科</w:t>
      </w:r>
      <w:r>
        <w:rPr>
          <w:rFonts w:hint="eastAsia" w:ascii="仿宋" w:hAnsi="仿宋" w:eastAsia="仿宋" w:cs="仿宋"/>
          <w:color w:val="auto"/>
          <w:sz w:val="21"/>
          <w:szCs w:val="21"/>
          <w:highlight w:val="none"/>
        </w:rPr>
        <w:t>负责解释，自</w:t>
      </w:r>
      <w:r>
        <w:rPr>
          <w:rFonts w:hint="eastAsia" w:ascii="仿宋" w:hAnsi="仿宋" w:eastAsia="仿宋" w:cs="仿宋"/>
          <w:snapToGrid/>
          <w:color w:val="auto"/>
          <w:spacing w:val="0"/>
          <w:w w:val="100"/>
          <w:kern w:val="0"/>
          <w:sz w:val="21"/>
          <w:szCs w:val="21"/>
          <w:highlight w:val="none"/>
          <w:shd w:val="clear" w:color="auto" w:fill="auto"/>
          <w:lang w:val="en-US" w:eastAsia="zh-CN"/>
        </w:rPr>
        <w:t>2024年1月1日</w:t>
      </w:r>
      <w:r>
        <w:rPr>
          <w:rFonts w:hint="eastAsia" w:ascii="仿宋" w:hAnsi="仿宋" w:eastAsia="仿宋" w:cs="仿宋"/>
          <w:color w:val="auto"/>
          <w:sz w:val="21"/>
          <w:szCs w:val="21"/>
          <w:highlight w:val="none"/>
        </w:rPr>
        <w:t>起</w:t>
      </w:r>
      <w:r>
        <w:rPr>
          <w:rFonts w:hint="eastAsia" w:ascii="仿宋" w:hAnsi="仿宋" w:eastAsia="仿宋" w:cs="仿宋"/>
          <w:snapToGrid/>
          <w:color w:val="auto"/>
          <w:spacing w:val="0"/>
          <w:w w:val="100"/>
          <w:kern w:val="0"/>
          <w:sz w:val="21"/>
          <w:szCs w:val="21"/>
          <w:highlight w:val="none"/>
          <w:shd w:val="clear" w:color="auto" w:fill="auto"/>
          <w:lang w:val="en-US" w:eastAsia="zh-CN"/>
        </w:rPr>
        <w:t>施行</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原</w:t>
      </w:r>
      <w:r>
        <w:rPr>
          <w:rFonts w:hint="eastAsia" w:ascii="仿宋" w:hAnsi="仿宋" w:eastAsia="仿宋" w:cs="仿宋"/>
          <w:color w:val="auto"/>
          <w:sz w:val="21"/>
          <w:szCs w:val="21"/>
          <w:highlight w:val="none"/>
          <w:lang w:val="en-US" w:eastAsia="zh-CN"/>
        </w:rPr>
        <w:t>《杭州市行政大楼服务保障中心</w:t>
      </w:r>
      <w:r>
        <w:rPr>
          <w:rFonts w:hint="eastAsia" w:ascii="仿宋" w:hAnsi="仿宋" w:eastAsia="仿宋" w:cs="仿宋"/>
          <w:bCs w:val="0"/>
          <w:color w:val="auto"/>
          <w:sz w:val="21"/>
          <w:szCs w:val="21"/>
          <w:highlight w:val="none"/>
        </w:rPr>
        <w:t>公务服务及会议中心劳务服务监管考核办法</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杭机保障〔202</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32</w:t>
      </w:r>
      <w:r>
        <w:rPr>
          <w:rFonts w:hint="eastAsia" w:ascii="仿宋" w:hAnsi="仿宋" w:eastAsia="仿宋" w:cs="仿宋"/>
          <w:color w:val="auto"/>
          <w:sz w:val="21"/>
          <w:szCs w:val="21"/>
          <w:highlight w:val="none"/>
        </w:rPr>
        <w:t>号</w:t>
      </w:r>
      <w:r>
        <w:rPr>
          <w:rFonts w:hint="eastAsia" w:ascii="仿宋" w:hAnsi="仿宋" w:eastAsia="仿宋" w:cs="仿宋"/>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同时废止。</w:t>
      </w:r>
    </w:p>
    <w:p w14:paraId="1C55AF27">
      <w:pPr>
        <w:keepNext w:val="0"/>
        <w:keepLines w:val="0"/>
        <w:pageBreakBefore w:val="0"/>
        <w:kinsoku/>
        <w:wordWrap/>
        <w:overflowPunct/>
        <w:topLinePunct w:val="0"/>
        <w:autoSpaceDE/>
        <w:autoSpaceDN/>
        <w:bidi w:val="0"/>
        <w:adjustRightInd w:val="0"/>
        <w:snapToGrid w:val="0"/>
        <w:spacing w:line="324" w:lineRule="auto"/>
        <w:ind w:firstLine="420" w:firstLineChars="200"/>
        <w:rPr>
          <w:rFonts w:hint="eastAsia" w:ascii="仿宋" w:hAnsi="仿宋" w:eastAsia="仿宋" w:cs="仿宋"/>
          <w:color w:val="auto"/>
          <w:sz w:val="21"/>
          <w:szCs w:val="21"/>
          <w:highlight w:val="none"/>
        </w:rPr>
      </w:pPr>
    </w:p>
    <w:p w14:paraId="7AFC7B83">
      <w:pPr>
        <w:keepNext w:val="0"/>
        <w:keepLines w:val="0"/>
        <w:pageBreakBefore w:val="0"/>
        <w:kinsoku/>
        <w:wordWrap/>
        <w:overflowPunct/>
        <w:topLinePunct w:val="0"/>
        <w:autoSpaceDE/>
        <w:autoSpaceDN/>
        <w:bidi w:val="0"/>
        <w:adjustRightInd w:val="0"/>
        <w:snapToGrid w:val="0"/>
        <w:spacing w:line="324"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公务服务监管考核评分表</w:t>
      </w:r>
    </w:p>
    <w:p w14:paraId="60D3EA48">
      <w:pPr>
        <w:keepNext w:val="0"/>
        <w:keepLines w:val="0"/>
        <w:pageBreakBefore w:val="0"/>
        <w:kinsoku/>
        <w:wordWrap/>
        <w:overflowPunct/>
        <w:topLinePunct w:val="0"/>
        <w:autoSpaceDE/>
        <w:autoSpaceDN/>
        <w:bidi w:val="0"/>
        <w:adjustRightInd w:val="0"/>
        <w:snapToGrid w:val="0"/>
        <w:spacing w:line="324" w:lineRule="auto"/>
        <w:ind w:firstLine="1050" w:firstLineChars="5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会议服务监管考核评分表</w:t>
      </w:r>
    </w:p>
    <w:p w14:paraId="72A3741A">
      <w:pPr>
        <w:keepNext w:val="0"/>
        <w:keepLines w:val="0"/>
        <w:pageBreakBefore w:val="0"/>
        <w:kinsoku/>
        <w:wordWrap/>
        <w:overflowPunct/>
        <w:topLinePunct w:val="0"/>
        <w:autoSpaceDE/>
        <w:autoSpaceDN/>
        <w:bidi w:val="0"/>
        <w:adjustRightInd w:val="0"/>
        <w:snapToGrid w:val="0"/>
        <w:spacing w:line="324" w:lineRule="auto"/>
        <w:ind w:firstLine="1050" w:firstLineChars="5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公务服务及会议服务监管考核汇总表</w:t>
      </w:r>
    </w:p>
    <w:p w14:paraId="192DDA1C">
      <w:pPr>
        <w:keepNext w:val="0"/>
        <w:keepLines w:val="0"/>
        <w:pageBreakBefore w:val="0"/>
        <w:kinsoku/>
        <w:wordWrap/>
        <w:overflowPunct/>
        <w:topLinePunct w:val="0"/>
        <w:autoSpaceDE/>
        <w:autoSpaceDN/>
        <w:bidi w:val="0"/>
        <w:adjustRightInd w:val="0"/>
        <w:snapToGrid w:val="0"/>
        <w:spacing w:line="312" w:lineRule="auto"/>
        <w:ind w:firstLine="420" w:firstLineChars="200"/>
        <w:rPr>
          <w:rFonts w:hint="eastAsia" w:ascii="仿宋" w:hAnsi="仿宋" w:eastAsia="仿宋" w:cs="仿宋"/>
          <w:bCs w:val="0"/>
          <w:color w:val="auto"/>
          <w:sz w:val="21"/>
          <w:szCs w:val="21"/>
          <w:highlight w:val="none"/>
        </w:rPr>
      </w:pPr>
    </w:p>
    <w:p w14:paraId="56F0FA56">
      <w:pPr>
        <w:keepNext w:val="0"/>
        <w:keepLines w:val="0"/>
        <w:pageBreakBefore w:val="0"/>
        <w:widowControl/>
        <w:kinsoku/>
        <w:wordWrap/>
        <w:overflowPunct/>
        <w:topLinePunct w:val="0"/>
        <w:autoSpaceDE/>
        <w:autoSpaceDN/>
        <w:bidi w:val="0"/>
        <w:snapToGrid w:val="0"/>
        <w:spacing w:line="336"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附</w:t>
      </w:r>
      <w:r>
        <w:rPr>
          <w:rFonts w:hint="eastAsia" w:ascii="仿宋" w:hAnsi="仿宋" w:eastAsia="仿宋" w:cs="仿宋"/>
          <w:color w:val="auto"/>
          <w:sz w:val="21"/>
          <w:szCs w:val="21"/>
          <w:highlight w:val="none"/>
          <w:lang w:val="en-US" w:eastAsia="zh-CN"/>
        </w:rPr>
        <w:t>件1</w:t>
      </w:r>
    </w:p>
    <w:p w14:paraId="319D3622">
      <w:pPr>
        <w:pStyle w:val="2"/>
        <w:jc w:val="center"/>
        <w:rPr>
          <w:rStyle w:val="966"/>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公务服务监管考核评分表</w:t>
      </w:r>
    </w:p>
    <w:p w14:paraId="5D36F1C7">
      <w:pPr>
        <w:pStyle w:val="2"/>
        <w:keepNext w:val="0"/>
        <w:keepLines w:val="0"/>
        <w:pageBreakBefore w:val="0"/>
        <w:widowControl/>
        <w:kinsoku/>
        <w:wordWrap/>
        <w:overflowPunct/>
        <w:topLinePunct w:val="0"/>
        <w:autoSpaceDE/>
        <w:autoSpaceDN/>
        <w:bidi w:val="0"/>
        <w:adjustRightInd w:val="0"/>
        <w:snapToGrid w:val="0"/>
        <w:spacing w:line="240" w:lineRule="exact"/>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p>
    <w:p w14:paraId="7B3CADCA">
      <w:pPr>
        <w:pStyle w:val="2"/>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sz w:val="21"/>
          <w:szCs w:val="21"/>
          <w:highlight w:val="none"/>
          <w:u w:val="single"/>
        </w:rPr>
        <w:t>分值</w:t>
      </w:r>
      <w:r>
        <w:rPr>
          <w:rFonts w:hint="eastAsia" w:ascii="仿宋" w:hAnsi="仿宋" w:eastAsia="仿宋" w:cs="仿宋"/>
          <w:color w:val="auto"/>
          <w:sz w:val="21"/>
          <w:szCs w:val="21"/>
          <w:highlight w:val="none"/>
          <w:u w:val="single"/>
          <w:lang w:val="en-US" w:eastAsia="zh-CN"/>
        </w:rPr>
        <w:t>3</w:t>
      </w:r>
      <w:r>
        <w:rPr>
          <w:rFonts w:hint="eastAsia" w:ascii="仿宋" w:hAnsi="仿宋" w:eastAsia="仿宋" w:cs="仿宋"/>
          <w:color w:val="auto"/>
          <w:sz w:val="21"/>
          <w:szCs w:val="21"/>
          <w:highlight w:val="none"/>
          <w:u w:val="single"/>
        </w:rPr>
        <w:t>0</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kern w:val="2"/>
          <w:sz w:val="21"/>
          <w:szCs w:val="21"/>
          <w:highlight w:val="none"/>
          <w:lang w:val="en-US" w:eastAsia="zh-CN" w:bidi="ar"/>
        </w:rPr>
        <w:t xml:space="preserve">    年   月</w:t>
      </w:r>
    </w:p>
    <w:p w14:paraId="01AEC54D">
      <w:pPr>
        <w:pStyle w:val="2"/>
        <w:keepNext w:val="0"/>
        <w:keepLines w:val="0"/>
        <w:pageBreakBefore w:val="0"/>
        <w:widowControl/>
        <w:kinsoku/>
        <w:wordWrap/>
        <w:overflowPunct/>
        <w:topLinePunct w:val="0"/>
        <w:autoSpaceDE/>
        <w:autoSpaceDN/>
        <w:bidi w:val="0"/>
        <w:adjustRightInd w:val="0"/>
        <w:snapToGrid w:val="0"/>
        <w:spacing w:line="240" w:lineRule="exact"/>
        <w:jc w:val="both"/>
        <w:textAlignment w:val="baseline"/>
        <w:rPr>
          <w:rFonts w:hint="eastAsia" w:ascii="仿宋" w:hAnsi="仿宋" w:eastAsia="仿宋" w:cs="仿宋"/>
          <w:color w:val="auto"/>
          <w:sz w:val="21"/>
          <w:szCs w:val="21"/>
          <w:highlight w:val="none"/>
        </w:rPr>
      </w:pPr>
    </w:p>
    <w:tbl>
      <w:tblPr>
        <w:tblStyle w:val="6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3"/>
        <w:gridCol w:w="858"/>
        <w:gridCol w:w="5463"/>
        <w:gridCol w:w="742"/>
        <w:gridCol w:w="2137"/>
      </w:tblGrid>
      <w:tr w14:paraId="30244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jc w:val="center"/>
        </w:trPr>
        <w:tc>
          <w:tcPr>
            <w:tcW w:w="1651" w:type="dxa"/>
            <w:gridSpan w:val="2"/>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27FB7B31">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评分内容</w:t>
            </w: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BB8F63D">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评分标准</w:t>
            </w:r>
          </w:p>
        </w:tc>
        <w:tc>
          <w:tcPr>
            <w:tcW w:w="742" w:type="dxa"/>
            <w:tcBorders>
              <w:top w:val="single" w:color="000000" w:sz="4" w:space="0"/>
              <w:left w:val="nil"/>
              <w:bottom w:val="nil"/>
              <w:right w:val="single" w:color="000000" w:sz="4" w:space="0"/>
            </w:tcBorders>
            <w:noWrap/>
            <w:tcMar>
              <w:top w:w="15" w:type="dxa"/>
              <w:left w:w="15" w:type="dxa"/>
              <w:right w:w="15" w:type="dxa"/>
            </w:tcMar>
            <w:vAlign w:val="center"/>
          </w:tcPr>
          <w:p w14:paraId="01178B54">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lang w:val="en-US" w:eastAsia="zh-CN"/>
              </w:rPr>
              <w:t>分值</w:t>
            </w:r>
          </w:p>
        </w:tc>
        <w:tc>
          <w:tcPr>
            <w:tcW w:w="213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6517302">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扣分说明</w:t>
            </w:r>
          </w:p>
          <w:p w14:paraId="39889DD7">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（时间、扣分原因）</w:t>
            </w:r>
          </w:p>
        </w:tc>
      </w:tr>
      <w:tr w14:paraId="51B2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79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714E5B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lang w:val="en-US" w:eastAsia="zh-CN" w:bidi="ar"/>
              </w:rPr>
              <w:t>公务</w:t>
            </w:r>
          </w:p>
          <w:p w14:paraId="79E7C6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lang w:val="en-US" w:eastAsia="zh-CN" w:bidi="ar"/>
              </w:rPr>
              <w:t>管理</w:t>
            </w:r>
          </w:p>
          <w:p w14:paraId="081802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
                <w:bCs w:val="0"/>
                <w:color w:val="auto"/>
                <w:kern w:val="0"/>
                <w:sz w:val="21"/>
                <w:szCs w:val="21"/>
                <w:highlight w:val="none"/>
                <w:lang w:val="en-US" w:eastAsia="zh-CN" w:bidi="ar"/>
              </w:rPr>
              <w:t>30分</w:t>
            </w:r>
          </w:p>
        </w:tc>
        <w:tc>
          <w:tcPr>
            <w:tcW w:w="858" w:type="dxa"/>
            <w:vMerge w:val="restart"/>
            <w:tcBorders>
              <w:top w:val="single" w:color="auto" w:sz="4" w:space="0"/>
              <w:left w:val="single" w:color="auto" w:sz="4" w:space="0"/>
              <w:bottom w:val="nil"/>
              <w:right w:val="single" w:color="auto" w:sz="4" w:space="0"/>
            </w:tcBorders>
            <w:noWrap w:val="0"/>
            <w:vAlign w:val="center"/>
          </w:tcPr>
          <w:p w14:paraId="0F0396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kern w:val="0"/>
                <w:sz w:val="21"/>
                <w:szCs w:val="21"/>
                <w:highlight w:val="none"/>
                <w:lang w:val="en-US" w:eastAsia="zh-CN" w:bidi="ar"/>
              </w:rPr>
            </w:pPr>
            <w:r>
              <w:rPr>
                <w:rFonts w:hint="eastAsia" w:ascii="仿宋" w:hAnsi="仿宋" w:eastAsia="仿宋" w:cs="仿宋"/>
                <w:bCs/>
                <w:color w:val="auto"/>
                <w:kern w:val="0"/>
                <w:sz w:val="21"/>
                <w:szCs w:val="21"/>
                <w:highlight w:val="none"/>
                <w:lang w:val="en-US" w:eastAsia="zh-CN" w:bidi="ar"/>
              </w:rPr>
              <w:t>基础管理</w:t>
            </w:r>
          </w:p>
          <w:p w14:paraId="3C50A5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kern w:val="0"/>
                <w:sz w:val="21"/>
                <w:szCs w:val="21"/>
                <w:highlight w:val="none"/>
                <w:lang w:val="en-US" w:eastAsia="zh-CN" w:bidi="ar"/>
              </w:rPr>
            </w:pPr>
            <w:r>
              <w:rPr>
                <w:rFonts w:hint="eastAsia" w:ascii="仿宋" w:hAnsi="仿宋" w:eastAsia="仿宋" w:cs="仿宋"/>
                <w:bCs/>
                <w:color w:val="auto"/>
                <w:kern w:val="0"/>
                <w:sz w:val="21"/>
                <w:szCs w:val="21"/>
                <w:highlight w:val="none"/>
                <w:lang w:val="en-US" w:eastAsia="zh-CN" w:bidi="ar"/>
              </w:rPr>
              <w:t>（10分）</w:t>
            </w: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87013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bCs/>
                <w:color w:val="auto"/>
                <w:sz w:val="21"/>
                <w:szCs w:val="21"/>
                <w:highlight w:val="none"/>
              </w:rPr>
            </w:pPr>
            <w:r>
              <w:rPr>
                <w:rFonts w:hint="eastAsia" w:ascii="仿宋" w:hAnsi="仿宋" w:eastAsia="仿宋" w:cs="仿宋"/>
                <w:color w:val="auto"/>
                <w:kern w:val="0"/>
                <w:sz w:val="21"/>
                <w:szCs w:val="21"/>
                <w:highlight w:val="none"/>
                <w:lang w:val="en-US" w:eastAsia="zh-CN" w:bidi="ar"/>
              </w:rPr>
              <w:t>1.按合同约定配备人员，组织构架、人员调整须书面报备，经中心分管领导同意方可实施；工作日到岗率在90%以上。</w:t>
            </w:r>
          </w:p>
        </w:tc>
        <w:tc>
          <w:tcPr>
            <w:tcW w:w="742" w:type="dxa"/>
            <w:vMerge w:val="restart"/>
            <w:tcBorders>
              <w:top w:val="single" w:color="000000" w:sz="4" w:space="0"/>
              <w:left w:val="nil"/>
              <w:right w:val="single" w:color="000000" w:sz="4" w:space="0"/>
            </w:tcBorders>
            <w:noWrap/>
            <w:tcMar>
              <w:top w:w="15" w:type="dxa"/>
              <w:left w:w="15" w:type="dxa"/>
              <w:right w:w="15" w:type="dxa"/>
            </w:tcMar>
            <w:vAlign w:val="center"/>
          </w:tcPr>
          <w:p w14:paraId="1258D3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c>
          <w:tcPr>
            <w:tcW w:w="2137" w:type="dxa"/>
            <w:vMerge w:val="restart"/>
            <w:tcBorders>
              <w:top w:val="single" w:color="000000" w:sz="4" w:space="0"/>
              <w:left w:val="nil"/>
              <w:right w:val="single" w:color="000000" w:sz="4" w:space="0"/>
            </w:tcBorders>
            <w:noWrap/>
            <w:tcMar>
              <w:top w:w="15" w:type="dxa"/>
              <w:left w:w="15" w:type="dxa"/>
              <w:right w:w="15" w:type="dxa"/>
            </w:tcMar>
            <w:vAlign w:val="center"/>
          </w:tcPr>
          <w:p w14:paraId="5A7E0E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r>
      <w:tr w14:paraId="6F08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64FA2320">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top w:val="nil"/>
              <w:left w:val="single" w:color="auto" w:sz="4" w:space="0"/>
              <w:bottom w:val="nil"/>
              <w:right w:val="single" w:color="auto" w:sz="4" w:space="0"/>
            </w:tcBorders>
            <w:noWrap w:val="0"/>
            <w:vAlign w:val="center"/>
          </w:tcPr>
          <w:p w14:paraId="3BBBD03D">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AC1FD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bCs/>
                <w:color w:val="auto"/>
                <w:sz w:val="21"/>
                <w:szCs w:val="21"/>
                <w:highlight w:val="none"/>
              </w:rPr>
            </w:pPr>
            <w:r>
              <w:rPr>
                <w:rFonts w:hint="eastAsia" w:ascii="仿宋" w:hAnsi="仿宋" w:eastAsia="仿宋" w:cs="仿宋"/>
                <w:color w:val="auto"/>
                <w:kern w:val="0"/>
                <w:sz w:val="21"/>
                <w:szCs w:val="21"/>
                <w:highlight w:val="none"/>
                <w:lang w:val="en-US" w:eastAsia="zh-CN" w:bidi="ar"/>
              </w:rPr>
              <w:t>2.工作人员应按时到岗，不得擅自脱岗；管理人员调离需提前1个月做好交接工作，普通职员因离职空缺的岗位应在15日内补。</w:t>
            </w:r>
          </w:p>
        </w:tc>
        <w:tc>
          <w:tcPr>
            <w:tcW w:w="742" w:type="dxa"/>
            <w:vMerge w:val="continue"/>
            <w:tcBorders>
              <w:left w:val="nil"/>
              <w:right w:val="single" w:color="000000" w:sz="4" w:space="0"/>
            </w:tcBorders>
            <w:noWrap/>
            <w:tcMar>
              <w:top w:w="15" w:type="dxa"/>
              <w:left w:w="15" w:type="dxa"/>
              <w:right w:w="15" w:type="dxa"/>
            </w:tcMar>
            <w:vAlign w:val="center"/>
          </w:tcPr>
          <w:p w14:paraId="676ADC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5A34B5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r>
      <w:tr w14:paraId="7199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1"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7424147D">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top w:val="nil"/>
              <w:left w:val="single" w:color="auto" w:sz="4" w:space="0"/>
              <w:bottom w:val="nil"/>
              <w:right w:val="single" w:color="auto" w:sz="4" w:space="0"/>
            </w:tcBorders>
            <w:noWrap w:val="0"/>
            <w:vAlign w:val="center"/>
          </w:tcPr>
          <w:p w14:paraId="6CA8477C">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D9B54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3.定期对管理人员进行专业培训，提升管理能力，确保巡查力度；定期开展各项业务培训和岗位专业技能考核，提高服务人员专业素养与技能。</w:t>
            </w:r>
          </w:p>
        </w:tc>
        <w:tc>
          <w:tcPr>
            <w:tcW w:w="742" w:type="dxa"/>
            <w:vMerge w:val="continue"/>
            <w:tcBorders>
              <w:left w:val="nil"/>
              <w:right w:val="single" w:color="000000" w:sz="4" w:space="0"/>
            </w:tcBorders>
            <w:noWrap/>
            <w:tcMar>
              <w:top w:w="15" w:type="dxa"/>
              <w:left w:w="15" w:type="dxa"/>
              <w:right w:w="15" w:type="dxa"/>
            </w:tcMar>
            <w:vAlign w:val="center"/>
          </w:tcPr>
          <w:p w14:paraId="082335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01BD47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r>
      <w:tr w14:paraId="10437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6"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4EEA698D">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top w:val="nil"/>
              <w:left w:val="single" w:color="auto" w:sz="4" w:space="0"/>
              <w:bottom w:val="nil"/>
              <w:right w:val="single" w:color="auto" w:sz="4" w:space="0"/>
            </w:tcBorders>
            <w:noWrap w:val="0"/>
            <w:vAlign w:val="center"/>
          </w:tcPr>
          <w:p w14:paraId="75D83299">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11041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4.严格遵守安全保密制度，遵守中心的相关规定和纪律。</w:t>
            </w:r>
          </w:p>
        </w:tc>
        <w:tc>
          <w:tcPr>
            <w:tcW w:w="742" w:type="dxa"/>
            <w:vMerge w:val="continue"/>
            <w:tcBorders>
              <w:left w:val="nil"/>
              <w:right w:val="single" w:color="000000" w:sz="4" w:space="0"/>
            </w:tcBorders>
            <w:noWrap/>
            <w:tcMar>
              <w:top w:w="15" w:type="dxa"/>
              <w:left w:w="15" w:type="dxa"/>
              <w:right w:w="15" w:type="dxa"/>
            </w:tcMar>
            <w:vAlign w:val="center"/>
          </w:tcPr>
          <w:p w14:paraId="4B5755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6501C8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r>
      <w:tr w14:paraId="6857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3"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6D0C724B">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top w:val="nil"/>
              <w:left w:val="single" w:color="auto" w:sz="4" w:space="0"/>
              <w:bottom w:val="nil"/>
              <w:right w:val="single" w:color="auto" w:sz="4" w:space="0"/>
            </w:tcBorders>
            <w:noWrap w:val="0"/>
            <w:vAlign w:val="center"/>
          </w:tcPr>
          <w:p w14:paraId="39692312">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9D91D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5.建立应急预案和台账，定期组织培训、演练，提高应急处理能力，如遇突发事件须及时通知监管科室并采取相应措施。</w:t>
            </w:r>
          </w:p>
        </w:tc>
        <w:tc>
          <w:tcPr>
            <w:tcW w:w="742" w:type="dxa"/>
            <w:vMerge w:val="continue"/>
            <w:tcBorders>
              <w:left w:val="nil"/>
              <w:bottom w:val="nil"/>
              <w:right w:val="single" w:color="000000" w:sz="4" w:space="0"/>
            </w:tcBorders>
            <w:noWrap/>
            <w:tcMar>
              <w:top w:w="15" w:type="dxa"/>
              <w:left w:w="15" w:type="dxa"/>
              <w:right w:w="15" w:type="dxa"/>
            </w:tcMar>
            <w:vAlign w:val="center"/>
          </w:tcPr>
          <w:p w14:paraId="68FB61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c>
          <w:tcPr>
            <w:tcW w:w="2137" w:type="dxa"/>
            <w:vMerge w:val="continue"/>
            <w:tcBorders>
              <w:left w:val="nil"/>
              <w:bottom w:val="single" w:color="000000" w:sz="4" w:space="0"/>
              <w:right w:val="single" w:color="000000" w:sz="4" w:space="0"/>
            </w:tcBorders>
            <w:noWrap/>
            <w:tcMar>
              <w:top w:w="15" w:type="dxa"/>
              <w:left w:w="15" w:type="dxa"/>
              <w:right w:w="15" w:type="dxa"/>
            </w:tcMar>
            <w:vAlign w:val="center"/>
          </w:tcPr>
          <w:p w14:paraId="090B0E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r>
      <w:tr w14:paraId="061E7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4"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3ADD9F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仿宋" w:hAnsi="仿宋" w:eastAsia="仿宋" w:cs="仿宋"/>
                <w:bCs/>
                <w:color w:val="auto"/>
                <w:sz w:val="21"/>
                <w:szCs w:val="21"/>
                <w:highlight w:val="none"/>
              </w:rPr>
            </w:pPr>
          </w:p>
        </w:tc>
        <w:tc>
          <w:tcPr>
            <w:tcW w:w="858" w:type="dxa"/>
            <w:vMerge w:val="restart"/>
            <w:tcBorders>
              <w:top w:val="single" w:color="000000" w:sz="4" w:space="0"/>
              <w:left w:val="single" w:color="auto" w:sz="4" w:space="0"/>
              <w:bottom w:val="nil"/>
              <w:right w:val="single" w:color="auto" w:sz="4" w:space="0"/>
            </w:tcBorders>
            <w:noWrap w:val="0"/>
            <w:tcMar>
              <w:top w:w="15" w:type="dxa"/>
              <w:left w:w="15" w:type="dxa"/>
              <w:right w:w="15" w:type="dxa"/>
            </w:tcMar>
            <w:vAlign w:val="center"/>
          </w:tcPr>
          <w:p w14:paraId="335006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仿宋" w:hAnsi="仿宋" w:eastAsia="仿宋" w:cs="仿宋"/>
                <w:bCs/>
                <w:color w:val="auto"/>
                <w:kern w:val="0"/>
                <w:sz w:val="21"/>
                <w:szCs w:val="21"/>
                <w:highlight w:val="none"/>
                <w:lang w:val="en-US" w:eastAsia="zh-CN" w:bidi="ar"/>
              </w:rPr>
            </w:pPr>
            <w:r>
              <w:rPr>
                <w:rFonts w:hint="eastAsia" w:ascii="仿宋" w:hAnsi="仿宋" w:eastAsia="仿宋" w:cs="仿宋"/>
                <w:bCs/>
                <w:color w:val="auto"/>
                <w:kern w:val="0"/>
                <w:sz w:val="21"/>
                <w:szCs w:val="21"/>
                <w:highlight w:val="none"/>
                <w:lang w:val="en-US" w:eastAsia="zh-CN" w:bidi="ar"/>
              </w:rPr>
              <w:t>会议服务标准管理（6分）</w:t>
            </w: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D2789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1.会议信息发生变更及时通知相关负责人；临时增加会议，早、晚班及时到岗准备。</w:t>
            </w:r>
          </w:p>
        </w:tc>
        <w:tc>
          <w:tcPr>
            <w:tcW w:w="742" w:type="dxa"/>
            <w:vMerge w:val="restart"/>
            <w:tcBorders>
              <w:top w:val="single" w:color="000000" w:sz="4" w:space="0"/>
              <w:left w:val="nil"/>
              <w:right w:val="single" w:color="000000" w:sz="4" w:space="0"/>
            </w:tcBorders>
            <w:noWrap/>
            <w:tcMar>
              <w:top w:w="15" w:type="dxa"/>
              <w:left w:w="15" w:type="dxa"/>
              <w:right w:w="15" w:type="dxa"/>
            </w:tcMar>
            <w:vAlign w:val="center"/>
          </w:tcPr>
          <w:p w14:paraId="310EDA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color w:val="auto"/>
                <w:sz w:val="21"/>
                <w:szCs w:val="21"/>
                <w:highlight w:val="none"/>
              </w:rPr>
            </w:pPr>
          </w:p>
        </w:tc>
        <w:tc>
          <w:tcPr>
            <w:tcW w:w="2137" w:type="dxa"/>
            <w:vMerge w:val="restart"/>
            <w:tcBorders>
              <w:top w:val="single" w:color="000000" w:sz="4" w:space="0"/>
              <w:left w:val="nil"/>
              <w:right w:val="single" w:color="000000" w:sz="4" w:space="0"/>
            </w:tcBorders>
            <w:noWrap/>
            <w:tcMar>
              <w:top w:w="15" w:type="dxa"/>
              <w:left w:w="15" w:type="dxa"/>
              <w:right w:w="15" w:type="dxa"/>
            </w:tcMar>
            <w:vAlign w:val="center"/>
          </w:tcPr>
          <w:p w14:paraId="377E6D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215CA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8"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4F1A7BD7">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top w:val="single" w:color="000000" w:sz="4" w:space="0"/>
              <w:left w:val="single" w:color="auto" w:sz="4" w:space="0"/>
              <w:bottom w:val="nil"/>
              <w:right w:val="single" w:color="auto" w:sz="4" w:space="0"/>
            </w:tcBorders>
            <w:noWrap w:val="0"/>
            <w:tcMar>
              <w:top w:w="15" w:type="dxa"/>
              <w:left w:w="15" w:type="dxa"/>
              <w:right w:w="15" w:type="dxa"/>
            </w:tcMar>
            <w:vAlign w:val="center"/>
          </w:tcPr>
          <w:p w14:paraId="14BDD000">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4E282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2.会前、会中、会后管理严格参照会议服务监管考核标准执行。</w:t>
            </w:r>
          </w:p>
        </w:tc>
        <w:tc>
          <w:tcPr>
            <w:tcW w:w="742" w:type="dxa"/>
            <w:vMerge w:val="continue"/>
            <w:tcBorders>
              <w:left w:val="nil"/>
              <w:right w:val="single" w:color="000000" w:sz="4" w:space="0"/>
            </w:tcBorders>
            <w:noWrap/>
            <w:tcMar>
              <w:top w:w="15" w:type="dxa"/>
              <w:left w:w="15" w:type="dxa"/>
              <w:right w:w="15" w:type="dxa"/>
            </w:tcMar>
            <w:vAlign w:val="center"/>
          </w:tcPr>
          <w:p w14:paraId="0FCF5B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025668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6F38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79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5BEBB972">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14:paraId="7C39D75C">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14:paraId="76E815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3.定期检查设备，做到规范操作，无人为损坏、不遗失，未经允许不得外借；对重要易损设施设备统一标注名称和启用日期，按要求定期上报设备改造或更换计划。发现空调、电灯等设施设备以及物品器材损坏及时上报监管人员和物业。</w:t>
            </w:r>
          </w:p>
        </w:tc>
        <w:tc>
          <w:tcPr>
            <w:tcW w:w="742" w:type="dxa"/>
            <w:vMerge w:val="continue"/>
            <w:tcBorders>
              <w:left w:val="nil"/>
              <w:bottom w:val="single" w:color="auto" w:sz="4" w:space="0"/>
              <w:right w:val="single" w:color="000000" w:sz="4" w:space="0"/>
            </w:tcBorders>
            <w:noWrap/>
            <w:tcMar>
              <w:top w:w="15" w:type="dxa"/>
              <w:left w:w="15" w:type="dxa"/>
              <w:right w:w="15" w:type="dxa"/>
            </w:tcMar>
            <w:vAlign w:val="center"/>
          </w:tcPr>
          <w:p w14:paraId="41AC9E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color w:val="auto"/>
                <w:sz w:val="21"/>
                <w:szCs w:val="21"/>
                <w:highlight w:val="none"/>
              </w:rPr>
            </w:pPr>
          </w:p>
        </w:tc>
        <w:tc>
          <w:tcPr>
            <w:tcW w:w="2137" w:type="dxa"/>
            <w:vMerge w:val="continue"/>
            <w:tcBorders>
              <w:left w:val="nil"/>
              <w:bottom w:val="single" w:color="auto" w:sz="4" w:space="0"/>
              <w:right w:val="single" w:color="000000" w:sz="4" w:space="0"/>
            </w:tcBorders>
            <w:noWrap/>
            <w:tcMar>
              <w:top w:w="15" w:type="dxa"/>
              <w:left w:w="15" w:type="dxa"/>
              <w:right w:w="15" w:type="dxa"/>
            </w:tcMar>
            <w:vAlign w:val="center"/>
          </w:tcPr>
          <w:p w14:paraId="1AB463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3CB0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jc w:val="center"/>
        </w:trPr>
        <w:tc>
          <w:tcPr>
            <w:tcW w:w="79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36F36A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lang w:val="en-US" w:eastAsia="zh-CN" w:bidi="ar"/>
              </w:rPr>
              <w:t>公务</w:t>
            </w:r>
          </w:p>
          <w:p w14:paraId="7AE4D8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r>
              <w:rPr>
                <w:rFonts w:hint="eastAsia" w:ascii="仿宋" w:hAnsi="仿宋" w:eastAsia="仿宋" w:cs="仿宋"/>
                <w:b/>
                <w:bCs w:val="0"/>
                <w:color w:val="auto"/>
                <w:kern w:val="0"/>
                <w:sz w:val="21"/>
                <w:szCs w:val="21"/>
                <w:highlight w:val="none"/>
                <w:lang w:val="en-US" w:eastAsia="zh-CN" w:bidi="ar"/>
              </w:rPr>
              <w:t>管理</w:t>
            </w:r>
          </w:p>
        </w:tc>
        <w:tc>
          <w:tcPr>
            <w:tcW w:w="858"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545832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仿宋" w:hAnsi="仿宋" w:eastAsia="仿宋" w:cs="仿宋"/>
                <w:bCs/>
                <w:color w:val="auto"/>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
              </w:rPr>
              <w:t>公务服务、接待休息室标准管理（14分）</w:t>
            </w:r>
          </w:p>
        </w:tc>
        <w:tc>
          <w:tcPr>
            <w:tcW w:w="5463" w:type="dxa"/>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14:paraId="2A58C2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xml:space="preserve"> 1.必须在监管人员带领下进入领导办公室进行保洁服务，严禁带手机进领导办公室。</w:t>
            </w:r>
          </w:p>
        </w:tc>
        <w:tc>
          <w:tcPr>
            <w:tcW w:w="742" w:type="dxa"/>
            <w:vMerge w:val="restart"/>
            <w:tcBorders>
              <w:top w:val="single" w:color="auto" w:sz="4" w:space="0"/>
              <w:left w:val="nil"/>
              <w:right w:val="single" w:color="000000" w:sz="4" w:space="0"/>
            </w:tcBorders>
            <w:noWrap/>
            <w:tcMar>
              <w:top w:w="15" w:type="dxa"/>
              <w:left w:w="15" w:type="dxa"/>
              <w:right w:w="15" w:type="dxa"/>
            </w:tcMar>
            <w:vAlign w:val="center"/>
          </w:tcPr>
          <w:p w14:paraId="35F6EB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color w:val="auto"/>
                <w:sz w:val="21"/>
                <w:szCs w:val="21"/>
                <w:highlight w:val="none"/>
              </w:rPr>
            </w:pPr>
          </w:p>
        </w:tc>
        <w:tc>
          <w:tcPr>
            <w:tcW w:w="2137" w:type="dxa"/>
            <w:vMerge w:val="restart"/>
            <w:tcBorders>
              <w:top w:val="single" w:color="auto" w:sz="4" w:space="0"/>
              <w:left w:val="nil"/>
              <w:right w:val="single" w:color="000000" w:sz="4" w:space="0"/>
            </w:tcBorders>
            <w:noWrap/>
            <w:tcMar>
              <w:top w:w="15" w:type="dxa"/>
              <w:left w:w="15" w:type="dxa"/>
              <w:right w:w="15" w:type="dxa"/>
            </w:tcMar>
            <w:vAlign w:val="center"/>
          </w:tcPr>
          <w:p w14:paraId="30217F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0B7F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7"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54A0058B">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left w:val="single" w:color="auto" w:sz="4" w:space="0"/>
              <w:right w:val="single" w:color="auto" w:sz="4" w:space="0"/>
            </w:tcBorders>
            <w:noWrap w:val="0"/>
            <w:tcMar>
              <w:top w:w="15" w:type="dxa"/>
              <w:left w:w="15" w:type="dxa"/>
              <w:right w:w="15" w:type="dxa"/>
            </w:tcMar>
            <w:vAlign w:val="center"/>
          </w:tcPr>
          <w:p w14:paraId="2DF253CC">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14:paraId="2843EC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2.工作日早晚对市领导办公区域进行清洁检查。按时领取报刊杂志分发到领导办公室，做好早、晚班工作交接台账记录，认真完成</w:t>
            </w:r>
            <w:r>
              <w:rPr>
                <w:rFonts w:hint="eastAsia" w:ascii="仿宋" w:hAnsi="仿宋" w:eastAsia="仿宋" w:cs="仿宋"/>
                <w:color w:val="auto"/>
                <w:kern w:val="0"/>
                <w:sz w:val="21"/>
                <w:szCs w:val="21"/>
                <w:highlight w:val="none"/>
                <w:lang w:eastAsia="zh-CN" w:bidi="ar"/>
              </w:rPr>
              <w:t>监管人员</w:t>
            </w:r>
            <w:r>
              <w:rPr>
                <w:rFonts w:hint="eastAsia" w:ascii="仿宋" w:hAnsi="仿宋" w:eastAsia="仿宋" w:cs="仿宋"/>
                <w:color w:val="auto"/>
                <w:kern w:val="0"/>
                <w:sz w:val="21"/>
                <w:szCs w:val="21"/>
                <w:highlight w:val="none"/>
                <w:lang w:val="en-US" w:eastAsia="zh-CN" w:bidi="ar"/>
              </w:rPr>
              <w:t>交办的任务，并确保服务质量。</w:t>
            </w:r>
          </w:p>
        </w:tc>
        <w:tc>
          <w:tcPr>
            <w:tcW w:w="742" w:type="dxa"/>
            <w:vMerge w:val="continue"/>
            <w:tcBorders>
              <w:left w:val="nil"/>
              <w:right w:val="single" w:color="000000" w:sz="4" w:space="0"/>
            </w:tcBorders>
            <w:noWrap/>
            <w:tcMar>
              <w:top w:w="15" w:type="dxa"/>
              <w:left w:w="15" w:type="dxa"/>
              <w:right w:w="15" w:type="dxa"/>
            </w:tcMar>
            <w:vAlign w:val="center"/>
          </w:tcPr>
          <w:p w14:paraId="126FE3AE">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687DD5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791F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4"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1ACF62B1">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left w:val="single" w:color="auto" w:sz="4" w:space="0"/>
              <w:right w:val="single" w:color="auto" w:sz="4" w:space="0"/>
            </w:tcBorders>
            <w:noWrap w:val="0"/>
            <w:tcMar>
              <w:top w:w="15" w:type="dxa"/>
              <w:left w:w="15" w:type="dxa"/>
              <w:right w:w="15" w:type="dxa"/>
            </w:tcMar>
            <w:vAlign w:val="center"/>
          </w:tcPr>
          <w:p w14:paraId="1639DBB1">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633DD8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aseline"/>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3.双休、节假日期间认真落实值班制度，值班人员做好工作交接台账记录，做好服务保障工作。</w:t>
            </w:r>
          </w:p>
        </w:tc>
        <w:tc>
          <w:tcPr>
            <w:tcW w:w="742" w:type="dxa"/>
            <w:vMerge w:val="continue"/>
            <w:tcBorders>
              <w:left w:val="nil"/>
              <w:right w:val="single" w:color="000000" w:sz="4" w:space="0"/>
            </w:tcBorders>
            <w:noWrap/>
            <w:tcMar>
              <w:top w:w="15" w:type="dxa"/>
              <w:left w:w="15" w:type="dxa"/>
              <w:right w:w="15" w:type="dxa"/>
            </w:tcMar>
            <w:vAlign w:val="center"/>
          </w:tcPr>
          <w:p w14:paraId="4721BD28">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556D65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3667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7"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3B0276C7">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left w:val="single" w:color="auto" w:sz="4" w:space="0"/>
              <w:right w:val="single" w:color="auto" w:sz="4" w:space="0"/>
            </w:tcBorders>
            <w:noWrap w:val="0"/>
            <w:tcMar>
              <w:top w:w="15" w:type="dxa"/>
              <w:left w:w="15" w:type="dxa"/>
              <w:right w:w="15" w:type="dxa"/>
            </w:tcMar>
            <w:vAlign w:val="center"/>
          </w:tcPr>
          <w:p w14:paraId="489A647B">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22498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aseline"/>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4.对领导办公室和公务接待休息室电器日常的管理，每月配合</w:t>
            </w:r>
            <w:r>
              <w:rPr>
                <w:rFonts w:hint="eastAsia" w:ascii="仿宋" w:hAnsi="仿宋" w:eastAsia="仿宋" w:cs="仿宋"/>
                <w:color w:val="auto"/>
                <w:kern w:val="0"/>
                <w:sz w:val="21"/>
                <w:szCs w:val="21"/>
                <w:highlight w:val="none"/>
                <w:lang w:eastAsia="zh-CN" w:bidi="ar"/>
              </w:rPr>
              <w:t>物管二科</w:t>
            </w:r>
            <w:r>
              <w:rPr>
                <w:rFonts w:hint="eastAsia" w:ascii="仿宋" w:hAnsi="仿宋" w:eastAsia="仿宋" w:cs="仿宋"/>
                <w:color w:val="auto"/>
                <w:kern w:val="0"/>
                <w:sz w:val="21"/>
                <w:szCs w:val="21"/>
                <w:highlight w:val="none"/>
                <w:lang w:val="en-US" w:eastAsia="zh-CN" w:bidi="ar"/>
              </w:rPr>
              <w:t>和物业</w:t>
            </w:r>
            <w:r>
              <w:rPr>
                <w:rFonts w:hint="eastAsia" w:ascii="仿宋" w:hAnsi="仿宋" w:eastAsia="仿宋" w:cs="仿宋"/>
                <w:color w:val="auto"/>
                <w:kern w:val="0"/>
                <w:sz w:val="21"/>
                <w:szCs w:val="21"/>
                <w:highlight w:val="none"/>
                <w:lang w:eastAsia="zh-CN" w:bidi="ar"/>
              </w:rPr>
              <w:t>做好</w:t>
            </w:r>
            <w:r>
              <w:rPr>
                <w:rFonts w:hint="eastAsia" w:ascii="仿宋" w:hAnsi="仿宋" w:eastAsia="仿宋" w:cs="仿宋"/>
                <w:color w:val="auto"/>
                <w:kern w:val="0"/>
                <w:sz w:val="21"/>
                <w:szCs w:val="21"/>
                <w:highlight w:val="none"/>
                <w:lang w:val="en-US" w:eastAsia="zh-CN" w:bidi="ar"/>
              </w:rPr>
              <w:t>对领导办公室所有用电和电器的进场排查工作，以及日常领导办公室设备保修和跟进工作，做好相关台账记录。</w:t>
            </w:r>
          </w:p>
        </w:tc>
        <w:tc>
          <w:tcPr>
            <w:tcW w:w="742" w:type="dxa"/>
            <w:vMerge w:val="continue"/>
            <w:tcBorders>
              <w:left w:val="nil"/>
              <w:right w:val="single" w:color="000000" w:sz="4" w:space="0"/>
            </w:tcBorders>
            <w:noWrap/>
            <w:tcMar>
              <w:top w:w="15" w:type="dxa"/>
              <w:left w:w="15" w:type="dxa"/>
              <w:right w:w="15" w:type="dxa"/>
            </w:tcMar>
            <w:vAlign w:val="center"/>
          </w:tcPr>
          <w:p w14:paraId="6A5C21BC">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59BAEC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3216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2"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245D8597">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left w:val="single" w:color="auto" w:sz="4" w:space="0"/>
              <w:right w:val="single" w:color="auto" w:sz="4" w:space="0"/>
            </w:tcBorders>
            <w:noWrap w:val="0"/>
            <w:tcMar>
              <w:top w:w="15" w:type="dxa"/>
              <w:left w:w="15" w:type="dxa"/>
              <w:right w:w="15" w:type="dxa"/>
            </w:tcMar>
            <w:vAlign w:val="center"/>
          </w:tcPr>
          <w:p w14:paraId="36470670">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14:paraId="357A03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aseline"/>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5.每月定期对领导办公室和公务接待休息室的洗漱用品、矿泉水等消耗品进行生产日期检查。</w:t>
            </w:r>
          </w:p>
        </w:tc>
        <w:tc>
          <w:tcPr>
            <w:tcW w:w="742" w:type="dxa"/>
            <w:vMerge w:val="continue"/>
            <w:tcBorders>
              <w:left w:val="nil"/>
              <w:right w:val="single" w:color="000000" w:sz="4" w:space="0"/>
            </w:tcBorders>
            <w:noWrap/>
            <w:tcMar>
              <w:top w:w="15" w:type="dxa"/>
              <w:left w:w="15" w:type="dxa"/>
              <w:right w:w="15" w:type="dxa"/>
            </w:tcMar>
            <w:vAlign w:val="center"/>
          </w:tcPr>
          <w:p w14:paraId="62E36574">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7305BC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0CD7D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3"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60CDFB81">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left w:val="single" w:color="auto" w:sz="4" w:space="0"/>
              <w:right w:val="single" w:color="auto" w:sz="4" w:space="0"/>
            </w:tcBorders>
            <w:noWrap w:val="0"/>
            <w:tcMar>
              <w:top w:w="15" w:type="dxa"/>
              <w:left w:w="15" w:type="dxa"/>
              <w:right w:w="15" w:type="dxa"/>
            </w:tcMar>
            <w:vAlign w:val="center"/>
          </w:tcPr>
          <w:p w14:paraId="3E6709E0">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14:paraId="1F708C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aseline"/>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6.公务接待休息室接到保障通知，第一时间做好准备，使用后，及时更换床上用品，打扫卫生并做好工作记录。</w:t>
            </w:r>
          </w:p>
        </w:tc>
        <w:tc>
          <w:tcPr>
            <w:tcW w:w="742" w:type="dxa"/>
            <w:vMerge w:val="continue"/>
            <w:tcBorders>
              <w:left w:val="nil"/>
              <w:right w:val="single" w:color="000000" w:sz="4" w:space="0"/>
            </w:tcBorders>
            <w:noWrap/>
            <w:tcMar>
              <w:top w:w="15" w:type="dxa"/>
              <w:left w:w="15" w:type="dxa"/>
              <w:right w:w="15" w:type="dxa"/>
            </w:tcMar>
            <w:vAlign w:val="center"/>
          </w:tcPr>
          <w:p w14:paraId="4ED957B0">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3E884D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4B9D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9"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4C5F3282">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left w:val="single" w:color="auto" w:sz="4" w:space="0"/>
              <w:bottom w:val="nil"/>
              <w:right w:val="single" w:color="auto" w:sz="4" w:space="0"/>
            </w:tcBorders>
            <w:noWrap w:val="0"/>
            <w:tcMar>
              <w:top w:w="15" w:type="dxa"/>
              <w:left w:w="15" w:type="dxa"/>
              <w:right w:w="15" w:type="dxa"/>
            </w:tcMar>
            <w:vAlign w:val="center"/>
          </w:tcPr>
          <w:p w14:paraId="162F0D3D">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7C0619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aseline"/>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7.出现特殊天气或事件，提前做好相关准备，确保公务接待休息室可以立即使用，及时增加值班人员。</w:t>
            </w:r>
          </w:p>
        </w:tc>
        <w:tc>
          <w:tcPr>
            <w:tcW w:w="742" w:type="dxa"/>
            <w:vMerge w:val="continue"/>
            <w:tcBorders>
              <w:left w:val="nil"/>
              <w:bottom w:val="single" w:color="auto" w:sz="4" w:space="0"/>
              <w:right w:val="single" w:color="000000" w:sz="4" w:space="0"/>
            </w:tcBorders>
            <w:noWrap/>
            <w:tcMar>
              <w:top w:w="15" w:type="dxa"/>
              <w:left w:w="15" w:type="dxa"/>
              <w:right w:w="15" w:type="dxa"/>
            </w:tcMar>
            <w:vAlign w:val="center"/>
          </w:tcPr>
          <w:p w14:paraId="270F36BF">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2137" w:type="dxa"/>
            <w:vMerge w:val="continue"/>
            <w:tcBorders>
              <w:left w:val="nil"/>
              <w:bottom w:val="single" w:color="000000" w:sz="4" w:space="0"/>
              <w:right w:val="single" w:color="000000" w:sz="4" w:space="0"/>
            </w:tcBorders>
            <w:noWrap/>
            <w:tcMar>
              <w:top w:w="15" w:type="dxa"/>
              <w:left w:w="15" w:type="dxa"/>
              <w:right w:w="15" w:type="dxa"/>
            </w:tcMar>
            <w:vAlign w:val="center"/>
          </w:tcPr>
          <w:p w14:paraId="30517C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03EB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1651"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8E081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lang w:val="en-US" w:eastAsia="zh-CN" w:bidi="ar"/>
              </w:rPr>
              <w:t>总分</w:t>
            </w: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1D201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以上分值为30分。各项评分内容通过定期检查、不定期抽查，发现有不符合要求的扣除相应分值；同一扣分点再次出现问题，可重复扣分，直至该项扣完为止。</w:t>
            </w:r>
          </w:p>
        </w:tc>
        <w:tc>
          <w:tcPr>
            <w:tcW w:w="742"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4075D4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仿宋" w:hAnsi="仿宋" w:eastAsia="仿宋" w:cs="仿宋"/>
                <w:color w:val="auto"/>
                <w:sz w:val="21"/>
                <w:szCs w:val="21"/>
                <w:highlight w:val="none"/>
              </w:rPr>
            </w:pPr>
          </w:p>
        </w:tc>
        <w:tc>
          <w:tcPr>
            <w:tcW w:w="213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36696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71706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4" w:hRule="atLeast"/>
          <w:jc w:val="center"/>
        </w:trPr>
        <w:tc>
          <w:tcPr>
            <w:tcW w:w="16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F72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lang w:val="en-US" w:eastAsia="zh-CN" w:bidi="ar"/>
              </w:rPr>
              <w:t>附加减分项</w:t>
            </w: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4701C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b/>
                <w:bCs w:val="0"/>
                <w:color w:val="auto"/>
                <w:sz w:val="21"/>
                <w:szCs w:val="21"/>
                <w:highlight w:val="none"/>
                <w:u w:val="single"/>
              </w:rPr>
            </w:pPr>
            <w:r>
              <w:rPr>
                <w:rFonts w:hint="eastAsia" w:ascii="仿宋" w:hAnsi="仿宋" w:eastAsia="仿宋" w:cs="仿宋"/>
                <w:b/>
                <w:bCs w:val="0"/>
                <w:color w:val="auto"/>
                <w:kern w:val="0"/>
                <w:sz w:val="21"/>
                <w:szCs w:val="21"/>
                <w:highlight w:val="none"/>
                <w:u w:val="single"/>
                <w:lang w:val="en-US" w:eastAsia="zh-CN" w:bidi="ar"/>
              </w:rPr>
              <w:t>（一）有以下情形的给予加分，同一加分点可累计加分，最高可加5分。</w:t>
            </w:r>
          </w:p>
          <w:p w14:paraId="3203EB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color w:val="auto"/>
                <w:sz w:val="21"/>
                <w:szCs w:val="21"/>
                <w:highlight w:val="none"/>
              </w:rPr>
            </w:pPr>
            <w:r>
              <w:rPr>
                <w:rStyle w:val="939"/>
                <w:rFonts w:hint="eastAsia" w:ascii="仿宋" w:hAnsi="仿宋" w:eastAsia="仿宋" w:cs="仿宋"/>
                <w:color w:val="auto"/>
                <w:sz w:val="21"/>
                <w:szCs w:val="21"/>
                <w:highlight w:val="none"/>
                <w:lang w:val="en-US" w:eastAsia="zh-CN" w:bidi="ar"/>
              </w:rPr>
              <w:t>1.会议服务保障范围内，收到参会者或会议服务单位书面表扬，每次加1-2分。</w:t>
            </w:r>
          </w:p>
          <w:p w14:paraId="7A1339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color w:val="auto"/>
                <w:sz w:val="21"/>
                <w:szCs w:val="21"/>
                <w:highlight w:val="none"/>
              </w:rPr>
            </w:pPr>
            <w:r>
              <w:rPr>
                <w:rStyle w:val="939"/>
                <w:rFonts w:hint="eastAsia" w:ascii="仿宋" w:hAnsi="仿宋" w:eastAsia="仿宋" w:cs="仿宋"/>
                <w:color w:val="auto"/>
                <w:sz w:val="21"/>
                <w:szCs w:val="21"/>
                <w:highlight w:val="none"/>
                <w:lang w:val="en-US" w:eastAsia="zh-CN" w:bidi="ar"/>
              </w:rPr>
              <w:t>2.因会议服务保障受到市级以上荣誉的，每次加3-5分。</w:t>
            </w:r>
          </w:p>
          <w:p w14:paraId="3F15E0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color w:val="auto"/>
                <w:sz w:val="21"/>
                <w:szCs w:val="21"/>
                <w:highlight w:val="none"/>
              </w:rPr>
            </w:pPr>
            <w:r>
              <w:rPr>
                <w:rFonts w:hint="eastAsia" w:ascii="仿宋" w:hAnsi="仿宋" w:eastAsia="仿宋" w:cs="仿宋"/>
                <w:b/>
                <w:bCs w:val="0"/>
                <w:color w:val="auto"/>
                <w:kern w:val="0"/>
                <w:sz w:val="21"/>
                <w:szCs w:val="21"/>
                <w:highlight w:val="none"/>
                <w:u w:val="single"/>
                <w:lang w:val="en-US" w:eastAsia="zh-CN" w:bidi="ar"/>
              </w:rPr>
              <w:t>（二）出现以下情形的视严重程度扣减10-30分。</w:t>
            </w:r>
            <w:r>
              <w:rPr>
                <w:rStyle w:val="939"/>
                <w:rFonts w:hint="eastAsia" w:ascii="仿宋" w:hAnsi="仿宋" w:eastAsia="仿宋" w:cs="仿宋"/>
                <w:color w:val="auto"/>
                <w:sz w:val="21"/>
                <w:szCs w:val="21"/>
                <w:highlight w:val="none"/>
                <w:lang w:val="en-US" w:eastAsia="zh-CN" w:bidi="ar"/>
              </w:rPr>
              <w:t xml:space="preserve">                         1.因工作人员操作失误，管理疏漏，应急处置不力等原因，造成严重影响的情形；                                                  2.被服务对象投诉，经证实且造成恶劣影响的情形；                               3.其它被认定为严重责任事故的情形。</w:t>
            </w:r>
          </w:p>
        </w:tc>
        <w:tc>
          <w:tcPr>
            <w:tcW w:w="74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CB1C8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color w:val="auto"/>
                <w:sz w:val="21"/>
                <w:szCs w:val="21"/>
                <w:highlight w:val="none"/>
              </w:rPr>
            </w:pPr>
          </w:p>
        </w:tc>
        <w:tc>
          <w:tcPr>
            <w:tcW w:w="213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EF5E5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666DF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16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90F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lang w:val="en-US" w:eastAsia="zh-CN" w:bidi="ar"/>
              </w:rPr>
              <w:t>公务服务评分合计</w:t>
            </w:r>
          </w:p>
        </w:tc>
        <w:tc>
          <w:tcPr>
            <w:tcW w:w="546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ED214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日常月考核总分与附加减分的合计分不得超过30分。</w:t>
            </w:r>
          </w:p>
        </w:tc>
        <w:tc>
          <w:tcPr>
            <w:tcW w:w="74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0546F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color w:val="auto"/>
                <w:sz w:val="21"/>
                <w:szCs w:val="21"/>
                <w:highlight w:val="none"/>
              </w:rPr>
            </w:pPr>
          </w:p>
        </w:tc>
        <w:tc>
          <w:tcPr>
            <w:tcW w:w="213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95A2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bl>
    <w:p w14:paraId="1EB915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textAlignment w:val="baseline"/>
        <w:rPr>
          <w:rFonts w:hint="eastAsia" w:ascii="仿宋" w:hAnsi="仿宋" w:eastAsia="仿宋" w:cs="仿宋"/>
          <w:color w:val="auto"/>
          <w:sz w:val="21"/>
          <w:szCs w:val="21"/>
          <w:highlight w:val="none"/>
        </w:rPr>
      </w:pPr>
    </w:p>
    <w:p w14:paraId="27A993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textAlignment w:val="baseline"/>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 xml:space="preserve">服务单位负责人（签字）： </w:t>
      </w:r>
    </w:p>
    <w:p w14:paraId="067ECB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textAlignment w:val="baseline"/>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监管科室负责人（签字）：              分管领导（签字）：</w:t>
      </w:r>
    </w:p>
    <w:p w14:paraId="3A80A2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textAlignment w:val="baseline"/>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日期：</w:t>
      </w:r>
    </w:p>
    <w:p w14:paraId="2F910EE6">
      <w:pPr>
        <w:keepNext w:val="0"/>
        <w:keepLines w:val="0"/>
        <w:pageBreakBefore w:val="0"/>
        <w:widowControl/>
        <w:kinsoku/>
        <w:wordWrap/>
        <w:overflowPunct/>
        <w:topLinePunct w:val="0"/>
        <w:autoSpaceDE/>
        <w:autoSpaceDN/>
        <w:bidi w:val="0"/>
        <w:snapToGrid w:val="0"/>
        <w:spacing w:line="336" w:lineRule="auto"/>
        <w:jc w:val="left"/>
        <w:rPr>
          <w:rFonts w:hint="eastAsia" w:ascii="仿宋" w:hAnsi="仿宋" w:eastAsia="仿宋" w:cs="仿宋"/>
          <w:color w:val="auto"/>
          <w:sz w:val="21"/>
          <w:szCs w:val="21"/>
          <w:highlight w:val="none"/>
        </w:rPr>
      </w:pPr>
    </w:p>
    <w:p w14:paraId="27CF8244">
      <w:pPr>
        <w:keepNext w:val="0"/>
        <w:keepLines w:val="0"/>
        <w:pageBreakBefore w:val="0"/>
        <w:widowControl/>
        <w:kinsoku/>
        <w:wordWrap/>
        <w:overflowPunct/>
        <w:topLinePunct w:val="0"/>
        <w:autoSpaceDE/>
        <w:autoSpaceDN/>
        <w:bidi w:val="0"/>
        <w:snapToGrid w:val="0"/>
        <w:spacing w:line="336" w:lineRule="auto"/>
        <w:jc w:val="left"/>
        <w:rPr>
          <w:rFonts w:hint="eastAsia" w:ascii="仿宋" w:hAnsi="仿宋" w:eastAsia="仿宋" w:cs="仿宋"/>
          <w:color w:val="auto"/>
          <w:sz w:val="21"/>
          <w:szCs w:val="21"/>
          <w:highlight w:val="none"/>
        </w:rPr>
      </w:pPr>
    </w:p>
    <w:p w14:paraId="27AD42E3">
      <w:pPr>
        <w:keepNext w:val="0"/>
        <w:keepLines w:val="0"/>
        <w:pageBreakBefore w:val="0"/>
        <w:widowControl/>
        <w:kinsoku/>
        <w:wordWrap/>
        <w:overflowPunct/>
        <w:topLinePunct w:val="0"/>
        <w:autoSpaceDE/>
        <w:autoSpaceDN/>
        <w:bidi w:val="0"/>
        <w:snapToGrid w:val="0"/>
        <w:spacing w:line="336" w:lineRule="auto"/>
        <w:jc w:val="left"/>
        <w:rPr>
          <w:rFonts w:hint="eastAsia" w:ascii="仿宋" w:hAnsi="仿宋" w:eastAsia="仿宋" w:cs="仿宋"/>
          <w:color w:val="auto"/>
          <w:sz w:val="21"/>
          <w:szCs w:val="21"/>
          <w:highlight w:val="none"/>
        </w:rPr>
      </w:pPr>
    </w:p>
    <w:p w14:paraId="176EBDC4">
      <w:pPr>
        <w:keepNext w:val="0"/>
        <w:keepLines w:val="0"/>
        <w:pageBreakBefore w:val="0"/>
        <w:widowControl/>
        <w:kinsoku/>
        <w:wordWrap/>
        <w:overflowPunct/>
        <w:topLinePunct w:val="0"/>
        <w:autoSpaceDE/>
        <w:autoSpaceDN/>
        <w:bidi w:val="0"/>
        <w:snapToGrid w:val="0"/>
        <w:spacing w:line="336" w:lineRule="auto"/>
        <w:jc w:val="left"/>
        <w:rPr>
          <w:rFonts w:hint="eastAsia" w:ascii="仿宋" w:hAnsi="仿宋" w:eastAsia="仿宋" w:cs="仿宋"/>
          <w:color w:val="auto"/>
          <w:sz w:val="21"/>
          <w:szCs w:val="21"/>
          <w:highlight w:val="none"/>
        </w:rPr>
      </w:pPr>
    </w:p>
    <w:p w14:paraId="22FDFB6B">
      <w:pPr>
        <w:keepNext w:val="0"/>
        <w:keepLines w:val="0"/>
        <w:pageBreakBefore w:val="0"/>
        <w:widowControl/>
        <w:kinsoku/>
        <w:wordWrap/>
        <w:overflowPunct/>
        <w:topLinePunct w:val="0"/>
        <w:autoSpaceDE/>
        <w:autoSpaceDN/>
        <w:bidi w:val="0"/>
        <w:snapToGrid w:val="0"/>
        <w:spacing w:line="336" w:lineRule="auto"/>
        <w:jc w:val="left"/>
        <w:rPr>
          <w:rFonts w:hint="eastAsia" w:ascii="仿宋" w:hAnsi="仿宋" w:eastAsia="仿宋" w:cs="仿宋"/>
          <w:color w:val="auto"/>
          <w:sz w:val="21"/>
          <w:szCs w:val="21"/>
          <w:highlight w:val="none"/>
        </w:rPr>
      </w:pPr>
    </w:p>
    <w:p w14:paraId="37029C29">
      <w:pPr>
        <w:keepNext w:val="0"/>
        <w:keepLines w:val="0"/>
        <w:pageBreakBefore w:val="0"/>
        <w:widowControl/>
        <w:kinsoku/>
        <w:wordWrap/>
        <w:overflowPunct/>
        <w:topLinePunct w:val="0"/>
        <w:autoSpaceDE/>
        <w:autoSpaceDN/>
        <w:bidi w:val="0"/>
        <w:snapToGrid w:val="0"/>
        <w:spacing w:line="336" w:lineRule="auto"/>
        <w:jc w:val="left"/>
        <w:rPr>
          <w:rFonts w:hint="eastAsia" w:ascii="仿宋" w:hAnsi="仿宋" w:eastAsia="仿宋" w:cs="仿宋"/>
          <w:color w:val="auto"/>
          <w:sz w:val="21"/>
          <w:szCs w:val="21"/>
          <w:highlight w:val="none"/>
        </w:rPr>
      </w:pPr>
    </w:p>
    <w:p w14:paraId="4C954774">
      <w:pPr>
        <w:keepNext w:val="0"/>
        <w:keepLines w:val="0"/>
        <w:pageBreakBefore w:val="0"/>
        <w:widowControl/>
        <w:kinsoku/>
        <w:wordWrap/>
        <w:overflowPunct/>
        <w:topLinePunct w:val="0"/>
        <w:autoSpaceDE/>
        <w:autoSpaceDN/>
        <w:bidi w:val="0"/>
        <w:snapToGrid w:val="0"/>
        <w:spacing w:line="336" w:lineRule="auto"/>
        <w:jc w:val="left"/>
        <w:rPr>
          <w:rFonts w:hint="eastAsia" w:ascii="仿宋" w:hAnsi="仿宋" w:eastAsia="仿宋" w:cs="仿宋"/>
          <w:color w:val="auto"/>
          <w:sz w:val="21"/>
          <w:szCs w:val="21"/>
          <w:highlight w:val="none"/>
        </w:rPr>
      </w:pPr>
    </w:p>
    <w:p w14:paraId="6EE49656">
      <w:pPr>
        <w:keepNext w:val="0"/>
        <w:keepLines w:val="0"/>
        <w:pageBreakBefore w:val="0"/>
        <w:widowControl/>
        <w:kinsoku/>
        <w:wordWrap/>
        <w:overflowPunct/>
        <w:topLinePunct w:val="0"/>
        <w:autoSpaceDE/>
        <w:autoSpaceDN/>
        <w:bidi w:val="0"/>
        <w:snapToGrid w:val="0"/>
        <w:spacing w:line="336" w:lineRule="auto"/>
        <w:jc w:val="left"/>
        <w:rPr>
          <w:rFonts w:hint="eastAsia" w:ascii="仿宋" w:hAnsi="仿宋" w:eastAsia="仿宋" w:cs="仿宋"/>
          <w:color w:val="auto"/>
          <w:sz w:val="21"/>
          <w:szCs w:val="21"/>
          <w:highlight w:val="none"/>
        </w:rPr>
      </w:pPr>
    </w:p>
    <w:p w14:paraId="24787577">
      <w:pPr>
        <w:keepNext w:val="0"/>
        <w:keepLines w:val="0"/>
        <w:pageBreakBefore w:val="0"/>
        <w:widowControl/>
        <w:kinsoku/>
        <w:wordWrap/>
        <w:overflowPunct/>
        <w:topLinePunct w:val="0"/>
        <w:autoSpaceDE/>
        <w:autoSpaceDN/>
        <w:bidi w:val="0"/>
        <w:snapToGrid w:val="0"/>
        <w:spacing w:line="336"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附表2</w:t>
      </w:r>
    </w:p>
    <w:p w14:paraId="7803AD9B">
      <w:pPr>
        <w:pStyle w:val="2"/>
        <w:jc w:val="center"/>
        <w:rPr>
          <w:rStyle w:val="966"/>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会议服务监管考核评分表</w:t>
      </w:r>
    </w:p>
    <w:p w14:paraId="5C22536E">
      <w:pPr>
        <w:pStyle w:val="2"/>
        <w:keepNext w:val="0"/>
        <w:keepLines w:val="0"/>
        <w:pageBreakBefore w:val="0"/>
        <w:widowControl/>
        <w:kinsoku/>
        <w:wordWrap/>
        <w:overflowPunct/>
        <w:topLinePunct w:val="0"/>
        <w:autoSpaceDE/>
        <w:autoSpaceDN/>
        <w:bidi w:val="0"/>
        <w:adjustRightInd w:val="0"/>
        <w:snapToGrid w:val="0"/>
        <w:spacing w:line="240" w:lineRule="exact"/>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p>
    <w:p w14:paraId="568357E1">
      <w:pPr>
        <w:pStyle w:val="2"/>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分值70</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rPr>
        <w:t>年     月</w:t>
      </w:r>
    </w:p>
    <w:p w14:paraId="0EDA278E">
      <w:pPr>
        <w:pStyle w:val="2"/>
        <w:keepNext w:val="0"/>
        <w:keepLines w:val="0"/>
        <w:pageBreakBefore w:val="0"/>
        <w:widowControl/>
        <w:kinsoku/>
        <w:wordWrap/>
        <w:overflowPunct/>
        <w:topLinePunct w:val="0"/>
        <w:autoSpaceDE/>
        <w:autoSpaceDN/>
        <w:bidi w:val="0"/>
        <w:adjustRightInd w:val="0"/>
        <w:snapToGrid w:val="0"/>
        <w:spacing w:line="240" w:lineRule="exact"/>
        <w:jc w:val="both"/>
        <w:textAlignment w:val="baseline"/>
        <w:rPr>
          <w:rFonts w:hint="eastAsia" w:ascii="仿宋" w:hAnsi="仿宋" w:eastAsia="仿宋" w:cs="仿宋"/>
          <w:color w:val="auto"/>
          <w:sz w:val="21"/>
          <w:szCs w:val="21"/>
          <w:highlight w:val="none"/>
        </w:rPr>
      </w:pPr>
    </w:p>
    <w:tbl>
      <w:tblPr>
        <w:tblStyle w:val="63"/>
        <w:tblW w:w="0" w:type="auto"/>
        <w:jc w:val="center"/>
        <w:tblLayout w:type="fixed"/>
        <w:tblCellMar>
          <w:top w:w="0" w:type="dxa"/>
          <w:left w:w="0" w:type="dxa"/>
          <w:bottom w:w="0" w:type="dxa"/>
          <w:right w:w="0" w:type="dxa"/>
        </w:tblCellMar>
      </w:tblPr>
      <w:tblGrid>
        <w:gridCol w:w="735"/>
        <w:gridCol w:w="913"/>
        <w:gridCol w:w="5477"/>
        <w:gridCol w:w="684"/>
        <w:gridCol w:w="2117"/>
      </w:tblGrid>
      <w:tr w14:paraId="34908DBF">
        <w:tblPrEx>
          <w:tblCellMar>
            <w:top w:w="0" w:type="dxa"/>
            <w:left w:w="0" w:type="dxa"/>
            <w:bottom w:w="0" w:type="dxa"/>
            <w:right w:w="0" w:type="dxa"/>
          </w:tblCellMar>
        </w:tblPrEx>
        <w:trPr>
          <w:trHeight w:val="626" w:hRule="atLeast"/>
          <w:jc w:val="center"/>
        </w:trPr>
        <w:tc>
          <w:tcPr>
            <w:tcW w:w="16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7498F">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评分内容</w:t>
            </w:r>
          </w:p>
        </w:tc>
        <w:tc>
          <w:tcPr>
            <w:tcW w:w="54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791D0">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评分标准</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41779">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lang w:val="en-US" w:eastAsia="zh-CN"/>
              </w:rPr>
              <w:t>分值</w:t>
            </w:r>
          </w:p>
        </w:tc>
        <w:tc>
          <w:tcPr>
            <w:tcW w:w="2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001A8">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扣分说明</w:t>
            </w:r>
          </w:p>
          <w:p w14:paraId="288E2B34">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（时间、扣分原因）</w:t>
            </w:r>
          </w:p>
        </w:tc>
      </w:tr>
      <w:tr w14:paraId="36273BE5">
        <w:tblPrEx>
          <w:tblCellMar>
            <w:top w:w="0" w:type="dxa"/>
            <w:left w:w="0" w:type="dxa"/>
            <w:bottom w:w="0" w:type="dxa"/>
            <w:right w:w="0" w:type="dxa"/>
          </w:tblCellMar>
        </w:tblPrEx>
        <w:trPr>
          <w:trHeight w:val="499"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DF29A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基</w:t>
            </w:r>
          </w:p>
          <w:p w14:paraId="6CAB44F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础</w:t>
            </w:r>
          </w:p>
          <w:p w14:paraId="19D7346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管</w:t>
            </w:r>
          </w:p>
          <w:p w14:paraId="247B6148">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理</w:t>
            </w:r>
          </w:p>
          <w:p w14:paraId="406BBB4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24分</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701A7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人员配备（8分）</w:t>
            </w:r>
          </w:p>
        </w:tc>
        <w:tc>
          <w:tcPr>
            <w:tcW w:w="547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403D20A">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1.按合同约定配备人员，人员调整或增减须书面报备；工作日人员到岗率达到90%以上。</w:t>
            </w:r>
          </w:p>
        </w:tc>
        <w:tc>
          <w:tcPr>
            <w:tcW w:w="68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883215B">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B172A65">
            <w:pPr>
              <w:snapToGrid w:val="0"/>
              <w:spacing w:line="288" w:lineRule="auto"/>
              <w:rPr>
                <w:rFonts w:hint="eastAsia" w:ascii="仿宋" w:hAnsi="仿宋" w:eastAsia="仿宋" w:cs="仿宋"/>
                <w:color w:val="auto"/>
                <w:sz w:val="21"/>
                <w:szCs w:val="21"/>
                <w:highlight w:val="none"/>
              </w:rPr>
            </w:pPr>
          </w:p>
        </w:tc>
      </w:tr>
      <w:tr w14:paraId="5BB953EB">
        <w:tblPrEx>
          <w:tblCellMar>
            <w:top w:w="0" w:type="dxa"/>
            <w:left w:w="0" w:type="dxa"/>
            <w:bottom w:w="0" w:type="dxa"/>
            <w:right w:w="0" w:type="dxa"/>
          </w:tblCellMar>
        </w:tblPrEx>
        <w:trPr>
          <w:trHeight w:val="54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05CAE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06976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BFD0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2.工作人员应按时到岗，不得擅自脱岗；因离职空缺的岗位应在15日内补齐，人员流动率在合同约定的范围内，不得因人员变动影响服务质量。</w:t>
            </w:r>
          </w:p>
        </w:tc>
        <w:tc>
          <w:tcPr>
            <w:tcW w:w="684" w:type="dxa"/>
            <w:vMerge w:val="continue"/>
            <w:tcBorders>
              <w:left w:val="single" w:color="000000" w:sz="4" w:space="0"/>
              <w:right w:val="single" w:color="000000" w:sz="4" w:space="0"/>
            </w:tcBorders>
            <w:noWrap/>
            <w:tcMar>
              <w:top w:w="15" w:type="dxa"/>
              <w:left w:w="15" w:type="dxa"/>
              <w:right w:w="15" w:type="dxa"/>
            </w:tcMar>
            <w:vAlign w:val="center"/>
          </w:tcPr>
          <w:p w14:paraId="6E3A45DD">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right w:val="single" w:color="000000" w:sz="4" w:space="0"/>
            </w:tcBorders>
            <w:noWrap/>
            <w:tcMar>
              <w:top w:w="15" w:type="dxa"/>
              <w:left w:w="15" w:type="dxa"/>
              <w:right w:w="15" w:type="dxa"/>
            </w:tcMar>
            <w:vAlign w:val="center"/>
          </w:tcPr>
          <w:p w14:paraId="3A81E43A">
            <w:pPr>
              <w:snapToGrid w:val="0"/>
              <w:spacing w:line="288" w:lineRule="auto"/>
              <w:rPr>
                <w:rFonts w:hint="eastAsia" w:ascii="仿宋" w:hAnsi="仿宋" w:eastAsia="仿宋" w:cs="仿宋"/>
                <w:color w:val="auto"/>
                <w:sz w:val="21"/>
                <w:szCs w:val="21"/>
                <w:highlight w:val="none"/>
              </w:rPr>
            </w:pPr>
          </w:p>
        </w:tc>
      </w:tr>
      <w:tr w14:paraId="7A5F6D87">
        <w:tblPrEx>
          <w:tblCellMar>
            <w:top w:w="0" w:type="dxa"/>
            <w:left w:w="0" w:type="dxa"/>
            <w:bottom w:w="0" w:type="dxa"/>
            <w:right w:w="0" w:type="dxa"/>
          </w:tblCellMar>
        </w:tblPrEx>
        <w:trPr>
          <w:trHeight w:val="49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EA956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3CE9A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03E6D">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3.定期对管理人员进行专业培训，提升管理能力，确保巡查力度；定期开展各项业务培训和岗位专业技能考核，提高服务人员专业素养与技能。</w:t>
            </w:r>
          </w:p>
        </w:tc>
        <w:tc>
          <w:tcPr>
            <w:tcW w:w="684" w:type="dxa"/>
            <w:vMerge w:val="continue"/>
            <w:tcBorders>
              <w:left w:val="single" w:color="000000" w:sz="4" w:space="0"/>
              <w:right w:val="single" w:color="000000" w:sz="4" w:space="0"/>
            </w:tcBorders>
            <w:noWrap/>
            <w:tcMar>
              <w:top w:w="15" w:type="dxa"/>
              <w:left w:w="15" w:type="dxa"/>
              <w:right w:w="15" w:type="dxa"/>
            </w:tcMar>
            <w:vAlign w:val="center"/>
          </w:tcPr>
          <w:p w14:paraId="77C903C7">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right w:val="single" w:color="000000" w:sz="4" w:space="0"/>
            </w:tcBorders>
            <w:noWrap w:val="0"/>
            <w:tcMar>
              <w:top w:w="15" w:type="dxa"/>
              <w:left w:w="15" w:type="dxa"/>
              <w:right w:w="15" w:type="dxa"/>
            </w:tcMar>
            <w:vAlign w:val="center"/>
          </w:tcPr>
          <w:p w14:paraId="753CD01E">
            <w:pPr>
              <w:snapToGrid w:val="0"/>
              <w:spacing w:line="288" w:lineRule="auto"/>
              <w:jc w:val="center"/>
              <w:rPr>
                <w:rFonts w:hint="eastAsia" w:ascii="仿宋" w:hAnsi="仿宋" w:eastAsia="仿宋" w:cs="仿宋"/>
                <w:color w:val="auto"/>
                <w:sz w:val="21"/>
                <w:szCs w:val="21"/>
                <w:highlight w:val="none"/>
              </w:rPr>
            </w:pPr>
          </w:p>
        </w:tc>
      </w:tr>
      <w:tr w14:paraId="3AE8FCAA">
        <w:tblPrEx>
          <w:tblCellMar>
            <w:top w:w="0" w:type="dxa"/>
            <w:left w:w="0" w:type="dxa"/>
            <w:bottom w:w="0" w:type="dxa"/>
            <w:right w:w="0" w:type="dxa"/>
          </w:tblCellMar>
        </w:tblPrEx>
        <w:trPr>
          <w:trHeight w:val="666"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726A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F60E1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41092">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工作中沟通不畅、执行不到位给工作造成不良影响的。</w:t>
            </w:r>
          </w:p>
          <w:p w14:paraId="0E3D05A6">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p>
        </w:tc>
        <w:tc>
          <w:tcPr>
            <w:tcW w:w="68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CE93D65">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4753300">
            <w:pPr>
              <w:snapToGrid w:val="0"/>
              <w:spacing w:line="288" w:lineRule="auto"/>
              <w:rPr>
                <w:rFonts w:hint="eastAsia" w:ascii="仿宋" w:hAnsi="仿宋" w:eastAsia="仿宋" w:cs="仿宋"/>
                <w:color w:val="auto"/>
                <w:sz w:val="21"/>
                <w:szCs w:val="21"/>
                <w:highlight w:val="none"/>
              </w:rPr>
            </w:pPr>
          </w:p>
        </w:tc>
      </w:tr>
      <w:tr w14:paraId="5AE4DDC0">
        <w:tblPrEx>
          <w:tblCellMar>
            <w:top w:w="0" w:type="dxa"/>
            <w:left w:w="0" w:type="dxa"/>
            <w:bottom w:w="0" w:type="dxa"/>
            <w:right w:w="0" w:type="dxa"/>
          </w:tblCellMar>
        </w:tblPrEx>
        <w:trPr>
          <w:trHeight w:val="37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5CDC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FCF8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组织纪律（6分）</w:t>
            </w:r>
          </w:p>
        </w:tc>
        <w:tc>
          <w:tcPr>
            <w:tcW w:w="547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5C070A7">
            <w:pPr>
              <w:keepNext w:val="0"/>
              <w:keepLines w:val="0"/>
              <w:pageBreakBefore w:val="0"/>
              <w:widowControl/>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1.建立健全各项管理制度，制订各岗位职责及工作标准，严格遵守员工守则。会议服务规章制度的管理，根据会议服务要求不断完善服务相关制度。</w:t>
            </w:r>
          </w:p>
        </w:tc>
        <w:tc>
          <w:tcPr>
            <w:tcW w:w="68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20DFB81">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2CA1F82">
            <w:pPr>
              <w:snapToGrid w:val="0"/>
              <w:spacing w:line="288" w:lineRule="auto"/>
              <w:jc w:val="center"/>
              <w:rPr>
                <w:rFonts w:hint="eastAsia" w:ascii="仿宋" w:hAnsi="仿宋" w:eastAsia="仿宋" w:cs="仿宋"/>
                <w:color w:val="auto"/>
                <w:sz w:val="21"/>
                <w:szCs w:val="21"/>
                <w:highlight w:val="none"/>
              </w:rPr>
            </w:pPr>
          </w:p>
        </w:tc>
      </w:tr>
      <w:tr w14:paraId="170BC983">
        <w:tblPrEx>
          <w:tblCellMar>
            <w:top w:w="0" w:type="dxa"/>
            <w:left w:w="0" w:type="dxa"/>
            <w:bottom w:w="0" w:type="dxa"/>
            <w:right w:w="0" w:type="dxa"/>
          </w:tblCellMar>
        </w:tblPrEx>
        <w:trPr>
          <w:trHeight w:val="881"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953C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6ABC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BC9DD">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2.一线员工应持有健康证按时上岗；在岗期间，不做与本职工作无关之事；对工作中发现问题或接到工作任务后未及时跟进、反馈，影响服务效率的。</w:t>
            </w:r>
          </w:p>
        </w:tc>
        <w:tc>
          <w:tcPr>
            <w:tcW w:w="684" w:type="dxa"/>
            <w:vMerge w:val="continue"/>
            <w:tcBorders>
              <w:left w:val="single" w:color="000000" w:sz="4" w:space="0"/>
              <w:right w:val="single" w:color="000000" w:sz="4" w:space="0"/>
            </w:tcBorders>
            <w:noWrap/>
            <w:tcMar>
              <w:top w:w="15" w:type="dxa"/>
              <w:left w:w="15" w:type="dxa"/>
              <w:right w:w="15" w:type="dxa"/>
            </w:tcMar>
            <w:vAlign w:val="center"/>
          </w:tcPr>
          <w:p w14:paraId="5D85E8BF">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right w:val="single" w:color="000000" w:sz="4" w:space="0"/>
            </w:tcBorders>
            <w:noWrap/>
            <w:tcMar>
              <w:top w:w="15" w:type="dxa"/>
              <w:left w:w="15" w:type="dxa"/>
              <w:right w:w="15" w:type="dxa"/>
            </w:tcMar>
            <w:vAlign w:val="center"/>
          </w:tcPr>
          <w:p w14:paraId="66D5F30C">
            <w:pPr>
              <w:snapToGrid w:val="0"/>
              <w:spacing w:line="288" w:lineRule="auto"/>
              <w:rPr>
                <w:rFonts w:hint="eastAsia" w:ascii="仿宋" w:hAnsi="仿宋" w:eastAsia="仿宋" w:cs="仿宋"/>
                <w:color w:val="auto"/>
                <w:sz w:val="21"/>
                <w:szCs w:val="21"/>
                <w:highlight w:val="none"/>
              </w:rPr>
            </w:pPr>
          </w:p>
        </w:tc>
      </w:tr>
      <w:tr w14:paraId="5AC64A6D">
        <w:tblPrEx>
          <w:tblCellMar>
            <w:top w:w="0" w:type="dxa"/>
            <w:left w:w="0" w:type="dxa"/>
            <w:bottom w:w="0" w:type="dxa"/>
            <w:right w:w="0" w:type="dxa"/>
          </w:tblCellMar>
        </w:tblPrEx>
        <w:trPr>
          <w:trHeight w:val="37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C710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6D81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F6B3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3.工作人员值班，工作日、双休及节假日值班时间根据机关值班时间进行安排，做好工作交接记录，做好各类设施设备安全巡查工作，完成相应数据统计台账并上报监管部门。</w:t>
            </w:r>
          </w:p>
        </w:tc>
        <w:tc>
          <w:tcPr>
            <w:tcW w:w="684" w:type="dxa"/>
            <w:vMerge w:val="continue"/>
            <w:tcBorders>
              <w:left w:val="single" w:color="000000" w:sz="4" w:space="0"/>
              <w:right w:val="single" w:color="000000" w:sz="4" w:space="0"/>
            </w:tcBorders>
            <w:noWrap/>
            <w:tcMar>
              <w:top w:w="15" w:type="dxa"/>
              <w:left w:w="15" w:type="dxa"/>
              <w:right w:w="15" w:type="dxa"/>
            </w:tcMar>
            <w:vAlign w:val="center"/>
          </w:tcPr>
          <w:p w14:paraId="4D95E3E4">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right w:val="single" w:color="000000" w:sz="4" w:space="0"/>
            </w:tcBorders>
            <w:noWrap/>
            <w:tcMar>
              <w:top w:w="15" w:type="dxa"/>
              <w:left w:w="15" w:type="dxa"/>
              <w:right w:w="15" w:type="dxa"/>
            </w:tcMar>
            <w:vAlign w:val="center"/>
          </w:tcPr>
          <w:p w14:paraId="5FE8576A">
            <w:pPr>
              <w:snapToGrid w:val="0"/>
              <w:spacing w:line="288" w:lineRule="auto"/>
              <w:rPr>
                <w:rFonts w:hint="eastAsia" w:ascii="仿宋" w:hAnsi="仿宋" w:eastAsia="仿宋" w:cs="仿宋"/>
                <w:color w:val="auto"/>
                <w:sz w:val="21"/>
                <w:szCs w:val="21"/>
                <w:highlight w:val="none"/>
              </w:rPr>
            </w:pPr>
          </w:p>
        </w:tc>
      </w:tr>
      <w:tr w14:paraId="0DD75C61">
        <w:tblPrEx>
          <w:tblCellMar>
            <w:top w:w="0" w:type="dxa"/>
            <w:left w:w="0" w:type="dxa"/>
            <w:bottom w:w="0" w:type="dxa"/>
            <w:right w:w="0" w:type="dxa"/>
          </w:tblCellMar>
        </w:tblPrEx>
        <w:trPr>
          <w:trHeight w:val="691"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E4FD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6CD2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37399F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4.出现事故及时上报，分析原因及处理意见，如何避免再次发生。</w:t>
            </w:r>
          </w:p>
        </w:tc>
        <w:tc>
          <w:tcPr>
            <w:tcW w:w="68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0A8F51A0">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2382939C">
            <w:pPr>
              <w:snapToGrid w:val="0"/>
              <w:spacing w:line="288" w:lineRule="auto"/>
              <w:rPr>
                <w:rFonts w:hint="eastAsia" w:ascii="仿宋" w:hAnsi="仿宋" w:eastAsia="仿宋" w:cs="仿宋"/>
                <w:color w:val="auto"/>
                <w:sz w:val="21"/>
                <w:szCs w:val="21"/>
                <w:highlight w:val="none"/>
              </w:rPr>
            </w:pPr>
          </w:p>
        </w:tc>
      </w:tr>
      <w:tr w14:paraId="1C8ABFF2">
        <w:tblPrEx>
          <w:tblCellMar>
            <w:top w:w="0" w:type="dxa"/>
            <w:left w:w="0" w:type="dxa"/>
            <w:bottom w:w="0" w:type="dxa"/>
            <w:right w:w="0" w:type="dxa"/>
          </w:tblCellMar>
        </w:tblPrEx>
        <w:trPr>
          <w:trHeight w:val="55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2B92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F59C0E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行为规范（2分）</w:t>
            </w: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1C03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1.仪容仪表美观得体、工作时间按要求着装，统一服饰并佩戴工号牌等；使用礼貌用语，面带微笑，服务现场，站（坐）姿规范，举止文雅。</w:t>
            </w:r>
          </w:p>
        </w:tc>
        <w:tc>
          <w:tcPr>
            <w:tcW w:w="68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33BBB7C">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13C5FFB">
            <w:pPr>
              <w:snapToGrid w:val="0"/>
              <w:spacing w:line="288" w:lineRule="auto"/>
              <w:rPr>
                <w:rFonts w:hint="eastAsia" w:ascii="仿宋" w:hAnsi="仿宋" w:eastAsia="仿宋" w:cs="仿宋"/>
                <w:color w:val="auto"/>
                <w:sz w:val="21"/>
                <w:szCs w:val="21"/>
                <w:highlight w:val="none"/>
              </w:rPr>
            </w:pPr>
          </w:p>
        </w:tc>
      </w:tr>
      <w:tr w14:paraId="4E200A09">
        <w:tblPrEx>
          <w:tblCellMar>
            <w:top w:w="0" w:type="dxa"/>
            <w:left w:w="0" w:type="dxa"/>
            <w:bottom w:w="0" w:type="dxa"/>
            <w:right w:w="0" w:type="dxa"/>
          </w:tblCellMar>
        </w:tblPrEx>
        <w:trPr>
          <w:trHeight w:val="52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AEA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left w:val="single" w:color="000000" w:sz="4" w:space="0"/>
              <w:bottom w:val="nil"/>
              <w:right w:val="single" w:color="000000" w:sz="4" w:space="0"/>
            </w:tcBorders>
            <w:noWrap w:val="0"/>
            <w:tcMar>
              <w:top w:w="15" w:type="dxa"/>
              <w:left w:w="15" w:type="dxa"/>
              <w:right w:w="15" w:type="dxa"/>
            </w:tcMar>
            <w:vAlign w:val="center"/>
          </w:tcPr>
          <w:p w14:paraId="1C774B4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A187D">
            <w:pPr>
              <w:keepNext w:val="0"/>
              <w:keepLines w:val="0"/>
              <w:pageBreakBefore w:val="0"/>
              <w:widowControl/>
              <w:tabs>
                <w:tab w:val="center" w:pos="2567"/>
              </w:tabs>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2.所有人员应具备主人翁意识、爱岗敬业、尽职尽责。</w:t>
            </w:r>
          </w:p>
        </w:tc>
        <w:tc>
          <w:tcPr>
            <w:tcW w:w="68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44AB5DC">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1365CEC2">
            <w:pPr>
              <w:snapToGrid w:val="0"/>
              <w:spacing w:line="288" w:lineRule="auto"/>
              <w:rPr>
                <w:rFonts w:hint="eastAsia" w:ascii="仿宋" w:hAnsi="仿宋" w:eastAsia="仿宋" w:cs="仿宋"/>
                <w:color w:val="auto"/>
                <w:sz w:val="21"/>
                <w:szCs w:val="21"/>
                <w:highlight w:val="none"/>
              </w:rPr>
            </w:pPr>
          </w:p>
        </w:tc>
      </w:tr>
      <w:tr w14:paraId="5F1409DB">
        <w:tblPrEx>
          <w:tblCellMar>
            <w:top w:w="0" w:type="dxa"/>
            <w:left w:w="0" w:type="dxa"/>
            <w:bottom w:w="0" w:type="dxa"/>
            <w:right w:w="0" w:type="dxa"/>
          </w:tblCellMar>
        </w:tblPrEx>
        <w:trPr>
          <w:trHeight w:val="51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F153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966B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应急管理（4分）</w:t>
            </w:r>
          </w:p>
        </w:tc>
        <w:tc>
          <w:tcPr>
            <w:tcW w:w="547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4496426">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1.因人为原因，伴奏中出现异常，影响会议进度的。</w:t>
            </w:r>
          </w:p>
        </w:tc>
        <w:tc>
          <w:tcPr>
            <w:tcW w:w="68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D39CFE3">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6D7F5EE">
            <w:pPr>
              <w:snapToGrid w:val="0"/>
              <w:spacing w:line="288" w:lineRule="auto"/>
              <w:rPr>
                <w:rFonts w:hint="eastAsia" w:ascii="仿宋" w:hAnsi="仿宋" w:eastAsia="仿宋" w:cs="仿宋"/>
                <w:color w:val="auto"/>
                <w:sz w:val="21"/>
                <w:szCs w:val="21"/>
                <w:highlight w:val="none"/>
              </w:rPr>
            </w:pPr>
          </w:p>
        </w:tc>
      </w:tr>
      <w:tr w14:paraId="5FCEF04E">
        <w:tblPrEx>
          <w:tblCellMar>
            <w:top w:w="0" w:type="dxa"/>
            <w:left w:w="0" w:type="dxa"/>
            <w:bottom w:w="0" w:type="dxa"/>
            <w:right w:w="0" w:type="dxa"/>
          </w:tblCellMar>
        </w:tblPrEx>
        <w:trPr>
          <w:trHeight w:val="666"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DA1C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EA9F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56A751A">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2.临时增加会议或议程出现变动，是否按要求及时上报并紧急处理。</w:t>
            </w:r>
          </w:p>
        </w:tc>
        <w:tc>
          <w:tcPr>
            <w:tcW w:w="684" w:type="dxa"/>
            <w:vMerge w:val="continue"/>
            <w:tcBorders>
              <w:left w:val="single" w:color="000000" w:sz="4" w:space="0"/>
              <w:right w:val="single" w:color="000000" w:sz="4" w:space="0"/>
            </w:tcBorders>
            <w:noWrap/>
            <w:tcMar>
              <w:top w:w="15" w:type="dxa"/>
              <w:left w:w="15" w:type="dxa"/>
              <w:right w:w="15" w:type="dxa"/>
            </w:tcMar>
            <w:vAlign w:val="center"/>
          </w:tcPr>
          <w:p w14:paraId="59CB2670">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right w:val="single" w:color="000000" w:sz="4" w:space="0"/>
            </w:tcBorders>
            <w:noWrap/>
            <w:tcMar>
              <w:top w:w="15" w:type="dxa"/>
              <w:left w:w="15" w:type="dxa"/>
              <w:right w:w="15" w:type="dxa"/>
            </w:tcMar>
            <w:vAlign w:val="center"/>
          </w:tcPr>
          <w:p w14:paraId="723A54A3">
            <w:pPr>
              <w:snapToGrid w:val="0"/>
              <w:spacing w:line="288" w:lineRule="auto"/>
              <w:rPr>
                <w:rFonts w:hint="eastAsia" w:ascii="仿宋" w:hAnsi="仿宋" w:eastAsia="仿宋" w:cs="仿宋"/>
                <w:color w:val="auto"/>
                <w:sz w:val="21"/>
                <w:szCs w:val="21"/>
                <w:highlight w:val="none"/>
              </w:rPr>
            </w:pPr>
          </w:p>
        </w:tc>
      </w:tr>
      <w:tr w14:paraId="32EC6CC6">
        <w:tblPrEx>
          <w:tblCellMar>
            <w:top w:w="0" w:type="dxa"/>
            <w:left w:w="0" w:type="dxa"/>
            <w:bottom w:w="0" w:type="dxa"/>
            <w:right w:w="0" w:type="dxa"/>
          </w:tblCellMar>
        </w:tblPrEx>
        <w:trPr>
          <w:trHeight w:val="1136" w:hRule="atLeast"/>
          <w:jc w:val="center"/>
        </w:trPr>
        <w:tc>
          <w:tcPr>
            <w:tcW w:w="73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ED5650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1815E9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D7C4A">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3.遵守中心的相关规定和纪律。针对突发事件建立应急预案和台账，通过定期组织培训、演练，提高应急处理能力，如遇突发事件须及时通知监管部门并采取相应措施。</w:t>
            </w:r>
          </w:p>
          <w:p w14:paraId="6EA8623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p>
        </w:tc>
        <w:tc>
          <w:tcPr>
            <w:tcW w:w="68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1588836D">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AE715E2">
            <w:pPr>
              <w:snapToGrid w:val="0"/>
              <w:spacing w:line="288" w:lineRule="auto"/>
              <w:rPr>
                <w:rFonts w:hint="eastAsia" w:ascii="仿宋" w:hAnsi="仿宋" w:eastAsia="仿宋" w:cs="仿宋"/>
                <w:color w:val="auto"/>
                <w:sz w:val="21"/>
                <w:szCs w:val="21"/>
                <w:highlight w:val="none"/>
              </w:rPr>
            </w:pPr>
          </w:p>
        </w:tc>
      </w:tr>
      <w:tr w14:paraId="7CE04099">
        <w:tblPrEx>
          <w:tblCellMar>
            <w:top w:w="0" w:type="dxa"/>
            <w:left w:w="0" w:type="dxa"/>
            <w:bottom w:w="0" w:type="dxa"/>
            <w:right w:w="0" w:type="dxa"/>
          </w:tblCellMar>
        </w:tblPrEx>
        <w:trPr>
          <w:trHeight w:val="330" w:hRule="atLeast"/>
          <w:jc w:val="center"/>
        </w:trPr>
        <w:tc>
          <w:tcPr>
            <w:tcW w:w="735"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1E74EC0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基</w:t>
            </w:r>
          </w:p>
          <w:p w14:paraId="5C3B2B9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础</w:t>
            </w:r>
          </w:p>
          <w:p w14:paraId="1D4EBCC9">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管</w:t>
            </w:r>
          </w:p>
          <w:p w14:paraId="62E5801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理</w:t>
            </w:r>
          </w:p>
        </w:tc>
        <w:tc>
          <w:tcPr>
            <w:tcW w:w="913"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A4387">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保密管理（4分）</w:t>
            </w: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C64B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1.会议保障期间须将手机调至静音，不得随意接听电话，保障重要会议或涉密会议时一律不准带手机或其他录音、录像设备进入会场。</w:t>
            </w:r>
          </w:p>
        </w:tc>
        <w:tc>
          <w:tcPr>
            <w:tcW w:w="68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2883F75">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3390094">
            <w:pPr>
              <w:snapToGrid w:val="0"/>
              <w:spacing w:line="288" w:lineRule="auto"/>
              <w:rPr>
                <w:rFonts w:hint="eastAsia" w:ascii="仿宋" w:hAnsi="仿宋" w:eastAsia="仿宋" w:cs="仿宋"/>
                <w:color w:val="auto"/>
                <w:sz w:val="21"/>
                <w:szCs w:val="21"/>
                <w:highlight w:val="none"/>
              </w:rPr>
            </w:pPr>
          </w:p>
        </w:tc>
      </w:tr>
      <w:tr w14:paraId="3DBD28D0">
        <w:tblPrEx>
          <w:tblCellMar>
            <w:top w:w="0" w:type="dxa"/>
            <w:left w:w="0" w:type="dxa"/>
            <w:bottom w:w="0" w:type="dxa"/>
            <w:right w:w="0" w:type="dxa"/>
          </w:tblCellMar>
        </w:tblPrEx>
        <w:trPr>
          <w:trHeight w:val="59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AE5B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062E3">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AA5F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2.保密会议时，不得随意拍摄、讨论或传递与会议有关的资料信息。</w:t>
            </w:r>
          </w:p>
        </w:tc>
        <w:tc>
          <w:tcPr>
            <w:tcW w:w="684" w:type="dxa"/>
            <w:vMerge w:val="continue"/>
            <w:tcBorders>
              <w:left w:val="single" w:color="000000" w:sz="4" w:space="0"/>
              <w:right w:val="single" w:color="000000" w:sz="4" w:space="0"/>
            </w:tcBorders>
            <w:noWrap/>
            <w:tcMar>
              <w:top w:w="15" w:type="dxa"/>
              <w:left w:w="15" w:type="dxa"/>
              <w:right w:w="15" w:type="dxa"/>
            </w:tcMar>
            <w:vAlign w:val="center"/>
          </w:tcPr>
          <w:p w14:paraId="6E6B0BAD">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vMerge w:val="continue"/>
            <w:tcBorders>
              <w:left w:val="single" w:color="000000" w:sz="4" w:space="0"/>
              <w:right w:val="single" w:color="000000" w:sz="4" w:space="0"/>
            </w:tcBorders>
            <w:noWrap/>
            <w:tcMar>
              <w:top w:w="15" w:type="dxa"/>
              <w:left w:w="15" w:type="dxa"/>
              <w:right w:w="15" w:type="dxa"/>
            </w:tcMar>
            <w:vAlign w:val="center"/>
          </w:tcPr>
          <w:p w14:paraId="27DEDFED">
            <w:pPr>
              <w:snapToGrid w:val="0"/>
              <w:spacing w:line="288" w:lineRule="auto"/>
              <w:rPr>
                <w:rFonts w:hint="eastAsia" w:ascii="仿宋" w:hAnsi="仿宋" w:eastAsia="仿宋" w:cs="仿宋"/>
                <w:color w:val="auto"/>
                <w:sz w:val="21"/>
                <w:szCs w:val="21"/>
                <w:highlight w:val="none"/>
              </w:rPr>
            </w:pPr>
          </w:p>
        </w:tc>
      </w:tr>
      <w:tr w14:paraId="376844F2">
        <w:tblPrEx>
          <w:tblCellMar>
            <w:top w:w="0" w:type="dxa"/>
            <w:left w:w="0" w:type="dxa"/>
            <w:bottom w:w="0" w:type="dxa"/>
            <w:right w:w="0" w:type="dxa"/>
          </w:tblCellMar>
        </w:tblPrEx>
        <w:trPr>
          <w:trHeight w:val="52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A758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4ED4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34F9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3.严格遵守保密责任书内容。</w:t>
            </w:r>
          </w:p>
        </w:tc>
        <w:tc>
          <w:tcPr>
            <w:tcW w:w="68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E8DF24F">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9BCA224">
            <w:pPr>
              <w:snapToGrid w:val="0"/>
              <w:spacing w:line="288" w:lineRule="auto"/>
              <w:rPr>
                <w:rFonts w:hint="eastAsia" w:ascii="仿宋" w:hAnsi="仿宋" w:eastAsia="仿宋" w:cs="仿宋"/>
                <w:color w:val="auto"/>
                <w:sz w:val="21"/>
                <w:szCs w:val="21"/>
                <w:highlight w:val="none"/>
              </w:rPr>
            </w:pPr>
          </w:p>
        </w:tc>
      </w:tr>
      <w:tr w14:paraId="00958C95">
        <w:tblPrEx>
          <w:tblCellMar>
            <w:top w:w="0" w:type="dxa"/>
            <w:left w:w="0" w:type="dxa"/>
            <w:bottom w:w="0" w:type="dxa"/>
            <w:right w:w="0" w:type="dxa"/>
          </w:tblCellMar>
        </w:tblPrEx>
        <w:trPr>
          <w:trHeight w:val="2206"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C7B7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w:t>
            </w:r>
          </w:p>
          <w:p w14:paraId="4E11A3A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务</w:t>
            </w:r>
          </w:p>
          <w:p w14:paraId="040AB1F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标</w:t>
            </w:r>
          </w:p>
          <w:p w14:paraId="2E2593F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准</w:t>
            </w:r>
          </w:p>
          <w:p w14:paraId="088D0137">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管</w:t>
            </w:r>
          </w:p>
          <w:p w14:paraId="757F4FE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理</w:t>
            </w:r>
          </w:p>
          <w:p w14:paraId="4700AF37">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25分</w:t>
            </w: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BDC8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会前管理 （5分）</w:t>
            </w: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FBA4A">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会议登记调度员按平台预约信息，提前一天与主办方做好会场使用、会议内容确认、审核，打印派发会议通知单等相关工作。按要求布置会场，摆放台型、桌椅，做好对音视频设施设备的调试（包括话筒声音、投影图像等）、特殊伴奏音乐准备。及时提醒主办方席签、电脑等会议用品的摆放、调试。会议用品的摆放、拉线规范布局美观、会标的设计和编辑等相关会议对接工作；A类会议的岗前准备等。</w:t>
            </w:r>
          </w:p>
        </w:tc>
        <w:tc>
          <w:tcPr>
            <w:tcW w:w="68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4B617C7">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B7DD97B">
            <w:pPr>
              <w:snapToGrid w:val="0"/>
              <w:spacing w:line="288" w:lineRule="auto"/>
              <w:rPr>
                <w:rFonts w:hint="eastAsia" w:ascii="仿宋" w:hAnsi="仿宋" w:eastAsia="仿宋" w:cs="仿宋"/>
                <w:color w:val="auto"/>
                <w:sz w:val="21"/>
                <w:szCs w:val="21"/>
                <w:highlight w:val="none"/>
              </w:rPr>
            </w:pPr>
          </w:p>
        </w:tc>
      </w:tr>
      <w:tr w14:paraId="24E1B336">
        <w:tblPrEx>
          <w:tblCellMar>
            <w:top w:w="0" w:type="dxa"/>
            <w:left w:w="0" w:type="dxa"/>
            <w:bottom w:w="0" w:type="dxa"/>
            <w:right w:w="0" w:type="dxa"/>
          </w:tblCellMar>
        </w:tblPrEx>
        <w:trPr>
          <w:trHeight w:val="822"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4C0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7EF6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4D78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现场工作人员明确知晓岗位安排、会议议程及相关事项。控制茶叶量，同时做好重要参会者的个性化茶水服务。</w:t>
            </w:r>
          </w:p>
        </w:tc>
        <w:tc>
          <w:tcPr>
            <w:tcW w:w="684" w:type="dxa"/>
            <w:vMerge w:val="continue"/>
            <w:tcBorders>
              <w:left w:val="single" w:color="000000" w:sz="4" w:space="0"/>
              <w:right w:val="single" w:color="000000" w:sz="4" w:space="0"/>
            </w:tcBorders>
            <w:noWrap/>
            <w:tcMar>
              <w:top w:w="15" w:type="dxa"/>
              <w:left w:w="15" w:type="dxa"/>
              <w:right w:w="15" w:type="dxa"/>
            </w:tcMar>
            <w:vAlign w:val="center"/>
          </w:tcPr>
          <w:p w14:paraId="4AB4E95A">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right w:val="single" w:color="000000" w:sz="4" w:space="0"/>
            </w:tcBorders>
            <w:noWrap/>
            <w:tcMar>
              <w:top w:w="15" w:type="dxa"/>
              <w:left w:w="15" w:type="dxa"/>
              <w:right w:w="15" w:type="dxa"/>
            </w:tcMar>
            <w:vAlign w:val="center"/>
          </w:tcPr>
          <w:p w14:paraId="59A6682B">
            <w:pPr>
              <w:snapToGrid w:val="0"/>
              <w:spacing w:line="288" w:lineRule="auto"/>
              <w:rPr>
                <w:rFonts w:hint="eastAsia" w:ascii="仿宋" w:hAnsi="仿宋" w:eastAsia="仿宋" w:cs="仿宋"/>
                <w:color w:val="auto"/>
                <w:sz w:val="21"/>
                <w:szCs w:val="21"/>
                <w:highlight w:val="none"/>
              </w:rPr>
            </w:pPr>
          </w:p>
        </w:tc>
      </w:tr>
      <w:tr w14:paraId="5CA8D66A">
        <w:tblPrEx>
          <w:tblCellMar>
            <w:top w:w="0" w:type="dxa"/>
            <w:left w:w="0" w:type="dxa"/>
            <w:bottom w:w="0" w:type="dxa"/>
            <w:right w:w="0" w:type="dxa"/>
          </w:tblCellMar>
        </w:tblPrEx>
        <w:trPr>
          <w:trHeight w:val="861"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BDDA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4715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95BD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3.对会场内的卫生、温湿度、空气质量和设施设备的完好进行检查。如遇问题及时反馈，及时处理，体现综合管理意识。</w:t>
            </w:r>
          </w:p>
        </w:tc>
        <w:tc>
          <w:tcPr>
            <w:tcW w:w="68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257FB9B9">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4190200E">
            <w:pPr>
              <w:snapToGrid w:val="0"/>
              <w:spacing w:line="288" w:lineRule="auto"/>
              <w:rPr>
                <w:rFonts w:hint="eastAsia" w:ascii="仿宋" w:hAnsi="仿宋" w:eastAsia="仿宋" w:cs="仿宋"/>
                <w:color w:val="auto"/>
                <w:sz w:val="21"/>
                <w:szCs w:val="21"/>
                <w:highlight w:val="none"/>
              </w:rPr>
            </w:pPr>
          </w:p>
        </w:tc>
      </w:tr>
      <w:tr w14:paraId="2956F8A2">
        <w:tblPrEx>
          <w:tblCellMar>
            <w:top w:w="0" w:type="dxa"/>
            <w:left w:w="0" w:type="dxa"/>
            <w:bottom w:w="0" w:type="dxa"/>
            <w:right w:w="0" w:type="dxa"/>
          </w:tblCellMar>
        </w:tblPrEx>
        <w:trPr>
          <w:trHeight w:val="593"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9327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171A8">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会中管理（9分）</w:t>
            </w:r>
          </w:p>
        </w:tc>
        <w:tc>
          <w:tcPr>
            <w:tcW w:w="547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9ECA0C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1.主要领导迎宾送客，引领接待礼仪到位。会议服务中全程站姿规范、微笑服务。</w:t>
            </w:r>
          </w:p>
        </w:tc>
        <w:tc>
          <w:tcPr>
            <w:tcW w:w="684"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14:paraId="2BBFF055">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278E8F7">
            <w:pPr>
              <w:snapToGrid w:val="0"/>
              <w:spacing w:line="288" w:lineRule="auto"/>
              <w:rPr>
                <w:rFonts w:hint="eastAsia" w:ascii="仿宋" w:hAnsi="仿宋" w:eastAsia="仿宋" w:cs="仿宋"/>
                <w:color w:val="auto"/>
                <w:sz w:val="21"/>
                <w:szCs w:val="21"/>
                <w:highlight w:val="none"/>
              </w:rPr>
            </w:pPr>
          </w:p>
        </w:tc>
      </w:tr>
      <w:tr w14:paraId="237A139F">
        <w:tblPrEx>
          <w:tblCellMar>
            <w:top w:w="0" w:type="dxa"/>
            <w:left w:w="0" w:type="dxa"/>
            <w:bottom w:w="0" w:type="dxa"/>
            <w:right w:w="0" w:type="dxa"/>
          </w:tblCellMar>
        </w:tblPrEx>
        <w:trPr>
          <w:trHeight w:val="1148"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AFE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BFED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E78B7CD">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会议期间能按时续水，茶水服务时动作标准规范；规范站姿，专注会场服务，能做到“察言观色”并及时解决客人所需；提醒客人带走随身物品，会场与服务间按规定收拾干净整洁。对参会迟到人员做好引导和送水服务。</w:t>
            </w:r>
          </w:p>
        </w:tc>
        <w:tc>
          <w:tcPr>
            <w:tcW w:w="684" w:type="dxa"/>
            <w:vMerge w:val="continue"/>
            <w:tcBorders>
              <w:left w:val="single" w:color="000000" w:sz="4" w:space="0"/>
              <w:right w:val="single" w:color="000000" w:sz="4" w:space="0"/>
            </w:tcBorders>
            <w:noWrap/>
            <w:tcMar>
              <w:top w:w="15" w:type="dxa"/>
              <w:left w:w="15" w:type="dxa"/>
              <w:right w:w="15" w:type="dxa"/>
            </w:tcMar>
            <w:vAlign w:val="center"/>
          </w:tcPr>
          <w:p w14:paraId="28935FD9">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right w:val="single" w:color="000000" w:sz="4" w:space="0"/>
            </w:tcBorders>
            <w:noWrap/>
            <w:tcMar>
              <w:top w:w="15" w:type="dxa"/>
              <w:left w:w="15" w:type="dxa"/>
              <w:right w:w="15" w:type="dxa"/>
            </w:tcMar>
            <w:vAlign w:val="center"/>
          </w:tcPr>
          <w:p w14:paraId="063F2090">
            <w:pPr>
              <w:snapToGrid w:val="0"/>
              <w:spacing w:line="288" w:lineRule="auto"/>
              <w:rPr>
                <w:rFonts w:hint="eastAsia" w:ascii="仿宋" w:hAnsi="仿宋" w:eastAsia="仿宋" w:cs="仿宋"/>
                <w:color w:val="auto"/>
                <w:sz w:val="21"/>
                <w:szCs w:val="21"/>
                <w:highlight w:val="none"/>
              </w:rPr>
            </w:pPr>
          </w:p>
        </w:tc>
      </w:tr>
      <w:tr w14:paraId="68A7E86F">
        <w:tblPrEx>
          <w:tblCellMar>
            <w:top w:w="0" w:type="dxa"/>
            <w:left w:w="0" w:type="dxa"/>
            <w:bottom w:w="0" w:type="dxa"/>
            <w:right w:w="0" w:type="dxa"/>
          </w:tblCellMar>
        </w:tblPrEx>
        <w:trPr>
          <w:trHeight w:val="11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C760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5163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5229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落实首问责任制，对会议方咨询有问必答，对于会议方提出的要求有条件满足的尽力满足，不推脱、不含糊。值班主管做好随时巡查工作；重大会议期间，负责人到场全程监督，随时应对突发情况，并及时报告。</w:t>
            </w:r>
          </w:p>
        </w:tc>
        <w:tc>
          <w:tcPr>
            <w:tcW w:w="684" w:type="dxa"/>
            <w:vMerge w:val="continue"/>
            <w:tcBorders>
              <w:left w:val="single" w:color="000000" w:sz="4" w:space="0"/>
              <w:right w:val="single" w:color="000000" w:sz="4" w:space="0"/>
            </w:tcBorders>
            <w:noWrap/>
            <w:tcMar>
              <w:top w:w="15" w:type="dxa"/>
              <w:left w:w="15" w:type="dxa"/>
              <w:right w:w="15" w:type="dxa"/>
            </w:tcMar>
            <w:vAlign w:val="center"/>
          </w:tcPr>
          <w:p w14:paraId="021E19FF">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right w:val="single" w:color="000000" w:sz="4" w:space="0"/>
            </w:tcBorders>
            <w:noWrap/>
            <w:tcMar>
              <w:top w:w="15" w:type="dxa"/>
              <w:left w:w="15" w:type="dxa"/>
              <w:right w:w="15" w:type="dxa"/>
            </w:tcMar>
            <w:vAlign w:val="center"/>
          </w:tcPr>
          <w:p w14:paraId="0D96AAFF">
            <w:pPr>
              <w:snapToGrid w:val="0"/>
              <w:spacing w:line="288" w:lineRule="auto"/>
              <w:rPr>
                <w:rFonts w:hint="eastAsia" w:ascii="仿宋" w:hAnsi="仿宋" w:eastAsia="仿宋" w:cs="仿宋"/>
                <w:color w:val="auto"/>
                <w:sz w:val="21"/>
                <w:szCs w:val="21"/>
                <w:highlight w:val="none"/>
              </w:rPr>
            </w:pPr>
          </w:p>
        </w:tc>
      </w:tr>
      <w:tr w14:paraId="700F0801">
        <w:tblPrEx>
          <w:tblCellMar>
            <w:top w:w="0" w:type="dxa"/>
            <w:left w:w="0" w:type="dxa"/>
            <w:bottom w:w="0" w:type="dxa"/>
            <w:right w:w="0" w:type="dxa"/>
          </w:tblCellMar>
        </w:tblPrEx>
        <w:trPr>
          <w:trHeight w:val="88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E434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F3CB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00B7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4.熟练操作音控设备，视频会议的信号切换使用及图像显示正常。避免出现回音、啸叫、失真等不正常声音并根据现场效果及时调整图像声音</w:t>
            </w:r>
            <w:r>
              <w:rPr>
                <w:rFonts w:hint="eastAsia" w:ascii="仿宋" w:hAnsi="仿宋" w:eastAsia="仿宋" w:cs="仿宋"/>
                <w:color w:val="auto"/>
                <w:sz w:val="21"/>
                <w:szCs w:val="21"/>
                <w:highlight w:val="none"/>
                <w:lang w:eastAsia="zh-CN"/>
              </w:rPr>
              <w:t>。</w:t>
            </w:r>
          </w:p>
        </w:tc>
        <w:tc>
          <w:tcPr>
            <w:tcW w:w="68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7FBB2F75">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D8A6596">
            <w:pPr>
              <w:snapToGrid w:val="0"/>
              <w:spacing w:line="288" w:lineRule="auto"/>
              <w:rPr>
                <w:rFonts w:hint="eastAsia" w:ascii="仿宋" w:hAnsi="仿宋" w:eastAsia="仿宋" w:cs="仿宋"/>
                <w:color w:val="auto"/>
                <w:sz w:val="21"/>
                <w:szCs w:val="21"/>
                <w:highlight w:val="none"/>
              </w:rPr>
            </w:pPr>
          </w:p>
        </w:tc>
      </w:tr>
      <w:tr w14:paraId="57969E21">
        <w:tblPrEx>
          <w:tblCellMar>
            <w:top w:w="0" w:type="dxa"/>
            <w:left w:w="0" w:type="dxa"/>
            <w:bottom w:w="0" w:type="dxa"/>
            <w:right w:w="0" w:type="dxa"/>
          </w:tblCellMar>
        </w:tblPrEx>
        <w:trPr>
          <w:trHeight w:val="119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14B7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9891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会后管理（3分）</w:t>
            </w: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2AC56">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会后及时打开门和通道，引导与会人员退场。复原会场内设施设备，配合物业做好消毒、保洁、维修等工作。收集整理服务用品，关闭电源并做好会场清洁工作。及时提醒主办方撤回外借设施设备。</w:t>
            </w:r>
          </w:p>
        </w:tc>
        <w:tc>
          <w:tcPr>
            <w:tcW w:w="684"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14:paraId="06F0029D">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7D47668">
            <w:pPr>
              <w:snapToGrid w:val="0"/>
              <w:spacing w:line="288" w:lineRule="auto"/>
              <w:rPr>
                <w:rFonts w:hint="eastAsia" w:ascii="仿宋" w:hAnsi="仿宋" w:eastAsia="仿宋" w:cs="仿宋"/>
                <w:color w:val="auto"/>
                <w:sz w:val="21"/>
                <w:szCs w:val="21"/>
                <w:highlight w:val="none"/>
              </w:rPr>
            </w:pPr>
          </w:p>
        </w:tc>
      </w:tr>
      <w:tr w14:paraId="0EF5D277">
        <w:tblPrEx>
          <w:tblCellMar>
            <w:top w:w="0" w:type="dxa"/>
            <w:left w:w="0" w:type="dxa"/>
            <w:bottom w:w="0" w:type="dxa"/>
            <w:right w:w="0" w:type="dxa"/>
          </w:tblCellMar>
        </w:tblPrEx>
        <w:trPr>
          <w:trHeight w:val="1111" w:hRule="atLeast"/>
          <w:jc w:val="center"/>
        </w:trPr>
        <w:tc>
          <w:tcPr>
            <w:tcW w:w="73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BC6C6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9DFC57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F28E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2.遗失物品，需第一时间联系对方，及时归还并做好登记；有会议资料遗留会场应全部回收，并按涉密材料妥善处理。</w:t>
            </w:r>
          </w:p>
        </w:tc>
        <w:tc>
          <w:tcPr>
            <w:tcW w:w="68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6F4DBE62">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1A500198">
            <w:pPr>
              <w:snapToGrid w:val="0"/>
              <w:spacing w:line="288" w:lineRule="auto"/>
              <w:rPr>
                <w:rFonts w:hint="eastAsia" w:ascii="仿宋" w:hAnsi="仿宋" w:eastAsia="仿宋" w:cs="仿宋"/>
                <w:color w:val="auto"/>
                <w:sz w:val="21"/>
                <w:szCs w:val="21"/>
                <w:highlight w:val="none"/>
              </w:rPr>
            </w:pPr>
          </w:p>
        </w:tc>
      </w:tr>
      <w:tr w14:paraId="5BA8A548">
        <w:tblPrEx>
          <w:tblCellMar>
            <w:top w:w="0" w:type="dxa"/>
            <w:left w:w="0" w:type="dxa"/>
            <w:bottom w:w="0" w:type="dxa"/>
            <w:right w:w="0" w:type="dxa"/>
          </w:tblCellMar>
        </w:tblPrEx>
        <w:trPr>
          <w:trHeight w:val="1354" w:hRule="atLeast"/>
          <w:jc w:val="center"/>
        </w:trPr>
        <w:tc>
          <w:tcPr>
            <w:tcW w:w="735"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00140AE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w:t>
            </w:r>
          </w:p>
          <w:p w14:paraId="72F063D8">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务</w:t>
            </w:r>
          </w:p>
          <w:p w14:paraId="546D5E5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标</w:t>
            </w:r>
          </w:p>
          <w:p w14:paraId="02953EE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准</w:t>
            </w:r>
          </w:p>
          <w:p w14:paraId="667C895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管</w:t>
            </w:r>
          </w:p>
          <w:p w14:paraId="501D63B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理</w:t>
            </w:r>
          </w:p>
        </w:tc>
        <w:tc>
          <w:tcPr>
            <w:tcW w:w="91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02028E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设施设备操作维护  （8分）</w:t>
            </w: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74CF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1.物品保管到位，定时清点会场内家具等设施数量，并知晓具体存放位置，发现会场大门、灯具、桌椅等破损时及时报修；茶叶、矿泉水数量不足及时领用；会议用品注意节能管理，降低损耗。</w:t>
            </w:r>
          </w:p>
        </w:tc>
        <w:tc>
          <w:tcPr>
            <w:tcW w:w="684"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14:paraId="03530105">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DE94EE4">
            <w:pPr>
              <w:snapToGrid w:val="0"/>
              <w:spacing w:line="288" w:lineRule="auto"/>
              <w:rPr>
                <w:rFonts w:hint="eastAsia" w:ascii="仿宋" w:hAnsi="仿宋" w:eastAsia="仿宋" w:cs="仿宋"/>
                <w:color w:val="auto"/>
                <w:sz w:val="21"/>
                <w:szCs w:val="21"/>
                <w:highlight w:val="none"/>
              </w:rPr>
            </w:pPr>
          </w:p>
        </w:tc>
      </w:tr>
      <w:tr w14:paraId="77C795A1">
        <w:tblPrEx>
          <w:tblCellMar>
            <w:top w:w="0" w:type="dxa"/>
            <w:left w:w="0" w:type="dxa"/>
            <w:bottom w:w="0" w:type="dxa"/>
            <w:right w:w="0" w:type="dxa"/>
          </w:tblCellMar>
        </w:tblPrEx>
        <w:trPr>
          <w:trHeight w:val="1162"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280F84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B8E913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70287">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定期检查设备，做到规范操作，无人为损坏、不遗失，未经允许不得外借；对重要易损设施设备统一标注名称和启用日期，按要求定期上报设备改造或更换计划。发现空调、电灯等设施设备以及物品器材损坏及时上报甲方监管人员和物业。</w:t>
            </w:r>
          </w:p>
        </w:tc>
        <w:tc>
          <w:tcPr>
            <w:tcW w:w="684" w:type="dxa"/>
            <w:vMerge w:val="continue"/>
            <w:tcBorders>
              <w:left w:val="single" w:color="000000" w:sz="4" w:space="0"/>
              <w:right w:val="single" w:color="000000" w:sz="4" w:space="0"/>
            </w:tcBorders>
            <w:noWrap/>
            <w:tcMar>
              <w:top w:w="15" w:type="dxa"/>
              <w:left w:w="15" w:type="dxa"/>
              <w:right w:w="15" w:type="dxa"/>
            </w:tcMar>
            <w:vAlign w:val="center"/>
          </w:tcPr>
          <w:p w14:paraId="1F01DB9D">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right w:val="single" w:color="000000" w:sz="4" w:space="0"/>
            </w:tcBorders>
            <w:noWrap/>
            <w:tcMar>
              <w:top w:w="15" w:type="dxa"/>
              <w:left w:w="15" w:type="dxa"/>
              <w:right w:w="15" w:type="dxa"/>
            </w:tcMar>
            <w:vAlign w:val="center"/>
          </w:tcPr>
          <w:p w14:paraId="351FD3BF">
            <w:pPr>
              <w:snapToGrid w:val="0"/>
              <w:spacing w:line="288" w:lineRule="auto"/>
              <w:rPr>
                <w:rFonts w:hint="eastAsia" w:ascii="仿宋" w:hAnsi="仿宋" w:eastAsia="仿宋" w:cs="仿宋"/>
                <w:color w:val="auto"/>
                <w:sz w:val="21"/>
                <w:szCs w:val="21"/>
                <w:highlight w:val="none"/>
              </w:rPr>
            </w:pPr>
          </w:p>
        </w:tc>
      </w:tr>
      <w:tr w14:paraId="34299D9B">
        <w:tblPrEx>
          <w:tblCellMar>
            <w:top w:w="0" w:type="dxa"/>
            <w:left w:w="0" w:type="dxa"/>
            <w:bottom w:w="0" w:type="dxa"/>
            <w:right w:w="0" w:type="dxa"/>
          </w:tblCellMar>
        </w:tblPrEx>
        <w:trPr>
          <w:trHeight w:val="718"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20BC5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509495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D4BC9">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3.音控人员每天检查各自负责的会议厅，对音控间及会场设备定期保养巡检，做好台帐记录确保设备运行正常。</w:t>
            </w:r>
          </w:p>
        </w:tc>
        <w:tc>
          <w:tcPr>
            <w:tcW w:w="684" w:type="dxa"/>
            <w:vMerge w:val="continue"/>
            <w:tcBorders>
              <w:left w:val="single" w:color="000000" w:sz="4" w:space="0"/>
              <w:right w:val="single" w:color="000000" w:sz="4" w:space="0"/>
            </w:tcBorders>
            <w:noWrap/>
            <w:tcMar>
              <w:top w:w="15" w:type="dxa"/>
              <w:left w:w="15" w:type="dxa"/>
              <w:right w:w="15" w:type="dxa"/>
            </w:tcMar>
            <w:vAlign w:val="center"/>
          </w:tcPr>
          <w:p w14:paraId="0DCCBA89">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right w:val="single" w:color="000000" w:sz="4" w:space="0"/>
            </w:tcBorders>
            <w:noWrap/>
            <w:tcMar>
              <w:top w:w="15" w:type="dxa"/>
              <w:left w:w="15" w:type="dxa"/>
              <w:right w:w="15" w:type="dxa"/>
            </w:tcMar>
            <w:vAlign w:val="center"/>
          </w:tcPr>
          <w:p w14:paraId="39F427F4">
            <w:pPr>
              <w:snapToGrid w:val="0"/>
              <w:spacing w:line="288" w:lineRule="auto"/>
              <w:rPr>
                <w:rFonts w:hint="eastAsia" w:ascii="仿宋" w:hAnsi="仿宋" w:eastAsia="仿宋" w:cs="仿宋"/>
                <w:color w:val="auto"/>
                <w:sz w:val="21"/>
                <w:szCs w:val="21"/>
                <w:highlight w:val="none"/>
              </w:rPr>
            </w:pPr>
          </w:p>
        </w:tc>
      </w:tr>
      <w:tr w14:paraId="446416A3">
        <w:tblPrEx>
          <w:tblCellMar>
            <w:top w:w="0" w:type="dxa"/>
            <w:left w:w="0" w:type="dxa"/>
            <w:bottom w:w="0" w:type="dxa"/>
            <w:right w:w="0" w:type="dxa"/>
          </w:tblCellMar>
        </w:tblPrEx>
        <w:trPr>
          <w:trHeight w:val="1122"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3003C4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D47B1F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27145">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4.严格按照设备使用流程操作，不随意更改音响设备设置的各种技术参数，是否按要求存放在相对应的地方，未经允许不得私自更换。</w:t>
            </w:r>
          </w:p>
        </w:tc>
        <w:tc>
          <w:tcPr>
            <w:tcW w:w="68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4A6EB0ED">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2C3A77B8">
            <w:pPr>
              <w:snapToGrid w:val="0"/>
              <w:spacing w:line="288" w:lineRule="auto"/>
              <w:rPr>
                <w:rFonts w:hint="eastAsia" w:ascii="仿宋" w:hAnsi="仿宋" w:eastAsia="仿宋" w:cs="仿宋"/>
                <w:color w:val="auto"/>
                <w:sz w:val="21"/>
                <w:szCs w:val="21"/>
                <w:highlight w:val="none"/>
              </w:rPr>
            </w:pPr>
          </w:p>
        </w:tc>
      </w:tr>
      <w:tr w14:paraId="3195437F">
        <w:tblPrEx>
          <w:tblCellMar>
            <w:top w:w="0" w:type="dxa"/>
            <w:left w:w="0" w:type="dxa"/>
            <w:bottom w:w="0" w:type="dxa"/>
            <w:right w:w="0" w:type="dxa"/>
          </w:tblCellMar>
        </w:tblPrEx>
        <w:trPr>
          <w:trHeight w:val="826" w:hRule="atLeast"/>
          <w:jc w:val="center"/>
        </w:trPr>
        <w:tc>
          <w:tcPr>
            <w:tcW w:w="73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CF3950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日常</w:t>
            </w:r>
          </w:p>
          <w:p w14:paraId="0A2B36F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管理</w:t>
            </w:r>
          </w:p>
          <w:p w14:paraId="30E899F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17分</w:t>
            </w:r>
          </w:p>
        </w:tc>
        <w:tc>
          <w:tcPr>
            <w:tcW w:w="91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2E6548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安全管理   （5分）</w:t>
            </w: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8B3A5">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1.会议常用物品按规范存放，整洁无灰尘；确保包装完好，无过期使用。</w:t>
            </w:r>
          </w:p>
        </w:tc>
        <w:tc>
          <w:tcPr>
            <w:tcW w:w="684"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14:paraId="56182007">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DADFCBE">
            <w:pPr>
              <w:snapToGrid w:val="0"/>
              <w:spacing w:line="288" w:lineRule="auto"/>
              <w:rPr>
                <w:rFonts w:hint="eastAsia" w:ascii="仿宋" w:hAnsi="仿宋" w:eastAsia="仿宋" w:cs="仿宋"/>
                <w:color w:val="auto"/>
                <w:sz w:val="21"/>
                <w:szCs w:val="21"/>
                <w:highlight w:val="none"/>
              </w:rPr>
            </w:pPr>
          </w:p>
        </w:tc>
      </w:tr>
      <w:tr w14:paraId="37EBE278">
        <w:tblPrEx>
          <w:tblCellMar>
            <w:top w:w="0" w:type="dxa"/>
            <w:left w:w="0" w:type="dxa"/>
            <w:bottom w:w="0" w:type="dxa"/>
            <w:right w:w="0" w:type="dxa"/>
          </w:tblCellMar>
        </w:tblPrEx>
        <w:trPr>
          <w:trHeight w:val="686"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DE35A8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F85166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B9CA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2.会议物品未经允许不得外借，确有外借做好借用手续。</w:t>
            </w:r>
          </w:p>
        </w:tc>
        <w:tc>
          <w:tcPr>
            <w:tcW w:w="684" w:type="dxa"/>
            <w:vMerge w:val="continue"/>
            <w:tcBorders>
              <w:left w:val="single" w:color="000000" w:sz="4" w:space="0"/>
              <w:right w:val="single" w:color="000000" w:sz="4" w:space="0"/>
            </w:tcBorders>
            <w:noWrap/>
            <w:tcMar>
              <w:top w:w="15" w:type="dxa"/>
              <w:left w:w="15" w:type="dxa"/>
              <w:right w:w="15" w:type="dxa"/>
            </w:tcMar>
            <w:vAlign w:val="center"/>
          </w:tcPr>
          <w:p w14:paraId="24749F29">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right w:val="single" w:color="000000" w:sz="4" w:space="0"/>
            </w:tcBorders>
            <w:noWrap/>
            <w:tcMar>
              <w:top w:w="15" w:type="dxa"/>
              <w:left w:w="15" w:type="dxa"/>
              <w:right w:w="15" w:type="dxa"/>
            </w:tcMar>
            <w:vAlign w:val="center"/>
          </w:tcPr>
          <w:p w14:paraId="7BCA390F">
            <w:pPr>
              <w:snapToGrid w:val="0"/>
              <w:spacing w:line="288" w:lineRule="auto"/>
              <w:rPr>
                <w:rFonts w:hint="eastAsia" w:ascii="仿宋" w:hAnsi="仿宋" w:eastAsia="仿宋" w:cs="仿宋"/>
                <w:color w:val="auto"/>
                <w:sz w:val="21"/>
                <w:szCs w:val="21"/>
                <w:highlight w:val="none"/>
              </w:rPr>
            </w:pPr>
          </w:p>
        </w:tc>
      </w:tr>
      <w:tr w14:paraId="5A49DE56">
        <w:tblPrEx>
          <w:tblCellMar>
            <w:top w:w="0" w:type="dxa"/>
            <w:left w:w="0" w:type="dxa"/>
            <w:bottom w:w="0" w:type="dxa"/>
            <w:right w:w="0" w:type="dxa"/>
          </w:tblCellMar>
        </w:tblPrEx>
        <w:trPr>
          <w:trHeight w:val="679"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AAA2D9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72B683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34F6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3.定期自查会议室的照明等设施设备、门是否完好，不得随意搬移、调换和拆装原有台型及物品。</w:t>
            </w:r>
          </w:p>
        </w:tc>
        <w:tc>
          <w:tcPr>
            <w:tcW w:w="684" w:type="dxa"/>
            <w:vMerge w:val="continue"/>
            <w:tcBorders>
              <w:left w:val="single" w:color="000000" w:sz="4" w:space="0"/>
              <w:right w:val="single" w:color="000000" w:sz="4" w:space="0"/>
            </w:tcBorders>
            <w:noWrap/>
            <w:tcMar>
              <w:top w:w="15" w:type="dxa"/>
              <w:left w:w="15" w:type="dxa"/>
              <w:right w:w="15" w:type="dxa"/>
            </w:tcMar>
            <w:vAlign w:val="center"/>
          </w:tcPr>
          <w:p w14:paraId="57E987EC">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right w:val="single" w:color="000000" w:sz="4" w:space="0"/>
            </w:tcBorders>
            <w:noWrap/>
            <w:tcMar>
              <w:top w:w="15" w:type="dxa"/>
              <w:left w:w="15" w:type="dxa"/>
              <w:right w:w="15" w:type="dxa"/>
            </w:tcMar>
            <w:vAlign w:val="center"/>
          </w:tcPr>
          <w:p w14:paraId="235BFC64">
            <w:pPr>
              <w:snapToGrid w:val="0"/>
              <w:spacing w:line="288" w:lineRule="auto"/>
              <w:rPr>
                <w:rFonts w:hint="eastAsia" w:ascii="仿宋" w:hAnsi="仿宋" w:eastAsia="仿宋" w:cs="仿宋"/>
                <w:color w:val="auto"/>
                <w:sz w:val="21"/>
                <w:szCs w:val="21"/>
                <w:highlight w:val="none"/>
              </w:rPr>
            </w:pPr>
          </w:p>
        </w:tc>
      </w:tr>
      <w:tr w14:paraId="2B7C4168">
        <w:tblPrEx>
          <w:tblCellMar>
            <w:top w:w="0" w:type="dxa"/>
            <w:left w:w="0" w:type="dxa"/>
            <w:bottom w:w="0" w:type="dxa"/>
            <w:right w:w="0" w:type="dxa"/>
          </w:tblCellMar>
        </w:tblPrEx>
        <w:trPr>
          <w:trHeight w:val="632"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7873BD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77F3C5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9555A">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4.定期自查消防安全情况。</w:t>
            </w:r>
          </w:p>
        </w:tc>
        <w:tc>
          <w:tcPr>
            <w:tcW w:w="684" w:type="dxa"/>
            <w:vMerge w:val="continue"/>
            <w:tcBorders>
              <w:left w:val="single" w:color="000000" w:sz="4" w:space="0"/>
              <w:right w:val="single" w:color="000000" w:sz="4" w:space="0"/>
            </w:tcBorders>
            <w:noWrap/>
            <w:tcMar>
              <w:top w:w="15" w:type="dxa"/>
              <w:left w:w="15" w:type="dxa"/>
              <w:right w:w="15" w:type="dxa"/>
            </w:tcMar>
            <w:vAlign w:val="center"/>
          </w:tcPr>
          <w:p w14:paraId="6E7A52D7">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right w:val="single" w:color="000000" w:sz="4" w:space="0"/>
            </w:tcBorders>
            <w:noWrap/>
            <w:tcMar>
              <w:top w:w="15" w:type="dxa"/>
              <w:left w:w="15" w:type="dxa"/>
              <w:right w:w="15" w:type="dxa"/>
            </w:tcMar>
            <w:vAlign w:val="center"/>
          </w:tcPr>
          <w:p w14:paraId="6557A6C6">
            <w:pPr>
              <w:snapToGrid w:val="0"/>
              <w:spacing w:line="288" w:lineRule="auto"/>
              <w:rPr>
                <w:rFonts w:hint="eastAsia" w:ascii="仿宋" w:hAnsi="仿宋" w:eastAsia="仿宋" w:cs="仿宋"/>
                <w:color w:val="auto"/>
                <w:sz w:val="21"/>
                <w:szCs w:val="21"/>
                <w:highlight w:val="none"/>
              </w:rPr>
            </w:pPr>
          </w:p>
        </w:tc>
      </w:tr>
      <w:tr w14:paraId="27140F11">
        <w:tblPrEx>
          <w:tblCellMar>
            <w:top w:w="0" w:type="dxa"/>
            <w:left w:w="0" w:type="dxa"/>
            <w:bottom w:w="0" w:type="dxa"/>
            <w:right w:w="0" w:type="dxa"/>
          </w:tblCellMar>
        </w:tblPrEx>
        <w:trPr>
          <w:trHeight w:val="667"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B64060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CC2BB7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3EBA6">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5.定期对全员进行消防安全培训，熟练掌握消防基本技能，消防设施点位及消防安全通道路线。</w:t>
            </w:r>
          </w:p>
        </w:tc>
        <w:tc>
          <w:tcPr>
            <w:tcW w:w="68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211D8292">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35F468D">
            <w:pPr>
              <w:snapToGrid w:val="0"/>
              <w:spacing w:line="288" w:lineRule="auto"/>
              <w:rPr>
                <w:rFonts w:hint="eastAsia" w:ascii="仿宋" w:hAnsi="仿宋" w:eastAsia="仿宋" w:cs="仿宋"/>
                <w:color w:val="auto"/>
                <w:sz w:val="21"/>
                <w:szCs w:val="21"/>
                <w:highlight w:val="none"/>
              </w:rPr>
            </w:pPr>
          </w:p>
        </w:tc>
      </w:tr>
      <w:tr w14:paraId="311700E5">
        <w:tblPrEx>
          <w:tblCellMar>
            <w:top w:w="0" w:type="dxa"/>
            <w:left w:w="0" w:type="dxa"/>
            <w:bottom w:w="0" w:type="dxa"/>
            <w:right w:w="0" w:type="dxa"/>
          </w:tblCellMar>
        </w:tblPrEx>
        <w:trPr>
          <w:trHeight w:val="709"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AF4F79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4786CF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环境卫生（4分）</w:t>
            </w:r>
          </w:p>
        </w:tc>
        <w:tc>
          <w:tcPr>
            <w:tcW w:w="547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7A637C9">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1.会场地毯洁净，灯光照明正常，空调温度舒适。</w:t>
            </w:r>
          </w:p>
        </w:tc>
        <w:tc>
          <w:tcPr>
            <w:tcW w:w="684"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14:paraId="038225CD">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9049308">
            <w:pPr>
              <w:snapToGrid w:val="0"/>
              <w:spacing w:line="288" w:lineRule="auto"/>
              <w:rPr>
                <w:rFonts w:hint="eastAsia" w:ascii="仿宋" w:hAnsi="仿宋" w:eastAsia="仿宋" w:cs="仿宋"/>
                <w:color w:val="auto"/>
                <w:sz w:val="21"/>
                <w:szCs w:val="21"/>
                <w:highlight w:val="none"/>
              </w:rPr>
            </w:pPr>
          </w:p>
        </w:tc>
      </w:tr>
      <w:tr w14:paraId="493E4D80">
        <w:tblPrEx>
          <w:tblCellMar>
            <w:top w:w="0" w:type="dxa"/>
            <w:left w:w="0" w:type="dxa"/>
            <w:bottom w:w="0" w:type="dxa"/>
            <w:right w:w="0" w:type="dxa"/>
          </w:tblCellMar>
        </w:tblPrEx>
        <w:trPr>
          <w:trHeight w:val="762"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6BEFCD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7B5303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547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A080E6C">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2.工作间物品摆放整齐、环境整洁，音控间责任到人，洗杯间按规范操作清洗怀具，按照规范进行垃圾分类。</w:t>
            </w:r>
          </w:p>
        </w:tc>
        <w:tc>
          <w:tcPr>
            <w:tcW w:w="68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735CB692">
            <w:pPr>
              <w:snapToGrid w:val="0"/>
              <w:spacing w:line="288" w:lineRule="auto"/>
              <w:jc w:val="center"/>
              <w:rPr>
                <w:rFonts w:hint="eastAsia" w:ascii="仿宋" w:hAnsi="仿宋" w:eastAsia="仿宋" w:cs="仿宋"/>
                <w:color w:val="auto"/>
                <w:sz w:val="21"/>
                <w:szCs w:val="21"/>
                <w:highlight w:val="none"/>
              </w:rPr>
            </w:pPr>
          </w:p>
        </w:tc>
        <w:tc>
          <w:tcPr>
            <w:tcW w:w="2117"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4C8A85C4">
            <w:pPr>
              <w:snapToGrid w:val="0"/>
              <w:spacing w:line="288" w:lineRule="auto"/>
              <w:rPr>
                <w:rFonts w:hint="eastAsia" w:ascii="仿宋" w:hAnsi="仿宋" w:eastAsia="仿宋" w:cs="仿宋"/>
                <w:color w:val="auto"/>
                <w:sz w:val="21"/>
                <w:szCs w:val="21"/>
                <w:highlight w:val="none"/>
              </w:rPr>
            </w:pPr>
          </w:p>
        </w:tc>
      </w:tr>
      <w:tr w14:paraId="185A22A3">
        <w:tblPrEx>
          <w:tblCellMar>
            <w:top w:w="0" w:type="dxa"/>
            <w:left w:w="0" w:type="dxa"/>
            <w:bottom w:w="0" w:type="dxa"/>
            <w:right w:w="0" w:type="dxa"/>
          </w:tblCellMar>
        </w:tblPrEx>
        <w:trPr>
          <w:trHeight w:val="777"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AA7FE2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p>
        </w:tc>
        <w:tc>
          <w:tcPr>
            <w:tcW w:w="91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245BCB17">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firstLine="0"/>
              <w:jc w:val="center"/>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疫情防控（4分）</w:t>
            </w: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707C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1.服务保障人员需符合</w:t>
            </w:r>
            <w:r>
              <w:rPr>
                <w:rFonts w:hint="eastAsia" w:ascii="仿宋" w:hAnsi="仿宋" w:eastAsia="仿宋" w:cs="仿宋"/>
                <w:color w:val="auto"/>
                <w:sz w:val="21"/>
                <w:szCs w:val="21"/>
                <w:highlight w:val="none"/>
                <w:lang w:val="en-US" w:eastAsia="zh-CN"/>
              </w:rPr>
              <w:t>防疫</w:t>
            </w:r>
            <w:r>
              <w:rPr>
                <w:rFonts w:hint="eastAsia" w:ascii="仿宋" w:hAnsi="仿宋" w:eastAsia="仿宋" w:cs="仿宋"/>
                <w:color w:val="auto"/>
                <w:sz w:val="21"/>
                <w:szCs w:val="21"/>
                <w:highlight w:val="none"/>
              </w:rPr>
              <w:t>防控管理要求。</w:t>
            </w:r>
          </w:p>
        </w:tc>
        <w:tc>
          <w:tcPr>
            <w:tcW w:w="684" w:type="dxa"/>
            <w:tcBorders>
              <w:top w:val="single" w:color="auto" w:sz="4" w:space="0"/>
              <w:left w:val="single" w:color="000000" w:sz="4" w:space="0"/>
              <w:right w:val="single" w:color="000000" w:sz="4" w:space="0"/>
            </w:tcBorders>
            <w:noWrap/>
            <w:tcMar>
              <w:top w:w="15" w:type="dxa"/>
              <w:left w:w="15" w:type="dxa"/>
              <w:right w:w="15" w:type="dxa"/>
            </w:tcMar>
            <w:vAlign w:val="center"/>
          </w:tcPr>
          <w:p w14:paraId="46E4DEE8">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3FBF50A">
            <w:pPr>
              <w:snapToGrid w:val="0"/>
              <w:spacing w:line="288" w:lineRule="auto"/>
              <w:rPr>
                <w:rFonts w:hint="eastAsia" w:ascii="仿宋" w:hAnsi="仿宋" w:eastAsia="仿宋" w:cs="仿宋"/>
                <w:color w:val="auto"/>
                <w:sz w:val="21"/>
                <w:szCs w:val="21"/>
                <w:highlight w:val="none"/>
              </w:rPr>
            </w:pPr>
          </w:p>
        </w:tc>
      </w:tr>
      <w:tr w14:paraId="7BB2FBF3">
        <w:tblPrEx>
          <w:tblCellMar>
            <w:top w:w="0" w:type="dxa"/>
            <w:left w:w="0" w:type="dxa"/>
            <w:bottom w:w="0" w:type="dxa"/>
            <w:right w:w="0" w:type="dxa"/>
          </w:tblCellMar>
        </w:tblPrEx>
        <w:trPr>
          <w:trHeight w:val="777"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84D171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p>
        </w:tc>
        <w:tc>
          <w:tcPr>
            <w:tcW w:w="91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0F770CA6">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firstLine="0"/>
              <w:jc w:val="center"/>
              <w:textAlignment w:val="center"/>
              <w:rPr>
                <w:rFonts w:hint="eastAsia" w:ascii="仿宋" w:hAnsi="仿宋" w:eastAsia="仿宋" w:cs="仿宋"/>
                <w:bCs/>
                <w:color w:val="auto"/>
                <w:sz w:val="21"/>
                <w:szCs w:val="21"/>
                <w:highlight w:val="none"/>
              </w:rPr>
            </w:pP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AD17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2.按要求完成会议中心</w:t>
            </w:r>
            <w:r>
              <w:rPr>
                <w:rFonts w:hint="eastAsia" w:ascii="仿宋" w:hAnsi="仿宋" w:eastAsia="仿宋" w:cs="仿宋"/>
                <w:color w:val="auto"/>
                <w:sz w:val="21"/>
                <w:szCs w:val="21"/>
                <w:highlight w:val="none"/>
                <w:lang w:val="en-US" w:eastAsia="zh-CN"/>
              </w:rPr>
              <w:t>防疫</w:t>
            </w:r>
            <w:r>
              <w:rPr>
                <w:rFonts w:hint="eastAsia" w:ascii="仿宋" w:hAnsi="仿宋" w:eastAsia="仿宋" w:cs="仿宋"/>
                <w:color w:val="auto"/>
                <w:sz w:val="21"/>
                <w:szCs w:val="21"/>
                <w:highlight w:val="none"/>
              </w:rPr>
              <w:t>防控相关工作。</w:t>
            </w:r>
          </w:p>
        </w:tc>
        <w:tc>
          <w:tcPr>
            <w:tcW w:w="684" w:type="dxa"/>
            <w:tcBorders>
              <w:top w:val="single" w:color="auto" w:sz="4" w:space="0"/>
              <w:left w:val="single" w:color="000000" w:sz="4" w:space="0"/>
              <w:right w:val="single" w:color="000000" w:sz="4" w:space="0"/>
            </w:tcBorders>
            <w:noWrap/>
            <w:tcMar>
              <w:top w:w="15" w:type="dxa"/>
              <w:left w:w="15" w:type="dxa"/>
              <w:right w:w="15" w:type="dxa"/>
            </w:tcMar>
            <w:vAlign w:val="center"/>
          </w:tcPr>
          <w:p w14:paraId="12EBEFE9">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24C3FB19">
            <w:pPr>
              <w:snapToGrid w:val="0"/>
              <w:spacing w:line="288" w:lineRule="auto"/>
              <w:rPr>
                <w:rFonts w:hint="eastAsia" w:ascii="仿宋" w:hAnsi="仿宋" w:eastAsia="仿宋" w:cs="仿宋"/>
                <w:color w:val="auto"/>
                <w:sz w:val="21"/>
                <w:szCs w:val="21"/>
                <w:highlight w:val="none"/>
              </w:rPr>
            </w:pPr>
          </w:p>
        </w:tc>
      </w:tr>
      <w:tr w14:paraId="11E2BBDD">
        <w:tblPrEx>
          <w:tblCellMar>
            <w:top w:w="0" w:type="dxa"/>
            <w:left w:w="0" w:type="dxa"/>
            <w:bottom w:w="0" w:type="dxa"/>
            <w:right w:w="0" w:type="dxa"/>
          </w:tblCellMar>
        </w:tblPrEx>
        <w:trPr>
          <w:trHeight w:val="777"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5268D8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p>
        </w:tc>
        <w:tc>
          <w:tcPr>
            <w:tcW w:w="91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2F8168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培训考核</w:t>
            </w:r>
          </w:p>
          <w:p w14:paraId="7EF9FA0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(4分)</w:t>
            </w: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8B9D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1.实施开展各项培训，提高服务人员与保洁人员的专业素养与技能。</w:t>
            </w:r>
          </w:p>
        </w:tc>
        <w:tc>
          <w:tcPr>
            <w:tcW w:w="684"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14:paraId="6B5CE78B">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F02F386">
            <w:pPr>
              <w:snapToGrid w:val="0"/>
              <w:spacing w:line="288" w:lineRule="auto"/>
              <w:rPr>
                <w:rFonts w:hint="eastAsia" w:ascii="仿宋" w:hAnsi="仿宋" w:eastAsia="仿宋" w:cs="仿宋"/>
                <w:color w:val="auto"/>
                <w:sz w:val="21"/>
                <w:szCs w:val="21"/>
                <w:highlight w:val="none"/>
              </w:rPr>
            </w:pPr>
          </w:p>
        </w:tc>
      </w:tr>
      <w:tr w14:paraId="1A0F4D38">
        <w:tblPrEx>
          <w:tblCellMar>
            <w:top w:w="0" w:type="dxa"/>
            <w:left w:w="0" w:type="dxa"/>
            <w:bottom w:w="0" w:type="dxa"/>
            <w:right w:w="0" w:type="dxa"/>
          </w:tblCellMar>
        </w:tblPrEx>
        <w:trPr>
          <w:trHeight w:val="669"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084A29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9B6005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p>
        </w:tc>
        <w:tc>
          <w:tcPr>
            <w:tcW w:w="547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054B40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2.制订培训计划，定期对各岗位进行技能监督考核。</w:t>
            </w:r>
          </w:p>
        </w:tc>
        <w:tc>
          <w:tcPr>
            <w:tcW w:w="68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0936C5F1">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15CD5165">
            <w:pPr>
              <w:snapToGrid w:val="0"/>
              <w:spacing w:line="288" w:lineRule="auto"/>
              <w:rPr>
                <w:rFonts w:hint="eastAsia" w:ascii="仿宋" w:hAnsi="仿宋" w:eastAsia="仿宋" w:cs="仿宋"/>
                <w:color w:val="auto"/>
                <w:sz w:val="21"/>
                <w:szCs w:val="21"/>
                <w:highlight w:val="none"/>
              </w:rPr>
            </w:pPr>
          </w:p>
        </w:tc>
      </w:tr>
      <w:tr w14:paraId="0A237E16">
        <w:tblPrEx>
          <w:tblCellMar>
            <w:top w:w="0" w:type="dxa"/>
            <w:left w:w="0" w:type="dxa"/>
            <w:bottom w:w="0" w:type="dxa"/>
            <w:right w:w="0" w:type="dxa"/>
          </w:tblCellMar>
        </w:tblPrEx>
        <w:trPr>
          <w:trHeight w:val="793" w:hRule="atLeast"/>
          <w:jc w:val="center"/>
        </w:trPr>
        <w:tc>
          <w:tcPr>
            <w:tcW w:w="73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53CD946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费用结算管理4分</w:t>
            </w:r>
          </w:p>
        </w:tc>
        <w:tc>
          <w:tcPr>
            <w:tcW w:w="9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FBEB0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结算票据  （2分）</w:t>
            </w:r>
          </w:p>
        </w:tc>
        <w:tc>
          <w:tcPr>
            <w:tcW w:w="54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45A749">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1.提供的结算票据必须保证合法、合规及完整性，如遇账户变动及时更新。</w:t>
            </w:r>
          </w:p>
        </w:tc>
        <w:tc>
          <w:tcPr>
            <w:tcW w:w="6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0CE3CA">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28C8FE69">
            <w:pPr>
              <w:snapToGrid w:val="0"/>
              <w:spacing w:line="288" w:lineRule="auto"/>
              <w:rPr>
                <w:rFonts w:hint="eastAsia" w:ascii="仿宋" w:hAnsi="仿宋" w:eastAsia="仿宋" w:cs="仿宋"/>
                <w:color w:val="auto"/>
                <w:sz w:val="21"/>
                <w:szCs w:val="21"/>
                <w:highlight w:val="none"/>
              </w:rPr>
            </w:pPr>
          </w:p>
        </w:tc>
      </w:tr>
      <w:tr w14:paraId="28CEAFDE">
        <w:tblPrEx>
          <w:tblCellMar>
            <w:top w:w="0" w:type="dxa"/>
            <w:left w:w="0" w:type="dxa"/>
            <w:bottom w:w="0" w:type="dxa"/>
            <w:right w:w="0" w:type="dxa"/>
          </w:tblCellMar>
        </w:tblPrEx>
        <w:trPr>
          <w:trHeight w:val="727" w:hRule="atLeast"/>
          <w:jc w:val="center"/>
        </w:trPr>
        <w:tc>
          <w:tcPr>
            <w:tcW w:w="73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590C70D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51D05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结算时效  （2分）</w:t>
            </w:r>
          </w:p>
        </w:tc>
        <w:tc>
          <w:tcPr>
            <w:tcW w:w="54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5CE42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1.是否按合同约定的结算方式完成结算（财政预算指标下达后）。</w:t>
            </w:r>
          </w:p>
        </w:tc>
        <w:tc>
          <w:tcPr>
            <w:tcW w:w="6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51A24C">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6C7C26E8">
            <w:pPr>
              <w:snapToGrid w:val="0"/>
              <w:spacing w:line="288" w:lineRule="auto"/>
              <w:rPr>
                <w:rFonts w:hint="eastAsia" w:ascii="仿宋" w:hAnsi="仿宋" w:eastAsia="仿宋" w:cs="仿宋"/>
                <w:color w:val="auto"/>
                <w:sz w:val="21"/>
                <w:szCs w:val="21"/>
                <w:highlight w:val="none"/>
              </w:rPr>
            </w:pPr>
          </w:p>
        </w:tc>
      </w:tr>
      <w:tr w14:paraId="4FA0A6F5">
        <w:tblPrEx>
          <w:tblCellMar>
            <w:top w:w="0" w:type="dxa"/>
            <w:left w:w="0" w:type="dxa"/>
            <w:bottom w:w="0" w:type="dxa"/>
            <w:right w:w="0" w:type="dxa"/>
          </w:tblCellMar>
        </w:tblPrEx>
        <w:trPr>
          <w:trHeight w:val="1375" w:hRule="atLeast"/>
          <w:jc w:val="center"/>
        </w:trPr>
        <w:tc>
          <w:tcPr>
            <w:tcW w:w="1648" w:type="dxa"/>
            <w:gridSpan w:val="2"/>
            <w:tcBorders>
              <w:top w:val="single" w:color="auto" w:sz="4" w:space="0"/>
              <w:left w:val="single" w:color="auto" w:sz="4" w:space="0"/>
              <w:right w:val="single" w:color="auto" w:sz="4" w:space="0"/>
            </w:tcBorders>
            <w:noWrap w:val="0"/>
            <w:tcMar>
              <w:top w:w="15" w:type="dxa"/>
              <w:left w:w="15" w:type="dxa"/>
              <w:right w:w="15" w:type="dxa"/>
            </w:tcMar>
            <w:vAlign w:val="center"/>
          </w:tcPr>
          <w:p w14:paraId="3E05324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总分</w:t>
            </w:r>
          </w:p>
        </w:tc>
        <w:tc>
          <w:tcPr>
            <w:tcW w:w="5477"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1F14DF0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以上分值为70分。各项评分内容通过定期检查、不定期抽查，发现有不符合要求的扣除相应分值；同一扣分点再次出现问题，可重复扣分，直至该项扣完为止。</w:t>
            </w:r>
          </w:p>
        </w:tc>
        <w:tc>
          <w:tcPr>
            <w:tcW w:w="6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8FC6F8">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tcBorders>
              <w:top w:val="single" w:color="auto" w:sz="4" w:space="0"/>
              <w:left w:val="single" w:color="auto" w:sz="4" w:space="0"/>
              <w:right w:val="single" w:color="auto" w:sz="4" w:space="0"/>
            </w:tcBorders>
            <w:noWrap/>
            <w:tcMar>
              <w:top w:w="15" w:type="dxa"/>
              <w:left w:w="15" w:type="dxa"/>
              <w:right w:w="15" w:type="dxa"/>
            </w:tcMar>
            <w:vAlign w:val="center"/>
          </w:tcPr>
          <w:p w14:paraId="72D9D685">
            <w:pPr>
              <w:snapToGrid w:val="0"/>
              <w:spacing w:line="288" w:lineRule="auto"/>
              <w:rPr>
                <w:rFonts w:hint="eastAsia" w:ascii="仿宋" w:hAnsi="仿宋" w:eastAsia="仿宋" w:cs="仿宋"/>
                <w:color w:val="auto"/>
                <w:sz w:val="21"/>
                <w:szCs w:val="21"/>
                <w:highlight w:val="none"/>
              </w:rPr>
            </w:pPr>
          </w:p>
        </w:tc>
      </w:tr>
      <w:tr w14:paraId="29DC2205">
        <w:tblPrEx>
          <w:tblCellMar>
            <w:top w:w="0" w:type="dxa"/>
            <w:left w:w="0" w:type="dxa"/>
            <w:bottom w:w="0" w:type="dxa"/>
            <w:right w:w="0" w:type="dxa"/>
          </w:tblCellMar>
        </w:tblPrEx>
        <w:trPr>
          <w:trHeight w:val="2882" w:hRule="atLeast"/>
          <w:jc w:val="center"/>
        </w:trPr>
        <w:tc>
          <w:tcPr>
            <w:tcW w:w="16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14:paraId="790017A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附加减分项</w:t>
            </w:r>
          </w:p>
        </w:tc>
        <w:tc>
          <w:tcPr>
            <w:tcW w:w="5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7885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Style w:val="266"/>
                <w:rFonts w:hint="eastAsia" w:ascii="仿宋" w:hAnsi="仿宋" w:eastAsia="仿宋" w:cs="仿宋"/>
                <w:color w:val="auto"/>
                <w:sz w:val="21"/>
                <w:szCs w:val="21"/>
                <w:highlight w:val="none"/>
              </w:rPr>
            </w:pPr>
            <w:r>
              <w:rPr>
                <w:rStyle w:val="266"/>
                <w:rFonts w:hint="eastAsia" w:ascii="仿宋" w:hAnsi="仿宋" w:eastAsia="仿宋" w:cs="仿宋"/>
                <w:color w:val="auto"/>
                <w:sz w:val="21"/>
                <w:szCs w:val="21"/>
                <w:highlight w:val="none"/>
              </w:rPr>
              <w:t>（一）有以下情形的给予加分，同一加分点可累计加分，最高可加5分。</w:t>
            </w:r>
          </w:p>
          <w:p w14:paraId="25EF5A80">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Style w:val="373"/>
                <w:rFonts w:hint="eastAsia" w:ascii="仿宋" w:hAnsi="仿宋" w:eastAsia="仿宋" w:cs="仿宋"/>
                <w:color w:val="auto"/>
                <w:sz w:val="21"/>
                <w:szCs w:val="21"/>
                <w:highlight w:val="none"/>
              </w:rPr>
            </w:pPr>
            <w:r>
              <w:rPr>
                <w:rStyle w:val="373"/>
                <w:rFonts w:hint="eastAsia" w:ascii="仿宋" w:hAnsi="仿宋" w:eastAsia="仿宋" w:cs="仿宋"/>
                <w:color w:val="auto"/>
                <w:sz w:val="21"/>
                <w:szCs w:val="21"/>
                <w:highlight w:val="none"/>
              </w:rPr>
              <w:t>1.会议服务保障范围内，收到参会者或会议服务单位书面表扬，每次加1-2分。</w:t>
            </w:r>
          </w:p>
          <w:p w14:paraId="6B5E4357">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Style w:val="373"/>
                <w:rFonts w:hint="eastAsia" w:ascii="仿宋" w:hAnsi="仿宋" w:eastAsia="仿宋" w:cs="仿宋"/>
                <w:color w:val="auto"/>
                <w:sz w:val="21"/>
                <w:szCs w:val="21"/>
                <w:highlight w:val="none"/>
              </w:rPr>
            </w:pPr>
            <w:r>
              <w:rPr>
                <w:rStyle w:val="373"/>
                <w:rFonts w:hint="eastAsia" w:ascii="仿宋" w:hAnsi="仿宋" w:eastAsia="仿宋" w:cs="仿宋"/>
                <w:color w:val="auto"/>
                <w:sz w:val="21"/>
                <w:szCs w:val="21"/>
                <w:highlight w:val="none"/>
              </w:rPr>
              <w:t>2.因会议服务保障受到市级以上荣誉的，每次加3-5分。</w:t>
            </w:r>
          </w:p>
          <w:p w14:paraId="07AA419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Style w:val="266"/>
                <w:rFonts w:hint="eastAsia" w:ascii="仿宋" w:hAnsi="仿宋" w:eastAsia="仿宋" w:cs="仿宋"/>
                <w:color w:val="auto"/>
                <w:sz w:val="21"/>
                <w:szCs w:val="21"/>
                <w:highlight w:val="none"/>
              </w:rPr>
              <w:t>（二）出现以下情形的视严重程度扣减10-40分。</w:t>
            </w:r>
            <w:r>
              <w:rPr>
                <w:rStyle w:val="373"/>
                <w:rFonts w:hint="eastAsia" w:ascii="仿宋" w:hAnsi="仿宋" w:eastAsia="仿宋" w:cs="仿宋"/>
                <w:color w:val="auto"/>
                <w:sz w:val="21"/>
                <w:szCs w:val="21"/>
                <w:highlight w:val="none"/>
              </w:rPr>
              <w:t xml:space="preserve">                         1.因工作人员操作失误，管理疏漏，应急处置不力等原因，造成严重影响的情形；                                                  2.被服务对象投诉，经证实且造成恶劣影响的情形；                               3.其它被认定为严重责任事故的情形。</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BFAC17">
            <w:pPr>
              <w:snapToGrid w:val="0"/>
              <w:spacing w:line="288" w:lineRule="auto"/>
              <w:jc w:val="center"/>
              <w:rPr>
                <w:rFonts w:hint="eastAsia" w:ascii="仿宋" w:hAnsi="仿宋" w:eastAsia="仿宋" w:cs="仿宋"/>
                <w:color w:val="auto"/>
                <w:sz w:val="21"/>
                <w:szCs w:val="21"/>
                <w:highlight w:val="none"/>
              </w:rPr>
            </w:pP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65A59">
            <w:pPr>
              <w:snapToGrid w:val="0"/>
              <w:spacing w:line="288" w:lineRule="auto"/>
              <w:rPr>
                <w:rFonts w:hint="eastAsia" w:ascii="仿宋" w:hAnsi="仿宋" w:eastAsia="仿宋" w:cs="仿宋"/>
                <w:color w:val="auto"/>
                <w:sz w:val="21"/>
                <w:szCs w:val="21"/>
                <w:highlight w:val="none"/>
              </w:rPr>
            </w:pPr>
          </w:p>
        </w:tc>
      </w:tr>
      <w:tr w14:paraId="0ED5CA4E">
        <w:tblPrEx>
          <w:tblCellMar>
            <w:top w:w="0" w:type="dxa"/>
            <w:left w:w="0" w:type="dxa"/>
            <w:bottom w:w="0" w:type="dxa"/>
            <w:right w:w="0" w:type="dxa"/>
          </w:tblCellMar>
        </w:tblPrEx>
        <w:trPr>
          <w:trHeight w:val="620" w:hRule="atLeast"/>
          <w:jc w:val="center"/>
        </w:trPr>
        <w:tc>
          <w:tcPr>
            <w:tcW w:w="16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61C0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会议服务评分合计</w:t>
            </w:r>
          </w:p>
        </w:tc>
        <w:tc>
          <w:tcPr>
            <w:tcW w:w="54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BD58B">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日常月考核总分与附加减分的合计分不得超过70分。</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41709">
            <w:pPr>
              <w:widowControl/>
              <w:snapToGrid w:val="0"/>
              <w:spacing w:line="288" w:lineRule="auto"/>
              <w:jc w:val="center"/>
              <w:textAlignment w:val="center"/>
              <w:rPr>
                <w:rFonts w:hint="eastAsia" w:ascii="仿宋" w:hAnsi="仿宋" w:eastAsia="仿宋" w:cs="仿宋"/>
                <w:color w:val="auto"/>
                <w:sz w:val="21"/>
                <w:szCs w:val="21"/>
                <w:highlight w:val="none"/>
              </w:rPr>
            </w:pPr>
          </w:p>
        </w:tc>
        <w:tc>
          <w:tcPr>
            <w:tcW w:w="2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9B9BCE">
            <w:pPr>
              <w:snapToGrid w:val="0"/>
              <w:spacing w:line="288" w:lineRule="auto"/>
              <w:rPr>
                <w:rFonts w:hint="eastAsia" w:ascii="仿宋" w:hAnsi="仿宋" w:eastAsia="仿宋" w:cs="仿宋"/>
                <w:color w:val="auto"/>
                <w:sz w:val="21"/>
                <w:szCs w:val="21"/>
                <w:highlight w:val="none"/>
              </w:rPr>
            </w:pPr>
          </w:p>
        </w:tc>
      </w:tr>
    </w:tbl>
    <w:p w14:paraId="2E72B8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4" w:lineRule="auto"/>
        <w:ind w:left="0" w:right="0"/>
        <w:jc w:val="both"/>
        <w:textAlignment w:val="baseline"/>
        <w:rPr>
          <w:rFonts w:hint="eastAsia" w:ascii="仿宋" w:hAnsi="仿宋" w:eastAsia="仿宋" w:cs="仿宋"/>
          <w:color w:val="auto"/>
          <w:sz w:val="21"/>
          <w:szCs w:val="21"/>
          <w:highlight w:val="none"/>
        </w:rPr>
      </w:pPr>
    </w:p>
    <w:p w14:paraId="2D43E6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textAlignment w:val="baseline"/>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 xml:space="preserve">服务单位负责人（签字）： </w:t>
      </w:r>
    </w:p>
    <w:p w14:paraId="2634A6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textAlignment w:val="baseline"/>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监管科室负责人（签字）：             分管领导（签字）：</w:t>
      </w:r>
    </w:p>
    <w:p w14:paraId="263A8D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textAlignment w:val="baseline"/>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日期：</w:t>
      </w:r>
    </w:p>
    <w:p w14:paraId="411B16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textAlignment w:val="baseline"/>
        <w:rPr>
          <w:rFonts w:hint="eastAsia" w:ascii="仿宋" w:hAnsi="仿宋" w:eastAsia="仿宋" w:cs="仿宋"/>
          <w:color w:val="auto"/>
          <w:sz w:val="21"/>
          <w:szCs w:val="21"/>
          <w:highlight w:val="none"/>
        </w:rPr>
      </w:pPr>
    </w:p>
    <w:p w14:paraId="76D4A8A4">
      <w:pPr>
        <w:keepNext w:val="0"/>
        <w:keepLines w:val="0"/>
        <w:pageBreakBefore w:val="0"/>
        <w:widowControl/>
        <w:kinsoku/>
        <w:wordWrap/>
        <w:overflowPunct/>
        <w:topLinePunct w:val="0"/>
        <w:autoSpaceDE/>
        <w:autoSpaceDN/>
        <w:bidi w:val="0"/>
        <w:snapToGrid w:val="0"/>
        <w:spacing w:line="336"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附表3</w:t>
      </w:r>
    </w:p>
    <w:p w14:paraId="3A789515">
      <w:pPr>
        <w:pStyle w:val="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公务服务及会议服务监管考核汇总表</w:t>
      </w:r>
    </w:p>
    <w:p w14:paraId="561F3C3A">
      <w:pPr>
        <w:pStyle w:val="2"/>
        <w:jc w:val="center"/>
        <w:rPr>
          <w:rFonts w:hint="eastAsia" w:ascii="仿宋" w:hAnsi="仿宋" w:eastAsia="仿宋" w:cs="仿宋"/>
          <w:color w:val="auto"/>
          <w:sz w:val="21"/>
          <w:szCs w:val="21"/>
          <w:highlight w:val="none"/>
        </w:rPr>
      </w:pPr>
    </w:p>
    <w:p w14:paraId="7AF537ED">
      <w:pPr>
        <w:pStyle w:val="2"/>
        <w:tabs>
          <w:tab w:val="right" w:pos="8730"/>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年　　月</w:t>
      </w:r>
    </w:p>
    <w:p w14:paraId="1C9F945F">
      <w:pPr>
        <w:pStyle w:val="2"/>
        <w:tabs>
          <w:tab w:val="right" w:pos="8730"/>
        </w:tabs>
        <w:rPr>
          <w:rFonts w:hint="eastAsia" w:ascii="仿宋" w:hAnsi="仿宋" w:eastAsia="仿宋" w:cs="仿宋"/>
          <w:color w:val="auto"/>
          <w:sz w:val="21"/>
          <w:szCs w:val="21"/>
          <w:highlight w:val="none"/>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14:paraId="7F4C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73" w:type="dxa"/>
            <w:noWrap w:val="0"/>
            <w:vAlign w:val="center"/>
          </w:tcPr>
          <w:p w14:paraId="03A67B2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监管内容</w:t>
            </w:r>
          </w:p>
        </w:tc>
        <w:tc>
          <w:tcPr>
            <w:tcW w:w="4473" w:type="dxa"/>
            <w:noWrap w:val="0"/>
            <w:vAlign w:val="center"/>
          </w:tcPr>
          <w:p w14:paraId="24DD89B5">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分　值</w:t>
            </w:r>
          </w:p>
        </w:tc>
      </w:tr>
      <w:tr w14:paraId="2694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4473" w:type="dxa"/>
            <w:noWrap w:val="0"/>
            <w:vAlign w:val="center"/>
          </w:tcPr>
          <w:p w14:paraId="6692C006">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公务服务监管考核分</w:t>
            </w:r>
          </w:p>
        </w:tc>
        <w:tc>
          <w:tcPr>
            <w:tcW w:w="4473" w:type="dxa"/>
            <w:noWrap w:val="0"/>
            <w:vAlign w:val="center"/>
          </w:tcPr>
          <w:p w14:paraId="6988294B">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r>
      <w:tr w14:paraId="23CE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4473" w:type="dxa"/>
            <w:noWrap w:val="0"/>
            <w:vAlign w:val="center"/>
          </w:tcPr>
          <w:p w14:paraId="3DCE0E1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会议服务监管考核分</w:t>
            </w:r>
          </w:p>
        </w:tc>
        <w:tc>
          <w:tcPr>
            <w:tcW w:w="4473" w:type="dxa"/>
            <w:noWrap w:val="0"/>
            <w:vAlign w:val="center"/>
          </w:tcPr>
          <w:p w14:paraId="63F40E5D">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r>
      <w:tr w14:paraId="1E7A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4473" w:type="dxa"/>
            <w:noWrap w:val="0"/>
            <w:vAlign w:val="center"/>
          </w:tcPr>
          <w:p w14:paraId="46D0F810">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汇总得分</w:t>
            </w:r>
          </w:p>
        </w:tc>
        <w:tc>
          <w:tcPr>
            <w:tcW w:w="4473" w:type="dxa"/>
            <w:noWrap w:val="0"/>
            <w:vAlign w:val="center"/>
          </w:tcPr>
          <w:p w14:paraId="082317E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p>
        </w:tc>
      </w:tr>
    </w:tbl>
    <w:p w14:paraId="5C377DB1">
      <w:pPr>
        <w:pStyle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p>
    <w:p w14:paraId="45059AB8">
      <w:pPr>
        <w:pStyle w:val="2"/>
        <w:rPr>
          <w:rFonts w:hint="eastAsia" w:ascii="仿宋" w:hAnsi="仿宋" w:eastAsia="仿宋" w:cs="仿宋"/>
          <w:color w:val="auto"/>
          <w:sz w:val="21"/>
          <w:szCs w:val="21"/>
          <w:highlight w:val="none"/>
        </w:rPr>
      </w:pPr>
    </w:p>
    <w:p w14:paraId="795063AC">
      <w:pPr>
        <w:pStyle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经办人：</w:t>
      </w:r>
    </w:p>
    <w:p w14:paraId="2C642857">
      <w:pPr>
        <w:pStyle w:val="2"/>
        <w:keepNext w:val="0"/>
        <w:keepLines w:val="0"/>
        <w:pageBreakBefore w:val="0"/>
        <w:kinsoku/>
        <w:wordWrap/>
        <w:overflowPunct/>
        <w:topLinePunct w:val="0"/>
        <w:autoSpaceDE/>
        <w:autoSpaceDN/>
        <w:bidi w:val="0"/>
        <w:snapToGrid w:val="0"/>
        <w:spacing w:line="336" w:lineRule="auto"/>
        <w:rPr>
          <w:rFonts w:hint="eastAsia"/>
          <w:color w:val="auto"/>
          <w:highlight w:val="none"/>
        </w:rPr>
      </w:pPr>
    </w:p>
    <w:p w14:paraId="148DA42E">
      <w:pPr>
        <w:pStyle w:val="2"/>
        <w:keepNext w:val="0"/>
        <w:keepLines w:val="0"/>
        <w:pageBreakBefore w:val="0"/>
        <w:kinsoku/>
        <w:wordWrap/>
        <w:overflowPunct/>
        <w:topLinePunct w:val="0"/>
        <w:autoSpaceDE/>
        <w:autoSpaceDN/>
        <w:bidi w:val="0"/>
        <w:snapToGrid w:val="0"/>
        <w:spacing w:line="336" w:lineRule="auto"/>
        <w:rPr>
          <w:rFonts w:hint="eastAsia"/>
          <w:color w:val="auto"/>
          <w:highlight w:val="none"/>
        </w:rPr>
      </w:pPr>
    </w:p>
    <w:p w14:paraId="34BBFCC9">
      <w:pPr>
        <w:pStyle w:val="25"/>
        <w:numPr>
          <w:ilvl w:val="0"/>
          <w:numId w:val="0"/>
        </w:numPr>
        <w:rPr>
          <w:color w:val="auto"/>
          <w:highlight w:val="none"/>
        </w:rPr>
      </w:pPr>
    </w:p>
    <w:p w14:paraId="4DBA234D">
      <w:pPr>
        <w:keepNext w:val="0"/>
        <w:keepLines w:val="0"/>
        <w:pageBreakBefore w:val="0"/>
        <w:kinsoku/>
        <w:wordWrap/>
        <w:overflowPunct/>
        <w:topLinePunct w:val="0"/>
        <w:autoSpaceDE/>
        <w:autoSpaceDN/>
        <w:bidi w:val="0"/>
        <w:spacing w:line="24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7" w:name="_Toc184308107"/>
      <w:bookmarkEnd w:id="37"/>
      <w:bookmarkStart w:id="38" w:name="_Toc184310276"/>
      <w:bookmarkEnd w:id="38"/>
      <w:bookmarkStart w:id="39" w:name="_Toc184312121"/>
      <w:bookmarkEnd w:id="39"/>
      <w:bookmarkStart w:id="40" w:name="_Toc184314446"/>
      <w:bookmarkEnd w:id="40"/>
      <w:bookmarkStart w:id="41" w:name="_Toc184312077"/>
      <w:bookmarkEnd w:id="41"/>
      <w:bookmarkStart w:id="42" w:name="_Toc184312100"/>
      <w:bookmarkEnd w:id="42"/>
      <w:bookmarkStart w:id="43" w:name="_Toc184313254"/>
      <w:bookmarkEnd w:id="43"/>
      <w:bookmarkStart w:id="44" w:name="_Toc184314432"/>
      <w:bookmarkEnd w:id="44"/>
      <w:bookmarkStart w:id="45" w:name="_Toc184314425"/>
      <w:bookmarkEnd w:id="45"/>
      <w:bookmarkStart w:id="46" w:name="_Toc184310329"/>
      <w:bookmarkEnd w:id="46"/>
      <w:bookmarkStart w:id="47" w:name="_Toc184314420"/>
      <w:bookmarkEnd w:id="47"/>
      <w:bookmarkStart w:id="48" w:name="_Toc184308063"/>
      <w:bookmarkEnd w:id="48"/>
      <w:bookmarkStart w:id="49" w:name="_Toc184313309"/>
      <w:bookmarkEnd w:id="49"/>
      <w:bookmarkStart w:id="50" w:name="_Toc184313301"/>
      <w:bookmarkEnd w:id="50"/>
      <w:bookmarkStart w:id="51" w:name="_Toc184313272"/>
      <w:bookmarkEnd w:id="51"/>
      <w:bookmarkStart w:id="52" w:name="_Toc184312075"/>
      <w:bookmarkEnd w:id="52"/>
      <w:bookmarkStart w:id="53" w:name="_Toc184313288"/>
      <w:bookmarkEnd w:id="53"/>
      <w:bookmarkStart w:id="54" w:name="_Toc184314461"/>
      <w:bookmarkEnd w:id="54"/>
      <w:bookmarkStart w:id="55" w:name="_Toc184310325"/>
      <w:bookmarkEnd w:id="55"/>
      <w:bookmarkStart w:id="56" w:name="_Toc184313241"/>
      <w:bookmarkEnd w:id="56"/>
      <w:bookmarkStart w:id="57" w:name="_Toc184313310"/>
      <w:bookmarkEnd w:id="57"/>
      <w:bookmarkStart w:id="58" w:name="_Toc184308055"/>
      <w:bookmarkEnd w:id="58"/>
      <w:bookmarkStart w:id="59" w:name="_Toc184312101"/>
      <w:bookmarkEnd w:id="59"/>
      <w:bookmarkStart w:id="60" w:name="_Toc184312092"/>
      <w:bookmarkEnd w:id="60"/>
      <w:bookmarkStart w:id="61" w:name="_Toc184310291"/>
      <w:bookmarkEnd w:id="61"/>
      <w:bookmarkStart w:id="62" w:name="_Toc184314471"/>
      <w:bookmarkEnd w:id="62"/>
      <w:bookmarkStart w:id="63" w:name="_Toc184312070"/>
      <w:bookmarkEnd w:id="63"/>
      <w:bookmarkStart w:id="64" w:name="_Toc184314436"/>
      <w:bookmarkEnd w:id="64"/>
      <w:bookmarkStart w:id="65" w:name="_Toc184312136"/>
      <w:bookmarkEnd w:id="65"/>
      <w:bookmarkStart w:id="66" w:name="_Toc184313305"/>
      <w:bookmarkEnd w:id="66"/>
      <w:bookmarkStart w:id="67" w:name="_Toc184313239"/>
      <w:bookmarkEnd w:id="67"/>
      <w:bookmarkStart w:id="68" w:name="_Toc184313245"/>
      <w:bookmarkEnd w:id="68"/>
      <w:bookmarkStart w:id="69" w:name="_Toc184310302"/>
      <w:bookmarkEnd w:id="69"/>
      <w:bookmarkStart w:id="70" w:name="_Toc184308061"/>
      <w:bookmarkEnd w:id="70"/>
      <w:bookmarkStart w:id="71" w:name="_Toc184314413"/>
      <w:bookmarkEnd w:id="71"/>
      <w:bookmarkStart w:id="72" w:name="_Toc184314475"/>
      <w:bookmarkEnd w:id="72"/>
      <w:bookmarkStart w:id="73" w:name="_Toc184312090"/>
      <w:bookmarkEnd w:id="73"/>
      <w:bookmarkStart w:id="74" w:name="_Toc184310282"/>
      <w:bookmarkEnd w:id="74"/>
      <w:bookmarkStart w:id="75" w:name="_Toc184310296"/>
      <w:bookmarkEnd w:id="75"/>
      <w:bookmarkStart w:id="76" w:name="_Toc184310273"/>
      <w:bookmarkEnd w:id="76"/>
      <w:bookmarkStart w:id="77" w:name="_Toc184312118"/>
      <w:bookmarkEnd w:id="77"/>
      <w:bookmarkStart w:id="78" w:name="_Toc184313243"/>
      <w:bookmarkEnd w:id="78"/>
      <w:bookmarkStart w:id="79" w:name="_Toc184310321"/>
      <w:bookmarkEnd w:id="79"/>
      <w:bookmarkStart w:id="80" w:name="_Toc184314430"/>
      <w:bookmarkEnd w:id="80"/>
      <w:bookmarkStart w:id="81" w:name="_Toc184314455"/>
      <w:bookmarkEnd w:id="81"/>
      <w:bookmarkStart w:id="82" w:name="_Toc184310317"/>
      <w:bookmarkEnd w:id="82"/>
      <w:bookmarkStart w:id="83" w:name="_Toc184310275"/>
      <w:bookmarkEnd w:id="83"/>
      <w:bookmarkStart w:id="84" w:name="_Toc184314463"/>
      <w:bookmarkEnd w:id="84"/>
      <w:bookmarkStart w:id="85" w:name="_Toc184314453"/>
      <w:bookmarkEnd w:id="85"/>
      <w:bookmarkStart w:id="86" w:name="_Toc184312111"/>
      <w:bookmarkEnd w:id="86"/>
      <w:bookmarkStart w:id="87" w:name="_Toc184312123"/>
      <w:bookmarkEnd w:id="87"/>
      <w:bookmarkStart w:id="88" w:name="_Toc184312067"/>
      <w:bookmarkEnd w:id="88"/>
      <w:bookmarkStart w:id="89" w:name="_Toc184313251"/>
      <w:bookmarkEnd w:id="89"/>
      <w:bookmarkStart w:id="90" w:name="_Toc184312076"/>
      <w:bookmarkEnd w:id="90"/>
      <w:bookmarkStart w:id="91" w:name="_Toc184313295"/>
      <w:bookmarkEnd w:id="91"/>
      <w:bookmarkStart w:id="92" w:name="_Toc184314427"/>
      <w:bookmarkEnd w:id="92"/>
      <w:bookmarkStart w:id="93" w:name="_Toc184308048"/>
      <w:bookmarkEnd w:id="93"/>
      <w:bookmarkStart w:id="94" w:name="_Toc184313264"/>
      <w:bookmarkEnd w:id="94"/>
      <w:bookmarkStart w:id="95" w:name="_Toc184308071"/>
      <w:bookmarkEnd w:id="95"/>
      <w:bookmarkStart w:id="96" w:name="_Toc184310340"/>
      <w:bookmarkEnd w:id="96"/>
      <w:bookmarkStart w:id="97" w:name="_Toc184313296"/>
      <w:bookmarkEnd w:id="97"/>
      <w:bookmarkStart w:id="98" w:name="_Toc184312069"/>
      <w:bookmarkEnd w:id="98"/>
      <w:bookmarkStart w:id="99" w:name="_Toc184310295"/>
      <w:bookmarkEnd w:id="99"/>
      <w:bookmarkStart w:id="100" w:name="_Toc184308072"/>
      <w:bookmarkEnd w:id="100"/>
      <w:bookmarkStart w:id="101" w:name="_Toc184312073"/>
      <w:bookmarkEnd w:id="101"/>
      <w:bookmarkStart w:id="102" w:name="_Toc184312113"/>
      <w:bookmarkEnd w:id="102"/>
      <w:bookmarkStart w:id="103" w:name="_Toc184310323"/>
      <w:bookmarkEnd w:id="103"/>
      <w:bookmarkStart w:id="104" w:name="_Toc184313265"/>
      <w:bookmarkEnd w:id="104"/>
      <w:bookmarkStart w:id="105" w:name="_Toc184310310"/>
      <w:bookmarkEnd w:id="105"/>
      <w:bookmarkStart w:id="106" w:name="_Toc184313268"/>
      <w:bookmarkEnd w:id="106"/>
      <w:bookmarkStart w:id="107" w:name="_Toc184310297"/>
      <w:bookmarkEnd w:id="107"/>
      <w:bookmarkStart w:id="108" w:name="_Toc184308096"/>
      <w:bookmarkEnd w:id="108"/>
      <w:bookmarkStart w:id="109" w:name="_Toc184308040"/>
      <w:bookmarkEnd w:id="109"/>
      <w:bookmarkStart w:id="110" w:name="_Toc184313287"/>
      <w:bookmarkEnd w:id="110"/>
      <w:bookmarkStart w:id="111" w:name="_Toc184314414"/>
      <w:bookmarkEnd w:id="111"/>
      <w:bookmarkStart w:id="112" w:name="_Toc184312134"/>
      <w:bookmarkEnd w:id="112"/>
      <w:bookmarkStart w:id="113" w:name="_Toc184313238"/>
      <w:bookmarkEnd w:id="113"/>
      <w:bookmarkStart w:id="114" w:name="_Toc184308045"/>
      <w:bookmarkEnd w:id="114"/>
      <w:bookmarkStart w:id="115" w:name="_Toc184313291"/>
      <w:bookmarkEnd w:id="115"/>
      <w:bookmarkStart w:id="116" w:name="_Toc184312105"/>
      <w:bookmarkEnd w:id="116"/>
      <w:bookmarkStart w:id="117" w:name="_Toc184308056"/>
      <w:bookmarkEnd w:id="117"/>
      <w:bookmarkStart w:id="118" w:name="_Toc184313278"/>
      <w:bookmarkEnd w:id="118"/>
      <w:bookmarkStart w:id="119" w:name="_Toc184308046"/>
      <w:bookmarkEnd w:id="119"/>
      <w:bookmarkStart w:id="120" w:name="_Toc184310334"/>
      <w:bookmarkEnd w:id="120"/>
      <w:bookmarkStart w:id="121" w:name="_Toc184310311"/>
      <w:bookmarkEnd w:id="121"/>
      <w:bookmarkStart w:id="122" w:name="_Toc184308078"/>
      <w:bookmarkEnd w:id="122"/>
      <w:bookmarkStart w:id="123" w:name="_Toc184314478"/>
      <w:bookmarkEnd w:id="123"/>
      <w:bookmarkStart w:id="124" w:name="_Toc184314467"/>
      <w:bookmarkEnd w:id="124"/>
      <w:bookmarkStart w:id="125" w:name="_Toc184312103"/>
      <w:bookmarkEnd w:id="125"/>
      <w:bookmarkStart w:id="126" w:name="_Toc184312085"/>
      <w:bookmarkEnd w:id="126"/>
      <w:bookmarkStart w:id="127" w:name="_Toc184310279"/>
      <w:bookmarkEnd w:id="127"/>
      <w:bookmarkStart w:id="128" w:name="_Toc184314451"/>
      <w:bookmarkEnd w:id="128"/>
      <w:bookmarkStart w:id="129" w:name="_Toc184314459"/>
      <w:bookmarkEnd w:id="129"/>
      <w:bookmarkStart w:id="130" w:name="_Toc184314415"/>
      <w:bookmarkEnd w:id="130"/>
      <w:bookmarkStart w:id="131" w:name="_Toc184312081"/>
      <w:bookmarkEnd w:id="131"/>
      <w:bookmarkStart w:id="132" w:name="_Toc184314466"/>
      <w:bookmarkEnd w:id="132"/>
      <w:bookmarkStart w:id="133" w:name="_Toc184312096"/>
      <w:bookmarkEnd w:id="133"/>
      <w:bookmarkStart w:id="134" w:name="_Toc184312112"/>
      <w:bookmarkEnd w:id="134"/>
      <w:bookmarkStart w:id="135" w:name="_Toc184314481"/>
      <w:bookmarkEnd w:id="135"/>
      <w:bookmarkStart w:id="136" w:name="_Toc184313253"/>
      <w:bookmarkEnd w:id="136"/>
      <w:bookmarkStart w:id="137" w:name="_Toc184314450"/>
      <w:bookmarkEnd w:id="137"/>
      <w:bookmarkStart w:id="138" w:name="_Toc184308097"/>
      <w:bookmarkEnd w:id="138"/>
      <w:bookmarkStart w:id="139" w:name="_Toc184310330"/>
      <w:bookmarkEnd w:id="139"/>
      <w:bookmarkStart w:id="140" w:name="_Toc184313275"/>
      <w:bookmarkEnd w:id="140"/>
      <w:bookmarkStart w:id="141" w:name="_Toc184310274"/>
      <w:bookmarkEnd w:id="141"/>
      <w:bookmarkStart w:id="142" w:name="_Toc184313285"/>
      <w:bookmarkEnd w:id="142"/>
      <w:bookmarkStart w:id="143" w:name="_Toc184313260"/>
      <w:bookmarkEnd w:id="143"/>
      <w:bookmarkStart w:id="144" w:name="_Toc184313286"/>
      <w:bookmarkEnd w:id="144"/>
      <w:bookmarkStart w:id="145" w:name="_Toc184314472"/>
      <w:bookmarkEnd w:id="145"/>
      <w:bookmarkStart w:id="146" w:name="_Toc184312074"/>
      <w:bookmarkEnd w:id="146"/>
      <w:bookmarkStart w:id="147" w:name="_Toc184310337"/>
      <w:bookmarkEnd w:id="147"/>
      <w:bookmarkStart w:id="148" w:name="_Toc184308088"/>
      <w:bookmarkEnd w:id="148"/>
      <w:bookmarkStart w:id="149" w:name="_Toc184313293"/>
      <w:bookmarkEnd w:id="149"/>
      <w:bookmarkStart w:id="150" w:name="_Toc184314410"/>
      <w:bookmarkEnd w:id="150"/>
      <w:bookmarkStart w:id="151" w:name="_Toc184310335"/>
      <w:bookmarkEnd w:id="151"/>
      <w:bookmarkStart w:id="152" w:name="_Toc184308065"/>
      <w:bookmarkEnd w:id="152"/>
      <w:bookmarkStart w:id="153" w:name="_Toc184312124"/>
      <w:bookmarkEnd w:id="153"/>
      <w:bookmarkStart w:id="154" w:name="_Toc184308064"/>
      <w:bookmarkEnd w:id="154"/>
      <w:bookmarkStart w:id="155" w:name="_Toc184308092"/>
      <w:bookmarkEnd w:id="155"/>
      <w:bookmarkStart w:id="156" w:name="_Toc184314462"/>
      <w:bookmarkEnd w:id="156"/>
      <w:bookmarkStart w:id="157" w:name="_Toc184313261"/>
      <w:bookmarkEnd w:id="157"/>
      <w:bookmarkStart w:id="158" w:name="_Toc184314418"/>
      <w:bookmarkEnd w:id="158"/>
      <w:bookmarkStart w:id="159" w:name="_Toc184308047"/>
      <w:bookmarkEnd w:id="159"/>
      <w:bookmarkStart w:id="160" w:name="_Toc184312120"/>
      <w:bookmarkEnd w:id="160"/>
      <w:bookmarkStart w:id="161" w:name="_Toc184313246"/>
      <w:bookmarkEnd w:id="161"/>
      <w:bookmarkStart w:id="162" w:name="_Toc184314469"/>
      <w:bookmarkEnd w:id="162"/>
      <w:bookmarkStart w:id="163" w:name="_Toc184310299"/>
      <w:bookmarkEnd w:id="163"/>
      <w:bookmarkStart w:id="164" w:name="_Toc184313290"/>
      <w:bookmarkEnd w:id="164"/>
      <w:bookmarkStart w:id="165" w:name="_Toc184308106"/>
      <w:bookmarkEnd w:id="165"/>
      <w:bookmarkStart w:id="166" w:name="_Toc184310288"/>
      <w:bookmarkEnd w:id="166"/>
      <w:bookmarkStart w:id="167" w:name="_Toc184312110"/>
      <w:bookmarkEnd w:id="167"/>
      <w:bookmarkStart w:id="168" w:name="_Toc184314422"/>
      <w:bookmarkEnd w:id="168"/>
      <w:bookmarkStart w:id="169" w:name="_Toc184312086"/>
      <w:bookmarkEnd w:id="169"/>
      <w:bookmarkStart w:id="170" w:name="_Toc184312079"/>
      <w:bookmarkEnd w:id="170"/>
      <w:bookmarkStart w:id="171" w:name="_Toc184312125"/>
      <w:bookmarkEnd w:id="171"/>
      <w:bookmarkStart w:id="172" w:name="_Toc184312082"/>
      <w:bookmarkEnd w:id="172"/>
      <w:bookmarkStart w:id="173" w:name="_Toc184308089"/>
      <w:bookmarkEnd w:id="173"/>
      <w:bookmarkStart w:id="174" w:name="_Toc184313250"/>
      <w:bookmarkEnd w:id="174"/>
      <w:bookmarkStart w:id="175" w:name="_Toc184310293"/>
      <w:bookmarkEnd w:id="175"/>
      <w:bookmarkStart w:id="176" w:name="_Toc184308058"/>
      <w:bookmarkEnd w:id="176"/>
      <w:bookmarkStart w:id="177" w:name="_Toc184308059"/>
      <w:bookmarkEnd w:id="177"/>
      <w:bookmarkStart w:id="178" w:name="_Toc184314452"/>
      <w:bookmarkEnd w:id="178"/>
      <w:bookmarkStart w:id="179" w:name="_Toc184310283"/>
      <w:bookmarkEnd w:id="179"/>
      <w:bookmarkStart w:id="180" w:name="_Toc184308073"/>
      <w:bookmarkEnd w:id="180"/>
      <w:bookmarkStart w:id="181" w:name="_Toc184310327"/>
      <w:bookmarkEnd w:id="181"/>
      <w:bookmarkStart w:id="182" w:name="_Toc184314411"/>
      <w:bookmarkEnd w:id="182"/>
      <w:bookmarkStart w:id="183" w:name="_Toc184310324"/>
      <w:bookmarkEnd w:id="183"/>
      <w:bookmarkStart w:id="184" w:name="_Toc184310306"/>
      <w:bookmarkEnd w:id="184"/>
      <w:bookmarkStart w:id="185" w:name="_Toc184308093"/>
      <w:bookmarkEnd w:id="185"/>
      <w:bookmarkStart w:id="186" w:name="_Toc184314442"/>
      <w:bookmarkEnd w:id="186"/>
      <w:bookmarkStart w:id="187" w:name="_Toc184312084"/>
      <w:bookmarkEnd w:id="187"/>
      <w:bookmarkStart w:id="188" w:name="_Toc184310318"/>
      <w:bookmarkEnd w:id="188"/>
      <w:bookmarkStart w:id="189" w:name="_Toc184314454"/>
      <w:bookmarkEnd w:id="189"/>
      <w:bookmarkStart w:id="190" w:name="_Toc184310286"/>
      <w:bookmarkEnd w:id="190"/>
      <w:bookmarkStart w:id="191" w:name="_Toc184312088"/>
      <w:bookmarkEnd w:id="191"/>
      <w:bookmarkStart w:id="192" w:name="_Toc184308039"/>
      <w:bookmarkEnd w:id="192"/>
      <w:bookmarkStart w:id="193" w:name="_Toc184312094"/>
      <w:bookmarkEnd w:id="193"/>
      <w:bookmarkStart w:id="194" w:name="_Toc184312078"/>
      <w:bookmarkEnd w:id="194"/>
      <w:bookmarkStart w:id="195" w:name="_Toc184308084"/>
      <w:bookmarkEnd w:id="195"/>
      <w:bookmarkStart w:id="196" w:name="_Toc184313284"/>
      <w:bookmarkEnd w:id="196"/>
      <w:bookmarkStart w:id="197" w:name="_Toc184313262"/>
      <w:bookmarkEnd w:id="197"/>
      <w:bookmarkStart w:id="198" w:name="_Toc184314479"/>
      <w:bookmarkEnd w:id="198"/>
      <w:bookmarkStart w:id="199" w:name="_Toc184312135"/>
      <w:bookmarkEnd w:id="199"/>
      <w:bookmarkStart w:id="200" w:name="_Toc184313308"/>
      <w:bookmarkEnd w:id="200"/>
      <w:bookmarkStart w:id="201" w:name="_Toc184313249"/>
      <w:bookmarkEnd w:id="201"/>
      <w:bookmarkStart w:id="202" w:name="_Toc184312087"/>
      <w:bookmarkEnd w:id="202"/>
      <w:bookmarkStart w:id="203" w:name="_Toc184314426"/>
      <w:bookmarkEnd w:id="203"/>
      <w:bookmarkStart w:id="204" w:name="_Toc184313270"/>
      <w:bookmarkEnd w:id="204"/>
      <w:bookmarkStart w:id="205" w:name="_Toc184314421"/>
      <w:bookmarkEnd w:id="205"/>
      <w:bookmarkStart w:id="206" w:name="_Toc184310338"/>
      <w:bookmarkEnd w:id="206"/>
      <w:bookmarkStart w:id="207" w:name="_Toc184308098"/>
      <w:bookmarkEnd w:id="207"/>
      <w:bookmarkStart w:id="208" w:name="_Toc184313252"/>
      <w:bookmarkEnd w:id="208"/>
      <w:bookmarkStart w:id="209" w:name="_Toc184314444"/>
      <w:bookmarkEnd w:id="209"/>
      <w:bookmarkStart w:id="210" w:name="_Toc184314429"/>
      <w:bookmarkEnd w:id="210"/>
      <w:bookmarkStart w:id="211" w:name="_Toc184313259"/>
      <w:bookmarkEnd w:id="211"/>
      <w:bookmarkStart w:id="212" w:name="_Toc184312138"/>
      <w:bookmarkEnd w:id="212"/>
      <w:bookmarkStart w:id="213" w:name="_Toc184314474"/>
      <w:bookmarkEnd w:id="213"/>
      <w:bookmarkStart w:id="214" w:name="_Toc184312129"/>
      <w:bookmarkEnd w:id="214"/>
      <w:bookmarkStart w:id="215" w:name="_Toc184312107"/>
      <w:bookmarkEnd w:id="215"/>
      <w:bookmarkStart w:id="216" w:name="_Toc184308095"/>
      <w:bookmarkEnd w:id="216"/>
      <w:bookmarkStart w:id="217" w:name="_Toc184308074"/>
      <w:bookmarkEnd w:id="217"/>
      <w:bookmarkStart w:id="218" w:name="_Toc184310316"/>
      <w:bookmarkEnd w:id="218"/>
      <w:bookmarkStart w:id="219" w:name="_Toc184308038"/>
      <w:bookmarkEnd w:id="219"/>
      <w:bookmarkStart w:id="220" w:name="_Toc184308086"/>
      <w:bookmarkEnd w:id="220"/>
      <w:bookmarkStart w:id="221" w:name="_Toc184312104"/>
      <w:bookmarkEnd w:id="221"/>
      <w:bookmarkStart w:id="222" w:name="_Toc184312109"/>
      <w:bookmarkEnd w:id="222"/>
      <w:bookmarkStart w:id="223" w:name="_Toc184310287"/>
      <w:bookmarkEnd w:id="223"/>
      <w:bookmarkStart w:id="224" w:name="_Toc184314424"/>
      <w:bookmarkEnd w:id="224"/>
      <w:bookmarkStart w:id="225" w:name="_Toc184314458"/>
      <w:bookmarkEnd w:id="225"/>
      <w:bookmarkStart w:id="226" w:name="_Toc184312130"/>
      <w:bookmarkEnd w:id="226"/>
      <w:bookmarkStart w:id="227" w:name="_Toc184313276"/>
      <w:bookmarkEnd w:id="227"/>
      <w:bookmarkStart w:id="228" w:name="_Toc184308108"/>
      <w:bookmarkEnd w:id="228"/>
      <w:bookmarkStart w:id="229" w:name="_Toc184308043"/>
      <w:bookmarkEnd w:id="229"/>
      <w:bookmarkStart w:id="230" w:name="_Toc184314438"/>
      <w:bookmarkEnd w:id="230"/>
      <w:bookmarkStart w:id="231" w:name="_Toc184308052"/>
      <w:bookmarkEnd w:id="231"/>
      <w:bookmarkStart w:id="232" w:name="_Toc184308042"/>
      <w:bookmarkEnd w:id="232"/>
      <w:bookmarkStart w:id="233" w:name="_Toc184313267"/>
      <w:bookmarkEnd w:id="233"/>
      <w:bookmarkStart w:id="234" w:name="_Toc184310300"/>
      <w:bookmarkEnd w:id="234"/>
      <w:bookmarkStart w:id="235" w:name="_Toc184313248"/>
      <w:bookmarkEnd w:id="235"/>
      <w:bookmarkStart w:id="236" w:name="_Toc184310344"/>
      <w:bookmarkEnd w:id="236"/>
      <w:bookmarkStart w:id="237" w:name="_Toc184308090"/>
      <w:bookmarkEnd w:id="237"/>
      <w:bookmarkStart w:id="238" w:name="_Toc184314433"/>
      <w:bookmarkEnd w:id="238"/>
      <w:bookmarkStart w:id="239" w:name="_Toc184314470"/>
      <w:bookmarkEnd w:id="239"/>
      <w:bookmarkStart w:id="240" w:name="_Toc184313289"/>
      <w:bookmarkEnd w:id="240"/>
      <w:bookmarkStart w:id="241" w:name="_Toc184313240"/>
      <w:bookmarkEnd w:id="241"/>
      <w:bookmarkStart w:id="242" w:name="_Toc184313269"/>
      <w:bookmarkEnd w:id="242"/>
      <w:bookmarkStart w:id="243" w:name="_Toc184308041"/>
      <w:bookmarkEnd w:id="243"/>
      <w:bookmarkStart w:id="244" w:name="_Toc184310289"/>
      <w:bookmarkEnd w:id="244"/>
      <w:bookmarkStart w:id="245" w:name="_Toc184314437"/>
      <w:bookmarkEnd w:id="245"/>
      <w:bookmarkStart w:id="246" w:name="_Toc184314465"/>
      <w:bookmarkEnd w:id="246"/>
      <w:bookmarkStart w:id="247" w:name="_Toc184308066"/>
      <w:bookmarkEnd w:id="247"/>
      <w:bookmarkStart w:id="248" w:name="_Toc184313257"/>
      <w:bookmarkEnd w:id="248"/>
      <w:bookmarkStart w:id="249" w:name="_Toc184308057"/>
      <w:bookmarkEnd w:id="249"/>
      <w:bookmarkStart w:id="250" w:name="_Toc184312137"/>
      <w:bookmarkEnd w:id="250"/>
      <w:bookmarkStart w:id="251" w:name="_Toc184313271"/>
      <w:bookmarkEnd w:id="251"/>
      <w:bookmarkStart w:id="252" w:name="_Toc184308105"/>
      <w:bookmarkEnd w:id="252"/>
      <w:bookmarkStart w:id="253" w:name="_Toc184312097"/>
      <w:bookmarkEnd w:id="253"/>
      <w:bookmarkStart w:id="254" w:name="_Toc184312072"/>
      <w:bookmarkEnd w:id="254"/>
      <w:bookmarkStart w:id="255" w:name="_Toc184314412"/>
      <w:bookmarkEnd w:id="255"/>
      <w:bookmarkStart w:id="256" w:name="_Toc184313306"/>
      <w:bookmarkEnd w:id="256"/>
      <w:bookmarkStart w:id="257" w:name="_Toc184312122"/>
      <w:bookmarkEnd w:id="257"/>
      <w:bookmarkStart w:id="258" w:name="_Toc184308049"/>
      <w:bookmarkEnd w:id="258"/>
      <w:bookmarkStart w:id="259" w:name="_Toc184313247"/>
      <w:bookmarkEnd w:id="259"/>
      <w:bookmarkStart w:id="260" w:name="_Toc184310312"/>
      <w:bookmarkEnd w:id="260"/>
      <w:bookmarkStart w:id="261" w:name="_Toc184312083"/>
      <w:bookmarkEnd w:id="261"/>
      <w:bookmarkStart w:id="262" w:name="_Toc184310272"/>
      <w:bookmarkEnd w:id="262"/>
      <w:bookmarkStart w:id="263" w:name="_Toc184310320"/>
      <w:bookmarkEnd w:id="263"/>
      <w:bookmarkStart w:id="264" w:name="_Toc184313280"/>
      <w:bookmarkEnd w:id="264"/>
      <w:bookmarkStart w:id="265" w:name="_Toc184314456"/>
      <w:bookmarkEnd w:id="265"/>
      <w:bookmarkStart w:id="266" w:name="_Toc184314468"/>
      <w:bookmarkEnd w:id="266"/>
      <w:bookmarkStart w:id="267" w:name="_Toc184313297"/>
      <w:bookmarkEnd w:id="267"/>
      <w:bookmarkStart w:id="268" w:name="_Toc184310308"/>
      <w:bookmarkEnd w:id="268"/>
      <w:bookmarkStart w:id="269" w:name="_Toc184310313"/>
      <w:bookmarkEnd w:id="269"/>
      <w:bookmarkStart w:id="270" w:name="_Toc184312095"/>
      <w:bookmarkEnd w:id="270"/>
      <w:bookmarkStart w:id="271" w:name="_Toc184310277"/>
      <w:bookmarkEnd w:id="271"/>
      <w:bookmarkStart w:id="272" w:name="_Toc184310322"/>
      <w:bookmarkEnd w:id="272"/>
      <w:bookmarkStart w:id="273" w:name="_Toc184310341"/>
      <w:bookmarkEnd w:id="273"/>
      <w:bookmarkStart w:id="274" w:name="_Toc184313302"/>
      <w:bookmarkEnd w:id="274"/>
      <w:bookmarkStart w:id="275" w:name="_Toc184312117"/>
      <w:bookmarkEnd w:id="275"/>
      <w:bookmarkStart w:id="276" w:name="_Toc184308068"/>
      <w:bookmarkEnd w:id="276"/>
      <w:bookmarkStart w:id="277" w:name="_Toc184310292"/>
      <w:bookmarkEnd w:id="277"/>
      <w:bookmarkStart w:id="278" w:name="_Toc184312127"/>
      <w:bookmarkEnd w:id="278"/>
      <w:bookmarkStart w:id="279" w:name="_Toc184310342"/>
      <w:bookmarkEnd w:id="279"/>
      <w:bookmarkStart w:id="280" w:name="_Toc184308102"/>
      <w:bookmarkEnd w:id="280"/>
      <w:bookmarkStart w:id="281" w:name="_Toc184310294"/>
      <w:bookmarkEnd w:id="281"/>
      <w:bookmarkStart w:id="282" w:name="_Toc184308053"/>
      <w:bookmarkEnd w:id="282"/>
      <w:bookmarkStart w:id="283" w:name="_Toc184310284"/>
      <w:bookmarkEnd w:id="283"/>
      <w:bookmarkStart w:id="284" w:name="_Toc184312114"/>
      <w:bookmarkEnd w:id="284"/>
      <w:bookmarkStart w:id="285" w:name="_Toc184308082"/>
      <w:bookmarkEnd w:id="285"/>
      <w:bookmarkStart w:id="286" w:name="_Toc184313292"/>
      <w:bookmarkEnd w:id="286"/>
      <w:bookmarkStart w:id="287" w:name="_Toc184314457"/>
      <w:bookmarkEnd w:id="287"/>
      <w:bookmarkStart w:id="288" w:name="_Toc184313244"/>
      <w:bookmarkEnd w:id="288"/>
      <w:bookmarkStart w:id="289" w:name="_Toc184308054"/>
      <w:bookmarkEnd w:id="289"/>
      <w:bookmarkStart w:id="290" w:name="_Toc184312131"/>
      <w:bookmarkEnd w:id="290"/>
      <w:bookmarkStart w:id="291" w:name="_Toc184308060"/>
      <w:bookmarkEnd w:id="291"/>
      <w:bookmarkStart w:id="292" w:name="_Toc184314439"/>
      <w:bookmarkEnd w:id="292"/>
      <w:bookmarkStart w:id="293" w:name="_Toc184310281"/>
      <w:bookmarkEnd w:id="293"/>
      <w:bookmarkStart w:id="294" w:name="_Toc184314441"/>
      <w:bookmarkEnd w:id="294"/>
      <w:bookmarkStart w:id="295" w:name="_Toc184314460"/>
      <w:bookmarkEnd w:id="295"/>
      <w:bookmarkStart w:id="296" w:name="_Toc184312139"/>
      <w:bookmarkEnd w:id="296"/>
      <w:bookmarkStart w:id="297" w:name="_Toc184308044"/>
      <w:bookmarkEnd w:id="297"/>
      <w:bookmarkStart w:id="298" w:name="_Toc184308091"/>
      <w:bookmarkEnd w:id="298"/>
      <w:bookmarkStart w:id="299" w:name="_Toc184308101"/>
      <w:bookmarkEnd w:id="299"/>
      <w:bookmarkStart w:id="300" w:name="_Toc184313258"/>
      <w:bookmarkEnd w:id="300"/>
      <w:bookmarkStart w:id="301" w:name="_Toc184310305"/>
      <w:bookmarkEnd w:id="301"/>
      <w:bookmarkStart w:id="302" w:name="_Toc184312089"/>
      <w:bookmarkEnd w:id="302"/>
      <w:bookmarkStart w:id="303" w:name="_Toc184314473"/>
      <w:bookmarkEnd w:id="303"/>
      <w:bookmarkStart w:id="304" w:name="_Toc184308081"/>
      <w:bookmarkEnd w:id="304"/>
      <w:bookmarkStart w:id="305" w:name="_Toc184310309"/>
      <w:bookmarkEnd w:id="305"/>
      <w:bookmarkStart w:id="306" w:name="_Toc184308062"/>
      <w:bookmarkEnd w:id="306"/>
      <w:bookmarkStart w:id="307" w:name="_Toc184313307"/>
      <w:bookmarkEnd w:id="307"/>
      <w:bookmarkStart w:id="308" w:name="_Toc184308037"/>
      <w:bookmarkEnd w:id="308"/>
      <w:bookmarkStart w:id="309" w:name="_Toc184312128"/>
      <w:bookmarkEnd w:id="309"/>
      <w:bookmarkStart w:id="310" w:name="_Toc184310328"/>
      <w:bookmarkEnd w:id="310"/>
      <w:bookmarkStart w:id="311" w:name="_Toc184314447"/>
      <w:bookmarkEnd w:id="311"/>
      <w:bookmarkStart w:id="312" w:name="_Toc184308075"/>
      <w:bookmarkEnd w:id="312"/>
      <w:bookmarkStart w:id="313" w:name="_Toc184308067"/>
      <w:bookmarkEnd w:id="313"/>
      <w:bookmarkStart w:id="314" w:name="_Toc184313282"/>
      <w:bookmarkEnd w:id="314"/>
      <w:bookmarkStart w:id="315" w:name="_Toc184308079"/>
      <w:bookmarkEnd w:id="315"/>
      <w:bookmarkStart w:id="316" w:name="_Toc184314434"/>
      <w:bookmarkEnd w:id="316"/>
      <w:bookmarkStart w:id="317" w:name="_Toc184308077"/>
      <w:bookmarkEnd w:id="317"/>
      <w:bookmarkStart w:id="318" w:name="_Toc184312102"/>
      <w:bookmarkEnd w:id="318"/>
      <w:bookmarkStart w:id="319" w:name="_Toc184308050"/>
      <w:bookmarkEnd w:id="319"/>
      <w:bookmarkStart w:id="320" w:name="_Toc184312068"/>
      <w:bookmarkEnd w:id="320"/>
      <w:bookmarkStart w:id="321" w:name="_Toc184308036"/>
      <w:bookmarkEnd w:id="321"/>
      <w:bookmarkStart w:id="322" w:name="_Toc184314449"/>
      <w:bookmarkEnd w:id="322"/>
      <w:bookmarkStart w:id="323" w:name="_Toc184308099"/>
      <w:bookmarkEnd w:id="323"/>
      <w:bookmarkStart w:id="324" w:name="_Toc184313242"/>
      <w:bookmarkEnd w:id="324"/>
      <w:bookmarkStart w:id="325" w:name="_Toc184312132"/>
      <w:bookmarkEnd w:id="325"/>
      <w:bookmarkStart w:id="326" w:name="_Toc184313266"/>
      <w:bookmarkEnd w:id="326"/>
      <w:bookmarkStart w:id="327" w:name="_Toc184313283"/>
      <w:bookmarkEnd w:id="327"/>
      <w:bookmarkStart w:id="328" w:name="_Toc184308087"/>
      <w:bookmarkEnd w:id="328"/>
      <w:bookmarkStart w:id="329" w:name="_Toc184312106"/>
      <w:bookmarkEnd w:id="329"/>
      <w:bookmarkStart w:id="330" w:name="_Toc184314440"/>
      <w:bookmarkEnd w:id="330"/>
      <w:bookmarkStart w:id="331" w:name="_Toc184308069"/>
      <w:bookmarkEnd w:id="331"/>
      <w:bookmarkStart w:id="332" w:name="_Toc184313300"/>
      <w:bookmarkEnd w:id="332"/>
      <w:bookmarkStart w:id="333" w:name="_Toc184313256"/>
      <w:bookmarkEnd w:id="333"/>
      <w:bookmarkStart w:id="334" w:name="_Toc184308085"/>
      <w:bookmarkEnd w:id="334"/>
      <w:bookmarkStart w:id="335" w:name="_Toc184310319"/>
      <w:bookmarkEnd w:id="335"/>
      <w:bookmarkStart w:id="336" w:name="_Toc184314416"/>
      <w:bookmarkEnd w:id="336"/>
      <w:bookmarkStart w:id="337" w:name="_Toc184313255"/>
      <w:bookmarkEnd w:id="337"/>
      <w:bookmarkStart w:id="338" w:name="_Toc184314445"/>
      <w:bookmarkEnd w:id="338"/>
      <w:bookmarkStart w:id="339" w:name="_Toc184314428"/>
      <w:bookmarkEnd w:id="339"/>
      <w:bookmarkStart w:id="340" w:name="_Toc184312071"/>
      <w:bookmarkEnd w:id="340"/>
      <w:bookmarkStart w:id="341" w:name="_Toc184312080"/>
      <w:bookmarkEnd w:id="341"/>
      <w:bookmarkStart w:id="342" w:name="_Toc184308083"/>
      <w:bookmarkEnd w:id="342"/>
      <w:bookmarkStart w:id="343" w:name="_Toc184313299"/>
      <w:bookmarkEnd w:id="343"/>
      <w:bookmarkStart w:id="344" w:name="_Toc184312098"/>
      <w:bookmarkEnd w:id="344"/>
      <w:bookmarkStart w:id="345" w:name="_Toc184310315"/>
      <w:bookmarkEnd w:id="345"/>
      <w:bookmarkStart w:id="346" w:name="_Toc184314423"/>
      <w:bookmarkEnd w:id="346"/>
      <w:bookmarkStart w:id="347" w:name="_Toc184314435"/>
      <w:bookmarkEnd w:id="347"/>
      <w:bookmarkStart w:id="348" w:name="_Toc184313281"/>
      <w:bookmarkEnd w:id="348"/>
      <w:bookmarkStart w:id="349" w:name="_Toc184310339"/>
      <w:bookmarkEnd w:id="349"/>
      <w:bookmarkStart w:id="350" w:name="_Toc184310285"/>
      <w:bookmarkEnd w:id="350"/>
      <w:bookmarkStart w:id="351" w:name="_Toc184310303"/>
      <w:bookmarkEnd w:id="351"/>
      <w:bookmarkStart w:id="352" w:name="_Toc184312116"/>
      <w:bookmarkEnd w:id="352"/>
      <w:bookmarkStart w:id="353" w:name="_Toc184314417"/>
      <w:bookmarkEnd w:id="353"/>
      <w:bookmarkStart w:id="354" w:name="_Toc184308070"/>
      <w:bookmarkEnd w:id="354"/>
      <w:bookmarkStart w:id="355" w:name="_Toc184312133"/>
      <w:bookmarkEnd w:id="355"/>
      <w:bookmarkStart w:id="356" w:name="_Toc184310278"/>
      <w:bookmarkEnd w:id="356"/>
      <w:bookmarkStart w:id="357" w:name="_Toc184313274"/>
      <w:bookmarkEnd w:id="357"/>
      <w:bookmarkStart w:id="358" w:name="_Toc184312108"/>
      <w:bookmarkEnd w:id="358"/>
      <w:bookmarkStart w:id="359" w:name="_Toc184308051"/>
      <w:bookmarkEnd w:id="359"/>
      <w:bookmarkStart w:id="360" w:name="_Toc184313298"/>
      <w:bookmarkEnd w:id="360"/>
      <w:bookmarkStart w:id="361" w:name="_Toc184314482"/>
      <w:bookmarkEnd w:id="361"/>
      <w:bookmarkStart w:id="362" w:name="_Toc184314448"/>
      <w:bookmarkEnd w:id="362"/>
      <w:bookmarkStart w:id="363" w:name="_Toc184310298"/>
      <w:bookmarkEnd w:id="363"/>
      <w:bookmarkStart w:id="364" w:name="_Toc184314477"/>
      <w:bookmarkEnd w:id="364"/>
      <w:bookmarkStart w:id="365" w:name="_Toc184310343"/>
      <w:bookmarkEnd w:id="365"/>
      <w:bookmarkStart w:id="366" w:name="_Toc184312126"/>
      <w:bookmarkEnd w:id="366"/>
      <w:bookmarkStart w:id="367" w:name="_Toc184308103"/>
      <w:bookmarkEnd w:id="367"/>
      <w:bookmarkStart w:id="368" w:name="_Toc184313273"/>
      <w:bookmarkEnd w:id="368"/>
      <w:bookmarkStart w:id="369" w:name="_Toc184313279"/>
      <w:bookmarkEnd w:id="369"/>
      <w:bookmarkStart w:id="370" w:name="_Toc184310331"/>
      <w:bookmarkEnd w:id="370"/>
      <w:bookmarkStart w:id="371" w:name="_Toc184312119"/>
      <w:bookmarkEnd w:id="371"/>
      <w:bookmarkStart w:id="372" w:name="_Toc184310290"/>
      <w:bookmarkEnd w:id="372"/>
      <w:bookmarkStart w:id="373" w:name="_Toc184310307"/>
      <w:bookmarkEnd w:id="373"/>
      <w:bookmarkStart w:id="374" w:name="_Toc184313294"/>
      <w:bookmarkEnd w:id="374"/>
      <w:bookmarkStart w:id="375" w:name="_Toc184308100"/>
      <w:bookmarkEnd w:id="375"/>
      <w:bookmarkStart w:id="376" w:name="_Toc184310280"/>
      <w:bookmarkEnd w:id="376"/>
      <w:bookmarkStart w:id="377" w:name="_Toc184308076"/>
      <w:bookmarkEnd w:id="377"/>
      <w:bookmarkStart w:id="378" w:name="_Toc184312091"/>
      <w:bookmarkEnd w:id="378"/>
      <w:bookmarkStart w:id="379" w:name="_Toc184310314"/>
      <w:bookmarkEnd w:id="379"/>
      <w:bookmarkStart w:id="380" w:name="_Toc184312115"/>
      <w:bookmarkEnd w:id="380"/>
      <w:bookmarkStart w:id="381" w:name="_Toc184308094"/>
      <w:bookmarkEnd w:id="381"/>
      <w:bookmarkStart w:id="382" w:name="_Toc184314464"/>
      <w:bookmarkEnd w:id="382"/>
      <w:bookmarkStart w:id="383" w:name="_Toc184312099"/>
      <w:bookmarkEnd w:id="383"/>
      <w:bookmarkStart w:id="384" w:name="_Toc184314431"/>
      <w:bookmarkEnd w:id="384"/>
      <w:bookmarkStart w:id="385" w:name="_Toc184313263"/>
      <w:bookmarkEnd w:id="385"/>
      <w:bookmarkStart w:id="386" w:name="_Toc184313303"/>
      <w:bookmarkEnd w:id="386"/>
      <w:bookmarkStart w:id="387" w:name="_Toc184313277"/>
      <w:bookmarkEnd w:id="387"/>
      <w:bookmarkStart w:id="388" w:name="_Toc184310336"/>
      <w:bookmarkEnd w:id="388"/>
      <w:bookmarkStart w:id="389" w:name="_Toc184310301"/>
      <w:bookmarkEnd w:id="389"/>
      <w:bookmarkStart w:id="390" w:name="_Toc184310333"/>
      <w:bookmarkEnd w:id="390"/>
      <w:bookmarkStart w:id="391" w:name="_Toc184313304"/>
      <w:bookmarkEnd w:id="391"/>
      <w:bookmarkStart w:id="392" w:name="_Toc184310326"/>
      <w:bookmarkEnd w:id="392"/>
      <w:bookmarkStart w:id="393" w:name="_Toc184310332"/>
      <w:bookmarkEnd w:id="393"/>
      <w:bookmarkStart w:id="394" w:name="_Toc184312093"/>
      <w:bookmarkEnd w:id="394"/>
      <w:bookmarkStart w:id="395" w:name="_Toc184308104"/>
      <w:bookmarkEnd w:id="395"/>
      <w:bookmarkStart w:id="396" w:name="_Toc184314476"/>
      <w:bookmarkEnd w:id="396"/>
      <w:bookmarkStart w:id="397" w:name="_Toc184314480"/>
      <w:bookmarkEnd w:id="397"/>
      <w:bookmarkStart w:id="398" w:name="_Toc184314419"/>
      <w:bookmarkEnd w:id="398"/>
      <w:bookmarkStart w:id="399" w:name="_Toc184314443"/>
      <w:bookmarkEnd w:id="399"/>
      <w:bookmarkStart w:id="400" w:name="_Toc184310304"/>
      <w:bookmarkEnd w:id="400"/>
      <w:bookmarkStart w:id="401" w:name="_Toc184308080"/>
      <w:bookmarkEnd w:id="401"/>
      <w:r>
        <w:rPr>
          <w:rFonts w:hint="eastAsia" w:ascii="仿宋" w:hAnsi="仿宋" w:eastAsia="仿宋" w:cs="仿宋"/>
          <w:b/>
          <w:color w:val="auto"/>
          <w:sz w:val="36"/>
          <w:szCs w:val="36"/>
          <w:highlight w:val="none"/>
        </w:rPr>
        <w:t>评标办法</w:t>
      </w:r>
      <w:bookmarkEnd w:id="36"/>
    </w:p>
    <w:p w14:paraId="6C14153D">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53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219"/>
        <w:gridCol w:w="5896"/>
        <w:gridCol w:w="799"/>
        <w:gridCol w:w="820"/>
      </w:tblGrid>
      <w:tr w14:paraId="3F90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34" w:type="pct"/>
            <w:vAlign w:val="center"/>
          </w:tcPr>
          <w:p w14:paraId="4B1A1CB0">
            <w:pPr>
              <w:snapToGrid w:val="0"/>
              <w:spacing w:line="276" w:lineRule="auto"/>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3882" w:type="pct"/>
            <w:gridSpan w:val="2"/>
            <w:vAlign w:val="center"/>
          </w:tcPr>
          <w:p w14:paraId="3D142867">
            <w:pPr>
              <w:snapToGrid w:val="0"/>
              <w:spacing w:line="276" w:lineRule="auto"/>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评标标准</w:t>
            </w:r>
          </w:p>
        </w:tc>
        <w:tc>
          <w:tcPr>
            <w:tcW w:w="435" w:type="pct"/>
            <w:vAlign w:val="center"/>
          </w:tcPr>
          <w:p w14:paraId="34FECE50">
            <w:pPr>
              <w:snapToGrid w:val="0"/>
              <w:spacing w:line="276"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权重</w:t>
            </w:r>
          </w:p>
        </w:tc>
        <w:tc>
          <w:tcPr>
            <w:tcW w:w="447" w:type="pct"/>
          </w:tcPr>
          <w:p w14:paraId="26D20CC2">
            <w:pPr>
              <w:snapToGrid w:val="0"/>
              <w:spacing w:line="276" w:lineRule="auto"/>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投标文件中评标标准相应的商务技术资料目录</w:t>
            </w:r>
            <w:r>
              <w:rPr>
                <w:rFonts w:ascii="Calibri" w:hAnsi="Calibri" w:eastAsia="仿宋" w:cs="Calibri"/>
                <w:b/>
                <w:bCs/>
                <w:color w:val="auto"/>
                <w:sz w:val="21"/>
                <w:szCs w:val="21"/>
                <w:highlight w:val="none"/>
              </w:rPr>
              <w:t> </w:t>
            </w:r>
          </w:p>
        </w:tc>
      </w:tr>
      <w:tr w14:paraId="4C55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34" w:type="pct"/>
            <w:vAlign w:val="center"/>
          </w:tcPr>
          <w:p w14:paraId="00BC2B0A">
            <w:pPr>
              <w:snapToGrid w:val="0"/>
              <w:spacing w:line="276" w:lineRule="auto"/>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w:t>
            </w:r>
          </w:p>
        </w:tc>
        <w:tc>
          <w:tcPr>
            <w:tcW w:w="3882" w:type="pct"/>
            <w:gridSpan w:val="2"/>
            <w:vAlign w:val="center"/>
          </w:tcPr>
          <w:p w14:paraId="52690EC5">
            <w:pPr>
              <w:snapToGrid w:val="0"/>
              <w:spacing w:line="276" w:lineRule="auto"/>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商务技术部分</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eastAsia="zh-CN"/>
              </w:rPr>
              <w:t>90</w:t>
            </w:r>
            <w:r>
              <w:rPr>
                <w:rFonts w:hint="eastAsia" w:ascii="仿宋" w:hAnsi="仿宋" w:eastAsia="仿宋" w:cs="仿宋"/>
                <w:b/>
                <w:color w:val="auto"/>
                <w:sz w:val="21"/>
                <w:szCs w:val="21"/>
                <w:highlight w:val="none"/>
              </w:rPr>
              <w:t>分）：</w:t>
            </w:r>
            <w:r>
              <w:rPr>
                <w:rFonts w:hint="eastAsia" w:ascii="仿宋" w:hAnsi="仿宋" w:eastAsia="仿宋" w:cs="仿宋"/>
                <w:color w:val="auto"/>
                <w:sz w:val="21"/>
                <w:szCs w:val="21"/>
                <w:highlight w:val="none"/>
              </w:rPr>
              <w:t>主要包含方案的先进性、科学性和完整性，与需求的符合程度等情况，以及服务人员情况、对项目熟悉程度等方面的因素。</w:t>
            </w:r>
          </w:p>
        </w:tc>
        <w:tc>
          <w:tcPr>
            <w:tcW w:w="435" w:type="pct"/>
            <w:vAlign w:val="center"/>
          </w:tcPr>
          <w:p w14:paraId="5A35B848">
            <w:pPr>
              <w:snapToGrid w:val="0"/>
              <w:spacing w:line="276" w:lineRule="auto"/>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90</w:t>
            </w:r>
          </w:p>
        </w:tc>
        <w:tc>
          <w:tcPr>
            <w:tcW w:w="447" w:type="pct"/>
          </w:tcPr>
          <w:p w14:paraId="7CF08E6F">
            <w:pPr>
              <w:snapToGrid w:val="0"/>
              <w:spacing w:line="276" w:lineRule="auto"/>
              <w:jc w:val="center"/>
              <w:rPr>
                <w:rFonts w:ascii="仿宋" w:hAnsi="仿宋" w:eastAsia="仿宋" w:cs="仿宋"/>
                <w:b/>
                <w:color w:val="auto"/>
                <w:sz w:val="21"/>
                <w:szCs w:val="21"/>
                <w:highlight w:val="none"/>
              </w:rPr>
            </w:pPr>
          </w:p>
        </w:tc>
      </w:tr>
      <w:tr w14:paraId="2C8B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 w:type="pct"/>
            <w:vAlign w:val="center"/>
          </w:tcPr>
          <w:p w14:paraId="1E12536D">
            <w:pPr>
              <w:snapToGrid w:val="0"/>
              <w:spacing w:line="276"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p>
        </w:tc>
        <w:tc>
          <w:tcPr>
            <w:tcW w:w="665" w:type="pct"/>
            <w:vAlign w:val="center"/>
          </w:tcPr>
          <w:p w14:paraId="70C8CC1B">
            <w:pPr>
              <w:snapToGrid w:val="0"/>
              <w:spacing w:line="276" w:lineRule="auto"/>
              <w:rPr>
                <w:rFonts w:hint="default"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rPr>
              <w:t>服务</w:t>
            </w:r>
            <w:r>
              <w:rPr>
                <w:rFonts w:hint="eastAsia" w:ascii="仿宋" w:hAnsi="仿宋" w:eastAsia="仿宋"/>
                <w:b/>
                <w:color w:val="auto"/>
                <w:sz w:val="21"/>
                <w:szCs w:val="21"/>
                <w:highlight w:val="none"/>
                <w:lang w:val="en-US" w:eastAsia="zh-CN"/>
              </w:rPr>
              <w:t>内容了解</w:t>
            </w:r>
          </w:p>
          <w:p w14:paraId="2F21E7AB">
            <w:pPr>
              <w:snapToGrid w:val="0"/>
              <w:spacing w:line="276" w:lineRule="auto"/>
              <w:rPr>
                <w:rFonts w:ascii="仿宋" w:hAnsi="仿宋" w:eastAsia="仿宋" w:cs="仿宋"/>
                <w:b/>
                <w:color w:val="auto"/>
                <w:sz w:val="21"/>
                <w:szCs w:val="21"/>
                <w:highlight w:val="none"/>
              </w:rPr>
            </w:pPr>
          </w:p>
        </w:tc>
        <w:tc>
          <w:tcPr>
            <w:tcW w:w="3217" w:type="pct"/>
            <w:vAlign w:val="center"/>
          </w:tcPr>
          <w:p w14:paraId="3CB72F49">
            <w:pPr>
              <w:snapToGrid w:val="0"/>
              <w:spacing w:line="276" w:lineRule="auto"/>
              <w:jc w:val="left"/>
              <w:rPr>
                <w:rFonts w:ascii="仿宋" w:hAnsi="仿宋" w:eastAsia="仿宋" w:cs="仿宋"/>
                <w:color w:val="auto"/>
                <w:sz w:val="21"/>
                <w:szCs w:val="21"/>
                <w:highlight w:val="none"/>
              </w:rPr>
            </w:pPr>
            <w:r>
              <w:rPr>
                <w:rFonts w:hint="eastAsia" w:ascii="仿宋" w:hAnsi="仿宋" w:eastAsia="仿宋"/>
                <w:color w:val="auto"/>
                <w:sz w:val="21"/>
                <w:szCs w:val="21"/>
                <w:highlight w:val="none"/>
              </w:rPr>
              <w:t>供应商</w:t>
            </w:r>
            <w:r>
              <w:rPr>
                <w:rFonts w:hint="eastAsia" w:ascii="仿宋" w:hAnsi="仿宋" w:eastAsia="仿宋"/>
                <w:color w:val="auto"/>
                <w:sz w:val="21"/>
                <w:szCs w:val="21"/>
                <w:highlight w:val="none"/>
                <w:lang w:val="en-US" w:eastAsia="zh-CN"/>
              </w:rPr>
              <w:t>是否</w:t>
            </w:r>
            <w:r>
              <w:rPr>
                <w:rFonts w:hint="eastAsia" w:ascii="仿宋" w:hAnsi="仿宋" w:eastAsia="仿宋"/>
                <w:color w:val="auto"/>
                <w:sz w:val="21"/>
                <w:szCs w:val="21"/>
                <w:highlight w:val="none"/>
              </w:rPr>
              <w:t>①</w:t>
            </w:r>
            <w:r>
              <w:rPr>
                <w:rFonts w:hint="eastAsia" w:ascii="仿宋" w:hAnsi="仿宋" w:eastAsia="仿宋"/>
                <w:color w:val="auto"/>
                <w:sz w:val="21"/>
                <w:szCs w:val="21"/>
                <w:highlight w:val="none"/>
                <w:lang w:val="en-US" w:eastAsia="zh-CN"/>
              </w:rPr>
              <w:t>明确了解会务</w:t>
            </w:r>
            <w:r>
              <w:rPr>
                <w:rFonts w:hint="eastAsia" w:ascii="仿宋" w:hAnsi="仿宋" w:eastAsia="仿宋"/>
                <w:color w:val="auto"/>
                <w:sz w:val="21"/>
                <w:szCs w:val="21"/>
                <w:highlight w:val="none"/>
              </w:rPr>
              <w:t>服务</w:t>
            </w:r>
            <w:r>
              <w:rPr>
                <w:rFonts w:hint="eastAsia" w:ascii="仿宋" w:hAnsi="仿宋" w:eastAsia="仿宋"/>
                <w:color w:val="auto"/>
                <w:sz w:val="21"/>
                <w:szCs w:val="21"/>
                <w:highlight w:val="none"/>
                <w:lang w:val="en-US" w:eastAsia="zh-CN"/>
              </w:rPr>
              <w:t>内容</w:t>
            </w:r>
            <w:r>
              <w:rPr>
                <w:rFonts w:hint="eastAsia" w:ascii="仿宋" w:hAnsi="仿宋" w:eastAsia="仿宋"/>
                <w:color w:val="auto"/>
                <w:sz w:val="21"/>
                <w:szCs w:val="21"/>
                <w:highlight w:val="none"/>
              </w:rPr>
              <w:t>，②</w:t>
            </w:r>
            <w:r>
              <w:rPr>
                <w:rFonts w:hint="eastAsia" w:ascii="仿宋" w:hAnsi="仿宋" w:eastAsia="仿宋"/>
                <w:color w:val="auto"/>
                <w:sz w:val="21"/>
                <w:szCs w:val="21"/>
                <w:highlight w:val="none"/>
                <w:lang w:val="en-US" w:eastAsia="zh-CN"/>
              </w:rPr>
              <w:t>了解</w:t>
            </w:r>
            <w:r>
              <w:rPr>
                <w:rFonts w:hint="eastAsia" w:ascii="仿宋" w:hAnsi="仿宋" w:eastAsia="仿宋"/>
                <w:color w:val="auto"/>
                <w:sz w:val="21"/>
                <w:szCs w:val="21"/>
                <w:highlight w:val="none"/>
              </w:rPr>
              <w:t>保障</w:t>
            </w:r>
            <w:r>
              <w:rPr>
                <w:rFonts w:hint="eastAsia" w:ascii="仿宋" w:hAnsi="仿宋" w:eastAsia="仿宋"/>
                <w:color w:val="auto"/>
                <w:sz w:val="21"/>
                <w:szCs w:val="21"/>
                <w:highlight w:val="none"/>
                <w:lang w:val="en-US" w:eastAsia="zh-CN"/>
              </w:rPr>
              <w:t>会务</w:t>
            </w:r>
            <w:r>
              <w:rPr>
                <w:rFonts w:hint="eastAsia" w:ascii="仿宋" w:hAnsi="仿宋" w:eastAsia="仿宋"/>
                <w:color w:val="auto"/>
                <w:sz w:val="21"/>
                <w:szCs w:val="21"/>
                <w:highlight w:val="none"/>
              </w:rPr>
              <w:t>服务质量标准。根据提供的方案内容进行评分，方案科学、合理、措施得当且满足采购需求的，每项得</w:t>
            </w:r>
            <w:r>
              <w:rPr>
                <w:rFonts w:hint="eastAsia" w:ascii="仿宋" w:hAnsi="仿宋" w:eastAsia="仿宋"/>
                <w:color w:val="auto"/>
                <w:sz w:val="21"/>
                <w:szCs w:val="21"/>
                <w:highlight w:val="none"/>
                <w:lang w:val="en-US" w:eastAsia="zh-CN"/>
              </w:rPr>
              <w:t>4</w:t>
            </w:r>
            <w:r>
              <w:rPr>
                <w:rFonts w:hint="eastAsia" w:ascii="仿宋" w:hAnsi="仿宋" w:eastAsia="仿宋"/>
                <w:color w:val="auto"/>
                <w:sz w:val="21"/>
                <w:szCs w:val="21"/>
                <w:highlight w:val="none"/>
              </w:rPr>
              <w:t>分，</w:t>
            </w:r>
            <w:r>
              <w:rPr>
                <w:rFonts w:hint="eastAsia" w:ascii="仿宋" w:hAnsi="仿宋" w:eastAsia="仿宋" w:cs="宋体"/>
                <w:color w:val="auto"/>
                <w:sz w:val="21"/>
                <w:szCs w:val="21"/>
                <w:highlight w:val="none"/>
                <w:lang w:val="zh-CN"/>
              </w:rPr>
              <w:t>内容</w:t>
            </w:r>
            <w:r>
              <w:rPr>
                <w:rFonts w:hint="eastAsia" w:ascii="仿宋" w:hAnsi="仿宋" w:eastAsia="仿宋" w:cs="宋体"/>
                <w:color w:val="auto"/>
                <w:sz w:val="21"/>
                <w:szCs w:val="21"/>
                <w:highlight w:val="none"/>
                <w:lang w:val="en-US" w:eastAsia="zh-CN"/>
              </w:rPr>
              <w:t>基本满足的得3分，</w:t>
            </w:r>
            <w:r>
              <w:rPr>
                <w:rFonts w:hint="eastAsia" w:ascii="仿宋" w:hAnsi="仿宋" w:eastAsia="仿宋" w:cs="宋体"/>
                <w:bCs/>
                <w:color w:val="auto"/>
                <w:sz w:val="21"/>
                <w:szCs w:val="21"/>
                <w:highlight w:val="none"/>
              </w:rPr>
              <w:t>内容有所欠缺或</w:t>
            </w:r>
            <w:r>
              <w:rPr>
                <w:rFonts w:hint="eastAsia" w:ascii="仿宋" w:hAnsi="仿宋" w:eastAsia="仿宋"/>
                <w:color w:val="auto"/>
                <w:sz w:val="21"/>
                <w:szCs w:val="21"/>
                <w:highlight w:val="none"/>
              </w:rPr>
              <w:t>措施不可行需完善得</w:t>
            </w:r>
            <w:r>
              <w:rPr>
                <w:rFonts w:hint="eastAsia" w:ascii="仿宋" w:hAnsi="仿宋" w:eastAsia="仿宋"/>
                <w:color w:val="auto"/>
                <w:sz w:val="21"/>
                <w:szCs w:val="21"/>
                <w:highlight w:val="none"/>
                <w:lang w:val="en-US" w:eastAsia="zh-CN"/>
              </w:rPr>
              <w:t>2</w:t>
            </w:r>
            <w:r>
              <w:rPr>
                <w:rFonts w:hint="eastAsia" w:ascii="仿宋" w:hAnsi="仿宋" w:eastAsia="仿宋"/>
                <w:color w:val="auto"/>
                <w:sz w:val="21"/>
                <w:szCs w:val="21"/>
                <w:highlight w:val="none"/>
              </w:rPr>
              <w:t>分，未提供或不合理的不得分，</w:t>
            </w:r>
            <w:r>
              <w:rPr>
                <w:rFonts w:hint="eastAsia" w:ascii="仿宋" w:hAnsi="仿宋" w:eastAsia="仿宋"/>
                <w:b/>
                <w:color w:val="auto"/>
                <w:sz w:val="21"/>
                <w:szCs w:val="21"/>
                <w:highlight w:val="none"/>
              </w:rPr>
              <w:t>最高得</w:t>
            </w:r>
            <w:r>
              <w:rPr>
                <w:rFonts w:hint="eastAsia" w:ascii="仿宋" w:hAnsi="仿宋" w:eastAsia="仿宋"/>
                <w:b/>
                <w:color w:val="auto"/>
                <w:sz w:val="21"/>
                <w:szCs w:val="21"/>
                <w:highlight w:val="none"/>
                <w:lang w:val="en-US" w:eastAsia="zh-CN"/>
              </w:rPr>
              <w:t>8</w:t>
            </w:r>
            <w:r>
              <w:rPr>
                <w:rFonts w:hint="eastAsia" w:ascii="仿宋" w:hAnsi="仿宋" w:eastAsia="仿宋"/>
                <w:b/>
                <w:color w:val="auto"/>
                <w:sz w:val="21"/>
                <w:szCs w:val="21"/>
                <w:highlight w:val="none"/>
              </w:rPr>
              <w:t>分。</w:t>
            </w:r>
          </w:p>
        </w:tc>
        <w:tc>
          <w:tcPr>
            <w:tcW w:w="435" w:type="pct"/>
            <w:vAlign w:val="center"/>
          </w:tcPr>
          <w:p w14:paraId="4B9C9261">
            <w:pPr>
              <w:snapToGrid w:val="0"/>
              <w:spacing w:line="276" w:lineRule="auto"/>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8</w:t>
            </w:r>
          </w:p>
        </w:tc>
        <w:tc>
          <w:tcPr>
            <w:tcW w:w="447" w:type="pct"/>
          </w:tcPr>
          <w:p w14:paraId="6BDEE9CC">
            <w:pPr>
              <w:snapToGrid w:val="0"/>
              <w:spacing w:line="276" w:lineRule="auto"/>
              <w:jc w:val="center"/>
              <w:rPr>
                <w:rFonts w:ascii="仿宋" w:hAnsi="仿宋" w:eastAsia="仿宋" w:cs="仿宋"/>
                <w:b/>
                <w:color w:val="auto"/>
                <w:sz w:val="21"/>
                <w:szCs w:val="21"/>
                <w:highlight w:val="none"/>
              </w:rPr>
            </w:pPr>
          </w:p>
        </w:tc>
      </w:tr>
      <w:tr w14:paraId="3855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 w:type="pct"/>
            <w:vAlign w:val="center"/>
          </w:tcPr>
          <w:p w14:paraId="6320E950">
            <w:pPr>
              <w:snapToGrid w:val="0"/>
              <w:spacing w:line="276" w:lineRule="auto"/>
              <w:rPr>
                <w:rFonts w:hint="eastAsia"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lang w:val="en-US" w:eastAsia="zh-CN"/>
              </w:rPr>
              <w:t>2</w:t>
            </w:r>
          </w:p>
        </w:tc>
        <w:tc>
          <w:tcPr>
            <w:tcW w:w="665" w:type="pct"/>
            <w:vAlign w:val="center"/>
          </w:tcPr>
          <w:p w14:paraId="70856D88">
            <w:pPr>
              <w:snapToGrid w:val="0"/>
              <w:spacing w:line="276" w:lineRule="auto"/>
              <w:rPr>
                <w:rFonts w:hint="eastAsia"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lang w:val="en-US" w:eastAsia="zh-CN"/>
              </w:rPr>
              <w:t>筹备</w:t>
            </w:r>
            <w:r>
              <w:rPr>
                <w:rFonts w:hint="eastAsia" w:ascii="仿宋" w:hAnsi="仿宋" w:eastAsia="仿宋"/>
                <w:b/>
                <w:color w:val="auto"/>
                <w:sz w:val="21"/>
                <w:szCs w:val="21"/>
                <w:highlight w:val="none"/>
                <w:lang w:val="zh-CN"/>
              </w:rPr>
              <w:t>方案</w:t>
            </w:r>
          </w:p>
        </w:tc>
        <w:tc>
          <w:tcPr>
            <w:tcW w:w="3217" w:type="pct"/>
            <w:vAlign w:val="center"/>
          </w:tcPr>
          <w:p w14:paraId="4278790D">
            <w:pPr>
              <w:snapToGrid w:val="0"/>
              <w:spacing w:line="276" w:lineRule="auto"/>
              <w:jc w:val="left"/>
              <w:rPr>
                <w:rFonts w:hint="eastAsia" w:ascii="仿宋" w:hAnsi="仿宋" w:eastAsia="仿宋" w:cs="宋体"/>
                <w:bCs/>
                <w:color w:val="auto"/>
                <w:sz w:val="21"/>
                <w:szCs w:val="21"/>
                <w:highlight w:val="none"/>
                <w:lang w:val="en-US" w:eastAsia="zh-CN"/>
              </w:rPr>
            </w:pPr>
            <w:r>
              <w:rPr>
                <w:rFonts w:hint="eastAsia" w:ascii="仿宋" w:hAnsi="仿宋" w:eastAsia="仿宋" w:cs="宋体"/>
                <w:bCs/>
                <w:color w:val="auto"/>
                <w:sz w:val="21"/>
                <w:szCs w:val="21"/>
                <w:highlight w:val="none"/>
                <w:lang w:val="en-US" w:eastAsia="zh-CN"/>
              </w:rPr>
              <w:t>对本项目</w:t>
            </w:r>
            <w:r>
              <w:rPr>
                <w:rFonts w:hint="eastAsia" w:ascii="仿宋" w:hAnsi="仿宋" w:eastAsia="仿宋" w:cs="宋体"/>
                <w:bCs/>
                <w:color w:val="auto"/>
                <w:sz w:val="21"/>
                <w:szCs w:val="21"/>
                <w:highlight w:val="none"/>
                <w:lang w:val="zh-CN"/>
              </w:rPr>
              <w:t>提出</w:t>
            </w:r>
            <w:r>
              <w:rPr>
                <w:rFonts w:hint="eastAsia" w:ascii="仿宋" w:hAnsi="仿宋" w:eastAsia="仿宋" w:cs="宋体"/>
                <w:bCs/>
                <w:color w:val="auto"/>
                <w:sz w:val="21"/>
                <w:szCs w:val="21"/>
                <w:highlight w:val="none"/>
                <w:lang w:val="en-US" w:eastAsia="zh-CN"/>
              </w:rPr>
              <w:t>的筹备</w:t>
            </w:r>
            <w:r>
              <w:rPr>
                <w:rFonts w:hint="eastAsia" w:ascii="仿宋" w:hAnsi="仿宋" w:eastAsia="仿宋" w:cs="宋体"/>
                <w:bCs/>
                <w:color w:val="auto"/>
                <w:sz w:val="21"/>
                <w:szCs w:val="21"/>
                <w:highlight w:val="none"/>
                <w:lang w:val="zh-CN"/>
              </w:rPr>
              <w:t>方案，包括：①</w:t>
            </w:r>
            <w:r>
              <w:rPr>
                <w:rFonts w:hint="eastAsia" w:ascii="仿宋" w:hAnsi="仿宋" w:eastAsia="仿宋" w:cs="宋体"/>
                <w:bCs/>
                <w:color w:val="auto"/>
                <w:sz w:val="21"/>
                <w:szCs w:val="21"/>
                <w:highlight w:val="none"/>
                <w:lang w:val="en-US" w:eastAsia="zh-CN"/>
              </w:rPr>
              <w:t>时间急迫对按时交接运营的方案</w:t>
            </w:r>
            <w:r>
              <w:rPr>
                <w:rFonts w:hint="eastAsia" w:ascii="仿宋" w:hAnsi="仿宋" w:eastAsia="仿宋" w:cs="宋体"/>
                <w:bCs/>
                <w:color w:val="auto"/>
                <w:sz w:val="21"/>
                <w:szCs w:val="21"/>
                <w:highlight w:val="none"/>
                <w:lang w:eastAsia="zh-CN"/>
              </w:rPr>
              <w:t>，</w:t>
            </w:r>
            <w:r>
              <w:rPr>
                <w:rFonts w:hint="eastAsia" w:ascii="仿宋" w:hAnsi="仿宋" w:eastAsia="仿宋" w:cs="宋体"/>
                <w:bCs/>
                <w:color w:val="auto"/>
                <w:sz w:val="21"/>
                <w:szCs w:val="21"/>
                <w:highlight w:val="none"/>
              </w:rPr>
              <w:t>②</w:t>
            </w:r>
            <w:r>
              <w:rPr>
                <w:rFonts w:hint="eastAsia" w:ascii="仿宋" w:hAnsi="仿宋" w:eastAsia="仿宋" w:cs="宋体"/>
                <w:bCs/>
                <w:color w:val="auto"/>
                <w:sz w:val="21"/>
                <w:szCs w:val="21"/>
                <w:highlight w:val="none"/>
                <w:lang w:val="en-US" w:eastAsia="zh-CN"/>
              </w:rPr>
              <w:t>筹备过程需准备好进场的的设施、材料、服装等，</w:t>
            </w:r>
            <w:r>
              <w:rPr>
                <w:rFonts w:hint="default" w:ascii="仿宋" w:hAnsi="仿宋" w:eastAsia="仿宋" w:cs="宋体"/>
                <w:bCs/>
                <w:color w:val="auto"/>
                <w:sz w:val="21"/>
                <w:szCs w:val="21"/>
                <w:highlight w:val="none"/>
              </w:rPr>
              <w:t>③</w:t>
            </w:r>
            <w:r>
              <w:rPr>
                <w:rFonts w:hint="eastAsia" w:ascii="仿宋" w:hAnsi="仿宋" w:eastAsia="仿宋" w:cs="宋体"/>
                <w:bCs/>
                <w:color w:val="auto"/>
                <w:sz w:val="21"/>
                <w:szCs w:val="21"/>
                <w:highlight w:val="none"/>
                <w:lang w:val="en-US" w:eastAsia="zh-CN"/>
              </w:rPr>
              <w:t>筹备过程需所有人员进场前报审等具体的对接方案</w:t>
            </w:r>
            <w:r>
              <w:rPr>
                <w:rFonts w:hint="eastAsia" w:ascii="仿宋" w:hAnsi="仿宋" w:eastAsia="仿宋" w:cs="宋体"/>
                <w:bCs/>
                <w:color w:val="auto"/>
                <w:sz w:val="21"/>
                <w:szCs w:val="21"/>
                <w:highlight w:val="none"/>
              </w:rPr>
              <w:t>；根据提供的服务内容进行评分，方案科学、可行且满足采购需求</w:t>
            </w:r>
            <w:r>
              <w:rPr>
                <w:rFonts w:hint="eastAsia" w:ascii="仿宋" w:hAnsi="仿宋" w:eastAsia="仿宋" w:cs="宋体"/>
                <w:bCs/>
                <w:color w:val="auto"/>
                <w:sz w:val="21"/>
                <w:szCs w:val="21"/>
                <w:highlight w:val="none"/>
                <w:lang w:eastAsia="zh-CN"/>
              </w:rPr>
              <w:t>，</w:t>
            </w:r>
            <w:r>
              <w:rPr>
                <w:rFonts w:hint="eastAsia" w:ascii="仿宋" w:hAnsi="仿宋" w:eastAsia="仿宋" w:cs="宋体"/>
                <w:bCs/>
                <w:color w:val="auto"/>
                <w:sz w:val="21"/>
                <w:szCs w:val="21"/>
                <w:highlight w:val="none"/>
                <w:lang w:val="en-US" w:eastAsia="zh-CN"/>
              </w:rPr>
              <w:t>每项得4分</w:t>
            </w:r>
            <w:r>
              <w:rPr>
                <w:rFonts w:hint="eastAsia" w:ascii="仿宋" w:hAnsi="仿宋" w:eastAsia="仿宋" w:cs="宋体"/>
                <w:bCs/>
                <w:color w:val="auto"/>
                <w:sz w:val="21"/>
                <w:szCs w:val="21"/>
                <w:highlight w:val="none"/>
                <w:lang w:eastAsia="zh-CN"/>
              </w:rPr>
              <w:t>；</w:t>
            </w:r>
            <w:r>
              <w:rPr>
                <w:rFonts w:hint="eastAsia" w:ascii="仿宋" w:hAnsi="仿宋" w:eastAsia="仿宋" w:cs="宋体"/>
                <w:bCs/>
                <w:color w:val="auto"/>
                <w:sz w:val="21"/>
                <w:szCs w:val="21"/>
                <w:highlight w:val="none"/>
                <w:lang w:val="zh-CN"/>
              </w:rPr>
              <w:t>内容</w:t>
            </w:r>
            <w:r>
              <w:rPr>
                <w:rFonts w:hint="eastAsia" w:ascii="仿宋" w:hAnsi="仿宋" w:eastAsia="仿宋" w:cs="宋体"/>
                <w:bCs/>
                <w:color w:val="auto"/>
                <w:sz w:val="21"/>
                <w:szCs w:val="21"/>
                <w:highlight w:val="none"/>
                <w:lang w:val="en-US" w:eastAsia="zh-CN"/>
              </w:rPr>
              <w:t>基本满足的得3分，</w:t>
            </w:r>
            <w:r>
              <w:rPr>
                <w:rFonts w:hint="eastAsia" w:ascii="仿宋" w:hAnsi="仿宋" w:eastAsia="仿宋" w:cs="宋体"/>
                <w:bCs/>
                <w:color w:val="auto"/>
                <w:sz w:val="21"/>
                <w:szCs w:val="21"/>
                <w:highlight w:val="none"/>
              </w:rPr>
              <w:t>内容有所欠缺需完善得</w:t>
            </w:r>
            <w:r>
              <w:rPr>
                <w:rFonts w:hint="eastAsia" w:ascii="仿宋" w:hAnsi="仿宋" w:eastAsia="仿宋" w:cs="宋体"/>
                <w:bCs/>
                <w:color w:val="auto"/>
                <w:sz w:val="21"/>
                <w:szCs w:val="21"/>
                <w:highlight w:val="none"/>
                <w:lang w:val="en-US" w:eastAsia="zh-CN"/>
              </w:rPr>
              <w:t>2</w:t>
            </w:r>
            <w:r>
              <w:rPr>
                <w:rFonts w:hint="eastAsia" w:ascii="仿宋" w:hAnsi="仿宋" w:eastAsia="仿宋" w:cs="宋体"/>
                <w:bCs/>
                <w:color w:val="auto"/>
                <w:sz w:val="21"/>
                <w:szCs w:val="21"/>
                <w:highlight w:val="none"/>
              </w:rPr>
              <w:t>分，</w:t>
            </w:r>
            <w:r>
              <w:rPr>
                <w:rFonts w:hint="eastAsia" w:ascii="仿宋" w:hAnsi="仿宋" w:eastAsia="仿宋" w:cs="宋体"/>
                <w:bCs/>
                <w:color w:val="auto"/>
                <w:sz w:val="21"/>
                <w:szCs w:val="21"/>
                <w:highlight w:val="none"/>
                <w:lang w:val="zh-CN"/>
              </w:rPr>
              <w:t>不满足不得分</w:t>
            </w:r>
            <w:r>
              <w:rPr>
                <w:rFonts w:hint="eastAsia" w:ascii="仿宋" w:hAnsi="仿宋" w:eastAsia="仿宋" w:cs="宋体"/>
                <w:color w:val="auto"/>
                <w:sz w:val="21"/>
                <w:szCs w:val="21"/>
                <w:highlight w:val="none"/>
                <w:lang w:val="zh-CN"/>
              </w:rPr>
              <w:t>，</w:t>
            </w:r>
            <w:r>
              <w:rPr>
                <w:rFonts w:hint="eastAsia" w:ascii="仿宋" w:hAnsi="仿宋" w:eastAsia="仿宋" w:cs="宋体"/>
                <w:b/>
                <w:color w:val="auto"/>
                <w:sz w:val="21"/>
                <w:szCs w:val="21"/>
                <w:highlight w:val="none"/>
                <w:lang w:val="zh-CN"/>
              </w:rPr>
              <w:t>最高得</w:t>
            </w:r>
            <w:r>
              <w:rPr>
                <w:rFonts w:hint="eastAsia" w:ascii="仿宋" w:hAnsi="仿宋" w:eastAsia="仿宋" w:cs="宋体"/>
                <w:b/>
                <w:color w:val="auto"/>
                <w:sz w:val="21"/>
                <w:szCs w:val="21"/>
                <w:highlight w:val="none"/>
              </w:rPr>
              <w:t>12</w:t>
            </w:r>
            <w:r>
              <w:rPr>
                <w:rFonts w:hint="eastAsia" w:ascii="仿宋" w:hAnsi="仿宋" w:eastAsia="仿宋" w:cs="宋体"/>
                <w:b/>
                <w:color w:val="auto"/>
                <w:sz w:val="21"/>
                <w:szCs w:val="21"/>
                <w:highlight w:val="none"/>
                <w:lang w:val="zh-CN"/>
              </w:rPr>
              <w:t>分</w:t>
            </w:r>
            <w:r>
              <w:rPr>
                <w:rFonts w:hint="eastAsia" w:ascii="仿宋" w:hAnsi="仿宋" w:eastAsia="仿宋" w:cs="宋体"/>
                <w:color w:val="auto"/>
                <w:sz w:val="21"/>
                <w:szCs w:val="21"/>
                <w:highlight w:val="none"/>
                <w:lang w:val="zh-CN"/>
              </w:rPr>
              <w:t>。</w:t>
            </w:r>
          </w:p>
        </w:tc>
        <w:tc>
          <w:tcPr>
            <w:tcW w:w="435" w:type="pct"/>
            <w:vAlign w:val="center"/>
          </w:tcPr>
          <w:p w14:paraId="5AA50FEC">
            <w:pPr>
              <w:snapToGrid w:val="0"/>
              <w:spacing w:line="276" w:lineRule="auto"/>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12</w:t>
            </w:r>
          </w:p>
        </w:tc>
        <w:tc>
          <w:tcPr>
            <w:tcW w:w="447" w:type="pct"/>
          </w:tcPr>
          <w:p w14:paraId="2216A015">
            <w:pPr>
              <w:snapToGrid w:val="0"/>
              <w:spacing w:line="276" w:lineRule="auto"/>
              <w:jc w:val="center"/>
              <w:rPr>
                <w:rFonts w:ascii="仿宋" w:hAnsi="仿宋" w:eastAsia="仿宋" w:cs="仿宋"/>
                <w:b/>
                <w:color w:val="auto"/>
                <w:sz w:val="21"/>
                <w:szCs w:val="21"/>
                <w:highlight w:val="none"/>
              </w:rPr>
            </w:pPr>
          </w:p>
        </w:tc>
      </w:tr>
      <w:tr w14:paraId="3A04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 w:type="pct"/>
            <w:vMerge w:val="restart"/>
            <w:vAlign w:val="center"/>
          </w:tcPr>
          <w:p w14:paraId="7B77D3DC">
            <w:pPr>
              <w:snapToGrid w:val="0"/>
              <w:spacing w:line="276" w:lineRule="auto"/>
              <w:rPr>
                <w:rFonts w:hint="eastAsia"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lang w:val="en-US" w:eastAsia="zh-CN"/>
              </w:rPr>
              <w:t>3</w:t>
            </w:r>
          </w:p>
        </w:tc>
        <w:tc>
          <w:tcPr>
            <w:tcW w:w="665" w:type="pct"/>
            <w:vMerge w:val="restart"/>
            <w:vAlign w:val="center"/>
          </w:tcPr>
          <w:p w14:paraId="0EE947FA">
            <w:pPr>
              <w:snapToGrid w:val="0"/>
              <w:spacing w:line="276" w:lineRule="auto"/>
              <w:rPr>
                <w:rFonts w:hint="default"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lang w:val="en-US" w:eastAsia="zh-CN"/>
              </w:rPr>
              <w:t>会务服务方案</w:t>
            </w:r>
          </w:p>
        </w:tc>
        <w:tc>
          <w:tcPr>
            <w:tcW w:w="3217" w:type="pct"/>
            <w:vAlign w:val="center"/>
          </w:tcPr>
          <w:p w14:paraId="024D38D4">
            <w:pPr>
              <w:snapToGrid w:val="0"/>
              <w:spacing w:line="276" w:lineRule="auto"/>
              <w:jc w:val="left"/>
              <w:rPr>
                <w:rFonts w:hint="default" w:ascii="仿宋" w:hAnsi="仿宋" w:eastAsia="仿宋" w:cs="宋体"/>
                <w:bCs/>
                <w:color w:val="auto"/>
                <w:sz w:val="21"/>
                <w:szCs w:val="21"/>
                <w:highlight w:val="none"/>
                <w:lang w:val="en-US" w:eastAsia="zh-CN"/>
              </w:rPr>
            </w:pPr>
            <w:r>
              <w:rPr>
                <w:rFonts w:hint="eastAsia" w:ascii="仿宋" w:hAnsi="仿宋" w:eastAsia="仿宋" w:cs="宋体"/>
                <w:bCs/>
                <w:color w:val="auto"/>
                <w:sz w:val="21"/>
                <w:szCs w:val="21"/>
                <w:highlight w:val="none"/>
                <w:lang w:val="en-US" w:eastAsia="zh-CN"/>
              </w:rPr>
              <w:t>会议及公务服务：</w:t>
            </w:r>
            <w:r>
              <w:rPr>
                <w:rFonts w:hint="eastAsia" w:ascii="仿宋" w:hAnsi="仿宋" w:eastAsia="仿宋" w:cs="宋体"/>
                <w:color w:val="auto"/>
                <w:sz w:val="21"/>
                <w:szCs w:val="21"/>
                <w:highlight w:val="none"/>
                <w:lang w:val="zh-CN"/>
              </w:rPr>
              <w:t>①提供的</w:t>
            </w:r>
            <w:r>
              <w:rPr>
                <w:rFonts w:hint="eastAsia" w:ascii="仿宋" w:hAnsi="仿宋" w:eastAsia="仿宋" w:cs="宋体"/>
                <w:color w:val="auto"/>
                <w:sz w:val="21"/>
                <w:szCs w:val="21"/>
                <w:highlight w:val="none"/>
                <w:lang w:val="en-US" w:eastAsia="zh-CN"/>
              </w:rPr>
              <w:t>会务</w:t>
            </w:r>
            <w:r>
              <w:rPr>
                <w:rFonts w:hint="eastAsia" w:ascii="仿宋" w:hAnsi="仿宋" w:eastAsia="仿宋" w:cs="宋体"/>
                <w:color w:val="auto"/>
                <w:sz w:val="21"/>
                <w:szCs w:val="21"/>
                <w:highlight w:val="none"/>
                <w:lang w:val="zh-CN"/>
              </w:rPr>
              <w:t>服务内容是否满足采购需求，②有具体的工作流程及工作方案。根据提供的方案内容进行评分，方案科学、可靠且满足采购需求，每项得</w:t>
            </w:r>
            <w:r>
              <w:rPr>
                <w:rFonts w:hint="eastAsia" w:ascii="仿宋" w:hAnsi="仿宋" w:eastAsia="仿宋" w:cs="宋体"/>
                <w:color w:val="auto"/>
                <w:sz w:val="21"/>
                <w:szCs w:val="21"/>
                <w:highlight w:val="none"/>
                <w:lang w:val="en-US" w:eastAsia="zh-CN"/>
              </w:rPr>
              <w:t>2.5</w:t>
            </w:r>
            <w:r>
              <w:rPr>
                <w:rFonts w:hint="eastAsia" w:ascii="仿宋" w:hAnsi="仿宋" w:eastAsia="仿宋" w:cs="宋体"/>
                <w:color w:val="auto"/>
                <w:sz w:val="21"/>
                <w:szCs w:val="21"/>
                <w:highlight w:val="none"/>
                <w:lang w:val="zh-CN"/>
              </w:rPr>
              <w:t>分，内容</w:t>
            </w:r>
            <w:r>
              <w:rPr>
                <w:rFonts w:hint="eastAsia" w:ascii="仿宋" w:hAnsi="仿宋" w:eastAsia="仿宋" w:cs="宋体"/>
                <w:color w:val="auto"/>
                <w:sz w:val="21"/>
                <w:szCs w:val="21"/>
                <w:highlight w:val="none"/>
                <w:lang w:val="en-US" w:eastAsia="zh-CN"/>
              </w:rPr>
              <w:t>基本满足的得1.5分，</w:t>
            </w:r>
            <w:r>
              <w:rPr>
                <w:rFonts w:hint="eastAsia" w:ascii="仿宋" w:hAnsi="仿宋" w:eastAsia="仿宋" w:cs="宋体"/>
                <w:color w:val="auto"/>
                <w:sz w:val="21"/>
                <w:szCs w:val="21"/>
                <w:highlight w:val="none"/>
                <w:lang w:val="zh-CN"/>
              </w:rPr>
              <w:t>内容有所欠缺需完善的得</w:t>
            </w:r>
            <w:r>
              <w:rPr>
                <w:rFonts w:hint="eastAsia" w:ascii="仿宋" w:hAnsi="仿宋" w:eastAsia="仿宋" w:cs="宋体"/>
                <w:color w:val="auto"/>
                <w:sz w:val="21"/>
                <w:szCs w:val="21"/>
                <w:highlight w:val="none"/>
                <w:lang w:val="en-US" w:eastAsia="zh-CN"/>
              </w:rPr>
              <w:t>1</w:t>
            </w:r>
            <w:r>
              <w:rPr>
                <w:rFonts w:hint="eastAsia" w:ascii="仿宋" w:hAnsi="仿宋" w:eastAsia="仿宋" w:cs="宋体"/>
                <w:color w:val="auto"/>
                <w:sz w:val="21"/>
                <w:szCs w:val="21"/>
                <w:highlight w:val="none"/>
                <w:lang w:val="zh-CN"/>
              </w:rPr>
              <w:t>分，不满足不得分，</w:t>
            </w:r>
            <w:r>
              <w:rPr>
                <w:rFonts w:hint="eastAsia" w:ascii="仿宋" w:hAnsi="仿宋" w:eastAsia="仿宋" w:cs="宋体"/>
                <w:b/>
                <w:color w:val="auto"/>
                <w:sz w:val="21"/>
                <w:szCs w:val="21"/>
                <w:highlight w:val="none"/>
                <w:lang w:val="zh-CN"/>
              </w:rPr>
              <w:t>最高得</w:t>
            </w:r>
            <w:r>
              <w:rPr>
                <w:rFonts w:hint="eastAsia" w:ascii="仿宋" w:hAnsi="仿宋" w:eastAsia="仿宋" w:cs="宋体"/>
                <w:b/>
                <w:color w:val="auto"/>
                <w:sz w:val="21"/>
                <w:szCs w:val="21"/>
                <w:highlight w:val="none"/>
                <w:lang w:val="en-US" w:eastAsia="zh-CN"/>
              </w:rPr>
              <w:t>5</w:t>
            </w:r>
            <w:r>
              <w:rPr>
                <w:rFonts w:hint="eastAsia" w:ascii="仿宋" w:hAnsi="仿宋" w:eastAsia="仿宋" w:cs="宋体"/>
                <w:b/>
                <w:color w:val="auto"/>
                <w:sz w:val="21"/>
                <w:szCs w:val="21"/>
                <w:highlight w:val="none"/>
                <w:lang w:val="zh-CN"/>
              </w:rPr>
              <w:t>分。</w:t>
            </w:r>
          </w:p>
        </w:tc>
        <w:tc>
          <w:tcPr>
            <w:tcW w:w="435" w:type="pct"/>
            <w:vAlign w:val="center"/>
          </w:tcPr>
          <w:p w14:paraId="135A9CD0">
            <w:pPr>
              <w:snapToGrid w:val="0"/>
              <w:spacing w:line="276" w:lineRule="auto"/>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5</w:t>
            </w:r>
          </w:p>
        </w:tc>
        <w:tc>
          <w:tcPr>
            <w:tcW w:w="447" w:type="pct"/>
          </w:tcPr>
          <w:p w14:paraId="334F3011">
            <w:pPr>
              <w:snapToGrid w:val="0"/>
              <w:spacing w:line="276" w:lineRule="auto"/>
              <w:jc w:val="center"/>
              <w:rPr>
                <w:rFonts w:ascii="仿宋" w:hAnsi="仿宋" w:eastAsia="仿宋" w:cs="仿宋"/>
                <w:b/>
                <w:color w:val="auto"/>
                <w:sz w:val="21"/>
                <w:szCs w:val="21"/>
                <w:highlight w:val="none"/>
              </w:rPr>
            </w:pPr>
          </w:p>
        </w:tc>
      </w:tr>
      <w:tr w14:paraId="5720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 w:type="pct"/>
            <w:vMerge w:val="continue"/>
            <w:vAlign w:val="center"/>
          </w:tcPr>
          <w:p w14:paraId="2749901C">
            <w:pPr>
              <w:snapToGrid w:val="0"/>
              <w:spacing w:line="276" w:lineRule="auto"/>
              <w:rPr>
                <w:rFonts w:hint="eastAsia" w:ascii="仿宋" w:hAnsi="仿宋" w:eastAsia="仿宋"/>
                <w:b/>
                <w:color w:val="auto"/>
                <w:sz w:val="21"/>
                <w:szCs w:val="21"/>
                <w:highlight w:val="none"/>
              </w:rPr>
            </w:pPr>
          </w:p>
        </w:tc>
        <w:tc>
          <w:tcPr>
            <w:tcW w:w="665" w:type="pct"/>
            <w:vMerge w:val="continue"/>
            <w:vAlign w:val="center"/>
          </w:tcPr>
          <w:p w14:paraId="4E776E91">
            <w:pPr>
              <w:snapToGrid w:val="0"/>
              <w:spacing w:line="276" w:lineRule="auto"/>
              <w:rPr>
                <w:rFonts w:hint="eastAsia" w:ascii="仿宋" w:hAnsi="仿宋" w:eastAsia="仿宋"/>
                <w:b/>
                <w:color w:val="auto"/>
                <w:sz w:val="21"/>
                <w:szCs w:val="21"/>
                <w:highlight w:val="none"/>
                <w:lang w:val="en-US" w:eastAsia="zh-CN"/>
              </w:rPr>
            </w:pPr>
          </w:p>
        </w:tc>
        <w:tc>
          <w:tcPr>
            <w:tcW w:w="3217" w:type="pct"/>
            <w:vAlign w:val="center"/>
          </w:tcPr>
          <w:p w14:paraId="4131C91A">
            <w:pPr>
              <w:snapToGrid w:val="0"/>
              <w:spacing w:line="276" w:lineRule="auto"/>
              <w:jc w:val="left"/>
              <w:rPr>
                <w:rFonts w:hint="default" w:ascii="仿宋" w:hAnsi="仿宋" w:eastAsia="仿宋" w:cs="宋体"/>
                <w:bCs/>
                <w:color w:val="auto"/>
                <w:sz w:val="21"/>
                <w:szCs w:val="21"/>
                <w:highlight w:val="none"/>
                <w:lang w:val="en-US" w:eastAsia="zh-CN"/>
              </w:rPr>
            </w:pPr>
            <w:r>
              <w:rPr>
                <w:rFonts w:hint="eastAsia" w:ascii="仿宋" w:hAnsi="仿宋" w:eastAsia="仿宋" w:cs="宋体"/>
                <w:bCs/>
                <w:color w:val="auto"/>
                <w:sz w:val="21"/>
                <w:szCs w:val="21"/>
                <w:highlight w:val="none"/>
                <w:lang w:val="en-US" w:eastAsia="zh-CN"/>
              </w:rPr>
              <w:t>楼层公务服务：</w:t>
            </w:r>
            <w:r>
              <w:rPr>
                <w:rFonts w:hint="eastAsia" w:ascii="仿宋" w:hAnsi="仿宋" w:eastAsia="仿宋" w:cs="宋体"/>
                <w:color w:val="auto"/>
                <w:sz w:val="21"/>
                <w:szCs w:val="21"/>
                <w:highlight w:val="none"/>
                <w:lang w:val="zh-CN"/>
              </w:rPr>
              <w:t>①提供的</w:t>
            </w:r>
            <w:r>
              <w:rPr>
                <w:rFonts w:hint="eastAsia" w:ascii="仿宋" w:hAnsi="仿宋" w:eastAsia="仿宋" w:cs="宋体"/>
                <w:color w:val="auto"/>
                <w:sz w:val="21"/>
                <w:szCs w:val="21"/>
                <w:highlight w:val="none"/>
                <w:lang w:val="en-US" w:eastAsia="zh-CN"/>
              </w:rPr>
              <w:t>会务</w:t>
            </w:r>
            <w:r>
              <w:rPr>
                <w:rFonts w:hint="eastAsia" w:ascii="仿宋" w:hAnsi="仿宋" w:eastAsia="仿宋" w:cs="宋体"/>
                <w:color w:val="auto"/>
                <w:sz w:val="21"/>
                <w:szCs w:val="21"/>
                <w:highlight w:val="none"/>
                <w:lang w:val="zh-CN"/>
              </w:rPr>
              <w:t>服务内容是否满足采购需求，②有具体的工作流程及工作方案。根据提供的方案内容进行评分，方案科学、可靠且满足采购需求，每项得</w:t>
            </w:r>
            <w:r>
              <w:rPr>
                <w:rFonts w:hint="eastAsia" w:ascii="仿宋" w:hAnsi="仿宋" w:eastAsia="仿宋" w:cs="宋体"/>
                <w:color w:val="auto"/>
                <w:sz w:val="21"/>
                <w:szCs w:val="21"/>
                <w:highlight w:val="none"/>
                <w:lang w:val="en-US" w:eastAsia="zh-CN"/>
              </w:rPr>
              <w:t>2.5</w:t>
            </w:r>
            <w:r>
              <w:rPr>
                <w:rFonts w:hint="eastAsia" w:ascii="仿宋" w:hAnsi="仿宋" w:eastAsia="仿宋" w:cs="宋体"/>
                <w:color w:val="auto"/>
                <w:sz w:val="21"/>
                <w:szCs w:val="21"/>
                <w:highlight w:val="none"/>
                <w:lang w:val="zh-CN"/>
              </w:rPr>
              <w:t>分，内容</w:t>
            </w:r>
            <w:r>
              <w:rPr>
                <w:rFonts w:hint="eastAsia" w:ascii="仿宋" w:hAnsi="仿宋" w:eastAsia="仿宋" w:cs="宋体"/>
                <w:color w:val="auto"/>
                <w:sz w:val="21"/>
                <w:szCs w:val="21"/>
                <w:highlight w:val="none"/>
                <w:lang w:val="en-US" w:eastAsia="zh-CN"/>
              </w:rPr>
              <w:t>基本满足的得1.5分，</w:t>
            </w:r>
            <w:r>
              <w:rPr>
                <w:rFonts w:hint="eastAsia" w:ascii="仿宋" w:hAnsi="仿宋" w:eastAsia="仿宋" w:cs="宋体"/>
                <w:color w:val="auto"/>
                <w:sz w:val="21"/>
                <w:szCs w:val="21"/>
                <w:highlight w:val="none"/>
                <w:lang w:val="zh-CN"/>
              </w:rPr>
              <w:t>内容有所欠缺需完善的得</w:t>
            </w:r>
            <w:r>
              <w:rPr>
                <w:rFonts w:hint="eastAsia" w:ascii="仿宋" w:hAnsi="仿宋" w:eastAsia="仿宋" w:cs="宋体"/>
                <w:color w:val="auto"/>
                <w:sz w:val="21"/>
                <w:szCs w:val="21"/>
                <w:highlight w:val="none"/>
                <w:lang w:val="en-US" w:eastAsia="zh-CN"/>
              </w:rPr>
              <w:t>1</w:t>
            </w:r>
            <w:r>
              <w:rPr>
                <w:rFonts w:hint="eastAsia" w:ascii="仿宋" w:hAnsi="仿宋" w:eastAsia="仿宋" w:cs="宋体"/>
                <w:color w:val="auto"/>
                <w:sz w:val="21"/>
                <w:szCs w:val="21"/>
                <w:highlight w:val="none"/>
                <w:lang w:val="zh-CN"/>
              </w:rPr>
              <w:t>分，不满足不得分，</w:t>
            </w:r>
            <w:r>
              <w:rPr>
                <w:rFonts w:hint="eastAsia" w:ascii="仿宋" w:hAnsi="仿宋" w:eastAsia="仿宋" w:cs="宋体"/>
                <w:b/>
                <w:color w:val="auto"/>
                <w:sz w:val="21"/>
                <w:szCs w:val="21"/>
                <w:highlight w:val="none"/>
                <w:lang w:val="zh-CN"/>
              </w:rPr>
              <w:t>最高得</w:t>
            </w:r>
            <w:r>
              <w:rPr>
                <w:rFonts w:hint="eastAsia" w:ascii="仿宋" w:hAnsi="仿宋" w:eastAsia="仿宋" w:cs="宋体"/>
                <w:b/>
                <w:color w:val="auto"/>
                <w:sz w:val="21"/>
                <w:szCs w:val="21"/>
                <w:highlight w:val="none"/>
                <w:lang w:val="en-US" w:eastAsia="zh-CN"/>
              </w:rPr>
              <w:t>5</w:t>
            </w:r>
            <w:r>
              <w:rPr>
                <w:rFonts w:hint="eastAsia" w:ascii="仿宋" w:hAnsi="仿宋" w:eastAsia="仿宋" w:cs="宋体"/>
                <w:b/>
                <w:color w:val="auto"/>
                <w:sz w:val="21"/>
                <w:szCs w:val="21"/>
                <w:highlight w:val="none"/>
                <w:lang w:val="zh-CN"/>
              </w:rPr>
              <w:t>分。</w:t>
            </w:r>
          </w:p>
        </w:tc>
        <w:tc>
          <w:tcPr>
            <w:tcW w:w="435" w:type="pct"/>
            <w:vAlign w:val="center"/>
          </w:tcPr>
          <w:p w14:paraId="0E411003">
            <w:pPr>
              <w:snapToGrid w:val="0"/>
              <w:spacing w:line="276" w:lineRule="auto"/>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5</w:t>
            </w:r>
          </w:p>
        </w:tc>
        <w:tc>
          <w:tcPr>
            <w:tcW w:w="447" w:type="pct"/>
          </w:tcPr>
          <w:p w14:paraId="4ACF4908">
            <w:pPr>
              <w:snapToGrid w:val="0"/>
              <w:spacing w:line="276" w:lineRule="auto"/>
              <w:jc w:val="center"/>
              <w:rPr>
                <w:rFonts w:ascii="仿宋" w:hAnsi="仿宋" w:eastAsia="仿宋" w:cs="仿宋"/>
                <w:b/>
                <w:color w:val="auto"/>
                <w:sz w:val="21"/>
                <w:szCs w:val="21"/>
                <w:highlight w:val="none"/>
              </w:rPr>
            </w:pPr>
          </w:p>
        </w:tc>
      </w:tr>
      <w:tr w14:paraId="139E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 w:type="pct"/>
            <w:vMerge w:val="continue"/>
            <w:vAlign w:val="center"/>
          </w:tcPr>
          <w:p w14:paraId="6EE14927">
            <w:pPr>
              <w:snapToGrid w:val="0"/>
              <w:spacing w:line="276" w:lineRule="auto"/>
              <w:rPr>
                <w:rFonts w:hint="eastAsia" w:ascii="仿宋" w:hAnsi="仿宋" w:eastAsia="仿宋"/>
                <w:b/>
                <w:color w:val="auto"/>
                <w:sz w:val="21"/>
                <w:szCs w:val="21"/>
                <w:highlight w:val="none"/>
              </w:rPr>
            </w:pPr>
          </w:p>
        </w:tc>
        <w:tc>
          <w:tcPr>
            <w:tcW w:w="665" w:type="pct"/>
            <w:vMerge w:val="continue"/>
            <w:vAlign w:val="center"/>
          </w:tcPr>
          <w:p w14:paraId="7BA8ECC0">
            <w:pPr>
              <w:snapToGrid w:val="0"/>
              <w:spacing w:line="276" w:lineRule="auto"/>
              <w:rPr>
                <w:rFonts w:hint="eastAsia" w:ascii="仿宋" w:hAnsi="仿宋" w:eastAsia="仿宋"/>
                <w:b/>
                <w:color w:val="auto"/>
                <w:sz w:val="21"/>
                <w:szCs w:val="21"/>
                <w:highlight w:val="none"/>
                <w:lang w:val="en-US" w:eastAsia="zh-CN"/>
              </w:rPr>
            </w:pPr>
          </w:p>
        </w:tc>
        <w:tc>
          <w:tcPr>
            <w:tcW w:w="3217" w:type="pct"/>
            <w:vAlign w:val="center"/>
          </w:tcPr>
          <w:p w14:paraId="20C4DE50">
            <w:pPr>
              <w:snapToGrid w:val="0"/>
              <w:spacing w:line="276" w:lineRule="auto"/>
              <w:jc w:val="left"/>
              <w:rPr>
                <w:rFonts w:hint="eastAsia" w:ascii="仿宋" w:hAnsi="仿宋" w:eastAsia="仿宋" w:cs="宋体"/>
                <w:bCs/>
                <w:color w:val="auto"/>
                <w:sz w:val="21"/>
                <w:szCs w:val="21"/>
                <w:highlight w:val="none"/>
                <w:lang w:val="en-US" w:eastAsia="zh-CN"/>
              </w:rPr>
            </w:pPr>
            <w:r>
              <w:rPr>
                <w:rFonts w:hint="eastAsia" w:ascii="仿宋" w:hAnsi="仿宋" w:eastAsia="仿宋" w:cs="宋体"/>
                <w:bCs/>
                <w:color w:val="auto"/>
                <w:sz w:val="21"/>
                <w:szCs w:val="21"/>
                <w:highlight w:val="none"/>
                <w:lang w:val="en-US" w:eastAsia="zh-CN"/>
              </w:rPr>
              <w:t>市委全委会服务：</w:t>
            </w:r>
            <w:r>
              <w:rPr>
                <w:rFonts w:hint="eastAsia" w:ascii="仿宋" w:hAnsi="仿宋" w:eastAsia="仿宋" w:cs="宋体"/>
                <w:color w:val="auto"/>
                <w:sz w:val="21"/>
                <w:szCs w:val="21"/>
                <w:highlight w:val="none"/>
                <w:lang w:val="zh-CN"/>
              </w:rPr>
              <w:t>①提供的</w:t>
            </w:r>
            <w:r>
              <w:rPr>
                <w:rFonts w:hint="eastAsia" w:ascii="仿宋" w:hAnsi="仿宋" w:eastAsia="仿宋" w:cs="宋体"/>
                <w:color w:val="auto"/>
                <w:sz w:val="21"/>
                <w:szCs w:val="21"/>
                <w:highlight w:val="none"/>
                <w:lang w:val="en-US" w:eastAsia="zh-CN"/>
              </w:rPr>
              <w:t>会务</w:t>
            </w:r>
            <w:r>
              <w:rPr>
                <w:rFonts w:hint="eastAsia" w:ascii="仿宋" w:hAnsi="仿宋" w:eastAsia="仿宋" w:cs="宋体"/>
                <w:color w:val="auto"/>
                <w:sz w:val="21"/>
                <w:szCs w:val="21"/>
                <w:highlight w:val="none"/>
                <w:lang w:val="zh-CN"/>
              </w:rPr>
              <w:t>服务内容是否满足采购需求，②有具体的工作流程及工作方案。根据提供的方案内容进行评分，方案科学、可靠且满足采购需求，每项得</w:t>
            </w:r>
            <w:r>
              <w:rPr>
                <w:rFonts w:hint="eastAsia" w:ascii="仿宋" w:hAnsi="仿宋" w:eastAsia="仿宋" w:cs="宋体"/>
                <w:color w:val="auto"/>
                <w:sz w:val="21"/>
                <w:szCs w:val="21"/>
                <w:highlight w:val="none"/>
                <w:lang w:val="en-US" w:eastAsia="zh-CN"/>
              </w:rPr>
              <w:t>2.5</w:t>
            </w:r>
            <w:r>
              <w:rPr>
                <w:rFonts w:hint="eastAsia" w:ascii="仿宋" w:hAnsi="仿宋" w:eastAsia="仿宋" w:cs="宋体"/>
                <w:color w:val="auto"/>
                <w:sz w:val="21"/>
                <w:szCs w:val="21"/>
                <w:highlight w:val="none"/>
                <w:lang w:val="zh-CN"/>
              </w:rPr>
              <w:t>分，内容</w:t>
            </w:r>
            <w:r>
              <w:rPr>
                <w:rFonts w:hint="eastAsia" w:ascii="仿宋" w:hAnsi="仿宋" w:eastAsia="仿宋" w:cs="宋体"/>
                <w:color w:val="auto"/>
                <w:sz w:val="21"/>
                <w:szCs w:val="21"/>
                <w:highlight w:val="none"/>
                <w:lang w:val="en-US" w:eastAsia="zh-CN"/>
              </w:rPr>
              <w:t>基本满足的得1.5分，</w:t>
            </w:r>
            <w:r>
              <w:rPr>
                <w:rFonts w:hint="eastAsia" w:ascii="仿宋" w:hAnsi="仿宋" w:eastAsia="仿宋" w:cs="宋体"/>
                <w:color w:val="auto"/>
                <w:sz w:val="21"/>
                <w:szCs w:val="21"/>
                <w:highlight w:val="none"/>
                <w:lang w:val="zh-CN"/>
              </w:rPr>
              <w:t>内容有所欠缺需完善的得</w:t>
            </w:r>
            <w:r>
              <w:rPr>
                <w:rFonts w:hint="eastAsia" w:ascii="仿宋" w:hAnsi="仿宋" w:eastAsia="仿宋" w:cs="宋体"/>
                <w:color w:val="auto"/>
                <w:sz w:val="21"/>
                <w:szCs w:val="21"/>
                <w:highlight w:val="none"/>
                <w:lang w:val="en-US" w:eastAsia="zh-CN"/>
              </w:rPr>
              <w:t>1</w:t>
            </w:r>
            <w:r>
              <w:rPr>
                <w:rFonts w:hint="eastAsia" w:ascii="仿宋" w:hAnsi="仿宋" w:eastAsia="仿宋" w:cs="宋体"/>
                <w:color w:val="auto"/>
                <w:sz w:val="21"/>
                <w:szCs w:val="21"/>
                <w:highlight w:val="none"/>
                <w:lang w:val="zh-CN"/>
              </w:rPr>
              <w:t>分，不满足不得分，</w:t>
            </w:r>
            <w:r>
              <w:rPr>
                <w:rFonts w:hint="eastAsia" w:ascii="仿宋" w:hAnsi="仿宋" w:eastAsia="仿宋" w:cs="宋体"/>
                <w:b/>
                <w:color w:val="auto"/>
                <w:sz w:val="21"/>
                <w:szCs w:val="21"/>
                <w:highlight w:val="none"/>
                <w:lang w:val="zh-CN"/>
              </w:rPr>
              <w:t>最高得</w:t>
            </w:r>
            <w:r>
              <w:rPr>
                <w:rFonts w:hint="eastAsia" w:ascii="仿宋" w:hAnsi="仿宋" w:eastAsia="仿宋" w:cs="宋体"/>
                <w:b/>
                <w:color w:val="auto"/>
                <w:sz w:val="21"/>
                <w:szCs w:val="21"/>
                <w:highlight w:val="none"/>
                <w:lang w:val="en-US" w:eastAsia="zh-CN"/>
              </w:rPr>
              <w:t>5</w:t>
            </w:r>
            <w:r>
              <w:rPr>
                <w:rFonts w:hint="eastAsia" w:ascii="仿宋" w:hAnsi="仿宋" w:eastAsia="仿宋" w:cs="宋体"/>
                <w:b/>
                <w:color w:val="auto"/>
                <w:sz w:val="21"/>
                <w:szCs w:val="21"/>
                <w:highlight w:val="none"/>
                <w:lang w:val="zh-CN"/>
              </w:rPr>
              <w:t>分。</w:t>
            </w:r>
          </w:p>
        </w:tc>
        <w:tc>
          <w:tcPr>
            <w:tcW w:w="435" w:type="pct"/>
            <w:vAlign w:val="center"/>
          </w:tcPr>
          <w:p w14:paraId="02A8B23A">
            <w:pPr>
              <w:snapToGrid w:val="0"/>
              <w:spacing w:line="276" w:lineRule="auto"/>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5</w:t>
            </w:r>
          </w:p>
        </w:tc>
        <w:tc>
          <w:tcPr>
            <w:tcW w:w="447" w:type="pct"/>
          </w:tcPr>
          <w:p w14:paraId="58302058">
            <w:pPr>
              <w:snapToGrid w:val="0"/>
              <w:spacing w:line="276" w:lineRule="auto"/>
              <w:jc w:val="center"/>
              <w:rPr>
                <w:rFonts w:ascii="仿宋" w:hAnsi="仿宋" w:eastAsia="仿宋" w:cs="仿宋"/>
                <w:b/>
                <w:color w:val="auto"/>
                <w:sz w:val="21"/>
                <w:szCs w:val="21"/>
                <w:highlight w:val="none"/>
              </w:rPr>
            </w:pPr>
          </w:p>
        </w:tc>
      </w:tr>
      <w:tr w14:paraId="5064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 w:type="pct"/>
            <w:vMerge w:val="continue"/>
            <w:vAlign w:val="center"/>
          </w:tcPr>
          <w:p w14:paraId="2476D82E">
            <w:pPr>
              <w:snapToGrid w:val="0"/>
              <w:spacing w:line="276" w:lineRule="auto"/>
              <w:rPr>
                <w:rFonts w:hint="eastAsia" w:ascii="仿宋" w:hAnsi="仿宋" w:eastAsia="仿宋"/>
                <w:b/>
                <w:color w:val="auto"/>
                <w:sz w:val="21"/>
                <w:szCs w:val="21"/>
                <w:highlight w:val="none"/>
              </w:rPr>
            </w:pPr>
          </w:p>
        </w:tc>
        <w:tc>
          <w:tcPr>
            <w:tcW w:w="665" w:type="pct"/>
            <w:vMerge w:val="continue"/>
            <w:vAlign w:val="center"/>
          </w:tcPr>
          <w:p w14:paraId="5890D86E">
            <w:pPr>
              <w:snapToGrid w:val="0"/>
              <w:spacing w:line="276" w:lineRule="auto"/>
              <w:rPr>
                <w:rFonts w:hint="eastAsia" w:ascii="仿宋" w:hAnsi="仿宋" w:eastAsia="仿宋"/>
                <w:b/>
                <w:color w:val="auto"/>
                <w:sz w:val="21"/>
                <w:szCs w:val="21"/>
                <w:highlight w:val="none"/>
                <w:lang w:val="en-US" w:eastAsia="zh-CN"/>
              </w:rPr>
            </w:pPr>
          </w:p>
        </w:tc>
        <w:tc>
          <w:tcPr>
            <w:tcW w:w="3217" w:type="pct"/>
            <w:vAlign w:val="center"/>
          </w:tcPr>
          <w:p w14:paraId="12B080F9">
            <w:pPr>
              <w:snapToGrid w:val="0"/>
              <w:spacing w:line="276" w:lineRule="auto"/>
              <w:jc w:val="left"/>
              <w:rPr>
                <w:rFonts w:hint="default" w:ascii="仿宋" w:hAnsi="仿宋" w:eastAsia="仿宋" w:cs="宋体"/>
                <w:bCs/>
                <w:color w:val="auto"/>
                <w:sz w:val="21"/>
                <w:szCs w:val="21"/>
                <w:highlight w:val="none"/>
                <w:lang w:val="en-US" w:eastAsia="zh-CN"/>
              </w:rPr>
            </w:pPr>
            <w:r>
              <w:rPr>
                <w:rFonts w:hint="eastAsia" w:ascii="仿宋" w:hAnsi="仿宋" w:eastAsia="仿宋" w:cs="宋体"/>
                <w:bCs/>
                <w:color w:val="auto"/>
                <w:sz w:val="21"/>
                <w:szCs w:val="21"/>
                <w:highlight w:val="none"/>
                <w:lang w:val="en-US" w:eastAsia="zh-CN"/>
              </w:rPr>
              <w:t>其他会议服务：</w:t>
            </w:r>
            <w:r>
              <w:rPr>
                <w:rFonts w:hint="eastAsia" w:ascii="仿宋" w:hAnsi="仿宋" w:eastAsia="仿宋" w:cs="宋体"/>
                <w:color w:val="auto"/>
                <w:sz w:val="21"/>
                <w:szCs w:val="21"/>
                <w:highlight w:val="none"/>
                <w:lang w:val="zh-CN"/>
              </w:rPr>
              <w:t>①提供的</w:t>
            </w:r>
            <w:r>
              <w:rPr>
                <w:rFonts w:hint="eastAsia" w:ascii="仿宋" w:hAnsi="仿宋" w:eastAsia="仿宋" w:cs="宋体"/>
                <w:color w:val="auto"/>
                <w:sz w:val="21"/>
                <w:szCs w:val="21"/>
                <w:highlight w:val="none"/>
                <w:lang w:val="en-US" w:eastAsia="zh-CN"/>
              </w:rPr>
              <w:t>会务</w:t>
            </w:r>
            <w:r>
              <w:rPr>
                <w:rFonts w:hint="eastAsia" w:ascii="仿宋" w:hAnsi="仿宋" w:eastAsia="仿宋" w:cs="宋体"/>
                <w:color w:val="auto"/>
                <w:sz w:val="21"/>
                <w:szCs w:val="21"/>
                <w:highlight w:val="none"/>
                <w:lang w:val="zh-CN"/>
              </w:rPr>
              <w:t>服务内容是否满足采购需求，②有具体的工作流程及工作方案。根据提供的方案内容进行评分，方案科学、可靠且满足采购需求，每项得</w:t>
            </w:r>
            <w:r>
              <w:rPr>
                <w:rFonts w:hint="eastAsia" w:ascii="仿宋" w:hAnsi="仿宋" w:eastAsia="仿宋" w:cs="宋体"/>
                <w:color w:val="auto"/>
                <w:sz w:val="21"/>
                <w:szCs w:val="21"/>
                <w:highlight w:val="none"/>
                <w:lang w:val="en-US" w:eastAsia="zh-CN"/>
              </w:rPr>
              <w:t>2.5</w:t>
            </w:r>
            <w:r>
              <w:rPr>
                <w:rFonts w:hint="eastAsia" w:ascii="仿宋" w:hAnsi="仿宋" w:eastAsia="仿宋" w:cs="宋体"/>
                <w:color w:val="auto"/>
                <w:sz w:val="21"/>
                <w:szCs w:val="21"/>
                <w:highlight w:val="none"/>
                <w:lang w:val="zh-CN"/>
              </w:rPr>
              <w:t>分，内容</w:t>
            </w:r>
            <w:r>
              <w:rPr>
                <w:rFonts w:hint="eastAsia" w:ascii="仿宋" w:hAnsi="仿宋" w:eastAsia="仿宋" w:cs="宋体"/>
                <w:color w:val="auto"/>
                <w:sz w:val="21"/>
                <w:szCs w:val="21"/>
                <w:highlight w:val="none"/>
                <w:lang w:val="en-US" w:eastAsia="zh-CN"/>
              </w:rPr>
              <w:t>基本满足的得1.5分，</w:t>
            </w:r>
            <w:r>
              <w:rPr>
                <w:rFonts w:hint="eastAsia" w:ascii="仿宋" w:hAnsi="仿宋" w:eastAsia="仿宋" w:cs="宋体"/>
                <w:color w:val="auto"/>
                <w:sz w:val="21"/>
                <w:szCs w:val="21"/>
                <w:highlight w:val="none"/>
                <w:lang w:val="zh-CN"/>
              </w:rPr>
              <w:t>内容有所欠缺需完善的得</w:t>
            </w:r>
            <w:r>
              <w:rPr>
                <w:rFonts w:hint="eastAsia" w:ascii="仿宋" w:hAnsi="仿宋" w:eastAsia="仿宋" w:cs="宋体"/>
                <w:color w:val="auto"/>
                <w:sz w:val="21"/>
                <w:szCs w:val="21"/>
                <w:highlight w:val="none"/>
                <w:lang w:val="en-US" w:eastAsia="zh-CN"/>
              </w:rPr>
              <w:t>1</w:t>
            </w:r>
            <w:r>
              <w:rPr>
                <w:rFonts w:hint="eastAsia" w:ascii="仿宋" w:hAnsi="仿宋" w:eastAsia="仿宋" w:cs="宋体"/>
                <w:color w:val="auto"/>
                <w:sz w:val="21"/>
                <w:szCs w:val="21"/>
                <w:highlight w:val="none"/>
                <w:lang w:val="zh-CN"/>
              </w:rPr>
              <w:t>分，不满足不得分，</w:t>
            </w:r>
            <w:r>
              <w:rPr>
                <w:rFonts w:hint="eastAsia" w:ascii="仿宋" w:hAnsi="仿宋" w:eastAsia="仿宋" w:cs="宋体"/>
                <w:b/>
                <w:color w:val="auto"/>
                <w:sz w:val="21"/>
                <w:szCs w:val="21"/>
                <w:highlight w:val="none"/>
                <w:lang w:val="zh-CN"/>
              </w:rPr>
              <w:t>最高得</w:t>
            </w:r>
            <w:r>
              <w:rPr>
                <w:rFonts w:hint="eastAsia" w:ascii="仿宋" w:hAnsi="仿宋" w:eastAsia="仿宋" w:cs="宋体"/>
                <w:b/>
                <w:color w:val="auto"/>
                <w:sz w:val="21"/>
                <w:szCs w:val="21"/>
                <w:highlight w:val="none"/>
                <w:lang w:val="en-US" w:eastAsia="zh-CN"/>
              </w:rPr>
              <w:t>5</w:t>
            </w:r>
            <w:r>
              <w:rPr>
                <w:rFonts w:hint="eastAsia" w:ascii="仿宋" w:hAnsi="仿宋" w:eastAsia="仿宋" w:cs="宋体"/>
                <w:b/>
                <w:color w:val="auto"/>
                <w:sz w:val="21"/>
                <w:szCs w:val="21"/>
                <w:highlight w:val="none"/>
                <w:lang w:val="zh-CN"/>
              </w:rPr>
              <w:t>分。</w:t>
            </w:r>
          </w:p>
        </w:tc>
        <w:tc>
          <w:tcPr>
            <w:tcW w:w="435" w:type="pct"/>
            <w:vAlign w:val="center"/>
          </w:tcPr>
          <w:p w14:paraId="18A75BFC">
            <w:pPr>
              <w:snapToGrid w:val="0"/>
              <w:spacing w:line="276" w:lineRule="auto"/>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5</w:t>
            </w:r>
          </w:p>
        </w:tc>
        <w:tc>
          <w:tcPr>
            <w:tcW w:w="447" w:type="pct"/>
          </w:tcPr>
          <w:p w14:paraId="5A840198">
            <w:pPr>
              <w:snapToGrid w:val="0"/>
              <w:spacing w:line="276" w:lineRule="auto"/>
              <w:jc w:val="center"/>
              <w:rPr>
                <w:rFonts w:ascii="仿宋" w:hAnsi="仿宋" w:eastAsia="仿宋" w:cs="仿宋"/>
                <w:b/>
                <w:color w:val="auto"/>
                <w:sz w:val="21"/>
                <w:szCs w:val="21"/>
                <w:highlight w:val="none"/>
              </w:rPr>
            </w:pPr>
          </w:p>
        </w:tc>
      </w:tr>
      <w:tr w14:paraId="7FFD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 w:type="pct"/>
            <w:vAlign w:val="center"/>
          </w:tcPr>
          <w:p w14:paraId="4CAC0387">
            <w:pPr>
              <w:snapToGrid w:val="0"/>
              <w:spacing w:line="276" w:lineRule="auto"/>
              <w:rPr>
                <w:rFonts w:hint="eastAsia"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lang w:val="en-US" w:eastAsia="zh-CN"/>
              </w:rPr>
              <w:t>4</w:t>
            </w:r>
          </w:p>
        </w:tc>
        <w:tc>
          <w:tcPr>
            <w:tcW w:w="665" w:type="pct"/>
            <w:vAlign w:val="center"/>
          </w:tcPr>
          <w:p w14:paraId="4F059DA7">
            <w:pPr>
              <w:snapToGrid w:val="0"/>
              <w:spacing w:line="276" w:lineRule="auto"/>
              <w:rPr>
                <w:rFonts w:hint="eastAsia" w:ascii="仿宋" w:hAnsi="仿宋" w:eastAsia="仿宋"/>
                <w:b/>
                <w:color w:val="auto"/>
                <w:sz w:val="21"/>
                <w:szCs w:val="21"/>
                <w:highlight w:val="none"/>
              </w:rPr>
            </w:pPr>
            <w:r>
              <w:rPr>
                <w:rFonts w:hint="eastAsia" w:ascii="仿宋" w:hAnsi="仿宋" w:eastAsia="仿宋"/>
                <w:b/>
                <w:color w:val="auto"/>
                <w:sz w:val="21"/>
                <w:szCs w:val="21"/>
                <w:highlight w:val="none"/>
                <w:lang w:val="en-US" w:eastAsia="zh-CN"/>
              </w:rPr>
              <w:t>服务管理制度</w:t>
            </w:r>
          </w:p>
        </w:tc>
        <w:tc>
          <w:tcPr>
            <w:tcW w:w="3217" w:type="pct"/>
            <w:vAlign w:val="center"/>
          </w:tcPr>
          <w:p w14:paraId="2DC9EE2D">
            <w:pPr>
              <w:snapToGrid w:val="0"/>
              <w:spacing w:line="276" w:lineRule="auto"/>
              <w:jc w:val="left"/>
              <w:rPr>
                <w:rFonts w:hint="eastAsia" w:ascii="仿宋" w:hAnsi="仿宋" w:eastAsia="仿宋" w:cs="宋体"/>
                <w:bCs/>
                <w:color w:val="auto"/>
                <w:sz w:val="21"/>
                <w:szCs w:val="21"/>
                <w:highlight w:val="none"/>
                <w:lang w:val="zh-CN" w:eastAsia="zh-CN"/>
              </w:rPr>
            </w:pPr>
            <w:r>
              <w:rPr>
                <w:rFonts w:hint="eastAsia" w:ascii="仿宋" w:hAnsi="仿宋" w:eastAsia="仿宋" w:cs="宋体"/>
                <w:bCs/>
                <w:color w:val="auto"/>
                <w:sz w:val="21"/>
                <w:szCs w:val="21"/>
                <w:highlight w:val="none"/>
                <w:lang w:val="en-US" w:eastAsia="zh-CN"/>
              </w:rPr>
              <w:t>供应商的</w:t>
            </w:r>
            <w:r>
              <w:rPr>
                <w:rFonts w:hint="eastAsia" w:ascii="仿宋" w:hAnsi="仿宋" w:eastAsia="仿宋" w:cs="宋体"/>
                <w:bCs/>
                <w:color w:val="auto"/>
                <w:sz w:val="21"/>
                <w:szCs w:val="21"/>
                <w:highlight w:val="none"/>
                <w:lang w:val="zh-CN" w:eastAsia="zh-CN"/>
              </w:rPr>
              <w:t>①</w:t>
            </w:r>
            <w:r>
              <w:rPr>
                <w:rFonts w:hint="eastAsia" w:ascii="仿宋" w:hAnsi="仿宋" w:eastAsia="仿宋" w:cs="宋体"/>
                <w:bCs/>
                <w:color w:val="auto"/>
                <w:sz w:val="21"/>
                <w:szCs w:val="21"/>
                <w:highlight w:val="none"/>
                <w:lang w:val="en-US" w:eastAsia="zh-CN"/>
              </w:rPr>
              <w:t>会务服务管理制度、②质量管理、③档案管理等，是否健全、可行、现代化且满足采购需求，每项得3分；</w:t>
            </w:r>
            <w:r>
              <w:rPr>
                <w:rFonts w:hint="eastAsia" w:ascii="仿宋" w:hAnsi="仿宋" w:eastAsia="仿宋" w:cs="宋体"/>
                <w:bCs/>
                <w:color w:val="auto"/>
                <w:sz w:val="21"/>
                <w:szCs w:val="21"/>
                <w:highlight w:val="none"/>
                <w:lang w:val="zh-CN" w:eastAsia="zh-CN"/>
              </w:rPr>
              <w:t>内容</w:t>
            </w:r>
            <w:r>
              <w:rPr>
                <w:rFonts w:hint="eastAsia" w:ascii="仿宋" w:hAnsi="仿宋" w:eastAsia="仿宋" w:cs="宋体"/>
                <w:bCs/>
                <w:color w:val="auto"/>
                <w:sz w:val="21"/>
                <w:szCs w:val="21"/>
                <w:highlight w:val="none"/>
                <w:lang w:val="en-US" w:eastAsia="zh-CN"/>
              </w:rPr>
              <w:t>基本满足的得2分，内容有所欠缺需完善得1分，</w:t>
            </w:r>
            <w:r>
              <w:rPr>
                <w:rFonts w:hint="eastAsia" w:ascii="仿宋" w:hAnsi="仿宋" w:eastAsia="仿宋" w:cs="宋体"/>
                <w:bCs/>
                <w:color w:val="auto"/>
                <w:sz w:val="21"/>
                <w:szCs w:val="21"/>
                <w:highlight w:val="none"/>
                <w:lang w:val="zh-CN" w:eastAsia="zh-CN"/>
              </w:rPr>
              <w:t>不满足不得分，</w:t>
            </w:r>
            <w:r>
              <w:rPr>
                <w:rFonts w:hint="eastAsia" w:ascii="仿宋" w:hAnsi="仿宋" w:eastAsia="仿宋" w:cs="宋体"/>
                <w:b/>
                <w:bCs w:val="0"/>
                <w:color w:val="auto"/>
                <w:sz w:val="21"/>
                <w:szCs w:val="21"/>
                <w:highlight w:val="none"/>
                <w:lang w:val="zh-CN" w:eastAsia="zh-CN"/>
              </w:rPr>
              <w:t>最高得</w:t>
            </w:r>
            <w:r>
              <w:rPr>
                <w:rFonts w:hint="eastAsia" w:ascii="仿宋" w:hAnsi="仿宋" w:eastAsia="仿宋" w:cs="宋体"/>
                <w:b/>
                <w:bCs w:val="0"/>
                <w:color w:val="auto"/>
                <w:sz w:val="21"/>
                <w:szCs w:val="21"/>
                <w:highlight w:val="none"/>
                <w:lang w:val="en-US" w:eastAsia="zh-CN"/>
              </w:rPr>
              <w:t>9</w:t>
            </w:r>
            <w:r>
              <w:rPr>
                <w:rFonts w:hint="eastAsia" w:ascii="仿宋" w:hAnsi="仿宋" w:eastAsia="仿宋" w:cs="宋体"/>
                <w:b/>
                <w:bCs w:val="0"/>
                <w:color w:val="auto"/>
                <w:sz w:val="21"/>
                <w:szCs w:val="21"/>
                <w:highlight w:val="none"/>
                <w:lang w:val="zh-CN" w:eastAsia="zh-CN"/>
              </w:rPr>
              <w:t>分。</w:t>
            </w:r>
          </w:p>
        </w:tc>
        <w:tc>
          <w:tcPr>
            <w:tcW w:w="435" w:type="pct"/>
            <w:vAlign w:val="center"/>
          </w:tcPr>
          <w:p w14:paraId="2BBCD6AC">
            <w:pPr>
              <w:snapToGrid w:val="0"/>
              <w:spacing w:line="276" w:lineRule="auto"/>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9</w:t>
            </w:r>
          </w:p>
        </w:tc>
        <w:tc>
          <w:tcPr>
            <w:tcW w:w="447" w:type="pct"/>
          </w:tcPr>
          <w:p w14:paraId="0AA8F283">
            <w:pPr>
              <w:snapToGrid w:val="0"/>
              <w:spacing w:line="276" w:lineRule="auto"/>
              <w:jc w:val="center"/>
              <w:rPr>
                <w:rFonts w:ascii="仿宋" w:hAnsi="仿宋" w:eastAsia="仿宋" w:cs="仿宋"/>
                <w:b/>
                <w:color w:val="auto"/>
                <w:sz w:val="21"/>
                <w:szCs w:val="21"/>
                <w:highlight w:val="none"/>
              </w:rPr>
            </w:pPr>
          </w:p>
        </w:tc>
      </w:tr>
      <w:tr w14:paraId="5FBF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 w:type="pct"/>
            <w:vAlign w:val="center"/>
          </w:tcPr>
          <w:p w14:paraId="172CDF4B">
            <w:pPr>
              <w:snapToGrid w:val="0"/>
              <w:spacing w:line="276" w:lineRule="auto"/>
              <w:rPr>
                <w:rFonts w:hint="eastAsia"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lang w:val="en-US" w:eastAsia="zh-CN"/>
              </w:rPr>
              <w:t>5</w:t>
            </w:r>
          </w:p>
        </w:tc>
        <w:tc>
          <w:tcPr>
            <w:tcW w:w="665" w:type="pct"/>
            <w:vAlign w:val="center"/>
          </w:tcPr>
          <w:p w14:paraId="1C6093CA">
            <w:pPr>
              <w:snapToGrid w:val="0"/>
              <w:spacing w:line="276" w:lineRule="auto"/>
              <w:rPr>
                <w:rFonts w:hint="default"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lang w:val="en-US" w:eastAsia="zh-CN"/>
              </w:rPr>
              <w:t>音响设备管理方案</w:t>
            </w:r>
          </w:p>
        </w:tc>
        <w:tc>
          <w:tcPr>
            <w:tcW w:w="3217" w:type="pct"/>
            <w:vAlign w:val="center"/>
          </w:tcPr>
          <w:p w14:paraId="230782B8">
            <w:pPr>
              <w:snapToGrid w:val="0"/>
              <w:spacing w:line="276" w:lineRule="auto"/>
              <w:jc w:val="left"/>
              <w:rPr>
                <w:rFonts w:hint="eastAsia" w:ascii="仿宋" w:hAnsi="仿宋" w:eastAsia="仿宋" w:cs="宋体"/>
                <w:bCs/>
                <w:color w:val="auto"/>
                <w:sz w:val="21"/>
                <w:szCs w:val="21"/>
                <w:highlight w:val="none"/>
                <w:lang w:val="en-US" w:eastAsia="zh-CN"/>
              </w:rPr>
            </w:pPr>
            <w:r>
              <w:rPr>
                <w:rFonts w:hint="eastAsia" w:ascii="仿宋" w:hAnsi="仿宋" w:eastAsia="仿宋" w:cs="宋体"/>
                <w:bCs/>
                <w:color w:val="auto"/>
                <w:sz w:val="21"/>
                <w:szCs w:val="21"/>
                <w:highlight w:val="none"/>
                <w:lang w:val="en-US" w:eastAsia="zh-CN"/>
              </w:rPr>
              <w:t>供应商的</w:t>
            </w:r>
            <w:r>
              <w:rPr>
                <w:rFonts w:hint="eastAsia" w:ascii="仿宋" w:hAnsi="仿宋" w:eastAsia="仿宋" w:cs="宋体"/>
                <w:bCs/>
                <w:color w:val="auto"/>
                <w:sz w:val="21"/>
                <w:szCs w:val="21"/>
                <w:highlight w:val="none"/>
                <w:lang w:val="zh-CN" w:eastAsia="zh-CN"/>
              </w:rPr>
              <w:t>①</w:t>
            </w:r>
            <w:r>
              <w:rPr>
                <w:rFonts w:hint="eastAsia" w:ascii="仿宋" w:hAnsi="仿宋" w:eastAsia="仿宋" w:cs="宋体"/>
                <w:bCs/>
                <w:color w:val="auto"/>
                <w:sz w:val="21"/>
                <w:szCs w:val="21"/>
                <w:highlight w:val="none"/>
                <w:lang w:val="en-US" w:eastAsia="zh-CN"/>
              </w:rPr>
              <w:t>音响设备管理及维护方案，是否健全、可行、且满足采购需求，每项得3分；</w:t>
            </w:r>
            <w:r>
              <w:rPr>
                <w:rFonts w:hint="eastAsia" w:ascii="仿宋" w:hAnsi="仿宋" w:eastAsia="仿宋" w:cs="宋体"/>
                <w:bCs/>
                <w:color w:val="auto"/>
                <w:sz w:val="21"/>
                <w:szCs w:val="21"/>
                <w:highlight w:val="none"/>
                <w:lang w:val="zh-CN" w:eastAsia="zh-CN"/>
              </w:rPr>
              <w:t>内容</w:t>
            </w:r>
            <w:r>
              <w:rPr>
                <w:rFonts w:hint="eastAsia" w:ascii="仿宋" w:hAnsi="仿宋" w:eastAsia="仿宋" w:cs="宋体"/>
                <w:bCs/>
                <w:color w:val="auto"/>
                <w:sz w:val="21"/>
                <w:szCs w:val="21"/>
                <w:highlight w:val="none"/>
                <w:lang w:val="en-US" w:eastAsia="zh-CN"/>
              </w:rPr>
              <w:t>基本满足的得2分，内容有所欠缺需完善得1分，</w:t>
            </w:r>
            <w:r>
              <w:rPr>
                <w:rFonts w:hint="eastAsia" w:ascii="仿宋" w:hAnsi="仿宋" w:eastAsia="仿宋" w:cs="宋体"/>
                <w:bCs/>
                <w:color w:val="auto"/>
                <w:sz w:val="21"/>
                <w:szCs w:val="21"/>
                <w:highlight w:val="none"/>
                <w:lang w:val="zh-CN" w:eastAsia="zh-CN"/>
              </w:rPr>
              <w:t>不满足不得分，</w:t>
            </w:r>
            <w:r>
              <w:rPr>
                <w:rFonts w:hint="eastAsia" w:ascii="仿宋" w:hAnsi="仿宋" w:eastAsia="仿宋" w:cs="宋体"/>
                <w:b/>
                <w:bCs w:val="0"/>
                <w:color w:val="auto"/>
                <w:sz w:val="21"/>
                <w:szCs w:val="21"/>
                <w:highlight w:val="none"/>
                <w:lang w:val="zh-CN" w:eastAsia="zh-CN"/>
              </w:rPr>
              <w:t>最高得</w:t>
            </w:r>
            <w:r>
              <w:rPr>
                <w:rFonts w:hint="eastAsia" w:ascii="仿宋" w:hAnsi="仿宋" w:eastAsia="仿宋" w:cs="宋体"/>
                <w:b/>
                <w:bCs w:val="0"/>
                <w:color w:val="auto"/>
                <w:sz w:val="21"/>
                <w:szCs w:val="21"/>
                <w:highlight w:val="none"/>
                <w:lang w:val="en-US" w:eastAsia="zh-CN"/>
              </w:rPr>
              <w:t>3</w:t>
            </w:r>
            <w:r>
              <w:rPr>
                <w:rFonts w:hint="eastAsia" w:ascii="仿宋" w:hAnsi="仿宋" w:eastAsia="仿宋" w:cs="宋体"/>
                <w:b/>
                <w:bCs w:val="0"/>
                <w:color w:val="auto"/>
                <w:sz w:val="21"/>
                <w:szCs w:val="21"/>
                <w:highlight w:val="none"/>
                <w:lang w:val="zh-CN" w:eastAsia="zh-CN"/>
              </w:rPr>
              <w:t>分。</w:t>
            </w:r>
          </w:p>
        </w:tc>
        <w:tc>
          <w:tcPr>
            <w:tcW w:w="435" w:type="pct"/>
            <w:vAlign w:val="center"/>
          </w:tcPr>
          <w:p w14:paraId="7D4E7D73">
            <w:pPr>
              <w:snapToGrid w:val="0"/>
              <w:spacing w:line="276" w:lineRule="auto"/>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3</w:t>
            </w:r>
          </w:p>
        </w:tc>
        <w:tc>
          <w:tcPr>
            <w:tcW w:w="447" w:type="pct"/>
          </w:tcPr>
          <w:p w14:paraId="0D8EF6E2">
            <w:pPr>
              <w:snapToGrid w:val="0"/>
              <w:spacing w:line="276" w:lineRule="auto"/>
              <w:jc w:val="center"/>
              <w:rPr>
                <w:rFonts w:ascii="仿宋" w:hAnsi="仿宋" w:eastAsia="仿宋" w:cs="仿宋"/>
                <w:b/>
                <w:color w:val="auto"/>
                <w:sz w:val="21"/>
                <w:szCs w:val="21"/>
                <w:highlight w:val="none"/>
              </w:rPr>
            </w:pPr>
          </w:p>
        </w:tc>
      </w:tr>
      <w:tr w14:paraId="5959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 w:type="pct"/>
            <w:vAlign w:val="center"/>
          </w:tcPr>
          <w:p w14:paraId="6E8471F1">
            <w:pPr>
              <w:snapToGrid w:val="0"/>
              <w:spacing w:line="276" w:lineRule="auto"/>
              <w:rPr>
                <w:rFonts w:hint="eastAsia"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lang w:val="en-US" w:eastAsia="zh-CN"/>
              </w:rPr>
              <w:t>6</w:t>
            </w:r>
          </w:p>
        </w:tc>
        <w:tc>
          <w:tcPr>
            <w:tcW w:w="665" w:type="pct"/>
            <w:vAlign w:val="center"/>
          </w:tcPr>
          <w:p w14:paraId="2004FCA2">
            <w:pPr>
              <w:snapToGrid w:val="0"/>
              <w:spacing w:line="276" w:lineRule="auto"/>
              <w:rPr>
                <w:rFonts w:hint="eastAsia"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lang w:val="en-US" w:eastAsia="zh-CN"/>
              </w:rPr>
              <w:t>保密措施方案</w:t>
            </w:r>
          </w:p>
          <w:p w14:paraId="1818F82F">
            <w:pPr>
              <w:snapToGrid w:val="0"/>
              <w:spacing w:line="276" w:lineRule="auto"/>
              <w:rPr>
                <w:rFonts w:hint="eastAsia" w:ascii="仿宋" w:hAnsi="仿宋" w:eastAsia="仿宋"/>
                <w:b/>
                <w:color w:val="auto"/>
                <w:sz w:val="21"/>
                <w:szCs w:val="21"/>
                <w:highlight w:val="none"/>
                <w:lang w:val="en-US" w:eastAsia="zh-CN"/>
              </w:rPr>
            </w:pPr>
          </w:p>
        </w:tc>
        <w:tc>
          <w:tcPr>
            <w:tcW w:w="3217" w:type="pct"/>
            <w:vAlign w:val="center"/>
          </w:tcPr>
          <w:p w14:paraId="4E4D7646">
            <w:pPr>
              <w:snapToGrid w:val="0"/>
              <w:spacing w:line="276" w:lineRule="auto"/>
              <w:jc w:val="left"/>
              <w:rPr>
                <w:rFonts w:hint="eastAsia" w:ascii="仿宋" w:hAnsi="仿宋" w:eastAsia="仿宋" w:cs="宋体"/>
                <w:bCs/>
                <w:color w:val="auto"/>
                <w:sz w:val="21"/>
                <w:szCs w:val="21"/>
                <w:highlight w:val="none"/>
                <w:lang w:val="en-US" w:eastAsia="zh-CN"/>
              </w:rPr>
            </w:pPr>
            <w:r>
              <w:rPr>
                <w:rFonts w:hint="eastAsia" w:ascii="仿宋" w:hAnsi="仿宋" w:eastAsia="仿宋" w:cs="宋体"/>
                <w:bCs/>
                <w:color w:val="auto"/>
                <w:sz w:val="21"/>
                <w:szCs w:val="21"/>
                <w:highlight w:val="none"/>
                <w:lang w:val="en-US" w:eastAsia="zh-CN"/>
              </w:rPr>
              <w:t>供应商的</w:t>
            </w:r>
            <w:r>
              <w:rPr>
                <w:rFonts w:hint="eastAsia" w:ascii="仿宋" w:hAnsi="仿宋" w:eastAsia="仿宋" w:cs="宋体"/>
                <w:bCs/>
                <w:color w:val="auto"/>
                <w:sz w:val="21"/>
                <w:szCs w:val="21"/>
                <w:highlight w:val="none"/>
                <w:lang w:val="zh-CN" w:eastAsia="zh-CN"/>
              </w:rPr>
              <w:t>①</w:t>
            </w:r>
            <w:r>
              <w:rPr>
                <w:rFonts w:hint="eastAsia" w:ascii="仿宋" w:hAnsi="仿宋" w:eastAsia="仿宋" w:cs="宋体"/>
                <w:bCs/>
                <w:color w:val="auto"/>
                <w:sz w:val="21"/>
                <w:szCs w:val="21"/>
                <w:highlight w:val="none"/>
                <w:lang w:val="en-US" w:eastAsia="zh-CN"/>
              </w:rPr>
              <w:t>保密制度建设、②人员的保密培训、③管理、④保密协议约定等内容提出具体的实施方案，</w:t>
            </w:r>
            <w:r>
              <w:rPr>
                <w:rFonts w:hint="eastAsia" w:ascii="仿宋" w:hAnsi="仿宋" w:eastAsia="仿宋" w:cs="宋体"/>
                <w:bCs/>
                <w:color w:val="auto"/>
                <w:sz w:val="21"/>
                <w:szCs w:val="21"/>
                <w:highlight w:val="none"/>
              </w:rPr>
              <w:t>方案科学、可行且满足采购需求</w:t>
            </w:r>
            <w:r>
              <w:rPr>
                <w:rFonts w:hint="eastAsia" w:ascii="仿宋" w:hAnsi="仿宋" w:eastAsia="仿宋" w:cs="宋体"/>
                <w:bCs/>
                <w:color w:val="auto"/>
                <w:sz w:val="21"/>
                <w:szCs w:val="21"/>
                <w:highlight w:val="none"/>
                <w:lang w:eastAsia="zh-CN"/>
              </w:rPr>
              <w:t>，</w:t>
            </w:r>
            <w:r>
              <w:rPr>
                <w:rFonts w:hint="eastAsia" w:ascii="仿宋" w:hAnsi="仿宋" w:eastAsia="仿宋" w:cs="宋体"/>
                <w:bCs/>
                <w:color w:val="auto"/>
                <w:sz w:val="21"/>
                <w:szCs w:val="21"/>
                <w:highlight w:val="none"/>
                <w:lang w:val="en-US" w:eastAsia="zh-CN"/>
              </w:rPr>
              <w:t>每项得2分</w:t>
            </w:r>
            <w:r>
              <w:rPr>
                <w:rFonts w:hint="eastAsia" w:ascii="仿宋" w:hAnsi="仿宋" w:eastAsia="仿宋" w:cs="宋体"/>
                <w:bCs/>
                <w:color w:val="auto"/>
                <w:sz w:val="21"/>
                <w:szCs w:val="21"/>
                <w:highlight w:val="none"/>
                <w:lang w:eastAsia="zh-CN"/>
              </w:rPr>
              <w:t>；</w:t>
            </w:r>
            <w:r>
              <w:rPr>
                <w:rFonts w:hint="eastAsia" w:ascii="仿宋" w:hAnsi="仿宋" w:eastAsia="仿宋" w:cs="宋体"/>
                <w:bCs/>
                <w:color w:val="auto"/>
                <w:sz w:val="21"/>
                <w:szCs w:val="21"/>
                <w:highlight w:val="none"/>
                <w:lang w:val="zh-CN"/>
              </w:rPr>
              <w:t>内容</w:t>
            </w:r>
            <w:r>
              <w:rPr>
                <w:rFonts w:hint="eastAsia" w:ascii="仿宋" w:hAnsi="仿宋" w:eastAsia="仿宋" w:cs="宋体"/>
                <w:bCs/>
                <w:color w:val="auto"/>
                <w:sz w:val="21"/>
                <w:szCs w:val="21"/>
                <w:highlight w:val="none"/>
                <w:lang w:val="en-US" w:eastAsia="zh-CN"/>
              </w:rPr>
              <w:t>基本满足的得1分，</w:t>
            </w:r>
            <w:r>
              <w:rPr>
                <w:rFonts w:hint="eastAsia" w:ascii="仿宋" w:hAnsi="仿宋" w:eastAsia="仿宋" w:cs="宋体"/>
                <w:bCs/>
                <w:color w:val="auto"/>
                <w:sz w:val="21"/>
                <w:szCs w:val="21"/>
                <w:highlight w:val="none"/>
              </w:rPr>
              <w:t>内容有所欠缺需完善得</w:t>
            </w:r>
            <w:r>
              <w:rPr>
                <w:rFonts w:hint="eastAsia" w:ascii="仿宋" w:hAnsi="仿宋" w:eastAsia="仿宋" w:cs="宋体"/>
                <w:bCs/>
                <w:color w:val="auto"/>
                <w:sz w:val="21"/>
                <w:szCs w:val="21"/>
                <w:highlight w:val="none"/>
                <w:lang w:val="en-US" w:eastAsia="zh-CN"/>
              </w:rPr>
              <w:t>0.5</w:t>
            </w:r>
            <w:r>
              <w:rPr>
                <w:rFonts w:hint="eastAsia" w:ascii="仿宋" w:hAnsi="仿宋" w:eastAsia="仿宋" w:cs="宋体"/>
                <w:bCs/>
                <w:color w:val="auto"/>
                <w:sz w:val="21"/>
                <w:szCs w:val="21"/>
                <w:highlight w:val="none"/>
              </w:rPr>
              <w:t>分，</w:t>
            </w:r>
            <w:r>
              <w:rPr>
                <w:rFonts w:hint="eastAsia" w:ascii="仿宋" w:hAnsi="仿宋" w:eastAsia="仿宋" w:cs="宋体"/>
                <w:bCs/>
                <w:color w:val="auto"/>
                <w:sz w:val="21"/>
                <w:szCs w:val="21"/>
                <w:highlight w:val="none"/>
                <w:lang w:val="zh-CN"/>
              </w:rPr>
              <w:t>不满足不得分</w:t>
            </w:r>
            <w:r>
              <w:rPr>
                <w:rFonts w:hint="eastAsia" w:ascii="仿宋" w:hAnsi="仿宋" w:eastAsia="仿宋" w:cs="宋体"/>
                <w:color w:val="auto"/>
                <w:sz w:val="21"/>
                <w:szCs w:val="21"/>
                <w:highlight w:val="none"/>
                <w:lang w:val="zh-CN"/>
              </w:rPr>
              <w:t>，</w:t>
            </w:r>
            <w:r>
              <w:rPr>
                <w:rFonts w:hint="eastAsia" w:ascii="仿宋" w:hAnsi="仿宋" w:eastAsia="仿宋" w:cs="宋体"/>
                <w:b/>
                <w:color w:val="auto"/>
                <w:sz w:val="21"/>
                <w:szCs w:val="21"/>
                <w:highlight w:val="none"/>
                <w:lang w:val="zh-CN"/>
              </w:rPr>
              <w:t>最高得</w:t>
            </w:r>
            <w:r>
              <w:rPr>
                <w:rFonts w:hint="eastAsia" w:ascii="仿宋" w:hAnsi="仿宋" w:eastAsia="仿宋" w:cs="宋体"/>
                <w:b/>
                <w:color w:val="auto"/>
                <w:sz w:val="21"/>
                <w:szCs w:val="21"/>
                <w:highlight w:val="none"/>
                <w:lang w:val="en-US" w:eastAsia="zh-CN"/>
              </w:rPr>
              <w:t>8</w:t>
            </w:r>
            <w:r>
              <w:rPr>
                <w:rFonts w:hint="eastAsia" w:ascii="仿宋" w:hAnsi="仿宋" w:eastAsia="仿宋" w:cs="宋体"/>
                <w:b/>
                <w:color w:val="auto"/>
                <w:sz w:val="21"/>
                <w:szCs w:val="21"/>
                <w:highlight w:val="none"/>
                <w:lang w:val="zh-CN"/>
              </w:rPr>
              <w:t>分</w:t>
            </w:r>
            <w:r>
              <w:rPr>
                <w:rFonts w:hint="eastAsia" w:ascii="仿宋" w:hAnsi="仿宋" w:eastAsia="仿宋" w:cs="仿宋"/>
                <w:color w:val="auto"/>
                <w:sz w:val="21"/>
                <w:szCs w:val="21"/>
                <w:highlight w:val="none"/>
                <w:lang w:val="en-US" w:eastAsia="zh-CN"/>
              </w:rPr>
              <w:t>。</w:t>
            </w:r>
          </w:p>
        </w:tc>
        <w:tc>
          <w:tcPr>
            <w:tcW w:w="435" w:type="pct"/>
            <w:vAlign w:val="center"/>
          </w:tcPr>
          <w:p w14:paraId="37CAD8A4">
            <w:pPr>
              <w:snapToGrid w:val="0"/>
              <w:spacing w:line="276" w:lineRule="auto"/>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8</w:t>
            </w:r>
          </w:p>
        </w:tc>
        <w:tc>
          <w:tcPr>
            <w:tcW w:w="447" w:type="pct"/>
          </w:tcPr>
          <w:p w14:paraId="75317037">
            <w:pPr>
              <w:snapToGrid w:val="0"/>
              <w:spacing w:line="276" w:lineRule="auto"/>
              <w:jc w:val="center"/>
              <w:rPr>
                <w:rFonts w:ascii="仿宋" w:hAnsi="仿宋" w:eastAsia="仿宋" w:cs="仿宋"/>
                <w:b/>
                <w:color w:val="auto"/>
                <w:sz w:val="21"/>
                <w:szCs w:val="21"/>
                <w:highlight w:val="none"/>
              </w:rPr>
            </w:pPr>
          </w:p>
        </w:tc>
      </w:tr>
      <w:tr w14:paraId="70AD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34" w:type="pct"/>
            <w:vAlign w:val="center"/>
          </w:tcPr>
          <w:p w14:paraId="5597128C">
            <w:pPr>
              <w:snapToGrid w:val="0"/>
              <w:spacing w:line="276"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7</w:t>
            </w:r>
          </w:p>
        </w:tc>
        <w:tc>
          <w:tcPr>
            <w:tcW w:w="665" w:type="pct"/>
            <w:vAlign w:val="center"/>
          </w:tcPr>
          <w:p w14:paraId="224208E6">
            <w:pPr>
              <w:snapToGrid w:val="0"/>
              <w:spacing w:line="276" w:lineRule="auto"/>
              <w:rPr>
                <w:rFonts w:hint="eastAsia" w:ascii="仿宋" w:hAnsi="仿宋" w:eastAsia="仿宋" w:cs="宋体"/>
                <w:bCs/>
                <w:color w:val="auto"/>
                <w:sz w:val="21"/>
                <w:szCs w:val="21"/>
                <w:highlight w:val="none"/>
                <w:lang w:eastAsia="zh-CN"/>
              </w:rPr>
            </w:pPr>
            <w:r>
              <w:rPr>
                <w:rFonts w:hint="eastAsia" w:ascii="仿宋" w:hAnsi="仿宋" w:eastAsia="仿宋" w:cs="仿宋"/>
                <w:b/>
                <w:bCs/>
                <w:color w:val="auto"/>
                <w:sz w:val="21"/>
                <w:szCs w:val="21"/>
                <w:highlight w:val="none"/>
              </w:rPr>
              <w:t>应急保障能力</w:t>
            </w:r>
          </w:p>
        </w:tc>
        <w:tc>
          <w:tcPr>
            <w:tcW w:w="3217" w:type="pct"/>
            <w:vAlign w:val="center"/>
          </w:tcPr>
          <w:p w14:paraId="2B754419">
            <w:pPr>
              <w:snapToGrid w:val="0"/>
              <w:spacing w:line="276" w:lineRule="auto"/>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服务保障时，针对特殊接待任务及超负荷会议保障等应急服务要求的</w:t>
            </w:r>
            <w:r>
              <w:rPr>
                <w:rFonts w:hint="eastAsia" w:ascii="仿宋" w:hAnsi="仿宋" w:eastAsia="仿宋" w:cs="宋体"/>
                <w:bCs/>
                <w:color w:val="auto"/>
                <w:sz w:val="21"/>
                <w:szCs w:val="21"/>
                <w:highlight w:val="none"/>
                <w:lang w:eastAsia="zh-CN"/>
              </w:rPr>
              <w:t>方案内容</w:t>
            </w:r>
            <w:r>
              <w:rPr>
                <w:rFonts w:hint="eastAsia" w:ascii="仿宋" w:hAnsi="仿宋" w:eastAsia="仿宋" w:cs="宋体"/>
                <w:bCs/>
                <w:color w:val="auto"/>
                <w:sz w:val="21"/>
                <w:szCs w:val="21"/>
                <w:highlight w:val="none"/>
                <w:lang w:val="en-US" w:eastAsia="zh-CN"/>
              </w:rPr>
              <w:t>完善、</w:t>
            </w:r>
            <w:r>
              <w:rPr>
                <w:rFonts w:hint="eastAsia" w:ascii="仿宋" w:hAnsi="仿宋" w:eastAsia="仿宋" w:cs="宋体"/>
                <w:bCs/>
                <w:color w:val="auto"/>
                <w:sz w:val="21"/>
                <w:szCs w:val="21"/>
                <w:highlight w:val="none"/>
              </w:rPr>
              <w:t>科学、可行且满足采购需求</w:t>
            </w:r>
            <w:r>
              <w:rPr>
                <w:rFonts w:hint="eastAsia" w:ascii="仿宋" w:hAnsi="仿宋" w:eastAsia="仿宋" w:cs="宋体"/>
                <w:bCs/>
                <w:color w:val="auto"/>
                <w:sz w:val="21"/>
                <w:szCs w:val="21"/>
                <w:highlight w:val="none"/>
                <w:lang w:eastAsia="zh-CN"/>
              </w:rPr>
              <w:t>，</w:t>
            </w:r>
            <w:r>
              <w:rPr>
                <w:rFonts w:hint="eastAsia" w:ascii="仿宋" w:hAnsi="仿宋" w:eastAsia="仿宋" w:cs="宋体"/>
                <w:bCs/>
                <w:color w:val="auto"/>
                <w:sz w:val="21"/>
                <w:szCs w:val="21"/>
                <w:highlight w:val="none"/>
                <w:lang w:val="en-US" w:eastAsia="zh-CN"/>
              </w:rPr>
              <w:t>得5分</w:t>
            </w:r>
            <w:r>
              <w:rPr>
                <w:rFonts w:hint="eastAsia" w:ascii="仿宋" w:hAnsi="仿宋" w:eastAsia="仿宋" w:cs="宋体"/>
                <w:bCs/>
                <w:color w:val="auto"/>
                <w:sz w:val="21"/>
                <w:szCs w:val="21"/>
                <w:highlight w:val="none"/>
                <w:lang w:eastAsia="zh-CN"/>
              </w:rPr>
              <w:t>；</w:t>
            </w:r>
            <w:r>
              <w:rPr>
                <w:rFonts w:hint="eastAsia" w:ascii="仿宋" w:hAnsi="仿宋" w:eastAsia="仿宋" w:cs="宋体"/>
                <w:bCs/>
                <w:color w:val="auto"/>
                <w:sz w:val="21"/>
                <w:szCs w:val="21"/>
                <w:highlight w:val="none"/>
                <w:lang w:val="zh-CN"/>
              </w:rPr>
              <w:t>内容</w:t>
            </w:r>
            <w:r>
              <w:rPr>
                <w:rFonts w:hint="eastAsia" w:ascii="仿宋" w:hAnsi="仿宋" w:eastAsia="仿宋" w:cs="宋体"/>
                <w:bCs/>
                <w:color w:val="auto"/>
                <w:sz w:val="21"/>
                <w:szCs w:val="21"/>
                <w:highlight w:val="none"/>
                <w:lang w:val="en-US" w:eastAsia="zh-CN"/>
              </w:rPr>
              <w:t>基本满足的得3分，</w:t>
            </w:r>
            <w:r>
              <w:rPr>
                <w:rFonts w:hint="eastAsia" w:ascii="仿宋" w:hAnsi="仿宋" w:eastAsia="仿宋" w:cs="宋体"/>
                <w:bCs/>
                <w:color w:val="auto"/>
                <w:sz w:val="21"/>
                <w:szCs w:val="21"/>
                <w:highlight w:val="none"/>
              </w:rPr>
              <w:t>内容有所欠缺需完善得</w:t>
            </w:r>
            <w:r>
              <w:rPr>
                <w:rFonts w:hint="eastAsia" w:ascii="仿宋" w:hAnsi="仿宋" w:eastAsia="仿宋" w:cs="宋体"/>
                <w:bCs/>
                <w:color w:val="auto"/>
                <w:sz w:val="21"/>
                <w:szCs w:val="21"/>
                <w:highlight w:val="none"/>
                <w:lang w:val="en-US" w:eastAsia="zh-CN"/>
              </w:rPr>
              <w:t>1</w:t>
            </w:r>
            <w:r>
              <w:rPr>
                <w:rFonts w:hint="eastAsia" w:ascii="仿宋" w:hAnsi="仿宋" w:eastAsia="仿宋" w:cs="宋体"/>
                <w:bCs/>
                <w:color w:val="auto"/>
                <w:sz w:val="21"/>
                <w:szCs w:val="21"/>
                <w:highlight w:val="none"/>
              </w:rPr>
              <w:t>分，</w:t>
            </w:r>
            <w:r>
              <w:rPr>
                <w:rFonts w:hint="eastAsia" w:ascii="仿宋" w:hAnsi="仿宋" w:eastAsia="仿宋" w:cs="宋体"/>
                <w:bCs/>
                <w:color w:val="auto"/>
                <w:sz w:val="21"/>
                <w:szCs w:val="21"/>
                <w:highlight w:val="none"/>
                <w:lang w:val="zh-CN"/>
              </w:rPr>
              <w:t>不满足不得分</w:t>
            </w:r>
            <w:r>
              <w:rPr>
                <w:rFonts w:hint="eastAsia" w:ascii="仿宋" w:hAnsi="仿宋" w:eastAsia="仿宋" w:cs="宋体"/>
                <w:color w:val="auto"/>
                <w:sz w:val="21"/>
                <w:szCs w:val="21"/>
                <w:highlight w:val="none"/>
                <w:lang w:val="zh-CN"/>
              </w:rPr>
              <w:t>，</w:t>
            </w:r>
            <w:r>
              <w:rPr>
                <w:rFonts w:hint="eastAsia" w:ascii="仿宋" w:hAnsi="仿宋" w:eastAsia="仿宋" w:cs="宋体"/>
                <w:b/>
                <w:color w:val="auto"/>
                <w:sz w:val="21"/>
                <w:szCs w:val="21"/>
                <w:highlight w:val="none"/>
                <w:lang w:val="zh-CN"/>
              </w:rPr>
              <w:t>最高得</w:t>
            </w:r>
            <w:r>
              <w:rPr>
                <w:rFonts w:hint="eastAsia" w:ascii="仿宋" w:hAnsi="仿宋" w:eastAsia="仿宋" w:cs="宋体"/>
                <w:b/>
                <w:color w:val="auto"/>
                <w:sz w:val="21"/>
                <w:szCs w:val="21"/>
                <w:highlight w:val="none"/>
                <w:lang w:val="en-US" w:eastAsia="zh-CN"/>
              </w:rPr>
              <w:t>5分</w:t>
            </w:r>
            <w:r>
              <w:rPr>
                <w:rFonts w:hint="eastAsia" w:ascii="仿宋" w:hAnsi="仿宋" w:eastAsia="仿宋" w:cs="仿宋"/>
                <w:color w:val="auto"/>
                <w:sz w:val="21"/>
                <w:szCs w:val="21"/>
                <w:highlight w:val="none"/>
                <w:lang w:val="en-US" w:eastAsia="zh-CN"/>
              </w:rPr>
              <w:t>。</w:t>
            </w:r>
          </w:p>
        </w:tc>
        <w:tc>
          <w:tcPr>
            <w:tcW w:w="435" w:type="pct"/>
            <w:vAlign w:val="center"/>
          </w:tcPr>
          <w:p w14:paraId="4444C0AC">
            <w:pPr>
              <w:snapToGrid w:val="0"/>
              <w:spacing w:line="276" w:lineRule="auto"/>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5</w:t>
            </w:r>
          </w:p>
        </w:tc>
        <w:tc>
          <w:tcPr>
            <w:tcW w:w="447" w:type="pct"/>
          </w:tcPr>
          <w:p w14:paraId="3935382C">
            <w:pPr>
              <w:snapToGrid w:val="0"/>
              <w:spacing w:line="276" w:lineRule="auto"/>
              <w:jc w:val="center"/>
              <w:rPr>
                <w:rFonts w:ascii="仿宋" w:hAnsi="仿宋" w:eastAsia="仿宋" w:cs="仿宋"/>
                <w:b/>
                <w:color w:val="auto"/>
                <w:sz w:val="21"/>
                <w:szCs w:val="21"/>
                <w:highlight w:val="none"/>
              </w:rPr>
            </w:pPr>
          </w:p>
        </w:tc>
      </w:tr>
      <w:tr w14:paraId="50DB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34" w:type="pct"/>
            <w:vMerge w:val="restart"/>
            <w:vAlign w:val="center"/>
          </w:tcPr>
          <w:p w14:paraId="4FB10BDE">
            <w:pPr>
              <w:snapToGrid w:val="0"/>
              <w:spacing w:line="276"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665" w:type="pct"/>
            <w:vMerge w:val="restart"/>
            <w:vAlign w:val="center"/>
          </w:tcPr>
          <w:p w14:paraId="5FF18EAA">
            <w:pPr>
              <w:snapToGrid w:val="0"/>
              <w:spacing w:line="276" w:lineRule="auto"/>
              <w:rPr>
                <w:rFonts w:ascii="仿宋" w:hAnsi="仿宋" w:eastAsia="仿宋" w:cs="宋体"/>
                <w:b/>
                <w:bCs/>
                <w:color w:val="auto"/>
                <w:sz w:val="21"/>
                <w:szCs w:val="21"/>
                <w:highlight w:val="none"/>
                <w:lang w:val="zh-CN"/>
              </w:rPr>
            </w:pPr>
            <w:r>
              <w:rPr>
                <w:rFonts w:hint="eastAsia" w:ascii="仿宋" w:hAnsi="仿宋" w:eastAsia="仿宋" w:cs="宋体"/>
                <w:b/>
                <w:bCs/>
                <w:color w:val="auto"/>
                <w:sz w:val="21"/>
                <w:szCs w:val="21"/>
                <w:highlight w:val="none"/>
                <w:lang w:val="zh-CN"/>
              </w:rPr>
              <w:t>项目组人员情况</w:t>
            </w:r>
          </w:p>
          <w:p w14:paraId="1144C0DE">
            <w:pPr>
              <w:snapToGrid w:val="0"/>
              <w:spacing w:line="276" w:lineRule="auto"/>
              <w:rPr>
                <w:rFonts w:ascii="仿宋" w:hAnsi="仿宋" w:eastAsia="仿宋" w:cs="宋体"/>
                <w:b/>
                <w:bCs/>
                <w:color w:val="auto"/>
                <w:sz w:val="21"/>
                <w:szCs w:val="21"/>
                <w:highlight w:val="none"/>
              </w:rPr>
            </w:pPr>
          </w:p>
        </w:tc>
        <w:tc>
          <w:tcPr>
            <w:tcW w:w="3217" w:type="pct"/>
            <w:vAlign w:val="center"/>
          </w:tcPr>
          <w:p w14:paraId="36BE025B">
            <w:pPr>
              <w:pStyle w:val="25"/>
              <w:spacing w:line="276" w:lineRule="auto"/>
              <w:ind w:left="0" w:leftChars="0" w:firstLine="0" w:firstLineChars="0"/>
              <w:rPr>
                <w:rFonts w:hint="default" w:ascii="仿宋" w:hAnsi="仿宋" w:eastAsia="仿宋" w:cs="宋体"/>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人员配备数量满足采购文件要求的得5分</w:t>
            </w:r>
          </w:p>
        </w:tc>
        <w:tc>
          <w:tcPr>
            <w:tcW w:w="435" w:type="pct"/>
            <w:vAlign w:val="center"/>
          </w:tcPr>
          <w:p w14:paraId="68A65764">
            <w:pPr>
              <w:snapToGrid w:val="0"/>
              <w:spacing w:line="276" w:lineRule="auto"/>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5</w:t>
            </w:r>
          </w:p>
        </w:tc>
        <w:tc>
          <w:tcPr>
            <w:tcW w:w="447" w:type="pct"/>
          </w:tcPr>
          <w:p w14:paraId="12775248">
            <w:pPr>
              <w:snapToGrid w:val="0"/>
              <w:spacing w:line="276" w:lineRule="auto"/>
              <w:jc w:val="center"/>
              <w:rPr>
                <w:rFonts w:ascii="仿宋" w:hAnsi="仿宋" w:eastAsia="仿宋" w:cs="仿宋"/>
                <w:b/>
                <w:color w:val="auto"/>
                <w:sz w:val="21"/>
                <w:szCs w:val="21"/>
                <w:highlight w:val="none"/>
              </w:rPr>
            </w:pPr>
          </w:p>
        </w:tc>
      </w:tr>
      <w:tr w14:paraId="143C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34" w:type="pct"/>
            <w:vMerge w:val="continue"/>
            <w:vAlign w:val="center"/>
          </w:tcPr>
          <w:p w14:paraId="16E51BC3">
            <w:pPr>
              <w:snapToGrid w:val="0"/>
              <w:spacing w:line="276" w:lineRule="auto"/>
              <w:jc w:val="center"/>
              <w:rPr>
                <w:rFonts w:hint="eastAsia" w:ascii="仿宋" w:hAnsi="仿宋" w:eastAsia="仿宋" w:cs="仿宋"/>
                <w:color w:val="auto"/>
                <w:sz w:val="21"/>
                <w:szCs w:val="21"/>
                <w:highlight w:val="none"/>
              </w:rPr>
            </w:pPr>
          </w:p>
        </w:tc>
        <w:tc>
          <w:tcPr>
            <w:tcW w:w="665" w:type="pct"/>
            <w:vMerge w:val="continue"/>
            <w:vAlign w:val="center"/>
          </w:tcPr>
          <w:p w14:paraId="1D2C55AC">
            <w:pPr>
              <w:snapToGrid w:val="0"/>
              <w:spacing w:line="276" w:lineRule="auto"/>
              <w:rPr>
                <w:rFonts w:ascii="仿宋" w:hAnsi="仿宋" w:eastAsia="仿宋" w:cs="宋体"/>
                <w:b/>
                <w:bCs/>
                <w:color w:val="auto"/>
                <w:sz w:val="21"/>
                <w:szCs w:val="21"/>
                <w:highlight w:val="none"/>
              </w:rPr>
            </w:pPr>
          </w:p>
        </w:tc>
        <w:tc>
          <w:tcPr>
            <w:tcW w:w="3217" w:type="pct"/>
            <w:vAlign w:val="center"/>
          </w:tcPr>
          <w:p w14:paraId="399B4C0E">
            <w:pPr>
              <w:pStyle w:val="25"/>
              <w:spacing w:line="276" w:lineRule="auto"/>
              <w:ind w:left="0" w:leftChars="0" w:firstLine="0" w:firstLineChars="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拟担任项目负责人情况：</w:t>
            </w:r>
            <w:r>
              <w:rPr>
                <w:rFonts w:hint="eastAsia" w:ascii="仿宋" w:hAnsi="仿宋" w:eastAsia="仿宋" w:cs="仿宋"/>
                <w:bCs/>
                <w:color w:val="auto"/>
                <w:sz w:val="21"/>
                <w:szCs w:val="21"/>
                <w:highlight w:val="none"/>
                <w:lang w:val="en-US" w:eastAsia="zh-CN"/>
              </w:rPr>
              <w:t>有担任类似会务服务管理主管工作岗位5年以上工作经历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满足的</w:t>
            </w:r>
            <w:r>
              <w:rPr>
                <w:rFonts w:hint="eastAsia" w:ascii="仿宋" w:hAnsi="仿宋" w:eastAsia="仿宋" w:cs="仿宋"/>
                <w:b/>
                <w:bCs/>
                <w:color w:val="auto"/>
                <w:sz w:val="21"/>
                <w:szCs w:val="21"/>
                <w:highlight w:val="none"/>
              </w:rPr>
              <w:t>得</w:t>
            </w:r>
            <w:r>
              <w:rPr>
                <w:rFonts w:ascii="仿宋" w:hAnsi="仿宋" w:eastAsia="仿宋" w:cs="仿宋"/>
                <w:b/>
                <w:bCs/>
                <w:color w:val="auto"/>
                <w:sz w:val="21"/>
                <w:szCs w:val="21"/>
                <w:highlight w:val="none"/>
              </w:rPr>
              <w:t>3</w:t>
            </w:r>
            <w:r>
              <w:rPr>
                <w:rFonts w:hint="eastAsia" w:ascii="仿宋" w:hAnsi="仿宋" w:eastAsia="仿宋" w:cs="仿宋"/>
                <w:b/>
                <w:bCs/>
                <w:color w:val="auto"/>
                <w:sz w:val="21"/>
                <w:szCs w:val="21"/>
                <w:highlight w:val="none"/>
              </w:rPr>
              <w:t>分</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否则不得分</w:t>
            </w:r>
            <w:r>
              <w:rPr>
                <w:rFonts w:hint="eastAsia" w:ascii="仿宋" w:hAnsi="仿宋" w:eastAsia="仿宋" w:cs="仿宋"/>
                <w:bCs/>
                <w:color w:val="auto"/>
                <w:sz w:val="21"/>
                <w:szCs w:val="21"/>
                <w:highlight w:val="none"/>
              </w:rPr>
              <w:t>。</w:t>
            </w:r>
          </w:p>
        </w:tc>
        <w:tc>
          <w:tcPr>
            <w:tcW w:w="435" w:type="pct"/>
            <w:vAlign w:val="center"/>
          </w:tcPr>
          <w:p w14:paraId="2AC9DDAA">
            <w:pPr>
              <w:snapToGrid w:val="0"/>
              <w:spacing w:line="276" w:lineRule="auto"/>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3</w:t>
            </w:r>
          </w:p>
        </w:tc>
        <w:tc>
          <w:tcPr>
            <w:tcW w:w="447" w:type="pct"/>
          </w:tcPr>
          <w:p w14:paraId="520F2B1D">
            <w:pPr>
              <w:snapToGrid w:val="0"/>
              <w:spacing w:line="276" w:lineRule="auto"/>
              <w:jc w:val="center"/>
              <w:rPr>
                <w:rFonts w:ascii="仿宋" w:hAnsi="仿宋" w:eastAsia="仿宋" w:cs="仿宋"/>
                <w:b/>
                <w:color w:val="auto"/>
                <w:sz w:val="21"/>
                <w:szCs w:val="21"/>
                <w:highlight w:val="none"/>
              </w:rPr>
            </w:pPr>
          </w:p>
        </w:tc>
      </w:tr>
      <w:tr w14:paraId="158C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4" w:type="pct"/>
            <w:vMerge w:val="continue"/>
            <w:vAlign w:val="center"/>
          </w:tcPr>
          <w:p w14:paraId="73875E43">
            <w:pPr>
              <w:snapToGrid w:val="0"/>
              <w:spacing w:line="276" w:lineRule="auto"/>
              <w:jc w:val="center"/>
              <w:rPr>
                <w:rFonts w:hint="eastAsia" w:ascii="仿宋" w:hAnsi="仿宋" w:eastAsia="仿宋" w:cs="仿宋"/>
                <w:color w:val="auto"/>
                <w:sz w:val="21"/>
                <w:szCs w:val="21"/>
                <w:highlight w:val="none"/>
              </w:rPr>
            </w:pPr>
          </w:p>
        </w:tc>
        <w:tc>
          <w:tcPr>
            <w:tcW w:w="665" w:type="pct"/>
            <w:vMerge w:val="continue"/>
            <w:vAlign w:val="center"/>
          </w:tcPr>
          <w:p w14:paraId="1BE0B3D5">
            <w:pPr>
              <w:snapToGrid w:val="0"/>
              <w:spacing w:line="276" w:lineRule="auto"/>
              <w:rPr>
                <w:rFonts w:ascii="仿宋" w:hAnsi="仿宋" w:eastAsia="仿宋" w:cs="宋体"/>
                <w:b/>
                <w:bCs/>
                <w:color w:val="auto"/>
                <w:sz w:val="21"/>
                <w:szCs w:val="21"/>
                <w:highlight w:val="none"/>
              </w:rPr>
            </w:pPr>
          </w:p>
        </w:tc>
        <w:tc>
          <w:tcPr>
            <w:tcW w:w="3217" w:type="pct"/>
            <w:vAlign w:val="center"/>
          </w:tcPr>
          <w:p w14:paraId="63195E17">
            <w:pPr>
              <w:pStyle w:val="25"/>
              <w:spacing w:line="276" w:lineRule="auto"/>
              <w:ind w:left="0" w:leftChars="0" w:firstLine="0" w:firstLineChars="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管理人员：不少于3名管理人员，有3年以上相关工作经验，年龄45周岁以下</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满足的</w:t>
            </w:r>
            <w:r>
              <w:rPr>
                <w:rFonts w:hint="eastAsia" w:ascii="仿宋" w:hAnsi="仿宋" w:eastAsia="仿宋" w:cs="仿宋"/>
                <w:b/>
                <w:bCs/>
                <w:color w:val="auto"/>
                <w:sz w:val="21"/>
                <w:szCs w:val="21"/>
                <w:highlight w:val="none"/>
              </w:rPr>
              <w:t>得</w:t>
            </w:r>
            <w:r>
              <w:rPr>
                <w:rFonts w:ascii="仿宋" w:hAnsi="仿宋" w:eastAsia="仿宋" w:cs="仿宋"/>
                <w:b/>
                <w:bCs/>
                <w:color w:val="auto"/>
                <w:sz w:val="21"/>
                <w:szCs w:val="21"/>
                <w:highlight w:val="none"/>
              </w:rPr>
              <w:t>3</w:t>
            </w:r>
            <w:r>
              <w:rPr>
                <w:rFonts w:hint="eastAsia" w:ascii="仿宋" w:hAnsi="仿宋" w:eastAsia="仿宋" w:cs="仿宋"/>
                <w:b/>
                <w:bCs/>
                <w:color w:val="auto"/>
                <w:sz w:val="21"/>
                <w:szCs w:val="21"/>
                <w:highlight w:val="none"/>
              </w:rPr>
              <w:t>分</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否则不得分</w:t>
            </w:r>
            <w:r>
              <w:rPr>
                <w:rFonts w:hint="eastAsia" w:ascii="仿宋" w:hAnsi="仿宋" w:eastAsia="仿宋" w:cs="仿宋"/>
                <w:bCs/>
                <w:color w:val="auto"/>
                <w:sz w:val="21"/>
                <w:szCs w:val="21"/>
                <w:highlight w:val="none"/>
              </w:rPr>
              <w:t>。</w:t>
            </w:r>
          </w:p>
        </w:tc>
        <w:tc>
          <w:tcPr>
            <w:tcW w:w="435" w:type="pct"/>
            <w:vAlign w:val="center"/>
          </w:tcPr>
          <w:p w14:paraId="7370A2D2">
            <w:pPr>
              <w:snapToGrid w:val="0"/>
              <w:spacing w:line="276" w:lineRule="auto"/>
              <w:jc w:val="center"/>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3</w:t>
            </w:r>
          </w:p>
        </w:tc>
        <w:tc>
          <w:tcPr>
            <w:tcW w:w="447" w:type="pct"/>
          </w:tcPr>
          <w:p w14:paraId="5B76E599">
            <w:pPr>
              <w:snapToGrid w:val="0"/>
              <w:spacing w:line="276" w:lineRule="auto"/>
              <w:jc w:val="center"/>
              <w:rPr>
                <w:rFonts w:ascii="仿宋" w:hAnsi="仿宋" w:eastAsia="仿宋" w:cs="仿宋"/>
                <w:b/>
                <w:color w:val="auto"/>
                <w:sz w:val="21"/>
                <w:szCs w:val="21"/>
                <w:highlight w:val="none"/>
              </w:rPr>
            </w:pPr>
          </w:p>
        </w:tc>
      </w:tr>
      <w:tr w14:paraId="4671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34" w:type="pct"/>
            <w:vMerge w:val="continue"/>
            <w:vAlign w:val="center"/>
          </w:tcPr>
          <w:p w14:paraId="66E244F0">
            <w:pPr>
              <w:snapToGrid w:val="0"/>
              <w:spacing w:line="276" w:lineRule="auto"/>
              <w:jc w:val="center"/>
              <w:rPr>
                <w:rFonts w:hint="eastAsia" w:ascii="仿宋" w:hAnsi="仿宋" w:eastAsia="仿宋" w:cs="仿宋"/>
                <w:color w:val="auto"/>
                <w:sz w:val="21"/>
                <w:szCs w:val="21"/>
                <w:highlight w:val="none"/>
              </w:rPr>
            </w:pPr>
          </w:p>
        </w:tc>
        <w:tc>
          <w:tcPr>
            <w:tcW w:w="665" w:type="pct"/>
            <w:vMerge w:val="continue"/>
            <w:vAlign w:val="center"/>
          </w:tcPr>
          <w:p w14:paraId="790BFC48">
            <w:pPr>
              <w:snapToGrid w:val="0"/>
              <w:spacing w:line="276" w:lineRule="auto"/>
              <w:rPr>
                <w:rFonts w:ascii="仿宋" w:hAnsi="仿宋" w:eastAsia="仿宋" w:cs="宋体"/>
                <w:b/>
                <w:bCs/>
                <w:color w:val="auto"/>
                <w:sz w:val="21"/>
                <w:szCs w:val="21"/>
                <w:highlight w:val="none"/>
              </w:rPr>
            </w:pPr>
          </w:p>
        </w:tc>
        <w:tc>
          <w:tcPr>
            <w:tcW w:w="3217" w:type="pct"/>
            <w:vAlign w:val="center"/>
          </w:tcPr>
          <w:p w14:paraId="3E71E52B">
            <w:pPr>
              <w:keepNext w:val="0"/>
              <w:keepLines w:val="0"/>
              <w:suppressLineNumbers w:val="0"/>
              <w:spacing w:before="0" w:beforeAutospacing="0" w:after="0" w:afterAutospacing="0"/>
              <w:ind w:left="0" w:leftChars="0"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音响调音员：不少于17人，48周岁以下男性，高中及以上文化程度，</w:t>
            </w:r>
            <w:r>
              <w:rPr>
                <w:rFonts w:hint="eastAsia" w:ascii="仿宋" w:hAnsi="仿宋" w:eastAsia="仿宋" w:cs="仿宋"/>
                <w:bCs/>
                <w:color w:val="auto"/>
                <w:sz w:val="21"/>
                <w:szCs w:val="21"/>
                <w:highlight w:val="none"/>
                <w:lang w:val="en-US" w:eastAsia="zh-CN"/>
              </w:rPr>
              <w:t>满足的</w:t>
            </w:r>
            <w:r>
              <w:rPr>
                <w:rFonts w:hint="eastAsia" w:ascii="仿宋" w:hAnsi="仿宋" w:eastAsia="仿宋" w:cs="仿宋"/>
                <w:b/>
                <w:bCs/>
                <w:color w:val="auto"/>
                <w:sz w:val="21"/>
                <w:szCs w:val="21"/>
                <w:highlight w:val="none"/>
              </w:rPr>
              <w:t>得</w:t>
            </w:r>
            <w:r>
              <w:rPr>
                <w:rFonts w:ascii="仿宋" w:hAnsi="仿宋" w:eastAsia="仿宋" w:cs="仿宋"/>
                <w:b/>
                <w:bCs/>
                <w:color w:val="auto"/>
                <w:sz w:val="21"/>
                <w:szCs w:val="21"/>
                <w:highlight w:val="none"/>
              </w:rPr>
              <w:t>3</w:t>
            </w:r>
            <w:r>
              <w:rPr>
                <w:rFonts w:hint="eastAsia" w:ascii="仿宋" w:hAnsi="仿宋" w:eastAsia="仿宋" w:cs="仿宋"/>
                <w:b/>
                <w:bCs/>
                <w:color w:val="auto"/>
                <w:sz w:val="21"/>
                <w:szCs w:val="21"/>
                <w:highlight w:val="none"/>
              </w:rPr>
              <w:t>分</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否则不得分</w:t>
            </w:r>
            <w:r>
              <w:rPr>
                <w:rFonts w:hint="eastAsia" w:ascii="仿宋" w:hAnsi="仿宋" w:eastAsia="仿宋" w:cs="仿宋"/>
                <w:bCs/>
                <w:color w:val="auto"/>
                <w:kern w:val="2"/>
                <w:sz w:val="21"/>
                <w:szCs w:val="21"/>
                <w:highlight w:val="none"/>
                <w:lang w:val="en-US" w:eastAsia="zh-CN" w:bidi="ar-SA"/>
              </w:rPr>
              <w:t>（需提供人员身份证、学历证书及上岗证书）</w:t>
            </w:r>
          </w:p>
        </w:tc>
        <w:tc>
          <w:tcPr>
            <w:tcW w:w="435" w:type="pct"/>
            <w:vAlign w:val="center"/>
          </w:tcPr>
          <w:p w14:paraId="05D490D2">
            <w:pPr>
              <w:snapToGrid w:val="0"/>
              <w:spacing w:line="276" w:lineRule="auto"/>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3</w:t>
            </w:r>
          </w:p>
        </w:tc>
        <w:tc>
          <w:tcPr>
            <w:tcW w:w="447" w:type="pct"/>
          </w:tcPr>
          <w:p w14:paraId="63B1D176">
            <w:pPr>
              <w:snapToGrid w:val="0"/>
              <w:spacing w:line="276" w:lineRule="auto"/>
              <w:jc w:val="center"/>
              <w:rPr>
                <w:rFonts w:ascii="仿宋" w:hAnsi="仿宋" w:eastAsia="仿宋" w:cs="仿宋"/>
                <w:b/>
                <w:color w:val="auto"/>
                <w:sz w:val="21"/>
                <w:szCs w:val="21"/>
                <w:highlight w:val="none"/>
              </w:rPr>
            </w:pPr>
          </w:p>
        </w:tc>
      </w:tr>
      <w:tr w14:paraId="2275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 w:type="pct"/>
            <w:vAlign w:val="center"/>
          </w:tcPr>
          <w:p w14:paraId="3EE7232C">
            <w:pPr>
              <w:snapToGrid w:val="0"/>
              <w:spacing w:line="276"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9</w:t>
            </w:r>
          </w:p>
        </w:tc>
        <w:tc>
          <w:tcPr>
            <w:tcW w:w="665" w:type="pct"/>
            <w:vAlign w:val="center"/>
          </w:tcPr>
          <w:p w14:paraId="29D7B8FE">
            <w:pPr>
              <w:snapToGrid w:val="0"/>
              <w:spacing w:line="276" w:lineRule="auto"/>
              <w:rPr>
                <w:rFonts w:ascii="仿宋" w:hAnsi="仿宋" w:eastAsia="仿宋" w:cs="宋体"/>
                <w:b/>
                <w:bCs/>
                <w:color w:val="auto"/>
                <w:sz w:val="21"/>
                <w:szCs w:val="21"/>
                <w:highlight w:val="none"/>
                <w:lang w:val="zh-CN"/>
              </w:rPr>
            </w:pPr>
            <w:r>
              <w:rPr>
                <w:rFonts w:hint="eastAsia" w:ascii="仿宋" w:hAnsi="仿宋" w:eastAsia="仿宋" w:cs="宋体"/>
                <w:b/>
                <w:bCs/>
                <w:color w:val="auto"/>
                <w:sz w:val="21"/>
                <w:szCs w:val="21"/>
                <w:highlight w:val="none"/>
                <w:lang w:val="zh-CN"/>
              </w:rPr>
              <w:t>培训</w:t>
            </w:r>
          </w:p>
          <w:p w14:paraId="6938D417">
            <w:pPr>
              <w:snapToGrid w:val="0"/>
              <w:spacing w:line="276" w:lineRule="auto"/>
              <w:rPr>
                <w:rFonts w:ascii="仿宋" w:hAnsi="仿宋" w:eastAsia="仿宋" w:cs="仿宋"/>
                <w:b/>
                <w:color w:val="auto"/>
                <w:sz w:val="21"/>
                <w:szCs w:val="21"/>
                <w:highlight w:val="none"/>
                <w:lang w:val="zh-CN"/>
              </w:rPr>
            </w:pPr>
          </w:p>
        </w:tc>
        <w:tc>
          <w:tcPr>
            <w:tcW w:w="3217" w:type="pct"/>
            <w:vAlign w:val="center"/>
          </w:tcPr>
          <w:p w14:paraId="350B56E8">
            <w:pPr>
              <w:snapToGrid w:val="0"/>
              <w:spacing w:line="276" w:lineRule="auto"/>
              <w:rPr>
                <w:rFonts w:ascii="仿宋" w:hAnsi="仿宋" w:eastAsia="仿宋"/>
                <w:color w:val="auto"/>
                <w:sz w:val="21"/>
                <w:szCs w:val="21"/>
                <w:highlight w:val="none"/>
              </w:rPr>
            </w:pPr>
            <w:r>
              <w:rPr>
                <w:rFonts w:hint="eastAsia" w:ascii="仿宋" w:hAnsi="仿宋" w:eastAsia="仿宋" w:cs="仿宋"/>
                <w:color w:val="auto"/>
                <w:sz w:val="21"/>
                <w:szCs w:val="21"/>
                <w:highlight w:val="none"/>
              </w:rPr>
              <w:t>供应商具有合理的服务人员岗位培训计划，培训的内容包括法律法规、操作流程、服务标准、岗位技能、专业知识等。根据提供的方案内容进行评分：方案科学、合理、内容完整且满足采购需求的，得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宋体"/>
                <w:bCs/>
                <w:color w:val="auto"/>
                <w:sz w:val="21"/>
                <w:szCs w:val="21"/>
                <w:highlight w:val="none"/>
                <w:lang w:val="zh-CN" w:eastAsia="zh-CN"/>
              </w:rPr>
              <w:t>内容</w:t>
            </w:r>
            <w:r>
              <w:rPr>
                <w:rFonts w:hint="eastAsia" w:ascii="仿宋" w:hAnsi="仿宋" w:eastAsia="仿宋" w:cs="宋体"/>
                <w:bCs/>
                <w:color w:val="auto"/>
                <w:sz w:val="21"/>
                <w:szCs w:val="21"/>
                <w:highlight w:val="none"/>
                <w:lang w:val="en-US" w:eastAsia="zh-CN"/>
              </w:rPr>
              <w:t>基本满足的，得2分，</w:t>
            </w:r>
            <w:r>
              <w:rPr>
                <w:rFonts w:hint="eastAsia" w:ascii="仿宋" w:hAnsi="仿宋" w:eastAsia="仿宋" w:cs="宋体"/>
                <w:color w:val="auto"/>
                <w:sz w:val="21"/>
                <w:szCs w:val="21"/>
                <w:highlight w:val="none"/>
                <w:lang w:val="zh-CN"/>
              </w:rPr>
              <w:t>方案内容有所欠缺需完善</w:t>
            </w:r>
            <w:r>
              <w:rPr>
                <w:rFonts w:hint="eastAsia" w:ascii="仿宋" w:hAnsi="仿宋" w:eastAsia="仿宋" w:cs="仿宋"/>
                <w:color w:val="auto"/>
                <w:sz w:val="21"/>
                <w:szCs w:val="21"/>
                <w:highlight w:val="none"/>
              </w:rPr>
              <w:t>的，得1分，</w:t>
            </w:r>
            <w:r>
              <w:rPr>
                <w:rFonts w:hint="eastAsia" w:ascii="仿宋" w:hAnsi="仿宋" w:eastAsia="仿宋" w:cs="宋体"/>
                <w:color w:val="auto"/>
                <w:sz w:val="21"/>
                <w:szCs w:val="21"/>
                <w:highlight w:val="none"/>
                <w:lang w:val="zh-CN"/>
              </w:rPr>
              <w:t>未提供或不合理的不得分</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最高得</w:t>
            </w: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分。</w:t>
            </w:r>
          </w:p>
        </w:tc>
        <w:tc>
          <w:tcPr>
            <w:tcW w:w="435" w:type="pct"/>
            <w:vAlign w:val="center"/>
          </w:tcPr>
          <w:p w14:paraId="1CFB4095">
            <w:pPr>
              <w:snapToGrid w:val="0"/>
              <w:spacing w:line="276" w:lineRule="auto"/>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3</w:t>
            </w:r>
          </w:p>
        </w:tc>
        <w:tc>
          <w:tcPr>
            <w:tcW w:w="447" w:type="pct"/>
          </w:tcPr>
          <w:p w14:paraId="2B88AD42">
            <w:pPr>
              <w:snapToGrid w:val="0"/>
              <w:spacing w:line="276" w:lineRule="auto"/>
              <w:jc w:val="center"/>
              <w:rPr>
                <w:rFonts w:ascii="仿宋" w:hAnsi="仿宋" w:eastAsia="仿宋" w:cs="仿宋"/>
                <w:b/>
                <w:color w:val="auto"/>
                <w:sz w:val="21"/>
                <w:szCs w:val="21"/>
                <w:highlight w:val="none"/>
              </w:rPr>
            </w:pPr>
          </w:p>
        </w:tc>
      </w:tr>
      <w:tr w14:paraId="553B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 w:type="pct"/>
            <w:vAlign w:val="center"/>
          </w:tcPr>
          <w:p w14:paraId="1AE79698">
            <w:pPr>
              <w:snapToGrid w:val="0"/>
              <w:spacing w:line="276"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665" w:type="pct"/>
            <w:vAlign w:val="center"/>
          </w:tcPr>
          <w:p w14:paraId="372CEEF0">
            <w:pPr>
              <w:snapToGrid w:val="0"/>
              <w:spacing w:line="276" w:lineRule="auto"/>
              <w:rPr>
                <w:rFonts w:ascii="仿宋" w:hAnsi="仿宋" w:eastAsia="仿宋" w:cs="仿宋"/>
                <w:b/>
                <w:color w:val="auto"/>
                <w:sz w:val="21"/>
                <w:szCs w:val="21"/>
                <w:highlight w:val="none"/>
                <w:lang w:val="zh-CN"/>
              </w:rPr>
            </w:pPr>
            <w:r>
              <w:rPr>
                <w:rFonts w:hint="eastAsia" w:ascii="仿宋" w:hAnsi="仿宋" w:eastAsia="仿宋" w:cs="仿宋"/>
                <w:b/>
                <w:bCs/>
                <w:color w:val="auto"/>
                <w:sz w:val="21"/>
                <w:szCs w:val="21"/>
                <w:highlight w:val="none"/>
                <w:lang w:val="en-US" w:eastAsia="zh-CN"/>
              </w:rPr>
              <w:t>供应商承诺</w:t>
            </w:r>
          </w:p>
        </w:tc>
        <w:tc>
          <w:tcPr>
            <w:tcW w:w="3217" w:type="pct"/>
            <w:vAlign w:val="center"/>
          </w:tcPr>
          <w:p w14:paraId="220734A8">
            <w:pPr>
              <w:snapToGrid w:val="0"/>
              <w:spacing w:line="276"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供应商承诺（格式由供应商自拟）：</w:t>
            </w:r>
          </w:p>
          <w:p w14:paraId="6770AE02">
            <w:pPr>
              <w:snapToGrid w:val="0"/>
              <w:spacing w:line="276" w:lineRule="auto"/>
              <w:ind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en-US"/>
              </w:rPr>
              <w:t>供应商出具</w:t>
            </w:r>
            <w:r>
              <w:rPr>
                <w:rFonts w:hint="eastAsia" w:ascii="仿宋" w:hAnsi="仿宋" w:eastAsia="仿宋" w:cs="仿宋"/>
                <w:color w:val="auto"/>
                <w:sz w:val="21"/>
                <w:szCs w:val="21"/>
                <w:highlight w:val="none"/>
                <w:lang w:val="en-US" w:eastAsia="zh-CN"/>
              </w:rPr>
              <w:t>“如会议服务有特殊任务，供应商务必配备相应数量及专业的服务人员以满足会议服务的正常需要”</w:t>
            </w:r>
            <w:r>
              <w:rPr>
                <w:rFonts w:hint="eastAsia" w:ascii="仿宋" w:hAnsi="仿宋" w:eastAsia="仿宋" w:cs="仿宋"/>
                <w:color w:val="auto"/>
                <w:sz w:val="21"/>
                <w:szCs w:val="21"/>
                <w:highlight w:val="none"/>
                <w:lang w:val="en-US" w:eastAsia="en-US"/>
              </w:rPr>
              <w:t>的承诺</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lang w:val="en-US" w:eastAsia="en-US"/>
              </w:rPr>
              <w:t>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lang w:val="en-US" w:eastAsia="en-US"/>
              </w:rPr>
              <w:t>分</w:t>
            </w:r>
            <w:r>
              <w:rPr>
                <w:rFonts w:hint="eastAsia" w:ascii="仿宋" w:hAnsi="仿宋" w:eastAsia="仿宋" w:cs="仿宋"/>
                <w:color w:val="auto"/>
                <w:sz w:val="21"/>
                <w:szCs w:val="21"/>
                <w:highlight w:val="none"/>
                <w:lang w:val="en-US" w:eastAsia="zh-CN"/>
              </w:rPr>
              <w:t>；否则不得分。</w:t>
            </w:r>
          </w:p>
          <w:p w14:paraId="7958C7C6">
            <w:pPr>
              <w:snapToGrid w:val="0"/>
              <w:spacing w:line="276" w:lineRule="auto"/>
              <w:ind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eastAsia="en-US"/>
              </w:rPr>
              <w:t>供应商出具</w:t>
            </w:r>
            <w:r>
              <w:rPr>
                <w:rFonts w:hint="eastAsia" w:ascii="仿宋" w:hAnsi="仿宋" w:eastAsia="仿宋" w:cs="仿宋"/>
                <w:color w:val="auto"/>
                <w:sz w:val="21"/>
                <w:szCs w:val="21"/>
                <w:highlight w:val="none"/>
                <w:lang w:val="en-US" w:eastAsia="zh-CN"/>
              </w:rPr>
              <w:t>“会议服务保密承诺书”，</w:t>
            </w:r>
            <w:r>
              <w:rPr>
                <w:rFonts w:hint="eastAsia" w:ascii="仿宋" w:hAnsi="仿宋" w:eastAsia="仿宋" w:cs="仿宋"/>
                <w:color w:val="auto"/>
                <w:sz w:val="21"/>
                <w:szCs w:val="21"/>
                <w:highlight w:val="none"/>
                <w:lang w:val="en-US" w:eastAsia="en-US"/>
              </w:rPr>
              <w:t>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lang w:val="en-US" w:eastAsia="en-US"/>
              </w:rPr>
              <w:t>分</w:t>
            </w:r>
            <w:r>
              <w:rPr>
                <w:rFonts w:hint="eastAsia" w:ascii="仿宋" w:hAnsi="仿宋" w:eastAsia="仿宋" w:cs="仿宋"/>
                <w:color w:val="auto"/>
                <w:sz w:val="21"/>
                <w:szCs w:val="21"/>
                <w:highlight w:val="none"/>
                <w:lang w:val="en-US" w:eastAsia="zh-CN"/>
              </w:rPr>
              <w:t>；否则不得分。</w:t>
            </w:r>
          </w:p>
          <w:p w14:paraId="64C150E0">
            <w:pPr>
              <w:snapToGrid w:val="0"/>
              <w:spacing w:line="276" w:lineRule="auto"/>
              <w:ind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US" w:eastAsia="en-US"/>
              </w:rPr>
              <w:t>供应商出具</w:t>
            </w:r>
            <w:r>
              <w:rPr>
                <w:rFonts w:hint="eastAsia" w:ascii="仿宋" w:hAnsi="仿宋" w:eastAsia="仿宋" w:cs="仿宋"/>
                <w:color w:val="auto"/>
                <w:sz w:val="21"/>
                <w:szCs w:val="21"/>
                <w:highlight w:val="none"/>
                <w:lang w:val="en-US" w:eastAsia="zh-CN"/>
              </w:rPr>
              <w:t>“所有人员的驻场工作地点须服从采购人的分配，并满足项目的整体服务要求”，</w:t>
            </w:r>
            <w:r>
              <w:rPr>
                <w:rFonts w:hint="eastAsia" w:ascii="仿宋" w:hAnsi="仿宋" w:eastAsia="仿宋" w:cs="仿宋"/>
                <w:color w:val="auto"/>
                <w:sz w:val="21"/>
                <w:szCs w:val="21"/>
                <w:highlight w:val="none"/>
                <w:lang w:val="en-US" w:eastAsia="en-US"/>
              </w:rPr>
              <w:t>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lang w:val="en-US" w:eastAsia="en-US"/>
              </w:rPr>
              <w:t>分</w:t>
            </w:r>
            <w:r>
              <w:rPr>
                <w:rFonts w:hint="eastAsia" w:ascii="仿宋" w:hAnsi="仿宋" w:eastAsia="仿宋" w:cs="仿宋"/>
                <w:color w:val="auto"/>
                <w:sz w:val="21"/>
                <w:szCs w:val="21"/>
                <w:highlight w:val="none"/>
                <w:lang w:val="en-US" w:eastAsia="zh-CN"/>
              </w:rPr>
              <w:t>；否则不得分。</w:t>
            </w:r>
          </w:p>
          <w:p w14:paraId="33B02E89">
            <w:pPr>
              <w:snapToGrid w:val="0"/>
              <w:spacing w:line="276" w:lineRule="auto"/>
              <w:ind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US" w:eastAsia="en-US"/>
              </w:rPr>
              <w:t>供应商出具“</w:t>
            </w:r>
            <w:r>
              <w:rPr>
                <w:rFonts w:hint="eastAsia" w:ascii="仿宋" w:hAnsi="仿宋" w:eastAsia="仿宋" w:cs="仿宋"/>
                <w:color w:val="auto"/>
                <w:sz w:val="21"/>
                <w:szCs w:val="21"/>
                <w:highlight w:val="none"/>
                <w:lang w:val="en-US" w:eastAsia="zh-CN"/>
              </w:rPr>
              <w:t>如中标，主要管理人员及技术人员在中标通知书发出后5日内入场熟悉场地和先期准备工作，所有人员在15日内入场并办理完成交接手续，期间将保证会议中心正常运行</w:t>
            </w:r>
            <w:r>
              <w:rPr>
                <w:rFonts w:hint="eastAsia" w:ascii="仿宋" w:hAnsi="仿宋" w:eastAsia="仿宋" w:cs="仿宋"/>
                <w:color w:val="auto"/>
                <w:sz w:val="21"/>
                <w:szCs w:val="21"/>
                <w:highlight w:val="none"/>
                <w:lang w:val="en-US" w:eastAsia="en-US"/>
              </w:rPr>
              <w:t>”的承诺</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lang w:val="en-US" w:eastAsia="en-US"/>
              </w:rPr>
              <w:t>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lang w:val="en-US" w:eastAsia="en-US"/>
              </w:rPr>
              <w:t>分</w:t>
            </w:r>
            <w:r>
              <w:rPr>
                <w:rFonts w:hint="eastAsia" w:ascii="仿宋" w:hAnsi="仿宋" w:eastAsia="仿宋" w:cs="仿宋"/>
                <w:color w:val="auto"/>
                <w:sz w:val="21"/>
                <w:szCs w:val="21"/>
                <w:highlight w:val="none"/>
                <w:lang w:val="en-US" w:eastAsia="zh-CN"/>
              </w:rPr>
              <w:t>；否则不得分。</w:t>
            </w:r>
          </w:p>
          <w:p w14:paraId="077BC9FB">
            <w:pPr>
              <w:snapToGrid w:val="0"/>
              <w:spacing w:line="276" w:lineRule="auto"/>
              <w:ind w:firstLine="210" w:firstLineChars="100"/>
              <w:rPr>
                <w:rFonts w:hint="eastAsia" w:eastAsia="仿宋_GB2312"/>
                <w:color w:val="auto"/>
                <w:sz w:val="21"/>
                <w:szCs w:val="21"/>
                <w:highlight w:val="none"/>
                <w:lang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en-US" w:eastAsia="en-US"/>
              </w:rPr>
              <w:t>供应商</w:t>
            </w:r>
            <w:r>
              <w:rPr>
                <w:rFonts w:hint="eastAsia" w:ascii="仿宋" w:hAnsi="仿宋" w:eastAsia="仿宋" w:cs="仿宋"/>
                <w:color w:val="auto"/>
                <w:sz w:val="21"/>
                <w:szCs w:val="21"/>
                <w:highlight w:val="none"/>
                <w:lang w:val="en-US" w:eastAsia="zh-CN"/>
              </w:rPr>
              <w:t>出具“</w:t>
            </w:r>
            <w:r>
              <w:rPr>
                <w:rFonts w:hint="eastAsia" w:ascii="仿宋" w:hAnsi="仿宋" w:eastAsia="仿宋" w:cs="仿宋"/>
                <w:color w:val="auto"/>
                <w:sz w:val="21"/>
                <w:szCs w:val="21"/>
                <w:highlight w:val="none"/>
                <w:lang w:val="en-US" w:eastAsia="en-US"/>
              </w:rPr>
              <w:t>按《劳动合同法》和政府有关部门规定为劳务服务人员交纳所有相关的社会保险及其他相关费用</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eastAsia="en-US"/>
              </w:rPr>
              <w:t>的承诺</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lang w:val="en-US" w:eastAsia="en-US"/>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en-US"/>
              </w:rPr>
              <w:t>分</w:t>
            </w:r>
            <w:r>
              <w:rPr>
                <w:rFonts w:hint="eastAsia" w:ascii="仿宋" w:hAnsi="仿宋" w:eastAsia="仿宋" w:cs="仿宋"/>
                <w:color w:val="auto"/>
                <w:sz w:val="21"/>
                <w:szCs w:val="21"/>
                <w:highlight w:val="none"/>
                <w:lang w:val="en-US" w:eastAsia="zh-CN"/>
              </w:rPr>
              <w:t>；否则不得分。</w:t>
            </w:r>
          </w:p>
        </w:tc>
        <w:tc>
          <w:tcPr>
            <w:tcW w:w="435" w:type="pct"/>
            <w:vAlign w:val="center"/>
          </w:tcPr>
          <w:p w14:paraId="780FFE69">
            <w:pPr>
              <w:snapToGrid w:val="0"/>
              <w:spacing w:line="276" w:lineRule="auto"/>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7</w:t>
            </w:r>
          </w:p>
        </w:tc>
        <w:tc>
          <w:tcPr>
            <w:tcW w:w="447" w:type="pct"/>
          </w:tcPr>
          <w:p w14:paraId="706AD88C">
            <w:pPr>
              <w:snapToGrid w:val="0"/>
              <w:spacing w:line="276" w:lineRule="auto"/>
              <w:jc w:val="center"/>
              <w:rPr>
                <w:rFonts w:ascii="仿宋" w:hAnsi="仿宋" w:eastAsia="仿宋" w:cs="仿宋"/>
                <w:b/>
                <w:color w:val="auto"/>
                <w:sz w:val="21"/>
                <w:szCs w:val="21"/>
                <w:highlight w:val="none"/>
              </w:rPr>
            </w:pPr>
          </w:p>
        </w:tc>
      </w:tr>
      <w:tr w14:paraId="436B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4" w:type="pct"/>
            <w:vAlign w:val="center"/>
          </w:tcPr>
          <w:p w14:paraId="4AFCC101">
            <w:pPr>
              <w:snapToGrid w:val="0"/>
              <w:spacing w:line="276" w:lineRule="auto"/>
              <w:jc w:val="center"/>
              <w:rPr>
                <w:rFonts w:hint="default" w:ascii="仿宋" w:hAnsi="仿宋" w:eastAsia="仿宋" w:cs="仿宋"/>
                <w:b/>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665" w:type="pct"/>
            <w:vAlign w:val="center"/>
          </w:tcPr>
          <w:p w14:paraId="6F208942">
            <w:pPr>
              <w:snapToGrid w:val="0"/>
              <w:spacing w:line="276" w:lineRule="auto"/>
              <w:rPr>
                <w:rFonts w:ascii="仿宋" w:hAnsi="仿宋" w:eastAsia="仿宋" w:cs="仿宋"/>
                <w:b/>
                <w:color w:val="auto"/>
                <w:sz w:val="21"/>
                <w:szCs w:val="21"/>
                <w:highlight w:val="none"/>
                <w:lang w:val="zh-CN"/>
              </w:rPr>
            </w:pPr>
            <w:r>
              <w:rPr>
                <w:rFonts w:hint="eastAsia" w:ascii="仿宋" w:hAnsi="仿宋" w:eastAsia="仿宋" w:cs="仿宋"/>
                <w:b/>
                <w:bCs/>
                <w:color w:val="auto"/>
                <w:sz w:val="21"/>
                <w:szCs w:val="21"/>
                <w:highlight w:val="none"/>
                <w:lang w:val="en-US" w:eastAsia="zh-CN"/>
              </w:rPr>
              <w:t>供应商</w:t>
            </w:r>
            <w:r>
              <w:rPr>
                <w:rFonts w:hint="eastAsia" w:ascii="仿宋" w:hAnsi="仿宋" w:eastAsia="仿宋" w:cs="仿宋"/>
                <w:b/>
                <w:color w:val="auto"/>
                <w:sz w:val="21"/>
                <w:szCs w:val="21"/>
                <w:highlight w:val="none"/>
                <w:lang w:val="zh-CN"/>
              </w:rPr>
              <w:t>业绩情况：</w:t>
            </w:r>
          </w:p>
        </w:tc>
        <w:tc>
          <w:tcPr>
            <w:tcW w:w="3217" w:type="pct"/>
            <w:vAlign w:val="center"/>
          </w:tcPr>
          <w:p w14:paraId="4E4116E6">
            <w:pPr>
              <w:snapToGrid w:val="0"/>
              <w:spacing w:line="276" w:lineRule="auto"/>
              <w:ind w:firstLine="210" w:firstLineChars="100"/>
              <w:rPr>
                <w:rFonts w:ascii="仿宋" w:hAnsi="仿宋" w:eastAsia="仿宋" w:cs="仿宋"/>
                <w:b/>
                <w:color w:val="auto"/>
                <w:sz w:val="21"/>
                <w:szCs w:val="21"/>
                <w:highlight w:val="none"/>
              </w:rPr>
            </w:pPr>
            <w:r>
              <w:rPr>
                <w:rFonts w:hint="eastAsia" w:ascii="仿宋" w:hAnsi="仿宋" w:eastAsia="仿宋" w:cs="仿宋"/>
                <w:bCs/>
                <w:color w:val="auto"/>
                <w:sz w:val="21"/>
                <w:szCs w:val="21"/>
                <w:highlight w:val="none"/>
              </w:rPr>
              <w:t>截止投标时间近三年（</w:t>
            </w:r>
            <w:r>
              <w:rPr>
                <w:rFonts w:hint="eastAsia" w:ascii="仿宋" w:hAnsi="仿宋" w:eastAsia="仿宋" w:cs="仿宋"/>
                <w:bCs/>
                <w:color w:val="auto"/>
                <w:sz w:val="21"/>
                <w:szCs w:val="21"/>
                <w:highlight w:val="none"/>
                <w:lang w:val="en-US" w:eastAsia="zh-CN"/>
              </w:rPr>
              <w:t>2021年11月1日</w:t>
            </w:r>
            <w:r>
              <w:rPr>
                <w:rFonts w:hint="eastAsia" w:ascii="仿宋" w:hAnsi="仿宋" w:eastAsia="仿宋" w:cs="仿宋"/>
                <w:bCs/>
                <w:color w:val="auto"/>
                <w:sz w:val="21"/>
                <w:szCs w:val="21"/>
                <w:highlight w:val="none"/>
              </w:rPr>
              <w:t>）以来投标人承担过类似</w:t>
            </w:r>
            <w:r>
              <w:rPr>
                <w:rFonts w:hint="eastAsia" w:ascii="仿宋" w:hAnsi="仿宋" w:eastAsia="仿宋" w:cs="仿宋"/>
                <w:bCs/>
                <w:color w:val="auto"/>
                <w:sz w:val="21"/>
                <w:szCs w:val="21"/>
                <w:highlight w:val="none"/>
                <w:lang w:val="en-US" w:eastAsia="zh-CN"/>
              </w:rPr>
              <w:t>会务服务外包</w:t>
            </w:r>
            <w:r>
              <w:rPr>
                <w:rFonts w:hint="eastAsia" w:ascii="仿宋" w:hAnsi="仿宋" w:eastAsia="仿宋" w:cs="仿宋"/>
                <w:bCs/>
                <w:color w:val="auto"/>
                <w:sz w:val="21"/>
                <w:szCs w:val="21"/>
                <w:highlight w:val="none"/>
              </w:rPr>
              <w:t>项目的，每个得</w:t>
            </w:r>
            <w:r>
              <w:rPr>
                <w:rFonts w:hint="eastAsia" w:ascii="仿宋" w:hAnsi="仿宋" w:eastAsia="仿宋" w:cs="仿宋"/>
                <w:bCs/>
                <w:color w:val="auto"/>
                <w:sz w:val="21"/>
                <w:szCs w:val="21"/>
                <w:highlight w:val="none"/>
                <w:lang w:val="en-US" w:eastAsia="zh-CN"/>
              </w:rPr>
              <w:t>0.5</w:t>
            </w:r>
            <w:r>
              <w:rPr>
                <w:rFonts w:hint="eastAsia" w:ascii="仿宋" w:hAnsi="仿宋" w:eastAsia="仿宋" w:cs="仿宋"/>
                <w:bCs/>
                <w:color w:val="auto"/>
                <w:sz w:val="21"/>
                <w:szCs w:val="21"/>
                <w:highlight w:val="none"/>
              </w:rPr>
              <w:t>分，</w:t>
            </w:r>
            <w:r>
              <w:rPr>
                <w:rFonts w:hint="eastAsia" w:ascii="仿宋" w:hAnsi="仿宋" w:eastAsia="仿宋" w:cs="仿宋"/>
                <w:b/>
                <w:bCs/>
                <w:color w:val="auto"/>
                <w:sz w:val="21"/>
                <w:szCs w:val="21"/>
                <w:highlight w:val="none"/>
              </w:rPr>
              <w:t>本项最高得</w:t>
            </w: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rPr>
              <w:t>分。</w:t>
            </w:r>
            <w:r>
              <w:rPr>
                <w:rFonts w:hint="eastAsia" w:ascii="仿宋" w:hAnsi="仿宋" w:eastAsia="仿宋" w:cs="仿宋"/>
                <w:bCs/>
                <w:color w:val="auto"/>
                <w:sz w:val="21"/>
                <w:szCs w:val="21"/>
                <w:highlight w:val="none"/>
              </w:rPr>
              <w:t>（同时提供合同</w:t>
            </w:r>
            <w:r>
              <w:rPr>
                <w:rFonts w:hint="eastAsia" w:ascii="仿宋" w:hAnsi="仿宋" w:eastAsia="仿宋" w:cs="仿宋"/>
                <w:bCs/>
                <w:color w:val="auto"/>
                <w:sz w:val="21"/>
                <w:szCs w:val="21"/>
                <w:highlight w:val="none"/>
                <w:lang w:val="en-US" w:eastAsia="zh-CN"/>
              </w:rPr>
              <w:t>复印件</w:t>
            </w:r>
            <w:r>
              <w:rPr>
                <w:rFonts w:hint="eastAsia" w:ascii="仿宋" w:hAnsi="仿宋" w:eastAsia="仿宋" w:cs="仿宋"/>
                <w:bCs/>
                <w:color w:val="auto"/>
                <w:sz w:val="21"/>
                <w:szCs w:val="21"/>
                <w:highlight w:val="none"/>
              </w:rPr>
              <w:t>，否则不得分）</w:t>
            </w:r>
          </w:p>
        </w:tc>
        <w:tc>
          <w:tcPr>
            <w:tcW w:w="435" w:type="pct"/>
            <w:vAlign w:val="center"/>
          </w:tcPr>
          <w:p w14:paraId="0A2DBE04">
            <w:pPr>
              <w:snapToGrid w:val="0"/>
              <w:spacing w:line="276" w:lineRule="auto"/>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1</w:t>
            </w:r>
          </w:p>
        </w:tc>
        <w:tc>
          <w:tcPr>
            <w:tcW w:w="447" w:type="pct"/>
          </w:tcPr>
          <w:p w14:paraId="050E8FF9">
            <w:pPr>
              <w:snapToGrid w:val="0"/>
              <w:spacing w:line="276" w:lineRule="auto"/>
              <w:jc w:val="center"/>
              <w:rPr>
                <w:rFonts w:ascii="仿宋" w:hAnsi="仿宋" w:eastAsia="仿宋" w:cs="仿宋"/>
                <w:b/>
                <w:color w:val="auto"/>
                <w:sz w:val="21"/>
                <w:szCs w:val="21"/>
                <w:highlight w:val="none"/>
              </w:rPr>
            </w:pPr>
          </w:p>
        </w:tc>
      </w:tr>
      <w:tr w14:paraId="16E0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34" w:type="pct"/>
            <w:vAlign w:val="center"/>
          </w:tcPr>
          <w:p w14:paraId="228580E4">
            <w:pPr>
              <w:snapToGrid w:val="0"/>
              <w:spacing w:line="276" w:lineRule="auto"/>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二</w:t>
            </w:r>
          </w:p>
        </w:tc>
        <w:tc>
          <w:tcPr>
            <w:tcW w:w="665" w:type="pct"/>
          </w:tcPr>
          <w:p w14:paraId="365ED397">
            <w:pPr>
              <w:snapToGrid w:val="0"/>
              <w:spacing w:line="276" w:lineRule="auto"/>
              <w:rPr>
                <w:rFonts w:ascii="仿宋" w:hAnsi="仿宋" w:eastAsia="仿宋" w:cs="仿宋"/>
                <w:b/>
                <w:color w:val="auto"/>
                <w:sz w:val="21"/>
                <w:szCs w:val="21"/>
                <w:highlight w:val="none"/>
                <w:lang w:val="zh-CN"/>
              </w:rPr>
            </w:pPr>
            <w:r>
              <w:rPr>
                <w:rFonts w:hint="eastAsia" w:ascii="仿宋" w:hAnsi="仿宋" w:eastAsia="仿宋" w:cs="仿宋"/>
                <w:b/>
                <w:color w:val="auto"/>
                <w:sz w:val="21"/>
                <w:szCs w:val="21"/>
                <w:highlight w:val="none"/>
                <w:lang w:val="zh-CN"/>
              </w:rPr>
              <w:t>投标价格分：</w:t>
            </w:r>
          </w:p>
        </w:tc>
        <w:tc>
          <w:tcPr>
            <w:tcW w:w="3217" w:type="pct"/>
          </w:tcPr>
          <w:p w14:paraId="121FEEC9">
            <w:pPr>
              <w:snapToGrid w:val="0"/>
              <w:spacing w:line="276" w:lineRule="auto"/>
              <w:ind w:firstLine="210" w:firstLine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有效投标报价的最低价作为评标基准价，其最低报价为满分；按［投标报价得分</w:t>
            </w:r>
            <w:r>
              <w:rPr>
                <w:rFonts w:ascii="仿宋" w:hAnsi="仿宋" w:eastAsia="仿宋" w:cs="仿宋"/>
                <w:color w:val="auto"/>
                <w:sz w:val="21"/>
                <w:szCs w:val="21"/>
                <w:highlight w:val="none"/>
              </w:rPr>
              <w:t>=（评标基准价/投标报价）*</w:t>
            </w:r>
            <w:r>
              <w:rPr>
                <w:rFonts w:hint="eastAsia" w:ascii="仿宋" w:hAnsi="仿宋" w:eastAsia="仿宋" w:cs="仿宋"/>
                <w:color w:val="auto"/>
                <w:sz w:val="21"/>
                <w:szCs w:val="21"/>
                <w:highlight w:val="none"/>
              </w:rPr>
              <w:t>价格权重</w:t>
            </w:r>
            <w:r>
              <w:rPr>
                <w:rFonts w:ascii="仿宋" w:hAnsi="仿宋" w:eastAsia="仿宋" w:cs="仿宋"/>
                <w:color w:val="auto"/>
                <w:sz w:val="21"/>
                <w:szCs w:val="21"/>
                <w:highlight w:val="none"/>
              </w:rPr>
              <w:t>］的计算公式计算。</w:t>
            </w:r>
          </w:p>
          <w:p w14:paraId="5E743EF7">
            <w:pPr>
              <w:snapToGrid w:val="0"/>
              <w:spacing w:line="276" w:lineRule="auto"/>
              <w:ind w:firstLine="210" w:firstLineChars="100"/>
              <w:rPr>
                <w:rFonts w:ascii="仿宋" w:hAnsi="仿宋" w:eastAsia="仿宋" w:cs="仿宋"/>
                <w:color w:val="auto"/>
                <w:sz w:val="21"/>
                <w:szCs w:val="21"/>
                <w:highlight w:val="none"/>
              </w:rPr>
            </w:pPr>
            <w:r>
              <w:rPr>
                <w:rFonts w:ascii="仿宋" w:hAnsi="仿宋" w:eastAsia="仿宋" w:cs="仿宋"/>
                <w:color w:val="auto"/>
                <w:sz w:val="21"/>
                <w:szCs w:val="21"/>
                <w:highlight w:val="none"/>
              </w:rPr>
              <w:t>评标过程中，不得去掉报价中的最高报价和最低报价。</w:t>
            </w:r>
          </w:p>
          <w:p w14:paraId="6B1188A7">
            <w:pPr>
              <w:pStyle w:val="2"/>
              <w:rPr>
                <w:rFonts w:hint="eastAsia"/>
                <w:color w:val="auto"/>
                <w:sz w:val="21"/>
                <w:szCs w:val="21"/>
                <w:highlight w:val="none"/>
              </w:rPr>
            </w:pPr>
          </w:p>
          <w:p w14:paraId="3010AEB8">
            <w:pPr>
              <w:pStyle w:val="2"/>
              <w:rPr>
                <w:rFonts w:hint="eastAsia" w:eastAsia="仿宋"/>
                <w:color w:val="auto"/>
                <w:sz w:val="21"/>
                <w:szCs w:val="21"/>
                <w:highlight w:val="none"/>
                <w:lang w:val="en-US" w:eastAsia="zh-CN"/>
              </w:rPr>
            </w:pPr>
            <w:r>
              <w:rPr>
                <w:rFonts w:hint="eastAsia" w:ascii="仿宋" w:hAnsi="仿宋" w:eastAsia="仿宋" w:cs="仿宋"/>
                <w:b/>
                <w:bCs/>
                <w:color w:val="auto"/>
                <w:kern w:val="2"/>
                <w:sz w:val="21"/>
                <w:szCs w:val="21"/>
                <w:highlight w:val="none"/>
                <w:u w:val="single"/>
                <w:lang w:val="en-US" w:eastAsia="zh-CN" w:bidi="ar-SA"/>
              </w:rPr>
              <w:t>本项目为专门面向中小企业采购，故小微企业不进行价格扣除。</w:t>
            </w:r>
          </w:p>
        </w:tc>
        <w:tc>
          <w:tcPr>
            <w:tcW w:w="435" w:type="pct"/>
            <w:vAlign w:val="center"/>
          </w:tcPr>
          <w:p w14:paraId="3F2834BB">
            <w:pPr>
              <w:snapToGrid w:val="0"/>
              <w:spacing w:line="276" w:lineRule="auto"/>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ascii="仿宋" w:hAnsi="仿宋" w:eastAsia="仿宋" w:cs="仿宋"/>
                <w:b/>
                <w:color w:val="auto"/>
                <w:sz w:val="21"/>
                <w:szCs w:val="21"/>
                <w:highlight w:val="none"/>
              </w:rPr>
              <w:t>0</w:t>
            </w:r>
          </w:p>
        </w:tc>
        <w:tc>
          <w:tcPr>
            <w:tcW w:w="447" w:type="pct"/>
          </w:tcPr>
          <w:p w14:paraId="6618220D">
            <w:pPr>
              <w:snapToGrid w:val="0"/>
              <w:spacing w:line="276" w:lineRule="auto"/>
              <w:jc w:val="center"/>
              <w:rPr>
                <w:rFonts w:ascii="仿宋" w:hAnsi="仿宋" w:eastAsia="仿宋" w:cs="仿宋"/>
                <w:b/>
                <w:color w:val="auto"/>
                <w:sz w:val="21"/>
                <w:szCs w:val="21"/>
                <w:highlight w:val="none"/>
              </w:rPr>
            </w:pPr>
          </w:p>
        </w:tc>
      </w:tr>
    </w:tbl>
    <w:p w14:paraId="7BF1D8E8">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shd w:val="clear" w:color="auto" w:fill="FFFFFF"/>
        </w:rPr>
        <w:t> *</w:t>
      </w:r>
      <w:r>
        <w:rPr>
          <w:rFonts w:hint="eastAsia" w:ascii="仿宋" w:hAnsi="仿宋" w:eastAsia="仿宋" w:cs="仿宋"/>
          <w:b/>
          <w:color w:val="auto"/>
          <w:sz w:val="21"/>
          <w:szCs w:val="21"/>
          <w:highlight w:val="none"/>
        </w:rPr>
        <w:t>备注：</w:t>
      </w:r>
      <w:r>
        <w:rPr>
          <w:rFonts w:hint="eastAsia" w:ascii="仿宋" w:hAnsi="仿宋" w:eastAsia="仿宋" w:cs="仿宋"/>
          <w:color w:val="auto"/>
          <w:sz w:val="21"/>
          <w:szCs w:val="21"/>
          <w:highlight w:val="none"/>
        </w:rPr>
        <w:t>投标人编制投标文件（商务技术文件部分）时，建议按此目录（序号和内容）提供评标标准相应的商务技术资料。 </w:t>
      </w:r>
    </w:p>
    <w:p w14:paraId="2CB1AF4D">
      <w:pPr>
        <w:pStyle w:val="2"/>
        <w:rPr>
          <w:rFonts w:hint="eastAsia" w:ascii="仿宋" w:hAnsi="仿宋" w:eastAsia="仿宋" w:cs="仿宋"/>
          <w:color w:val="auto"/>
          <w:sz w:val="21"/>
          <w:szCs w:val="21"/>
          <w:highlight w:val="none"/>
        </w:rPr>
      </w:pPr>
    </w:p>
    <w:p w14:paraId="553D7DCB">
      <w:pPr>
        <w:pStyle w:val="2"/>
        <w:rPr>
          <w:rFonts w:hint="eastAsia" w:ascii="仿宋" w:hAnsi="仿宋" w:eastAsia="仿宋" w:cs="仿宋"/>
          <w:color w:val="auto"/>
          <w:sz w:val="21"/>
          <w:szCs w:val="21"/>
          <w:highlight w:val="none"/>
        </w:rPr>
      </w:pPr>
    </w:p>
    <w:p w14:paraId="34E6544E">
      <w:pPr>
        <w:snapToGrid w:val="0"/>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一、评标方法</w:t>
      </w:r>
    </w:p>
    <w:p w14:paraId="457B4D66">
      <w:pPr>
        <w:adjustRightInd/>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1.本项目采用综合评分法。</w:t>
      </w:r>
      <w:r>
        <w:rPr>
          <w:rFonts w:hint="eastAsia" w:ascii="仿宋" w:hAnsi="仿宋" w:eastAsia="仿宋" w:cs="仿宋"/>
          <w:color w:val="auto"/>
          <w:kern w:val="0"/>
          <w:sz w:val="21"/>
          <w:szCs w:val="21"/>
          <w:highlight w:val="none"/>
        </w:rPr>
        <w:t>综合评分法，是指投标文件满足招标文件全部实质性要求，且按照评审因素的量化指标评审得分最高的投标人为中标候选人的评标方法。</w:t>
      </w:r>
    </w:p>
    <w:p w14:paraId="7D89AC20">
      <w:pPr>
        <w:adjustRightInd/>
        <w:spacing w:line="360" w:lineRule="auto"/>
        <w:rPr>
          <w:rFonts w:hint="eastAsia" w:ascii="仿宋" w:hAnsi="仿宋" w:eastAsia="仿宋" w:cs="仿宋"/>
          <w:color w:val="auto"/>
          <w:kern w:val="0"/>
          <w:sz w:val="21"/>
          <w:szCs w:val="21"/>
          <w:highlight w:val="none"/>
        </w:rPr>
      </w:pPr>
      <w:r>
        <w:rPr>
          <w:rFonts w:hint="eastAsia" w:ascii="仿宋" w:hAnsi="仿宋" w:eastAsia="仿宋" w:cs="仿宋"/>
          <w:b/>
          <w:color w:val="auto"/>
          <w:sz w:val="21"/>
          <w:szCs w:val="21"/>
          <w:highlight w:val="none"/>
        </w:rPr>
        <w:t>二、评标标准</w:t>
      </w:r>
    </w:p>
    <w:p w14:paraId="03649009">
      <w:pPr>
        <w:spacing w:line="360" w:lineRule="auto"/>
        <w:ind w:firstLine="413" w:firstLineChars="196"/>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color w:val="auto"/>
          <w:sz w:val="21"/>
          <w:szCs w:val="21"/>
          <w:highlight w:val="none"/>
        </w:rPr>
        <w:t xml:space="preserve"> </w:t>
      </w:r>
      <w:r>
        <w:rPr>
          <w:rFonts w:hint="eastAsia" w:ascii="仿宋" w:hAnsi="仿宋" w:eastAsia="仿宋" w:cs="仿宋"/>
          <w:b/>
          <w:color w:val="auto"/>
          <w:sz w:val="21"/>
          <w:szCs w:val="21"/>
          <w:highlight w:val="none"/>
        </w:rPr>
        <w:t>评标标准：</w:t>
      </w:r>
      <w:r>
        <w:rPr>
          <w:rFonts w:hint="eastAsia" w:ascii="仿宋" w:hAnsi="仿宋" w:eastAsia="仿宋" w:cs="仿宋"/>
          <w:color w:val="auto"/>
          <w:kern w:val="0"/>
          <w:sz w:val="21"/>
          <w:szCs w:val="21"/>
          <w:highlight w:val="none"/>
        </w:rPr>
        <w:t>见评标办法前附表。</w:t>
      </w:r>
    </w:p>
    <w:p w14:paraId="0DB3477C">
      <w:pPr>
        <w:spacing w:line="360" w:lineRule="auto"/>
        <w:outlineLvl w:val="0"/>
        <w:rPr>
          <w:rFonts w:hint="eastAsia" w:ascii="仿宋" w:hAnsi="仿宋" w:eastAsia="仿宋" w:cs="仿宋"/>
          <w:b/>
          <w:color w:val="auto"/>
          <w:sz w:val="21"/>
          <w:szCs w:val="21"/>
          <w:highlight w:val="none"/>
        </w:rPr>
      </w:pPr>
      <w:bookmarkStart w:id="402" w:name="_Toc22449"/>
      <w:r>
        <w:rPr>
          <w:rFonts w:hint="eastAsia" w:ascii="仿宋" w:hAnsi="仿宋" w:eastAsia="仿宋" w:cs="仿宋"/>
          <w:b/>
          <w:color w:val="auto"/>
          <w:sz w:val="21"/>
          <w:szCs w:val="21"/>
          <w:highlight w:val="none"/>
        </w:rPr>
        <w:t>三、评标程序</w:t>
      </w:r>
      <w:bookmarkEnd w:id="402"/>
    </w:p>
    <w:p w14:paraId="546523A0">
      <w:pPr>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3.1符合性审查。</w:t>
      </w:r>
      <w:r>
        <w:rPr>
          <w:rFonts w:hint="eastAsia" w:ascii="仿宋" w:hAnsi="仿宋" w:eastAsia="仿宋" w:cs="仿宋"/>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7BD73F1F">
      <w:pPr>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3.2 比较与评价。</w:t>
      </w:r>
      <w:r>
        <w:rPr>
          <w:rFonts w:hint="eastAsia" w:ascii="仿宋" w:hAnsi="仿宋" w:eastAsia="仿宋" w:cs="仿宋"/>
          <w:color w:val="auto"/>
          <w:kern w:val="0"/>
          <w:sz w:val="21"/>
          <w:szCs w:val="21"/>
          <w:highlight w:val="none"/>
        </w:rPr>
        <w:t>评标委员会应当按照招标文件中规定的评标方法和标准，对符合性审查合格的投标文件进行商务和技术评估，综合比较与评价。</w:t>
      </w:r>
    </w:p>
    <w:p w14:paraId="2B023212">
      <w:pPr>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3.3汇总商务技术得分。</w:t>
      </w:r>
      <w:r>
        <w:rPr>
          <w:rFonts w:hint="eastAsia" w:ascii="仿宋" w:hAnsi="仿宋" w:eastAsia="仿宋" w:cs="仿宋"/>
          <w:color w:val="auto"/>
          <w:kern w:val="0"/>
          <w:sz w:val="21"/>
          <w:szCs w:val="21"/>
          <w:highlight w:val="none"/>
        </w:rPr>
        <w:t>评标委员会各成员应当独立对每个投标人的商务和技术文件进行评价，并汇总商务技术得分情况。</w:t>
      </w:r>
    </w:p>
    <w:p w14:paraId="7B67FBB0">
      <w:pPr>
        <w:spacing w:line="360" w:lineRule="auto"/>
        <w:ind w:firstLine="413" w:firstLineChars="196"/>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3.4报价评审。</w:t>
      </w:r>
    </w:p>
    <w:p w14:paraId="363C4110">
      <w:pPr>
        <w:pStyle w:val="131"/>
        <w:spacing w:before="0"/>
        <w:ind w:firstLine="445" w:firstLineChars="21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3.4.1投标文件报价出现前后不一致的，按照下列规定修正：</w:t>
      </w:r>
    </w:p>
    <w:p w14:paraId="397E50BB">
      <w:pPr>
        <w:pStyle w:val="131"/>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3.4.1.1投标文件中开标一览表(报价表)内容与投标文件中相应内容不一致的，以开标一览表(报价表)为准;</w:t>
      </w:r>
    </w:p>
    <w:p w14:paraId="661996DC">
      <w:pPr>
        <w:pStyle w:val="131"/>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3.4.1.2大写金额和小写金额不一致的，以大写金额为准;</w:t>
      </w:r>
    </w:p>
    <w:p w14:paraId="3880B623">
      <w:pPr>
        <w:pStyle w:val="131"/>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3.4.1.3单价金额小数点或者百分比有明显错位的，以开标一览表的总价为准，并修改单价;</w:t>
      </w:r>
    </w:p>
    <w:p w14:paraId="72F035C0">
      <w:pPr>
        <w:pStyle w:val="131"/>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3.4.1.4总价金额与按单价汇总金额不一致的，以单价金额计算结果为准。</w:t>
      </w:r>
    </w:p>
    <w:p w14:paraId="60C9E653">
      <w:pPr>
        <w:pStyle w:val="131"/>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CFAD60D">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3.4.2投标文件出现不是唯一的、有选择性投标报价的，投标无效。</w:t>
      </w:r>
    </w:p>
    <w:p w14:paraId="00C33AF8">
      <w:pP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3.4.3投标报价超过招标文件中规定的预算金额或者最高限价的，投标无效。</w:t>
      </w:r>
    </w:p>
    <w:p w14:paraId="69CF236A">
      <w:pPr>
        <w:pStyle w:val="131"/>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2B2AFD8">
      <w:pPr>
        <w:pStyle w:val="131"/>
        <w:spacing w:before="0"/>
        <w:ind w:firstLine="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3.4.5</w:t>
      </w:r>
      <w:r>
        <w:rPr>
          <w:rFonts w:hint="eastAsia" w:ascii="仿宋" w:hAnsi="仿宋" w:eastAsia="仿宋" w:cs="仿宋"/>
          <w:color w:val="auto"/>
          <w:sz w:val="21"/>
          <w:szCs w:val="21"/>
          <w:highlight w:val="none"/>
        </w:rPr>
        <w:t>对于未预留份额专门面向中小企业的政府采购服务项目，以及预留份额政府采购服务项目中的非预留部分标项，对小型和微型企业的投标报价给予10%-20%的扣除，用扣除后的价格参与评审</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eastAsia="zh-CN"/>
        </w:rPr>
        <w:t>具体根据</w:t>
      </w:r>
      <w:r>
        <w:rPr>
          <w:rFonts w:hint="eastAsia" w:ascii="仿宋" w:hAnsi="仿宋" w:eastAsia="仿宋" w:cs="仿宋"/>
          <w:b/>
          <w:color w:val="auto"/>
          <w:sz w:val="21"/>
          <w:szCs w:val="21"/>
          <w:highlight w:val="none"/>
        </w:rPr>
        <w:t>招标文件第四部分评标办法明确的扣除比例）</w:t>
      </w:r>
      <w:r>
        <w:rPr>
          <w:rFonts w:hint="eastAsia" w:ascii="仿宋" w:hAnsi="仿宋" w:eastAsia="仿宋" w:cs="仿宋"/>
          <w:color w:val="auto"/>
          <w:sz w:val="21"/>
          <w:szCs w:val="21"/>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eastAsia="zh-CN"/>
        </w:rPr>
        <w:t>具体根据</w:t>
      </w:r>
      <w:r>
        <w:rPr>
          <w:rFonts w:hint="eastAsia" w:ascii="仿宋" w:hAnsi="仿宋" w:eastAsia="仿宋" w:cs="仿宋"/>
          <w:b/>
          <w:color w:val="auto"/>
          <w:sz w:val="21"/>
          <w:szCs w:val="21"/>
          <w:highlight w:val="none"/>
        </w:rPr>
        <w:t>招标文件第四部分评标办法明确的扣除比例）</w:t>
      </w:r>
      <w:r>
        <w:rPr>
          <w:rFonts w:hint="eastAsia" w:ascii="仿宋" w:hAnsi="仿宋" w:eastAsia="仿宋" w:cs="仿宋"/>
          <w:color w:val="auto"/>
          <w:sz w:val="21"/>
          <w:szCs w:val="21"/>
          <w:highlight w:val="none"/>
        </w:rPr>
        <w:t>。组成联合体或者接受分包的小微企业与联合体内其他企业、分包企业之间存在直接控股、管理关系的，不享受价格扣除优惠政策</w:t>
      </w:r>
      <w:r>
        <w:rPr>
          <w:rFonts w:hint="eastAsia" w:ascii="仿宋" w:hAnsi="仿宋" w:eastAsia="仿宋" w:cs="仿宋"/>
          <w:color w:val="auto"/>
          <w:kern w:val="0"/>
          <w:sz w:val="21"/>
          <w:szCs w:val="21"/>
          <w:highlight w:val="none"/>
        </w:rPr>
        <w:t>。</w:t>
      </w:r>
    </w:p>
    <w:p w14:paraId="2649CB55">
      <w:pPr>
        <w:spacing w:line="360" w:lineRule="auto"/>
        <w:ind w:firstLine="422" w:firstLineChars="200"/>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3.5排序与推荐。</w:t>
      </w:r>
      <w:r>
        <w:rPr>
          <w:rFonts w:hint="eastAsia" w:ascii="仿宋" w:hAnsi="仿宋" w:eastAsia="仿宋" w:cs="仿宋"/>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F7EC7C9">
      <w:pPr>
        <w:spacing w:line="360" w:lineRule="auto"/>
        <w:ind w:firstLine="420" w:firstLineChars="200"/>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FC259CA">
      <w:pPr>
        <w:spacing w:line="360" w:lineRule="auto"/>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3.6编写评标报告。</w:t>
      </w:r>
      <w:r>
        <w:rPr>
          <w:rFonts w:hint="eastAsia" w:ascii="仿宋" w:hAnsi="仿宋" w:eastAsia="仿宋" w:cs="仿宋"/>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E549CE">
      <w:pPr>
        <w:widowControl/>
        <w:shd w:val="clear" w:color="auto" w:fill="FFFFFF"/>
        <w:adjustRightInd/>
        <w:spacing w:after="225" w:line="315" w:lineRule="atLeast"/>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四、评标中的其他事项</w:t>
      </w:r>
    </w:p>
    <w:p w14:paraId="2F194CFF">
      <w:pPr>
        <w:pStyle w:val="131"/>
        <w:spacing w:before="0"/>
        <w:ind w:firstLine="413" w:firstLineChars="196"/>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4.1投标人澄清、说明或者补正。</w:t>
      </w: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6C8AE8D">
      <w:pPr>
        <w:pStyle w:val="25"/>
        <w:spacing w:line="360" w:lineRule="auto"/>
        <w:ind w:left="954" w:leftChars="226" w:hanging="479" w:firstLineChars="0"/>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4.2投标无效。</w:t>
      </w:r>
      <w:r>
        <w:rPr>
          <w:rFonts w:hint="eastAsia" w:ascii="仿宋" w:hAnsi="仿宋" w:eastAsia="仿宋" w:cs="仿宋"/>
          <w:color w:val="auto"/>
          <w:sz w:val="21"/>
          <w:szCs w:val="21"/>
          <w:highlight w:val="none"/>
        </w:rPr>
        <w:t>有下列情形之一的，投标无效：</w:t>
      </w:r>
    </w:p>
    <w:p w14:paraId="2936C7B4">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4.2.1投标人不具备招标文件中规定的资格要求的（投标人未提供有效的资格文件的，视为投标人不具备招标文件中规定的资格要求）；</w:t>
      </w:r>
    </w:p>
    <w:p w14:paraId="79C961A1">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4.2.2投标文件未按照招标文件要求签署、盖章的；</w:t>
      </w:r>
    </w:p>
    <w:p w14:paraId="2128D46F">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7AEF43B4">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4.2.4投标文件含有采购人不能接受的附加条件的；</w:t>
      </w:r>
    </w:p>
    <w:p w14:paraId="09E4EA32">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4.2.5投标文件中承诺的投标有效期少于招标文件中载明的投标有效期的；</w:t>
      </w:r>
    </w:p>
    <w:p w14:paraId="1A347A19">
      <w:pPr>
        <w:snapToGrid w:val="0"/>
        <w:spacing w:line="360" w:lineRule="auto"/>
        <w:ind w:firstLine="105" w:firstLineChars="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4.2.6投标文件出现不是唯一的、有选择性投标报价的;</w:t>
      </w:r>
    </w:p>
    <w:p w14:paraId="1745C274">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4.2.7投标报价超过招标文件中规定的预算金额或者最高限价的;</w:t>
      </w:r>
    </w:p>
    <w:p w14:paraId="43B29349">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733B8E5B">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4.2.9投标人对根据修正原则修正后的报价不确认的；</w:t>
      </w:r>
    </w:p>
    <w:p w14:paraId="0DEBA037">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4.2.10投标人提供虚假材料投标的；</w:t>
      </w:r>
    </w:p>
    <w:p w14:paraId="0A66D5C8">
      <w:pPr>
        <w:spacing w:line="360" w:lineRule="auto"/>
        <w:ind w:firstLine="210" w:firstLineChars="1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4.2.11投标人有恶意串通、妨碍其他投标人的竞争行为、损害采购人或者其他投标人的合法权益情形的；</w:t>
      </w:r>
    </w:p>
    <w:p w14:paraId="44E22821">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4.2.12投标人仅提交备份投标文件，未在电子交易平台传输递交投标文件的，投标无效；</w:t>
      </w:r>
    </w:p>
    <w:p w14:paraId="1BA35C64">
      <w:pPr>
        <w:pStyle w:val="4"/>
        <w:ind w:left="862" w:leftChars="205"/>
        <w:rPr>
          <w:rFonts w:hint="eastAsia" w:ascii="仿宋" w:hAnsi="仿宋" w:eastAsia="仿宋" w:cs="仿宋"/>
          <w:b w:val="0"/>
          <w:bCs w:val="0"/>
          <w:color w:val="auto"/>
          <w:kern w:val="0"/>
          <w:sz w:val="21"/>
          <w:szCs w:val="21"/>
          <w:highlight w:val="none"/>
          <w:lang w:val="en-US"/>
        </w:rPr>
      </w:pPr>
      <w:r>
        <w:rPr>
          <w:rFonts w:hint="eastAsia" w:ascii="仿宋" w:hAnsi="仿宋" w:eastAsia="仿宋" w:cs="仿宋"/>
          <w:b w:val="0"/>
          <w:bCs w:val="0"/>
          <w:color w:val="auto"/>
          <w:kern w:val="0"/>
          <w:sz w:val="21"/>
          <w:szCs w:val="21"/>
          <w:highlight w:val="none"/>
          <w:lang w:val="en-US"/>
        </w:rPr>
        <w:t>4.2.13 投标文件不满足招标文件的其它实质性要求的；</w:t>
      </w:r>
    </w:p>
    <w:p w14:paraId="18D2A800">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4.2.14法律、法规、规章（适用本市的）及省级以上规范性文件（适用本市的）规定的其他无效情形。</w:t>
      </w:r>
    </w:p>
    <w:p w14:paraId="2595BCE3">
      <w:pPr>
        <w:pStyle w:val="25"/>
        <w:snapToGrid w:val="0"/>
        <w:spacing w:line="360" w:lineRule="auto"/>
        <w:ind w:firstLine="413" w:firstLineChars="196"/>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5.废标。</w:t>
      </w:r>
      <w:r>
        <w:rPr>
          <w:rFonts w:hint="eastAsia" w:ascii="仿宋" w:hAnsi="仿宋" w:eastAsia="仿宋" w:cs="仿宋"/>
          <w:color w:val="auto"/>
          <w:sz w:val="21"/>
          <w:szCs w:val="21"/>
          <w:highlight w:val="none"/>
        </w:rPr>
        <w:t>根据《中华人民共和国政府采购法》第三十六条之规定，在采购中，出现下列情形之一的，应予废标：</w:t>
      </w:r>
    </w:p>
    <w:p w14:paraId="60AE5A16">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5.1符合专业条件的供应商或者对招标文件作实质响应的供应商不足3家的；</w:t>
      </w:r>
    </w:p>
    <w:p w14:paraId="6B7AF9A8">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5.2出现影响采购公正的违法、违规行为的；</w:t>
      </w:r>
    </w:p>
    <w:p w14:paraId="5D5293C3">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5.3投标人的报价均超过了采购预算，采购人不能支付的；</w:t>
      </w:r>
    </w:p>
    <w:p w14:paraId="14B30B55">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5.4因重大变故，采购任务取消的。</w:t>
      </w:r>
    </w:p>
    <w:p w14:paraId="272EC09B">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废标后，</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应当将废标理由通知所有投标人。</w:t>
      </w:r>
    </w:p>
    <w:p w14:paraId="36F44D5D">
      <w:pPr>
        <w:pStyle w:val="25"/>
        <w:snapToGrid w:val="0"/>
        <w:spacing w:line="360" w:lineRule="auto"/>
        <w:ind w:firstLine="517" w:firstLineChars="245"/>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6.修改招标文件，重新组织采购活动。</w:t>
      </w:r>
      <w:r>
        <w:rPr>
          <w:rFonts w:hint="eastAsia" w:ascii="仿宋" w:hAnsi="仿宋" w:eastAsia="仿宋" w:cs="仿宋"/>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沟通并作书面记录。采购人、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确认后，将修改招标文件，重新组织采购活动。</w:t>
      </w:r>
    </w:p>
    <w:p w14:paraId="15B5D85A">
      <w:pPr>
        <w:pStyle w:val="25"/>
        <w:snapToGrid w:val="0"/>
        <w:spacing w:line="360" w:lineRule="auto"/>
        <w:ind w:firstLine="482"/>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7.重新开展采购。</w:t>
      </w:r>
      <w:r>
        <w:rPr>
          <w:rFonts w:hint="eastAsia" w:ascii="仿宋" w:hAnsi="仿宋" w:eastAsia="仿宋" w:cs="仿宋"/>
          <w:color w:val="auto"/>
          <w:sz w:val="21"/>
          <w:szCs w:val="21"/>
          <w:highlight w:val="none"/>
        </w:rPr>
        <w:t>有政府采购法第七十一条、第七十二条规定的违法行为之一，影响或者可能影响中标结果的，依照下列规定处理：</w:t>
      </w:r>
    </w:p>
    <w:p w14:paraId="37E70A7B">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7.1未确定中标供应商的，终止本次政府采购活动，重新开展政府采购活动。</w:t>
      </w:r>
    </w:p>
    <w:p w14:paraId="0330DED6">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0D5AFFD3">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7.3政府采购合同已签订但尚未履行的，撤销合同，从合格的中标候选人中另行确定中标供应商；没有合格的中标候选人的，重新开展政府采购活动。</w:t>
      </w:r>
    </w:p>
    <w:p w14:paraId="056C8AB3">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7.4政府采购合同已经履行，给采购人、供应商造成损失的，由责任人承担赔偿责任。</w:t>
      </w:r>
    </w:p>
    <w:p w14:paraId="0F186685">
      <w:pPr>
        <w:pStyle w:val="25"/>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2CF6492">
      <w:pPr>
        <w:pStyle w:val="25"/>
        <w:snapToGrid w:val="0"/>
        <w:spacing w:line="360" w:lineRule="auto"/>
        <w:ind w:firstLine="0" w:firstLineChars="0"/>
        <w:rPr>
          <w:rFonts w:hint="eastAsia" w:ascii="仿宋" w:hAnsi="仿宋" w:eastAsia="仿宋" w:cs="仿宋"/>
          <w:color w:val="auto"/>
          <w:sz w:val="21"/>
          <w:szCs w:val="21"/>
          <w:highlight w:val="none"/>
        </w:rPr>
      </w:pPr>
    </w:p>
    <w:bookmarkEnd w:id="34"/>
    <w:p w14:paraId="08F0C767">
      <w:pPr>
        <w:spacing w:line="360" w:lineRule="auto"/>
        <w:ind w:left="720" w:leftChars="343" w:firstLine="632" w:firstLineChars="300"/>
        <w:outlineLvl w:val="0"/>
        <w:rPr>
          <w:rFonts w:hint="eastAsia" w:ascii="仿宋" w:hAnsi="仿宋" w:eastAsia="仿宋" w:cs="仿宋"/>
          <w:b/>
          <w:color w:val="auto"/>
          <w:sz w:val="21"/>
          <w:szCs w:val="21"/>
          <w:highlight w:val="none"/>
        </w:rPr>
      </w:pPr>
      <w:bookmarkStart w:id="403" w:name="第五部分"/>
      <w:bookmarkStart w:id="404" w:name="_Toc86217003"/>
    </w:p>
    <w:p w14:paraId="74D0980A">
      <w:pPr>
        <w:spacing w:line="360" w:lineRule="auto"/>
        <w:ind w:left="720" w:leftChars="343" w:firstLine="632" w:firstLineChars="300"/>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 xml:space="preserve">    </w:t>
      </w:r>
    </w:p>
    <w:p w14:paraId="60E36C44">
      <w:pPr>
        <w:spacing w:line="360" w:lineRule="auto"/>
        <w:ind w:left="720" w:leftChars="343" w:firstLine="632" w:firstLineChars="300"/>
        <w:outlineLvl w:val="0"/>
        <w:rPr>
          <w:rFonts w:hint="eastAsia" w:ascii="仿宋" w:hAnsi="仿宋" w:eastAsia="仿宋" w:cs="仿宋"/>
          <w:b/>
          <w:color w:val="auto"/>
          <w:sz w:val="21"/>
          <w:szCs w:val="21"/>
          <w:highlight w:val="none"/>
        </w:rPr>
      </w:pPr>
    </w:p>
    <w:p w14:paraId="7CF23214">
      <w:pPr>
        <w:spacing w:line="360" w:lineRule="auto"/>
        <w:ind w:left="720" w:leftChars="343" w:firstLine="632" w:firstLineChars="300"/>
        <w:outlineLvl w:val="0"/>
        <w:rPr>
          <w:rFonts w:hint="eastAsia" w:ascii="仿宋" w:hAnsi="仿宋" w:eastAsia="仿宋" w:cs="仿宋"/>
          <w:b/>
          <w:color w:val="auto"/>
          <w:sz w:val="21"/>
          <w:szCs w:val="21"/>
          <w:highlight w:val="none"/>
        </w:rPr>
      </w:pPr>
    </w:p>
    <w:p w14:paraId="714A069D">
      <w:pPr>
        <w:spacing w:line="360" w:lineRule="auto"/>
        <w:ind w:left="720" w:leftChars="343" w:firstLine="632" w:firstLineChars="300"/>
        <w:outlineLvl w:val="0"/>
        <w:rPr>
          <w:rFonts w:hint="eastAsia" w:ascii="仿宋" w:hAnsi="仿宋" w:eastAsia="仿宋" w:cs="仿宋"/>
          <w:b/>
          <w:color w:val="auto"/>
          <w:sz w:val="21"/>
          <w:szCs w:val="21"/>
          <w:highlight w:val="none"/>
        </w:rPr>
      </w:pPr>
    </w:p>
    <w:p w14:paraId="62FFC724">
      <w:pPr>
        <w:spacing w:line="360" w:lineRule="auto"/>
        <w:ind w:left="720" w:leftChars="343" w:firstLine="632" w:firstLineChars="300"/>
        <w:outlineLvl w:val="0"/>
        <w:rPr>
          <w:rFonts w:hint="eastAsia" w:ascii="仿宋" w:hAnsi="仿宋" w:eastAsia="仿宋" w:cs="仿宋"/>
          <w:b/>
          <w:color w:val="auto"/>
          <w:sz w:val="21"/>
          <w:szCs w:val="21"/>
          <w:highlight w:val="none"/>
        </w:rPr>
      </w:pPr>
    </w:p>
    <w:p w14:paraId="677230D0">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507321A">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1F08820">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405" w:name="_Toc23763"/>
      <w:r>
        <w:rPr>
          <w:rFonts w:hint="eastAsia" w:ascii="仿宋" w:hAnsi="仿宋" w:eastAsia="仿宋" w:cs="仿宋"/>
          <w:b/>
          <w:color w:val="auto"/>
          <w:sz w:val="36"/>
          <w:szCs w:val="36"/>
          <w:highlight w:val="none"/>
        </w:rPr>
        <w:t>第五部分 拟签订的合同文本</w:t>
      </w:r>
      <w:bookmarkEnd w:id="405"/>
    </w:p>
    <w:p w14:paraId="5DA7111D">
      <w:pPr>
        <w:jc w:val="righ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327F921">
      <w:pPr>
        <w:spacing w:line="480" w:lineRule="auto"/>
        <w:jc w:val="center"/>
        <w:rPr>
          <w:rFonts w:hint="eastAsia" w:ascii="仿宋" w:hAnsi="仿宋" w:eastAsia="仿宋" w:cs="仿宋"/>
          <w:b/>
          <w:color w:val="auto"/>
          <w:sz w:val="28"/>
          <w:szCs w:val="28"/>
          <w:highlight w:val="none"/>
        </w:rPr>
      </w:pPr>
    </w:p>
    <w:p w14:paraId="4A09543C">
      <w:pPr>
        <w:spacing w:line="480" w:lineRule="auto"/>
        <w:jc w:val="center"/>
        <w:rPr>
          <w:rFonts w:hint="eastAsia" w:ascii="仿宋" w:hAnsi="仿宋" w:eastAsia="仿宋" w:cs="仿宋"/>
          <w:b/>
          <w:color w:val="auto"/>
          <w:sz w:val="24"/>
          <w:highlight w:val="none"/>
        </w:rPr>
      </w:pPr>
    </w:p>
    <w:p w14:paraId="73C56BA3">
      <w:pPr>
        <w:spacing w:before="120" w:line="22" w:lineRule="atLeast"/>
        <w:rPr>
          <w:rFonts w:hint="eastAsia" w:ascii="仿宋" w:hAnsi="仿宋" w:eastAsia="仿宋" w:cs="仿宋"/>
          <w:color w:val="auto"/>
          <w:sz w:val="24"/>
          <w:highlight w:val="none"/>
        </w:rPr>
      </w:pPr>
    </w:p>
    <w:p w14:paraId="753B1D16">
      <w:pPr>
        <w:pStyle w:val="4"/>
        <w:rPr>
          <w:rFonts w:hint="eastAsia" w:ascii="仿宋" w:hAnsi="仿宋" w:eastAsia="仿宋" w:cs="仿宋"/>
          <w:color w:val="auto"/>
          <w:highlight w:val="none"/>
        </w:rPr>
      </w:pPr>
    </w:p>
    <w:p w14:paraId="7CFED5F5">
      <w:pPr>
        <w:rPr>
          <w:rFonts w:hint="eastAsia" w:ascii="仿宋" w:hAnsi="仿宋" w:eastAsia="仿宋" w:cs="仿宋"/>
          <w:color w:val="auto"/>
          <w:highlight w:val="none"/>
        </w:rPr>
      </w:pPr>
    </w:p>
    <w:p w14:paraId="657A42D9">
      <w:pPr>
        <w:pStyle w:val="2"/>
        <w:rPr>
          <w:rFonts w:hint="eastAsia" w:ascii="仿宋" w:hAnsi="仿宋" w:eastAsia="仿宋" w:cs="仿宋"/>
          <w:color w:val="auto"/>
          <w:highlight w:val="none"/>
        </w:rPr>
      </w:pPr>
    </w:p>
    <w:p w14:paraId="1D1FEA6E">
      <w:pPr>
        <w:pStyle w:val="2"/>
        <w:rPr>
          <w:rFonts w:hint="eastAsia" w:ascii="仿宋" w:hAnsi="仿宋" w:eastAsia="仿宋" w:cs="仿宋"/>
          <w:color w:val="auto"/>
          <w:highlight w:val="none"/>
        </w:rPr>
      </w:pPr>
    </w:p>
    <w:p w14:paraId="00BD4092">
      <w:pPr>
        <w:pStyle w:val="2"/>
        <w:rPr>
          <w:rFonts w:hint="eastAsia" w:ascii="仿宋" w:hAnsi="仿宋" w:eastAsia="仿宋" w:cs="仿宋"/>
          <w:color w:val="auto"/>
          <w:highlight w:val="none"/>
        </w:rPr>
      </w:pPr>
    </w:p>
    <w:p w14:paraId="1F8D51B8">
      <w:pPr>
        <w:pStyle w:val="2"/>
        <w:rPr>
          <w:rFonts w:hint="eastAsia" w:ascii="仿宋" w:hAnsi="仿宋" w:eastAsia="仿宋" w:cs="仿宋"/>
          <w:color w:val="auto"/>
          <w:highlight w:val="none"/>
        </w:rPr>
      </w:pPr>
    </w:p>
    <w:p w14:paraId="4C8D498E">
      <w:pPr>
        <w:pStyle w:val="2"/>
        <w:rPr>
          <w:rFonts w:hint="eastAsia" w:ascii="仿宋" w:hAnsi="仿宋" w:eastAsia="仿宋" w:cs="仿宋"/>
          <w:color w:val="auto"/>
          <w:highlight w:val="none"/>
        </w:rPr>
      </w:pPr>
    </w:p>
    <w:p w14:paraId="69641033">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val="en-US" w:eastAsia="zh-CN"/>
        </w:rPr>
        <w:t>杭州市市民中心公务服务及会议中心劳务服务外包人员经费</w:t>
      </w:r>
      <w:r>
        <w:rPr>
          <w:rFonts w:hint="eastAsia" w:ascii="仿宋" w:hAnsi="仿宋" w:eastAsia="仿宋" w:cs="仿宋"/>
          <w:color w:val="auto"/>
          <w:sz w:val="24"/>
          <w:highlight w:val="none"/>
          <w:u w:val="single"/>
        </w:rPr>
        <w:t xml:space="preserve"> </w:t>
      </w:r>
    </w:p>
    <w:p w14:paraId="09102C10">
      <w:pPr>
        <w:rPr>
          <w:rFonts w:hint="eastAsia" w:ascii="仿宋" w:hAnsi="仿宋" w:eastAsia="仿宋" w:cs="仿宋"/>
          <w:color w:val="auto"/>
          <w:sz w:val="24"/>
          <w:highlight w:val="none"/>
          <w:lang w:eastAsia="zh-CN"/>
        </w:rPr>
      </w:pPr>
    </w:p>
    <w:p w14:paraId="68963318">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C68FE6B">
      <w:pPr>
        <w:spacing w:before="120" w:line="22" w:lineRule="atLeast"/>
        <w:rPr>
          <w:rFonts w:hint="eastAsia" w:ascii="仿宋" w:hAnsi="仿宋" w:eastAsia="仿宋" w:cs="仿宋"/>
          <w:color w:val="auto"/>
          <w:sz w:val="24"/>
          <w:highlight w:val="none"/>
        </w:rPr>
      </w:pPr>
    </w:p>
    <w:p w14:paraId="0A3D253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D6FA93B">
      <w:pPr>
        <w:spacing w:before="120" w:line="22" w:lineRule="atLeast"/>
        <w:rPr>
          <w:rFonts w:ascii="仿宋" w:hAnsi="仿宋" w:eastAsia="仿宋"/>
          <w:color w:val="auto"/>
          <w:sz w:val="24"/>
          <w:highlight w:val="none"/>
        </w:rPr>
      </w:pPr>
    </w:p>
    <w:p w14:paraId="005F3E54">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hint="eastAsia" w:ascii="仿宋" w:hAnsi="仿宋" w:eastAsia="仿宋"/>
          <w:color w:val="auto"/>
          <w:sz w:val="24"/>
          <w:highlight w:val="none"/>
          <w:u w:val="single"/>
        </w:rPr>
        <w:t xml:space="preserve">杭州市 </w:t>
      </w:r>
    </w:p>
    <w:p w14:paraId="35F2BB7C">
      <w:pPr>
        <w:spacing w:before="120" w:line="22" w:lineRule="atLeast"/>
        <w:rPr>
          <w:rFonts w:hint="eastAsia" w:ascii="仿宋" w:hAnsi="仿宋" w:eastAsia="仿宋" w:cs="仿宋"/>
          <w:color w:val="auto"/>
          <w:sz w:val="24"/>
          <w:highlight w:val="none"/>
        </w:rPr>
      </w:pPr>
    </w:p>
    <w:p w14:paraId="2690A65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9BA67EF">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3FD348EB">
      <w:pPr>
        <w:rPr>
          <w:rFonts w:hint="eastAsia" w:ascii="仿宋" w:hAnsi="仿宋" w:eastAsia="仿宋" w:cs="仿宋"/>
          <w:b/>
          <w:color w:val="auto"/>
          <w:sz w:val="24"/>
          <w:highlight w:val="none"/>
        </w:rPr>
      </w:pPr>
    </w:p>
    <w:p w14:paraId="29A4087E">
      <w:pPr>
        <w:jc w:val="center"/>
        <w:rPr>
          <w:rFonts w:ascii="仿宋" w:hAnsi="仿宋" w:eastAsia="仿宋"/>
          <w:color w:val="auto"/>
          <w:sz w:val="24"/>
          <w:highlight w:val="none"/>
        </w:rPr>
      </w:pPr>
    </w:p>
    <w:p w14:paraId="3A3BEBCE">
      <w:pPr>
        <w:pStyle w:val="33"/>
        <w:snapToGrid w:val="0"/>
        <w:spacing w:line="360" w:lineRule="auto"/>
        <w:ind w:firstLine="482"/>
        <w:jc w:val="center"/>
        <w:rPr>
          <w:rFonts w:hAnsi="宋体"/>
          <w:b/>
          <w:color w:val="auto"/>
          <w:highlight w:val="none"/>
        </w:rPr>
      </w:pPr>
      <w:r>
        <w:rPr>
          <w:rFonts w:hint="eastAsia" w:hAnsi="宋体"/>
          <w:b/>
          <w:color w:val="auto"/>
          <w:highlight w:val="none"/>
        </w:rPr>
        <w:t>（合同样稿，最终稿由双方协商后确定）</w:t>
      </w:r>
    </w:p>
    <w:p w14:paraId="64F71EAC">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甲方： </w:t>
      </w:r>
      <w:r>
        <w:rPr>
          <w:rFonts w:hint="eastAsia" w:ascii="仿宋" w:hAnsi="仿宋" w:eastAsia="仿宋" w:cs="仿宋"/>
          <w:color w:val="auto"/>
          <w:sz w:val="21"/>
          <w:szCs w:val="21"/>
          <w:highlight w:val="none"/>
          <w:u w:val="single"/>
        </w:rPr>
        <w:t>杭州市行政大楼服务保障中心</w:t>
      </w:r>
    </w:p>
    <w:p w14:paraId="38579E9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7346EE02">
      <w:pPr>
        <w:snapToGrid w:val="0"/>
        <w:spacing w:line="360" w:lineRule="auto"/>
        <w:ind w:firstLine="422"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b/>
          <w:bCs/>
          <w:snapToGrid w:val="0"/>
          <w:color w:val="auto"/>
          <w:kern w:val="0"/>
          <w:sz w:val="21"/>
          <w:szCs w:val="21"/>
          <w:highlight w:val="none"/>
        </w:rPr>
        <w:t>根据</w:t>
      </w:r>
      <w:r>
        <w:rPr>
          <w:rFonts w:hint="eastAsia" w:ascii="仿宋" w:hAnsi="仿宋" w:eastAsia="仿宋" w:cs="仿宋"/>
          <w:b/>
          <w:bCs/>
          <w:snapToGrid w:val="0"/>
          <w:color w:val="auto"/>
          <w:kern w:val="0"/>
          <w:sz w:val="21"/>
          <w:szCs w:val="21"/>
          <w:highlight w:val="none"/>
          <w:lang w:eastAsia="zh-CN"/>
        </w:rPr>
        <w:t>《</w:t>
      </w:r>
      <w:r>
        <w:rPr>
          <w:rFonts w:hint="eastAsia" w:ascii="仿宋" w:hAnsi="仿宋" w:eastAsia="仿宋" w:cs="仿宋"/>
          <w:b/>
          <w:bCs/>
          <w:snapToGrid w:val="0"/>
          <w:color w:val="auto"/>
          <w:kern w:val="0"/>
          <w:sz w:val="21"/>
          <w:szCs w:val="21"/>
          <w:highlight w:val="none"/>
          <w:lang w:val="en-US" w:eastAsia="zh-CN"/>
        </w:rPr>
        <w:t>中华人民共和国政府采购法</w:t>
      </w:r>
      <w:r>
        <w:rPr>
          <w:rFonts w:hint="eastAsia" w:ascii="仿宋" w:hAnsi="仿宋" w:eastAsia="仿宋" w:cs="仿宋"/>
          <w:b/>
          <w:bCs/>
          <w:snapToGrid w:val="0"/>
          <w:color w:val="auto"/>
          <w:kern w:val="0"/>
          <w:sz w:val="21"/>
          <w:szCs w:val="21"/>
          <w:highlight w:val="none"/>
          <w:lang w:eastAsia="zh-CN"/>
        </w:rPr>
        <w:t>》、</w:t>
      </w:r>
      <w:r>
        <w:rPr>
          <w:rFonts w:hint="eastAsia" w:ascii="仿宋" w:hAnsi="仿宋" w:eastAsia="仿宋" w:cs="仿宋"/>
          <w:b/>
          <w:bCs/>
          <w:snapToGrid w:val="0"/>
          <w:color w:val="auto"/>
          <w:kern w:val="0"/>
          <w:sz w:val="21"/>
          <w:szCs w:val="21"/>
          <w:highlight w:val="none"/>
        </w:rPr>
        <w:t>《中华人民共和国民法典》等有关法律法规的规定，杭州市行政大楼服务保障中心(甲方)经过公开招标 ，确定乙方为服务单位。经协商达成以下条款</w:t>
      </w:r>
      <w:r>
        <w:rPr>
          <w:rFonts w:hint="eastAsia" w:ascii="仿宋" w:hAnsi="仿宋" w:eastAsia="仿宋" w:cs="仿宋"/>
          <w:snapToGrid w:val="0"/>
          <w:color w:val="auto"/>
          <w:kern w:val="0"/>
          <w:sz w:val="21"/>
          <w:szCs w:val="21"/>
          <w:highlight w:val="none"/>
        </w:rPr>
        <w:t>：</w:t>
      </w:r>
    </w:p>
    <w:p w14:paraId="0FDE5046">
      <w:pPr>
        <w:numPr>
          <w:ilvl w:val="0"/>
          <w:numId w:val="3"/>
        </w:numPr>
        <w:adjustRightInd w:val="0"/>
        <w:snapToGrid w:val="0"/>
        <w:spacing w:line="360" w:lineRule="auto"/>
        <w:ind w:firstLine="422" w:firstLineChars="2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合同标的：</w:t>
      </w:r>
    </w:p>
    <w:p w14:paraId="5C5653E1">
      <w:pPr>
        <w:numPr>
          <w:ilvl w:val="0"/>
          <w:numId w:val="0"/>
        </w:numPr>
        <w:adjustRightInd w:val="0"/>
        <w:snapToGrid w:val="0"/>
        <w:spacing w:line="360" w:lineRule="auto"/>
        <w:ind w:firstLine="422" w:firstLineChars="200"/>
        <w:jc w:val="left"/>
        <w:rPr>
          <w:rFonts w:hint="default"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eastAsia="zh-CN"/>
        </w:rPr>
        <w:fldChar w:fldCharType="begin"/>
      </w:r>
      <w:r>
        <w:rPr>
          <w:rFonts w:hint="eastAsia" w:ascii="仿宋" w:hAnsi="仿宋" w:eastAsia="仿宋" w:cs="仿宋"/>
          <w:b/>
          <w:bCs/>
          <w:color w:val="auto"/>
          <w:sz w:val="21"/>
          <w:szCs w:val="21"/>
          <w:highlight w:val="none"/>
          <w:lang w:eastAsia="zh-CN"/>
        </w:rPr>
        <w:instrText xml:space="preserve"> HYPERLINK "javascript:;" </w:instrText>
      </w:r>
      <w:r>
        <w:rPr>
          <w:rFonts w:hint="eastAsia" w:ascii="仿宋" w:hAnsi="仿宋" w:eastAsia="仿宋" w:cs="仿宋"/>
          <w:b/>
          <w:bCs/>
          <w:color w:val="auto"/>
          <w:sz w:val="21"/>
          <w:szCs w:val="21"/>
          <w:highlight w:val="none"/>
          <w:lang w:eastAsia="zh-CN"/>
        </w:rPr>
        <w:fldChar w:fldCharType="separate"/>
      </w:r>
      <w:r>
        <w:rPr>
          <w:rFonts w:hint="eastAsia" w:ascii="仿宋" w:hAnsi="仿宋" w:eastAsia="仿宋" w:cs="仿宋"/>
          <w:b/>
          <w:bCs/>
          <w:color w:val="auto"/>
          <w:sz w:val="21"/>
          <w:szCs w:val="21"/>
          <w:highlight w:val="none"/>
          <w:lang w:eastAsia="zh-CN"/>
        </w:rPr>
        <w:t>杭州市市民中心公务服务及会议中心劳务服务外包人员经费</w:t>
      </w:r>
      <w:r>
        <w:rPr>
          <w:rFonts w:hint="eastAsia" w:ascii="仿宋" w:hAnsi="仿宋" w:eastAsia="仿宋" w:cs="仿宋"/>
          <w:b/>
          <w:bCs/>
          <w:color w:val="auto"/>
          <w:sz w:val="21"/>
          <w:szCs w:val="21"/>
          <w:highlight w:val="none"/>
          <w:lang w:eastAsia="zh-CN"/>
        </w:rPr>
        <w:fldChar w:fldCharType="end"/>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包括以下内容：</w:t>
      </w:r>
    </w:p>
    <w:p w14:paraId="0D39CCFB">
      <w:pP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1、会议中心内会议厅及配套接待厅（室）共26间的会议服务保障工作。</w:t>
      </w:r>
    </w:p>
    <w:p w14:paraId="2E47C0A2">
      <w:pP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2、市民中心部分公务楼层办公室、会议室</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健身房</w:t>
      </w:r>
      <w:r>
        <w:rPr>
          <w:rFonts w:hint="eastAsia" w:ascii="仿宋" w:hAnsi="仿宋" w:eastAsia="仿宋" w:cs="仿宋"/>
          <w:color w:val="auto"/>
          <w:sz w:val="21"/>
          <w:szCs w:val="21"/>
          <w:highlight w:val="none"/>
        </w:rPr>
        <w:t>及接待休息室</w:t>
      </w:r>
      <w:r>
        <w:rPr>
          <w:rFonts w:hint="eastAsia" w:ascii="仿宋" w:hAnsi="仿宋" w:eastAsia="仿宋" w:cs="仿宋"/>
          <w:color w:val="auto"/>
          <w:sz w:val="21"/>
          <w:szCs w:val="21"/>
          <w:highlight w:val="none"/>
          <w:lang w:val="en-US" w:eastAsia="zh-CN"/>
        </w:rPr>
        <w:t>共100</w:t>
      </w:r>
      <w:r>
        <w:rPr>
          <w:rFonts w:hint="eastAsia" w:ascii="仿宋" w:hAnsi="仿宋" w:eastAsia="仿宋" w:cs="仿宋"/>
          <w:color w:val="auto"/>
          <w:sz w:val="21"/>
          <w:szCs w:val="21"/>
          <w:highlight w:val="none"/>
        </w:rPr>
        <w:t>间的服务保障工作。（最终数量根据实际需求确定）。</w:t>
      </w:r>
    </w:p>
    <w:p w14:paraId="3C5F9693">
      <w:pP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3、市委全委会年度会</w:t>
      </w:r>
      <w:r>
        <w:rPr>
          <w:rFonts w:hint="eastAsia" w:ascii="仿宋" w:hAnsi="仿宋" w:eastAsia="仿宋" w:cs="仿宋"/>
          <w:color w:val="auto"/>
          <w:sz w:val="21"/>
          <w:szCs w:val="21"/>
          <w:highlight w:val="none"/>
          <w:lang w:val="en-US" w:eastAsia="zh-CN"/>
        </w:rPr>
        <w:t>议</w:t>
      </w:r>
      <w:r>
        <w:rPr>
          <w:rFonts w:hint="eastAsia" w:ascii="仿宋" w:hAnsi="仿宋" w:eastAsia="仿宋" w:cs="仿宋"/>
          <w:color w:val="auto"/>
          <w:sz w:val="21"/>
          <w:szCs w:val="21"/>
          <w:highlight w:val="none"/>
        </w:rPr>
        <w:t>服务保障。</w:t>
      </w:r>
    </w:p>
    <w:p w14:paraId="0C58FD07">
      <w:pP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4、市民中心区域内的</w:t>
      </w:r>
      <w:r>
        <w:rPr>
          <w:rFonts w:hint="eastAsia" w:ascii="仿宋" w:hAnsi="仿宋" w:eastAsia="仿宋" w:cs="仿宋"/>
          <w:color w:val="auto"/>
          <w:sz w:val="21"/>
          <w:szCs w:val="21"/>
          <w:highlight w:val="none"/>
          <w:lang w:val="en-US" w:eastAsia="zh-CN"/>
        </w:rPr>
        <w:t>重大</w:t>
      </w:r>
      <w:r>
        <w:rPr>
          <w:rFonts w:hint="eastAsia" w:ascii="仿宋" w:hAnsi="仿宋" w:eastAsia="仿宋" w:cs="仿宋"/>
          <w:color w:val="auto"/>
          <w:sz w:val="21"/>
          <w:szCs w:val="21"/>
          <w:highlight w:val="none"/>
        </w:rPr>
        <w:t>应急保障服务以及其它临时性服务保障工作。</w:t>
      </w:r>
    </w:p>
    <w:p w14:paraId="1935B503">
      <w:pPr>
        <w:adjustRightInd w:val="0"/>
        <w:snapToGrid w:val="0"/>
        <w:spacing w:line="360" w:lineRule="auto"/>
        <w:ind w:firstLine="422" w:firstLineChars="2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二、合同期限：</w:t>
      </w:r>
    </w:p>
    <w:p w14:paraId="02513A6F">
      <w:pPr>
        <w:adjustRightInd w:val="0"/>
        <w:snapToGrid w:val="0"/>
        <w:spacing w:line="360" w:lineRule="auto"/>
        <w:ind w:firstLine="422"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b/>
          <w:bCs/>
          <w:color w:val="auto"/>
          <w:sz w:val="21"/>
          <w:szCs w:val="21"/>
          <w:highlight w:val="none"/>
        </w:rPr>
        <w:t>合同期限1年，</w:t>
      </w:r>
      <w:r>
        <w:rPr>
          <w:rFonts w:hint="eastAsia" w:ascii="仿宋" w:hAnsi="仿宋" w:eastAsia="仿宋" w:cs="仿宋"/>
          <w:b/>
          <w:bCs/>
          <w:color w:val="auto"/>
          <w:sz w:val="21"/>
          <w:szCs w:val="21"/>
          <w:highlight w:val="none"/>
          <w:lang w:val="en-US" w:eastAsia="zh-CN"/>
        </w:rPr>
        <w:t>自</w:t>
      </w:r>
      <w:r>
        <w:rPr>
          <w:rFonts w:hint="eastAsia" w:ascii="仿宋" w:hAnsi="仿宋" w:eastAsia="仿宋" w:cs="仿宋"/>
          <w:b/>
          <w:bCs/>
          <w:color w:val="auto"/>
          <w:sz w:val="21"/>
          <w:szCs w:val="21"/>
          <w:highlight w:val="none"/>
          <w:u w:val="single"/>
          <w:lang w:val="en-US" w:eastAsia="zh-CN"/>
        </w:rPr>
        <w:t>2025年1月1日</w:t>
      </w:r>
      <w:r>
        <w:rPr>
          <w:rFonts w:hint="eastAsia" w:ascii="仿宋" w:hAnsi="仿宋" w:eastAsia="仿宋" w:cs="仿宋"/>
          <w:b/>
          <w:bCs/>
          <w:color w:val="auto"/>
          <w:sz w:val="21"/>
          <w:szCs w:val="21"/>
          <w:highlight w:val="none"/>
          <w:u w:val="single"/>
        </w:rPr>
        <w:t>至</w:t>
      </w:r>
      <w:r>
        <w:rPr>
          <w:rFonts w:hint="eastAsia" w:ascii="仿宋" w:hAnsi="仿宋" w:eastAsia="仿宋" w:cs="仿宋"/>
          <w:b/>
          <w:bCs/>
          <w:color w:val="auto"/>
          <w:sz w:val="21"/>
          <w:szCs w:val="21"/>
          <w:highlight w:val="none"/>
          <w:u w:val="single"/>
          <w:lang w:val="en-US" w:eastAsia="zh-CN"/>
        </w:rPr>
        <w:t>2025</w:t>
      </w:r>
      <w:r>
        <w:rPr>
          <w:rFonts w:hint="eastAsia" w:ascii="仿宋" w:hAnsi="仿宋" w:eastAsia="仿宋" w:cs="仿宋"/>
          <w:b/>
          <w:bCs/>
          <w:color w:val="auto"/>
          <w:sz w:val="21"/>
          <w:szCs w:val="21"/>
          <w:highlight w:val="none"/>
          <w:u w:val="single"/>
        </w:rPr>
        <w:t>年</w:t>
      </w:r>
      <w:r>
        <w:rPr>
          <w:rFonts w:hint="eastAsia" w:ascii="仿宋" w:hAnsi="仿宋" w:eastAsia="仿宋" w:cs="仿宋"/>
          <w:b/>
          <w:bCs/>
          <w:color w:val="auto"/>
          <w:sz w:val="21"/>
          <w:szCs w:val="21"/>
          <w:highlight w:val="none"/>
          <w:u w:val="single"/>
          <w:lang w:val="en-US" w:eastAsia="zh-CN"/>
        </w:rPr>
        <w:t>12</w:t>
      </w:r>
      <w:r>
        <w:rPr>
          <w:rFonts w:hint="eastAsia" w:ascii="仿宋" w:hAnsi="仿宋" w:eastAsia="仿宋" w:cs="仿宋"/>
          <w:b/>
          <w:bCs/>
          <w:color w:val="auto"/>
          <w:sz w:val="21"/>
          <w:szCs w:val="21"/>
          <w:highlight w:val="none"/>
          <w:u w:val="single"/>
        </w:rPr>
        <w:t>月</w:t>
      </w:r>
      <w:r>
        <w:rPr>
          <w:rFonts w:hint="eastAsia" w:ascii="仿宋" w:hAnsi="仿宋" w:eastAsia="仿宋" w:cs="仿宋"/>
          <w:b/>
          <w:bCs/>
          <w:color w:val="auto"/>
          <w:sz w:val="21"/>
          <w:szCs w:val="21"/>
          <w:highlight w:val="none"/>
          <w:u w:val="single"/>
          <w:lang w:val="en-US" w:eastAsia="zh-CN"/>
        </w:rPr>
        <w:t>31</w:t>
      </w:r>
      <w:r>
        <w:rPr>
          <w:rFonts w:hint="eastAsia" w:ascii="仿宋" w:hAnsi="仿宋" w:eastAsia="仿宋" w:cs="仿宋"/>
          <w:b/>
          <w:bCs/>
          <w:color w:val="auto"/>
          <w:sz w:val="21"/>
          <w:szCs w:val="21"/>
          <w:highlight w:val="none"/>
          <w:u w:val="single"/>
        </w:rPr>
        <w:t xml:space="preserve"> </w:t>
      </w:r>
      <w:r>
        <w:rPr>
          <w:rFonts w:hint="eastAsia" w:ascii="仿宋" w:hAnsi="仿宋" w:eastAsia="仿宋" w:cs="仿宋"/>
          <w:b/>
          <w:bCs/>
          <w:color w:val="auto"/>
          <w:sz w:val="21"/>
          <w:szCs w:val="21"/>
          <w:highlight w:val="none"/>
        </w:rPr>
        <w:t>日止。合同期满，乙方根据甲方的要求延续提供1-</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个月的服务，费用标准按</w:t>
      </w:r>
      <w:r>
        <w:rPr>
          <w:rFonts w:hint="eastAsia" w:ascii="仿宋" w:hAnsi="仿宋" w:eastAsia="仿宋" w:cs="仿宋"/>
          <w:b/>
          <w:bCs/>
          <w:color w:val="auto"/>
          <w:sz w:val="21"/>
          <w:szCs w:val="21"/>
          <w:highlight w:val="none"/>
          <w:lang w:val="en-US" w:eastAsia="zh-CN"/>
        </w:rPr>
        <w:t>新</w:t>
      </w:r>
      <w:r>
        <w:rPr>
          <w:rFonts w:hint="eastAsia" w:ascii="仿宋" w:hAnsi="仿宋" w:eastAsia="仿宋" w:cs="仿宋"/>
          <w:b/>
          <w:bCs/>
          <w:color w:val="auto"/>
          <w:sz w:val="21"/>
          <w:szCs w:val="21"/>
          <w:highlight w:val="none"/>
        </w:rPr>
        <w:t>合同规定执行，</w:t>
      </w:r>
      <w:r>
        <w:rPr>
          <w:rFonts w:hint="eastAsia" w:ascii="仿宋" w:hAnsi="仿宋" w:eastAsia="仿宋" w:cs="仿宋"/>
          <w:b/>
          <w:bCs/>
          <w:snapToGrid w:val="0"/>
          <w:color w:val="auto"/>
          <w:kern w:val="0"/>
          <w:sz w:val="21"/>
          <w:szCs w:val="21"/>
          <w:highlight w:val="none"/>
        </w:rPr>
        <w:t>由本项目</w:t>
      </w:r>
      <w:r>
        <w:rPr>
          <w:rFonts w:hint="eastAsia" w:ascii="仿宋" w:hAnsi="仿宋" w:eastAsia="仿宋" w:cs="仿宋"/>
          <w:b/>
          <w:bCs/>
          <w:snapToGrid w:val="0"/>
          <w:color w:val="auto"/>
          <w:kern w:val="0"/>
          <w:sz w:val="21"/>
          <w:szCs w:val="21"/>
          <w:highlight w:val="none"/>
          <w:lang w:val="en-US" w:eastAsia="zh-CN"/>
        </w:rPr>
        <w:t>乙方</w:t>
      </w:r>
      <w:r>
        <w:rPr>
          <w:rFonts w:hint="eastAsia" w:ascii="仿宋" w:hAnsi="仿宋" w:eastAsia="仿宋" w:cs="仿宋"/>
          <w:b/>
          <w:bCs/>
          <w:snapToGrid w:val="0"/>
          <w:color w:val="auto"/>
          <w:kern w:val="0"/>
          <w:sz w:val="21"/>
          <w:szCs w:val="21"/>
          <w:highlight w:val="none"/>
        </w:rPr>
        <w:t>承担并支付</w:t>
      </w:r>
      <w:r>
        <w:rPr>
          <w:rFonts w:hint="eastAsia" w:ascii="仿宋" w:hAnsi="仿宋" w:eastAsia="仿宋" w:cs="仿宋"/>
          <w:snapToGrid w:val="0"/>
          <w:color w:val="auto"/>
          <w:kern w:val="0"/>
          <w:sz w:val="21"/>
          <w:szCs w:val="21"/>
          <w:highlight w:val="none"/>
        </w:rPr>
        <w:t>。</w:t>
      </w:r>
    </w:p>
    <w:p w14:paraId="57E4E859">
      <w:pPr>
        <w:adjustRightInd w:val="0"/>
        <w:snapToGrid w:val="0"/>
        <w:spacing w:line="360" w:lineRule="auto"/>
        <w:ind w:firstLine="422" w:firstLineChars="2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三、服务费及支付方式：</w:t>
      </w:r>
    </w:p>
    <w:p w14:paraId="00E1FD6D">
      <w:pP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1.合计服务费用人民币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万元（大写）（小写：￥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万元），甲方按月支付给乙方</w:t>
      </w:r>
      <w:r>
        <w:rPr>
          <w:rFonts w:hint="eastAsia" w:ascii="仿宋" w:hAnsi="仿宋" w:eastAsia="仿宋" w:cs="仿宋"/>
          <w:bCs/>
          <w:snapToGrid w:val="0"/>
          <w:color w:val="auto"/>
          <w:kern w:val="0"/>
          <w:sz w:val="21"/>
          <w:szCs w:val="21"/>
          <w:highlight w:val="none"/>
        </w:rPr>
        <w:t>（首月服务费</w:t>
      </w:r>
      <w:r>
        <w:rPr>
          <w:rFonts w:hint="eastAsia" w:ascii="仿宋" w:hAnsi="仿宋" w:eastAsia="仿宋" w:cs="仿宋"/>
          <w:bCs/>
          <w:snapToGrid w:val="0"/>
          <w:color w:val="auto"/>
          <w:kern w:val="0"/>
          <w:sz w:val="21"/>
          <w:szCs w:val="21"/>
          <w:highlight w:val="none"/>
          <w:lang w:val="en-US" w:eastAsia="zh-CN"/>
        </w:rPr>
        <w:t>无须监管考核</w:t>
      </w:r>
      <w:r>
        <w:rPr>
          <w:rFonts w:hint="eastAsia" w:ascii="仿宋" w:hAnsi="仿宋" w:eastAsia="仿宋" w:cs="仿宋"/>
          <w:bCs/>
          <w:snapToGrid w:val="0"/>
          <w:color w:val="auto"/>
          <w:kern w:val="0"/>
          <w:sz w:val="21"/>
          <w:szCs w:val="21"/>
          <w:highlight w:val="none"/>
        </w:rPr>
        <w:t>全额支付）</w:t>
      </w:r>
      <w:r>
        <w:rPr>
          <w:rFonts w:hint="eastAsia" w:ascii="仿宋" w:hAnsi="仿宋" w:eastAsia="仿宋" w:cs="仿宋"/>
          <w:color w:val="auto"/>
          <w:sz w:val="21"/>
          <w:szCs w:val="21"/>
          <w:highlight w:val="none"/>
        </w:rPr>
        <w:t>。乙方工作人员的工资等由乙方自行根据考核情况进行发放（含</w:t>
      </w:r>
      <w:r>
        <w:rPr>
          <w:rFonts w:hint="eastAsia" w:ascii="仿宋" w:hAnsi="仿宋" w:eastAsia="仿宋" w:cs="仿宋"/>
          <w:color w:val="auto"/>
          <w:kern w:val="0"/>
          <w:sz w:val="21"/>
          <w:szCs w:val="21"/>
          <w:highlight w:val="none"/>
        </w:rPr>
        <w:t>工作人员的国定假、双休日及重大活动的人员加班工资与工作人员服装费）。</w:t>
      </w:r>
    </w:p>
    <w:p w14:paraId="0ACE084A">
      <w:pPr>
        <w:snapToGrid w:val="0"/>
        <w:spacing w:line="360" w:lineRule="auto"/>
        <w:ind w:firstLine="422" w:firstLineChars="200"/>
        <w:jc w:val="left"/>
        <w:rPr>
          <w:rFonts w:ascii="仿宋" w:hAnsi="仿宋" w:eastAsia="仿宋"/>
          <w:color w:val="auto"/>
          <w:sz w:val="21"/>
          <w:szCs w:val="21"/>
          <w:highlight w:val="none"/>
        </w:rPr>
      </w:pPr>
      <w:r>
        <w:rPr>
          <w:rFonts w:hint="eastAsia" w:ascii="仿宋" w:hAnsi="仿宋" w:eastAsia="仿宋" w:cs="仿宋"/>
          <w:b/>
          <w:bCs/>
          <w:color w:val="auto"/>
          <w:kern w:val="0"/>
          <w:sz w:val="21"/>
          <w:szCs w:val="21"/>
          <w:highlight w:val="none"/>
          <w:u w:val="single"/>
          <w:lang w:val="en-US" w:eastAsia="zh-CN"/>
        </w:rPr>
        <w:t>若</w:t>
      </w:r>
      <w:r>
        <w:rPr>
          <w:rFonts w:hint="eastAsia" w:ascii="仿宋" w:hAnsi="仿宋" w:eastAsia="仿宋" w:cs="仿宋"/>
          <w:b/>
          <w:bCs/>
          <w:color w:val="auto"/>
          <w:kern w:val="0"/>
          <w:sz w:val="21"/>
          <w:szCs w:val="21"/>
          <w:highlight w:val="none"/>
          <w:u w:val="single"/>
        </w:rPr>
        <w:t>本项目因为采购流程时间导致原服务商需延期</w:t>
      </w:r>
      <w:r>
        <w:rPr>
          <w:rFonts w:hint="eastAsia" w:ascii="仿宋" w:hAnsi="仿宋" w:eastAsia="仿宋" w:cs="仿宋"/>
          <w:b/>
          <w:bCs/>
          <w:color w:val="auto"/>
          <w:kern w:val="0"/>
          <w:sz w:val="21"/>
          <w:szCs w:val="21"/>
          <w:highlight w:val="none"/>
          <w:u w:val="single"/>
          <w:lang w:val="en-US" w:eastAsia="zh-CN"/>
        </w:rPr>
        <w:t>1-3</w:t>
      </w:r>
      <w:r>
        <w:rPr>
          <w:rFonts w:hint="eastAsia" w:ascii="仿宋" w:hAnsi="仿宋" w:eastAsia="仿宋" w:cs="仿宋"/>
          <w:b/>
          <w:bCs/>
          <w:color w:val="auto"/>
          <w:kern w:val="0"/>
          <w:sz w:val="21"/>
          <w:szCs w:val="21"/>
          <w:highlight w:val="none"/>
          <w:u w:val="single"/>
        </w:rPr>
        <w:t>个月服务</w:t>
      </w:r>
      <w:r>
        <w:rPr>
          <w:rFonts w:hint="eastAsia" w:ascii="仿宋" w:hAnsi="仿宋" w:eastAsia="仿宋" w:cs="仿宋"/>
          <w:b/>
          <w:bCs/>
          <w:color w:val="auto"/>
          <w:kern w:val="0"/>
          <w:sz w:val="21"/>
          <w:szCs w:val="21"/>
          <w:highlight w:val="none"/>
          <w:u w:val="single"/>
          <w:lang w:val="en-US" w:eastAsia="zh-CN"/>
        </w:rPr>
        <w:t>的</w:t>
      </w:r>
      <w:r>
        <w:rPr>
          <w:rFonts w:hint="eastAsia" w:ascii="仿宋" w:hAnsi="仿宋" w:eastAsia="仿宋" w:cs="仿宋"/>
          <w:b/>
          <w:bCs/>
          <w:color w:val="auto"/>
          <w:kern w:val="0"/>
          <w:sz w:val="21"/>
          <w:szCs w:val="21"/>
          <w:highlight w:val="none"/>
          <w:u w:val="single"/>
        </w:rPr>
        <w:t>，</w:t>
      </w:r>
      <w:r>
        <w:rPr>
          <w:rFonts w:hint="eastAsia" w:ascii="仿宋" w:hAnsi="仿宋" w:eastAsia="仿宋" w:cs="仿宋"/>
          <w:b/>
          <w:bCs/>
          <w:color w:val="auto"/>
          <w:kern w:val="0"/>
          <w:sz w:val="21"/>
          <w:szCs w:val="21"/>
          <w:highlight w:val="none"/>
          <w:u w:val="single"/>
          <w:lang w:val="en-US" w:eastAsia="zh-CN"/>
        </w:rPr>
        <w:t>乙方</w:t>
      </w:r>
      <w:r>
        <w:rPr>
          <w:rFonts w:hint="eastAsia" w:ascii="仿宋" w:hAnsi="仿宋" w:eastAsia="仿宋" w:cs="仿宋"/>
          <w:b/>
          <w:bCs/>
          <w:color w:val="auto"/>
          <w:kern w:val="0"/>
          <w:sz w:val="21"/>
          <w:szCs w:val="21"/>
          <w:highlight w:val="none"/>
          <w:u w:val="single"/>
        </w:rPr>
        <w:t>需在收到</w:t>
      </w:r>
      <w:r>
        <w:rPr>
          <w:rFonts w:hint="eastAsia" w:ascii="仿宋" w:hAnsi="仿宋" w:eastAsia="仿宋" w:cs="仿宋"/>
          <w:b/>
          <w:bCs/>
          <w:color w:val="auto"/>
          <w:kern w:val="0"/>
          <w:sz w:val="21"/>
          <w:szCs w:val="21"/>
          <w:highlight w:val="none"/>
          <w:u w:val="single"/>
          <w:lang w:val="en-US" w:eastAsia="zh-CN"/>
        </w:rPr>
        <w:t>甲</w:t>
      </w:r>
      <w:r>
        <w:rPr>
          <w:rFonts w:hint="eastAsia" w:ascii="仿宋" w:hAnsi="仿宋" w:eastAsia="仿宋" w:cs="仿宋"/>
          <w:b/>
          <w:bCs/>
          <w:color w:val="auto"/>
          <w:kern w:val="0"/>
          <w:sz w:val="21"/>
          <w:szCs w:val="21"/>
          <w:highlight w:val="none"/>
          <w:u w:val="single"/>
        </w:rPr>
        <w:t>方支付首</w:t>
      </w:r>
      <w:r>
        <w:rPr>
          <w:rFonts w:hint="eastAsia" w:ascii="仿宋" w:hAnsi="仿宋" w:eastAsia="仿宋" w:cs="仿宋"/>
          <w:b/>
          <w:bCs/>
          <w:color w:val="auto"/>
          <w:kern w:val="0"/>
          <w:sz w:val="21"/>
          <w:szCs w:val="21"/>
          <w:highlight w:val="none"/>
          <w:u w:val="single"/>
          <w:lang w:val="en-US" w:eastAsia="zh-CN"/>
        </w:rPr>
        <w:t>笔</w:t>
      </w:r>
      <w:r>
        <w:rPr>
          <w:rFonts w:hint="eastAsia" w:ascii="仿宋" w:hAnsi="仿宋" w:eastAsia="仿宋" w:cs="仿宋"/>
          <w:b/>
          <w:bCs/>
          <w:color w:val="auto"/>
          <w:kern w:val="0"/>
          <w:sz w:val="21"/>
          <w:szCs w:val="21"/>
          <w:highlight w:val="none"/>
          <w:u w:val="single"/>
        </w:rPr>
        <w:t>费用后一周内，按中</w:t>
      </w:r>
      <w:r>
        <w:rPr>
          <w:rFonts w:hint="eastAsia" w:ascii="仿宋" w:hAnsi="仿宋" w:eastAsia="仿宋" w:cs="仿宋"/>
          <w:b/>
          <w:bCs/>
          <w:color w:val="auto"/>
          <w:kern w:val="0"/>
          <w:sz w:val="21"/>
          <w:szCs w:val="21"/>
          <w:highlight w:val="none"/>
          <w:u w:val="single"/>
          <w:lang w:val="en-US" w:eastAsia="zh-CN"/>
        </w:rPr>
        <w:t>标金额</w:t>
      </w:r>
      <w:r>
        <w:rPr>
          <w:rFonts w:hint="eastAsia" w:ascii="仿宋" w:hAnsi="仿宋" w:eastAsia="仿宋" w:cs="仿宋"/>
          <w:b/>
          <w:bCs/>
          <w:color w:val="auto"/>
          <w:kern w:val="0"/>
          <w:sz w:val="21"/>
          <w:szCs w:val="21"/>
          <w:highlight w:val="none"/>
          <w:u w:val="single"/>
        </w:rPr>
        <w:t>折算延期</w:t>
      </w:r>
      <w:r>
        <w:rPr>
          <w:rFonts w:hint="eastAsia" w:ascii="仿宋" w:hAnsi="仿宋" w:eastAsia="仿宋" w:cs="仿宋"/>
          <w:b/>
          <w:bCs/>
          <w:color w:val="auto"/>
          <w:kern w:val="0"/>
          <w:sz w:val="21"/>
          <w:szCs w:val="21"/>
          <w:highlight w:val="none"/>
          <w:u w:val="single"/>
          <w:lang w:val="en-US" w:eastAsia="zh-CN"/>
        </w:rPr>
        <w:t>1-3</w:t>
      </w:r>
      <w:r>
        <w:rPr>
          <w:rFonts w:hint="eastAsia" w:ascii="仿宋" w:hAnsi="仿宋" w:eastAsia="仿宋" w:cs="仿宋"/>
          <w:b/>
          <w:bCs/>
          <w:color w:val="auto"/>
          <w:kern w:val="0"/>
          <w:sz w:val="21"/>
          <w:szCs w:val="21"/>
          <w:highlight w:val="none"/>
          <w:u w:val="single"/>
        </w:rPr>
        <w:t>个月服务费支付至原服务</w:t>
      </w:r>
      <w:r>
        <w:rPr>
          <w:rFonts w:hint="eastAsia" w:ascii="仿宋" w:hAnsi="仿宋" w:eastAsia="仿宋" w:cs="仿宋"/>
          <w:b/>
          <w:bCs/>
          <w:color w:val="auto"/>
          <w:kern w:val="0"/>
          <w:sz w:val="21"/>
          <w:szCs w:val="21"/>
          <w:highlight w:val="none"/>
          <w:u w:val="single"/>
          <w:lang w:val="en-US" w:eastAsia="zh-CN"/>
        </w:rPr>
        <w:t>商</w:t>
      </w:r>
      <w:r>
        <w:rPr>
          <w:rFonts w:hint="eastAsia" w:ascii="仿宋" w:hAnsi="仿宋" w:eastAsia="仿宋" w:cs="仿宋"/>
          <w:b/>
          <w:bCs/>
          <w:color w:val="auto"/>
          <w:kern w:val="0"/>
          <w:sz w:val="21"/>
          <w:szCs w:val="21"/>
          <w:highlight w:val="none"/>
          <w:u w:val="single"/>
        </w:rPr>
        <w:t>。</w:t>
      </w:r>
    </w:p>
    <w:p w14:paraId="3E8019AF">
      <w:pPr>
        <w:adjustRightInd w:val="0"/>
        <w:snapToGrid w:val="0"/>
        <w:spacing w:line="360" w:lineRule="auto"/>
        <w:ind w:firstLine="420"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2.会议服务管理质量考核指标要求</w:t>
      </w:r>
    </w:p>
    <w:p w14:paraId="3244801A">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对会议服务要满足采购文件相关要求，</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按上述但不限于上述标准，根据《杭州市行政大楼服务保障中心公务服务及会议中心劳务服务监管考核办法》等相关制度对</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的服务质量进行监管考核，并结合第三方社会测评机构的年度测评结果支付服务费。</w:t>
      </w:r>
    </w:p>
    <w:p w14:paraId="02AEFDAB">
      <w:pPr>
        <w:adjustRightInd w:val="0"/>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color w:val="auto"/>
          <w:sz w:val="21"/>
          <w:szCs w:val="21"/>
          <w:highlight w:val="none"/>
          <w:lang w:val="en-US" w:eastAsia="zh-CN"/>
        </w:rPr>
        <w:t>a、</w:t>
      </w:r>
      <w:r>
        <w:rPr>
          <w:rFonts w:hint="eastAsia" w:ascii="仿宋" w:hAnsi="仿宋" w:eastAsia="仿宋" w:cs="仿宋"/>
          <w:color w:val="auto"/>
          <w:sz w:val="21"/>
          <w:szCs w:val="21"/>
          <w:highlight w:val="none"/>
        </w:rPr>
        <w:t>月监管考核（指当年</w:t>
      </w:r>
      <w:r>
        <w:rPr>
          <w:rFonts w:hint="eastAsia" w:ascii="仿宋" w:hAnsi="仿宋" w:eastAsia="仿宋" w:cs="仿宋"/>
          <w:snapToGrid w:val="0"/>
          <w:color w:val="auto"/>
          <w:kern w:val="0"/>
          <w:sz w:val="21"/>
          <w:szCs w:val="21"/>
          <w:highlight w:val="none"/>
        </w:rPr>
        <w:t>1-12月）：</w:t>
      </w:r>
      <w:r>
        <w:rPr>
          <w:rFonts w:hint="eastAsia" w:ascii="仿宋" w:hAnsi="仿宋" w:eastAsia="仿宋" w:cs="仿宋"/>
          <w:snapToGrid w:val="0"/>
          <w:color w:val="auto"/>
          <w:kern w:val="0"/>
          <w:sz w:val="21"/>
          <w:szCs w:val="21"/>
          <w:highlight w:val="none"/>
          <w:lang w:val="en-US" w:eastAsia="zh-CN"/>
        </w:rPr>
        <w:t>甲方</w:t>
      </w:r>
      <w:r>
        <w:rPr>
          <w:rFonts w:hint="eastAsia" w:ascii="仿宋" w:hAnsi="仿宋" w:eastAsia="仿宋" w:cs="仿宋"/>
          <w:snapToGrid w:val="0"/>
          <w:color w:val="auto"/>
          <w:kern w:val="0"/>
          <w:sz w:val="21"/>
          <w:szCs w:val="21"/>
          <w:highlight w:val="none"/>
        </w:rPr>
        <w:t>按照月监管考核结果支付每月服务费，当月监管考核90分及以上的服务费全额支付；当月监管考核80-90（不含90）分的，服务费扣减5%；当月监管考核70-80（不含80）分的,服务费扣减10%；当月监管考核60-70（不含70）分的，服务费扣减20%；当月考核低于60分的为不合格，视情服务费扣减30%-50%。当月监管考核应扣减的服务费在次月的服务费中扣除。</w:t>
      </w:r>
    </w:p>
    <w:p w14:paraId="2E19EA0F">
      <w:pPr>
        <w:snapToGrid w:val="0"/>
        <w:spacing w:line="360" w:lineRule="auto"/>
        <w:ind w:firstLine="420" w:firstLineChars="200"/>
        <w:rPr>
          <w:rFonts w:hint="eastAsia"/>
          <w:color w:val="auto"/>
          <w:sz w:val="21"/>
          <w:szCs w:val="21"/>
          <w:highlight w:val="none"/>
          <w:lang w:val="en-US" w:eastAsia="zh-CN"/>
        </w:rPr>
      </w:pPr>
      <w:r>
        <w:rPr>
          <w:rFonts w:hint="eastAsia" w:ascii="仿宋" w:hAnsi="仿宋" w:eastAsia="仿宋" w:cs="仿宋"/>
          <w:snapToGrid w:val="0"/>
          <w:color w:val="auto"/>
          <w:kern w:val="0"/>
          <w:sz w:val="21"/>
          <w:szCs w:val="21"/>
          <w:highlight w:val="none"/>
          <w:lang w:val="en-US" w:eastAsia="zh-CN"/>
        </w:rPr>
        <w:t>b、年度第三方测评达92分及以上且1-11月监管考核平均分在90分及以上的</w:t>
      </w:r>
      <w:r>
        <w:rPr>
          <w:rFonts w:hint="eastAsia" w:ascii="仿宋" w:hAnsi="仿宋" w:eastAsia="仿宋" w:cs="仿宋"/>
          <w:snapToGrid w:val="0"/>
          <w:color w:val="auto"/>
          <w:kern w:val="0"/>
          <w:sz w:val="21"/>
          <w:szCs w:val="21"/>
          <w:highlight w:val="none"/>
        </w:rPr>
        <w:t>，已扣减的服务费可以全额退还给</w:t>
      </w:r>
      <w:r>
        <w:rPr>
          <w:rFonts w:hint="eastAsia" w:ascii="仿宋" w:hAnsi="仿宋" w:eastAsia="仿宋" w:cs="仿宋"/>
          <w:snapToGrid w:val="0"/>
          <w:color w:val="auto"/>
          <w:kern w:val="0"/>
          <w:sz w:val="21"/>
          <w:szCs w:val="21"/>
          <w:highlight w:val="none"/>
          <w:lang w:val="en-US" w:eastAsia="zh-CN"/>
        </w:rPr>
        <w:t>乙方</w:t>
      </w:r>
      <w:r>
        <w:rPr>
          <w:rFonts w:hint="eastAsia" w:ascii="仿宋" w:hAnsi="仿宋" w:eastAsia="仿宋" w:cs="仿宋"/>
          <w:snapToGrid w:val="0"/>
          <w:color w:val="auto"/>
          <w:kern w:val="0"/>
          <w:sz w:val="21"/>
          <w:szCs w:val="21"/>
          <w:highlight w:val="none"/>
        </w:rPr>
        <w:t>，12月份监管考核扣减的服务费</w:t>
      </w:r>
      <w:r>
        <w:rPr>
          <w:rFonts w:hint="eastAsia" w:ascii="仿宋" w:hAnsi="仿宋" w:eastAsia="仿宋" w:cs="仿宋"/>
          <w:snapToGrid w:val="0"/>
          <w:color w:val="auto"/>
          <w:kern w:val="0"/>
          <w:sz w:val="21"/>
          <w:szCs w:val="21"/>
          <w:highlight w:val="none"/>
          <w:lang w:val="en-US" w:eastAsia="zh-CN"/>
        </w:rPr>
        <w:t>在当年合同履约保证金中扣除，扣完为止</w:t>
      </w:r>
      <w:r>
        <w:rPr>
          <w:rFonts w:hint="eastAsia" w:ascii="仿宋" w:hAnsi="仿宋" w:eastAsia="仿宋" w:cs="仿宋"/>
          <w:snapToGrid w:val="0"/>
          <w:color w:val="auto"/>
          <w:kern w:val="0"/>
          <w:sz w:val="21"/>
          <w:szCs w:val="21"/>
          <w:highlight w:val="none"/>
        </w:rPr>
        <w:t>。（注：因管理疏漏，</w:t>
      </w:r>
      <w:r>
        <w:rPr>
          <w:rFonts w:hint="eastAsia" w:ascii="仿宋" w:hAnsi="仿宋" w:eastAsia="仿宋" w:cs="仿宋"/>
          <w:snapToGrid w:val="0"/>
          <w:color w:val="auto"/>
          <w:kern w:val="0"/>
          <w:sz w:val="21"/>
          <w:szCs w:val="21"/>
          <w:highlight w:val="none"/>
          <w:lang w:val="en-US" w:eastAsia="zh-CN"/>
        </w:rPr>
        <w:t>导致严重安全事故</w:t>
      </w:r>
      <w:r>
        <w:rPr>
          <w:rFonts w:hint="eastAsia" w:ascii="仿宋" w:hAnsi="仿宋" w:eastAsia="仿宋" w:cs="仿宋"/>
          <w:snapToGrid w:val="0"/>
          <w:color w:val="auto"/>
          <w:kern w:val="0"/>
          <w:sz w:val="21"/>
          <w:szCs w:val="21"/>
          <w:highlight w:val="none"/>
        </w:rPr>
        <w:t>，影响较大的情形，当月扣除的服务费不予以返还。）</w:t>
      </w:r>
    </w:p>
    <w:p w14:paraId="40CAEDC5">
      <w:pPr>
        <w:adjustRightInd w:val="0"/>
        <w:snapToGrid w:val="0"/>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.甲方应在每月底前将应付的服务费用等转入乙方指定的银行账户，</w:t>
      </w:r>
      <w:r>
        <w:rPr>
          <w:rFonts w:hint="eastAsia" w:ascii="仿宋" w:hAnsi="仿宋" w:eastAsia="仿宋" w:cs="仿宋"/>
          <w:color w:val="auto"/>
          <w:sz w:val="21"/>
          <w:szCs w:val="21"/>
          <w:highlight w:val="none"/>
          <w:u w:val="single"/>
        </w:rPr>
        <w:t>因财政预算资金下达或国库拨付流程等原因造成甲方服务费支付延迟的不视为违约。</w:t>
      </w:r>
    </w:p>
    <w:p w14:paraId="32782297">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    位：</w:t>
      </w:r>
    </w:p>
    <w:p w14:paraId="4E3D7C1D">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3E27A8BD">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银行帐号：</w:t>
      </w:r>
    </w:p>
    <w:p w14:paraId="610615EE">
      <w:pPr>
        <w:snapToGrid w:val="0"/>
        <w:spacing w:line="384" w:lineRule="auto"/>
        <w:ind w:firstLine="420" w:firstLineChars="200"/>
        <w:rPr>
          <w:rFonts w:hint="eastAsia" w:ascii="仿宋" w:hAnsi="仿宋" w:eastAsia="仿宋" w:cs="仿宋"/>
          <w:snapToGrid w:val="0"/>
          <w:color w:val="auto"/>
          <w:kern w:val="0"/>
          <w:sz w:val="21"/>
          <w:szCs w:val="21"/>
          <w:highlight w:val="none"/>
        </w:rPr>
      </w:pPr>
      <w:bookmarkStart w:id="406" w:name="_Hlk58077060"/>
      <w:r>
        <w:rPr>
          <w:rFonts w:hint="eastAsia" w:ascii="仿宋" w:hAnsi="仿宋" w:eastAsia="仿宋" w:cs="仿宋"/>
          <w:snapToGrid w:val="0"/>
          <w:color w:val="auto"/>
          <w:kern w:val="0"/>
          <w:sz w:val="21"/>
          <w:szCs w:val="21"/>
          <w:highlight w:val="none"/>
        </w:rPr>
        <w:t>进度款结算流程：合同金额1%的履约保证金缴纳后，凭银行回单到杭州市行政大楼服务保障中心财务（解放东路市民中心B座）</w:t>
      </w:r>
      <w:r>
        <w:rPr>
          <w:rFonts w:hint="eastAsia" w:ascii="仿宋" w:hAnsi="仿宋" w:eastAsia="仿宋" w:cs="仿宋"/>
          <w:snapToGrid w:val="0"/>
          <w:color w:val="auto"/>
          <w:kern w:val="0"/>
          <w:sz w:val="21"/>
          <w:szCs w:val="21"/>
          <w:highlight w:val="none"/>
          <w:lang w:val="en-US" w:eastAsia="zh-CN"/>
        </w:rPr>
        <w:t>319</w:t>
      </w:r>
      <w:r>
        <w:rPr>
          <w:rFonts w:hint="eastAsia" w:ascii="仿宋" w:hAnsi="仿宋" w:eastAsia="仿宋" w:cs="仿宋"/>
          <w:snapToGrid w:val="0"/>
          <w:color w:val="auto"/>
          <w:kern w:val="0"/>
          <w:sz w:val="21"/>
          <w:szCs w:val="21"/>
          <w:highlight w:val="none"/>
        </w:rPr>
        <w:t>室（联系电话0571-8525</w:t>
      </w:r>
      <w:r>
        <w:rPr>
          <w:rFonts w:hint="eastAsia" w:ascii="仿宋" w:hAnsi="仿宋" w:eastAsia="仿宋" w:cs="仿宋"/>
          <w:snapToGrid w:val="0"/>
          <w:color w:val="auto"/>
          <w:kern w:val="0"/>
          <w:sz w:val="21"/>
          <w:szCs w:val="21"/>
          <w:highlight w:val="none"/>
          <w:lang w:val="en-US" w:eastAsia="zh-CN"/>
        </w:rPr>
        <w:t>6187</w:t>
      </w:r>
      <w:r>
        <w:rPr>
          <w:rFonts w:hint="eastAsia" w:ascii="仿宋" w:hAnsi="仿宋" w:eastAsia="仿宋" w:cs="仿宋"/>
          <w:snapToGrid w:val="0"/>
          <w:color w:val="auto"/>
          <w:kern w:val="0"/>
          <w:sz w:val="21"/>
          <w:szCs w:val="21"/>
          <w:highlight w:val="none"/>
        </w:rPr>
        <w:t>）开具履约保证金收据；后续进度款支付及结算凭有效票据办理。</w:t>
      </w:r>
      <w:bookmarkEnd w:id="406"/>
      <w:r>
        <w:rPr>
          <w:rFonts w:hint="eastAsia" w:ascii="仿宋" w:hAnsi="仿宋" w:eastAsia="仿宋" w:cs="仿宋"/>
          <w:snapToGrid w:val="0"/>
          <w:color w:val="auto"/>
          <w:kern w:val="0"/>
          <w:sz w:val="21"/>
          <w:szCs w:val="21"/>
          <w:highlight w:val="none"/>
          <w:lang w:val="en-US" w:eastAsia="zh-CN"/>
        </w:rPr>
        <w:t>甲方向乙方支付每笔款项前乙方应向甲方提供与当期合同款等额的正规有效增值税发票，未及时提供相应发票的，甲方有权暂不付款且不承担逾期违约的责任。乙方同意，如因审批流程致使付款延迟的，不视甲方违约。</w:t>
      </w:r>
    </w:p>
    <w:p w14:paraId="2AED9B6D">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 价格范围</w:t>
      </w:r>
    </w:p>
    <w:p w14:paraId="0CD8C147">
      <w:pPr>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1）报价应包括会议服务管理工作人员的工资、</w:t>
      </w:r>
      <w:r>
        <w:rPr>
          <w:rFonts w:hint="eastAsia" w:ascii="仿宋" w:hAnsi="仿宋" w:eastAsia="仿宋" w:cs="仿宋"/>
          <w:color w:val="auto"/>
          <w:sz w:val="21"/>
          <w:szCs w:val="21"/>
          <w:highlight w:val="none"/>
        </w:rPr>
        <w:t>工作人员的国定假、双休日及重大活动的人员加班工资、工作人员服装费、</w:t>
      </w:r>
      <w:r>
        <w:rPr>
          <w:rFonts w:hint="eastAsia" w:ascii="仿宋" w:hAnsi="仿宋" w:eastAsia="仿宋" w:cs="仿宋"/>
          <w:color w:val="auto"/>
          <w:kern w:val="0"/>
          <w:sz w:val="21"/>
          <w:szCs w:val="21"/>
          <w:highlight w:val="none"/>
        </w:rPr>
        <w:t>社保福利费、卫生保洁材料费、办公费、固定资产折旧费、法定税费、合理利润，以及管理、劳务、培训、环境布置、宣传服务、风险及政策性文件规定等各项应有费用，以及为完成采购文件规定的会议服务管理工作所涉及到的一切相关费用。</w:t>
      </w:r>
    </w:p>
    <w:p w14:paraId="76AE3360">
      <w:pPr>
        <w:widowControl/>
        <w:adjustRightInd w:val="0"/>
        <w:snapToGrid w:val="0"/>
        <w:spacing w:line="360" w:lineRule="auto"/>
        <w:ind w:firstLine="420" w:firstLineChars="200"/>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2）乙方自行解决员工养老、失业、医疗、工伤、生育等保险及劳保、工资、福利、食宿、交通、</w:t>
      </w:r>
      <w:r>
        <w:rPr>
          <w:rFonts w:hint="eastAsia" w:ascii="仿宋" w:hAnsi="仿宋" w:eastAsia="仿宋" w:cs="仿宋"/>
          <w:color w:val="auto"/>
          <w:sz w:val="21"/>
          <w:szCs w:val="21"/>
          <w:highlight w:val="none"/>
        </w:rPr>
        <w:t>卫生防护等</w:t>
      </w:r>
      <w:r>
        <w:rPr>
          <w:rFonts w:hint="eastAsia" w:ascii="仿宋" w:hAnsi="仿宋" w:eastAsia="仿宋" w:cs="仿宋"/>
          <w:color w:val="auto"/>
          <w:kern w:val="0"/>
          <w:sz w:val="21"/>
          <w:szCs w:val="21"/>
          <w:highlight w:val="none"/>
        </w:rPr>
        <w:t>等有关问题。</w:t>
      </w:r>
    </w:p>
    <w:p w14:paraId="459100BF">
      <w:pPr>
        <w:widowControl/>
        <w:adjustRightInd w:val="0"/>
        <w:snapToGrid w:val="0"/>
        <w:spacing w:line="360" w:lineRule="auto"/>
        <w:ind w:firstLine="420" w:firstLineChars="200"/>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3）乙方自备服务过程中涉及的办公用品及保洁消耗品。</w:t>
      </w:r>
    </w:p>
    <w:p w14:paraId="326A6815">
      <w:pPr>
        <w:widowControl/>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4）项目实施中根据实际需要，甲方如对采购服务内容作适当变更，乙方应予以配合。</w:t>
      </w:r>
    </w:p>
    <w:p w14:paraId="2C838168">
      <w:pPr>
        <w:widowControl/>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5）甲方提供会议服务管理必要的办公场地。</w:t>
      </w:r>
    </w:p>
    <w:p w14:paraId="7C79741F">
      <w:pPr>
        <w:widowControl/>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6）</w:t>
      </w:r>
      <w:r>
        <w:rPr>
          <w:rFonts w:hint="eastAsia" w:ascii="仿宋" w:hAnsi="仿宋" w:eastAsia="仿宋" w:cs="仿宋"/>
          <w:color w:val="auto"/>
          <w:sz w:val="21"/>
          <w:szCs w:val="21"/>
          <w:highlight w:val="none"/>
        </w:rPr>
        <w:t>所有工作人员服装由乙方自行采购，服装样式事先需经过甲方认可</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要求三到五年更新一套春季、两套夏季、一套冬季工作服，并统一配备鞋、袜等配饰）</w:t>
      </w:r>
      <w:r>
        <w:rPr>
          <w:rFonts w:hint="eastAsia" w:ascii="仿宋" w:hAnsi="仿宋" w:eastAsia="仿宋" w:cs="仿宋"/>
          <w:color w:val="auto"/>
          <w:sz w:val="21"/>
          <w:szCs w:val="21"/>
          <w:highlight w:val="none"/>
        </w:rPr>
        <w:t>。</w:t>
      </w:r>
    </w:p>
    <w:p w14:paraId="67653E04">
      <w:pPr>
        <w:widowControl/>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color w:val="auto"/>
          <w:kern w:val="0"/>
          <w:sz w:val="21"/>
          <w:szCs w:val="21"/>
          <w:highlight w:val="none"/>
        </w:rPr>
        <w:t>乙方需要充分考虑</w:t>
      </w:r>
      <w:r>
        <w:rPr>
          <w:rFonts w:hint="eastAsia" w:ascii="仿宋" w:hAnsi="仿宋" w:eastAsia="仿宋" w:cs="仿宋"/>
          <w:color w:val="auto"/>
          <w:kern w:val="0"/>
          <w:sz w:val="21"/>
          <w:szCs w:val="21"/>
          <w:highlight w:val="none"/>
          <w:lang w:val="en-US" w:eastAsia="zh-CN"/>
        </w:rPr>
        <w:t>甲方</w:t>
      </w:r>
      <w:r>
        <w:rPr>
          <w:rFonts w:hint="eastAsia" w:ascii="仿宋" w:hAnsi="仿宋" w:eastAsia="仿宋" w:cs="仿宋"/>
          <w:color w:val="auto"/>
          <w:kern w:val="0"/>
          <w:sz w:val="21"/>
          <w:szCs w:val="21"/>
          <w:highlight w:val="none"/>
        </w:rPr>
        <w:t>工作的特殊性：</w:t>
      </w:r>
    </w:p>
    <w:p w14:paraId="074555FA">
      <w:pPr>
        <w:widowControl/>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sz w:val="21"/>
          <w:szCs w:val="21"/>
          <w:highlight w:val="none"/>
        </w:rPr>
        <w:t>甲方G座会议中心及</w:t>
      </w:r>
      <w:r>
        <w:rPr>
          <w:rFonts w:hint="eastAsia" w:ascii="仿宋" w:hAnsi="仿宋" w:eastAsia="仿宋" w:cs="仿宋"/>
          <w:color w:val="auto"/>
          <w:kern w:val="0"/>
          <w:sz w:val="21"/>
          <w:szCs w:val="21"/>
          <w:highlight w:val="none"/>
        </w:rPr>
        <w:t>楼层公务服务，全年需要工作人员值班服务保障；</w:t>
      </w:r>
    </w:p>
    <w:p w14:paraId="5C022759">
      <w:pPr>
        <w:widowControl/>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（2）突发性会议和重大活动较多；</w:t>
      </w:r>
    </w:p>
    <w:p w14:paraId="01995CE0">
      <w:pPr>
        <w:widowControl/>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bCs/>
          <w:color w:val="auto"/>
          <w:sz w:val="21"/>
          <w:szCs w:val="21"/>
          <w:highlight w:val="none"/>
        </w:rPr>
        <w:t>工作时间要求</w:t>
      </w:r>
      <w:r>
        <w:rPr>
          <w:rFonts w:hint="eastAsia" w:ascii="仿宋" w:hAnsi="仿宋" w:eastAsia="仿宋" w:cs="仿宋"/>
          <w:color w:val="auto"/>
          <w:sz w:val="21"/>
          <w:szCs w:val="21"/>
          <w:highlight w:val="none"/>
        </w:rPr>
        <w:t>：</w:t>
      </w:r>
    </w:p>
    <w:p w14:paraId="3991E5F5">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a.甲方G座会议中心除正常工作时间外，日常值班至晚上8:00，双休日、节假日值班9:00-5:30/6:00;</w:t>
      </w:r>
    </w:p>
    <w:p w14:paraId="7CD56DD1">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楼层公务服务保障时间:工作日分上午和下午两班，上午班早上6：30—下午2：30，下午班下午1：00至晚上9：00；双休日、节假日在岗时间为早上7:00-晚上8：00，至少安排3人在岗值班。</w:t>
      </w:r>
    </w:p>
    <w:p w14:paraId="60C4CF4E">
      <w:pPr>
        <w:widowControl/>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b.甲方会议服务保障如有临时性、突发性会议保障及节假日会议保障，根据任务需要随传随到。</w:t>
      </w:r>
    </w:p>
    <w:p w14:paraId="654C12D5">
      <w:pPr>
        <w:pStyle w:val="33"/>
        <w:adjustRightInd w:val="0"/>
        <w:snapToGrid w:val="0"/>
        <w:spacing w:line="360" w:lineRule="auto"/>
        <w:ind w:firstLine="413" w:firstLineChars="196"/>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四、转包或分包：</w:t>
      </w:r>
    </w:p>
    <w:p w14:paraId="5DFBC28A">
      <w:pPr>
        <w:adjustRightInd w:val="0"/>
        <w:snapToGrid w:val="0"/>
        <w:spacing w:line="360" w:lineRule="auto"/>
        <w:ind w:firstLine="447" w:firstLineChars="21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本合同范围的服务内容，应由乙方直接供应，不得转让他人供应，否则，甲方有权解除合同并追究乙方的违约责任。</w:t>
      </w:r>
    </w:p>
    <w:p w14:paraId="4EEF9F96">
      <w:pP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五、履约保证金：</w:t>
      </w:r>
    </w:p>
    <w:p w14:paraId="7221005A">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1.合同签订后乙方需缴纳合同价</w:t>
      </w:r>
      <w:r>
        <w:rPr>
          <w:rFonts w:hint="eastAsia" w:ascii="仿宋" w:hAnsi="仿宋" w:eastAsia="仿宋" w:cs="仿宋"/>
          <w:color w:val="auto"/>
          <w:sz w:val="21"/>
          <w:szCs w:val="21"/>
          <w:highlight w:val="none"/>
          <w:u w:val="single"/>
          <w:lang w:val="en-US" w:eastAsia="zh-CN"/>
        </w:rPr>
        <w:t>1</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的履约保证金，计人民币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w:t>
      </w:r>
    </w:p>
    <w:p w14:paraId="27893357">
      <w:pP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default" w:ascii="仿宋" w:hAnsi="仿宋" w:eastAsia="仿宋" w:cs="仿宋"/>
          <w:color w:val="auto"/>
          <w:sz w:val="21"/>
          <w:szCs w:val="21"/>
          <w:highlight w:val="none"/>
        </w:rPr>
        <w:t>合同到期后，乙方需根据甲方要求提供相关退保证金材料。甲方在扣除相关违约金后无息返还剩余保证金</w:t>
      </w:r>
      <w:r>
        <w:rPr>
          <w:rFonts w:hint="eastAsia" w:ascii="仿宋" w:hAnsi="仿宋" w:eastAsia="仿宋" w:cs="仿宋"/>
          <w:color w:val="auto"/>
          <w:sz w:val="21"/>
          <w:szCs w:val="21"/>
          <w:highlight w:val="none"/>
        </w:rPr>
        <w:t>。</w:t>
      </w:r>
    </w:p>
    <w:p w14:paraId="07C68159">
      <w:pPr>
        <w:adjustRightInd w:val="0"/>
        <w:snapToGrid w:val="0"/>
        <w:spacing w:line="360" w:lineRule="auto"/>
        <w:ind w:firstLine="420" w:firstLineChars="200"/>
        <w:rPr>
          <w:rFonts w:hint="default" w:ascii="仿宋" w:hAnsi="仿宋" w:eastAsia="仿宋" w:cs="仿宋"/>
          <w:snapToGrid w:val="0"/>
          <w:color w:val="auto"/>
          <w:kern w:val="0"/>
          <w:sz w:val="21"/>
          <w:szCs w:val="21"/>
          <w:highlight w:val="none"/>
          <w:lang w:val="en-US" w:eastAsia="zh-CN"/>
        </w:rPr>
      </w:pPr>
      <w:r>
        <w:rPr>
          <w:rFonts w:hint="eastAsia" w:ascii="仿宋" w:hAnsi="仿宋" w:eastAsia="仿宋" w:cs="仿宋"/>
          <w:snapToGrid w:val="0"/>
          <w:color w:val="auto"/>
          <w:kern w:val="0"/>
          <w:sz w:val="21"/>
          <w:szCs w:val="21"/>
          <w:highlight w:val="none"/>
        </w:rPr>
        <w:t xml:space="preserve">履约保证金账号： </w:t>
      </w:r>
      <w:r>
        <w:rPr>
          <w:rFonts w:hint="eastAsia" w:ascii="仿宋" w:hAnsi="仿宋" w:eastAsia="仿宋" w:cs="仿宋"/>
          <w:snapToGrid w:val="0"/>
          <w:color w:val="auto"/>
          <w:kern w:val="0"/>
          <w:sz w:val="21"/>
          <w:szCs w:val="21"/>
          <w:highlight w:val="none"/>
          <w:lang w:val="en-US" w:eastAsia="zh-CN"/>
        </w:rPr>
        <w:t>75182014309888-025061</w:t>
      </w:r>
    </w:p>
    <w:p w14:paraId="6C2E7FB7">
      <w:pPr>
        <w:adjustRightInd w:val="0"/>
        <w:snapToGrid w:val="0"/>
        <w:spacing w:line="360" w:lineRule="auto"/>
        <w:ind w:firstLine="420" w:firstLineChars="200"/>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收款人名称：</w:t>
      </w:r>
      <w:r>
        <w:rPr>
          <w:rFonts w:hint="eastAsia" w:ascii="仿宋" w:hAnsi="仿宋" w:eastAsia="仿宋" w:cs="仿宋"/>
          <w:snapToGrid w:val="0"/>
          <w:color w:val="auto"/>
          <w:kern w:val="0"/>
          <w:sz w:val="21"/>
          <w:szCs w:val="21"/>
          <w:highlight w:val="none"/>
          <w:lang w:val="en-US" w:eastAsia="zh-CN"/>
        </w:rPr>
        <w:t>杭州市行政大楼服务保障中心</w:t>
      </w:r>
      <w:r>
        <w:rPr>
          <w:rFonts w:hint="eastAsia" w:ascii="仿宋" w:hAnsi="仿宋" w:eastAsia="仿宋" w:cs="仿宋"/>
          <w:snapToGrid w:val="0"/>
          <w:color w:val="auto"/>
          <w:kern w:val="0"/>
          <w:sz w:val="21"/>
          <w:szCs w:val="21"/>
          <w:highlight w:val="none"/>
        </w:rPr>
        <w:t xml:space="preserve"> </w:t>
      </w:r>
    </w:p>
    <w:p w14:paraId="3E70B9F8">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snapToGrid w:val="0"/>
          <w:color w:val="auto"/>
          <w:kern w:val="0"/>
          <w:sz w:val="21"/>
          <w:szCs w:val="21"/>
          <w:highlight w:val="none"/>
        </w:rPr>
        <w:t>开户银行：</w:t>
      </w:r>
      <w:r>
        <w:rPr>
          <w:rFonts w:hint="eastAsia" w:ascii="仿宋" w:hAnsi="仿宋" w:eastAsia="仿宋" w:cs="仿宋"/>
          <w:snapToGrid w:val="0"/>
          <w:color w:val="auto"/>
          <w:kern w:val="0"/>
          <w:sz w:val="21"/>
          <w:szCs w:val="21"/>
          <w:highlight w:val="none"/>
          <w:lang w:val="en-US" w:eastAsia="zh-CN"/>
        </w:rPr>
        <w:t>杭州银行股份有限公司营业部</w:t>
      </w:r>
      <w:r>
        <w:rPr>
          <w:rFonts w:hint="eastAsia" w:ascii="仿宋" w:hAnsi="仿宋" w:eastAsia="仿宋" w:cs="仿宋"/>
          <w:snapToGrid w:val="0"/>
          <w:color w:val="auto"/>
          <w:kern w:val="0"/>
          <w:sz w:val="21"/>
          <w:szCs w:val="21"/>
          <w:highlight w:val="none"/>
        </w:rPr>
        <w:t xml:space="preserve"> </w:t>
      </w:r>
    </w:p>
    <w:p w14:paraId="7FA9DB57">
      <w:pPr>
        <w:adjustRightInd w:val="0"/>
        <w:snapToGrid w:val="0"/>
        <w:spacing w:line="360" w:lineRule="auto"/>
        <w:ind w:firstLine="422" w:firstLineChars="2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六、项目服务内容要求：</w:t>
      </w:r>
    </w:p>
    <w:p w14:paraId="27FF97B3">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（一）前期准备</w:t>
      </w:r>
    </w:p>
    <w:p w14:paraId="28900E7B">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1、本次会议服务采购要求乙方根据会议中心现状、楼层公务服务及会议服务现状,做好各种准备，提前完成相关人员培训，具备在甲方需要时即可提供全面完整的服务。</w:t>
      </w:r>
    </w:p>
    <w:p w14:paraId="1A9F9F40">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2、须参与相关会议设备设施交接、会议家具整理及</w:t>
      </w:r>
      <w:r>
        <w:rPr>
          <w:rFonts w:hint="eastAsia" w:ascii="仿宋" w:hAnsi="仿宋" w:eastAsia="仿宋" w:cs="仿宋"/>
          <w:color w:val="auto"/>
          <w:kern w:val="0"/>
          <w:sz w:val="21"/>
          <w:szCs w:val="21"/>
          <w:highlight w:val="none"/>
        </w:rPr>
        <w:t>会前会议场地、设备熟悉</w:t>
      </w:r>
      <w:r>
        <w:rPr>
          <w:rFonts w:hint="eastAsia" w:ascii="仿宋" w:hAnsi="仿宋" w:eastAsia="仿宋" w:cs="仿宋"/>
          <w:color w:val="auto"/>
          <w:kern w:val="24"/>
          <w:sz w:val="21"/>
          <w:szCs w:val="21"/>
          <w:highlight w:val="none"/>
        </w:rPr>
        <w:t>等工作。</w:t>
      </w:r>
    </w:p>
    <w:p w14:paraId="52671F30">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（二）会议及公务服务</w:t>
      </w:r>
    </w:p>
    <w:p w14:paraId="78B92104">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1、根据甲方需要提供在服务范围内重大活动、会议、节日等活动的服务，包括会议预定、接待、会场布置、茶水服务、音视频保障、绿化（盆景）摆设、横幅制作及悬挂、搬运器材、搬动桌椅、空调控制、会后清场保洁、各类活动需要的礼仪服务等工作。</w:t>
      </w:r>
    </w:p>
    <w:p w14:paraId="47B5D204">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2、会前，根据会议、活动日程安排提前布置好会场，准确掌握会议相关议程。</w:t>
      </w:r>
    </w:p>
    <w:p w14:paraId="78CA9E3F">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3、会议期间全过程在指定岗位提供</w:t>
      </w:r>
      <w:r>
        <w:rPr>
          <w:rFonts w:hint="eastAsia" w:ascii="仿宋" w:hAnsi="仿宋" w:eastAsia="仿宋" w:cs="仿宋"/>
          <w:color w:val="auto"/>
          <w:kern w:val="24"/>
          <w:sz w:val="21"/>
          <w:szCs w:val="21"/>
          <w:highlight w:val="none"/>
          <w:lang w:val="en-US" w:eastAsia="zh-CN"/>
        </w:rPr>
        <w:t>会议</w:t>
      </w:r>
      <w:r>
        <w:rPr>
          <w:rFonts w:hint="eastAsia" w:ascii="仿宋" w:hAnsi="仿宋" w:eastAsia="仿宋" w:cs="仿宋"/>
          <w:color w:val="auto"/>
          <w:kern w:val="24"/>
          <w:sz w:val="21"/>
          <w:szCs w:val="21"/>
          <w:highlight w:val="none"/>
        </w:rPr>
        <w:t>服务及音视频保障服务，服务人员在服务过程中要做到微笑服务，续水时间控制在20分钟以内，必要时及时续水。</w:t>
      </w:r>
    </w:p>
    <w:p w14:paraId="2C87ECD4">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4、会议服务过程中密切注意会场内的情况，观察主席台客人和参会者的动态，从客人的眼神或动作中领会客人的需求并及时上前询问解决。</w:t>
      </w:r>
    </w:p>
    <w:p w14:paraId="7DCAA6A6">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5、楼层会议服务人员必须有较高的政治觉悟和保密意识，保证会议机密。会议期间若有重要会议事项讨论不需要会议服务，服务人员应倒完水后退出会议室在外等候。</w:t>
      </w:r>
    </w:p>
    <w:p w14:paraId="7E463296">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6、会议结束后服务人员要立即将会议室所有的门打开，热情送客。客人离开会议室后要及时清理会场物品，打扫会场卫生，查看有无客人遗留物品，若发现遗留物品应及时通知客人或者交于部门主管联系帮忙转交。</w:t>
      </w:r>
    </w:p>
    <w:p w14:paraId="4B9819DE">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7、各个会议室配套的服务间、音控室、休息室等要保持干净整洁，会议结束后要及时打扫干净。</w:t>
      </w:r>
    </w:p>
    <w:p w14:paraId="27CA8215">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8、重大会议期间，主管以上管理人员要到场监督会议服务情况，巡视会议室的准备情况和会议的进行情况，以便有突发事情时及时应对。</w:t>
      </w:r>
    </w:p>
    <w:p w14:paraId="0A4638D5">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9、应对各会议室，根据不同的功能定位和需求提供优质的会议服务。会议负责人要制定完备的会议服务工作细则及服务工作计划并严格执行，保证各项会议的正常进行。</w:t>
      </w:r>
    </w:p>
    <w:p w14:paraId="6C12BB55">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10、会议室内表决器需配专人操作。</w:t>
      </w:r>
    </w:p>
    <w:p w14:paraId="2D08858D">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（三）楼层公务服务保障</w:t>
      </w:r>
    </w:p>
    <w:p w14:paraId="77238503">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1、楼层办公室的卫生保洁、报刊分发等公务服务，至少有2人分两班在公务监管人员带领下进入办公室服务，并需在机关工作人员上班前或下班后进入服务，严禁携带手机。</w:t>
      </w:r>
    </w:p>
    <w:p w14:paraId="6E2F19D1">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lang w:eastAsia="zh-CN"/>
        </w:rPr>
      </w:pPr>
      <w:r>
        <w:rPr>
          <w:rFonts w:hint="eastAsia" w:ascii="仿宋" w:hAnsi="仿宋" w:eastAsia="仿宋" w:cs="仿宋"/>
          <w:color w:val="auto"/>
          <w:kern w:val="24"/>
          <w:sz w:val="21"/>
          <w:szCs w:val="21"/>
          <w:highlight w:val="none"/>
        </w:rPr>
        <w:t>2、楼层会议室根据不同的功能定位和需求，做好会前的准备、会后的保洁工作，并提供优质的会议服务</w:t>
      </w:r>
      <w:r>
        <w:rPr>
          <w:rFonts w:hint="eastAsia" w:ascii="仿宋" w:hAnsi="仿宋" w:eastAsia="仿宋" w:cs="仿宋"/>
          <w:color w:val="auto"/>
          <w:kern w:val="24"/>
          <w:sz w:val="21"/>
          <w:szCs w:val="21"/>
          <w:highlight w:val="none"/>
          <w:lang w:eastAsia="zh-CN"/>
        </w:rPr>
        <w:t>。</w:t>
      </w:r>
    </w:p>
    <w:p w14:paraId="52548D99">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3、工作日早晚对市领导办公区域进行清洁检查。按时领取报刊杂志分发到领导办公室，做好早、晚班工作交接台账记录，认真完成监管人员交办的任务，并确保服务质量。</w:t>
      </w:r>
    </w:p>
    <w:p w14:paraId="041B4E46">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lang w:val="en-US" w:eastAsia="zh-CN"/>
        </w:rPr>
      </w:pPr>
      <w:r>
        <w:rPr>
          <w:rFonts w:hint="eastAsia" w:ascii="仿宋" w:hAnsi="仿宋" w:eastAsia="仿宋" w:cs="仿宋"/>
          <w:color w:val="auto"/>
          <w:kern w:val="24"/>
          <w:sz w:val="21"/>
          <w:szCs w:val="21"/>
          <w:highlight w:val="none"/>
          <w:lang w:val="en-US" w:eastAsia="zh-CN"/>
        </w:rPr>
        <w:t>4、健身房采取预约保障模式，服务人员在接到监管人员通知后对健身房进行服务保障，需在预约服务时间点开始之前，半小时入场做好准备工作，保障过程中根据服务对象要求进行保障，保障结束后及时整理场地并关闭相关电源开关。</w:t>
      </w:r>
    </w:p>
    <w:p w14:paraId="1C6862B9">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lang w:val="en-US" w:eastAsia="zh-CN"/>
        </w:rPr>
        <w:t>5</w:t>
      </w:r>
      <w:r>
        <w:rPr>
          <w:rFonts w:hint="eastAsia" w:ascii="仿宋" w:hAnsi="仿宋" w:eastAsia="仿宋" w:cs="仿宋"/>
          <w:color w:val="auto"/>
          <w:kern w:val="24"/>
          <w:sz w:val="21"/>
          <w:szCs w:val="21"/>
          <w:highlight w:val="none"/>
        </w:rPr>
        <w:t>、双休、节假日期间认真落实值班制度，值班人员做好工作交接台账记录，做好服务保障工作。</w:t>
      </w:r>
    </w:p>
    <w:p w14:paraId="197CC0DA">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lang w:val="en-US" w:eastAsia="zh-CN"/>
        </w:rPr>
        <w:t>6</w:t>
      </w:r>
      <w:r>
        <w:rPr>
          <w:rFonts w:hint="eastAsia" w:ascii="仿宋" w:hAnsi="仿宋" w:eastAsia="仿宋" w:cs="仿宋"/>
          <w:color w:val="auto"/>
          <w:kern w:val="24"/>
          <w:sz w:val="21"/>
          <w:szCs w:val="21"/>
          <w:highlight w:val="none"/>
        </w:rPr>
        <w:t>、对领导办公室和公务接待休息室电器日常的管理，每月配合相关科室和物业做好对领导办公室所有用电和电器的进场排查工作，以及日常领导办公室设备报修和跟进工作，做好相关台账记录。</w:t>
      </w:r>
    </w:p>
    <w:p w14:paraId="770C705D">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lang w:val="en-US" w:eastAsia="zh-CN"/>
        </w:rPr>
        <w:t>7</w:t>
      </w:r>
      <w:r>
        <w:rPr>
          <w:rFonts w:hint="eastAsia" w:ascii="仿宋" w:hAnsi="仿宋" w:eastAsia="仿宋" w:cs="仿宋"/>
          <w:color w:val="auto"/>
          <w:kern w:val="24"/>
          <w:sz w:val="21"/>
          <w:szCs w:val="21"/>
          <w:highlight w:val="none"/>
        </w:rPr>
        <w:t>、每月定期对领导办公室和公务接待休息室的洗漱用品、矿泉水等消耗品进行生产日期检查。</w:t>
      </w:r>
    </w:p>
    <w:p w14:paraId="2103A90A">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lang w:val="en-US" w:eastAsia="zh-CN"/>
        </w:rPr>
        <w:t>8</w:t>
      </w:r>
      <w:r>
        <w:rPr>
          <w:rFonts w:hint="eastAsia" w:ascii="仿宋" w:hAnsi="仿宋" w:eastAsia="仿宋" w:cs="仿宋"/>
          <w:color w:val="auto"/>
          <w:kern w:val="24"/>
          <w:sz w:val="21"/>
          <w:szCs w:val="21"/>
          <w:highlight w:val="none"/>
        </w:rPr>
        <w:t>、公务接待休息室无人员入住时做好日常保洁维护，在接到保障通知后第一时间做好准备，使用后，及时更换床上用品，打扫卫生并做好工作记录；</w:t>
      </w:r>
    </w:p>
    <w:p w14:paraId="45B216C6">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lang w:val="en-US" w:eastAsia="zh-CN"/>
        </w:rPr>
        <w:t>9</w:t>
      </w:r>
      <w:r>
        <w:rPr>
          <w:rFonts w:hint="eastAsia" w:ascii="仿宋" w:hAnsi="仿宋" w:eastAsia="仿宋" w:cs="仿宋"/>
          <w:color w:val="auto"/>
          <w:kern w:val="24"/>
          <w:sz w:val="21"/>
          <w:szCs w:val="21"/>
          <w:highlight w:val="none"/>
        </w:rPr>
        <w:t>、出现特殊天气或事件，提前做好相关准备，确保公务接待休息室可以立即使用，及时增加值班人员。</w:t>
      </w:r>
    </w:p>
    <w:p w14:paraId="43057F99">
      <w:pP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（四）市委全委会服务</w:t>
      </w:r>
    </w:p>
    <w:p w14:paraId="76C5A810">
      <w:pP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l、市委全委会</w:t>
      </w:r>
      <w:r>
        <w:rPr>
          <w:rFonts w:hint="eastAsia" w:ascii="仿宋" w:hAnsi="仿宋" w:eastAsia="仿宋" w:cs="仿宋"/>
          <w:color w:val="auto"/>
          <w:kern w:val="0"/>
          <w:sz w:val="21"/>
          <w:szCs w:val="21"/>
          <w:highlight w:val="none"/>
          <w:lang w:val="en-US" w:eastAsia="zh-CN"/>
        </w:rPr>
        <w:t>保障</w:t>
      </w:r>
      <w:r>
        <w:rPr>
          <w:rFonts w:hint="eastAsia" w:ascii="仿宋" w:hAnsi="仿宋" w:eastAsia="仿宋" w:cs="仿宋"/>
          <w:color w:val="auto"/>
          <w:kern w:val="0"/>
          <w:sz w:val="21"/>
          <w:szCs w:val="21"/>
          <w:highlight w:val="none"/>
        </w:rPr>
        <w:t>。</w:t>
      </w:r>
    </w:p>
    <w:p w14:paraId="523139DD">
      <w:pP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2、服务内容</w:t>
      </w:r>
    </w:p>
    <w:p w14:paraId="6F8F393A">
      <w:pP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1）市委全委会保障</w:t>
      </w:r>
      <w:r>
        <w:rPr>
          <w:rFonts w:hint="eastAsia" w:ascii="仿宋" w:hAnsi="仿宋" w:eastAsia="仿宋" w:cs="仿宋"/>
          <w:color w:val="auto"/>
          <w:kern w:val="0"/>
          <w:sz w:val="21"/>
          <w:szCs w:val="21"/>
          <w:highlight w:val="none"/>
          <w:lang w:val="en-US" w:eastAsia="zh-CN"/>
        </w:rPr>
        <w:t>的布置、撤场</w:t>
      </w:r>
      <w:r>
        <w:rPr>
          <w:rFonts w:hint="eastAsia" w:ascii="仿宋" w:hAnsi="仿宋" w:eastAsia="仿宋" w:cs="仿宋"/>
          <w:color w:val="auto"/>
          <w:kern w:val="0"/>
          <w:sz w:val="21"/>
          <w:szCs w:val="21"/>
          <w:highlight w:val="none"/>
        </w:rPr>
        <w:t>（含</w:t>
      </w:r>
      <w:r>
        <w:rPr>
          <w:rFonts w:hint="eastAsia" w:ascii="仿宋" w:hAnsi="仿宋" w:eastAsia="仿宋" w:cs="仿宋"/>
          <w:color w:val="auto"/>
          <w:kern w:val="0"/>
          <w:sz w:val="21"/>
          <w:szCs w:val="21"/>
          <w:highlight w:val="none"/>
          <w:lang w:val="en-US" w:eastAsia="zh-CN"/>
        </w:rPr>
        <w:t>主席台背景搭建、</w:t>
      </w:r>
      <w:r>
        <w:rPr>
          <w:rFonts w:hint="eastAsia" w:ascii="仿宋" w:hAnsi="仿宋" w:eastAsia="仿宋" w:cs="仿宋"/>
          <w:color w:val="auto"/>
          <w:kern w:val="0"/>
          <w:sz w:val="21"/>
          <w:szCs w:val="21"/>
          <w:highlight w:val="none"/>
        </w:rPr>
        <w:t>音响、移动电视机设备、屏风、</w:t>
      </w:r>
      <w:r>
        <w:rPr>
          <w:rFonts w:hint="eastAsia" w:ascii="仿宋" w:hAnsi="仿宋" w:eastAsia="仿宋" w:cs="仿宋"/>
          <w:color w:val="auto"/>
          <w:kern w:val="0"/>
          <w:sz w:val="21"/>
          <w:szCs w:val="21"/>
          <w:highlight w:val="none"/>
          <w:lang w:val="en-US" w:eastAsia="zh-CN"/>
        </w:rPr>
        <w:t>茶歇台、</w:t>
      </w:r>
      <w:r>
        <w:rPr>
          <w:rFonts w:hint="eastAsia" w:ascii="仿宋" w:hAnsi="仿宋" w:eastAsia="仿宋" w:cs="仿宋"/>
          <w:color w:val="auto"/>
          <w:kern w:val="0"/>
          <w:sz w:val="21"/>
          <w:szCs w:val="21"/>
          <w:highlight w:val="none"/>
        </w:rPr>
        <w:t>茶杯、热水瓶、桌套等）。</w:t>
      </w:r>
    </w:p>
    <w:p w14:paraId="3A8D4FBA">
      <w:pP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2）所有会场桌椅等家具摆放、桌套铺设、帷幕悬挂熨烫、横幅制作悬挂、茶杯、茶叶、小毛巾等会议用品摆放和移动电视机、话筒等音响设备调试等;</w:t>
      </w:r>
    </w:p>
    <w:p w14:paraId="77BAA246">
      <w:pP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3）会前打水，会前所有岗位人员点位迎领，会中茶水服务；会后收尾倒茶水、清空热水瓶、用品装框收回。</w:t>
      </w:r>
    </w:p>
    <w:p w14:paraId="1494C928">
      <w:pP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4）茶杯清洗、消毒、烘干、桌套熨烫等。</w:t>
      </w:r>
    </w:p>
    <w:p w14:paraId="377627FA">
      <w:pP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r>
        <w:rPr>
          <w:rFonts w:hint="eastAsia" w:ascii="仿宋" w:hAnsi="仿宋" w:eastAsia="仿宋" w:cs="仿宋"/>
          <w:color w:val="auto"/>
          <w:kern w:val="0"/>
          <w:sz w:val="21"/>
          <w:szCs w:val="21"/>
          <w:highlight w:val="none"/>
          <w:lang w:val="en-US" w:eastAsia="zh-CN"/>
        </w:rPr>
        <w:t>主席台</w:t>
      </w:r>
      <w:r>
        <w:rPr>
          <w:rFonts w:hint="eastAsia" w:ascii="仿宋" w:hAnsi="仿宋" w:eastAsia="仿宋" w:cs="仿宋"/>
          <w:color w:val="auto"/>
          <w:kern w:val="0"/>
          <w:sz w:val="21"/>
          <w:szCs w:val="21"/>
          <w:highlight w:val="none"/>
        </w:rPr>
        <w:t>搭建、音视频安装（含撤场）须由专业人员拆卸拼装，包含</w:t>
      </w:r>
      <w:r>
        <w:rPr>
          <w:rFonts w:hint="eastAsia" w:ascii="仿宋" w:hAnsi="仿宋" w:eastAsia="仿宋" w:cs="仿宋"/>
          <w:color w:val="auto"/>
          <w:kern w:val="0"/>
          <w:sz w:val="21"/>
          <w:szCs w:val="21"/>
          <w:highlight w:val="none"/>
          <w:lang w:val="en-US" w:eastAsia="zh-CN"/>
        </w:rPr>
        <w:t>主席台</w:t>
      </w:r>
      <w:r>
        <w:rPr>
          <w:rFonts w:hint="eastAsia" w:ascii="仿宋" w:hAnsi="仿宋" w:eastAsia="仿宋" w:cs="仿宋"/>
          <w:color w:val="auto"/>
          <w:kern w:val="0"/>
          <w:sz w:val="21"/>
          <w:szCs w:val="21"/>
          <w:highlight w:val="none"/>
        </w:rPr>
        <w:t>重组及复位，原有音响设备拆除及复位、会议专用音控设备安装拆除和调试、背景</w:t>
      </w:r>
      <w:r>
        <w:rPr>
          <w:rFonts w:hint="eastAsia" w:ascii="仿宋" w:hAnsi="仿宋" w:eastAsia="仿宋" w:cs="仿宋"/>
          <w:color w:val="auto"/>
          <w:kern w:val="0"/>
          <w:sz w:val="21"/>
          <w:szCs w:val="21"/>
          <w:highlight w:val="none"/>
          <w:lang w:eastAsia="zh-CN"/>
        </w:rPr>
        <w:t>帷幕</w:t>
      </w:r>
      <w:r>
        <w:rPr>
          <w:rFonts w:hint="eastAsia" w:ascii="仿宋" w:hAnsi="仿宋" w:eastAsia="仿宋" w:cs="仿宋"/>
          <w:color w:val="auto"/>
          <w:kern w:val="0"/>
          <w:sz w:val="21"/>
          <w:szCs w:val="21"/>
          <w:highlight w:val="none"/>
        </w:rPr>
        <w:t>调整及回收、红旗党微悬挂放置及回收、舞台灯光调试等。</w:t>
      </w:r>
    </w:p>
    <w:p w14:paraId="373A7009">
      <w:pP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3、服务的标准参照浙江省杭州市地方标准《机关事务管理会议服务规范》</w:t>
      </w:r>
      <w:r>
        <w:rPr>
          <w:rFonts w:hint="eastAsia" w:ascii="仿宋" w:hAnsi="仿宋" w:eastAsia="仿宋" w:cs="仿宋"/>
          <w:color w:val="auto"/>
          <w:kern w:val="0"/>
          <w:sz w:val="21"/>
          <w:szCs w:val="21"/>
          <w:highlight w:val="none"/>
          <w:shd w:val="clear" w:color="auto" w:fill="FFFF00"/>
          <w:lang w:val="en-US" w:eastAsia="zh-CN" w:bidi="ar"/>
        </w:rPr>
        <w:t>DB3301/T 0298-2024，</w:t>
      </w:r>
      <w:r>
        <w:rPr>
          <w:rFonts w:hint="eastAsia" w:ascii="仿宋" w:hAnsi="仿宋" w:eastAsia="仿宋" w:cs="仿宋"/>
          <w:color w:val="auto"/>
          <w:kern w:val="0"/>
          <w:sz w:val="21"/>
          <w:szCs w:val="21"/>
          <w:highlight w:val="none"/>
        </w:rPr>
        <w:t>要求不低于会议中心A类会议服务标准。</w:t>
      </w:r>
    </w:p>
    <w:p w14:paraId="4AC8FEB3">
      <w:pP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4、岗位设置和人数安排表</w:t>
      </w:r>
    </w:p>
    <w:p w14:paraId="7F84B3D4">
      <w:pP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1）按市委全会服务要求合理配置所需相关人员。</w:t>
      </w:r>
    </w:p>
    <w:p w14:paraId="25382474">
      <w:pP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（五）</w:t>
      </w:r>
      <w:r>
        <w:rPr>
          <w:rFonts w:hint="eastAsia" w:ascii="仿宋" w:hAnsi="仿宋" w:eastAsia="仿宋" w:cs="仿宋"/>
          <w:color w:val="auto"/>
          <w:kern w:val="0"/>
          <w:sz w:val="21"/>
          <w:szCs w:val="21"/>
          <w:highlight w:val="none"/>
          <w:lang w:eastAsia="zh-CN"/>
        </w:rPr>
        <w:t>其他</w:t>
      </w:r>
      <w:r>
        <w:rPr>
          <w:rFonts w:hint="eastAsia" w:ascii="仿宋" w:hAnsi="仿宋" w:eastAsia="仿宋" w:cs="仿宋"/>
          <w:color w:val="auto"/>
          <w:kern w:val="0"/>
          <w:sz w:val="21"/>
          <w:szCs w:val="21"/>
          <w:highlight w:val="none"/>
          <w:lang w:val="en-US" w:eastAsia="zh-CN"/>
        </w:rPr>
        <w:t>重大</w:t>
      </w:r>
      <w:r>
        <w:rPr>
          <w:rFonts w:hint="eastAsia" w:ascii="仿宋" w:hAnsi="仿宋" w:eastAsia="仿宋" w:cs="仿宋"/>
          <w:color w:val="auto"/>
          <w:kern w:val="0"/>
          <w:sz w:val="21"/>
          <w:szCs w:val="21"/>
          <w:highlight w:val="none"/>
        </w:rPr>
        <w:t>会议保障工作</w:t>
      </w:r>
    </w:p>
    <w:p w14:paraId="2887D9B5">
      <w:pP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1、市民中心范围内的临时性会议保障工作。</w:t>
      </w:r>
    </w:p>
    <w:p w14:paraId="5FEFA878">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eastAsia="zh-CN"/>
        </w:rPr>
        <w:t>其他</w:t>
      </w:r>
      <w:r>
        <w:rPr>
          <w:rFonts w:hint="eastAsia" w:ascii="仿宋" w:hAnsi="仿宋" w:eastAsia="仿宋" w:cs="仿宋"/>
          <w:color w:val="auto"/>
          <w:kern w:val="0"/>
          <w:sz w:val="21"/>
          <w:szCs w:val="21"/>
          <w:highlight w:val="none"/>
          <w:lang w:val="en-US" w:eastAsia="zh-CN"/>
        </w:rPr>
        <w:t>重大</w:t>
      </w:r>
      <w:r>
        <w:rPr>
          <w:rFonts w:hint="eastAsia" w:ascii="仿宋" w:hAnsi="仿宋" w:eastAsia="仿宋" w:cs="仿宋"/>
          <w:color w:val="auto"/>
          <w:kern w:val="0"/>
          <w:sz w:val="21"/>
          <w:szCs w:val="21"/>
          <w:highlight w:val="none"/>
        </w:rPr>
        <w:t>会议保障工作</w:t>
      </w:r>
    </w:p>
    <w:p w14:paraId="0B1D571F">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（六）本项目的服务要求包括但不限于上述内容，乙方应根据甲方的服务标准化进程和相关制度变化，及时调整服务标准和要求。</w:t>
      </w:r>
    </w:p>
    <w:p w14:paraId="1F3C7CA9">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（七）档案管理</w:t>
      </w:r>
    </w:p>
    <w:p w14:paraId="11D8A53F">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有较完善的会议服务管理档案制度，档案内容至少应包括：</w:t>
      </w:r>
    </w:p>
    <w:p w14:paraId="01B3EE85">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1、会议预约登记记录、会议服务保障人员记录及数据统计；</w:t>
      </w:r>
    </w:p>
    <w:p w14:paraId="0A40EA7C">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2、各会议室音响设备设施清册；</w:t>
      </w:r>
    </w:p>
    <w:p w14:paraId="7F880DE8">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3、设备管理档案；</w:t>
      </w:r>
    </w:p>
    <w:p w14:paraId="6E60C348">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4、来访者登记资料档案；</w:t>
      </w:r>
    </w:p>
    <w:p w14:paraId="18478F08">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5、日常管理台账档案，包括安全卫生检查、设备维修保养记录、</w:t>
      </w:r>
      <w:r>
        <w:rPr>
          <w:rFonts w:hint="eastAsia" w:ascii="仿宋" w:hAnsi="仿宋" w:eastAsia="仿宋" w:cs="仿宋"/>
          <w:color w:val="auto"/>
          <w:kern w:val="0"/>
          <w:sz w:val="21"/>
          <w:szCs w:val="21"/>
          <w:highlight w:val="none"/>
        </w:rPr>
        <w:t>物品领用记录</w:t>
      </w:r>
      <w:r>
        <w:rPr>
          <w:rFonts w:hint="eastAsia" w:ascii="仿宋" w:hAnsi="仿宋" w:eastAsia="仿宋" w:cs="仿宋"/>
          <w:color w:val="auto"/>
          <w:kern w:val="24"/>
          <w:sz w:val="21"/>
          <w:szCs w:val="21"/>
          <w:highlight w:val="none"/>
        </w:rPr>
        <w:t>等。</w:t>
      </w:r>
    </w:p>
    <w:p w14:paraId="74709D3E">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（八）消耗用品</w:t>
      </w:r>
    </w:p>
    <w:p w14:paraId="7BA36C5B">
      <w:pPr>
        <w:adjustRightInd w:val="0"/>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办公用品、保洁用品</w:t>
      </w:r>
      <w:r>
        <w:rPr>
          <w:rFonts w:hint="eastAsia" w:ascii="仿宋" w:hAnsi="仿宋" w:eastAsia="仿宋" w:cs="仿宋"/>
          <w:color w:val="auto"/>
          <w:kern w:val="0"/>
          <w:sz w:val="21"/>
          <w:szCs w:val="21"/>
          <w:highlight w:val="none"/>
        </w:rPr>
        <w:t>等消耗品由乙方提供。</w:t>
      </w:r>
    </w:p>
    <w:p w14:paraId="06658997">
      <w:pPr>
        <w:adjustRightInd w:val="0"/>
        <w:snapToGrid w:val="0"/>
        <w:spacing w:line="360" w:lineRule="auto"/>
        <w:ind w:firstLine="315" w:firstLineChars="1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（九）会场设备设施及物品管理</w:t>
      </w:r>
    </w:p>
    <w:p w14:paraId="287ECF44">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1、乙方配合甲方定期做好音响设备检查工作；</w:t>
      </w:r>
    </w:p>
    <w:p w14:paraId="7A95F20D">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2、乙方在应建立会议设备设施日常维护、检查机制，聘请专人加强对音控人员的培训和设备的日常检查</w:t>
      </w:r>
      <w:r>
        <w:rPr>
          <w:rFonts w:hint="eastAsia" w:ascii="仿宋" w:hAnsi="仿宋" w:eastAsia="仿宋" w:cs="仿宋"/>
          <w:color w:val="auto"/>
          <w:kern w:val="24"/>
          <w:sz w:val="21"/>
          <w:szCs w:val="21"/>
          <w:highlight w:val="none"/>
          <w:lang w:val="en-US" w:eastAsia="zh-CN"/>
        </w:rPr>
        <w:t>维护</w:t>
      </w:r>
      <w:r>
        <w:rPr>
          <w:rFonts w:hint="eastAsia" w:ascii="仿宋" w:hAnsi="仿宋" w:eastAsia="仿宋" w:cs="仿宋"/>
          <w:color w:val="auto"/>
          <w:kern w:val="24"/>
          <w:sz w:val="21"/>
          <w:szCs w:val="21"/>
          <w:highlight w:val="none"/>
        </w:rPr>
        <w:t>，发现安全隐患及时上报甲方；</w:t>
      </w:r>
    </w:p>
    <w:p w14:paraId="32196E7C">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3、乙方在使用中如发现人为损坏需要赔偿；</w:t>
      </w:r>
    </w:p>
    <w:p w14:paraId="11184A3A">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4、乙方对甲方各会议厅（室）及其相关服务配套的设备设施负有保管义务，涉及固定资产的设备设施须参照甲方相关制度和要求执行；</w:t>
      </w:r>
    </w:p>
    <w:p w14:paraId="4738BF25">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5、乙方应妥善保管和使用茶具、茶叶、湿巾等会议消耗品，对于超过实际需求的上述消耗用品，甲方有权要求乙方作出说明并</w:t>
      </w:r>
      <w:r>
        <w:rPr>
          <w:rFonts w:hint="eastAsia" w:ascii="仿宋" w:hAnsi="仿宋" w:eastAsia="仿宋" w:cs="仿宋"/>
          <w:color w:val="auto"/>
          <w:kern w:val="24"/>
          <w:sz w:val="21"/>
          <w:szCs w:val="21"/>
          <w:highlight w:val="none"/>
          <w:lang w:val="en-US" w:eastAsia="zh-CN"/>
        </w:rPr>
        <w:t>自行承担超出部分消耗品购置</w:t>
      </w:r>
      <w:r>
        <w:rPr>
          <w:rFonts w:hint="eastAsia" w:ascii="仿宋" w:hAnsi="仿宋" w:eastAsia="仿宋" w:cs="仿宋"/>
          <w:color w:val="auto"/>
          <w:kern w:val="24"/>
          <w:sz w:val="21"/>
          <w:szCs w:val="21"/>
          <w:highlight w:val="none"/>
        </w:rPr>
        <w:t>；</w:t>
      </w:r>
    </w:p>
    <w:p w14:paraId="71B00495">
      <w:pP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七、工作人员要求：</w:t>
      </w:r>
    </w:p>
    <w:p w14:paraId="0D52B17A">
      <w:pPr>
        <w:numPr>
          <w:ilvl w:val="0"/>
          <w:numId w:val="4"/>
        </w:numPr>
        <w:adjustRightInd w:val="0"/>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按服务要求合理配置项目经理、主管、领班、专业音控员、服务员、保洁员等服务队伍，且管理人员须具备相关职业资历，技术人员具备相关职业资格证书。</w:t>
      </w:r>
    </w:p>
    <w:p w14:paraId="7D3075CA">
      <w:pPr>
        <w:numPr>
          <w:ilvl w:val="0"/>
          <w:numId w:val="4"/>
        </w:numPr>
        <w:adjustRightInd w:val="0"/>
        <w:snapToGrid w:val="0"/>
        <w:spacing w:line="360" w:lineRule="auto"/>
        <w:ind w:firstLine="420"/>
        <w:jc w:val="left"/>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kern w:val="0"/>
          <w:sz w:val="21"/>
          <w:szCs w:val="21"/>
          <w:highlight w:val="none"/>
        </w:rPr>
        <w:t>按</w:t>
      </w:r>
      <w:r>
        <w:rPr>
          <w:rFonts w:hint="eastAsia" w:ascii="仿宋" w:hAnsi="仿宋" w:eastAsia="仿宋" w:cs="仿宋"/>
          <w:color w:val="auto"/>
          <w:sz w:val="21"/>
          <w:szCs w:val="21"/>
          <w:highlight w:val="none"/>
        </w:rPr>
        <w:t>日常服务保障工作量要求核定岗位数，到岗人数不得低于岗位配置的85%，</w:t>
      </w:r>
      <w:r>
        <w:rPr>
          <w:rFonts w:hint="eastAsia" w:ascii="仿宋" w:hAnsi="仿宋" w:eastAsia="仿宋" w:cs="仿宋"/>
          <w:color w:val="auto"/>
          <w:sz w:val="21"/>
          <w:szCs w:val="21"/>
          <w:highlight w:val="none"/>
          <w:shd w:val="clear" w:color="auto" w:fill="FFFFFF"/>
        </w:rPr>
        <w:t>当所有会场同时启用或遇有重大会议同时召开时，保障人员不设上限，超建议岗位数人员需及时调整到位，确保各会场及各重要会议保障有序开展。</w:t>
      </w:r>
    </w:p>
    <w:p w14:paraId="2610DA63">
      <w:pPr>
        <w:adjustRightInd w:val="0"/>
        <w:snapToGrid w:val="0"/>
        <w:spacing w:line="360" w:lineRule="auto"/>
        <w:ind w:left="48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3．服务岗位数</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个</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871"/>
        <w:gridCol w:w="1140"/>
        <w:gridCol w:w="5104"/>
      </w:tblGrid>
      <w:tr w14:paraId="17D9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F19647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序号</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22644CD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人员岗位</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E4F2B1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数量</w:t>
            </w:r>
          </w:p>
        </w:tc>
        <w:tc>
          <w:tcPr>
            <w:tcW w:w="5104" w:type="dxa"/>
            <w:tcBorders>
              <w:top w:val="single" w:color="auto" w:sz="4" w:space="0"/>
              <w:left w:val="single" w:color="auto" w:sz="4" w:space="0"/>
              <w:bottom w:val="single" w:color="auto" w:sz="4" w:space="0"/>
              <w:right w:val="single" w:color="auto" w:sz="4" w:space="0"/>
            </w:tcBorders>
            <w:noWrap w:val="0"/>
            <w:vAlign w:val="center"/>
          </w:tcPr>
          <w:p w14:paraId="4FAC1FC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备注</w:t>
            </w:r>
          </w:p>
        </w:tc>
      </w:tr>
      <w:tr w14:paraId="3AD5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A7D059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1</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2EEAA64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项目负责人</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0C176E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p>
        </w:tc>
        <w:tc>
          <w:tcPr>
            <w:tcW w:w="5104" w:type="dxa"/>
            <w:tcBorders>
              <w:top w:val="single" w:color="auto" w:sz="4" w:space="0"/>
              <w:left w:val="single" w:color="auto" w:sz="4" w:space="0"/>
              <w:bottom w:val="single" w:color="auto" w:sz="4" w:space="0"/>
              <w:right w:val="single" w:color="auto" w:sz="4" w:space="0"/>
            </w:tcBorders>
            <w:noWrap w:val="0"/>
            <w:vAlign w:val="center"/>
          </w:tcPr>
          <w:p w14:paraId="38EFF10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p>
        </w:tc>
      </w:tr>
      <w:tr w14:paraId="4B85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7A3DD7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2</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2B24D29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管理人员</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BD73FB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p>
        </w:tc>
        <w:tc>
          <w:tcPr>
            <w:tcW w:w="5104" w:type="dxa"/>
            <w:tcBorders>
              <w:top w:val="single" w:color="auto" w:sz="4" w:space="0"/>
              <w:left w:val="single" w:color="auto" w:sz="4" w:space="0"/>
              <w:bottom w:val="single" w:color="auto" w:sz="4" w:space="0"/>
              <w:right w:val="single" w:color="auto" w:sz="4" w:space="0"/>
            </w:tcBorders>
            <w:noWrap w:val="0"/>
            <w:vAlign w:val="center"/>
          </w:tcPr>
          <w:p w14:paraId="3F3B920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p>
        </w:tc>
      </w:tr>
      <w:tr w14:paraId="04C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0AD976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3</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34EA4B2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服务总台接待员</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3DB1BC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p>
        </w:tc>
        <w:tc>
          <w:tcPr>
            <w:tcW w:w="5104" w:type="dxa"/>
            <w:tcBorders>
              <w:top w:val="single" w:color="auto" w:sz="4" w:space="0"/>
              <w:left w:val="single" w:color="auto" w:sz="4" w:space="0"/>
              <w:bottom w:val="single" w:color="auto" w:sz="4" w:space="0"/>
              <w:right w:val="single" w:color="auto" w:sz="4" w:space="0"/>
            </w:tcBorders>
            <w:noWrap w:val="0"/>
            <w:vAlign w:val="center"/>
          </w:tcPr>
          <w:p w14:paraId="68B5DE7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领班1人</w:t>
            </w:r>
          </w:p>
        </w:tc>
      </w:tr>
      <w:tr w14:paraId="5103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AA238D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4</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6D46850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会议服务员</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EACC03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p>
        </w:tc>
        <w:tc>
          <w:tcPr>
            <w:tcW w:w="5104" w:type="dxa"/>
            <w:tcBorders>
              <w:top w:val="single" w:color="auto" w:sz="4" w:space="0"/>
              <w:left w:val="single" w:color="auto" w:sz="4" w:space="0"/>
              <w:bottom w:val="single" w:color="auto" w:sz="4" w:space="0"/>
              <w:right w:val="single" w:color="auto" w:sz="4" w:space="0"/>
            </w:tcBorders>
            <w:noWrap w:val="0"/>
            <w:vAlign w:val="center"/>
          </w:tcPr>
          <w:p w14:paraId="7103E15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主管2人、领班4人</w:t>
            </w:r>
          </w:p>
        </w:tc>
      </w:tr>
      <w:tr w14:paraId="3E32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906CD8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5</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31D1A5A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楼层服务员</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F31C4C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p>
        </w:tc>
        <w:tc>
          <w:tcPr>
            <w:tcW w:w="5104" w:type="dxa"/>
            <w:tcBorders>
              <w:top w:val="single" w:color="auto" w:sz="4" w:space="0"/>
              <w:left w:val="single" w:color="auto" w:sz="4" w:space="0"/>
              <w:bottom w:val="single" w:color="auto" w:sz="4" w:space="0"/>
              <w:right w:val="single" w:color="auto" w:sz="4" w:space="0"/>
            </w:tcBorders>
            <w:noWrap w:val="0"/>
            <w:vAlign w:val="center"/>
          </w:tcPr>
          <w:p w14:paraId="482EB13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主管</w:t>
            </w:r>
            <w:r>
              <w:rPr>
                <w:rFonts w:hint="eastAsia" w:ascii="仿宋" w:hAnsi="仿宋" w:eastAsia="仿宋" w:cs="仿宋"/>
                <w:color w:val="auto"/>
                <w:kern w:val="2"/>
                <w:sz w:val="21"/>
                <w:szCs w:val="21"/>
                <w:highlight w:val="none"/>
                <w:shd w:val="clear" w:color="auto" w:fill="FFFFFF"/>
                <w:lang w:eastAsia="zh-CN" w:bidi="ar"/>
              </w:rPr>
              <w:t>2</w:t>
            </w:r>
            <w:r>
              <w:rPr>
                <w:rFonts w:hint="eastAsia" w:ascii="仿宋" w:hAnsi="仿宋" w:eastAsia="仿宋" w:cs="仿宋"/>
                <w:color w:val="auto"/>
                <w:kern w:val="2"/>
                <w:sz w:val="21"/>
                <w:szCs w:val="21"/>
                <w:highlight w:val="none"/>
                <w:shd w:val="clear" w:color="auto" w:fill="FFFFFF"/>
                <w:lang w:val="en-US" w:eastAsia="zh-CN" w:bidi="ar"/>
              </w:rPr>
              <w:t>人、领班4人</w:t>
            </w:r>
          </w:p>
        </w:tc>
      </w:tr>
      <w:tr w14:paraId="030C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E03DC0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6</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52D0595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音控员</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86B262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p>
        </w:tc>
        <w:tc>
          <w:tcPr>
            <w:tcW w:w="5104" w:type="dxa"/>
            <w:tcBorders>
              <w:top w:val="single" w:color="auto" w:sz="4" w:space="0"/>
              <w:left w:val="single" w:color="auto" w:sz="4" w:space="0"/>
              <w:bottom w:val="single" w:color="auto" w:sz="4" w:space="0"/>
              <w:right w:val="single" w:color="auto" w:sz="4" w:space="0"/>
            </w:tcBorders>
            <w:noWrap w:val="0"/>
            <w:vAlign w:val="center"/>
          </w:tcPr>
          <w:p w14:paraId="0748521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主管2人、领班2人</w:t>
            </w:r>
          </w:p>
        </w:tc>
      </w:tr>
      <w:tr w14:paraId="66EA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637FDA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7</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0FE5AD5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保洁员</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0AC53D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p>
        </w:tc>
        <w:tc>
          <w:tcPr>
            <w:tcW w:w="5104" w:type="dxa"/>
            <w:tcBorders>
              <w:top w:val="single" w:color="auto" w:sz="4" w:space="0"/>
              <w:left w:val="single" w:color="auto" w:sz="4" w:space="0"/>
              <w:bottom w:val="single" w:color="auto" w:sz="4" w:space="0"/>
              <w:right w:val="single" w:color="auto" w:sz="4" w:space="0"/>
            </w:tcBorders>
            <w:noWrap w:val="0"/>
            <w:vAlign w:val="center"/>
          </w:tcPr>
          <w:p w14:paraId="1F5FCDC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领班1人（含洗杯员）</w:t>
            </w:r>
          </w:p>
        </w:tc>
      </w:tr>
      <w:tr w14:paraId="11D7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703" w:type="dxa"/>
            <w:gridSpan w:val="2"/>
            <w:tcBorders>
              <w:top w:val="single" w:color="auto" w:sz="4" w:space="0"/>
              <w:left w:val="single" w:color="auto" w:sz="4" w:space="0"/>
              <w:bottom w:val="single" w:color="auto" w:sz="4" w:space="0"/>
              <w:right w:val="single" w:color="auto" w:sz="4" w:space="0"/>
            </w:tcBorders>
            <w:noWrap w:val="0"/>
            <w:vAlign w:val="center"/>
          </w:tcPr>
          <w:p w14:paraId="576C506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合计</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760D4F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p>
        </w:tc>
        <w:tc>
          <w:tcPr>
            <w:tcW w:w="5104" w:type="dxa"/>
            <w:tcBorders>
              <w:top w:val="single" w:color="auto" w:sz="4" w:space="0"/>
              <w:left w:val="single" w:color="auto" w:sz="4" w:space="0"/>
              <w:bottom w:val="single" w:color="auto" w:sz="4" w:space="0"/>
              <w:right w:val="single" w:color="auto" w:sz="4" w:space="0"/>
            </w:tcBorders>
            <w:noWrap w:val="0"/>
            <w:vAlign w:val="center"/>
          </w:tcPr>
          <w:p w14:paraId="298DF52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36" w:lineRule="auto"/>
              <w:ind w:left="0" w:right="0"/>
              <w:jc w:val="center"/>
              <w:rPr>
                <w:rFonts w:hint="eastAsia" w:ascii="仿宋" w:hAnsi="仿宋" w:eastAsia="仿宋" w:cs="仿宋"/>
                <w:color w:val="auto"/>
                <w:sz w:val="21"/>
                <w:szCs w:val="21"/>
                <w:highlight w:val="none"/>
                <w:shd w:val="clear" w:color="auto" w:fill="FFFFFF"/>
                <w:lang w:val="en-US"/>
              </w:rPr>
            </w:pPr>
            <w:r>
              <w:rPr>
                <w:rFonts w:hint="eastAsia" w:ascii="仿宋" w:hAnsi="仿宋" w:eastAsia="仿宋" w:cs="仿宋"/>
                <w:color w:val="auto"/>
                <w:kern w:val="2"/>
                <w:sz w:val="21"/>
                <w:szCs w:val="21"/>
                <w:highlight w:val="none"/>
                <w:shd w:val="clear" w:color="auto" w:fill="FFFFFF"/>
                <w:lang w:val="en-US" w:eastAsia="zh-CN" w:bidi="ar"/>
              </w:rPr>
              <w:t>上述岗位数仅供参考，供应商可根据项目需求提供更多更好的人员服务保证，工作日实际到岗人数不得低于合同约定人数的85%。</w:t>
            </w:r>
          </w:p>
        </w:tc>
      </w:tr>
    </w:tbl>
    <w:p w14:paraId="1E4FCE70">
      <w:pPr>
        <w:widowControl/>
        <w:adjustRightInd w:val="0"/>
        <w:snapToGrid w:val="0"/>
        <w:spacing w:line="360" w:lineRule="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（注：具体人员配备等内容，有可能按实际情况进行调整，乙方必须予以配合。）</w:t>
      </w:r>
    </w:p>
    <w:p w14:paraId="493FE250">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lang w:val="en-US" w:eastAsia="zh-CN"/>
        </w:rPr>
        <w:t>4</w:t>
      </w:r>
      <w:r>
        <w:rPr>
          <w:rFonts w:hint="eastAsia" w:ascii="仿宋" w:hAnsi="仿宋" w:eastAsia="仿宋" w:cs="仿宋"/>
          <w:color w:val="auto"/>
          <w:kern w:val="24"/>
          <w:sz w:val="21"/>
          <w:szCs w:val="21"/>
          <w:highlight w:val="none"/>
        </w:rPr>
        <w:t>. 所有人员的驻场工作地点必须服从甲方的分配并满足项目的整体服务要求（其中三人安排至会议中心以外的指定岗位），由乙方做出相应承诺。</w:t>
      </w:r>
    </w:p>
    <w:p w14:paraId="1B03A9A1">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lang w:val="en-US" w:eastAsia="zh-CN"/>
        </w:rPr>
        <w:t>5</w:t>
      </w:r>
      <w:r>
        <w:rPr>
          <w:rFonts w:hint="eastAsia" w:ascii="仿宋" w:hAnsi="仿宋" w:eastAsia="仿宋" w:cs="仿宋"/>
          <w:color w:val="auto"/>
          <w:kern w:val="24"/>
          <w:sz w:val="21"/>
          <w:szCs w:val="21"/>
          <w:highlight w:val="none"/>
        </w:rPr>
        <w:t>. 乙方须出具“中标后主要管理人员及技术人员在中标通知书发出后5日内入场熟悉场地和先期准备工作，所有人员在15日内入场并办理完成交接手续，期间将保证会议中心正常运行”的承诺。</w:t>
      </w:r>
    </w:p>
    <w:p w14:paraId="0A5D607B">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lang w:val="en-US" w:eastAsia="zh-CN"/>
        </w:rPr>
        <w:t>6</w:t>
      </w:r>
      <w:r>
        <w:rPr>
          <w:rFonts w:hint="eastAsia" w:ascii="仿宋" w:hAnsi="仿宋" w:eastAsia="仿宋" w:cs="仿宋"/>
          <w:color w:val="auto"/>
          <w:kern w:val="24"/>
          <w:sz w:val="21"/>
          <w:szCs w:val="21"/>
          <w:highlight w:val="none"/>
        </w:rPr>
        <w:t>. 乙方须出具“如会议服务有特殊任务，乙方务必配备相应数量及专业的服务人员以满足会议服务的正常需要”的承诺书。</w:t>
      </w:r>
    </w:p>
    <w:p w14:paraId="106951B5">
      <w:pPr>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.乙方须出具“会议服务保密承诺书”。</w:t>
      </w:r>
    </w:p>
    <w:p w14:paraId="7107D21C">
      <w:pPr>
        <w:adjustRightInd w:val="0"/>
        <w:snapToGrid w:val="0"/>
        <w:spacing w:line="360" w:lineRule="auto"/>
        <w:ind w:firstLine="422" w:firstLineChars="200"/>
        <w:rPr>
          <w:rFonts w:hint="eastAsia" w:ascii="仿宋" w:hAnsi="仿宋" w:eastAsia="仿宋" w:cs="仿宋"/>
          <w:b/>
          <w:bCs/>
          <w:color w:val="auto"/>
          <w:kern w:val="24"/>
          <w:sz w:val="21"/>
          <w:szCs w:val="21"/>
          <w:highlight w:val="none"/>
        </w:rPr>
      </w:pPr>
      <w:r>
        <w:rPr>
          <w:rFonts w:hint="eastAsia" w:ascii="仿宋" w:hAnsi="仿宋" w:eastAsia="仿宋" w:cs="仿宋"/>
          <w:b/>
          <w:bCs/>
          <w:color w:val="auto"/>
          <w:kern w:val="24"/>
          <w:sz w:val="21"/>
          <w:szCs w:val="21"/>
          <w:highlight w:val="none"/>
        </w:rPr>
        <w:t>八、项目管理要求：</w:t>
      </w:r>
    </w:p>
    <w:p w14:paraId="4889C98B">
      <w:pPr>
        <w:widowControl/>
        <w:adjustRightInd w:val="0"/>
        <w:snapToGrid w:val="0"/>
        <w:spacing w:line="360" w:lineRule="auto"/>
        <w:ind w:firstLine="411" w:firstLineChars="196"/>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（一）对会议服务管理公司的基本要求</w:t>
      </w:r>
    </w:p>
    <w:p w14:paraId="3F80B2EF">
      <w:pPr>
        <w:widowControl/>
        <w:adjustRightInd w:val="0"/>
        <w:snapToGrid w:val="0"/>
        <w:spacing w:line="360" w:lineRule="auto"/>
        <w:ind w:firstLine="411" w:firstLineChars="196"/>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1、企业具有完善的会务服务管理制度及服务方案，质量管理、财务管理、档案管理等制度健全；有专门的管理机构，办公设施设备较先进完备，应用计算机等现代化管理手段进行科学管理，办公场所整洁有序。</w:t>
      </w:r>
    </w:p>
    <w:p w14:paraId="35F957E2">
      <w:pPr>
        <w:widowControl/>
        <w:adjustRightInd w:val="0"/>
        <w:snapToGrid w:val="0"/>
        <w:spacing w:line="360" w:lineRule="auto"/>
        <w:ind w:firstLine="411" w:firstLineChars="196"/>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2、乙方根据甲方要求派出的全体人员，要对政审情况和银行征信情况进行严格检查，须遵纪守法、品行端正，保证全体人员无犯罪和不良记录；具有正常履行职责的身体条件和心理素质；具有符合职位要求的文化程度、从业资格和工作能力，能自觉服从工作安排；且身体健康、五官端正、着装统一、行为规范、举止文明、</w:t>
      </w:r>
      <w:r>
        <w:rPr>
          <w:rFonts w:hint="eastAsia" w:ascii="仿宋" w:hAnsi="仿宋" w:eastAsia="仿宋" w:cs="仿宋"/>
          <w:color w:val="auto"/>
          <w:kern w:val="0"/>
          <w:sz w:val="21"/>
          <w:szCs w:val="21"/>
          <w:highlight w:val="none"/>
          <w:lang w:eastAsia="zh-CN"/>
        </w:rPr>
        <w:t>责任心强</w:t>
      </w:r>
      <w:r>
        <w:rPr>
          <w:rFonts w:hint="eastAsia" w:ascii="仿宋" w:hAnsi="仿宋" w:eastAsia="仿宋" w:cs="仿宋"/>
          <w:color w:val="auto"/>
          <w:kern w:val="0"/>
          <w:sz w:val="21"/>
          <w:szCs w:val="21"/>
          <w:highlight w:val="none"/>
        </w:rPr>
        <w:t>。</w:t>
      </w:r>
    </w:p>
    <w:p w14:paraId="5403AF2A">
      <w:pPr>
        <w:widowControl/>
        <w:adjustRightInd w:val="0"/>
        <w:snapToGrid w:val="0"/>
        <w:spacing w:line="360" w:lineRule="auto"/>
        <w:ind w:firstLine="411" w:firstLineChars="196"/>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3、乙方负责甲方所指定区域、场所的各项工作。未经甲方同意，乙方所派出的工作人员不得进入涉密场所，不得干涉甲方内部管理和内部行政事务及纠纷。人员进驻后，必须服从甲方的管理，严格遵守甲方有关规章制度并接受甲方监管。</w:t>
      </w:r>
    </w:p>
    <w:p w14:paraId="1136C8CB">
      <w:pPr>
        <w:widowControl/>
        <w:adjustRightInd w:val="0"/>
        <w:snapToGrid w:val="0"/>
        <w:spacing w:line="360" w:lineRule="auto"/>
        <w:ind w:firstLine="411" w:firstLineChars="19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4、音控人员必须有专业设备的上岗资格证书（或专业机构培训合格证明），技能熟练，严格执行操作规程。</w:t>
      </w:r>
    </w:p>
    <w:p w14:paraId="443493FC">
      <w:pPr>
        <w:widowControl/>
        <w:adjustRightInd w:val="0"/>
        <w:snapToGrid w:val="0"/>
        <w:spacing w:line="360" w:lineRule="auto"/>
        <w:ind w:firstLine="411" w:firstLineChars="19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5、会议服务管理及服务人员上岗前或调动时需报甲方备案；所有工作人员必须签订保密协议并经甲方书面认可后才可上岗。</w:t>
      </w:r>
    </w:p>
    <w:p w14:paraId="40FAF889">
      <w:pPr>
        <w:widowControl/>
        <w:adjustRightInd w:val="0"/>
        <w:snapToGrid w:val="0"/>
        <w:spacing w:line="360" w:lineRule="auto"/>
        <w:ind w:firstLine="411" w:firstLineChars="196"/>
        <w:rPr>
          <w:rFonts w:hint="eastAsia" w:ascii="仿宋" w:hAnsi="仿宋" w:eastAsia="仿宋" w:cs="仿宋"/>
          <w:b/>
          <w:color w:val="auto"/>
          <w:kern w:val="0"/>
          <w:sz w:val="21"/>
          <w:szCs w:val="21"/>
          <w:highlight w:val="none"/>
        </w:rPr>
      </w:pPr>
      <w:r>
        <w:rPr>
          <w:rFonts w:hint="eastAsia" w:ascii="仿宋" w:hAnsi="仿宋" w:eastAsia="仿宋" w:cs="仿宋"/>
          <w:color w:val="auto"/>
          <w:kern w:val="0"/>
          <w:sz w:val="21"/>
          <w:szCs w:val="21"/>
          <w:highlight w:val="none"/>
        </w:rPr>
        <w:t>6、协助甲方做好节能减排、</w:t>
      </w:r>
      <w:r>
        <w:rPr>
          <w:rFonts w:hint="eastAsia" w:ascii="仿宋" w:hAnsi="仿宋" w:eastAsia="仿宋" w:cs="仿宋"/>
          <w:color w:val="auto"/>
          <w:kern w:val="0"/>
          <w:sz w:val="21"/>
          <w:szCs w:val="21"/>
          <w:highlight w:val="none"/>
          <w:lang w:val="en-US" w:eastAsia="zh-CN"/>
        </w:rPr>
        <w:t>零碳绿色会议</w:t>
      </w:r>
      <w:r>
        <w:rPr>
          <w:rFonts w:hint="eastAsia" w:ascii="仿宋" w:hAnsi="仿宋" w:eastAsia="仿宋" w:cs="仿宋"/>
          <w:color w:val="auto"/>
          <w:kern w:val="0"/>
          <w:sz w:val="21"/>
          <w:szCs w:val="21"/>
          <w:highlight w:val="none"/>
        </w:rPr>
        <w:t>涉及乙方工作区域的有关垃圾分类</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禁烟</w:t>
      </w:r>
      <w:r>
        <w:rPr>
          <w:rFonts w:hint="eastAsia" w:ascii="仿宋" w:hAnsi="仿宋" w:eastAsia="仿宋" w:cs="仿宋"/>
          <w:color w:val="auto"/>
          <w:kern w:val="0"/>
          <w:sz w:val="21"/>
          <w:szCs w:val="21"/>
          <w:highlight w:val="none"/>
          <w:lang w:val="en-US" w:eastAsia="zh-CN"/>
        </w:rPr>
        <w:t>和零碳会议场景宣传举措等</w:t>
      </w:r>
      <w:r>
        <w:rPr>
          <w:rFonts w:hint="eastAsia" w:ascii="仿宋" w:hAnsi="仿宋" w:eastAsia="仿宋" w:cs="仿宋"/>
          <w:color w:val="auto"/>
          <w:kern w:val="0"/>
          <w:sz w:val="21"/>
          <w:szCs w:val="21"/>
          <w:highlight w:val="none"/>
        </w:rPr>
        <w:t>工作。</w:t>
      </w:r>
    </w:p>
    <w:p w14:paraId="1EB76BCA">
      <w:pPr>
        <w:widowControl/>
        <w:adjustRightInd w:val="0"/>
        <w:snapToGrid w:val="0"/>
        <w:spacing w:line="360" w:lineRule="auto"/>
        <w:ind w:firstLine="411" w:firstLineChars="19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（二）对工作人员的基本要求</w:t>
      </w:r>
    </w:p>
    <w:p w14:paraId="5C358E5B">
      <w:pPr>
        <w:widowControl/>
        <w:adjustRightInd w:val="0"/>
        <w:snapToGrid w:val="0"/>
        <w:spacing w:line="360" w:lineRule="auto"/>
        <w:ind w:firstLine="411" w:firstLineChars="19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1、项目负责人：有担任</w:t>
      </w:r>
      <w:r>
        <w:rPr>
          <w:rFonts w:hint="eastAsia" w:ascii="仿宋" w:hAnsi="仿宋" w:eastAsia="仿宋" w:cs="仿宋"/>
          <w:color w:val="auto"/>
          <w:kern w:val="0"/>
          <w:sz w:val="21"/>
          <w:szCs w:val="21"/>
          <w:highlight w:val="none"/>
          <w:lang w:val="en-US" w:eastAsia="zh-CN"/>
        </w:rPr>
        <w:t>类似</w:t>
      </w:r>
      <w:r>
        <w:rPr>
          <w:rFonts w:hint="eastAsia" w:ascii="仿宋" w:hAnsi="仿宋" w:eastAsia="仿宋" w:cs="仿宋"/>
          <w:color w:val="auto"/>
          <w:kern w:val="0"/>
          <w:sz w:val="21"/>
          <w:szCs w:val="21"/>
          <w:highlight w:val="none"/>
        </w:rPr>
        <w:t>会务服务管理主管工作岗位5年以上工作经历，知识面广，熟悉会务服务流程，专业技能熟练，有较强的组织领导能力和协调能力。</w:t>
      </w:r>
    </w:p>
    <w:p w14:paraId="1C085124">
      <w:pPr>
        <w:widowControl/>
        <w:adjustRightInd w:val="0"/>
        <w:snapToGrid w:val="0"/>
        <w:spacing w:line="360" w:lineRule="auto"/>
        <w:ind w:firstLine="411" w:firstLineChars="19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2、管理人员：有3年以上相关工作经验，专业对口，年龄45周岁以下，有一定的组织管理能力和协调能力。</w:t>
      </w:r>
    </w:p>
    <w:p w14:paraId="41023183">
      <w:pPr>
        <w:pStyle w:val="235"/>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bCs/>
          <w:color w:val="auto"/>
          <w:sz w:val="21"/>
          <w:szCs w:val="21"/>
          <w:highlight w:val="none"/>
        </w:rPr>
        <w:t>会议服务及楼层服务人员：要求35周岁以下女性，高中及以上文化程度，身高近160公分，懂得相关礼仪知识，五官端正，形象较好，具有良好沟通能力，确保会议机密，入职前需提供健康证及相关体检合格证明。</w:t>
      </w:r>
    </w:p>
    <w:p w14:paraId="5E196778">
      <w:pPr>
        <w:adjustRightInd w:val="0"/>
        <w:snapToGrid w:val="0"/>
        <w:spacing w:line="360" w:lineRule="auto"/>
        <w:ind w:firstLine="420" w:firstLineChars="200"/>
        <w:jc w:val="left"/>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rPr>
        <w:t>4、音控员：要求48周岁以下男性，高中及以上文化程度，懂得相关礼仪知识，具有专业的设备操作上岗证书，能熟练掌握音响设备操作，并严格执行操作规程，保证会议机密，要定期开展专业培训加强技能。必须配备扩声音响工程专业技术顾问一名进行定期指导，</w:t>
      </w:r>
      <w:r>
        <w:rPr>
          <w:rFonts w:hint="eastAsia" w:ascii="仿宋" w:hAnsi="仿宋" w:eastAsia="仿宋" w:cs="仿宋"/>
          <w:bCs/>
          <w:color w:val="auto"/>
          <w:sz w:val="21"/>
          <w:szCs w:val="21"/>
          <w:highlight w:val="none"/>
        </w:rPr>
        <w:t>配备人员要求实际从事音控工作两年以上的音响调音员人数占所有音响调音员的50%以上且具有相应专业技术等级</w:t>
      </w:r>
      <w:r>
        <w:rPr>
          <w:rFonts w:hint="eastAsia" w:ascii="仿宋" w:hAnsi="仿宋" w:eastAsia="仿宋" w:cs="仿宋"/>
          <w:bCs/>
          <w:color w:val="auto"/>
          <w:kern w:val="0"/>
          <w:sz w:val="21"/>
          <w:szCs w:val="21"/>
          <w:highlight w:val="none"/>
          <w:lang w:val="en-US" w:eastAsia="zh-CN" w:bidi="ar"/>
        </w:rPr>
        <w:t>（具备专人对日常设备故障的基础判断及维修）</w:t>
      </w:r>
      <w:r>
        <w:rPr>
          <w:rFonts w:hint="eastAsia" w:ascii="仿宋" w:hAnsi="仿宋" w:eastAsia="仿宋" w:cs="仿宋"/>
          <w:bCs/>
          <w:color w:val="auto"/>
          <w:sz w:val="21"/>
          <w:szCs w:val="21"/>
          <w:highlight w:val="none"/>
          <w:lang w:eastAsia="zh-CN"/>
        </w:rPr>
        <w:t>。</w:t>
      </w:r>
    </w:p>
    <w:p w14:paraId="1223F0B9">
      <w:pP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5、保洁员及重要楼层服务员（保洁员）：年龄在48周岁以下，1年以上从业经历，作风正派，工作认真负责，服务前需体检合格。</w:t>
      </w:r>
    </w:p>
    <w:p w14:paraId="19DD8999">
      <w:pPr>
        <w:adjustRightInd w:val="0"/>
        <w:snapToGrid w:val="0"/>
        <w:spacing w:line="360" w:lineRule="auto"/>
        <w:ind w:firstLine="420" w:firstLineChars="20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上以相关服务人员在服务保障期间务必确保个人卫生清洁（包括不得留长指甲且保持清洁，不得美甲，头发清洁，工作期间工装要烫平整洁等）。</w:t>
      </w:r>
    </w:p>
    <w:p w14:paraId="65E56F1C">
      <w:pP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九、其它要求：</w:t>
      </w:r>
    </w:p>
    <w:p w14:paraId="06CECEF9">
      <w:pPr>
        <w:adjustRightInd w:val="0"/>
        <w:snapToGrid w:val="0"/>
        <w:spacing w:line="360" w:lineRule="auto"/>
        <w:ind w:firstLine="420" w:firstLineChars="200"/>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1、以会议服务保障、楼层公务服务保障等为主要管理内容。乙方宜从实际出发，充分考虑制定合适、有效的节约能源方案，并付诸实施。</w:t>
      </w:r>
    </w:p>
    <w:p w14:paraId="53A00D96">
      <w:pPr>
        <w:adjustRightInd w:val="0"/>
        <w:snapToGrid w:val="0"/>
        <w:spacing w:line="360" w:lineRule="auto"/>
        <w:ind w:firstLine="420" w:firstLineChars="200"/>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2、乙方按照管理内容编制检查表，每日进行检查，发现问题及时整改。</w:t>
      </w:r>
    </w:p>
    <w:p w14:paraId="3172F473">
      <w:pPr>
        <w:adjustRightInd w:val="0"/>
        <w:snapToGrid w:val="0"/>
        <w:spacing w:line="360" w:lineRule="auto"/>
        <w:ind w:firstLine="420" w:firstLineChars="200"/>
        <w:rPr>
          <w:rFonts w:hint="eastAsia" w:ascii="仿宋" w:hAnsi="仿宋" w:eastAsia="仿宋" w:cs="仿宋"/>
          <w:color w:val="auto"/>
          <w:kern w:val="24"/>
          <w:sz w:val="21"/>
          <w:szCs w:val="21"/>
          <w:highlight w:val="none"/>
          <w:u w:val="single"/>
        </w:rPr>
      </w:pPr>
      <w:r>
        <w:rPr>
          <w:rFonts w:hint="eastAsia" w:ascii="仿宋" w:hAnsi="仿宋" w:eastAsia="仿宋" w:cs="仿宋"/>
          <w:color w:val="auto"/>
          <w:kern w:val="24"/>
          <w:sz w:val="21"/>
          <w:szCs w:val="21"/>
          <w:highlight w:val="none"/>
        </w:rPr>
        <w:t>3、除乙方对服务人员的培训外，需接受甲方对服务人员的集中培训，</w:t>
      </w:r>
      <w:r>
        <w:rPr>
          <w:rFonts w:hint="eastAsia" w:ascii="仿宋" w:hAnsi="仿宋" w:eastAsia="仿宋" w:cs="仿宋"/>
          <w:color w:val="auto"/>
          <w:kern w:val="24"/>
          <w:sz w:val="21"/>
          <w:szCs w:val="21"/>
          <w:highlight w:val="none"/>
          <w:u w:val="single"/>
        </w:rPr>
        <w:t>乙方新进人员培训考核结果，须经甲方监管部门的确认方可上岗。</w:t>
      </w:r>
    </w:p>
    <w:p w14:paraId="49DDDE0E">
      <w:pPr>
        <w:adjustRightInd w:val="0"/>
        <w:snapToGrid w:val="0"/>
        <w:spacing w:line="360" w:lineRule="auto"/>
        <w:ind w:firstLine="420" w:firstLineChars="200"/>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4、所有岗位建立岗位责任与运作程序、工作质量标准。</w:t>
      </w:r>
    </w:p>
    <w:p w14:paraId="1C7F76D6">
      <w:pPr>
        <w:adjustRightInd w:val="0"/>
        <w:snapToGrid w:val="0"/>
        <w:spacing w:line="360" w:lineRule="auto"/>
        <w:ind w:firstLine="420" w:firstLineChars="200"/>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5、乙方建立各类应急预案（如会议服务、楼层公务保障、设备保障等），并培训相关人员达到相关要求。</w:t>
      </w:r>
    </w:p>
    <w:p w14:paraId="64F5128F">
      <w:pPr>
        <w:adjustRightInd w:val="0"/>
        <w:snapToGrid w:val="0"/>
        <w:spacing w:line="360" w:lineRule="auto"/>
        <w:ind w:firstLine="420" w:firstLineChars="200"/>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6、重大会议、接待任务必须事先制订周密的接待工作计划，并严格按照计划实施。</w:t>
      </w:r>
    </w:p>
    <w:p w14:paraId="59C4FE7E">
      <w:pPr>
        <w:adjustRightInd w:val="0"/>
        <w:snapToGrid w:val="0"/>
        <w:spacing w:line="360" w:lineRule="auto"/>
        <w:ind w:firstLine="420" w:firstLineChars="200"/>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7、保密规定：乙方应当对涉及甲方的信息严格保密，未经甲方许可，不得将信息泄露给第三方。否则，甲方有保留追究法律责任的权利。</w:t>
      </w:r>
    </w:p>
    <w:p w14:paraId="6C005229">
      <w:pPr>
        <w:adjustRightInd w:val="0"/>
        <w:snapToGrid w:val="0"/>
        <w:spacing w:line="360" w:lineRule="auto"/>
        <w:ind w:firstLine="420" w:firstLineChars="200"/>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8、乙方需协助甲方推进会议服务标准制定工作，并有较为详细以及切实可行的实施方案，在配合甲方标准化工作开展的同时，要结合行业协会的实际情况参与并推动行业标准的制定。</w:t>
      </w:r>
    </w:p>
    <w:p w14:paraId="3721F557">
      <w:pPr>
        <w:adjustRightInd w:val="0"/>
        <w:snapToGrid w:val="0"/>
        <w:spacing w:line="360" w:lineRule="auto"/>
        <w:ind w:firstLine="420" w:firstLineChars="200"/>
        <w:rPr>
          <w:rFonts w:hint="eastAsia" w:ascii="仿宋" w:hAnsi="仿宋" w:eastAsia="仿宋" w:cs="仿宋"/>
          <w:color w:val="auto"/>
          <w:kern w:val="24"/>
          <w:sz w:val="21"/>
          <w:szCs w:val="21"/>
          <w:highlight w:val="none"/>
          <w:u w:val="single"/>
        </w:rPr>
      </w:pPr>
      <w:r>
        <w:rPr>
          <w:rFonts w:hint="eastAsia" w:ascii="仿宋" w:hAnsi="仿宋" w:eastAsia="仿宋" w:cs="仿宋"/>
          <w:color w:val="auto"/>
          <w:kern w:val="24"/>
          <w:sz w:val="21"/>
          <w:szCs w:val="21"/>
          <w:highlight w:val="none"/>
        </w:rPr>
        <w:t xml:space="preserve"> 9、</w:t>
      </w:r>
      <w:r>
        <w:rPr>
          <w:rFonts w:hint="eastAsia" w:ascii="仿宋" w:hAnsi="仿宋" w:eastAsia="仿宋" w:cs="仿宋"/>
          <w:color w:val="auto"/>
          <w:kern w:val="24"/>
          <w:sz w:val="21"/>
          <w:szCs w:val="21"/>
          <w:highlight w:val="none"/>
          <w:u w:val="single"/>
        </w:rPr>
        <w:t>为确保服务质量，稳定服务队伍，乙方应及时以书面形式报告人员变动情况及变动原因，年度领班及以上人员变动率不得超过</w:t>
      </w:r>
      <w:r>
        <w:rPr>
          <w:rFonts w:hint="eastAsia" w:ascii="仿宋" w:hAnsi="仿宋" w:eastAsia="仿宋" w:cs="仿宋"/>
          <w:color w:val="auto"/>
          <w:kern w:val="24"/>
          <w:sz w:val="21"/>
          <w:szCs w:val="21"/>
          <w:highlight w:val="none"/>
          <w:u w:val="single"/>
          <w:lang w:val="en-US" w:eastAsia="zh-CN"/>
        </w:rPr>
        <w:t>2</w:t>
      </w:r>
      <w:r>
        <w:rPr>
          <w:rFonts w:hint="eastAsia" w:ascii="仿宋" w:hAnsi="仿宋" w:eastAsia="仿宋" w:cs="仿宋"/>
          <w:color w:val="auto"/>
          <w:kern w:val="24"/>
          <w:sz w:val="21"/>
          <w:szCs w:val="21"/>
          <w:highlight w:val="none"/>
          <w:u w:val="single"/>
        </w:rPr>
        <w:t>%。</w:t>
      </w:r>
    </w:p>
    <w:p w14:paraId="4BA8548B">
      <w:pPr>
        <w:pStyle w:val="2"/>
        <w:rPr>
          <w:rFonts w:hint="eastAsia" w:ascii="仿宋" w:hAnsi="仿宋" w:eastAsia="仿宋" w:cs="仿宋"/>
          <w:color w:val="auto"/>
          <w:sz w:val="21"/>
          <w:szCs w:val="21"/>
          <w:highlight w:val="none"/>
        </w:rPr>
      </w:pPr>
    </w:p>
    <w:p w14:paraId="55BE999C">
      <w:pP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十、双方权利义务</w:t>
      </w:r>
    </w:p>
    <w:p w14:paraId="0ED5F4C1">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1、甲方负责提供场地及运行的所需设备、设施，负责服务保障的监督管理工作。</w:t>
      </w:r>
    </w:p>
    <w:p w14:paraId="16E1264A">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2、乙方负责管理、服务团队的组建，负责员工配置、工资、福利待遇、服装采购及人事、劳资、社保等所有事项。</w:t>
      </w:r>
    </w:p>
    <w:p w14:paraId="69D2154D">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3、乙方必须按《劳动合同法》和政府有关部门规定为劳务服务人员交纳所有相关的社会保险及其他相关费用，并在投标文件中作出明确承诺。工作人员在工作期间发生的一切安全事故均由乙方自行负责。（含因用工不当导致人员伤亡由乙方公司负全责）</w:t>
      </w:r>
    </w:p>
    <w:p w14:paraId="18C4A925">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4、乙方应当要求甲方根据生产岗位的需要，按照国家有关劳动安全、卫生的规定为乙方员工配置和完善必要的安全防护措施，发放必要的劳动保护用品。</w:t>
      </w:r>
    </w:p>
    <w:p w14:paraId="0C5DC73B">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5、甲方应当要求乙方根据国家有关法律、法规，建立安全生产制度。乙方员工严格遵守甲方的劳动安全制度。双方严禁违章作业，防止劳动过程中的事故，减少职业危害。</w:t>
      </w:r>
    </w:p>
    <w:p w14:paraId="29B93447">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6、甲方应当要求乙方建立、健全职业病防治责任制，制定并落实职业病防范措施。</w:t>
      </w:r>
    </w:p>
    <w:p w14:paraId="68F7B052">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7、甲方依法制定单位规章制度，通过有效方式及时告知乙方。</w:t>
      </w:r>
    </w:p>
    <w:p w14:paraId="44E95CAA">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8、乙方服从甲方管理，并严格遵守甲方依法制定的规章制度。</w:t>
      </w:r>
    </w:p>
    <w:p w14:paraId="26909656">
      <w:pP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w:t>
      </w:r>
      <w:r>
        <w:rPr>
          <w:rFonts w:hint="eastAsia" w:ascii="仿宋" w:hAnsi="仿宋" w:eastAsia="仿宋" w:cs="仿宋"/>
          <w:b/>
          <w:bCs/>
          <w:color w:val="auto"/>
          <w:sz w:val="21"/>
          <w:szCs w:val="21"/>
          <w:highlight w:val="none"/>
          <w:lang w:val="en-US" w:eastAsia="zh-CN"/>
        </w:rPr>
        <w:t>一</w:t>
      </w:r>
      <w:r>
        <w:rPr>
          <w:rFonts w:hint="eastAsia" w:ascii="仿宋" w:hAnsi="仿宋" w:eastAsia="仿宋" w:cs="仿宋"/>
          <w:b/>
          <w:bCs/>
          <w:color w:val="auto"/>
          <w:sz w:val="21"/>
          <w:szCs w:val="21"/>
          <w:highlight w:val="none"/>
        </w:rPr>
        <w:t>、违约责任</w:t>
      </w:r>
    </w:p>
    <w:p w14:paraId="249252EB">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1、若一方违反上述条款，在协商不成的情况下，另一方有权解除合同。</w:t>
      </w:r>
    </w:p>
    <w:p w14:paraId="417FE8DB">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2、</w:t>
      </w:r>
      <w:r>
        <w:rPr>
          <w:rFonts w:hint="eastAsia" w:ascii="仿宋" w:hAnsi="仿宋" w:eastAsia="仿宋" w:cs="仿宋"/>
          <w:color w:val="auto"/>
          <w:kern w:val="24"/>
          <w:sz w:val="21"/>
          <w:szCs w:val="21"/>
          <w:highlight w:val="none"/>
          <w:lang w:val="en-US" w:eastAsia="zh-CN"/>
        </w:rPr>
        <w:t>乙方</w:t>
      </w:r>
      <w:r>
        <w:rPr>
          <w:rFonts w:hint="eastAsia" w:ascii="仿宋" w:hAnsi="仿宋" w:eastAsia="仿宋" w:cs="仿宋"/>
          <w:color w:val="auto"/>
          <w:kern w:val="24"/>
          <w:sz w:val="21"/>
          <w:szCs w:val="21"/>
          <w:highlight w:val="none"/>
        </w:rPr>
        <w:t>派遣人员给甲方造成的经济损失，由</w:t>
      </w:r>
      <w:r>
        <w:rPr>
          <w:rFonts w:hint="eastAsia" w:ascii="仿宋" w:hAnsi="仿宋" w:eastAsia="仿宋" w:cs="仿宋"/>
          <w:color w:val="auto"/>
          <w:kern w:val="24"/>
          <w:sz w:val="21"/>
          <w:szCs w:val="21"/>
          <w:highlight w:val="none"/>
          <w:lang w:val="en-US" w:eastAsia="zh-CN"/>
        </w:rPr>
        <w:t>乙方</w:t>
      </w:r>
      <w:r>
        <w:rPr>
          <w:rFonts w:hint="eastAsia" w:ascii="仿宋" w:hAnsi="仿宋" w:eastAsia="仿宋" w:cs="仿宋"/>
          <w:color w:val="auto"/>
          <w:kern w:val="24"/>
          <w:sz w:val="21"/>
          <w:szCs w:val="21"/>
          <w:highlight w:val="none"/>
        </w:rPr>
        <w:t>负责。</w:t>
      </w:r>
    </w:p>
    <w:p w14:paraId="5277B21D">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3、</w:t>
      </w:r>
      <w:r>
        <w:rPr>
          <w:rFonts w:hint="eastAsia" w:ascii="仿宋" w:hAnsi="仿宋" w:eastAsia="仿宋" w:cs="仿宋"/>
          <w:color w:val="auto"/>
          <w:kern w:val="24"/>
          <w:sz w:val="21"/>
          <w:szCs w:val="21"/>
          <w:highlight w:val="none"/>
          <w:lang w:val="en-US" w:eastAsia="zh-CN"/>
        </w:rPr>
        <w:t>乙方</w:t>
      </w:r>
      <w:r>
        <w:rPr>
          <w:rFonts w:hint="eastAsia" w:ascii="仿宋" w:hAnsi="仿宋" w:eastAsia="仿宋" w:cs="仿宋"/>
          <w:color w:val="auto"/>
          <w:kern w:val="24"/>
          <w:sz w:val="21"/>
          <w:szCs w:val="21"/>
          <w:highlight w:val="none"/>
        </w:rPr>
        <w:t>派遣人员有以下情形之一的，甲方可立即通知并退回：</w:t>
      </w:r>
    </w:p>
    <w:p w14:paraId="444D1354">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①在试用期内不符合甲方工作要求的。</w:t>
      </w:r>
    </w:p>
    <w:p w14:paraId="1B609DFD">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②严重违反甲方劳动纪律、规章制度的。</w:t>
      </w:r>
    </w:p>
    <w:p w14:paraId="10B713C2">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③严重工作失职，营私舞弊，给甲方造成经济损失</w:t>
      </w:r>
      <w:r>
        <w:rPr>
          <w:rFonts w:hint="eastAsia" w:ascii="仿宋" w:hAnsi="仿宋" w:eastAsia="仿宋" w:cs="仿宋"/>
          <w:color w:val="auto"/>
          <w:kern w:val="24"/>
          <w:sz w:val="21"/>
          <w:szCs w:val="21"/>
          <w:highlight w:val="none"/>
          <w:lang w:val="en-US" w:eastAsia="zh-CN"/>
        </w:rPr>
        <w:t>5000元以上及责任事故的</w:t>
      </w:r>
      <w:r>
        <w:rPr>
          <w:rFonts w:hint="eastAsia" w:ascii="仿宋" w:hAnsi="仿宋" w:eastAsia="仿宋" w:cs="仿宋"/>
          <w:color w:val="auto"/>
          <w:kern w:val="24"/>
          <w:sz w:val="21"/>
          <w:szCs w:val="21"/>
          <w:highlight w:val="none"/>
        </w:rPr>
        <w:t>。</w:t>
      </w:r>
    </w:p>
    <w:p w14:paraId="4A357EAB">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④被依法追究刑事责任</w:t>
      </w:r>
      <w:r>
        <w:rPr>
          <w:rFonts w:hint="eastAsia" w:ascii="仿宋" w:hAnsi="仿宋" w:eastAsia="仿宋" w:cs="仿宋"/>
          <w:color w:val="auto"/>
          <w:kern w:val="24"/>
          <w:sz w:val="21"/>
          <w:szCs w:val="21"/>
          <w:highlight w:val="none"/>
          <w:lang w:val="en-US" w:eastAsia="zh-CN"/>
        </w:rPr>
        <w:t>及行政处罚</w:t>
      </w:r>
      <w:r>
        <w:rPr>
          <w:rFonts w:hint="eastAsia" w:ascii="仿宋" w:hAnsi="仿宋" w:eastAsia="仿宋" w:cs="仿宋"/>
          <w:color w:val="auto"/>
          <w:kern w:val="24"/>
          <w:sz w:val="21"/>
          <w:szCs w:val="21"/>
          <w:highlight w:val="none"/>
        </w:rPr>
        <w:t>的。</w:t>
      </w:r>
    </w:p>
    <w:p w14:paraId="5B2164D0">
      <w:pPr>
        <w:adjustRightInd w:val="0"/>
        <w:snapToGrid w:val="0"/>
        <w:spacing w:line="360" w:lineRule="auto"/>
        <w:ind w:firstLine="420" w:firstLineChars="200"/>
        <w:jc w:val="left"/>
        <w:rPr>
          <w:rFonts w:hint="eastAsia" w:ascii="仿宋" w:hAnsi="仿宋" w:eastAsia="仿宋" w:cs="仿宋"/>
          <w:color w:val="auto"/>
          <w:kern w:val="24"/>
          <w:sz w:val="21"/>
          <w:szCs w:val="21"/>
          <w:highlight w:val="none"/>
        </w:rPr>
      </w:pPr>
      <w:r>
        <w:rPr>
          <w:rFonts w:hint="eastAsia" w:ascii="仿宋" w:hAnsi="仿宋" w:eastAsia="仿宋" w:cs="仿宋"/>
          <w:color w:val="auto"/>
          <w:kern w:val="24"/>
          <w:sz w:val="21"/>
          <w:szCs w:val="21"/>
          <w:highlight w:val="none"/>
        </w:rPr>
        <w:t>⑤发生其他应退回的事宜。</w:t>
      </w:r>
    </w:p>
    <w:p w14:paraId="60864440">
      <w:pP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w:t>
      </w:r>
      <w:r>
        <w:rPr>
          <w:rFonts w:hint="eastAsia" w:ascii="仿宋" w:hAnsi="仿宋" w:eastAsia="仿宋" w:cs="仿宋"/>
          <w:b/>
          <w:bCs/>
          <w:color w:val="auto"/>
          <w:sz w:val="21"/>
          <w:szCs w:val="21"/>
          <w:highlight w:val="none"/>
          <w:lang w:val="en-US" w:eastAsia="zh-CN"/>
        </w:rPr>
        <w:t>二</w:t>
      </w:r>
      <w:r>
        <w:rPr>
          <w:rFonts w:hint="eastAsia" w:ascii="仿宋" w:hAnsi="仿宋" w:eastAsia="仿宋" w:cs="仿宋"/>
          <w:b/>
          <w:bCs/>
          <w:color w:val="auto"/>
          <w:sz w:val="21"/>
          <w:szCs w:val="21"/>
          <w:highlight w:val="none"/>
        </w:rPr>
        <w:t>、争议解决</w:t>
      </w:r>
    </w:p>
    <w:p w14:paraId="1D3FB54E">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1、甲乙双方因履行本合同发生争议，应协商解决，协商不成或不愿协商的，可以向甲方所在地人民法院起诉。</w:t>
      </w:r>
    </w:p>
    <w:p w14:paraId="4D4C2DFE">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2、本合同条款与法律法规相抵触的，以及本合同未尽事宜，均按相关规定执行。</w:t>
      </w:r>
    </w:p>
    <w:p w14:paraId="0C5A7478">
      <w:pP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w:t>
      </w:r>
      <w:r>
        <w:rPr>
          <w:rFonts w:hint="eastAsia" w:ascii="仿宋" w:hAnsi="仿宋" w:eastAsia="仿宋" w:cs="仿宋"/>
          <w:b/>
          <w:bCs/>
          <w:color w:val="auto"/>
          <w:sz w:val="21"/>
          <w:szCs w:val="21"/>
          <w:highlight w:val="none"/>
          <w:lang w:val="en-US" w:eastAsia="zh-CN"/>
        </w:rPr>
        <w:t>三</w:t>
      </w:r>
      <w:r>
        <w:rPr>
          <w:rFonts w:hint="eastAsia" w:ascii="仿宋" w:hAnsi="仿宋" w:eastAsia="仿宋" w:cs="仿宋"/>
          <w:b/>
          <w:bCs/>
          <w:color w:val="auto"/>
          <w:sz w:val="21"/>
          <w:szCs w:val="21"/>
          <w:highlight w:val="none"/>
        </w:rPr>
        <w:t>、其他</w:t>
      </w:r>
    </w:p>
    <w:p w14:paraId="725AE81D">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本合同一式五份自双方签字盖章后生效。甲乙双方各执二份，鉴证方一份。</w:t>
      </w:r>
    </w:p>
    <w:p w14:paraId="5E8A8751">
      <w:pPr>
        <w:numPr>
          <w:ilvl w:val="0"/>
          <w:numId w:val="5"/>
        </w:numP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附件</w:t>
      </w:r>
    </w:p>
    <w:p w14:paraId="29EEE83C">
      <w:pPr>
        <w:adjustRightInd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附表1：《公务服务监管考核评分表》</w:t>
      </w:r>
    </w:p>
    <w:p w14:paraId="2FD89063">
      <w:pPr>
        <w:adjustRightInd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附表2：《会议服务监管考核评分表》</w:t>
      </w:r>
    </w:p>
    <w:p w14:paraId="3E9EE672">
      <w:pPr>
        <w:adjustRightInd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附表3：《公务服务及会议服务监管考核汇总表》</w:t>
      </w:r>
    </w:p>
    <w:p w14:paraId="096C94D7">
      <w:pPr>
        <w:pStyle w:val="2"/>
        <w:numPr>
          <w:ilvl w:val="0"/>
          <w:numId w:val="0"/>
        </w:numPr>
        <w:rPr>
          <w:rFonts w:hint="eastAsia"/>
          <w:color w:val="auto"/>
          <w:sz w:val="21"/>
          <w:szCs w:val="21"/>
          <w:highlight w:val="none"/>
        </w:rPr>
      </w:pPr>
    </w:p>
    <w:tbl>
      <w:tblPr>
        <w:tblStyle w:val="63"/>
        <w:tblW w:w="0" w:type="auto"/>
        <w:tblInd w:w="0" w:type="dxa"/>
        <w:tblLayout w:type="fixed"/>
        <w:tblCellMar>
          <w:top w:w="0" w:type="dxa"/>
          <w:left w:w="108" w:type="dxa"/>
          <w:bottom w:w="0" w:type="dxa"/>
          <w:right w:w="108" w:type="dxa"/>
        </w:tblCellMar>
      </w:tblPr>
      <w:tblGrid>
        <w:gridCol w:w="4316"/>
        <w:gridCol w:w="4404"/>
      </w:tblGrid>
      <w:tr w14:paraId="07E122FD">
        <w:tblPrEx>
          <w:tblCellMar>
            <w:top w:w="0" w:type="dxa"/>
            <w:left w:w="108" w:type="dxa"/>
            <w:bottom w:w="0" w:type="dxa"/>
            <w:right w:w="108" w:type="dxa"/>
          </w:tblCellMar>
        </w:tblPrEx>
        <w:trPr>
          <w:trHeight w:val="3996" w:hRule="atLeast"/>
        </w:trPr>
        <w:tc>
          <w:tcPr>
            <w:tcW w:w="4316" w:type="dxa"/>
            <w:noWrap w:val="0"/>
            <w:vAlign w:val="top"/>
          </w:tcPr>
          <w:p w14:paraId="6FD59755">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甲方（公章）：杭州市行政大楼服务保障中心</w:t>
            </w:r>
            <w:r>
              <w:rPr>
                <w:rFonts w:hint="eastAsia" w:ascii="仿宋" w:hAnsi="仿宋" w:eastAsia="仿宋" w:cs="仿宋"/>
                <w:snapToGrid w:val="0"/>
                <w:color w:val="auto"/>
                <w:kern w:val="0"/>
                <w:sz w:val="21"/>
                <w:szCs w:val="21"/>
                <w:highlight w:val="none"/>
              </w:rPr>
              <w:tab/>
            </w:r>
          </w:p>
          <w:p w14:paraId="2388BEC0">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法定代表人或授权委托人：</w:t>
            </w:r>
          </w:p>
          <w:p w14:paraId="44BDBB03">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地址：</w:t>
            </w:r>
          </w:p>
          <w:p w14:paraId="148A5B6B">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邮编：</w:t>
            </w:r>
          </w:p>
          <w:p w14:paraId="26829A1D">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联系人：</w:t>
            </w:r>
          </w:p>
          <w:p w14:paraId="5F1C4147">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电话：0571-</w:t>
            </w:r>
          </w:p>
          <w:p w14:paraId="6F3F025E">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传真：0571-</w:t>
            </w:r>
          </w:p>
          <w:p w14:paraId="68DCEF14">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开户银行：</w:t>
            </w:r>
          </w:p>
          <w:p w14:paraId="200A2A4E">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帐号：</w:t>
            </w:r>
          </w:p>
        </w:tc>
        <w:tc>
          <w:tcPr>
            <w:tcW w:w="4404" w:type="dxa"/>
            <w:noWrap w:val="0"/>
            <w:vAlign w:val="top"/>
          </w:tcPr>
          <w:p w14:paraId="63154FC4">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乙方（公章）： </w:t>
            </w:r>
          </w:p>
          <w:p w14:paraId="5AAB1E4E">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法定代表人或授权委托人： </w:t>
            </w:r>
          </w:p>
          <w:p w14:paraId="0D48B0E6">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 xml:space="preserve">地址： </w:t>
            </w:r>
          </w:p>
          <w:p w14:paraId="239A5AD4">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邮编：</w:t>
            </w:r>
          </w:p>
          <w:p w14:paraId="5B437A10">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联系人：</w:t>
            </w:r>
          </w:p>
          <w:p w14:paraId="1DDC6322">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电话：区号 – 办公固话   +手机</w:t>
            </w:r>
          </w:p>
          <w:p w14:paraId="0172DE90">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传真：区号-</w:t>
            </w:r>
          </w:p>
          <w:p w14:paraId="46B55753">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snapToGrid w:val="0"/>
                <w:color w:val="auto"/>
                <w:kern w:val="0"/>
                <w:sz w:val="21"/>
                <w:szCs w:val="21"/>
                <w:highlight w:val="none"/>
              </w:rPr>
            </w:pPr>
            <w:bookmarkStart w:id="407" w:name="_Toc322952589"/>
            <w:r>
              <w:rPr>
                <w:rFonts w:hint="eastAsia" w:ascii="仿宋" w:hAnsi="仿宋" w:eastAsia="仿宋" w:cs="仿宋"/>
                <w:snapToGrid w:val="0"/>
                <w:color w:val="auto"/>
                <w:kern w:val="0"/>
                <w:sz w:val="21"/>
                <w:szCs w:val="21"/>
                <w:highlight w:val="none"/>
              </w:rPr>
              <w:t>开户银行：</w:t>
            </w:r>
            <w:bookmarkEnd w:id="407"/>
          </w:p>
          <w:p w14:paraId="0AA3854B">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color w:val="auto"/>
                <w:w w:val="80"/>
                <w:sz w:val="21"/>
                <w:szCs w:val="21"/>
                <w:highlight w:val="none"/>
              </w:rPr>
            </w:pPr>
            <w:r>
              <w:rPr>
                <w:rFonts w:hint="eastAsia" w:ascii="仿宋" w:hAnsi="仿宋" w:eastAsia="仿宋" w:cs="仿宋"/>
                <w:snapToGrid w:val="0"/>
                <w:color w:val="auto"/>
                <w:kern w:val="0"/>
                <w:sz w:val="21"/>
                <w:szCs w:val="21"/>
                <w:highlight w:val="none"/>
              </w:rPr>
              <w:t>帐号：</w:t>
            </w:r>
          </w:p>
        </w:tc>
      </w:tr>
      <w:tr w14:paraId="44E44698">
        <w:tblPrEx>
          <w:tblCellMar>
            <w:top w:w="0" w:type="dxa"/>
            <w:left w:w="108" w:type="dxa"/>
            <w:bottom w:w="0" w:type="dxa"/>
            <w:right w:w="108" w:type="dxa"/>
          </w:tblCellMar>
        </w:tblPrEx>
        <w:trPr>
          <w:trHeight w:val="3215" w:hRule="atLeast"/>
        </w:trPr>
        <w:tc>
          <w:tcPr>
            <w:tcW w:w="4316" w:type="dxa"/>
            <w:noWrap w:val="0"/>
            <w:vAlign w:val="top"/>
          </w:tcPr>
          <w:p w14:paraId="25A6A300">
            <w:pPr>
              <w:keepNext w:val="0"/>
              <w:keepLines w:val="0"/>
              <w:suppressLineNumbers w:val="0"/>
              <w:adjustRightInd w:val="0"/>
              <w:snapToGrid w:val="0"/>
              <w:spacing w:before="0" w:beforeAutospacing="0" w:after="0" w:afterAutospacing="0" w:line="360" w:lineRule="auto"/>
              <w:ind w:left="0" w:right="0"/>
              <w:jc w:val="right"/>
              <w:rPr>
                <w:rFonts w:hint="eastAsia" w:ascii="仿宋" w:hAnsi="仿宋" w:eastAsia="仿宋" w:cs="仿宋"/>
                <w:color w:val="auto"/>
                <w:w w:val="80"/>
                <w:sz w:val="21"/>
                <w:szCs w:val="21"/>
                <w:highlight w:val="none"/>
                <w:lang w:eastAsia="zh-CN"/>
              </w:rPr>
            </w:pPr>
            <w:r>
              <w:rPr>
                <w:rFonts w:hint="eastAsia" w:ascii="仿宋" w:hAnsi="仿宋" w:eastAsia="仿宋" w:cs="仿宋"/>
                <w:snapToGrid w:val="0"/>
                <w:color w:val="auto"/>
                <w:kern w:val="0"/>
                <w:sz w:val="21"/>
                <w:szCs w:val="21"/>
                <w:highlight w:val="none"/>
              </w:rPr>
              <w:t>合同签发日期</w:t>
            </w:r>
            <w:r>
              <w:rPr>
                <w:rFonts w:hint="eastAsia" w:ascii="仿宋" w:hAnsi="仿宋" w:eastAsia="仿宋" w:cs="仿宋"/>
                <w:snapToGrid w:val="0"/>
                <w:color w:val="auto"/>
                <w:kern w:val="0"/>
                <w:sz w:val="21"/>
                <w:szCs w:val="21"/>
                <w:highlight w:val="none"/>
                <w:lang w:eastAsia="zh-CN"/>
              </w:rPr>
              <w:t>：</w:t>
            </w:r>
          </w:p>
        </w:tc>
        <w:tc>
          <w:tcPr>
            <w:tcW w:w="4404" w:type="dxa"/>
            <w:noWrap w:val="0"/>
            <w:vAlign w:val="bottom"/>
          </w:tcPr>
          <w:p w14:paraId="5C1036AC">
            <w:pPr>
              <w:keepNext w:val="0"/>
              <w:keepLines w:val="0"/>
              <w:suppressLineNumbers w:val="0"/>
              <w:adjustRightInd w:val="0"/>
              <w:snapToGrid w:val="0"/>
              <w:spacing w:before="0" w:beforeAutospacing="0" w:after="0" w:afterAutospacing="0" w:line="360" w:lineRule="auto"/>
              <w:ind w:left="0" w:right="0"/>
              <w:jc w:val="left"/>
              <w:rPr>
                <w:rFonts w:hint="eastAsia" w:ascii="仿宋" w:hAnsi="仿宋" w:eastAsia="仿宋" w:cs="仿宋"/>
                <w:color w:val="auto"/>
                <w:w w:val="80"/>
                <w:sz w:val="21"/>
                <w:szCs w:val="21"/>
                <w:highlight w:val="none"/>
              </w:rPr>
            </w:pPr>
          </w:p>
          <w:p w14:paraId="1A9B3C5B">
            <w:pPr>
              <w:pStyle w:val="2"/>
              <w:rPr>
                <w:rFonts w:hint="eastAsia" w:ascii="仿宋" w:hAnsi="仿宋" w:eastAsia="仿宋" w:cs="仿宋"/>
                <w:color w:val="auto"/>
                <w:w w:val="80"/>
                <w:sz w:val="21"/>
                <w:szCs w:val="21"/>
                <w:highlight w:val="none"/>
              </w:rPr>
            </w:pPr>
          </w:p>
          <w:p w14:paraId="51B48DC5">
            <w:pPr>
              <w:pStyle w:val="2"/>
              <w:rPr>
                <w:rFonts w:hint="eastAsia" w:ascii="仿宋" w:hAnsi="仿宋" w:eastAsia="仿宋" w:cs="仿宋"/>
                <w:color w:val="auto"/>
                <w:w w:val="80"/>
                <w:sz w:val="21"/>
                <w:szCs w:val="21"/>
                <w:highlight w:val="none"/>
              </w:rPr>
            </w:pPr>
          </w:p>
          <w:p w14:paraId="4BB7843C">
            <w:pPr>
              <w:pStyle w:val="2"/>
              <w:rPr>
                <w:rFonts w:hint="eastAsia" w:ascii="仿宋" w:hAnsi="仿宋" w:eastAsia="仿宋" w:cs="仿宋"/>
                <w:color w:val="auto"/>
                <w:w w:val="80"/>
                <w:sz w:val="21"/>
                <w:szCs w:val="21"/>
                <w:highlight w:val="none"/>
              </w:rPr>
            </w:pPr>
          </w:p>
          <w:p w14:paraId="2BEDBC6C">
            <w:pPr>
              <w:pStyle w:val="2"/>
              <w:rPr>
                <w:rFonts w:hint="eastAsia" w:ascii="仿宋" w:hAnsi="仿宋" w:eastAsia="仿宋" w:cs="仿宋"/>
                <w:color w:val="auto"/>
                <w:w w:val="80"/>
                <w:sz w:val="21"/>
                <w:szCs w:val="21"/>
                <w:highlight w:val="none"/>
              </w:rPr>
            </w:pPr>
          </w:p>
          <w:p w14:paraId="66D76240">
            <w:pPr>
              <w:pStyle w:val="2"/>
              <w:rPr>
                <w:rFonts w:hint="eastAsia" w:ascii="仿宋" w:hAnsi="仿宋" w:eastAsia="仿宋" w:cs="仿宋"/>
                <w:color w:val="auto"/>
                <w:w w:val="80"/>
                <w:sz w:val="21"/>
                <w:szCs w:val="21"/>
                <w:highlight w:val="none"/>
              </w:rPr>
            </w:pPr>
          </w:p>
        </w:tc>
      </w:tr>
    </w:tbl>
    <w:p w14:paraId="08F9AA61">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56D6C1EC">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025A9D36">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350DC28A">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7D9010D4">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1DDBA6F1">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66BA21C6">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24E15BE7">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56B4506C">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53D89EBE">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0CC4ABA1">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27FA9FEF">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69FA2184">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5F08ECF7">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47231784">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069FC9AA">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7E4968AF">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3A748EDE">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0AB7D036">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59454B7E">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22E4997F">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4341F036">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396DB25A">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4871D9FF">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6FDC2567">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47A03AB5">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附</w:t>
      </w:r>
      <w:r>
        <w:rPr>
          <w:rFonts w:hint="eastAsia" w:ascii="仿宋" w:hAnsi="仿宋" w:eastAsia="仿宋" w:cs="仿宋"/>
          <w:color w:val="auto"/>
          <w:sz w:val="21"/>
          <w:szCs w:val="21"/>
          <w:highlight w:val="none"/>
          <w:lang w:val="en-US" w:eastAsia="zh-CN"/>
        </w:rPr>
        <w:t>件1</w:t>
      </w:r>
    </w:p>
    <w:p w14:paraId="74CEB4C9">
      <w:pPr>
        <w:pStyle w:val="2"/>
        <w:widowControl/>
        <w:jc w:val="center"/>
        <w:rPr>
          <w:rFonts w:hint="eastAsia" w:ascii="Arial Unicode MS" w:hAnsi="方正小标宋_GBK" w:eastAsia="Arial Unicode MS" w:cs="方正小标宋_GBK"/>
          <w:color w:val="auto"/>
          <w:sz w:val="21"/>
          <w:szCs w:val="21"/>
          <w:highlight w:val="none"/>
          <w:lang w:val="en-US" w:eastAsia="zh-CN"/>
        </w:rPr>
      </w:pPr>
      <w:r>
        <w:rPr>
          <w:rFonts w:hint="eastAsia" w:ascii="Arial Unicode MS" w:hAnsi="方正小标宋_GBK" w:eastAsia="Arial Unicode MS" w:cs="方正小标宋_GBK"/>
          <w:color w:val="auto"/>
          <w:sz w:val="21"/>
          <w:szCs w:val="21"/>
          <w:highlight w:val="none"/>
          <w:lang w:val="en-US" w:eastAsia="zh-CN"/>
        </w:rPr>
        <w:t>公务服务监管考核评分表</w:t>
      </w:r>
    </w:p>
    <w:p w14:paraId="0641D2C5">
      <w:pPr>
        <w:pStyle w:val="2"/>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p>
    <w:p w14:paraId="5EA9209F">
      <w:pPr>
        <w:pStyle w:val="2"/>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分值</w:t>
      </w:r>
      <w:r>
        <w:rPr>
          <w:rFonts w:hint="eastAsia" w:ascii="仿宋" w:hAnsi="仿宋" w:eastAsia="仿宋" w:cs="仿宋"/>
          <w:color w:val="auto"/>
          <w:sz w:val="21"/>
          <w:szCs w:val="21"/>
          <w:highlight w:val="none"/>
          <w:u w:val="single"/>
          <w:lang w:val="en-US" w:eastAsia="zh-CN"/>
        </w:rPr>
        <w:t>3</w:t>
      </w:r>
      <w:r>
        <w:rPr>
          <w:rFonts w:hint="eastAsia" w:ascii="仿宋" w:hAnsi="仿宋" w:eastAsia="仿宋" w:cs="仿宋"/>
          <w:color w:val="auto"/>
          <w:sz w:val="21"/>
          <w:szCs w:val="21"/>
          <w:highlight w:val="none"/>
          <w:u w:val="single"/>
        </w:rPr>
        <w:t>0</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rPr>
        <w:t>年     月</w:t>
      </w:r>
    </w:p>
    <w:p w14:paraId="265C48F2">
      <w:pPr>
        <w:pStyle w:val="2"/>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hint="eastAsia" w:ascii="仿宋" w:hAnsi="仿宋" w:eastAsia="仿宋" w:cs="仿宋"/>
          <w:color w:val="auto"/>
          <w:sz w:val="21"/>
          <w:szCs w:val="21"/>
          <w:highlight w:val="none"/>
        </w:rPr>
      </w:pPr>
    </w:p>
    <w:tbl>
      <w:tblPr>
        <w:tblStyle w:val="6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3"/>
        <w:gridCol w:w="858"/>
        <w:gridCol w:w="5463"/>
        <w:gridCol w:w="742"/>
        <w:gridCol w:w="2137"/>
      </w:tblGrid>
      <w:tr w14:paraId="5B0A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jc w:val="center"/>
        </w:trPr>
        <w:tc>
          <w:tcPr>
            <w:tcW w:w="1651" w:type="dxa"/>
            <w:gridSpan w:val="2"/>
            <w:tcBorders>
              <w:top w:val="single" w:color="auto" w:sz="4" w:space="0"/>
              <w:left w:val="single" w:color="auto" w:sz="4" w:space="0"/>
              <w:bottom w:val="nil"/>
              <w:right w:val="single" w:color="auto" w:sz="4" w:space="0"/>
            </w:tcBorders>
            <w:noWrap w:val="0"/>
            <w:tcMar>
              <w:top w:w="15" w:type="dxa"/>
              <w:left w:w="15" w:type="dxa"/>
              <w:right w:w="15" w:type="dxa"/>
            </w:tcMar>
            <w:vAlign w:val="center"/>
          </w:tcPr>
          <w:p w14:paraId="4077BF22">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评分内容</w:t>
            </w: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69CDA11">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评分标准</w:t>
            </w:r>
          </w:p>
        </w:tc>
        <w:tc>
          <w:tcPr>
            <w:tcW w:w="742" w:type="dxa"/>
            <w:tcBorders>
              <w:top w:val="single" w:color="000000" w:sz="4" w:space="0"/>
              <w:left w:val="nil"/>
              <w:bottom w:val="nil"/>
              <w:right w:val="single" w:color="000000" w:sz="4" w:space="0"/>
            </w:tcBorders>
            <w:noWrap/>
            <w:tcMar>
              <w:top w:w="15" w:type="dxa"/>
              <w:left w:w="15" w:type="dxa"/>
              <w:right w:w="15" w:type="dxa"/>
            </w:tcMar>
            <w:vAlign w:val="center"/>
          </w:tcPr>
          <w:p w14:paraId="499AEE57">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lang w:val="en-US" w:eastAsia="zh-CN"/>
              </w:rPr>
              <w:t>分值</w:t>
            </w:r>
          </w:p>
        </w:tc>
        <w:tc>
          <w:tcPr>
            <w:tcW w:w="213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2A8E9C7">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扣分说明</w:t>
            </w:r>
          </w:p>
          <w:p w14:paraId="1EB62639">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（时间、扣分原因）</w:t>
            </w:r>
          </w:p>
        </w:tc>
      </w:tr>
      <w:tr w14:paraId="0021E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79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19A587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lang w:val="en-US" w:eastAsia="zh-CN" w:bidi="ar"/>
              </w:rPr>
              <w:t>公务</w:t>
            </w:r>
          </w:p>
          <w:p w14:paraId="01EE49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lang w:val="en-US" w:eastAsia="zh-CN" w:bidi="ar"/>
              </w:rPr>
              <w:t>管理</w:t>
            </w:r>
          </w:p>
          <w:p w14:paraId="14DF8F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
                <w:bCs w:val="0"/>
                <w:color w:val="auto"/>
                <w:kern w:val="0"/>
                <w:sz w:val="21"/>
                <w:szCs w:val="21"/>
                <w:highlight w:val="none"/>
                <w:lang w:val="en-US" w:eastAsia="zh-CN" w:bidi="ar"/>
              </w:rPr>
              <w:t>30分</w:t>
            </w:r>
          </w:p>
        </w:tc>
        <w:tc>
          <w:tcPr>
            <w:tcW w:w="858" w:type="dxa"/>
            <w:vMerge w:val="restart"/>
            <w:tcBorders>
              <w:top w:val="single" w:color="auto" w:sz="4" w:space="0"/>
              <w:left w:val="single" w:color="auto" w:sz="4" w:space="0"/>
              <w:bottom w:val="nil"/>
              <w:right w:val="single" w:color="auto" w:sz="4" w:space="0"/>
            </w:tcBorders>
            <w:noWrap w:val="0"/>
            <w:vAlign w:val="center"/>
          </w:tcPr>
          <w:p w14:paraId="3DD172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kern w:val="0"/>
                <w:sz w:val="21"/>
                <w:szCs w:val="21"/>
                <w:highlight w:val="none"/>
                <w:lang w:val="en-US" w:eastAsia="zh-CN" w:bidi="ar"/>
              </w:rPr>
            </w:pPr>
            <w:r>
              <w:rPr>
                <w:rFonts w:hint="eastAsia" w:ascii="仿宋" w:hAnsi="仿宋" w:eastAsia="仿宋" w:cs="仿宋"/>
                <w:bCs/>
                <w:color w:val="auto"/>
                <w:kern w:val="0"/>
                <w:sz w:val="21"/>
                <w:szCs w:val="21"/>
                <w:highlight w:val="none"/>
                <w:lang w:val="en-US" w:eastAsia="zh-CN" w:bidi="ar"/>
              </w:rPr>
              <w:t>基础管理</w:t>
            </w:r>
          </w:p>
          <w:p w14:paraId="07A363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kern w:val="0"/>
                <w:sz w:val="21"/>
                <w:szCs w:val="21"/>
                <w:highlight w:val="none"/>
                <w:lang w:val="en-US" w:eastAsia="zh-CN" w:bidi="ar"/>
              </w:rPr>
            </w:pPr>
            <w:r>
              <w:rPr>
                <w:rFonts w:hint="eastAsia" w:ascii="仿宋" w:hAnsi="仿宋" w:eastAsia="仿宋" w:cs="仿宋"/>
                <w:bCs/>
                <w:color w:val="auto"/>
                <w:kern w:val="0"/>
                <w:sz w:val="21"/>
                <w:szCs w:val="21"/>
                <w:highlight w:val="none"/>
                <w:lang w:val="en-US" w:eastAsia="zh-CN" w:bidi="ar"/>
              </w:rPr>
              <w:t>（10分）</w:t>
            </w: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D0C71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bCs/>
                <w:color w:val="auto"/>
                <w:sz w:val="21"/>
                <w:szCs w:val="21"/>
                <w:highlight w:val="none"/>
              </w:rPr>
            </w:pPr>
            <w:r>
              <w:rPr>
                <w:rFonts w:hint="eastAsia" w:ascii="仿宋" w:hAnsi="仿宋" w:eastAsia="仿宋" w:cs="仿宋"/>
                <w:color w:val="auto"/>
                <w:kern w:val="0"/>
                <w:sz w:val="21"/>
                <w:szCs w:val="21"/>
                <w:highlight w:val="none"/>
                <w:lang w:val="en-US" w:eastAsia="zh-CN" w:bidi="ar"/>
              </w:rPr>
              <w:t>1.按合同约定配备人员，组织构架、人员调整须书面报备，经中心分管领导同意方可实施；工作日到岗率在90%以上。</w:t>
            </w:r>
          </w:p>
        </w:tc>
        <w:tc>
          <w:tcPr>
            <w:tcW w:w="742" w:type="dxa"/>
            <w:vMerge w:val="restart"/>
            <w:tcBorders>
              <w:top w:val="single" w:color="000000" w:sz="4" w:space="0"/>
              <w:left w:val="nil"/>
              <w:right w:val="single" w:color="000000" w:sz="4" w:space="0"/>
            </w:tcBorders>
            <w:noWrap/>
            <w:tcMar>
              <w:top w:w="15" w:type="dxa"/>
              <w:left w:w="15" w:type="dxa"/>
              <w:right w:w="15" w:type="dxa"/>
            </w:tcMar>
            <w:vAlign w:val="center"/>
          </w:tcPr>
          <w:p w14:paraId="2514D7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c>
          <w:tcPr>
            <w:tcW w:w="2137" w:type="dxa"/>
            <w:vMerge w:val="restart"/>
            <w:tcBorders>
              <w:top w:val="single" w:color="000000" w:sz="4" w:space="0"/>
              <w:left w:val="nil"/>
              <w:right w:val="single" w:color="000000" w:sz="4" w:space="0"/>
            </w:tcBorders>
            <w:noWrap/>
            <w:tcMar>
              <w:top w:w="15" w:type="dxa"/>
              <w:left w:w="15" w:type="dxa"/>
              <w:right w:w="15" w:type="dxa"/>
            </w:tcMar>
            <w:vAlign w:val="center"/>
          </w:tcPr>
          <w:p w14:paraId="44CBCD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r>
      <w:tr w14:paraId="1D78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00A79F53">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top w:val="nil"/>
              <w:left w:val="single" w:color="auto" w:sz="4" w:space="0"/>
              <w:bottom w:val="nil"/>
              <w:right w:val="single" w:color="auto" w:sz="4" w:space="0"/>
            </w:tcBorders>
            <w:noWrap w:val="0"/>
            <w:vAlign w:val="center"/>
          </w:tcPr>
          <w:p w14:paraId="678C0B83">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EFECE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bCs/>
                <w:color w:val="auto"/>
                <w:sz w:val="21"/>
                <w:szCs w:val="21"/>
                <w:highlight w:val="none"/>
              </w:rPr>
            </w:pPr>
            <w:r>
              <w:rPr>
                <w:rFonts w:hint="eastAsia" w:ascii="仿宋" w:hAnsi="仿宋" w:eastAsia="仿宋" w:cs="仿宋"/>
                <w:color w:val="auto"/>
                <w:kern w:val="0"/>
                <w:sz w:val="21"/>
                <w:szCs w:val="21"/>
                <w:highlight w:val="none"/>
                <w:lang w:val="en-US" w:eastAsia="zh-CN" w:bidi="ar"/>
              </w:rPr>
              <w:t>2.工作人员应按时到岗，不得擅自脱岗；管理人员调离需提前1个月做好交接工作，普通职员因离职空缺的岗位应在15日内补。</w:t>
            </w:r>
          </w:p>
        </w:tc>
        <w:tc>
          <w:tcPr>
            <w:tcW w:w="742" w:type="dxa"/>
            <w:vMerge w:val="continue"/>
            <w:tcBorders>
              <w:left w:val="nil"/>
              <w:right w:val="single" w:color="000000" w:sz="4" w:space="0"/>
            </w:tcBorders>
            <w:noWrap/>
            <w:tcMar>
              <w:top w:w="15" w:type="dxa"/>
              <w:left w:w="15" w:type="dxa"/>
              <w:right w:w="15" w:type="dxa"/>
            </w:tcMar>
            <w:vAlign w:val="center"/>
          </w:tcPr>
          <w:p w14:paraId="5B8CE1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76FC35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r>
      <w:tr w14:paraId="49DE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1"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7E1D7792">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top w:val="nil"/>
              <w:left w:val="single" w:color="auto" w:sz="4" w:space="0"/>
              <w:bottom w:val="nil"/>
              <w:right w:val="single" w:color="auto" w:sz="4" w:space="0"/>
            </w:tcBorders>
            <w:noWrap w:val="0"/>
            <w:vAlign w:val="center"/>
          </w:tcPr>
          <w:p w14:paraId="24F3C3F0">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CDA9E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3.定期对管理人员进行专业培训，提升管理能力，确保巡查力度；定期开展各项业务培训和岗位专业技能考核，提高服务人员专业素养与技能。</w:t>
            </w:r>
          </w:p>
        </w:tc>
        <w:tc>
          <w:tcPr>
            <w:tcW w:w="742" w:type="dxa"/>
            <w:vMerge w:val="continue"/>
            <w:tcBorders>
              <w:left w:val="nil"/>
              <w:right w:val="single" w:color="000000" w:sz="4" w:space="0"/>
            </w:tcBorders>
            <w:noWrap/>
            <w:tcMar>
              <w:top w:w="15" w:type="dxa"/>
              <w:left w:w="15" w:type="dxa"/>
              <w:right w:w="15" w:type="dxa"/>
            </w:tcMar>
            <w:vAlign w:val="center"/>
          </w:tcPr>
          <w:p w14:paraId="5B3FE4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3666BD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r>
      <w:tr w14:paraId="16E3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6"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03F692E0">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top w:val="nil"/>
              <w:left w:val="single" w:color="auto" w:sz="4" w:space="0"/>
              <w:bottom w:val="nil"/>
              <w:right w:val="single" w:color="auto" w:sz="4" w:space="0"/>
            </w:tcBorders>
            <w:noWrap w:val="0"/>
            <w:vAlign w:val="center"/>
          </w:tcPr>
          <w:p w14:paraId="63B95BEA">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94E24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4.严格遵守安全保密制度，遵守中心的相关规定和纪律。</w:t>
            </w:r>
          </w:p>
        </w:tc>
        <w:tc>
          <w:tcPr>
            <w:tcW w:w="742" w:type="dxa"/>
            <w:vMerge w:val="continue"/>
            <w:tcBorders>
              <w:left w:val="nil"/>
              <w:right w:val="single" w:color="000000" w:sz="4" w:space="0"/>
            </w:tcBorders>
            <w:noWrap/>
            <w:tcMar>
              <w:top w:w="15" w:type="dxa"/>
              <w:left w:w="15" w:type="dxa"/>
              <w:right w:w="15" w:type="dxa"/>
            </w:tcMar>
            <w:vAlign w:val="center"/>
          </w:tcPr>
          <w:p w14:paraId="4B2936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283E1E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r>
      <w:tr w14:paraId="7186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4"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515FF411">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top w:val="nil"/>
              <w:left w:val="single" w:color="auto" w:sz="4" w:space="0"/>
              <w:bottom w:val="nil"/>
              <w:right w:val="single" w:color="auto" w:sz="4" w:space="0"/>
            </w:tcBorders>
            <w:noWrap w:val="0"/>
            <w:vAlign w:val="center"/>
          </w:tcPr>
          <w:p w14:paraId="0991143B">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8CEA2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5.建立应急预案和台账，定期组织培训、演练，提高应急处理能力，如遇突发事件须及时通知监管科室并采取相应措施。</w:t>
            </w:r>
          </w:p>
        </w:tc>
        <w:tc>
          <w:tcPr>
            <w:tcW w:w="742" w:type="dxa"/>
            <w:vMerge w:val="continue"/>
            <w:tcBorders>
              <w:left w:val="nil"/>
              <w:bottom w:val="nil"/>
              <w:right w:val="single" w:color="000000" w:sz="4" w:space="0"/>
            </w:tcBorders>
            <w:noWrap/>
            <w:tcMar>
              <w:top w:w="15" w:type="dxa"/>
              <w:left w:w="15" w:type="dxa"/>
              <w:right w:w="15" w:type="dxa"/>
            </w:tcMar>
            <w:vAlign w:val="center"/>
          </w:tcPr>
          <w:p w14:paraId="029B6A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c>
          <w:tcPr>
            <w:tcW w:w="2137" w:type="dxa"/>
            <w:vMerge w:val="continue"/>
            <w:tcBorders>
              <w:left w:val="nil"/>
              <w:bottom w:val="single" w:color="000000" w:sz="4" w:space="0"/>
              <w:right w:val="single" w:color="000000" w:sz="4" w:space="0"/>
            </w:tcBorders>
            <w:noWrap/>
            <w:tcMar>
              <w:top w:w="15" w:type="dxa"/>
              <w:left w:w="15" w:type="dxa"/>
              <w:right w:w="15" w:type="dxa"/>
            </w:tcMar>
            <w:vAlign w:val="center"/>
          </w:tcPr>
          <w:p w14:paraId="13A1E8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p>
        </w:tc>
      </w:tr>
      <w:tr w14:paraId="112D0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75C62A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仿宋" w:hAnsi="仿宋" w:eastAsia="仿宋" w:cs="仿宋"/>
                <w:bCs/>
                <w:color w:val="auto"/>
                <w:sz w:val="21"/>
                <w:szCs w:val="21"/>
                <w:highlight w:val="none"/>
              </w:rPr>
            </w:pPr>
          </w:p>
        </w:tc>
        <w:tc>
          <w:tcPr>
            <w:tcW w:w="858" w:type="dxa"/>
            <w:vMerge w:val="restart"/>
            <w:tcBorders>
              <w:top w:val="single" w:color="000000" w:sz="4" w:space="0"/>
              <w:left w:val="single" w:color="auto" w:sz="4" w:space="0"/>
              <w:bottom w:val="nil"/>
              <w:right w:val="single" w:color="auto" w:sz="4" w:space="0"/>
            </w:tcBorders>
            <w:noWrap w:val="0"/>
            <w:tcMar>
              <w:top w:w="15" w:type="dxa"/>
              <w:left w:w="15" w:type="dxa"/>
              <w:right w:w="15" w:type="dxa"/>
            </w:tcMar>
            <w:vAlign w:val="center"/>
          </w:tcPr>
          <w:p w14:paraId="2A79A4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仿宋" w:hAnsi="仿宋" w:eastAsia="仿宋" w:cs="仿宋"/>
                <w:bCs/>
                <w:color w:val="auto"/>
                <w:kern w:val="0"/>
                <w:sz w:val="21"/>
                <w:szCs w:val="21"/>
                <w:highlight w:val="none"/>
                <w:lang w:val="en-US" w:eastAsia="zh-CN" w:bidi="ar"/>
              </w:rPr>
            </w:pPr>
            <w:r>
              <w:rPr>
                <w:rFonts w:hint="eastAsia" w:ascii="仿宋" w:hAnsi="仿宋" w:eastAsia="仿宋" w:cs="仿宋"/>
                <w:bCs/>
                <w:color w:val="auto"/>
                <w:kern w:val="0"/>
                <w:sz w:val="21"/>
                <w:szCs w:val="21"/>
                <w:highlight w:val="none"/>
                <w:lang w:val="en-US" w:eastAsia="zh-CN" w:bidi="ar"/>
              </w:rPr>
              <w:t>会议服务标准管理（6分）</w:t>
            </w: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D9AEB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1.会议信息发生变更及时通知相关负责人；临时增加会议，早、晚班及时到岗准备。</w:t>
            </w:r>
          </w:p>
        </w:tc>
        <w:tc>
          <w:tcPr>
            <w:tcW w:w="742" w:type="dxa"/>
            <w:vMerge w:val="restart"/>
            <w:tcBorders>
              <w:top w:val="single" w:color="000000" w:sz="4" w:space="0"/>
              <w:left w:val="nil"/>
              <w:right w:val="single" w:color="000000" w:sz="4" w:space="0"/>
            </w:tcBorders>
            <w:noWrap/>
            <w:tcMar>
              <w:top w:w="15" w:type="dxa"/>
              <w:left w:w="15" w:type="dxa"/>
              <w:right w:w="15" w:type="dxa"/>
            </w:tcMar>
            <w:vAlign w:val="center"/>
          </w:tcPr>
          <w:p w14:paraId="00B435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color w:val="auto"/>
                <w:sz w:val="21"/>
                <w:szCs w:val="21"/>
                <w:highlight w:val="none"/>
              </w:rPr>
            </w:pPr>
          </w:p>
        </w:tc>
        <w:tc>
          <w:tcPr>
            <w:tcW w:w="2137" w:type="dxa"/>
            <w:vMerge w:val="restart"/>
            <w:tcBorders>
              <w:top w:val="single" w:color="000000" w:sz="4" w:space="0"/>
              <w:left w:val="nil"/>
              <w:right w:val="single" w:color="000000" w:sz="4" w:space="0"/>
            </w:tcBorders>
            <w:noWrap/>
            <w:tcMar>
              <w:top w:w="15" w:type="dxa"/>
              <w:left w:w="15" w:type="dxa"/>
              <w:right w:w="15" w:type="dxa"/>
            </w:tcMar>
            <w:vAlign w:val="center"/>
          </w:tcPr>
          <w:p w14:paraId="4FF630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74C3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7345D92A">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top w:val="single" w:color="000000" w:sz="4" w:space="0"/>
              <w:left w:val="single" w:color="auto" w:sz="4" w:space="0"/>
              <w:bottom w:val="nil"/>
              <w:right w:val="single" w:color="auto" w:sz="4" w:space="0"/>
            </w:tcBorders>
            <w:noWrap w:val="0"/>
            <w:tcMar>
              <w:top w:w="15" w:type="dxa"/>
              <w:left w:w="15" w:type="dxa"/>
              <w:right w:w="15" w:type="dxa"/>
            </w:tcMar>
            <w:vAlign w:val="center"/>
          </w:tcPr>
          <w:p w14:paraId="47D21239">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A1351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2.会前、会中、会后管理严格参照会议服务监管考核标准执行。</w:t>
            </w:r>
          </w:p>
        </w:tc>
        <w:tc>
          <w:tcPr>
            <w:tcW w:w="742" w:type="dxa"/>
            <w:vMerge w:val="continue"/>
            <w:tcBorders>
              <w:left w:val="nil"/>
              <w:right w:val="single" w:color="000000" w:sz="4" w:space="0"/>
            </w:tcBorders>
            <w:noWrap/>
            <w:tcMar>
              <w:top w:w="15" w:type="dxa"/>
              <w:left w:w="15" w:type="dxa"/>
              <w:right w:w="15" w:type="dxa"/>
            </w:tcMar>
            <w:vAlign w:val="center"/>
          </w:tcPr>
          <w:p w14:paraId="7C9452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237189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2053D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79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5A91F6AB">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14:paraId="489B5E2C">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14:paraId="5E50B7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3.定期检查设备，做到规范操作，无人为损坏、不遗失，未经允许不得外借；对重要易损设施设备统一标注名称和启用日期，按要求定期上报设备改造或更换计划。发现空调、电灯等设施设备以及物品器材损坏及时上报监管人员和物业。</w:t>
            </w:r>
          </w:p>
        </w:tc>
        <w:tc>
          <w:tcPr>
            <w:tcW w:w="742" w:type="dxa"/>
            <w:vMerge w:val="continue"/>
            <w:tcBorders>
              <w:left w:val="nil"/>
              <w:bottom w:val="single" w:color="auto" w:sz="4" w:space="0"/>
              <w:right w:val="single" w:color="000000" w:sz="4" w:space="0"/>
            </w:tcBorders>
            <w:noWrap/>
            <w:tcMar>
              <w:top w:w="15" w:type="dxa"/>
              <w:left w:w="15" w:type="dxa"/>
              <w:right w:w="15" w:type="dxa"/>
            </w:tcMar>
            <w:vAlign w:val="center"/>
          </w:tcPr>
          <w:p w14:paraId="2C6244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color w:val="auto"/>
                <w:sz w:val="21"/>
                <w:szCs w:val="21"/>
                <w:highlight w:val="none"/>
              </w:rPr>
            </w:pPr>
          </w:p>
        </w:tc>
        <w:tc>
          <w:tcPr>
            <w:tcW w:w="2137" w:type="dxa"/>
            <w:vMerge w:val="continue"/>
            <w:tcBorders>
              <w:left w:val="nil"/>
              <w:bottom w:val="single" w:color="auto" w:sz="4" w:space="0"/>
              <w:right w:val="single" w:color="000000" w:sz="4" w:space="0"/>
            </w:tcBorders>
            <w:noWrap/>
            <w:tcMar>
              <w:top w:w="15" w:type="dxa"/>
              <w:left w:w="15" w:type="dxa"/>
              <w:right w:w="15" w:type="dxa"/>
            </w:tcMar>
            <w:vAlign w:val="center"/>
          </w:tcPr>
          <w:p w14:paraId="64BB34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3986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jc w:val="center"/>
        </w:trPr>
        <w:tc>
          <w:tcPr>
            <w:tcW w:w="79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2BBB36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lang w:val="en-US" w:eastAsia="zh-CN" w:bidi="ar"/>
              </w:rPr>
              <w:t>公务</w:t>
            </w:r>
          </w:p>
          <w:p w14:paraId="0C83B6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Cs/>
                <w:color w:val="auto"/>
                <w:sz w:val="21"/>
                <w:szCs w:val="21"/>
                <w:highlight w:val="none"/>
              </w:rPr>
            </w:pPr>
            <w:r>
              <w:rPr>
                <w:rFonts w:hint="eastAsia" w:ascii="仿宋" w:hAnsi="仿宋" w:eastAsia="仿宋" w:cs="仿宋"/>
                <w:b/>
                <w:bCs w:val="0"/>
                <w:color w:val="auto"/>
                <w:kern w:val="0"/>
                <w:sz w:val="21"/>
                <w:szCs w:val="21"/>
                <w:highlight w:val="none"/>
                <w:lang w:val="en-US" w:eastAsia="zh-CN" w:bidi="ar"/>
              </w:rPr>
              <w:t>管理</w:t>
            </w:r>
          </w:p>
        </w:tc>
        <w:tc>
          <w:tcPr>
            <w:tcW w:w="858"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678A19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rPr>
                <w:rFonts w:hint="eastAsia" w:ascii="仿宋" w:hAnsi="仿宋" w:eastAsia="仿宋" w:cs="仿宋"/>
                <w:bCs/>
                <w:color w:val="auto"/>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
              </w:rPr>
              <w:t>公务服务、接待休息室标准管理（14分）</w:t>
            </w:r>
          </w:p>
        </w:tc>
        <w:tc>
          <w:tcPr>
            <w:tcW w:w="5463" w:type="dxa"/>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14:paraId="11C9CE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xml:space="preserve"> 1.必须在监管人员带领下进入领导办公室进行保洁服务，严禁带手机进领导办公室。</w:t>
            </w:r>
          </w:p>
        </w:tc>
        <w:tc>
          <w:tcPr>
            <w:tcW w:w="742" w:type="dxa"/>
            <w:vMerge w:val="restart"/>
            <w:tcBorders>
              <w:top w:val="single" w:color="auto" w:sz="4" w:space="0"/>
              <w:left w:val="nil"/>
              <w:right w:val="single" w:color="000000" w:sz="4" w:space="0"/>
            </w:tcBorders>
            <w:noWrap/>
            <w:tcMar>
              <w:top w:w="15" w:type="dxa"/>
              <w:left w:w="15" w:type="dxa"/>
              <w:right w:w="15" w:type="dxa"/>
            </w:tcMar>
            <w:vAlign w:val="center"/>
          </w:tcPr>
          <w:p w14:paraId="32B2C6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color w:val="auto"/>
                <w:sz w:val="21"/>
                <w:szCs w:val="21"/>
                <w:highlight w:val="none"/>
              </w:rPr>
            </w:pPr>
          </w:p>
        </w:tc>
        <w:tc>
          <w:tcPr>
            <w:tcW w:w="2137" w:type="dxa"/>
            <w:vMerge w:val="restart"/>
            <w:tcBorders>
              <w:top w:val="single" w:color="auto" w:sz="4" w:space="0"/>
              <w:left w:val="nil"/>
              <w:right w:val="single" w:color="000000" w:sz="4" w:space="0"/>
            </w:tcBorders>
            <w:noWrap/>
            <w:tcMar>
              <w:top w:w="15" w:type="dxa"/>
              <w:left w:w="15" w:type="dxa"/>
              <w:right w:w="15" w:type="dxa"/>
            </w:tcMar>
            <w:vAlign w:val="center"/>
          </w:tcPr>
          <w:p w14:paraId="33AA5B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7512D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7"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11A5C783">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left w:val="single" w:color="auto" w:sz="4" w:space="0"/>
              <w:right w:val="single" w:color="auto" w:sz="4" w:space="0"/>
            </w:tcBorders>
            <w:noWrap w:val="0"/>
            <w:tcMar>
              <w:top w:w="15" w:type="dxa"/>
              <w:left w:w="15" w:type="dxa"/>
              <w:right w:w="15" w:type="dxa"/>
            </w:tcMar>
            <w:vAlign w:val="center"/>
          </w:tcPr>
          <w:p w14:paraId="45C203E8">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14:paraId="30DD96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2.工作日早晚对市领导办公区域进行清洁检查。按时领取报刊杂志分发到领导办公室，做好早、晚班工作交接台账记录，认真完成</w:t>
            </w:r>
            <w:r>
              <w:rPr>
                <w:rFonts w:hint="eastAsia" w:ascii="仿宋" w:hAnsi="仿宋" w:eastAsia="仿宋" w:cs="仿宋"/>
                <w:color w:val="auto"/>
                <w:kern w:val="0"/>
                <w:sz w:val="21"/>
                <w:szCs w:val="21"/>
                <w:highlight w:val="none"/>
                <w:lang w:eastAsia="zh-CN" w:bidi="ar"/>
              </w:rPr>
              <w:t>监管人员</w:t>
            </w:r>
            <w:r>
              <w:rPr>
                <w:rFonts w:hint="eastAsia" w:ascii="仿宋" w:hAnsi="仿宋" w:eastAsia="仿宋" w:cs="仿宋"/>
                <w:color w:val="auto"/>
                <w:kern w:val="0"/>
                <w:sz w:val="21"/>
                <w:szCs w:val="21"/>
                <w:highlight w:val="none"/>
                <w:lang w:val="en-US" w:eastAsia="zh-CN" w:bidi="ar"/>
              </w:rPr>
              <w:t>交办的任务，并确保服务质量。</w:t>
            </w:r>
          </w:p>
        </w:tc>
        <w:tc>
          <w:tcPr>
            <w:tcW w:w="742" w:type="dxa"/>
            <w:vMerge w:val="continue"/>
            <w:tcBorders>
              <w:left w:val="nil"/>
              <w:right w:val="single" w:color="000000" w:sz="4" w:space="0"/>
            </w:tcBorders>
            <w:noWrap/>
            <w:tcMar>
              <w:top w:w="15" w:type="dxa"/>
              <w:left w:w="15" w:type="dxa"/>
              <w:right w:w="15" w:type="dxa"/>
            </w:tcMar>
            <w:vAlign w:val="center"/>
          </w:tcPr>
          <w:p w14:paraId="62EB83C3">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43C76D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66432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4"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29CE068A">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left w:val="single" w:color="auto" w:sz="4" w:space="0"/>
              <w:right w:val="single" w:color="auto" w:sz="4" w:space="0"/>
            </w:tcBorders>
            <w:noWrap w:val="0"/>
            <w:tcMar>
              <w:top w:w="15" w:type="dxa"/>
              <w:left w:w="15" w:type="dxa"/>
              <w:right w:w="15" w:type="dxa"/>
            </w:tcMar>
            <w:vAlign w:val="center"/>
          </w:tcPr>
          <w:p w14:paraId="449B9E7B">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087A67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aseline"/>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3.双休、节假日期间认真落实值班制度，值班人员做好工作交接台账记录，做好服务保障工作。</w:t>
            </w:r>
          </w:p>
        </w:tc>
        <w:tc>
          <w:tcPr>
            <w:tcW w:w="742" w:type="dxa"/>
            <w:vMerge w:val="continue"/>
            <w:tcBorders>
              <w:left w:val="nil"/>
              <w:right w:val="single" w:color="000000" w:sz="4" w:space="0"/>
            </w:tcBorders>
            <w:noWrap/>
            <w:tcMar>
              <w:top w:w="15" w:type="dxa"/>
              <w:left w:w="15" w:type="dxa"/>
              <w:right w:w="15" w:type="dxa"/>
            </w:tcMar>
            <w:vAlign w:val="center"/>
          </w:tcPr>
          <w:p w14:paraId="5DBAAAA8">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289922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640E1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7"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3DABF32E">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left w:val="single" w:color="auto" w:sz="4" w:space="0"/>
              <w:right w:val="single" w:color="auto" w:sz="4" w:space="0"/>
            </w:tcBorders>
            <w:noWrap w:val="0"/>
            <w:tcMar>
              <w:top w:w="15" w:type="dxa"/>
              <w:left w:w="15" w:type="dxa"/>
              <w:right w:w="15" w:type="dxa"/>
            </w:tcMar>
            <w:vAlign w:val="center"/>
          </w:tcPr>
          <w:p w14:paraId="004C8790">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C565C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aseline"/>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4.对领导办公室和公务接待休息室电器日常的管理，每月配合</w:t>
            </w:r>
            <w:r>
              <w:rPr>
                <w:rFonts w:hint="eastAsia" w:ascii="仿宋" w:hAnsi="仿宋" w:eastAsia="仿宋" w:cs="仿宋"/>
                <w:color w:val="auto"/>
                <w:kern w:val="0"/>
                <w:sz w:val="21"/>
                <w:szCs w:val="21"/>
                <w:highlight w:val="none"/>
                <w:lang w:eastAsia="zh-CN" w:bidi="ar"/>
              </w:rPr>
              <w:t>物管二科</w:t>
            </w:r>
            <w:r>
              <w:rPr>
                <w:rFonts w:hint="eastAsia" w:ascii="仿宋" w:hAnsi="仿宋" w:eastAsia="仿宋" w:cs="仿宋"/>
                <w:color w:val="auto"/>
                <w:kern w:val="0"/>
                <w:sz w:val="21"/>
                <w:szCs w:val="21"/>
                <w:highlight w:val="none"/>
                <w:lang w:val="en-US" w:eastAsia="zh-CN" w:bidi="ar"/>
              </w:rPr>
              <w:t>和物业</w:t>
            </w:r>
            <w:r>
              <w:rPr>
                <w:rFonts w:hint="eastAsia" w:ascii="仿宋" w:hAnsi="仿宋" w:eastAsia="仿宋" w:cs="仿宋"/>
                <w:color w:val="auto"/>
                <w:kern w:val="0"/>
                <w:sz w:val="21"/>
                <w:szCs w:val="21"/>
                <w:highlight w:val="none"/>
                <w:lang w:eastAsia="zh-CN" w:bidi="ar"/>
              </w:rPr>
              <w:t>做好</w:t>
            </w:r>
            <w:r>
              <w:rPr>
                <w:rFonts w:hint="eastAsia" w:ascii="仿宋" w:hAnsi="仿宋" w:eastAsia="仿宋" w:cs="仿宋"/>
                <w:color w:val="auto"/>
                <w:kern w:val="0"/>
                <w:sz w:val="21"/>
                <w:szCs w:val="21"/>
                <w:highlight w:val="none"/>
                <w:lang w:val="en-US" w:eastAsia="zh-CN" w:bidi="ar"/>
              </w:rPr>
              <w:t>对领导办公室所有用电和电器的进场排查工作，以及日常领导办公室设备保修和跟进工作，做好相关台账记录。</w:t>
            </w:r>
          </w:p>
        </w:tc>
        <w:tc>
          <w:tcPr>
            <w:tcW w:w="742" w:type="dxa"/>
            <w:vMerge w:val="continue"/>
            <w:tcBorders>
              <w:left w:val="nil"/>
              <w:right w:val="single" w:color="000000" w:sz="4" w:space="0"/>
            </w:tcBorders>
            <w:noWrap/>
            <w:tcMar>
              <w:top w:w="15" w:type="dxa"/>
              <w:left w:w="15" w:type="dxa"/>
              <w:right w:w="15" w:type="dxa"/>
            </w:tcMar>
            <w:vAlign w:val="center"/>
          </w:tcPr>
          <w:p w14:paraId="69F2DB0E">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1B8D86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7E19A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2"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65EF582E">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left w:val="single" w:color="auto" w:sz="4" w:space="0"/>
              <w:right w:val="single" w:color="auto" w:sz="4" w:space="0"/>
            </w:tcBorders>
            <w:noWrap w:val="0"/>
            <w:tcMar>
              <w:top w:w="15" w:type="dxa"/>
              <w:left w:w="15" w:type="dxa"/>
              <w:right w:w="15" w:type="dxa"/>
            </w:tcMar>
            <w:vAlign w:val="center"/>
          </w:tcPr>
          <w:p w14:paraId="0B02E1BC">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14:paraId="38F234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aseline"/>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5.每月定期对领导办公室和公务接待休息室的洗漱用品、矿泉水等消耗品进行生产日期检查。</w:t>
            </w:r>
          </w:p>
        </w:tc>
        <w:tc>
          <w:tcPr>
            <w:tcW w:w="742" w:type="dxa"/>
            <w:vMerge w:val="continue"/>
            <w:tcBorders>
              <w:left w:val="nil"/>
              <w:right w:val="single" w:color="000000" w:sz="4" w:space="0"/>
            </w:tcBorders>
            <w:noWrap/>
            <w:tcMar>
              <w:top w:w="15" w:type="dxa"/>
              <w:left w:w="15" w:type="dxa"/>
              <w:right w:w="15" w:type="dxa"/>
            </w:tcMar>
            <w:vAlign w:val="center"/>
          </w:tcPr>
          <w:p w14:paraId="4C0CDE63">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700D3C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48F0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3"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1AC038D2">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left w:val="single" w:color="auto" w:sz="4" w:space="0"/>
              <w:right w:val="single" w:color="auto" w:sz="4" w:space="0"/>
            </w:tcBorders>
            <w:noWrap w:val="0"/>
            <w:tcMar>
              <w:top w:w="15" w:type="dxa"/>
              <w:left w:w="15" w:type="dxa"/>
              <w:right w:w="15" w:type="dxa"/>
            </w:tcMar>
            <w:vAlign w:val="center"/>
          </w:tcPr>
          <w:p w14:paraId="4A6F205B">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14:paraId="1F85F5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aseline"/>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6.公务接待休息室接到保障通知，第一时间做好准备，使用后，及时更换床上用品，打扫卫生并做好工作记录。</w:t>
            </w:r>
          </w:p>
        </w:tc>
        <w:tc>
          <w:tcPr>
            <w:tcW w:w="742" w:type="dxa"/>
            <w:vMerge w:val="continue"/>
            <w:tcBorders>
              <w:left w:val="nil"/>
              <w:right w:val="single" w:color="000000" w:sz="4" w:space="0"/>
            </w:tcBorders>
            <w:noWrap/>
            <w:tcMar>
              <w:top w:w="15" w:type="dxa"/>
              <w:left w:w="15" w:type="dxa"/>
              <w:right w:w="15" w:type="dxa"/>
            </w:tcMar>
            <w:vAlign w:val="center"/>
          </w:tcPr>
          <w:p w14:paraId="1418E456">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2137" w:type="dxa"/>
            <w:vMerge w:val="continue"/>
            <w:tcBorders>
              <w:left w:val="nil"/>
              <w:right w:val="single" w:color="000000" w:sz="4" w:space="0"/>
            </w:tcBorders>
            <w:noWrap/>
            <w:tcMar>
              <w:top w:w="15" w:type="dxa"/>
              <w:left w:w="15" w:type="dxa"/>
              <w:right w:w="15" w:type="dxa"/>
            </w:tcMar>
            <w:vAlign w:val="center"/>
          </w:tcPr>
          <w:p w14:paraId="5911F2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504C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9" w:hRule="atLeast"/>
          <w:jc w:val="center"/>
        </w:trPr>
        <w:tc>
          <w:tcPr>
            <w:tcW w:w="793" w:type="dxa"/>
            <w:vMerge w:val="continue"/>
            <w:tcBorders>
              <w:left w:val="single" w:color="auto" w:sz="4" w:space="0"/>
              <w:right w:val="single" w:color="auto" w:sz="4" w:space="0"/>
            </w:tcBorders>
            <w:noWrap w:val="0"/>
            <w:tcMar>
              <w:top w:w="15" w:type="dxa"/>
              <w:left w:w="15" w:type="dxa"/>
              <w:right w:w="15" w:type="dxa"/>
            </w:tcMar>
            <w:vAlign w:val="center"/>
          </w:tcPr>
          <w:p w14:paraId="7931E9B1">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858" w:type="dxa"/>
            <w:vMerge w:val="continue"/>
            <w:tcBorders>
              <w:left w:val="single" w:color="auto" w:sz="4" w:space="0"/>
              <w:bottom w:val="nil"/>
              <w:right w:val="single" w:color="auto" w:sz="4" w:space="0"/>
            </w:tcBorders>
            <w:noWrap w:val="0"/>
            <w:tcMar>
              <w:top w:w="15" w:type="dxa"/>
              <w:left w:w="15" w:type="dxa"/>
              <w:right w:w="15" w:type="dxa"/>
            </w:tcMar>
            <w:vAlign w:val="center"/>
          </w:tcPr>
          <w:p w14:paraId="042C37C8">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5463"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14:paraId="797B11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aseline"/>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
              </w:rPr>
              <w:t>7.出现特殊天气或事件，提前做好相关准备，确保公务接待休息室可以立即使用，及时增加值班人员。</w:t>
            </w:r>
          </w:p>
        </w:tc>
        <w:tc>
          <w:tcPr>
            <w:tcW w:w="742" w:type="dxa"/>
            <w:vMerge w:val="continue"/>
            <w:tcBorders>
              <w:left w:val="nil"/>
              <w:bottom w:val="single" w:color="auto" w:sz="4" w:space="0"/>
              <w:right w:val="single" w:color="000000" w:sz="4" w:space="0"/>
            </w:tcBorders>
            <w:noWrap/>
            <w:tcMar>
              <w:top w:w="15" w:type="dxa"/>
              <w:left w:w="15" w:type="dxa"/>
              <w:right w:w="15" w:type="dxa"/>
            </w:tcMar>
            <w:vAlign w:val="center"/>
          </w:tcPr>
          <w:p w14:paraId="3EEC5A50">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p>
        </w:tc>
        <w:tc>
          <w:tcPr>
            <w:tcW w:w="2137" w:type="dxa"/>
            <w:vMerge w:val="continue"/>
            <w:tcBorders>
              <w:left w:val="nil"/>
              <w:bottom w:val="single" w:color="000000" w:sz="4" w:space="0"/>
              <w:right w:val="single" w:color="000000" w:sz="4" w:space="0"/>
            </w:tcBorders>
            <w:noWrap/>
            <w:tcMar>
              <w:top w:w="15" w:type="dxa"/>
              <w:left w:w="15" w:type="dxa"/>
              <w:right w:w="15" w:type="dxa"/>
            </w:tcMar>
            <w:vAlign w:val="center"/>
          </w:tcPr>
          <w:p w14:paraId="2415CC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0E8A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1651"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E1D2F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lang w:val="en-US" w:eastAsia="zh-CN" w:bidi="ar"/>
              </w:rPr>
              <w:t>总分</w:t>
            </w: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255DF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以上分值为30分。各项评分内容通过定期检查、不定期抽查，发现有不符合要求的扣除相应分值；同一扣分点再次出现问题，可重复扣分，直至该项扣完为止。</w:t>
            </w:r>
          </w:p>
        </w:tc>
        <w:tc>
          <w:tcPr>
            <w:tcW w:w="742" w:type="dxa"/>
            <w:tcBorders>
              <w:top w:val="single" w:color="auto" w:sz="4" w:space="0"/>
              <w:left w:val="nil"/>
              <w:bottom w:val="single" w:color="000000" w:sz="4" w:space="0"/>
              <w:right w:val="single" w:color="000000" w:sz="4" w:space="0"/>
            </w:tcBorders>
            <w:noWrap/>
            <w:tcMar>
              <w:top w:w="15" w:type="dxa"/>
              <w:left w:w="15" w:type="dxa"/>
              <w:right w:w="15" w:type="dxa"/>
            </w:tcMar>
            <w:vAlign w:val="center"/>
          </w:tcPr>
          <w:p w14:paraId="74EE05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仿宋" w:hAnsi="仿宋" w:eastAsia="仿宋" w:cs="仿宋"/>
                <w:color w:val="auto"/>
                <w:sz w:val="21"/>
                <w:szCs w:val="21"/>
                <w:highlight w:val="none"/>
              </w:rPr>
            </w:pPr>
          </w:p>
        </w:tc>
        <w:tc>
          <w:tcPr>
            <w:tcW w:w="213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089E5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2583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4" w:hRule="atLeast"/>
          <w:jc w:val="center"/>
        </w:trPr>
        <w:tc>
          <w:tcPr>
            <w:tcW w:w="16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522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lang w:val="en-US" w:eastAsia="zh-CN" w:bidi="ar"/>
              </w:rPr>
              <w:t>附加减分项</w:t>
            </w:r>
          </w:p>
        </w:tc>
        <w:tc>
          <w:tcPr>
            <w:tcW w:w="54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EEF99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b/>
                <w:bCs w:val="0"/>
                <w:color w:val="auto"/>
                <w:sz w:val="21"/>
                <w:szCs w:val="21"/>
                <w:highlight w:val="none"/>
                <w:u w:val="single"/>
              </w:rPr>
            </w:pPr>
            <w:r>
              <w:rPr>
                <w:rFonts w:hint="eastAsia" w:ascii="仿宋" w:hAnsi="仿宋" w:eastAsia="仿宋" w:cs="仿宋"/>
                <w:b/>
                <w:bCs w:val="0"/>
                <w:color w:val="auto"/>
                <w:kern w:val="0"/>
                <w:sz w:val="21"/>
                <w:szCs w:val="21"/>
                <w:highlight w:val="none"/>
                <w:u w:val="single"/>
                <w:lang w:val="en-US" w:eastAsia="zh-CN" w:bidi="ar"/>
              </w:rPr>
              <w:t>（一）有以下情形的给予加分，同一加分点可累计加分，最高可加5分。</w:t>
            </w:r>
          </w:p>
          <w:p w14:paraId="07BD5F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color w:val="auto"/>
                <w:sz w:val="21"/>
                <w:szCs w:val="21"/>
                <w:highlight w:val="none"/>
              </w:rPr>
            </w:pPr>
            <w:r>
              <w:rPr>
                <w:rStyle w:val="939"/>
                <w:rFonts w:hint="eastAsia" w:ascii="仿宋" w:hAnsi="仿宋" w:eastAsia="仿宋" w:cs="仿宋"/>
                <w:color w:val="auto"/>
                <w:sz w:val="21"/>
                <w:szCs w:val="21"/>
                <w:highlight w:val="none"/>
                <w:lang w:val="en-US" w:eastAsia="zh-CN" w:bidi="ar"/>
              </w:rPr>
              <w:t>1.会议服务保障范围内，收到参会者或会议服务单位书面表扬，每次加1-2分。</w:t>
            </w:r>
          </w:p>
          <w:p w14:paraId="3FEB1E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color w:val="auto"/>
                <w:sz w:val="21"/>
                <w:szCs w:val="21"/>
                <w:highlight w:val="none"/>
              </w:rPr>
            </w:pPr>
            <w:r>
              <w:rPr>
                <w:rStyle w:val="939"/>
                <w:rFonts w:hint="eastAsia" w:ascii="仿宋" w:hAnsi="仿宋" w:eastAsia="仿宋" w:cs="仿宋"/>
                <w:color w:val="auto"/>
                <w:sz w:val="21"/>
                <w:szCs w:val="21"/>
                <w:highlight w:val="none"/>
                <w:lang w:val="en-US" w:eastAsia="zh-CN" w:bidi="ar"/>
              </w:rPr>
              <w:t>2.因会议服务保障受到市级以上荣誉的，每次加3-5分。</w:t>
            </w:r>
          </w:p>
          <w:p w14:paraId="3B203C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仿宋" w:hAnsi="仿宋" w:eastAsia="仿宋" w:cs="仿宋"/>
                <w:color w:val="auto"/>
                <w:sz w:val="21"/>
                <w:szCs w:val="21"/>
                <w:highlight w:val="none"/>
              </w:rPr>
            </w:pPr>
            <w:r>
              <w:rPr>
                <w:rFonts w:hint="eastAsia" w:ascii="仿宋" w:hAnsi="仿宋" w:eastAsia="仿宋" w:cs="仿宋"/>
                <w:b/>
                <w:bCs w:val="0"/>
                <w:color w:val="auto"/>
                <w:kern w:val="0"/>
                <w:sz w:val="21"/>
                <w:szCs w:val="21"/>
                <w:highlight w:val="none"/>
                <w:u w:val="single"/>
                <w:lang w:val="en-US" w:eastAsia="zh-CN" w:bidi="ar"/>
              </w:rPr>
              <w:t>（二）出现以下情形的视严重程度扣减10-30分。</w:t>
            </w:r>
            <w:r>
              <w:rPr>
                <w:rStyle w:val="939"/>
                <w:rFonts w:hint="eastAsia" w:ascii="仿宋" w:hAnsi="仿宋" w:eastAsia="仿宋" w:cs="仿宋"/>
                <w:color w:val="auto"/>
                <w:sz w:val="21"/>
                <w:szCs w:val="21"/>
                <w:highlight w:val="none"/>
                <w:lang w:val="en-US" w:eastAsia="zh-CN" w:bidi="ar"/>
              </w:rPr>
              <w:t xml:space="preserve">                         1.因工作人员操作失误，管理疏漏，应急处置不力等原因，造成严重影响的情形；                                                  2.被服务对象投诉，经证实且造成恶劣影响的情形；                               3.其它被认定为严重责任事故的情形。</w:t>
            </w:r>
          </w:p>
        </w:tc>
        <w:tc>
          <w:tcPr>
            <w:tcW w:w="74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E665A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color w:val="auto"/>
                <w:sz w:val="21"/>
                <w:szCs w:val="21"/>
                <w:highlight w:val="none"/>
              </w:rPr>
            </w:pPr>
          </w:p>
        </w:tc>
        <w:tc>
          <w:tcPr>
            <w:tcW w:w="213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090B4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r w14:paraId="3CB3E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16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9DA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lang w:val="en-US" w:eastAsia="zh-CN" w:bidi="ar"/>
              </w:rPr>
              <w:t>公务服务评分合计</w:t>
            </w:r>
          </w:p>
        </w:tc>
        <w:tc>
          <w:tcPr>
            <w:tcW w:w="546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7C66B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日常月考核总分与附加减分的合计分不得超过30分。</w:t>
            </w:r>
          </w:p>
        </w:tc>
        <w:tc>
          <w:tcPr>
            <w:tcW w:w="74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E1B37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color w:val="auto"/>
                <w:sz w:val="21"/>
                <w:szCs w:val="21"/>
                <w:highlight w:val="none"/>
              </w:rPr>
            </w:pPr>
          </w:p>
        </w:tc>
        <w:tc>
          <w:tcPr>
            <w:tcW w:w="213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2F267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tc>
      </w:tr>
    </w:tbl>
    <w:p w14:paraId="4A1C2A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p w14:paraId="553C19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 xml:space="preserve">服务单位负责人（签字）： </w:t>
      </w:r>
    </w:p>
    <w:p w14:paraId="035F09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监管科室负责人（签字）：              分管领导（签字）：</w:t>
      </w:r>
    </w:p>
    <w:p w14:paraId="2961C0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日期：</w:t>
      </w:r>
    </w:p>
    <w:p w14:paraId="21F599E4">
      <w:pPr>
        <w:pStyle w:val="2"/>
        <w:keepNext w:val="0"/>
        <w:keepLines w:val="0"/>
        <w:pageBreakBefore w:val="0"/>
        <w:kinsoku/>
        <w:wordWrap/>
        <w:overflowPunct/>
        <w:topLinePunct w:val="0"/>
        <w:autoSpaceDE/>
        <w:autoSpaceDN/>
        <w:bidi w:val="0"/>
        <w:spacing w:line="240" w:lineRule="auto"/>
        <w:rPr>
          <w:rFonts w:hint="eastAsia" w:ascii="仿宋" w:hAnsi="仿宋" w:eastAsia="仿宋" w:cs="仿宋"/>
          <w:color w:val="auto"/>
          <w:kern w:val="0"/>
          <w:sz w:val="21"/>
          <w:szCs w:val="21"/>
          <w:highlight w:val="none"/>
          <w:lang w:val="en-US" w:eastAsia="zh-CN" w:bidi="ar"/>
        </w:rPr>
      </w:pPr>
    </w:p>
    <w:p w14:paraId="43D06091">
      <w:pPr>
        <w:pStyle w:val="2"/>
        <w:keepNext w:val="0"/>
        <w:keepLines w:val="0"/>
        <w:pageBreakBefore w:val="0"/>
        <w:kinsoku/>
        <w:wordWrap/>
        <w:overflowPunct/>
        <w:topLinePunct w:val="0"/>
        <w:autoSpaceDE/>
        <w:autoSpaceDN/>
        <w:bidi w:val="0"/>
        <w:spacing w:line="240" w:lineRule="auto"/>
        <w:rPr>
          <w:rFonts w:hint="eastAsia" w:ascii="仿宋" w:hAnsi="仿宋" w:eastAsia="仿宋" w:cs="仿宋"/>
          <w:color w:val="auto"/>
          <w:kern w:val="0"/>
          <w:sz w:val="21"/>
          <w:szCs w:val="21"/>
          <w:highlight w:val="none"/>
          <w:lang w:val="en-US" w:eastAsia="zh-CN" w:bidi="ar"/>
        </w:rPr>
      </w:pPr>
    </w:p>
    <w:p w14:paraId="7298B769">
      <w:pPr>
        <w:pStyle w:val="2"/>
        <w:keepNext w:val="0"/>
        <w:keepLines w:val="0"/>
        <w:pageBreakBefore w:val="0"/>
        <w:kinsoku/>
        <w:wordWrap/>
        <w:overflowPunct/>
        <w:topLinePunct w:val="0"/>
        <w:autoSpaceDE/>
        <w:autoSpaceDN/>
        <w:bidi w:val="0"/>
        <w:spacing w:line="240" w:lineRule="auto"/>
        <w:rPr>
          <w:rFonts w:hint="eastAsia" w:ascii="仿宋" w:hAnsi="仿宋" w:eastAsia="仿宋" w:cs="仿宋"/>
          <w:color w:val="auto"/>
          <w:kern w:val="0"/>
          <w:sz w:val="21"/>
          <w:szCs w:val="21"/>
          <w:highlight w:val="none"/>
          <w:lang w:val="en-US" w:eastAsia="zh-CN" w:bidi="ar"/>
        </w:rPr>
      </w:pPr>
    </w:p>
    <w:p w14:paraId="1EB1EDE0">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附表2</w:t>
      </w:r>
    </w:p>
    <w:p w14:paraId="148FF0D8">
      <w:pPr>
        <w:pStyle w:val="2"/>
        <w:widowControl/>
        <w:jc w:val="center"/>
        <w:rPr>
          <w:rFonts w:hint="eastAsia" w:ascii="Arial Unicode MS" w:hAnsi="方正小标宋_GBK" w:eastAsia="Arial Unicode MS" w:cs="方正小标宋_GBK"/>
          <w:color w:val="auto"/>
          <w:sz w:val="21"/>
          <w:szCs w:val="21"/>
          <w:highlight w:val="none"/>
          <w:lang w:val="en-US" w:eastAsia="zh-CN"/>
        </w:rPr>
      </w:pPr>
      <w:r>
        <w:rPr>
          <w:rFonts w:hint="eastAsia" w:ascii="Arial Unicode MS" w:hAnsi="方正小标宋_GBK" w:eastAsia="Arial Unicode MS" w:cs="方正小标宋_GBK"/>
          <w:color w:val="auto"/>
          <w:sz w:val="21"/>
          <w:szCs w:val="21"/>
          <w:highlight w:val="none"/>
          <w:lang w:eastAsia="zh-CN"/>
        </w:rPr>
        <w:t>会议服务监管考核评分表</w:t>
      </w:r>
    </w:p>
    <w:p w14:paraId="40B2038E">
      <w:pPr>
        <w:pStyle w:val="2"/>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p>
    <w:p w14:paraId="362D363B">
      <w:pPr>
        <w:pStyle w:val="2"/>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分值70</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rPr>
        <w:t>年     月</w:t>
      </w:r>
    </w:p>
    <w:p w14:paraId="0313D0EC">
      <w:pPr>
        <w:pStyle w:val="2"/>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hint="eastAsia" w:ascii="仿宋" w:hAnsi="仿宋" w:eastAsia="仿宋" w:cs="仿宋"/>
          <w:color w:val="auto"/>
          <w:sz w:val="21"/>
          <w:szCs w:val="21"/>
          <w:highlight w:val="none"/>
        </w:rPr>
      </w:pPr>
    </w:p>
    <w:tbl>
      <w:tblPr>
        <w:tblStyle w:val="63"/>
        <w:tblW w:w="0" w:type="auto"/>
        <w:jc w:val="center"/>
        <w:tblLayout w:type="fixed"/>
        <w:tblCellMar>
          <w:top w:w="0" w:type="dxa"/>
          <w:left w:w="0" w:type="dxa"/>
          <w:bottom w:w="0" w:type="dxa"/>
          <w:right w:w="0" w:type="dxa"/>
        </w:tblCellMar>
      </w:tblPr>
      <w:tblGrid>
        <w:gridCol w:w="735"/>
        <w:gridCol w:w="913"/>
        <w:gridCol w:w="6032"/>
        <w:gridCol w:w="634"/>
        <w:gridCol w:w="1612"/>
      </w:tblGrid>
      <w:tr w14:paraId="3A783E91">
        <w:tblPrEx>
          <w:tblCellMar>
            <w:top w:w="0" w:type="dxa"/>
            <w:left w:w="0" w:type="dxa"/>
            <w:bottom w:w="0" w:type="dxa"/>
            <w:right w:w="0" w:type="dxa"/>
          </w:tblCellMar>
        </w:tblPrEx>
        <w:trPr>
          <w:trHeight w:val="626" w:hRule="atLeast"/>
          <w:jc w:val="center"/>
        </w:trPr>
        <w:tc>
          <w:tcPr>
            <w:tcW w:w="16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38D27">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评分内容</w:t>
            </w:r>
          </w:p>
        </w:tc>
        <w:tc>
          <w:tcPr>
            <w:tcW w:w="6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72BD5">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评分标准</w:t>
            </w:r>
          </w:p>
        </w:tc>
        <w:tc>
          <w:tcPr>
            <w:tcW w:w="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5C72A">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lang w:val="en-US" w:eastAsia="zh-CN"/>
              </w:rPr>
              <w:t>分值</w:t>
            </w: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03BFD">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扣分说明</w:t>
            </w:r>
          </w:p>
          <w:p w14:paraId="261DB157">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（时间、扣分原因）</w:t>
            </w:r>
          </w:p>
        </w:tc>
      </w:tr>
      <w:tr w14:paraId="17537027">
        <w:tblPrEx>
          <w:tblCellMar>
            <w:top w:w="0" w:type="dxa"/>
            <w:left w:w="0" w:type="dxa"/>
            <w:bottom w:w="0" w:type="dxa"/>
            <w:right w:w="0" w:type="dxa"/>
          </w:tblCellMar>
        </w:tblPrEx>
        <w:trPr>
          <w:trHeight w:val="499"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C7398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基</w:t>
            </w:r>
          </w:p>
          <w:p w14:paraId="1F8F959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础</w:t>
            </w:r>
          </w:p>
          <w:p w14:paraId="29976123">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管</w:t>
            </w:r>
          </w:p>
          <w:p w14:paraId="064063E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理</w:t>
            </w:r>
          </w:p>
          <w:p w14:paraId="32D33DB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24分</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F56B09">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人员配备（8分）</w:t>
            </w:r>
          </w:p>
        </w:tc>
        <w:tc>
          <w:tcPr>
            <w:tcW w:w="60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F72291D">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1.按合同约定配备人员，人员调整或增减须书面报备；工作日人员到岗率达到90%以上。</w:t>
            </w:r>
          </w:p>
        </w:tc>
        <w:tc>
          <w:tcPr>
            <w:tcW w:w="63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D1A92C8">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0AD5213">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480E690F">
        <w:tblPrEx>
          <w:tblCellMar>
            <w:top w:w="0" w:type="dxa"/>
            <w:left w:w="0" w:type="dxa"/>
            <w:bottom w:w="0" w:type="dxa"/>
            <w:right w:w="0" w:type="dxa"/>
          </w:tblCellMar>
        </w:tblPrEx>
        <w:trPr>
          <w:trHeight w:val="54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34CA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3BD41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84DF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2.工作人员应按时到岗，不得擅自脱岗；因离职空缺的岗位应在15日内补齐，人员流动率在合同约定的范围内，不得因人员变动影响服务质量。</w:t>
            </w:r>
          </w:p>
        </w:tc>
        <w:tc>
          <w:tcPr>
            <w:tcW w:w="634" w:type="dxa"/>
            <w:vMerge w:val="continue"/>
            <w:tcBorders>
              <w:left w:val="single" w:color="000000" w:sz="4" w:space="0"/>
              <w:right w:val="single" w:color="000000" w:sz="4" w:space="0"/>
            </w:tcBorders>
            <w:noWrap/>
            <w:tcMar>
              <w:top w:w="15" w:type="dxa"/>
              <w:left w:w="15" w:type="dxa"/>
              <w:right w:w="15" w:type="dxa"/>
            </w:tcMar>
            <w:vAlign w:val="center"/>
          </w:tcPr>
          <w:p w14:paraId="0D2831A1">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right w:val="single" w:color="000000" w:sz="4" w:space="0"/>
            </w:tcBorders>
            <w:noWrap/>
            <w:tcMar>
              <w:top w:w="15" w:type="dxa"/>
              <w:left w:w="15" w:type="dxa"/>
              <w:right w:w="15" w:type="dxa"/>
            </w:tcMar>
            <w:vAlign w:val="center"/>
          </w:tcPr>
          <w:p w14:paraId="22B737C6">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35DFFCD3">
        <w:tblPrEx>
          <w:tblCellMar>
            <w:top w:w="0" w:type="dxa"/>
            <w:left w:w="0" w:type="dxa"/>
            <w:bottom w:w="0" w:type="dxa"/>
            <w:right w:w="0" w:type="dxa"/>
          </w:tblCellMar>
        </w:tblPrEx>
        <w:trPr>
          <w:trHeight w:val="49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CE481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18A35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185629">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3.定期对管理人员进行专业培训，提升管理能力，确保巡查力度；定期开展各项业务培训和岗位专业技能考核，提高服务人员专业素养与技能。</w:t>
            </w:r>
          </w:p>
        </w:tc>
        <w:tc>
          <w:tcPr>
            <w:tcW w:w="634" w:type="dxa"/>
            <w:vMerge w:val="continue"/>
            <w:tcBorders>
              <w:left w:val="single" w:color="000000" w:sz="4" w:space="0"/>
              <w:right w:val="single" w:color="000000" w:sz="4" w:space="0"/>
            </w:tcBorders>
            <w:noWrap/>
            <w:tcMar>
              <w:top w:w="15" w:type="dxa"/>
              <w:left w:w="15" w:type="dxa"/>
              <w:right w:w="15" w:type="dxa"/>
            </w:tcMar>
            <w:vAlign w:val="center"/>
          </w:tcPr>
          <w:p w14:paraId="7C7BD21A">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right w:val="single" w:color="000000" w:sz="4" w:space="0"/>
            </w:tcBorders>
            <w:noWrap w:val="0"/>
            <w:tcMar>
              <w:top w:w="15" w:type="dxa"/>
              <w:left w:w="15" w:type="dxa"/>
              <w:right w:w="15" w:type="dxa"/>
            </w:tcMar>
            <w:vAlign w:val="center"/>
          </w:tcPr>
          <w:p w14:paraId="4496FE42">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r>
      <w:tr w14:paraId="2846417E">
        <w:tblPrEx>
          <w:tblCellMar>
            <w:top w:w="0" w:type="dxa"/>
            <w:left w:w="0" w:type="dxa"/>
            <w:bottom w:w="0" w:type="dxa"/>
            <w:right w:w="0" w:type="dxa"/>
          </w:tblCellMar>
        </w:tblPrEx>
        <w:trPr>
          <w:trHeight w:val="666"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F7D6C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3F06F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67168">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工作中沟通不畅、执行不到位给工作造成不良影响的。</w:t>
            </w:r>
          </w:p>
          <w:p w14:paraId="1E9BBE8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p>
        </w:tc>
        <w:tc>
          <w:tcPr>
            <w:tcW w:w="63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04D344F">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9448683">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7F6B393C">
        <w:tblPrEx>
          <w:tblCellMar>
            <w:top w:w="0" w:type="dxa"/>
            <w:left w:w="0" w:type="dxa"/>
            <w:bottom w:w="0" w:type="dxa"/>
            <w:right w:w="0" w:type="dxa"/>
          </w:tblCellMar>
        </w:tblPrEx>
        <w:trPr>
          <w:trHeight w:val="37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6CFC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E30C3">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组织纪律（6分）</w:t>
            </w:r>
          </w:p>
        </w:tc>
        <w:tc>
          <w:tcPr>
            <w:tcW w:w="60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69B7670">
            <w:pPr>
              <w:keepNext w:val="0"/>
              <w:keepLines w:val="0"/>
              <w:pageBreakBefore w:val="0"/>
              <w:widowControl/>
              <w:kinsoku/>
              <w:wordWrap/>
              <w:overflowPunct/>
              <w:topLinePunct w:val="0"/>
              <w:autoSpaceDE/>
              <w:autoSpaceDN/>
              <w:bidi w:val="0"/>
              <w:adjustRightInd w:val="0"/>
              <w:snapToGrid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1.建立健全各项管理制度，制订各岗位职责及工作标准，严格遵守员工守则。会议服务规章制度的管理，根据会议服务要求不断完善服务相关制度。</w:t>
            </w:r>
          </w:p>
        </w:tc>
        <w:tc>
          <w:tcPr>
            <w:tcW w:w="63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BAC423B">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788EEAD">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r>
      <w:tr w14:paraId="0279DE70">
        <w:tblPrEx>
          <w:tblCellMar>
            <w:top w:w="0" w:type="dxa"/>
            <w:left w:w="0" w:type="dxa"/>
            <w:bottom w:w="0" w:type="dxa"/>
            <w:right w:w="0" w:type="dxa"/>
          </w:tblCellMar>
        </w:tblPrEx>
        <w:trPr>
          <w:trHeight w:val="881"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6334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A6A3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8847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2.一线员工应持有健康证按时上岗；在岗期间，不做与本职工作无关之事；对工作中发现问题或接到工作任务后未及时跟进、反馈，影响服务效率的。</w:t>
            </w:r>
          </w:p>
        </w:tc>
        <w:tc>
          <w:tcPr>
            <w:tcW w:w="634" w:type="dxa"/>
            <w:vMerge w:val="continue"/>
            <w:tcBorders>
              <w:left w:val="single" w:color="000000" w:sz="4" w:space="0"/>
              <w:right w:val="single" w:color="000000" w:sz="4" w:space="0"/>
            </w:tcBorders>
            <w:noWrap/>
            <w:tcMar>
              <w:top w:w="15" w:type="dxa"/>
              <w:left w:w="15" w:type="dxa"/>
              <w:right w:w="15" w:type="dxa"/>
            </w:tcMar>
            <w:vAlign w:val="center"/>
          </w:tcPr>
          <w:p w14:paraId="230E594D">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right w:val="single" w:color="000000" w:sz="4" w:space="0"/>
            </w:tcBorders>
            <w:noWrap/>
            <w:tcMar>
              <w:top w:w="15" w:type="dxa"/>
              <w:left w:w="15" w:type="dxa"/>
              <w:right w:w="15" w:type="dxa"/>
            </w:tcMar>
            <w:vAlign w:val="center"/>
          </w:tcPr>
          <w:p w14:paraId="01F10BA7">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7E55352A">
        <w:tblPrEx>
          <w:tblCellMar>
            <w:top w:w="0" w:type="dxa"/>
            <w:left w:w="0" w:type="dxa"/>
            <w:bottom w:w="0" w:type="dxa"/>
            <w:right w:w="0" w:type="dxa"/>
          </w:tblCellMar>
        </w:tblPrEx>
        <w:trPr>
          <w:trHeight w:val="37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1AD9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A2C3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181B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3.工作人员值班，工作日、双休及节假日值班时间根据机关值班时间进行安排，做好工作交接记录，做好各类设施设备安全巡查工作，完成相应数据统计台账并上报监管部门。</w:t>
            </w:r>
          </w:p>
        </w:tc>
        <w:tc>
          <w:tcPr>
            <w:tcW w:w="634" w:type="dxa"/>
            <w:vMerge w:val="continue"/>
            <w:tcBorders>
              <w:left w:val="single" w:color="000000" w:sz="4" w:space="0"/>
              <w:right w:val="single" w:color="000000" w:sz="4" w:space="0"/>
            </w:tcBorders>
            <w:noWrap/>
            <w:tcMar>
              <w:top w:w="15" w:type="dxa"/>
              <w:left w:w="15" w:type="dxa"/>
              <w:right w:w="15" w:type="dxa"/>
            </w:tcMar>
            <w:vAlign w:val="center"/>
          </w:tcPr>
          <w:p w14:paraId="004CB4D2">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right w:val="single" w:color="000000" w:sz="4" w:space="0"/>
            </w:tcBorders>
            <w:noWrap/>
            <w:tcMar>
              <w:top w:w="15" w:type="dxa"/>
              <w:left w:w="15" w:type="dxa"/>
              <w:right w:w="15" w:type="dxa"/>
            </w:tcMar>
            <w:vAlign w:val="center"/>
          </w:tcPr>
          <w:p w14:paraId="6BD6909D">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0A0A796B">
        <w:tblPrEx>
          <w:tblCellMar>
            <w:top w:w="0" w:type="dxa"/>
            <w:left w:w="0" w:type="dxa"/>
            <w:bottom w:w="0" w:type="dxa"/>
            <w:right w:w="0" w:type="dxa"/>
          </w:tblCellMar>
        </w:tblPrEx>
        <w:trPr>
          <w:trHeight w:val="691"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3E9C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F2C3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D9C769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4.出现事故及时上报，分析原因及处理意见，如何避免再次发生。</w:t>
            </w:r>
          </w:p>
        </w:tc>
        <w:tc>
          <w:tcPr>
            <w:tcW w:w="63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23C33C33">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050C198B">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746AE2EE">
        <w:tblPrEx>
          <w:tblCellMar>
            <w:top w:w="0" w:type="dxa"/>
            <w:left w:w="0" w:type="dxa"/>
            <w:bottom w:w="0" w:type="dxa"/>
            <w:right w:w="0" w:type="dxa"/>
          </w:tblCellMar>
        </w:tblPrEx>
        <w:trPr>
          <w:trHeight w:val="55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93FA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D157D8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行为规范（2分）</w:t>
            </w: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C199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1.仪容仪表美观得体、工作时间按要求着装，统一服饰并佩戴工号牌等；使用礼貌用语，面带微笑，服务现场，站（坐）姿规范，举止文雅。</w:t>
            </w:r>
          </w:p>
        </w:tc>
        <w:tc>
          <w:tcPr>
            <w:tcW w:w="63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9D647A8">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189410F">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4C735EE5">
        <w:tblPrEx>
          <w:tblCellMar>
            <w:top w:w="0" w:type="dxa"/>
            <w:left w:w="0" w:type="dxa"/>
            <w:bottom w:w="0" w:type="dxa"/>
            <w:right w:w="0" w:type="dxa"/>
          </w:tblCellMar>
        </w:tblPrEx>
        <w:trPr>
          <w:trHeight w:val="52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DF10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left w:val="single" w:color="000000" w:sz="4" w:space="0"/>
              <w:bottom w:val="nil"/>
              <w:right w:val="single" w:color="000000" w:sz="4" w:space="0"/>
            </w:tcBorders>
            <w:noWrap w:val="0"/>
            <w:tcMar>
              <w:top w:w="15" w:type="dxa"/>
              <w:left w:w="15" w:type="dxa"/>
              <w:right w:w="15" w:type="dxa"/>
            </w:tcMar>
            <w:vAlign w:val="center"/>
          </w:tcPr>
          <w:p w14:paraId="7607957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7E093">
            <w:pPr>
              <w:keepNext w:val="0"/>
              <w:keepLines w:val="0"/>
              <w:pageBreakBefore w:val="0"/>
              <w:widowControl/>
              <w:tabs>
                <w:tab w:val="center" w:pos="2567"/>
              </w:tabs>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2.所有人员应具备主人翁意识、爱岗敬业、尽职尽责。</w:t>
            </w:r>
          </w:p>
        </w:tc>
        <w:tc>
          <w:tcPr>
            <w:tcW w:w="63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2BDF8FFD">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C5ECE8E">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07EFDB65">
        <w:tblPrEx>
          <w:tblCellMar>
            <w:top w:w="0" w:type="dxa"/>
            <w:left w:w="0" w:type="dxa"/>
            <w:bottom w:w="0" w:type="dxa"/>
            <w:right w:w="0" w:type="dxa"/>
          </w:tblCellMar>
        </w:tblPrEx>
        <w:trPr>
          <w:trHeight w:val="51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C474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4CCE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应急管理（4分）</w:t>
            </w:r>
          </w:p>
        </w:tc>
        <w:tc>
          <w:tcPr>
            <w:tcW w:w="60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D29076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1.因人为原因，伴奏中出现异常，影响会议进度的。</w:t>
            </w:r>
          </w:p>
        </w:tc>
        <w:tc>
          <w:tcPr>
            <w:tcW w:w="63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493505C">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4DCBF44">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6FF4EB4E">
        <w:tblPrEx>
          <w:tblCellMar>
            <w:top w:w="0" w:type="dxa"/>
            <w:left w:w="0" w:type="dxa"/>
            <w:bottom w:w="0" w:type="dxa"/>
            <w:right w:w="0" w:type="dxa"/>
          </w:tblCellMar>
        </w:tblPrEx>
        <w:trPr>
          <w:trHeight w:val="666"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ECED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7F49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D6DB020">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2.临时增加会议或议程出现变动，是否按要求及时上报并紧急处理。</w:t>
            </w:r>
          </w:p>
        </w:tc>
        <w:tc>
          <w:tcPr>
            <w:tcW w:w="634" w:type="dxa"/>
            <w:vMerge w:val="continue"/>
            <w:tcBorders>
              <w:left w:val="single" w:color="000000" w:sz="4" w:space="0"/>
              <w:right w:val="single" w:color="000000" w:sz="4" w:space="0"/>
            </w:tcBorders>
            <w:noWrap/>
            <w:tcMar>
              <w:top w:w="15" w:type="dxa"/>
              <w:left w:w="15" w:type="dxa"/>
              <w:right w:w="15" w:type="dxa"/>
            </w:tcMar>
            <w:vAlign w:val="center"/>
          </w:tcPr>
          <w:p w14:paraId="5CA3992F">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right w:val="single" w:color="000000" w:sz="4" w:space="0"/>
            </w:tcBorders>
            <w:noWrap/>
            <w:tcMar>
              <w:top w:w="15" w:type="dxa"/>
              <w:left w:w="15" w:type="dxa"/>
              <w:right w:w="15" w:type="dxa"/>
            </w:tcMar>
            <w:vAlign w:val="center"/>
          </w:tcPr>
          <w:p w14:paraId="2A521B1B">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51B4BC29">
        <w:tblPrEx>
          <w:tblCellMar>
            <w:top w:w="0" w:type="dxa"/>
            <w:left w:w="0" w:type="dxa"/>
            <w:bottom w:w="0" w:type="dxa"/>
            <w:right w:w="0" w:type="dxa"/>
          </w:tblCellMar>
        </w:tblPrEx>
        <w:trPr>
          <w:trHeight w:val="1136" w:hRule="atLeast"/>
          <w:jc w:val="center"/>
        </w:trPr>
        <w:tc>
          <w:tcPr>
            <w:tcW w:w="73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B7370B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4099D7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8BB88">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3.遵守中心的相关规定和纪律。针对突发事件建立应急预案和台账，通过定期组织培训、演练，提高应急处理能力，如遇突发事件须及时通知监管部门并采取相应措施。</w:t>
            </w:r>
          </w:p>
        </w:tc>
        <w:tc>
          <w:tcPr>
            <w:tcW w:w="63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ADF2175">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0FEED72">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35CD7DFB">
        <w:tblPrEx>
          <w:tblCellMar>
            <w:top w:w="0" w:type="dxa"/>
            <w:left w:w="0" w:type="dxa"/>
            <w:bottom w:w="0" w:type="dxa"/>
            <w:right w:w="0" w:type="dxa"/>
          </w:tblCellMar>
        </w:tblPrEx>
        <w:trPr>
          <w:trHeight w:val="330" w:hRule="atLeast"/>
          <w:jc w:val="center"/>
        </w:trPr>
        <w:tc>
          <w:tcPr>
            <w:tcW w:w="735"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3991F79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基</w:t>
            </w:r>
          </w:p>
          <w:p w14:paraId="1E740CF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础</w:t>
            </w:r>
          </w:p>
          <w:p w14:paraId="57F2E939">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管</w:t>
            </w:r>
          </w:p>
          <w:p w14:paraId="37F1BAA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理</w:t>
            </w:r>
          </w:p>
        </w:tc>
        <w:tc>
          <w:tcPr>
            <w:tcW w:w="913"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827E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保密管理（4分）</w:t>
            </w: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99BB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1.会议保障期间须将手机调至静音，不得随意接听电话，保障重要会议或涉密会议时一律不准带手机或其他录音、录像设备进入会场。</w:t>
            </w:r>
          </w:p>
        </w:tc>
        <w:tc>
          <w:tcPr>
            <w:tcW w:w="63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201AD68">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6570CAB">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42E7A499">
        <w:tblPrEx>
          <w:tblCellMar>
            <w:top w:w="0" w:type="dxa"/>
            <w:left w:w="0" w:type="dxa"/>
            <w:bottom w:w="0" w:type="dxa"/>
            <w:right w:w="0" w:type="dxa"/>
          </w:tblCellMar>
        </w:tblPrEx>
        <w:trPr>
          <w:trHeight w:val="59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01B0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5BF0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3F3E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2.保密会议时，不得随意拍摄、讨论或传递与会议有关的资料信息。</w:t>
            </w:r>
          </w:p>
        </w:tc>
        <w:tc>
          <w:tcPr>
            <w:tcW w:w="634" w:type="dxa"/>
            <w:vMerge w:val="continue"/>
            <w:tcBorders>
              <w:left w:val="single" w:color="000000" w:sz="4" w:space="0"/>
              <w:right w:val="single" w:color="000000" w:sz="4" w:space="0"/>
            </w:tcBorders>
            <w:noWrap/>
            <w:tcMar>
              <w:top w:w="15" w:type="dxa"/>
              <w:left w:w="15" w:type="dxa"/>
              <w:right w:w="15" w:type="dxa"/>
            </w:tcMar>
            <w:vAlign w:val="center"/>
          </w:tcPr>
          <w:p w14:paraId="712AED1D">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vMerge w:val="continue"/>
            <w:tcBorders>
              <w:left w:val="single" w:color="000000" w:sz="4" w:space="0"/>
              <w:right w:val="single" w:color="000000" w:sz="4" w:space="0"/>
            </w:tcBorders>
            <w:noWrap/>
            <w:tcMar>
              <w:top w:w="15" w:type="dxa"/>
              <w:left w:w="15" w:type="dxa"/>
              <w:right w:w="15" w:type="dxa"/>
            </w:tcMar>
            <w:vAlign w:val="center"/>
          </w:tcPr>
          <w:p w14:paraId="1C20C365">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6FCDBA67">
        <w:tblPrEx>
          <w:tblCellMar>
            <w:top w:w="0" w:type="dxa"/>
            <w:left w:w="0" w:type="dxa"/>
            <w:bottom w:w="0" w:type="dxa"/>
            <w:right w:w="0" w:type="dxa"/>
          </w:tblCellMar>
        </w:tblPrEx>
        <w:trPr>
          <w:trHeight w:val="524"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F20C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D474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E9E17">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3.严格遵守保密责任书内容。</w:t>
            </w:r>
          </w:p>
        </w:tc>
        <w:tc>
          <w:tcPr>
            <w:tcW w:w="63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8824CFC">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532B91F">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4FDF1A73">
        <w:tblPrEx>
          <w:tblCellMar>
            <w:top w:w="0" w:type="dxa"/>
            <w:left w:w="0" w:type="dxa"/>
            <w:bottom w:w="0" w:type="dxa"/>
            <w:right w:w="0" w:type="dxa"/>
          </w:tblCellMar>
        </w:tblPrEx>
        <w:trPr>
          <w:trHeight w:val="2206"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A9BD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w:t>
            </w:r>
          </w:p>
          <w:p w14:paraId="67BEFF13">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务</w:t>
            </w:r>
          </w:p>
          <w:p w14:paraId="5C43CD9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标</w:t>
            </w:r>
          </w:p>
          <w:p w14:paraId="53BCF5C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准</w:t>
            </w:r>
          </w:p>
          <w:p w14:paraId="3316AE6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管</w:t>
            </w:r>
          </w:p>
          <w:p w14:paraId="0D8FA25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理</w:t>
            </w:r>
          </w:p>
          <w:p w14:paraId="5825B0A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25分</w:t>
            </w: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473B8">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会前管理 （5分）</w:t>
            </w: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77B4F">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会议登记调度员按平台预约信息，提前一天与主办方做好会场使用、会议内容确认、审核，打印派发会议通知单等相关工作。按要求布置会场，摆放台型、桌椅，做好对音视频设施设备的调试（包括话筒声音、投影图像等）、特殊伴奏音乐准备。及时提醒主办方席签、电脑等会议用品的摆放、调试。会议用品的摆放、拉线规范布局美观、会标的设计和编辑等相关会议对接工作；A类会议的岗前准备等。</w:t>
            </w:r>
          </w:p>
        </w:tc>
        <w:tc>
          <w:tcPr>
            <w:tcW w:w="63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4B2DF73">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6E517C28">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121EA6D6">
        <w:tblPrEx>
          <w:tblCellMar>
            <w:top w:w="0" w:type="dxa"/>
            <w:left w:w="0" w:type="dxa"/>
            <w:bottom w:w="0" w:type="dxa"/>
            <w:right w:w="0" w:type="dxa"/>
          </w:tblCellMar>
        </w:tblPrEx>
        <w:trPr>
          <w:trHeight w:val="822"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952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615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3C8AD">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现场工作人员明确知晓岗位安排、会议议程及相关事项。控制茶叶量，同时做好重要参会者的个性化茶水服务。</w:t>
            </w:r>
          </w:p>
        </w:tc>
        <w:tc>
          <w:tcPr>
            <w:tcW w:w="634" w:type="dxa"/>
            <w:vMerge w:val="continue"/>
            <w:tcBorders>
              <w:left w:val="single" w:color="000000" w:sz="4" w:space="0"/>
              <w:right w:val="single" w:color="000000" w:sz="4" w:space="0"/>
            </w:tcBorders>
            <w:noWrap/>
            <w:tcMar>
              <w:top w:w="15" w:type="dxa"/>
              <w:left w:w="15" w:type="dxa"/>
              <w:right w:w="15" w:type="dxa"/>
            </w:tcMar>
            <w:vAlign w:val="center"/>
          </w:tcPr>
          <w:p w14:paraId="60BBBBA4">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right w:val="single" w:color="000000" w:sz="4" w:space="0"/>
            </w:tcBorders>
            <w:noWrap/>
            <w:tcMar>
              <w:top w:w="15" w:type="dxa"/>
              <w:left w:w="15" w:type="dxa"/>
              <w:right w:w="15" w:type="dxa"/>
            </w:tcMar>
            <w:vAlign w:val="center"/>
          </w:tcPr>
          <w:p w14:paraId="0998A87A">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5B79DE8C">
        <w:tblPrEx>
          <w:tblCellMar>
            <w:top w:w="0" w:type="dxa"/>
            <w:left w:w="0" w:type="dxa"/>
            <w:bottom w:w="0" w:type="dxa"/>
            <w:right w:w="0" w:type="dxa"/>
          </w:tblCellMar>
        </w:tblPrEx>
        <w:trPr>
          <w:trHeight w:val="861"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0568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2F05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FC97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3.对会场内的卫生、温湿度、空气质量和设施设备的完好进行检查。如遇问题及时反馈，及时处理，体现综合管理意识。</w:t>
            </w:r>
          </w:p>
        </w:tc>
        <w:tc>
          <w:tcPr>
            <w:tcW w:w="63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2A34FFBE">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194FC77D">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2F5E0C83">
        <w:tblPrEx>
          <w:tblCellMar>
            <w:top w:w="0" w:type="dxa"/>
            <w:left w:w="0" w:type="dxa"/>
            <w:bottom w:w="0" w:type="dxa"/>
            <w:right w:w="0" w:type="dxa"/>
          </w:tblCellMar>
        </w:tblPrEx>
        <w:trPr>
          <w:trHeight w:val="593"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DBB4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8B159">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会中管理（9分）</w:t>
            </w:r>
          </w:p>
        </w:tc>
        <w:tc>
          <w:tcPr>
            <w:tcW w:w="60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C2D1C8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1.主要领导迎宾送客，引领接待礼仪到位。会议服务中全程站姿规范、微笑服务。</w:t>
            </w:r>
          </w:p>
        </w:tc>
        <w:tc>
          <w:tcPr>
            <w:tcW w:w="634"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14:paraId="683DFF70">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663BFC0">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29FEB558">
        <w:tblPrEx>
          <w:tblCellMar>
            <w:top w:w="0" w:type="dxa"/>
            <w:left w:w="0" w:type="dxa"/>
            <w:bottom w:w="0" w:type="dxa"/>
            <w:right w:w="0" w:type="dxa"/>
          </w:tblCellMar>
        </w:tblPrEx>
        <w:trPr>
          <w:trHeight w:val="1148"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BA8E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4CE9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04C96B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会议期间能按时续水，茶水服务时动作标准规范；规范站姿，专注会场服务，能做到“察言观色”并及时解决客人所需；提醒客人带走随身物品，会场与服务间按规定收拾干净整洁。对参会迟到人员做好引导和送水服务。</w:t>
            </w:r>
          </w:p>
        </w:tc>
        <w:tc>
          <w:tcPr>
            <w:tcW w:w="634" w:type="dxa"/>
            <w:vMerge w:val="continue"/>
            <w:tcBorders>
              <w:left w:val="single" w:color="000000" w:sz="4" w:space="0"/>
              <w:right w:val="single" w:color="000000" w:sz="4" w:space="0"/>
            </w:tcBorders>
            <w:noWrap/>
            <w:tcMar>
              <w:top w:w="15" w:type="dxa"/>
              <w:left w:w="15" w:type="dxa"/>
              <w:right w:w="15" w:type="dxa"/>
            </w:tcMar>
            <w:vAlign w:val="center"/>
          </w:tcPr>
          <w:p w14:paraId="55943FF0">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right w:val="single" w:color="000000" w:sz="4" w:space="0"/>
            </w:tcBorders>
            <w:noWrap/>
            <w:tcMar>
              <w:top w:w="15" w:type="dxa"/>
              <w:left w:w="15" w:type="dxa"/>
              <w:right w:w="15" w:type="dxa"/>
            </w:tcMar>
            <w:vAlign w:val="center"/>
          </w:tcPr>
          <w:p w14:paraId="7E71C4F3">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740F1A89">
        <w:tblPrEx>
          <w:tblCellMar>
            <w:top w:w="0" w:type="dxa"/>
            <w:left w:w="0" w:type="dxa"/>
            <w:bottom w:w="0" w:type="dxa"/>
            <w:right w:w="0" w:type="dxa"/>
          </w:tblCellMar>
        </w:tblPrEx>
        <w:trPr>
          <w:trHeight w:val="111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0866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8454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29446">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落实首问责任制，对会议方咨询有问必答，对于会议方提出的要求有条件满足的尽力满足，不推脱、不含糊。值班主管做好随时巡查工作；重大会议期间，负责人到场全程监督，随时应对突发情况，并及时报告。</w:t>
            </w:r>
          </w:p>
        </w:tc>
        <w:tc>
          <w:tcPr>
            <w:tcW w:w="634" w:type="dxa"/>
            <w:vMerge w:val="continue"/>
            <w:tcBorders>
              <w:left w:val="single" w:color="000000" w:sz="4" w:space="0"/>
              <w:right w:val="single" w:color="000000" w:sz="4" w:space="0"/>
            </w:tcBorders>
            <w:noWrap/>
            <w:tcMar>
              <w:top w:w="15" w:type="dxa"/>
              <w:left w:w="15" w:type="dxa"/>
              <w:right w:w="15" w:type="dxa"/>
            </w:tcMar>
            <w:vAlign w:val="center"/>
          </w:tcPr>
          <w:p w14:paraId="1880721A">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right w:val="single" w:color="000000" w:sz="4" w:space="0"/>
            </w:tcBorders>
            <w:noWrap/>
            <w:tcMar>
              <w:top w:w="15" w:type="dxa"/>
              <w:left w:w="15" w:type="dxa"/>
              <w:right w:w="15" w:type="dxa"/>
            </w:tcMar>
            <w:vAlign w:val="center"/>
          </w:tcPr>
          <w:p w14:paraId="47EA8607">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67C4EF99">
        <w:tblPrEx>
          <w:tblCellMar>
            <w:top w:w="0" w:type="dxa"/>
            <w:left w:w="0" w:type="dxa"/>
            <w:bottom w:w="0" w:type="dxa"/>
            <w:right w:w="0" w:type="dxa"/>
          </w:tblCellMar>
        </w:tblPrEx>
        <w:trPr>
          <w:trHeight w:val="88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0EDA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991F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55903">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4.熟练操作音控设备，视频会议的信号切换使用及图像显示正常。避免出现回音、啸叫、失真等不正常声音并根据现场效果及时调整图像声音</w:t>
            </w:r>
            <w:r>
              <w:rPr>
                <w:rFonts w:hint="eastAsia" w:ascii="仿宋" w:hAnsi="仿宋" w:eastAsia="仿宋" w:cs="仿宋"/>
                <w:color w:val="auto"/>
                <w:sz w:val="21"/>
                <w:szCs w:val="21"/>
                <w:highlight w:val="none"/>
                <w:lang w:eastAsia="zh-CN"/>
              </w:rPr>
              <w:t>。</w:t>
            </w:r>
          </w:p>
        </w:tc>
        <w:tc>
          <w:tcPr>
            <w:tcW w:w="63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5C15A788">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A85BB62">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6CF6FFD4">
        <w:tblPrEx>
          <w:tblCellMar>
            <w:top w:w="0" w:type="dxa"/>
            <w:left w:w="0" w:type="dxa"/>
            <w:bottom w:w="0" w:type="dxa"/>
            <w:right w:w="0" w:type="dxa"/>
          </w:tblCellMar>
        </w:tblPrEx>
        <w:trPr>
          <w:trHeight w:val="119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E8F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D713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会后管理（3分）</w:t>
            </w: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73A5A">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会后及时打开门和通道，引导与会人员退场。复原会场内设施设备，配合物业做好消毒、保洁、维修等工作。收集整理服务用品，关闭电源并做好会场清洁工作。及时提醒主办方撤回外借设施设备。</w:t>
            </w:r>
          </w:p>
        </w:tc>
        <w:tc>
          <w:tcPr>
            <w:tcW w:w="634"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14:paraId="359F9E9F">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365CACB">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73B4F796">
        <w:tblPrEx>
          <w:tblCellMar>
            <w:top w:w="0" w:type="dxa"/>
            <w:left w:w="0" w:type="dxa"/>
            <w:bottom w:w="0" w:type="dxa"/>
            <w:right w:w="0" w:type="dxa"/>
          </w:tblCellMar>
        </w:tblPrEx>
        <w:trPr>
          <w:trHeight w:val="1111" w:hRule="atLeast"/>
          <w:jc w:val="center"/>
        </w:trPr>
        <w:tc>
          <w:tcPr>
            <w:tcW w:w="73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0A060D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9866D9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13646">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2.遗失物品，需第一时间联系对方，及时归还并做好登记；有会议资料遗留会场应全部回收，并按涉密材料妥善处理。</w:t>
            </w:r>
          </w:p>
        </w:tc>
        <w:tc>
          <w:tcPr>
            <w:tcW w:w="63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25D9F238">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79CB87C3">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49EA74B7">
        <w:tblPrEx>
          <w:tblCellMar>
            <w:top w:w="0" w:type="dxa"/>
            <w:left w:w="0" w:type="dxa"/>
            <w:bottom w:w="0" w:type="dxa"/>
            <w:right w:w="0" w:type="dxa"/>
          </w:tblCellMar>
        </w:tblPrEx>
        <w:trPr>
          <w:trHeight w:val="1354" w:hRule="atLeast"/>
          <w:jc w:val="center"/>
        </w:trPr>
        <w:tc>
          <w:tcPr>
            <w:tcW w:w="735"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16D11FA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w:t>
            </w:r>
          </w:p>
          <w:p w14:paraId="5DFBE50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务</w:t>
            </w:r>
          </w:p>
          <w:p w14:paraId="6AE51C4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标</w:t>
            </w:r>
          </w:p>
          <w:p w14:paraId="53511BE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准</w:t>
            </w:r>
          </w:p>
          <w:p w14:paraId="3F767D1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管</w:t>
            </w:r>
          </w:p>
          <w:p w14:paraId="496AA95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理</w:t>
            </w:r>
          </w:p>
        </w:tc>
        <w:tc>
          <w:tcPr>
            <w:tcW w:w="91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BE243E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设施设备操作维护  （8分）</w:t>
            </w: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FE350">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1.物品保管到位，定时清点会场内家具等设施数量，并知晓具体存放位置，发现会场大门、灯具、桌椅等破损时及时报修；茶叶、矿泉水数量不足及时领用；会议用品注意节能管理，降低损耗。</w:t>
            </w:r>
          </w:p>
        </w:tc>
        <w:tc>
          <w:tcPr>
            <w:tcW w:w="634"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14:paraId="786CBF46">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987A6C5">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62E03C7C">
        <w:tblPrEx>
          <w:tblCellMar>
            <w:top w:w="0" w:type="dxa"/>
            <w:left w:w="0" w:type="dxa"/>
            <w:bottom w:w="0" w:type="dxa"/>
            <w:right w:w="0" w:type="dxa"/>
          </w:tblCellMar>
        </w:tblPrEx>
        <w:trPr>
          <w:trHeight w:val="1162"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5AE70E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2C9FEA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6DE14">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定期检查设备，做到规范操作，无人为损坏、不遗失，未经允许不得外借；对重要易损设施设备统一标注名称和启用日期，按要求定期上报设备改造或更换计划。发现空调、电灯等设施设备以及物品器材损坏及时上报甲方监管人员和物业。</w:t>
            </w:r>
          </w:p>
        </w:tc>
        <w:tc>
          <w:tcPr>
            <w:tcW w:w="634" w:type="dxa"/>
            <w:vMerge w:val="continue"/>
            <w:tcBorders>
              <w:left w:val="single" w:color="000000" w:sz="4" w:space="0"/>
              <w:right w:val="single" w:color="000000" w:sz="4" w:space="0"/>
            </w:tcBorders>
            <w:noWrap/>
            <w:tcMar>
              <w:top w:w="15" w:type="dxa"/>
              <w:left w:w="15" w:type="dxa"/>
              <w:right w:w="15" w:type="dxa"/>
            </w:tcMar>
            <w:vAlign w:val="center"/>
          </w:tcPr>
          <w:p w14:paraId="5B3CBF4A">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right w:val="single" w:color="000000" w:sz="4" w:space="0"/>
            </w:tcBorders>
            <w:noWrap/>
            <w:tcMar>
              <w:top w:w="15" w:type="dxa"/>
              <w:left w:w="15" w:type="dxa"/>
              <w:right w:w="15" w:type="dxa"/>
            </w:tcMar>
            <w:vAlign w:val="center"/>
          </w:tcPr>
          <w:p w14:paraId="2E0B12C9">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095860C0">
        <w:tblPrEx>
          <w:tblCellMar>
            <w:top w:w="0" w:type="dxa"/>
            <w:left w:w="0" w:type="dxa"/>
            <w:bottom w:w="0" w:type="dxa"/>
            <w:right w:w="0" w:type="dxa"/>
          </w:tblCellMar>
        </w:tblPrEx>
        <w:trPr>
          <w:trHeight w:val="718"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6FB982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4B62EE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9BC71">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3.音控人员每天检查各自负责的会议厅，对音控间及会场设备定期保养巡检，做好台帐记录确保设备运行正常。</w:t>
            </w:r>
          </w:p>
        </w:tc>
        <w:tc>
          <w:tcPr>
            <w:tcW w:w="634" w:type="dxa"/>
            <w:vMerge w:val="continue"/>
            <w:tcBorders>
              <w:left w:val="single" w:color="000000" w:sz="4" w:space="0"/>
              <w:right w:val="single" w:color="000000" w:sz="4" w:space="0"/>
            </w:tcBorders>
            <w:noWrap/>
            <w:tcMar>
              <w:top w:w="15" w:type="dxa"/>
              <w:left w:w="15" w:type="dxa"/>
              <w:right w:w="15" w:type="dxa"/>
            </w:tcMar>
            <w:vAlign w:val="center"/>
          </w:tcPr>
          <w:p w14:paraId="2D0E48EF">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right w:val="single" w:color="000000" w:sz="4" w:space="0"/>
            </w:tcBorders>
            <w:noWrap/>
            <w:tcMar>
              <w:top w:w="15" w:type="dxa"/>
              <w:left w:w="15" w:type="dxa"/>
              <w:right w:w="15" w:type="dxa"/>
            </w:tcMar>
            <w:vAlign w:val="center"/>
          </w:tcPr>
          <w:p w14:paraId="407D561F">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3F5329C4">
        <w:tblPrEx>
          <w:tblCellMar>
            <w:top w:w="0" w:type="dxa"/>
            <w:left w:w="0" w:type="dxa"/>
            <w:bottom w:w="0" w:type="dxa"/>
            <w:right w:w="0" w:type="dxa"/>
          </w:tblCellMar>
        </w:tblPrEx>
        <w:trPr>
          <w:trHeight w:val="792"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4F8BE7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A0EE88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B000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4.严格按照设备使用流程操作，不随意更改音响设备设置的各种技术参数，是否按要求存放在相对应的地方，未经允许不得私自更换。</w:t>
            </w:r>
          </w:p>
        </w:tc>
        <w:tc>
          <w:tcPr>
            <w:tcW w:w="63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5F0B946B">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C724873">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2CA9F1AE">
        <w:tblPrEx>
          <w:tblCellMar>
            <w:top w:w="0" w:type="dxa"/>
            <w:left w:w="0" w:type="dxa"/>
            <w:bottom w:w="0" w:type="dxa"/>
            <w:right w:w="0" w:type="dxa"/>
          </w:tblCellMar>
        </w:tblPrEx>
        <w:trPr>
          <w:trHeight w:val="630" w:hRule="atLeast"/>
          <w:jc w:val="center"/>
        </w:trPr>
        <w:tc>
          <w:tcPr>
            <w:tcW w:w="73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3F0741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日常</w:t>
            </w:r>
          </w:p>
          <w:p w14:paraId="1FE521F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管理</w:t>
            </w:r>
          </w:p>
          <w:p w14:paraId="236F967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17分</w:t>
            </w:r>
          </w:p>
        </w:tc>
        <w:tc>
          <w:tcPr>
            <w:tcW w:w="91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19C3D4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安全管理   （5分）</w:t>
            </w: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FCF05">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1.会议常用物品按规范存放，整洁无灰尘；确保包装完好，无过期使用。</w:t>
            </w:r>
          </w:p>
        </w:tc>
        <w:tc>
          <w:tcPr>
            <w:tcW w:w="634"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14:paraId="51B58836">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49908B34">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1E3CA49D">
        <w:tblPrEx>
          <w:tblCellMar>
            <w:top w:w="0" w:type="dxa"/>
            <w:left w:w="0" w:type="dxa"/>
            <w:bottom w:w="0" w:type="dxa"/>
            <w:right w:w="0" w:type="dxa"/>
          </w:tblCellMar>
        </w:tblPrEx>
        <w:trPr>
          <w:trHeight w:val="422"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90AD57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DC2298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F53D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2.会议物品未经允许不得外借，确有外借做好借用手续。</w:t>
            </w:r>
          </w:p>
        </w:tc>
        <w:tc>
          <w:tcPr>
            <w:tcW w:w="634" w:type="dxa"/>
            <w:vMerge w:val="continue"/>
            <w:tcBorders>
              <w:left w:val="single" w:color="000000" w:sz="4" w:space="0"/>
              <w:right w:val="single" w:color="000000" w:sz="4" w:space="0"/>
            </w:tcBorders>
            <w:noWrap/>
            <w:tcMar>
              <w:top w:w="15" w:type="dxa"/>
              <w:left w:w="15" w:type="dxa"/>
              <w:right w:w="15" w:type="dxa"/>
            </w:tcMar>
            <w:vAlign w:val="center"/>
          </w:tcPr>
          <w:p w14:paraId="43B39C5E">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right w:val="single" w:color="000000" w:sz="4" w:space="0"/>
            </w:tcBorders>
            <w:noWrap/>
            <w:tcMar>
              <w:top w:w="15" w:type="dxa"/>
              <w:left w:w="15" w:type="dxa"/>
              <w:right w:w="15" w:type="dxa"/>
            </w:tcMar>
            <w:vAlign w:val="center"/>
          </w:tcPr>
          <w:p w14:paraId="1936FF62">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43F1B887">
        <w:tblPrEx>
          <w:tblCellMar>
            <w:top w:w="0" w:type="dxa"/>
            <w:left w:w="0" w:type="dxa"/>
            <w:bottom w:w="0" w:type="dxa"/>
            <w:right w:w="0" w:type="dxa"/>
          </w:tblCellMar>
        </w:tblPrEx>
        <w:trPr>
          <w:trHeight w:val="679"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4DE662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1E0E2B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EB4CC">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3.定期自查会议室的照明等设施设备、门是否完好，不得随意搬移、调换和拆装原有台型及物品。</w:t>
            </w:r>
          </w:p>
        </w:tc>
        <w:tc>
          <w:tcPr>
            <w:tcW w:w="634" w:type="dxa"/>
            <w:vMerge w:val="continue"/>
            <w:tcBorders>
              <w:left w:val="single" w:color="000000" w:sz="4" w:space="0"/>
              <w:right w:val="single" w:color="000000" w:sz="4" w:space="0"/>
            </w:tcBorders>
            <w:noWrap/>
            <w:tcMar>
              <w:top w:w="15" w:type="dxa"/>
              <w:left w:w="15" w:type="dxa"/>
              <w:right w:w="15" w:type="dxa"/>
            </w:tcMar>
            <w:vAlign w:val="center"/>
          </w:tcPr>
          <w:p w14:paraId="17D49EF5">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right w:val="single" w:color="000000" w:sz="4" w:space="0"/>
            </w:tcBorders>
            <w:noWrap/>
            <w:tcMar>
              <w:top w:w="15" w:type="dxa"/>
              <w:left w:w="15" w:type="dxa"/>
              <w:right w:w="15" w:type="dxa"/>
            </w:tcMar>
            <w:vAlign w:val="center"/>
          </w:tcPr>
          <w:p w14:paraId="52FBF9A0">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08D00729">
        <w:tblPrEx>
          <w:tblCellMar>
            <w:top w:w="0" w:type="dxa"/>
            <w:left w:w="0" w:type="dxa"/>
            <w:bottom w:w="0" w:type="dxa"/>
            <w:right w:w="0" w:type="dxa"/>
          </w:tblCellMar>
        </w:tblPrEx>
        <w:trPr>
          <w:trHeight w:val="401"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2B0978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3F655E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77B6D">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4.定期自查消防安全情况。</w:t>
            </w:r>
          </w:p>
        </w:tc>
        <w:tc>
          <w:tcPr>
            <w:tcW w:w="634" w:type="dxa"/>
            <w:vMerge w:val="continue"/>
            <w:tcBorders>
              <w:left w:val="single" w:color="000000" w:sz="4" w:space="0"/>
              <w:right w:val="single" w:color="000000" w:sz="4" w:space="0"/>
            </w:tcBorders>
            <w:noWrap/>
            <w:tcMar>
              <w:top w:w="15" w:type="dxa"/>
              <w:left w:w="15" w:type="dxa"/>
              <w:right w:w="15" w:type="dxa"/>
            </w:tcMar>
            <w:vAlign w:val="center"/>
          </w:tcPr>
          <w:p w14:paraId="28590E72">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right w:val="single" w:color="000000" w:sz="4" w:space="0"/>
            </w:tcBorders>
            <w:noWrap/>
            <w:tcMar>
              <w:top w:w="15" w:type="dxa"/>
              <w:left w:w="15" w:type="dxa"/>
              <w:right w:w="15" w:type="dxa"/>
            </w:tcMar>
            <w:vAlign w:val="center"/>
          </w:tcPr>
          <w:p w14:paraId="1EF7220E">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4B0B4F77">
        <w:tblPrEx>
          <w:tblCellMar>
            <w:top w:w="0" w:type="dxa"/>
            <w:left w:w="0" w:type="dxa"/>
            <w:bottom w:w="0" w:type="dxa"/>
            <w:right w:w="0" w:type="dxa"/>
          </w:tblCellMar>
        </w:tblPrEx>
        <w:trPr>
          <w:trHeight w:val="667"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4E1CAB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E3B824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BC3B8">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5.定期对全员进行消防安全培训，熟练掌握消防基本技能，消防设施点位及消防安全通道路线。</w:t>
            </w:r>
          </w:p>
        </w:tc>
        <w:tc>
          <w:tcPr>
            <w:tcW w:w="63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4D8384C9">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6E65ECB8">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0D637069">
        <w:tblPrEx>
          <w:tblCellMar>
            <w:top w:w="0" w:type="dxa"/>
            <w:left w:w="0" w:type="dxa"/>
            <w:bottom w:w="0" w:type="dxa"/>
            <w:right w:w="0" w:type="dxa"/>
          </w:tblCellMar>
        </w:tblPrEx>
        <w:trPr>
          <w:trHeight w:val="709"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5C699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849D62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环境卫生（4分）</w:t>
            </w:r>
          </w:p>
        </w:tc>
        <w:tc>
          <w:tcPr>
            <w:tcW w:w="60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8FEC41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1.会场地毯洁净，灯光照明正常，空调温度舒适。</w:t>
            </w:r>
          </w:p>
        </w:tc>
        <w:tc>
          <w:tcPr>
            <w:tcW w:w="634"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14:paraId="2285BCB0">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5E6A15B">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7F9148FD">
        <w:tblPrEx>
          <w:tblCellMar>
            <w:top w:w="0" w:type="dxa"/>
            <w:left w:w="0" w:type="dxa"/>
            <w:bottom w:w="0" w:type="dxa"/>
            <w:right w:w="0" w:type="dxa"/>
          </w:tblCellMar>
        </w:tblPrEx>
        <w:trPr>
          <w:trHeight w:val="762"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377961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0FF36C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auto"/>
                <w:sz w:val="21"/>
                <w:szCs w:val="21"/>
                <w:highlight w:val="none"/>
              </w:rPr>
            </w:pPr>
          </w:p>
        </w:tc>
        <w:tc>
          <w:tcPr>
            <w:tcW w:w="603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7C2B2CC">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2.工作间物品摆放整齐、环境整洁，音控间责任到人，洗杯间按规范操作清洗怀具，按照规范进行垃圾分类。</w:t>
            </w:r>
          </w:p>
        </w:tc>
        <w:tc>
          <w:tcPr>
            <w:tcW w:w="63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514A4069">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27FF6739">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21D7027E">
        <w:tblPrEx>
          <w:tblCellMar>
            <w:top w:w="0" w:type="dxa"/>
            <w:left w:w="0" w:type="dxa"/>
            <w:bottom w:w="0" w:type="dxa"/>
            <w:right w:w="0" w:type="dxa"/>
          </w:tblCellMar>
        </w:tblPrEx>
        <w:trPr>
          <w:trHeight w:val="569"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D539FD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p>
        </w:tc>
        <w:tc>
          <w:tcPr>
            <w:tcW w:w="91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060E5B62">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firstLine="0"/>
              <w:jc w:val="center"/>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疫情防控（4分）</w:t>
            </w: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7B57F">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1.服务保障人员需符合</w:t>
            </w:r>
            <w:r>
              <w:rPr>
                <w:rFonts w:hint="eastAsia" w:ascii="仿宋" w:hAnsi="仿宋" w:eastAsia="仿宋" w:cs="仿宋"/>
                <w:color w:val="auto"/>
                <w:sz w:val="21"/>
                <w:szCs w:val="21"/>
                <w:highlight w:val="none"/>
                <w:lang w:val="en-US" w:eastAsia="zh-CN"/>
              </w:rPr>
              <w:t>防疫</w:t>
            </w:r>
            <w:r>
              <w:rPr>
                <w:rFonts w:hint="eastAsia" w:ascii="仿宋" w:hAnsi="仿宋" w:eastAsia="仿宋" w:cs="仿宋"/>
                <w:color w:val="auto"/>
                <w:sz w:val="21"/>
                <w:szCs w:val="21"/>
                <w:highlight w:val="none"/>
              </w:rPr>
              <w:t>防控管理要求。</w:t>
            </w:r>
          </w:p>
        </w:tc>
        <w:tc>
          <w:tcPr>
            <w:tcW w:w="634" w:type="dxa"/>
            <w:tcBorders>
              <w:top w:val="single" w:color="auto" w:sz="4" w:space="0"/>
              <w:left w:val="single" w:color="000000" w:sz="4" w:space="0"/>
              <w:right w:val="single" w:color="000000" w:sz="4" w:space="0"/>
            </w:tcBorders>
            <w:noWrap/>
            <w:tcMar>
              <w:top w:w="15" w:type="dxa"/>
              <w:left w:w="15" w:type="dxa"/>
              <w:right w:w="15" w:type="dxa"/>
            </w:tcMar>
            <w:vAlign w:val="center"/>
          </w:tcPr>
          <w:p w14:paraId="1B9433BD">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6EACF5D">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6B35EB33">
        <w:tblPrEx>
          <w:tblCellMar>
            <w:top w:w="0" w:type="dxa"/>
            <w:left w:w="0" w:type="dxa"/>
            <w:bottom w:w="0" w:type="dxa"/>
            <w:right w:w="0" w:type="dxa"/>
          </w:tblCellMar>
        </w:tblPrEx>
        <w:trPr>
          <w:trHeight w:val="592"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85BDCE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p>
        </w:tc>
        <w:tc>
          <w:tcPr>
            <w:tcW w:w="91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6823AD07">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firstLine="0"/>
              <w:jc w:val="center"/>
              <w:textAlignment w:val="center"/>
              <w:rPr>
                <w:rFonts w:hint="eastAsia" w:ascii="仿宋" w:hAnsi="仿宋" w:eastAsia="仿宋" w:cs="仿宋"/>
                <w:bCs/>
                <w:color w:val="auto"/>
                <w:sz w:val="21"/>
                <w:szCs w:val="21"/>
                <w:highlight w:val="none"/>
              </w:rPr>
            </w:pP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11FC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2.按要求完成会议中心</w:t>
            </w:r>
            <w:r>
              <w:rPr>
                <w:rFonts w:hint="eastAsia" w:ascii="仿宋" w:hAnsi="仿宋" w:eastAsia="仿宋" w:cs="仿宋"/>
                <w:color w:val="auto"/>
                <w:sz w:val="21"/>
                <w:szCs w:val="21"/>
                <w:highlight w:val="none"/>
                <w:lang w:val="en-US" w:eastAsia="zh-CN"/>
              </w:rPr>
              <w:t>防疫</w:t>
            </w:r>
            <w:r>
              <w:rPr>
                <w:rFonts w:hint="eastAsia" w:ascii="仿宋" w:hAnsi="仿宋" w:eastAsia="仿宋" w:cs="仿宋"/>
                <w:color w:val="auto"/>
                <w:sz w:val="21"/>
                <w:szCs w:val="21"/>
                <w:highlight w:val="none"/>
              </w:rPr>
              <w:t>防控相关工作。</w:t>
            </w:r>
          </w:p>
        </w:tc>
        <w:tc>
          <w:tcPr>
            <w:tcW w:w="634" w:type="dxa"/>
            <w:tcBorders>
              <w:top w:val="single" w:color="auto" w:sz="4" w:space="0"/>
              <w:left w:val="single" w:color="000000" w:sz="4" w:space="0"/>
              <w:right w:val="single" w:color="000000" w:sz="4" w:space="0"/>
            </w:tcBorders>
            <w:noWrap/>
            <w:tcMar>
              <w:top w:w="15" w:type="dxa"/>
              <w:left w:w="15" w:type="dxa"/>
              <w:right w:w="15" w:type="dxa"/>
            </w:tcMar>
            <w:vAlign w:val="center"/>
          </w:tcPr>
          <w:p w14:paraId="2B1165AB">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A2A0838">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03AE9A23">
        <w:tblPrEx>
          <w:tblCellMar>
            <w:top w:w="0" w:type="dxa"/>
            <w:left w:w="0" w:type="dxa"/>
            <w:bottom w:w="0" w:type="dxa"/>
            <w:right w:w="0" w:type="dxa"/>
          </w:tblCellMar>
        </w:tblPrEx>
        <w:trPr>
          <w:trHeight w:val="625"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1C02F0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p>
        </w:tc>
        <w:tc>
          <w:tcPr>
            <w:tcW w:w="91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7F80C5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培训考核</w:t>
            </w:r>
          </w:p>
          <w:p w14:paraId="1DD04C1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(4分)</w:t>
            </w: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93F8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1.实施开展各项培训，提高服务人员与保洁人员的专业素养与技能。</w:t>
            </w:r>
          </w:p>
        </w:tc>
        <w:tc>
          <w:tcPr>
            <w:tcW w:w="634"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14:paraId="7C00915F">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04895743">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0805D5DF">
        <w:tblPrEx>
          <w:tblCellMar>
            <w:top w:w="0" w:type="dxa"/>
            <w:left w:w="0" w:type="dxa"/>
            <w:bottom w:w="0" w:type="dxa"/>
            <w:right w:w="0" w:type="dxa"/>
          </w:tblCellMar>
        </w:tblPrEx>
        <w:trPr>
          <w:trHeight w:val="462" w:hRule="atLeast"/>
          <w:jc w:val="center"/>
        </w:trPr>
        <w:tc>
          <w:tcPr>
            <w:tcW w:w="7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7AC9FA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p>
        </w:tc>
        <w:tc>
          <w:tcPr>
            <w:tcW w:w="9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251549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p>
        </w:tc>
        <w:tc>
          <w:tcPr>
            <w:tcW w:w="60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FA671D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2.制订培训计划，定期对各岗位进行技能监督考核。</w:t>
            </w:r>
          </w:p>
        </w:tc>
        <w:tc>
          <w:tcPr>
            <w:tcW w:w="63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6B38BCFC">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129616A4">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545AA1BA">
        <w:tblPrEx>
          <w:tblCellMar>
            <w:top w:w="0" w:type="dxa"/>
            <w:left w:w="0" w:type="dxa"/>
            <w:bottom w:w="0" w:type="dxa"/>
            <w:right w:w="0" w:type="dxa"/>
          </w:tblCellMar>
        </w:tblPrEx>
        <w:trPr>
          <w:trHeight w:val="597" w:hRule="atLeast"/>
          <w:jc w:val="center"/>
        </w:trPr>
        <w:tc>
          <w:tcPr>
            <w:tcW w:w="73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2649A43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费用结算管理4分</w:t>
            </w:r>
          </w:p>
        </w:tc>
        <w:tc>
          <w:tcPr>
            <w:tcW w:w="9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E627B8">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结算票据  （2分）</w:t>
            </w:r>
          </w:p>
        </w:tc>
        <w:tc>
          <w:tcPr>
            <w:tcW w:w="60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39FB3D">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1.提供的结算票据必须保证合法、合规及完整性，如遇账户变动及时更新。</w:t>
            </w:r>
          </w:p>
        </w:tc>
        <w:tc>
          <w:tcPr>
            <w:tcW w:w="6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617985">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7351F81E">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049E6F75">
        <w:tblPrEx>
          <w:tblCellMar>
            <w:top w:w="0" w:type="dxa"/>
            <w:left w:w="0" w:type="dxa"/>
            <w:bottom w:w="0" w:type="dxa"/>
            <w:right w:w="0" w:type="dxa"/>
          </w:tblCellMar>
        </w:tblPrEx>
        <w:trPr>
          <w:trHeight w:val="531" w:hRule="atLeast"/>
          <w:jc w:val="center"/>
        </w:trPr>
        <w:tc>
          <w:tcPr>
            <w:tcW w:w="73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675479B3">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p>
        </w:tc>
        <w:tc>
          <w:tcPr>
            <w:tcW w:w="9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05951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结算时效  （2分）</w:t>
            </w:r>
          </w:p>
        </w:tc>
        <w:tc>
          <w:tcPr>
            <w:tcW w:w="60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24A96B">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1.是否按合同约定的结算方式完成结算（财政预算指标下达后）。</w:t>
            </w:r>
          </w:p>
        </w:tc>
        <w:tc>
          <w:tcPr>
            <w:tcW w:w="6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9266E2">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001545C5">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0482FD29">
        <w:tblPrEx>
          <w:tblCellMar>
            <w:top w:w="0" w:type="dxa"/>
            <w:left w:w="0" w:type="dxa"/>
            <w:bottom w:w="0" w:type="dxa"/>
            <w:right w:w="0" w:type="dxa"/>
          </w:tblCellMar>
        </w:tblPrEx>
        <w:trPr>
          <w:trHeight w:val="1375" w:hRule="atLeast"/>
          <w:jc w:val="center"/>
        </w:trPr>
        <w:tc>
          <w:tcPr>
            <w:tcW w:w="1648" w:type="dxa"/>
            <w:gridSpan w:val="2"/>
            <w:tcBorders>
              <w:top w:val="single" w:color="auto" w:sz="4" w:space="0"/>
              <w:left w:val="single" w:color="auto" w:sz="4" w:space="0"/>
              <w:right w:val="single" w:color="auto" w:sz="4" w:space="0"/>
            </w:tcBorders>
            <w:noWrap w:val="0"/>
            <w:tcMar>
              <w:top w:w="15" w:type="dxa"/>
              <w:left w:w="15" w:type="dxa"/>
              <w:right w:w="15" w:type="dxa"/>
            </w:tcMar>
            <w:vAlign w:val="center"/>
          </w:tcPr>
          <w:p w14:paraId="32E92F4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总分</w:t>
            </w:r>
          </w:p>
        </w:tc>
        <w:tc>
          <w:tcPr>
            <w:tcW w:w="6032" w:type="dxa"/>
            <w:tcBorders>
              <w:top w:val="single" w:color="auto" w:sz="4" w:space="0"/>
              <w:left w:val="single" w:color="auto" w:sz="4" w:space="0"/>
              <w:right w:val="single" w:color="auto" w:sz="4" w:space="0"/>
            </w:tcBorders>
            <w:noWrap w:val="0"/>
            <w:tcMar>
              <w:top w:w="15" w:type="dxa"/>
              <w:left w:w="15" w:type="dxa"/>
              <w:right w:w="15" w:type="dxa"/>
            </w:tcMar>
            <w:vAlign w:val="center"/>
          </w:tcPr>
          <w:p w14:paraId="4F94CF85">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以上分值为70分。各项评分内容通过定期检查、不定期抽查，发现有不符合要求的扣除相应分值；同一扣分点再次出现问题，可重复扣分，直至该项扣完为止。</w:t>
            </w:r>
          </w:p>
        </w:tc>
        <w:tc>
          <w:tcPr>
            <w:tcW w:w="6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004375">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tcBorders>
              <w:top w:val="single" w:color="auto" w:sz="4" w:space="0"/>
              <w:left w:val="single" w:color="auto" w:sz="4" w:space="0"/>
              <w:right w:val="single" w:color="auto" w:sz="4" w:space="0"/>
            </w:tcBorders>
            <w:noWrap/>
            <w:tcMar>
              <w:top w:w="15" w:type="dxa"/>
              <w:left w:w="15" w:type="dxa"/>
              <w:right w:w="15" w:type="dxa"/>
            </w:tcMar>
            <w:vAlign w:val="center"/>
          </w:tcPr>
          <w:p w14:paraId="21F673F5">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2E3D137C">
        <w:tblPrEx>
          <w:tblCellMar>
            <w:top w:w="0" w:type="dxa"/>
            <w:left w:w="0" w:type="dxa"/>
            <w:bottom w:w="0" w:type="dxa"/>
            <w:right w:w="0" w:type="dxa"/>
          </w:tblCellMar>
        </w:tblPrEx>
        <w:trPr>
          <w:trHeight w:val="2882" w:hRule="atLeast"/>
          <w:jc w:val="center"/>
        </w:trPr>
        <w:tc>
          <w:tcPr>
            <w:tcW w:w="16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14:paraId="5F15119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附加减分项</w:t>
            </w:r>
          </w:p>
        </w:tc>
        <w:tc>
          <w:tcPr>
            <w:tcW w:w="6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391BE">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Style w:val="266"/>
                <w:rFonts w:hint="eastAsia" w:ascii="仿宋" w:hAnsi="仿宋" w:eastAsia="仿宋" w:cs="仿宋"/>
                <w:color w:val="auto"/>
                <w:sz w:val="21"/>
                <w:szCs w:val="21"/>
                <w:highlight w:val="none"/>
              </w:rPr>
            </w:pPr>
            <w:r>
              <w:rPr>
                <w:rStyle w:val="266"/>
                <w:rFonts w:hint="eastAsia" w:ascii="仿宋" w:hAnsi="仿宋" w:eastAsia="仿宋" w:cs="仿宋"/>
                <w:color w:val="auto"/>
                <w:sz w:val="21"/>
                <w:szCs w:val="21"/>
                <w:highlight w:val="none"/>
              </w:rPr>
              <w:t>（一）有以下情形的给予加分，同一加分点可累计加分，最高可加5分。</w:t>
            </w:r>
          </w:p>
          <w:p w14:paraId="5292D83F">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Style w:val="373"/>
                <w:rFonts w:hint="eastAsia" w:ascii="仿宋" w:hAnsi="仿宋" w:eastAsia="仿宋" w:cs="仿宋"/>
                <w:color w:val="auto"/>
                <w:sz w:val="21"/>
                <w:szCs w:val="21"/>
                <w:highlight w:val="none"/>
              </w:rPr>
            </w:pPr>
            <w:r>
              <w:rPr>
                <w:rStyle w:val="373"/>
                <w:rFonts w:hint="eastAsia" w:ascii="仿宋" w:hAnsi="仿宋" w:eastAsia="仿宋" w:cs="仿宋"/>
                <w:color w:val="auto"/>
                <w:sz w:val="21"/>
                <w:szCs w:val="21"/>
                <w:highlight w:val="none"/>
              </w:rPr>
              <w:t>1.会议服务保障范围内，收到参会者或会议服务单位书面表扬，每次加1-2分。</w:t>
            </w:r>
          </w:p>
          <w:p w14:paraId="3C6EAD67">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Style w:val="373"/>
                <w:rFonts w:hint="eastAsia" w:ascii="仿宋" w:hAnsi="仿宋" w:eastAsia="仿宋" w:cs="仿宋"/>
                <w:color w:val="auto"/>
                <w:sz w:val="21"/>
                <w:szCs w:val="21"/>
                <w:highlight w:val="none"/>
              </w:rPr>
            </w:pPr>
            <w:r>
              <w:rPr>
                <w:rStyle w:val="373"/>
                <w:rFonts w:hint="eastAsia" w:ascii="仿宋" w:hAnsi="仿宋" w:eastAsia="仿宋" w:cs="仿宋"/>
                <w:color w:val="auto"/>
                <w:sz w:val="21"/>
                <w:szCs w:val="21"/>
                <w:highlight w:val="none"/>
              </w:rPr>
              <w:t>2.因会议服务保障受到市级以上荣誉的，每次加3-5分。</w:t>
            </w:r>
          </w:p>
          <w:p w14:paraId="4D5BFFA0">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仿宋" w:hAnsi="仿宋" w:eastAsia="仿宋" w:cs="仿宋"/>
                <w:color w:val="auto"/>
                <w:sz w:val="21"/>
                <w:szCs w:val="21"/>
                <w:highlight w:val="none"/>
              </w:rPr>
            </w:pPr>
            <w:r>
              <w:rPr>
                <w:rStyle w:val="266"/>
                <w:rFonts w:hint="eastAsia" w:ascii="仿宋" w:hAnsi="仿宋" w:eastAsia="仿宋" w:cs="仿宋"/>
                <w:color w:val="auto"/>
                <w:sz w:val="21"/>
                <w:szCs w:val="21"/>
                <w:highlight w:val="none"/>
              </w:rPr>
              <w:t>（二）出现以下情形的视严重程度扣减10-40分。</w:t>
            </w:r>
            <w:r>
              <w:rPr>
                <w:rStyle w:val="373"/>
                <w:rFonts w:hint="eastAsia" w:ascii="仿宋" w:hAnsi="仿宋" w:eastAsia="仿宋" w:cs="仿宋"/>
                <w:color w:val="auto"/>
                <w:sz w:val="21"/>
                <w:szCs w:val="21"/>
                <w:highlight w:val="none"/>
              </w:rPr>
              <w:t xml:space="preserve">                         1.因工作人员操作失误，管理疏漏，应急处置不力等原因，造成严重影响的情形；                                                  2.被服务对象投诉，经证实且造成恶劣影响的情形；                               3.其它被认定为严重责任事故的情形。</w:t>
            </w:r>
          </w:p>
        </w:tc>
        <w:tc>
          <w:tcPr>
            <w:tcW w:w="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953B4">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color w:val="auto"/>
                <w:sz w:val="21"/>
                <w:szCs w:val="21"/>
                <w:highlight w:val="none"/>
              </w:rPr>
            </w:pPr>
          </w:p>
        </w:tc>
        <w:tc>
          <w:tcPr>
            <w:tcW w:w="1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4DD23">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r w14:paraId="05127A85">
        <w:tblPrEx>
          <w:tblCellMar>
            <w:top w:w="0" w:type="dxa"/>
            <w:left w:w="0" w:type="dxa"/>
            <w:bottom w:w="0" w:type="dxa"/>
            <w:right w:w="0" w:type="dxa"/>
          </w:tblCellMar>
        </w:tblPrEx>
        <w:trPr>
          <w:trHeight w:val="620" w:hRule="atLeast"/>
          <w:jc w:val="center"/>
        </w:trPr>
        <w:tc>
          <w:tcPr>
            <w:tcW w:w="16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E41C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会议服务评分合计</w:t>
            </w:r>
          </w:p>
        </w:tc>
        <w:tc>
          <w:tcPr>
            <w:tcW w:w="6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1BF3C">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日常月考核总分与附加减分的合计分不得超过70分。</w:t>
            </w:r>
          </w:p>
        </w:tc>
        <w:tc>
          <w:tcPr>
            <w:tcW w:w="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12791">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仿宋" w:hAnsi="仿宋" w:eastAsia="仿宋" w:cs="仿宋"/>
                <w:color w:val="auto"/>
                <w:sz w:val="21"/>
                <w:szCs w:val="21"/>
                <w:highlight w:val="none"/>
              </w:rPr>
            </w:pPr>
          </w:p>
        </w:tc>
        <w:tc>
          <w:tcPr>
            <w:tcW w:w="1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A9A09">
            <w:pPr>
              <w:keepNext w:val="0"/>
              <w:keepLines w:val="0"/>
              <w:pageBreakBefore w:val="0"/>
              <w:kinsoku/>
              <w:wordWrap/>
              <w:overflowPunct/>
              <w:topLinePunct w:val="0"/>
              <w:autoSpaceDE/>
              <w:autoSpaceDN/>
              <w:bidi w:val="0"/>
              <w:snapToGrid w:val="0"/>
              <w:spacing w:line="240" w:lineRule="auto"/>
              <w:rPr>
                <w:rFonts w:hint="eastAsia" w:ascii="仿宋" w:hAnsi="仿宋" w:eastAsia="仿宋" w:cs="仿宋"/>
                <w:color w:val="auto"/>
                <w:sz w:val="21"/>
                <w:szCs w:val="21"/>
                <w:highlight w:val="none"/>
              </w:rPr>
            </w:pPr>
          </w:p>
        </w:tc>
      </w:tr>
    </w:tbl>
    <w:p w14:paraId="34AF3C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sz w:val="21"/>
          <w:szCs w:val="21"/>
          <w:highlight w:val="none"/>
        </w:rPr>
      </w:pPr>
    </w:p>
    <w:p w14:paraId="7B826D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 xml:space="preserve">服务单位负责人（签字）： </w:t>
      </w:r>
    </w:p>
    <w:p w14:paraId="74FC4F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监管科室负责人（签字）：              分管领导（签字）：</w:t>
      </w:r>
    </w:p>
    <w:p w14:paraId="22E438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日期：</w:t>
      </w:r>
    </w:p>
    <w:p w14:paraId="1BD36A62">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359109EF">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24528E4B">
      <w:pPr>
        <w:pStyle w:val="2"/>
        <w:keepNext w:val="0"/>
        <w:keepLines w:val="0"/>
        <w:pageBreakBefore w:val="0"/>
        <w:kinsoku/>
        <w:wordWrap/>
        <w:overflowPunct/>
        <w:topLinePunct w:val="0"/>
        <w:autoSpaceDE/>
        <w:autoSpaceDN/>
        <w:bidi w:val="0"/>
        <w:spacing w:line="240" w:lineRule="auto"/>
        <w:rPr>
          <w:rFonts w:hint="eastAsia" w:ascii="仿宋" w:hAnsi="仿宋" w:eastAsia="仿宋" w:cs="仿宋"/>
          <w:color w:val="auto"/>
          <w:sz w:val="21"/>
          <w:szCs w:val="21"/>
          <w:highlight w:val="none"/>
        </w:rPr>
      </w:pPr>
    </w:p>
    <w:p w14:paraId="20D033AE">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4A7A3CC6">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374BA5E9">
      <w:pPr>
        <w:pStyle w:val="2"/>
        <w:rPr>
          <w:rFonts w:hint="eastAsia" w:ascii="仿宋" w:hAnsi="仿宋" w:eastAsia="仿宋" w:cs="仿宋"/>
          <w:color w:val="auto"/>
          <w:sz w:val="21"/>
          <w:szCs w:val="21"/>
          <w:highlight w:val="none"/>
        </w:rPr>
      </w:pPr>
    </w:p>
    <w:p w14:paraId="6003DF71">
      <w:pPr>
        <w:pStyle w:val="2"/>
        <w:rPr>
          <w:rFonts w:hint="eastAsia" w:ascii="仿宋" w:hAnsi="仿宋" w:eastAsia="仿宋" w:cs="仿宋"/>
          <w:color w:val="auto"/>
          <w:sz w:val="21"/>
          <w:szCs w:val="21"/>
          <w:highlight w:val="none"/>
        </w:rPr>
      </w:pPr>
    </w:p>
    <w:p w14:paraId="2E6DBF96">
      <w:pPr>
        <w:pStyle w:val="2"/>
        <w:rPr>
          <w:rFonts w:hint="eastAsia" w:ascii="仿宋" w:hAnsi="仿宋" w:eastAsia="仿宋" w:cs="仿宋"/>
          <w:color w:val="auto"/>
          <w:sz w:val="21"/>
          <w:szCs w:val="21"/>
          <w:highlight w:val="none"/>
        </w:rPr>
      </w:pPr>
    </w:p>
    <w:p w14:paraId="3992213A">
      <w:pPr>
        <w:pStyle w:val="2"/>
        <w:rPr>
          <w:rFonts w:hint="eastAsia" w:ascii="仿宋" w:hAnsi="仿宋" w:eastAsia="仿宋" w:cs="仿宋"/>
          <w:color w:val="auto"/>
          <w:sz w:val="21"/>
          <w:szCs w:val="21"/>
          <w:highlight w:val="none"/>
        </w:rPr>
      </w:pPr>
    </w:p>
    <w:p w14:paraId="23C12FF2">
      <w:pPr>
        <w:pStyle w:val="2"/>
        <w:rPr>
          <w:rFonts w:hint="eastAsia" w:ascii="仿宋" w:hAnsi="仿宋" w:eastAsia="仿宋" w:cs="仿宋"/>
          <w:color w:val="auto"/>
          <w:sz w:val="21"/>
          <w:szCs w:val="21"/>
          <w:highlight w:val="none"/>
        </w:rPr>
      </w:pPr>
    </w:p>
    <w:p w14:paraId="4B75442F">
      <w:pPr>
        <w:pStyle w:val="2"/>
        <w:rPr>
          <w:rFonts w:hint="eastAsia" w:ascii="仿宋" w:hAnsi="仿宋" w:eastAsia="仿宋" w:cs="仿宋"/>
          <w:color w:val="auto"/>
          <w:sz w:val="21"/>
          <w:szCs w:val="21"/>
          <w:highlight w:val="none"/>
        </w:rPr>
      </w:pPr>
    </w:p>
    <w:p w14:paraId="30EC7F49">
      <w:pPr>
        <w:pStyle w:val="2"/>
        <w:rPr>
          <w:rFonts w:hint="eastAsia" w:ascii="仿宋" w:hAnsi="仿宋" w:eastAsia="仿宋" w:cs="仿宋"/>
          <w:color w:val="auto"/>
          <w:sz w:val="21"/>
          <w:szCs w:val="21"/>
          <w:highlight w:val="none"/>
        </w:rPr>
      </w:pPr>
    </w:p>
    <w:p w14:paraId="16B1E118">
      <w:pPr>
        <w:pStyle w:val="2"/>
        <w:rPr>
          <w:rFonts w:hint="eastAsia" w:ascii="仿宋" w:hAnsi="仿宋" w:eastAsia="仿宋" w:cs="仿宋"/>
          <w:color w:val="auto"/>
          <w:sz w:val="21"/>
          <w:szCs w:val="21"/>
          <w:highlight w:val="none"/>
        </w:rPr>
      </w:pPr>
    </w:p>
    <w:p w14:paraId="315A529B">
      <w:pPr>
        <w:keepNext w:val="0"/>
        <w:keepLines w:val="0"/>
        <w:pageBreakBefore w:val="0"/>
        <w:widowControl/>
        <w:kinsoku/>
        <w:wordWrap/>
        <w:overflowPunct/>
        <w:topLinePunct w:val="0"/>
        <w:autoSpaceDE/>
        <w:autoSpaceDN/>
        <w:bidi w:val="0"/>
        <w:snapToGrid w:val="0"/>
        <w:spacing w:line="240" w:lineRule="auto"/>
        <w:jc w:val="left"/>
        <w:rPr>
          <w:rFonts w:hint="eastAsia" w:ascii="仿宋" w:hAnsi="仿宋" w:eastAsia="仿宋" w:cs="仿宋"/>
          <w:color w:val="auto"/>
          <w:sz w:val="21"/>
          <w:szCs w:val="21"/>
          <w:highlight w:val="none"/>
        </w:rPr>
      </w:pPr>
    </w:p>
    <w:p w14:paraId="0B250840">
      <w:pPr>
        <w:pStyle w:val="2"/>
        <w:widowControl/>
        <w:rPr>
          <w:rFonts w:hint="eastAsia" w:ascii="仿宋_GB2312" w:hAnsi="方正小标宋_GBK" w:eastAsia="仿宋_GB2312" w:cs="方正小标宋_GBK"/>
          <w:color w:val="auto"/>
          <w:sz w:val="21"/>
          <w:szCs w:val="21"/>
          <w:highlight w:val="none"/>
          <w:lang w:val="en-US"/>
        </w:rPr>
      </w:pPr>
      <w:r>
        <w:rPr>
          <w:rFonts w:hint="eastAsia" w:ascii="仿宋_GB2312" w:hAnsi="仿宋" w:eastAsia="仿宋_GB2312" w:cs="仿宋_GB2312"/>
          <w:color w:val="auto"/>
          <w:sz w:val="21"/>
          <w:szCs w:val="21"/>
          <w:highlight w:val="none"/>
          <w:lang w:eastAsia="zh-CN"/>
        </w:rPr>
        <w:t>附表</w:t>
      </w:r>
      <w:r>
        <w:rPr>
          <w:rFonts w:hint="eastAsia" w:ascii="仿宋_GB2312" w:hAnsi="仿宋" w:eastAsia="仿宋_GB2312" w:cs="仿宋_GB2312"/>
          <w:color w:val="auto"/>
          <w:sz w:val="21"/>
          <w:szCs w:val="21"/>
          <w:highlight w:val="none"/>
          <w:lang w:val="en-US"/>
        </w:rPr>
        <w:t>3</w:t>
      </w:r>
    </w:p>
    <w:p w14:paraId="6D5975C7">
      <w:pPr>
        <w:pStyle w:val="2"/>
        <w:widowControl/>
        <w:jc w:val="center"/>
        <w:rPr>
          <w:rFonts w:hint="eastAsia" w:ascii="Arial Unicode MS" w:hAnsi="方正小标宋_GBK" w:eastAsia="Arial Unicode MS" w:cs="方正小标宋_GBK"/>
          <w:color w:val="auto"/>
          <w:sz w:val="21"/>
          <w:szCs w:val="21"/>
          <w:highlight w:val="none"/>
          <w:lang w:val="en-US"/>
        </w:rPr>
      </w:pPr>
      <w:r>
        <w:rPr>
          <w:rFonts w:hint="eastAsia" w:ascii="Arial Unicode MS" w:hAnsi="方正小标宋_GBK" w:eastAsia="Arial Unicode MS" w:cs="方正小标宋_GBK"/>
          <w:color w:val="auto"/>
          <w:sz w:val="21"/>
          <w:szCs w:val="21"/>
          <w:highlight w:val="none"/>
          <w:lang w:eastAsia="zh-CN"/>
        </w:rPr>
        <w:t>公务服务及会议服务监管考核汇总表</w:t>
      </w:r>
    </w:p>
    <w:p w14:paraId="002147CF">
      <w:pPr>
        <w:pStyle w:val="2"/>
        <w:widowControl/>
        <w:jc w:val="center"/>
        <w:rPr>
          <w:rFonts w:hint="eastAsia" w:ascii="Arial Unicode MS" w:hAnsi="方正小标宋_GBK" w:eastAsia="Arial Unicode MS" w:cs="方正小标宋_GBK"/>
          <w:color w:val="auto"/>
          <w:sz w:val="21"/>
          <w:szCs w:val="21"/>
          <w:highlight w:val="none"/>
          <w:lang w:val="en-US"/>
        </w:rPr>
      </w:pPr>
    </w:p>
    <w:p w14:paraId="01B00A97">
      <w:pPr>
        <w:pStyle w:val="2"/>
        <w:widowControl/>
        <w:tabs>
          <w:tab w:val="right" w:pos="8730"/>
        </w:tabs>
        <w:rPr>
          <w:rFonts w:hint="eastAsia" w:ascii="仿宋_GB2312" w:eastAsia="仿宋_GB2312" w:cs="仿宋_GB2312"/>
          <w:color w:val="auto"/>
          <w:sz w:val="21"/>
          <w:szCs w:val="21"/>
          <w:highlight w:val="none"/>
          <w:lang w:val="en-US"/>
        </w:rPr>
      </w:pPr>
      <w:r>
        <w:rPr>
          <w:rFonts w:hint="eastAsia" w:ascii="Arial" w:hAnsi="Arial" w:eastAsia="宋体" w:cs="宋体"/>
          <w:color w:val="auto"/>
          <w:sz w:val="21"/>
          <w:szCs w:val="21"/>
          <w:highlight w:val="none"/>
          <w:lang w:eastAsia="zh-CN"/>
        </w:rPr>
        <w:t>　　　　　　　　　　　　　　　　　　　　　　　　　　　　</w:t>
      </w:r>
      <w:r>
        <w:rPr>
          <w:rFonts w:hint="eastAsia" w:ascii="仿宋_GB2312" w:eastAsia="仿宋_GB2312" w:cs="仿宋_GB2312"/>
          <w:color w:val="auto"/>
          <w:sz w:val="21"/>
          <w:szCs w:val="21"/>
          <w:highlight w:val="none"/>
          <w:lang w:eastAsia="zh-CN"/>
        </w:rPr>
        <w:t>年　　　月</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450"/>
      </w:tblGrid>
      <w:tr w14:paraId="69C8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4450" w:type="dxa"/>
            <w:tcBorders>
              <w:top w:val="single" w:color="auto" w:sz="4" w:space="0"/>
              <w:left w:val="single" w:color="auto" w:sz="4" w:space="0"/>
              <w:bottom w:val="single" w:color="auto" w:sz="4" w:space="0"/>
              <w:right w:val="single" w:color="auto" w:sz="4" w:space="0"/>
            </w:tcBorders>
            <w:noWrap w:val="0"/>
            <w:vAlign w:val="center"/>
          </w:tcPr>
          <w:p w14:paraId="268FD7C2">
            <w:pPr>
              <w:keepNext w:val="0"/>
              <w:keepLines w:val="0"/>
              <w:widowControl/>
              <w:suppressLineNumbers w:val="0"/>
              <w:snapToGrid w:val="0"/>
              <w:spacing w:before="0" w:beforeAutospacing="0" w:after="0" w:afterAutospacing="0" w:line="288" w:lineRule="auto"/>
              <w:ind w:left="0" w:right="0"/>
              <w:jc w:val="center"/>
              <w:textAlignment w:val="center"/>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监管内容</w:t>
            </w:r>
          </w:p>
        </w:tc>
        <w:tc>
          <w:tcPr>
            <w:tcW w:w="4450" w:type="dxa"/>
            <w:tcBorders>
              <w:top w:val="single" w:color="auto" w:sz="4" w:space="0"/>
              <w:left w:val="single" w:color="auto" w:sz="4" w:space="0"/>
              <w:bottom w:val="single" w:color="auto" w:sz="4" w:space="0"/>
              <w:right w:val="single" w:color="auto" w:sz="4" w:space="0"/>
            </w:tcBorders>
            <w:noWrap w:val="0"/>
            <w:vAlign w:val="center"/>
          </w:tcPr>
          <w:p w14:paraId="6D2A96D1">
            <w:pPr>
              <w:keepNext w:val="0"/>
              <w:keepLines w:val="0"/>
              <w:widowControl w:val="0"/>
              <w:suppressLineNumbers w:val="0"/>
              <w:snapToGrid w:val="0"/>
              <w:spacing w:before="0" w:beforeAutospacing="0" w:after="0" w:afterAutospacing="0" w:line="288" w:lineRule="auto"/>
              <w:ind w:left="0" w:right="0"/>
              <w:jc w:val="center"/>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分　值</w:t>
            </w:r>
          </w:p>
        </w:tc>
      </w:tr>
      <w:tr w14:paraId="149A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450" w:type="dxa"/>
            <w:tcBorders>
              <w:top w:val="single" w:color="auto" w:sz="4" w:space="0"/>
              <w:left w:val="single" w:color="auto" w:sz="4" w:space="0"/>
              <w:bottom w:val="single" w:color="auto" w:sz="4" w:space="0"/>
              <w:right w:val="single" w:color="auto" w:sz="4" w:space="0"/>
            </w:tcBorders>
            <w:noWrap w:val="0"/>
            <w:vAlign w:val="center"/>
          </w:tcPr>
          <w:p w14:paraId="2206D21D">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公务服务监管考核分</w:t>
            </w:r>
          </w:p>
        </w:tc>
        <w:tc>
          <w:tcPr>
            <w:tcW w:w="4450" w:type="dxa"/>
            <w:tcBorders>
              <w:top w:val="single" w:color="auto" w:sz="4" w:space="0"/>
              <w:left w:val="single" w:color="auto" w:sz="4" w:space="0"/>
              <w:bottom w:val="single" w:color="auto" w:sz="4" w:space="0"/>
              <w:right w:val="single" w:color="auto" w:sz="4" w:space="0"/>
            </w:tcBorders>
            <w:noWrap w:val="0"/>
            <w:vAlign w:val="center"/>
          </w:tcPr>
          <w:p w14:paraId="27D89596">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rPr>
            </w:pPr>
          </w:p>
        </w:tc>
      </w:tr>
      <w:tr w14:paraId="4FA2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450" w:type="dxa"/>
            <w:tcBorders>
              <w:top w:val="single" w:color="auto" w:sz="4" w:space="0"/>
              <w:left w:val="single" w:color="auto" w:sz="4" w:space="0"/>
              <w:bottom w:val="single" w:color="auto" w:sz="4" w:space="0"/>
              <w:right w:val="single" w:color="auto" w:sz="4" w:space="0"/>
            </w:tcBorders>
            <w:noWrap w:val="0"/>
            <w:vAlign w:val="center"/>
          </w:tcPr>
          <w:p w14:paraId="3A09E1AA">
            <w:pPr>
              <w:keepNext w:val="0"/>
              <w:keepLines w:val="0"/>
              <w:widowControl/>
              <w:suppressLineNumbers w:val="0"/>
              <w:snapToGrid w:val="0"/>
              <w:spacing w:before="0" w:beforeAutospacing="0" w:after="0" w:afterAutospacing="0" w:line="288" w:lineRule="auto"/>
              <w:ind w:left="0" w:right="0"/>
              <w:jc w:val="center"/>
              <w:textAlignment w:val="center"/>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会议服务监管考核分</w:t>
            </w:r>
          </w:p>
        </w:tc>
        <w:tc>
          <w:tcPr>
            <w:tcW w:w="4450" w:type="dxa"/>
            <w:tcBorders>
              <w:top w:val="single" w:color="auto" w:sz="4" w:space="0"/>
              <w:left w:val="single" w:color="auto" w:sz="4" w:space="0"/>
              <w:bottom w:val="single" w:color="auto" w:sz="4" w:space="0"/>
              <w:right w:val="single" w:color="auto" w:sz="4" w:space="0"/>
            </w:tcBorders>
            <w:noWrap w:val="0"/>
            <w:vAlign w:val="center"/>
          </w:tcPr>
          <w:p w14:paraId="74522C95">
            <w:pPr>
              <w:keepNext w:val="0"/>
              <w:keepLines w:val="0"/>
              <w:widowControl w:val="0"/>
              <w:suppressLineNumbers w:val="0"/>
              <w:snapToGrid w:val="0"/>
              <w:spacing w:before="0" w:beforeAutospacing="0" w:after="0" w:afterAutospacing="0" w:line="288" w:lineRule="auto"/>
              <w:ind w:left="0" w:right="0"/>
              <w:jc w:val="center"/>
              <w:rPr>
                <w:rFonts w:hint="eastAsia" w:ascii="仿宋" w:hAnsi="仿宋" w:eastAsia="仿宋" w:cs="仿宋"/>
                <w:color w:val="auto"/>
                <w:sz w:val="21"/>
                <w:szCs w:val="21"/>
                <w:highlight w:val="none"/>
                <w:lang w:val="en-US"/>
              </w:rPr>
            </w:pPr>
          </w:p>
        </w:tc>
      </w:tr>
      <w:tr w14:paraId="7DB8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450" w:type="dxa"/>
            <w:tcBorders>
              <w:top w:val="single" w:color="auto" w:sz="4" w:space="0"/>
              <w:left w:val="single" w:color="auto" w:sz="4" w:space="0"/>
              <w:bottom w:val="single" w:color="auto" w:sz="4" w:space="0"/>
              <w:right w:val="single" w:color="auto" w:sz="4" w:space="0"/>
            </w:tcBorders>
            <w:noWrap w:val="0"/>
            <w:vAlign w:val="center"/>
          </w:tcPr>
          <w:p w14:paraId="56A87F65">
            <w:pPr>
              <w:keepNext w:val="0"/>
              <w:keepLines w:val="0"/>
              <w:widowControl w:val="0"/>
              <w:suppressLineNumbers w:val="0"/>
              <w:snapToGrid w:val="0"/>
              <w:spacing w:before="0" w:beforeAutospacing="0" w:after="0" w:afterAutospacing="0" w:line="288" w:lineRule="auto"/>
              <w:ind w:left="0" w:right="0"/>
              <w:jc w:val="center"/>
              <w:rPr>
                <w:rFonts w:hint="eastAsia"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
              </w:rPr>
              <w:t>汇总得分</w:t>
            </w:r>
          </w:p>
        </w:tc>
        <w:tc>
          <w:tcPr>
            <w:tcW w:w="4450" w:type="dxa"/>
            <w:tcBorders>
              <w:top w:val="single" w:color="auto" w:sz="4" w:space="0"/>
              <w:left w:val="single" w:color="auto" w:sz="4" w:space="0"/>
              <w:bottom w:val="single" w:color="auto" w:sz="4" w:space="0"/>
              <w:right w:val="single" w:color="auto" w:sz="4" w:space="0"/>
            </w:tcBorders>
            <w:noWrap w:val="0"/>
            <w:vAlign w:val="center"/>
          </w:tcPr>
          <w:p w14:paraId="3ADCCEAA">
            <w:pPr>
              <w:keepNext w:val="0"/>
              <w:keepLines w:val="0"/>
              <w:widowControl/>
              <w:suppressLineNumbers w:val="0"/>
              <w:snapToGrid w:val="0"/>
              <w:spacing w:before="0" w:beforeAutospacing="0" w:after="0" w:afterAutospacing="0" w:line="288" w:lineRule="auto"/>
              <w:ind w:left="0" w:right="0"/>
              <w:jc w:val="center"/>
              <w:textAlignment w:val="center"/>
              <w:rPr>
                <w:rFonts w:hint="eastAsia" w:ascii="仿宋" w:hAnsi="仿宋" w:eastAsia="仿宋" w:cs="仿宋"/>
                <w:color w:val="auto"/>
                <w:sz w:val="21"/>
                <w:szCs w:val="21"/>
                <w:highlight w:val="none"/>
                <w:lang w:val="en-US"/>
              </w:rPr>
            </w:pPr>
          </w:p>
        </w:tc>
      </w:tr>
    </w:tbl>
    <w:p w14:paraId="774AC754">
      <w:pPr>
        <w:pStyle w:val="2"/>
        <w:widowControl/>
        <w:rPr>
          <w:color w:val="auto"/>
          <w:sz w:val="21"/>
          <w:szCs w:val="21"/>
          <w:highlight w:val="none"/>
          <w:lang w:val="en-US"/>
        </w:rPr>
      </w:pPr>
      <w:r>
        <w:rPr>
          <w:rFonts w:hint="eastAsia" w:ascii="Arial" w:hAnsi="Arial" w:eastAsia="宋体" w:cs="宋体"/>
          <w:color w:val="auto"/>
          <w:sz w:val="21"/>
          <w:szCs w:val="21"/>
          <w:highlight w:val="none"/>
          <w:lang w:eastAsia="zh-CN"/>
        </w:rPr>
        <w:t>　　　　　　　　　　　　　　　　　　</w:t>
      </w:r>
    </w:p>
    <w:p w14:paraId="0362BEBD">
      <w:pPr>
        <w:keepNext w:val="0"/>
        <w:keepLines w:val="0"/>
        <w:widowControl/>
        <w:suppressLineNumbers w:val="0"/>
        <w:jc w:val="left"/>
        <w:rPr>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w:t>
      </w:r>
      <w:r>
        <w:rPr>
          <w:rFonts w:hint="eastAsia" w:ascii="仿宋_GB2312" w:hAnsi="Times New Roman" w:eastAsia="仿宋_GB2312" w:cs="Times New Roman"/>
          <w:color w:val="auto"/>
          <w:kern w:val="2"/>
          <w:sz w:val="21"/>
          <w:szCs w:val="21"/>
          <w:highlight w:val="none"/>
          <w:lang w:val="en-US" w:eastAsia="zh-CN" w:bidi="ar"/>
        </w:rPr>
        <w:t>经办人：</w:t>
      </w:r>
      <w:r>
        <w:rPr>
          <w:rFonts w:hint="default" w:ascii="宋体" w:hAnsi="宋体" w:eastAsia="宋体" w:cs="宋体"/>
          <w:color w:val="auto"/>
          <w:kern w:val="2"/>
          <w:sz w:val="21"/>
          <w:szCs w:val="21"/>
          <w:highlight w:val="none"/>
          <w:lang w:val="en-US" w:eastAsia="zh-CN" w:bidi="ar"/>
        </w:rPr>
        <w:t xml:space="preserve"> </w:t>
      </w:r>
    </w:p>
    <w:p w14:paraId="6B793E9B">
      <w:pPr>
        <w:pStyle w:val="25"/>
        <w:numPr>
          <w:ilvl w:val="0"/>
          <w:numId w:val="0"/>
        </w:numPr>
        <w:rPr>
          <w:color w:val="auto"/>
          <w:sz w:val="21"/>
          <w:szCs w:val="21"/>
          <w:highlight w:val="none"/>
        </w:rPr>
      </w:pPr>
    </w:p>
    <w:p w14:paraId="3BCBFF47">
      <w:pPr>
        <w:spacing w:line="360" w:lineRule="auto"/>
        <w:ind w:left="-420" w:leftChars="-200" w:right="-420" w:rightChars="-200" w:firstLine="420" w:firstLineChars="200"/>
        <w:jc w:val="center"/>
        <w:outlineLvl w:val="0"/>
        <w:rPr>
          <w:rFonts w:hint="eastAsia" w:ascii="仿宋" w:hAnsi="仿宋" w:eastAsia="仿宋" w:cs="仿宋"/>
          <w:color w:val="auto"/>
          <w:sz w:val="21"/>
          <w:szCs w:val="21"/>
          <w:highlight w:val="none"/>
        </w:rPr>
      </w:pPr>
    </w:p>
    <w:p w14:paraId="7AB9D2FB">
      <w:pPr>
        <w:pStyle w:val="2"/>
        <w:rPr>
          <w:rFonts w:hint="eastAsia" w:ascii="仿宋" w:hAnsi="仿宋" w:eastAsia="仿宋" w:cs="仿宋"/>
          <w:color w:val="auto"/>
          <w:sz w:val="21"/>
          <w:szCs w:val="21"/>
          <w:highlight w:val="none"/>
        </w:rPr>
      </w:pPr>
    </w:p>
    <w:p w14:paraId="5FD69776">
      <w:pPr>
        <w:pStyle w:val="2"/>
        <w:rPr>
          <w:rFonts w:hint="eastAsia" w:ascii="仿宋" w:hAnsi="仿宋" w:eastAsia="仿宋" w:cs="仿宋"/>
          <w:color w:val="auto"/>
          <w:sz w:val="21"/>
          <w:szCs w:val="21"/>
          <w:highlight w:val="none"/>
        </w:rPr>
      </w:pPr>
    </w:p>
    <w:p w14:paraId="48D7736F">
      <w:pPr>
        <w:pStyle w:val="2"/>
        <w:rPr>
          <w:rFonts w:hint="eastAsia" w:ascii="仿宋" w:hAnsi="仿宋" w:eastAsia="仿宋" w:cs="仿宋"/>
          <w:color w:val="auto"/>
          <w:sz w:val="21"/>
          <w:szCs w:val="21"/>
          <w:highlight w:val="none"/>
        </w:rPr>
      </w:pPr>
    </w:p>
    <w:p w14:paraId="7A4AC09B">
      <w:pPr>
        <w:pStyle w:val="2"/>
        <w:rPr>
          <w:rFonts w:hint="eastAsia" w:ascii="仿宋" w:hAnsi="仿宋" w:eastAsia="仿宋" w:cs="仿宋"/>
          <w:color w:val="auto"/>
          <w:sz w:val="21"/>
          <w:szCs w:val="21"/>
          <w:highlight w:val="none"/>
        </w:rPr>
      </w:pPr>
    </w:p>
    <w:p w14:paraId="79312097">
      <w:pPr>
        <w:pStyle w:val="2"/>
        <w:rPr>
          <w:rFonts w:hint="eastAsia" w:ascii="仿宋" w:hAnsi="仿宋" w:eastAsia="仿宋" w:cs="仿宋"/>
          <w:color w:val="auto"/>
          <w:sz w:val="21"/>
          <w:szCs w:val="21"/>
          <w:highlight w:val="none"/>
        </w:rPr>
      </w:pPr>
    </w:p>
    <w:p w14:paraId="4A0A90F5">
      <w:pPr>
        <w:pStyle w:val="2"/>
        <w:rPr>
          <w:rFonts w:hint="eastAsia" w:ascii="仿宋" w:hAnsi="仿宋" w:eastAsia="仿宋" w:cs="仿宋"/>
          <w:color w:val="auto"/>
          <w:sz w:val="21"/>
          <w:szCs w:val="21"/>
          <w:highlight w:val="none"/>
        </w:rPr>
      </w:pPr>
    </w:p>
    <w:p w14:paraId="5C410060">
      <w:pPr>
        <w:pStyle w:val="2"/>
        <w:rPr>
          <w:rFonts w:hint="eastAsia" w:ascii="仿宋" w:hAnsi="仿宋" w:eastAsia="仿宋" w:cs="仿宋"/>
          <w:color w:val="auto"/>
          <w:sz w:val="21"/>
          <w:szCs w:val="21"/>
          <w:highlight w:val="none"/>
        </w:rPr>
      </w:pPr>
    </w:p>
    <w:p w14:paraId="54C7A711">
      <w:pPr>
        <w:pStyle w:val="2"/>
        <w:rPr>
          <w:rFonts w:hint="eastAsia" w:ascii="仿宋" w:hAnsi="仿宋" w:eastAsia="仿宋" w:cs="仿宋"/>
          <w:color w:val="auto"/>
          <w:sz w:val="21"/>
          <w:szCs w:val="21"/>
          <w:highlight w:val="none"/>
        </w:rPr>
      </w:pPr>
    </w:p>
    <w:p w14:paraId="66E19B09">
      <w:pPr>
        <w:pStyle w:val="2"/>
        <w:rPr>
          <w:rFonts w:hint="eastAsia" w:ascii="仿宋" w:hAnsi="仿宋" w:eastAsia="仿宋" w:cs="仿宋"/>
          <w:color w:val="auto"/>
          <w:sz w:val="21"/>
          <w:szCs w:val="21"/>
          <w:highlight w:val="none"/>
        </w:rPr>
      </w:pPr>
    </w:p>
    <w:p w14:paraId="759FFC9D">
      <w:pPr>
        <w:pStyle w:val="2"/>
        <w:rPr>
          <w:rFonts w:hint="eastAsia" w:ascii="仿宋" w:hAnsi="仿宋" w:eastAsia="仿宋" w:cs="仿宋"/>
          <w:color w:val="auto"/>
          <w:sz w:val="21"/>
          <w:szCs w:val="21"/>
          <w:highlight w:val="none"/>
        </w:rPr>
      </w:pPr>
    </w:p>
    <w:p w14:paraId="495BBB4B">
      <w:pPr>
        <w:pStyle w:val="2"/>
        <w:rPr>
          <w:rFonts w:hint="eastAsia" w:ascii="仿宋" w:hAnsi="仿宋" w:eastAsia="仿宋" w:cs="仿宋"/>
          <w:color w:val="auto"/>
          <w:sz w:val="21"/>
          <w:szCs w:val="21"/>
          <w:highlight w:val="none"/>
        </w:rPr>
      </w:pPr>
    </w:p>
    <w:p w14:paraId="2BC1345A">
      <w:pPr>
        <w:pStyle w:val="2"/>
        <w:rPr>
          <w:rFonts w:hint="eastAsia" w:ascii="仿宋" w:hAnsi="仿宋" w:eastAsia="仿宋" w:cs="仿宋"/>
          <w:color w:val="auto"/>
          <w:sz w:val="21"/>
          <w:szCs w:val="21"/>
          <w:highlight w:val="none"/>
        </w:rPr>
      </w:pPr>
    </w:p>
    <w:p w14:paraId="08DD022D">
      <w:pPr>
        <w:pStyle w:val="2"/>
        <w:rPr>
          <w:rFonts w:hint="eastAsia" w:ascii="仿宋" w:hAnsi="仿宋" w:eastAsia="仿宋" w:cs="仿宋"/>
          <w:color w:val="auto"/>
          <w:sz w:val="21"/>
          <w:szCs w:val="21"/>
          <w:highlight w:val="none"/>
        </w:rPr>
      </w:pPr>
    </w:p>
    <w:p w14:paraId="27010E50">
      <w:pPr>
        <w:pStyle w:val="2"/>
        <w:rPr>
          <w:rFonts w:hint="eastAsia" w:ascii="仿宋" w:hAnsi="仿宋" w:eastAsia="仿宋" w:cs="仿宋"/>
          <w:color w:val="auto"/>
          <w:sz w:val="21"/>
          <w:szCs w:val="21"/>
          <w:highlight w:val="none"/>
        </w:rPr>
      </w:pPr>
    </w:p>
    <w:p w14:paraId="10BCE063">
      <w:pPr>
        <w:pStyle w:val="2"/>
        <w:rPr>
          <w:rFonts w:hint="eastAsia" w:ascii="仿宋" w:hAnsi="仿宋" w:eastAsia="仿宋" w:cs="仿宋"/>
          <w:color w:val="auto"/>
          <w:sz w:val="21"/>
          <w:szCs w:val="21"/>
          <w:highlight w:val="none"/>
        </w:rPr>
      </w:pPr>
    </w:p>
    <w:p w14:paraId="212D10D0">
      <w:pPr>
        <w:pStyle w:val="2"/>
        <w:rPr>
          <w:rFonts w:hint="eastAsia" w:ascii="仿宋" w:hAnsi="仿宋" w:eastAsia="仿宋" w:cs="仿宋"/>
          <w:color w:val="auto"/>
          <w:sz w:val="21"/>
          <w:szCs w:val="21"/>
          <w:highlight w:val="none"/>
        </w:rPr>
      </w:pPr>
    </w:p>
    <w:p w14:paraId="14F1B74A">
      <w:pPr>
        <w:pStyle w:val="2"/>
        <w:rPr>
          <w:rFonts w:hint="eastAsia" w:ascii="仿宋" w:hAnsi="仿宋" w:eastAsia="仿宋" w:cs="仿宋"/>
          <w:color w:val="auto"/>
          <w:sz w:val="21"/>
          <w:szCs w:val="21"/>
          <w:highlight w:val="none"/>
        </w:rPr>
      </w:pPr>
    </w:p>
    <w:p w14:paraId="32D128A5">
      <w:pPr>
        <w:pStyle w:val="2"/>
        <w:rPr>
          <w:rFonts w:hint="eastAsia" w:ascii="仿宋" w:hAnsi="仿宋" w:eastAsia="仿宋" w:cs="仿宋"/>
          <w:color w:val="auto"/>
          <w:sz w:val="21"/>
          <w:szCs w:val="21"/>
          <w:highlight w:val="none"/>
        </w:rPr>
      </w:pPr>
    </w:p>
    <w:p w14:paraId="71B32530">
      <w:pPr>
        <w:pStyle w:val="2"/>
        <w:rPr>
          <w:rFonts w:hint="eastAsia" w:ascii="仿宋" w:hAnsi="仿宋" w:eastAsia="仿宋" w:cs="仿宋"/>
          <w:color w:val="auto"/>
          <w:sz w:val="24"/>
          <w:highlight w:val="none"/>
        </w:rPr>
      </w:pPr>
    </w:p>
    <w:p w14:paraId="336D207E">
      <w:pPr>
        <w:pStyle w:val="2"/>
        <w:rPr>
          <w:rFonts w:hint="eastAsia" w:ascii="仿宋" w:hAnsi="仿宋" w:eastAsia="仿宋" w:cs="仿宋"/>
          <w:color w:val="auto"/>
          <w:sz w:val="24"/>
          <w:highlight w:val="none"/>
        </w:rPr>
      </w:pPr>
    </w:p>
    <w:p w14:paraId="6A1DB972">
      <w:pPr>
        <w:pStyle w:val="2"/>
        <w:rPr>
          <w:rFonts w:hint="eastAsia" w:ascii="仿宋" w:hAnsi="仿宋" w:eastAsia="仿宋" w:cs="仿宋"/>
          <w:color w:val="auto"/>
          <w:sz w:val="24"/>
          <w:highlight w:val="none"/>
        </w:rPr>
      </w:pPr>
    </w:p>
    <w:p w14:paraId="41B226C8">
      <w:pPr>
        <w:pStyle w:val="2"/>
        <w:rPr>
          <w:rFonts w:hint="eastAsia" w:ascii="仿宋" w:hAnsi="仿宋" w:eastAsia="仿宋" w:cs="仿宋"/>
          <w:color w:val="auto"/>
          <w:sz w:val="24"/>
          <w:highlight w:val="none"/>
        </w:rPr>
      </w:pPr>
    </w:p>
    <w:p w14:paraId="62F5E6B0">
      <w:pPr>
        <w:pStyle w:val="2"/>
        <w:rPr>
          <w:rFonts w:hint="eastAsia" w:ascii="仿宋" w:hAnsi="仿宋" w:eastAsia="仿宋" w:cs="仿宋"/>
          <w:color w:val="auto"/>
          <w:sz w:val="24"/>
          <w:highlight w:val="none"/>
        </w:rPr>
      </w:pPr>
    </w:p>
    <w:p w14:paraId="6E3FC74B">
      <w:pPr>
        <w:pStyle w:val="2"/>
        <w:rPr>
          <w:rFonts w:hint="eastAsia" w:ascii="仿宋" w:hAnsi="仿宋" w:eastAsia="仿宋" w:cs="仿宋"/>
          <w:color w:val="auto"/>
          <w:sz w:val="24"/>
          <w:highlight w:val="none"/>
        </w:rPr>
      </w:pPr>
    </w:p>
    <w:p w14:paraId="2642EBA6">
      <w:pPr>
        <w:pStyle w:val="2"/>
        <w:rPr>
          <w:rFonts w:hint="eastAsia" w:ascii="仿宋" w:hAnsi="仿宋" w:eastAsia="仿宋" w:cs="仿宋"/>
          <w:color w:val="auto"/>
          <w:sz w:val="24"/>
          <w:highlight w:val="none"/>
        </w:rPr>
      </w:pPr>
    </w:p>
    <w:p w14:paraId="4213FD81">
      <w:pPr>
        <w:pStyle w:val="2"/>
        <w:rPr>
          <w:rFonts w:hint="eastAsia" w:ascii="仿宋" w:hAnsi="仿宋" w:eastAsia="仿宋" w:cs="仿宋"/>
          <w:color w:val="auto"/>
          <w:sz w:val="24"/>
          <w:highlight w:val="none"/>
        </w:rPr>
      </w:pPr>
    </w:p>
    <w:p w14:paraId="4C626FFF">
      <w:pPr>
        <w:pStyle w:val="2"/>
        <w:rPr>
          <w:rFonts w:hint="eastAsia" w:ascii="仿宋" w:hAnsi="仿宋" w:eastAsia="仿宋" w:cs="仿宋"/>
          <w:color w:val="auto"/>
          <w:sz w:val="24"/>
          <w:highlight w:val="none"/>
        </w:rPr>
      </w:pPr>
    </w:p>
    <w:p w14:paraId="682B9F4C">
      <w:pPr>
        <w:pStyle w:val="2"/>
        <w:rPr>
          <w:rFonts w:hint="eastAsia"/>
          <w:color w:val="auto"/>
          <w:highlight w:val="none"/>
        </w:rPr>
      </w:pPr>
    </w:p>
    <w:p w14:paraId="113B7F02">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仿宋" w:hAnsi="仿宋" w:eastAsia="仿宋" w:cs="仿宋"/>
          <w:b/>
          <w:color w:val="auto"/>
          <w:sz w:val="36"/>
          <w:szCs w:val="20"/>
          <w:highlight w:val="none"/>
        </w:rPr>
      </w:pPr>
      <w:bookmarkStart w:id="408" w:name="_Toc32709"/>
      <w:r>
        <w:rPr>
          <w:rFonts w:hint="eastAsia" w:ascii="仿宋" w:hAnsi="仿宋" w:eastAsia="仿宋" w:cs="仿宋"/>
          <w:b/>
          <w:color w:val="auto"/>
          <w:sz w:val="36"/>
          <w:szCs w:val="20"/>
          <w:highlight w:val="none"/>
        </w:rPr>
        <w:t>第六部分</w:t>
      </w:r>
      <w:bookmarkEnd w:id="403"/>
      <w:r>
        <w:rPr>
          <w:rFonts w:hint="eastAsia" w:ascii="仿宋" w:hAnsi="仿宋" w:eastAsia="仿宋" w:cs="仿宋"/>
          <w:b/>
          <w:color w:val="auto"/>
          <w:sz w:val="36"/>
          <w:szCs w:val="20"/>
          <w:highlight w:val="none"/>
        </w:rPr>
        <w:t xml:space="preserve"> </w:t>
      </w:r>
      <w:bookmarkEnd w:id="404"/>
      <w:r>
        <w:rPr>
          <w:rFonts w:hint="eastAsia" w:ascii="仿宋" w:hAnsi="仿宋" w:eastAsia="仿宋" w:cs="仿宋"/>
          <w:b/>
          <w:color w:val="auto"/>
          <w:sz w:val="36"/>
          <w:szCs w:val="20"/>
          <w:highlight w:val="none"/>
        </w:rPr>
        <w:t>应提交的有关格式范例</w:t>
      </w:r>
      <w:bookmarkEnd w:id="408"/>
    </w:p>
    <w:p w14:paraId="62B5B018">
      <w:pPr>
        <w:spacing w:line="360" w:lineRule="auto"/>
        <w:jc w:val="center"/>
        <w:outlineLvl w:val="0"/>
        <w:rPr>
          <w:rFonts w:hint="eastAsia" w:ascii="仿宋" w:hAnsi="仿宋" w:eastAsia="仿宋" w:cs="仿宋"/>
          <w:b/>
          <w:color w:val="auto"/>
          <w:kern w:val="0"/>
          <w:sz w:val="36"/>
          <w:szCs w:val="36"/>
          <w:highlight w:val="none"/>
        </w:rPr>
      </w:pPr>
    </w:p>
    <w:p w14:paraId="69B78004">
      <w:pPr>
        <w:spacing w:line="360" w:lineRule="auto"/>
        <w:jc w:val="center"/>
        <w:outlineLvl w:val="0"/>
        <w:rPr>
          <w:rFonts w:hint="eastAsia" w:ascii="仿宋" w:hAnsi="仿宋" w:eastAsia="仿宋" w:cs="仿宋"/>
          <w:b/>
          <w:color w:val="auto"/>
          <w:kern w:val="0"/>
          <w:sz w:val="36"/>
          <w:szCs w:val="36"/>
          <w:highlight w:val="none"/>
        </w:rPr>
      </w:pPr>
      <w:bookmarkStart w:id="409" w:name="_Toc18831"/>
      <w:r>
        <w:rPr>
          <w:rFonts w:hint="eastAsia" w:ascii="仿宋" w:hAnsi="仿宋" w:eastAsia="仿宋" w:cs="仿宋"/>
          <w:b/>
          <w:color w:val="auto"/>
          <w:kern w:val="0"/>
          <w:sz w:val="36"/>
          <w:szCs w:val="36"/>
          <w:highlight w:val="none"/>
        </w:rPr>
        <w:t>资格文件部分</w:t>
      </w:r>
      <w:bookmarkEnd w:id="409"/>
    </w:p>
    <w:p w14:paraId="2459D7E3">
      <w:pPr>
        <w:spacing w:line="360" w:lineRule="auto"/>
        <w:jc w:val="center"/>
        <w:outlineLvl w:val="0"/>
        <w:rPr>
          <w:rFonts w:hint="eastAsia" w:ascii="仿宋" w:hAnsi="仿宋" w:eastAsia="仿宋" w:cs="仿宋"/>
          <w:b/>
          <w:color w:val="auto"/>
          <w:kern w:val="0"/>
          <w:sz w:val="36"/>
          <w:szCs w:val="36"/>
          <w:highlight w:val="none"/>
        </w:rPr>
      </w:pPr>
      <w:bookmarkStart w:id="410" w:name="_Toc20387"/>
      <w:r>
        <w:rPr>
          <w:rFonts w:hint="eastAsia" w:ascii="仿宋" w:hAnsi="仿宋" w:eastAsia="仿宋" w:cs="仿宋"/>
          <w:b/>
          <w:color w:val="auto"/>
          <w:kern w:val="0"/>
          <w:sz w:val="36"/>
          <w:szCs w:val="36"/>
          <w:highlight w:val="none"/>
        </w:rPr>
        <w:t>目录</w:t>
      </w:r>
      <w:bookmarkEnd w:id="410"/>
    </w:p>
    <w:p w14:paraId="6BF00C8C">
      <w:pPr>
        <w:spacing w:line="360" w:lineRule="auto"/>
        <w:jc w:val="center"/>
        <w:outlineLvl w:val="0"/>
        <w:rPr>
          <w:rFonts w:hint="eastAsia" w:ascii="仿宋" w:hAnsi="仿宋" w:eastAsia="仿宋" w:cs="仿宋"/>
          <w:b/>
          <w:color w:val="auto"/>
          <w:kern w:val="0"/>
          <w:sz w:val="36"/>
          <w:szCs w:val="36"/>
          <w:highlight w:val="none"/>
        </w:rPr>
      </w:pPr>
    </w:p>
    <w:p w14:paraId="062925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A6DA460">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9CD83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2CC28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BD9EF90">
      <w:pPr>
        <w:snapToGrid w:val="0"/>
        <w:spacing w:line="360" w:lineRule="auto"/>
        <w:ind w:firstLine="480" w:firstLineChars="200"/>
        <w:rPr>
          <w:rFonts w:hint="eastAsia" w:ascii="仿宋" w:hAnsi="仿宋" w:eastAsia="仿宋" w:cs="仿宋"/>
          <w:color w:val="auto"/>
          <w:sz w:val="24"/>
          <w:highlight w:val="none"/>
        </w:rPr>
      </w:pPr>
    </w:p>
    <w:p w14:paraId="4F3835EC">
      <w:pPr>
        <w:spacing w:line="360" w:lineRule="auto"/>
        <w:ind w:firstLine="480" w:firstLineChars="200"/>
        <w:rPr>
          <w:rFonts w:hint="eastAsia" w:ascii="仿宋" w:hAnsi="仿宋" w:eastAsia="仿宋" w:cs="仿宋"/>
          <w:color w:val="auto"/>
          <w:sz w:val="24"/>
          <w:highlight w:val="none"/>
        </w:rPr>
      </w:pPr>
    </w:p>
    <w:p w14:paraId="012B59A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344567AE">
      <w:pPr>
        <w:snapToGrid w:val="0"/>
        <w:spacing w:line="360" w:lineRule="auto"/>
        <w:rPr>
          <w:rFonts w:ascii="仿宋" w:hAnsi="仿宋" w:eastAsia="仿宋" w:cs="仿宋_GB2312"/>
          <w:color w:val="auto"/>
          <w:sz w:val="24"/>
          <w:szCs w:val="24"/>
          <w:highlight w:val="none"/>
          <w:u w:val="single"/>
        </w:rPr>
      </w:pPr>
      <w:r>
        <w:rPr>
          <w:rFonts w:hint="eastAsia" w:ascii="仿宋" w:hAnsi="仿宋" w:eastAsia="仿宋" w:cs="仿宋_GB2312"/>
          <w:color w:val="auto"/>
          <w:sz w:val="24"/>
          <w:szCs w:val="24"/>
          <w:highlight w:val="none"/>
          <w:u w:val="single"/>
        </w:rPr>
        <w:t>杭州市行政大楼服务保障中心、建正工程咨询有限公司：</w:t>
      </w:r>
    </w:p>
    <w:p w14:paraId="53D3AB9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杭州市市民中心公务服务及会议中心劳务服务外包人员经费</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rPr>
        <w:t>【招标编号：</w:t>
      </w:r>
      <w:r>
        <w:rPr>
          <w:rFonts w:hint="eastAsia" w:ascii="仿宋" w:hAnsi="仿宋" w:eastAsia="仿宋" w:cs="仿宋"/>
          <w:b/>
          <w:bCs/>
          <w:color w:val="auto"/>
          <w:sz w:val="24"/>
          <w:szCs w:val="24"/>
          <w:highlight w:val="none"/>
          <w:u w:val="single"/>
          <w:lang w:val="en-US" w:eastAsia="zh-CN"/>
        </w:rPr>
        <w:t>DL[2024]387</w:t>
      </w:r>
      <w:r>
        <w:rPr>
          <w:rFonts w:hint="eastAsia" w:ascii="仿宋" w:hAnsi="仿宋" w:eastAsia="仿宋" w:cs="仿宋"/>
          <w:b/>
          <w:bCs/>
          <w:color w:val="auto"/>
          <w:sz w:val="24"/>
          <w:szCs w:val="24"/>
          <w:highlight w:val="none"/>
          <w:u w:val="single"/>
        </w:rPr>
        <w:t>】</w:t>
      </w:r>
      <w:r>
        <w:rPr>
          <w:rFonts w:hint="eastAsia" w:ascii="仿宋" w:hAnsi="仿宋" w:eastAsia="仿宋" w:cs="仿宋"/>
          <w:color w:val="auto"/>
          <w:sz w:val="24"/>
          <w:szCs w:val="24"/>
          <w:highlight w:val="none"/>
        </w:rPr>
        <w:t>政府采购活动，郑重承诺：</w:t>
      </w:r>
    </w:p>
    <w:p w14:paraId="0DD9FEBF">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14:paraId="65C87A7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1、具有独立承担</w:t>
      </w:r>
      <w:r>
        <w:rPr>
          <w:rFonts w:hint="eastAsia" w:ascii="仿宋" w:hAnsi="仿宋" w:eastAsia="仿宋" w:cs="仿宋"/>
          <w:color w:val="auto"/>
          <w:sz w:val="24"/>
          <w:highlight w:val="none"/>
        </w:rPr>
        <w:t>民事责任的能力；</w:t>
      </w:r>
    </w:p>
    <w:p w14:paraId="3853E3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D60AA2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2D96F8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6F3D8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29486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889105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CE2204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C18FC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998801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FE31ADD">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26EED7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846FC59">
      <w:pPr>
        <w:snapToGrid w:val="0"/>
        <w:spacing w:line="360" w:lineRule="auto"/>
        <w:ind w:right="480"/>
        <w:jc w:val="center"/>
        <w:rPr>
          <w:rFonts w:hint="eastAsia" w:ascii="仿宋" w:hAnsi="仿宋" w:eastAsia="仿宋" w:cs="仿宋"/>
          <w:b/>
          <w:color w:val="auto"/>
          <w:kern w:val="0"/>
          <w:sz w:val="32"/>
          <w:szCs w:val="32"/>
          <w:highlight w:val="none"/>
        </w:rPr>
      </w:pPr>
    </w:p>
    <w:p w14:paraId="3A9DA67D">
      <w:pPr>
        <w:snapToGrid w:val="0"/>
        <w:spacing w:line="360" w:lineRule="auto"/>
        <w:ind w:right="480"/>
        <w:jc w:val="center"/>
        <w:rPr>
          <w:rFonts w:hint="eastAsia" w:ascii="仿宋" w:hAnsi="仿宋" w:eastAsia="仿宋" w:cs="仿宋"/>
          <w:b/>
          <w:color w:val="auto"/>
          <w:kern w:val="0"/>
          <w:sz w:val="32"/>
          <w:szCs w:val="32"/>
          <w:highlight w:val="none"/>
        </w:rPr>
      </w:pPr>
    </w:p>
    <w:p w14:paraId="7C6ABB8D">
      <w:pPr>
        <w:snapToGrid w:val="0"/>
        <w:spacing w:line="360" w:lineRule="auto"/>
        <w:ind w:right="480"/>
        <w:jc w:val="center"/>
        <w:rPr>
          <w:rFonts w:hint="eastAsia" w:ascii="仿宋" w:hAnsi="仿宋" w:eastAsia="仿宋" w:cs="仿宋"/>
          <w:b/>
          <w:color w:val="auto"/>
          <w:kern w:val="0"/>
          <w:sz w:val="32"/>
          <w:szCs w:val="32"/>
          <w:highlight w:val="none"/>
        </w:rPr>
      </w:pPr>
    </w:p>
    <w:p w14:paraId="44C7446C">
      <w:pPr>
        <w:rPr>
          <w:rFonts w:hint="eastAsia" w:ascii="仿宋" w:hAnsi="仿宋" w:eastAsia="仿宋" w:cs="仿宋"/>
          <w:color w:val="auto"/>
          <w:highlight w:val="none"/>
        </w:rPr>
      </w:pPr>
    </w:p>
    <w:p w14:paraId="6B362245">
      <w:pPr>
        <w:snapToGrid w:val="0"/>
        <w:spacing w:line="360" w:lineRule="auto"/>
        <w:ind w:right="480"/>
        <w:jc w:val="center"/>
        <w:rPr>
          <w:rFonts w:hint="eastAsia" w:ascii="仿宋" w:hAnsi="仿宋" w:eastAsia="仿宋" w:cs="仿宋"/>
          <w:b/>
          <w:color w:val="auto"/>
          <w:kern w:val="0"/>
          <w:sz w:val="32"/>
          <w:szCs w:val="32"/>
          <w:highlight w:val="none"/>
        </w:rPr>
      </w:pPr>
    </w:p>
    <w:p w14:paraId="541A6C70">
      <w:pPr>
        <w:snapToGrid w:val="0"/>
        <w:spacing w:line="360" w:lineRule="auto"/>
        <w:ind w:right="480"/>
        <w:jc w:val="center"/>
        <w:rPr>
          <w:rFonts w:hint="eastAsia" w:ascii="仿宋" w:hAnsi="仿宋" w:eastAsia="仿宋" w:cs="仿宋"/>
          <w:b/>
          <w:color w:val="auto"/>
          <w:kern w:val="0"/>
          <w:sz w:val="32"/>
          <w:szCs w:val="32"/>
          <w:highlight w:val="none"/>
        </w:rPr>
      </w:pPr>
    </w:p>
    <w:p w14:paraId="484F2018">
      <w:pPr>
        <w:snapToGrid w:val="0"/>
        <w:spacing w:line="360" w:lineRule="auto"/>
        <w:ind w:right="480"/>
        <w:jc w:val="center"/>
        <w:rPr>
          <w:rFonts w:hint="eastAsia" w:ascii="仿宋" w:hAnsi="仿宋" w:eastAsia="仿宋" w:cs="仿宋"/>
          <w:b/>
          <w:color w:val="auto"/>
          <w:kern w:val="0"/>
          <w:sz w:val="32"/>
          <w:szCs w:val="32"/>
          <w:highlight w:val="none"/>
        </w:rPr>
      </w:pPr>
    </w:p>
    <w:p w14:paraId="109202A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839C9A9">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74B22E4">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6C213C41">
      <w:pPr>
        <w:snapToGrid w:val="0"/>
        <w:spacing w:line="360" w:lineRule="auto"/>
        <w:ind w:right="480"/>
        <w:jc w:val="center"/>
        <w:rPr>
          <w:rFonts w:hint="eastAsia" w:ascii="仿宋" w:hAnsi="仿宋" w:eastAsia="仿宋" w:cs="仿宋"/>
          <w:b/>
          <w:color w:val="auto"/>
          <w:kern w:val="0"/>
          <w:sz w:val="32"/>
          <w:szCs w:val="32"/>
          <w:highlight w:val="none"/>
        </w:rPr>
      </w:pPr>
    </w:p>
    <w:p w14:paraId="05845DD8">
      <w:pPr>
        <w:snapToGrid w:val="0"/>
        <w:spacing w:line="360" w:lineRule="auto"/>
        <w:ind w:right="480"/>
        <w:jc w:val="center"/>
        <w:rPr>
          <w:rFonts w:hint="eastAsia" w:ascii="仿宋" w:hAnsi="仿宋" w:eastAsia="仿宋" w:cs="仿宋"/>
          <w:b/>
          <w:color w:val="auto"/>
          <w:kern w:val="0"/>
          <w:sz w:val="32"/>
          <w:szCs w:val="32"/>
          <w:highlight w:val="none"/>
        </w:rPr>
      </w:pPr>
    </w:p>
    <w:p w14:paraId="302EBB1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FEAF8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1276F74">
      <w:pPr>
        <w:snapToGrid w:val="0"/>
        <w:spacing w:before="50" w:after="50" w:line="360" w:lineRule="auto"/>
        <w:ind w:firstLine="472" w:firstLineChars="196"/>
        <w:jc w:val="left"/>
        <w:rPr>
          <w:rFonts w:hint="eastAsia" w:ascii="仿宋" w:hAnsi="仿宋" w:eastAsia="仿宋" w:cs="仿宋"/>
          <w:b/>
          <w:bCs w:val="0"/>
          <w:color w:val="auto"/>
          <w:sz w:val="24"/>
          <w:highlight w:val="none"/>
          <w:u w:val="single"/>
        </w:rPr>
      </w:pPr>
      <w:r>
        <w:rPr>
          <w:rFonts w:hint="eastAsia" w:ascii="仿宋" w:hAnsi="仿宋" w:eastAsia="仿宋" w:cs="仿宋"/>
          <w:b/>
          <w:bCs w:val="0"/>
          <w:color w:val="auto"/>
          <w:sz w:val="24"/>
          <w:highlight w:val="none"/>
          <w:u w:val="single"/>
        </w:rPr>
        <w:t>A.</w:t>
      </w:r>
      <w:r>
        <w:rPr>
          <w:rFonts w:hint="eastAsia" w:ascii="仿宋" w:hAnsi="仿宋" w:eastAsia="仿宋" w:cs="仿宋"/>
          <w:b/>
          <w:bCs w:val="0"/>
          <w:color w:val="auto"/>
          <w:sz w:val="24"/>
          <w:highlight w:val="none"/>
          <w:u w:val="single"/>
          <w:lang w:val="en-US" w:eastAsia="zh-CN"/>
        </w:rPr>
        <w:t>本项目</w:t>
      </w:r>
      <w:r>
        <w:rPr>
          <w:rFonts w:hint="eastAsia" w:ascii="仿宋" w:hAnsi="仿宋" w:eastAsia="仿宋" w:cs="仿宋"/>
          <w:b/>
          <w:bCs w:val="0"/>
          <w:color w:val="auto"/>
          <w:sz w:val="24"/>
          <w:highlight w:val="none"/>
          <w:u w:val="single"/>
        </w:rPr>
        <w:t xml:space="preserve">专门面向中小企业，服务全部由符合政策要求的中小企业（或小微企业）承接，提供相应的中小企业声明函（附件7）。 </w:t>
      </w:r>
      <w:bookmarkStart w:id="429" w:name="_GoBack"/>
      <w:bookmarkEnd w:id="429"/>
    </w:p>
    <w:p w14:paraId="2CCEBB5F">
      <w:pPr>
        <w:widowControl/>
        <w:spacing w:line="360" w:lineRule="auto"/>
        <w:ind w:firstLine="480"/>
        <w:jc w:val="left"/>
        <w:rPr>
          <w:rFonts w:hint="eastAsia" w:ascii="仿宋" w:hAnsi="仿宋" w:eastAsia="仿宋" w:cs="仿宋"/>
          <w:b w:val="0"/>
          <w:bCs w:val="0"/>
          <w:color w:val="auto"/>
          <w:sz w:val="24"/>
          <w:highlight w:val="none"/>
        </w:rPr>
      </w:pPr>
    </w:p>
    <w:p w14:paraId="03AE89CB">
      <w:pPr>
        <w:widowControl/>
        <w:spacing w:line="360" w:lineRule="auto"/>
        <w:ind w:left="150"/>
        <w:jc w:val="center"/>
        <w:rPr>
          <w:rFonts w:hint="eastAsia" w:ascii="仿宋" w:hAnsi="仿宋" w:eastAsia="仿宋" w:cs="仿宋"/>
          <w:b/>
          <w:color w:val="auto"/>
          <w:kern w:val="0"/>
          <w:sz w:val="32"/>
          <w:szCs w:val="32"/>
          <w:highlight w:val="none"/>
        </w:rPr>
      </w:pPr>
    </w:p>
    <w:p w14:paraId="406CBA34">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4BBF48F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A62DFEA">
      <w:pPr>
        <w:rPr>
          <w:rFonts w:hint="eastAsia" w:ascii="仿宋" w:hAnsi="仿宋" w:eastAsia="仿宋" w:cs="仿宋"/>
          <w:color w:val="auto"/>
          <w:highlight w:val="none"/>
        </w:rPr>
      </w:pPr>
    </w:p>
    <w:p w14:paraId="1B4D4BEC">
      <w:pPr>
        <w:snapToGrid w:val="0"/>
        <w:spacing w:line="360" w:lineRule="auto"/>
        <w:ind w:right="480"/>
        <w:jc w:val="center"/>
        <w:rPr>
          <w:rFonts w:hint="eastAsia" w:ascii="仿宋" w:hAnsi="仿宋" w:eastAsia="仿宋" w:cs="仿宋"/>
          <w:b/>
          <w:color w:val="auto"/>
          <w:kern w:val="0"/>
          <w:sz w:val="32"/>
          <w:szCs w:val="32"/>
          <w:highlight w:val="none"/>
        </w:rPr>
      </w:pPr>
    </w:p>
    <w:p w14:paraId="01F47492">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D7E963A">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AEE16B6">
      <w:pPr>
        <w:spacing w:line="360" w:lineRule="auto"/>
        <w:jc w:val="center"/>
        <w:outlineLvl w:val="0"/>
        <w:rPr>
          <w:rFonts w:hint="eastAsia" w:ascii="仿宋" w:hAnsi="仿宋" w:eastAsia="仿宋" w:cs="仿宋"/>
          <w:b/>
          <w:color w:val="auto"/>
          <w:kern w:val="0"/>
          <w:sz w:val="24"/>
          <w:highlight w:val="none"/>
        </w:rPr>
      </w:pPr>
    </w:p>
    <w:p w14:paraId="17AF328D">
      <w:pPr>
        <w:spacing w:line="360" w:lineRule="auto"/>
        <w:jc w:val="center"/>
        <w:outlineLvl w:val="0"/>
        <w:rPr>
          <w:rFonts w:hint="eastAsia" w:ascii="仿宋" w:hAnsi="仿宋" w:eastAsia="仿宋" w:cs="仿宋"/>
          <w:b/>
          <w:color w:val="auto"/>
          <w:kern w:val="0"/>
          <w:sz w:val="28"/>
          <w:szCs w:val="28"/>
          <w:highlight w:val="none"/>
        </w:rPr>
      </w:pPr>
      <w:bookmarkStart w:id="411" w:name="_Toc24000"/>
      <w:r>
        <w:rPr>
          <w:rFonts w:hint="eastAsia" w:ascii="仿宋" w:hAnsi="仿宋" w:eastAsia="仿宋" w:cs="仿宋"/>
          <w:b/>
          <w:color w:val="auto"/>
          <w:kern w:val="0"/>
          <w:sz w:val="28"/>
          <w:szCs w:val="28"/>
          <w:highlight w:val="none"/>
        </w:rPr>
        <w:t>目录</w:t>
      </w:r>
      <w:bookmarkEnd w:id="411"/>
    </w:p>
    <w:p w14:paraId="13A956A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0E570A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1CA4155">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B66846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5BFF629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6769311">
      <w:pPr>
        <w:snapToGrid w:val="0"/>
        <w:spacing w:line="360" w:lineRule="auto"/>
        <w:jc w:val="center"/>
        <w:rPr>
          <w:rFonts w:hint="eastAsia" w:ascii="仿宋" w:hAnsi="仿宋" w:eastAsia="仿宋" w:cs="仿宋"/>
          <w:b/>
          <w:color w:val="auto"/>
          <w:kern w:val="0"/>
          <w:sz w:val="32"/>
          <w:szCs w:val="32"/>
          <w:highlight w:val="none"/>
          <w:lang w:val="zh-CN"/>
        </w:rPr>
      </w:pPr>
    </w:p>
    <w:p w14:paraId="2AD9EEB6">
      <w:pPr>
        <w:snapToGrid w:val="0"/>
        <w:spacing w:line="360" w:lineRule="auto"/>
        <w:jc w:val="center"/>
        <w:rPr>
          <w:rFonts w:hint="eastAsia" w:ascii="仿宋" w:hAnsi="仿宋" w:eastAsia="仿宋" w:cs="仿宋"/>
          <w:b/>
          <w:color w:val="auto"/>
          <w:kern w:val="0"/>
          <w:sz w:val="32"/>
          <w:szCs w:val="32"/>
          <w:highlight w:val="none"/>
          <w:lang w:val="zh-CN"/>
        </w:rPr>
      </w:pPr>
    </w:p>
    <w:p w14:paraId="7F2478CD">
      <w:pPr>
        <w:snapToGrid w:val="0"/>
        <w:spacing w:line="360" w:lineRule="auto"/>
        <w:jc w:val="center"/>
        <w:rPr>
          <w:rFonts w:hint="eastAsia" w:ascii="仿宋" w:hAnsi="仿宋" w:eastAsia="仿宋" w:cs="仿宋"/>
          <w:b/>
          <w:color w:val="auto"/>
          <w:kern w:val="0"/>
          <w:sz w:val="32"/>
          <w:szCs w:val="32"/>
          <w:highlight w:val="none"/>
          <w:lang w:val="zh-CN"/>
        </w:rPr>
      </w:pPr>
    </w:p>
    <w:p w14:paraId="5A52E1A5">
      <w:pPr>
        <w:snapToGrid w:val="0"/>
        <w:spacing w:line="360" w:lineRule="auto"/>
        <w:jc w:val="center"/>
        <w:rPr>
          <w:rFonts w:hint="eastAsia" w:ascii="仿宋" w:hAnsi="仿宋" w:eastAsia="仿宋" w:cs="仿宋"/>
          <w:b/>
          <w:color w:val="auto"/>
          <w:kern w:val="0"/>
          <w:sz w:val="32"/>
          <w:szCs w:val="32"/>
          <w:highlight w:val="none"/>
          <w:lang w:val="zh-CN"/>
        </w:rPr>
      </w:pPr>
    </w:p>
    <w:p w14:paraId="3F8BA3A1">
      <w:pPr>
        <w:snapToGrid w:val="0"/>
        <w:spacing w:line="360" w:lineRule="auto"/>
        <w:jc w:val="center"/>
        <w:rPr>
          <w:rFonts w:hint="eastAsia" w:ascii="仿宋" w:hAnsi="仿宋" w:eastAsia="仿宋" w:cs="仿宋"/>
          <w:b/>
          <w:color w:val="auto"/>
          <w:kern w:val="0"/>
          <w:sz w:val="32"/>
          <w:szCs w:val="32"/>
          <w:highlight w:val="none"/>
          <w:lang w:val="zh-CN"/>
        </w:rPr>
      </w:pPr>
    </w:p>
    <w:p w14:paraId="549A6446">
      <w:pPr>
        <w:snapToGrid w:val="0"/>
        <w:spacing w:line="360" w:lineRule="auto"/>
        <w:jc w:val="center"/>
        <w:rPr>
          <w:rFonts w:hint="eastAsia" w:ascii="仿宋" w:hAnsi="仿宋" w:eastAsia="仿宋" w:cs="仿宋"/>
          <w:b/>
          <w:color w:val="auto"/>
          <w:kern w:val="0"/>
          <w:sz w:val="32"/>
          <w:szCs w:val="32"/>
          <w:highlight w:val="none"/>
          <w:lang w:val="zh-CN"/>
        </w:rPr>
      </w:pPr>
    </w:p>
    <w:p w14:paraId="6804E3A8">
      <w:pPr>
        <w:snapToGrid w:val="0"/>
        <w:spacing w:line="360" w:lineRule="auto"/>
        <w:jc w:val="center"/>
        <w:rPr>
          <w:rFonts w:hint="eastAsia" w:ascii="仿宋" w:hAnsi="仿宋" w:eastAsia="仿宋" w:cs="仿宋"/>
          <w:b/>
          <w:color w:val="auto"/>
          <w:kern w:val="0"/>
          <w:sz w:val="32"/>
          <w:szCs w:val="32"/>
          <w:highlight w:val="none"/>
          <w:lang w:val="zh-CN"/>
        </w:rPr>
      </w:pPr>
    </w:p>
    <w:p w14:paraId="703632B0">
      <w:pPr>
        <w:snapToGrid w:val="0"/>
        <w:spacing w:line="360" w:lineRule="auto"/>
        <w:jc w:val="center"/>
        <w:rPr>
          <w:rFonts w:hint="eastAsia" w:ascii="仿宋" w:hAnsi="仿宋" w:eastAsia="仿宋" w:cs="仿宋"/>
          <w:b/>
          <w:color w:val="auto"/>
          <w:kern w:val="0"/>
          <w:sz w:val="32"/>
          <w:szCs w:val="32"/>
          <w:highlight w:val="none"/>
          <w:lang w:val="zh-CN"/>
        </w:rPr>
      </w:pPr>
    </w:p>
    <w:p w14:paraId="5F5C8FD6">
      <w:pPr>
        <w:snapToGrid w:val="0"/>
        <w:spacing w:line="360" w:lineRule="auto"/>
        <w:jc w:val="center"/>
        <w:rPr>
          <w:rFonts w:hint="eastAsia" w:ascii="仿宋" w:hAnsi="仿宋" w:eastAsia="仿宋" w:cs="仿宋"/>
          <w:b/>
          <w:color w:val="auto"/>
          <w:kern w:val="0"/>
          <w:sz w:val="32"/>
          <w:szCs w:val="32"/>
          <w:highlight w:val="none"/>
          <w:lang w:val="zh-CN"/>
        </w:rPr>
      </w:pPr>
    </w:p>
    <w:p w14:paraId="6D91E29B">
      <w:pPr>
        <w:snapToGrid w:val="0"/>
        <w:spacing w:line="360" w:lineRule="auto"/>
        <w:jc w:val="center"/>
        <w:rPr>
          <w:rFonts w:hint="eastAsia" w:ascii="仿宋" w:hAnsi="仿宋" w:eastAsia="仿宋" w:cs="仿宋"/>
          <w:b/>
          <w:color w:val="auto"/>
          <w:kern w:val="0"/>
          <w:sz w:val="32"/>
          <w:szCs w:val="32"/>
          <w:highlight w:val="none"/>
          <w:lang w:val="zh-CN"/>
        </w:rPr>
      </w:pPr>
    </w:p>
    <w:p w14:paraId="606ABC5D">
      <w:pPr>
        <w:snapToGrid w:val="0"/>
        <w:spacing w:line="360" w:lineRule="auto"/>
        <w:jc w:val="center"/>
        <w:rPr>
          <w:rFonts w:hint="eastAsia" w:ascii="仿宋" w:hAnsi="仿宋" w:eastAsia="仿宋" w:cs="仿宋"/>
          <w:b/>
          <w:color w:val="auto"/>
          <w:kern w:val="0"/>
          <w:sz w:val="32"/>
          <w:szCs w:val="32"/>
          <w:highlight w:val="none"/>
          <w:lang w:val="zh-CN"/>
        </w:rPr>
      </w:pPr>
    </w:p>
    <w:p w14:paraId="267FC044">
      <w:pPr>
        <w:snapToGrid w:val="0"/>
        <w:spacing w:line="360" w:lineRule="auto"/>
        <w:jc w:val="center"/>
        <w:rPr>
          <w:rFonts w:hint="eastAsia" w:ascii="仿宋" w:hAnsi="仿宋" w:eastAsia="仿宋" w:cs="仿宋"/>
          <w:b/>
          <w:color w:val="auto"/>
          <w:kern w:val="0"/>
          <w:sz w:val="32"/>
          <w:szCs w:val="32"/>
          <w:highlight w:val="none"/>
          <w:lang w:val="zh-CN"/>
        </w:rPr>
      </w:pPr>
    </w:p>
    <w:p w14:paraId="23086961">
      <w:pPr>
        <w:rPr>
          <w:rFonts w:hint="eastAsia" w:ascii="仿宋" w:hAnsi="仿宋" w:eastAsia="仿宋" w:cs="仿宋"/>
          <w:b/>
          <w:color w:val="auto"/>
          <w:kern w:val="0"/>
          <w:sz w:val="32"/>
          <w:szCs w:val="32"/>
          <w:highlight w:val="none"/>
          <w:lang w:val="zh-CN"/>
        </w:rPr>
      </w:pPr>
    </w:p>
    <w:p w14:paraId="37EE559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4C17A17">
      <w:pPr>
        <w:snapToGrid w:val="0"/>
        <w:spacing w:line="360" w:lineRule="auto"/>
        <w:jc w:val="center"/>
        <w:outlineLvl w:val="0"/>
        <w:rPr>
          <w:rFonts w:hint="eastAsia" w:ascii="仿宋" w:hAnsi="仿宋" w:eastAsia="仿宋" w:cs="仿宋"/>
          <w:b/>
          <w:color w:val="auto"/>
          <w:sz w:val="32"/>
          <w:szCs w:val="32"/>
          <w:highlight w:val="none"/>
        </w:rPr>
      </w:pPr>
      <w:bookmarkStart w:id="412" w:name="_Toc12882"/>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bookmarkEnd w:id="412"/>
    </w:p>
    <w:p w14:paraId="5D1716DF">
      <w:pPr>
        <w:snapToGrid w:val="0"/>
        <w:spacing w:line="360" w:lineRule="auto"/>
        <w:rPr>
          <w:rFonts w:ascii="仿宋" w:hAnsi="仿宋" w:eastAsia="仿宋" w:cs="仿宋_GB2312"/>
          <w:b/>
          <w:bCs/>
          <w:color w:val="auto"/>
          <w:sz w:val="24"/>
          <w:szCs w:val="24"/>
          <w:highlight w:val="none"/>
          <w:u w:val="single"/>
        </w:rPr>
      </w:pPr>
      <w:r>
        <w:rPr>
          <w:rFonts w:hint="eastAsia" w:ascii="仿宋" w:hAnsi="仿宋" w:eastAsia="仿宋" w:cs="仿宋_GB2312"/>
          <w:b/>
          <w:bCs/>
          <w:color w:val="auto"/>
          <w:sz w:val="24"/>
          <w:szCs w:val="24"/>
          <w:highlight w:val="none"/>
          <w:u w:val="single"/>
        </w:rPr>
        <w:t>杭州市行政大楼服务保障中心、建正工程咨询有限公司：</w:t>
      </w:r>
    </w:p>
    <w:p w14:paraId="709066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杭州市市民中心公务服务及会议中心劳务服务外包人员经费</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rPr>
        <w:t>【招标编号：</w:t>
      </w:r>
      <w:r>
        <w:rPr>
          <w:rFonts w:hint="eastAsia" w:ascii="仿宋" w:hAnsi="仿宋" w:eastAsia="仿宋" w:cs="仿宋"/>
          <w:b/>
          <w:bCs/>
          <w:color w:val="auto"/>
          <w:sz w:val="24"/>
          <w:szCs w:val="24"/>
          <w:highlight w:val="none"/>
          <w:u w:val="single"/>
          <w:lang w:val="en-US" w:eastAsia="zh-CN"/>
        </w:rPr>
        <w:t>DL[2024]387</w:t>
      </w:r>
      <w:r>
        <w:rPr>
          <w:rFonts w:hint="eastAsia" w:ascii="仿宋" w:hAnsi="仿宋" w:eastAsia="仿宋" w:cs="仿宋"/>
          <w:b/>
          <w:bCs/>
          <w:color w:val="auto"/>
          <w:sz w:val="24"/>
          <w:szCs w:val="24"/>
          <w:highlight w:val="none"/>
          <w:u w:val="single"/>
        </w:rPr>
        <w:t>】</w:t>
      </w:r>
      <w:r>
        <w:rPr>
          <w:rFonts w:hint="eastAsia" w:ascii="仿宋" w:hAnsi="仿宋" w:eastAsia="仿宋" w:cs="仿宋"/>
          <w:color w:val="auto"/>
          <w:sz w:val="24"/>
          <w:highlight w:val="none"/>
        </w:rPr>
        <w:t>招标的有关活动，并对此项目进行投标。为此：</w:t>
      </w:r>
    </w:p>
    <w:p w14:paraId="00B23EB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52DA1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E693CC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CCC264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132EC3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13" w:name="_Hlk101257010"/>
      <w:r>
        <w:rPr>
          <w:rFonts w:hint="eastAsia" w:ascii="仿宋" w:hAnsi="仿宋" w:eastAsia="仿宋" w:cs="仿宋"/>
          <w:color w:val="auto"/>
          <w:sz w:val="24"/>
          <w:highlight w:val="none"/>
        </w:rPr>
        <w:t>（如果有)</w:t>
      </w:r>
      <w:bookmarkEnd w:id="413"/>
      <w:r>
        <w:rPr>
          <w:rFonts w:hint="eastAsia" w:ascii="仿宋" w:hAnsi="仿宋" w:eastAsia="仿宋" w:cs="仿宋"/>
          <w:snapToGrid w:val="0"/>
          <w:color w:val="auto"/>
          <w:kern w:val="28"/>
          <w:sz w:val="24"/>
          <w:szCs w:val="20"/>
          <w:highlight w:val="none"/>
        </w:rPr>
        <w:t>；</w:t>
      </w:r>
    </w:p>
    <w:p w14:paraId="321A321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1A9E59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0CEFD7D">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6F2678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9C57D0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BDC79B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5C6767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1854CB8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DC28AB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761A6C0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0312BCF">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937972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2D68D4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089AB83">
      <w:pPr>
        <w:snapToGrid w:val="0"/>
        <w:spacing w:line="360" w:lineRule="auto"/>
        <w:ind w:firstLine="960" w:firstLineChars="4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 报价情况说明（如果有）；</w:t>
      </w:r>
    </w:p>
    <w:p w14:paraId="4459826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中小企业声明函（如果有）。</w:t>
      </w:r>
    </w:p>
    <w:p w14:paraId="1E19705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3、我方承诺除商务技术偏离表列出的偏离外，我方响应招标文件的全部要求。投标文件中材料的真实性、合法性负责。</w:t>
      </w:r>
    </w:p>
    <w:p w14:paraId="7523ED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F9086C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3A79EB1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0242F4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8BF7E7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B4F1AA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4AD557B">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71365E1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A58B27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B6E6E5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7AAB31F">
      <w:pPr>
        <w:snapToGrid w:val="0"/>
        <w:spacing w:line="360" w:lineRule="auto"/>
        <w:jc w:val="center"/>
        <w:rPr>
          <w:rFonts w:hint="eastAsia" w:ascii="仿宋" w:hAnsi="仿宋" w:eastAsia="仿宋" w:cs="仿宋"/>
          <w:b/>
          <w:color w:val="auto"/>
          <w:kern w:val="0"/>
          <w:sz w:val="32"/>
          <w:szCs w:val="32"/>
          <w:highlight w:val="none"/>
        </w:rPr>
      </w:pPr>
    </w:p>
    <w:p w14:paraId="31616D2B">
      <w:pPr>
        <w:snapToGrid w:val="0"/>
        <w:spacing w:line="360" w:lineRule="auto"/>
        <w:rPr>
          <w:rFonts w:hint="eastAsia" w:ascii="仿宋" w:hAnsi="仿宋" w:eastAsia="仿宋" w:cs="仿宋"/>
          <w:color w:val="auto"/>
          <w:sz w:val="24"/>
          <w:highlight w:val="none"/>
        </w:rPr>
      </w:pPr>
    </w:p>
    <w:p w14:paraId="3D65DED6">
      <w:pPr>
        <w:jc w:val="center"/>
        <w:rPr>
          <w:rFonts w:hint="eastAsia" w:ascii="仿宋" w:hAnsi="仿宋" w:eastAsia="仿宋" w:cs="仿宋"/>
          <w:b/>
          <w:color w:val="auto"/>
          <w:kern w:val="0"/>
          <w:sz w:val="32"/>
          <w:szCs w:val="32"/>
          <w:highlight w:val="none"/>
        </w:rPr>
      </w:pPr>
    </w:p>
    <w:p w14:paraId="02A4910D">
      <w:pPr>
        <w:jc w:val="center"/>
        <w:rPr>
          <w:rFonts w:hint="eastAsia" w:ascii="仿宋" w:hAnsi="仿宋" w:eastAsia="仿宋" w:cs="仿宋"/>
          <w:b/>
          <w:color w:val="auto"/>
          <w:kern w:val="0"/>
          <w:sz w:val="32"/>
          <w:szCs w:val="32"/>
          <w:highlight w:val="none"/>
        </w:rPr>
      </w:pPr>
    </w:p>
    <w:p w14:paraId="7B65A83A">
      <w:pPr>
        <w:jc w:val="center"/>
        <w:rPr>
          <w:rFonts w:hint="eastAsia" w:ascii="仿宋" w:hAnsi="仿宋" w:eastAsia="仿宋" w:cs="仿宋"/>
          <w:b/>
          <w:color w:val="auto"/>
          <w:kern w:val="0"/>
          <w:sz w:val="32"/>
          <w:szCs w:val="32"/>
          <w:highlight w:val="none"/>
        </w:rPr>
      </w:pPr>
    </w:p>
    <w:p w14:paraId="02FE1134">
      <w:pPr>
        <w:jc w:val="center"/>
        <w:rPr>
          <w:rFonts w:hint="eastAsia" w:ascii="仿宋" w:hAnsi="仿宋" w:eastAsia="仿宋" w:cs="仿宋"/>
          <w:b/>
          <w:color w:val="auto"/>
          <w:kern w:val="0"/>
          <w:sz w:val="32"/>
          <w:szCs w:val="32"/>
          <w:highlight w:val="none"/>
        </w:rPr>
      </w:pPr>
    </w:p>
    <w:p w14:paraId="780B00B2">
      <w:pPr>
        <w:jc w:val="center"/>
        <w:rPr>
          <w:rFonts w:hint="eastAsia" w:ascii="仿宋" w:hAnsi="仿宋" w:eastAsia="仿宋" w:cs="仿宋"/>
          <w:b/>
          <w:color w:val="auto"/>
          <w:kern w:val="0"/>
          <w:sz w:val="32"/>
          <w:szCs w:val="32"/>
          <w:highlight w:val="none"/>
        </w:rPr>
      </w:pPr>
    </w:p>
    <w:p w14:paraId="6DE89801">
      <w:pPr>
        <w:jc w:val="center"/>
        <w:rPr>
          <w:rFonts w:hint="eastAsia" w:ascii="仿宋" w:hAnsi="仿宋" w:eastAsia="仿宋" w:cs="仿宋"/>
          <w:b/>
          <w:color w:val="auto"/>
          <w:kern w:val="0"/>
          <w:sz w:val="32"/>
          <w:szCs w:val="32"/>
          <w:highlight w:val="none"/>
        </w:rPr>
      </w:pPr>
    </w:p>
    <w:p w14:paraId="0CAC6539">
      <w:pPr>
        <w:jc w:val="center"/>
        <w:rPr>
          <w:rFonts w:hint="eastAsia" w:ascii="仿宋" w:hAnsi="仿宋" w:eastAsia="仿宋" w:cs="仿宋"/>
          <w:b/>
          <w:color w:val="auto"/>
          <w:kern w:val="0"/>
          <w:sz w:val="32"/>
          <w:szCs w:val="32"/>
          <w:highlight w:val="none"/>
        </w:rPr>
      </w:pPr>
    </w:p>
    <w:p w14:paraId="326C830E">
      <w:pPr>
        <w:jc w:val="center"/>
        <w:rPr>
          <w:rFonts w:hint="eastAsia" w:ascii="仿宋" w:hAnsi="仿宋" w:eastAsia="仿宋" w:cs="仿宋"/>
          <w:b/>
          <w:color w:val="auto"/>
          <w:kern w:val="0"/>
          <w:sz w:val="32"/>
          <w:szCs w:val="32"/>
          <w:highlight w:val="none"/>
        </w:rPr>
      </w:pPr>
    </w:p>
    <w:p w14:paraId="3D71CE51">
      <w:pPr>
        <w:jc w:val="center"/>
        <w:rPr>
          <w:rFonts w:hint="eastAsia" w:ascii="仿宋" w:hAnsi="仿宋" w:eastAsia="仿宋" w:cs="仿宋"/>
          <w:b/>
          <w:color w:val="auto"/>
          <w:kern w:val="0"/>
          <w:sz w:val="32"/>
          <w:szCs w:val="32"/>
          <w:highlight w:val="none"/>
        </w:rPr>
      </w:pPr>
    </w:p>
    <w:p w14:paraId="32B24267">
      <w:pPr>
        <w:jc w:val="center"/>
        <w:rPr>
          <w:rFonts w:hint="eastAsia" w:ascii="仿宋" w:hAnsi="仿宋" w:eastAsia="仿宋" w:cs="仿宋"/>
          <w:b/>
          <w:color w:val="auto"/>
          <w:kern w:val="0"/>
          <w:sz w:val="32"/>
          <w:szCs w:val="32"/>
          <w:highlight w:val="none"/>
        </w:rPr>
      </w:pPr>
    </w:p>
    <w:p w14:paraId="41E755FC">
      <w:pPr>
        <w:jc w:val="center"/>
        <w:rPr>
          <w:rFonts w:hint="eastAsia" w:ascii="仿宋" w:hAnsi="仿宋" w:eastAsia="仿宋" w:cs="仿宋"/>
          <w:b/>
          <w:color w:val="auto"/>
          <w:kern w:val="0"/>
          <w:sz w:val="32"/>
          <w:szCs w:val="32"/>
          <w:highlight w:val="none"/>
        </w:rPr>
      </w:pPr>
    </w:p>
    <w:p w14:paraId="75071B56">
      <w:pPr>
        <w:jc w:val="center"/>
        <w:rPr>
          <w:rFonts w:hint="eastAsia" w:ascii="仿宋" w:hAnsi="仿宋" w:eastAsia="仿宋" w:cs="仿宋"/>
          <w:b/>
          <w:color w:val="auto"/>
          <w:kern w:val="0"/>
          <w:sz w:val="32"/>
          <w:szCs w:val="32"/>
          <w:highlight w:val="none"/>
        </w:rPr>
      </w:pPr>
    </w:p>
    <w:p w14:paraId="1D1C41F5">
      <w:pPr>
        <w:jc w:val="center"/>
        <w:rPr>
          <w:rFonts w:hint="eastAsia" w:ascii="仿宋" w:hAnsi="仿宋" w:eastAsia="仿宋" w:cs="仿宋"/>
          <w:b/>
          <w:color w:val="auto"/>
          <w:kern w:val="0"/>
          <w:sz w:val="32"/>
          <w:szCs w:val="32"/>
          <w:highlight w:val="none"/>
        </w:rPr>
      </w:pPr>
    </w:p>
    <w:p w14:paraId="681EEC7A">
      <w:pPr>
        <w:jc w:val="center"/>
        <w:rPr>
          <w:rFonts w:hint="eastAsia" w:ascii="仿宋" w:hAnsi="仿宋" w:eastAsia="仿宋" w:cs="仿宋"/>
          <w:b/>
          <w:color w:val="auto"/>
          <w:kern w:val="0"/>
          <w:sz w:val="32"/>
          <w:szCs w:val="32"/>
          <w:highlight w:val="none"/>
        </w:rPr>
      </w:pPr>
    </w:p>
    <w:p w14:paraId="7184FAF5">
      <w:pPr>
        <w:jc w:val="center"/>
        <w:rPr>
          <w:rFonts w:hint="eastAsia" w:ascii="仿宋" w:hAnsi="仿宋" w:eastAsia="仿宋" w:cs="仿宋"/>
          <w:b/>
          <w:color w:val="auto"/>
          <w:kern w:val="0"/>
          <w:sz w:val="32"/>
          <w:szCs w:val="32"/>
          <w:highlight w:val="none"/>
        </w:rPr>
      </w:pPr>
    </w:p>
    <w:p w14:paraId="50DB7A92">
      <w:pPr>
        <w:jc w:val="center"/>
        <w:rPr>
          <w:rFonts w:hint="eastAsia" w:ascii="仿宋" w:hAnsi="仿宋" w:eastAsia="仿宋" w:cs="仿宋"/>
          <w:b/>
          <w:color w:val="auto"/>
          <w:kern w:val="0"/>
          <w:sz w:val="32"/>
          <w:szCs w:val="32"/>
          <w:highlight w:val="none"/>
        </w:rPr>
      </w:pPr>
    </w:p>
    <w:p w14:paraId="6F8574A9">
      <w:pPr>
        <w:jc w:val="center"/>
        <w:rPr>
          <w:rFonts w:hint="eastAsia" w:ascii="仿宋" w:hAnsi="仿宋" w:eastAsia="仿宋" w:cs="仿宋"/>
          <w:b/>
          <w:color w:val="auto"/>
          <w:kern w:val="0"/>
          <w:sz w:val="32"/>
          <w:szCs w:val="32"/>
          <w:highlight w:val="none"/>
        </w:rPr>
      </w:pPr>
    </w:p>
    <w:p w14:paraId="6506DEA9">
      <w:pPr>
        <w:jc w:val="center"/>
        <w:rPr>
          <w:rFonts w:hint="eastAsia" w:ascii="仿宋" w:hAnsi="仿宋" w:eastAsia="仿宋" w:cs="仿宋"/>
          <w:b/>
          <w:color w:val="auto"/>
          <w:kern w:val="0"/>
          <w:sz w:val="32"/>
          <w:szCs w:val="32"/>
          <w:highlight w:val="none"/>
        </w:rPr>
      </w:pPr>
    </w:p>
    <w:p w14:paraId="377EA0FF">
      <w:pPr>
        <w:jc w:val="center"/>
        <w:rPr>
          <w:rFonts w:hint="eastAsia" w:ascii="仿宋" w:hAnsi="仿宋" w:eastAsia="仿宋" w:cs="仿宋"/>
          <w:b/>
          <w:color w:val="auto"/>
          <w:kern w:val="0"/>
          <w:sz w:val="32"/>
          <w:szCs w:val="32"/>
          <w:highlight w:val="none"/>
        </w:rPr>
      </w:pPr>
    </w:p>
    <w:p w14:paraId="66F01C06">
      <w:pPr>
        <w:jc w:val="center"/>
        <w:rPr>
          <w:rFonts w:hint="eastAsia" w:ascii="仿宋" w:hAnsi="仿宋" w:eastAsia="仿宋" w:cs="仿宋"/>
          <w:b/>
          <w:color w:val="auto"/>
          <w:kern w:val="0"/>
          <w:sz w:val="32"/>
          <w:szCs w:val="32"/>
          <w:highlight w:val="none"/>
        </w:rPr>
      </w:pPr>
    </w:p>
    <w:p w14:paraId="7B82420B">
      <w:pPr>
        <w:pStyle w:val="4"/>
        <w:rPr>
          <w:rFonts w:hint="eastAsia" w:ascii="仿宋" w:hAnsi="仿宋" w:eastAsia="仿宋" w:cs="仿宋"/>
          <w:color w:val="auto"/>
          <w:highlight w:val="none"/>
          <w:lang w:val="en-US"/>
        </w:rPr>
      </w:pPr>
    </w:p>
    <w:p w14:paraId="7AF01AEF">
      <w:pPr>
        <w:jc w:val="center"/>
        <w:rPr>
          <w:rFonts w:hint="eastAsia" w:ascii="仿宋" w:hAnsi="仿宋" w:eastAsia="仿宋" w:cs="仿宋"/>
          <w:b/>
          <w:color w:val="auto"/>
          <w:kern w:val="0"/>
          <w:sz w:val="32"/>
          <w:szCs w:val="32"/>
          <w:highlight w:val="none"/>
        </w:rPr>
      </w:pPr>
    </w:p>
    <w:p w14:paraId="443BAE02">
      <w:pPr>
        <w:jc w:val="center"/>
        <w:rPr>
          <w:rFonts w:hint="eastAsia" w:ascii="仿宋" w:hAnsi="仿宋" w:eastAsia="仿宋" w:cs="仿宋"/>
          <w:b/>
          <w:color w:val="auto"/>
          <w:kern w:val="0"/>
          <w:sz w:val="32"/>
          <w:szCs w:val="32"/>
          <w:highlight w:val="none"/>
        </w:rPr>
      </w:pPr>
    </w:p>
    <w:p w14:paraId="0366D9F2">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1055E5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2729AC5">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FBD215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_GB2312"/>
          <w:b/>
          <w:bCs/>
          <w:color w:val="auto"/>
          <w:sz w:val="24"/>
          <w:szCs w:val="24"/>
          <w:highlight w:val="none"/>
          <w:u w:val="single"/>
        </w:rPr>
        <w:t>杭州市行政大楼服务保障中心、建正工程咨询有限公司</w:t>
      </w:r>
      <w:r>
        <w:rPr>
          <w:rFonts w:hint="eastAsia" w:ascii="仿宋" w:hAnsi="仿宋" w:eastAsia="仿宋" w:cs="仿宋"/>
          <w:color w:val="auto"/>
          <w:kern w:val="0"/>
          <w:sz w:val="24"/>
          <w:highlight w:val="none"/>
          <w:lang w:val="zh-CN"/>
        </w:rPr>
        <w:t>：</w:t>
      </w:r>
    </w:p>
    <w:p w14:paraId="78C9F5A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杭州市市民中心公务服务及会议中心劳务服务外包人员经费</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rPr>
        <w:t>【招标编号：</w:t>
      </w:r>
      <w:r>
        <w:rPr>
          <w:rFonts w:hint="eastAsia" w:ascii="仿宋" w:hAnsi="仿宋" w:eastAsia="仿宋" w:cs="仿宋"/>
          <w:b/>
          <w:bCs/>
          <w:color w:val="auto"/>
          <w:sz w:val="24"/>
          <w:szCs w:val="24"/>
          <w:highlight w:val="none"/>
          <w:u w:val="single"/>
          <w:lang w:val="en-US" w:eastAsia="zh-CN"/>
        </w:rPr>
        <w:t>DL[2024]387</w:t>
      </w:r>
      <w:r>
        <w:rPr>
          <w:rFonts w:hint="eastAsia" w:ascii="仿宋" w:hAnsi="仿宋" w:eastAsia="仿宋" w:cs="仿宋"/>
          <w:b/>
          <w:bCs/>
          <w:color w:val="auto"/>
          <w:sz w:val="24"/>
          <w:szCs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66B69F7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1F9F39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B7F457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35B964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00D0AC0">
      <w:pPr>
        <w:snapToGrid w:val="0"/>
        <w:spacing w:line="360" w:lineRule="auto"/>
        <w:rPr>
          <w:rFonts w:hint="eastAsia" w:ascii="仿宋" w:hAnsi="仿宋" w:eastAsia="仿宋" w:cs="仿宋"/>
          <w:color w:val="auto"/>
          <w:sz w:val="24"/>
          <w:highlight w:val="none"/>
        </w:rPr>
      </w:pPr>
    </w:p>
    <w:p w14:paraId="052EA9B8">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722EC63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63995DE3">
      <w:pPr>
        <w:pStyle w:val="2"/>
        <w:rPr>
          <w:rFonts w:hint="eastAsia"/>
          <w:color w:val="auto"/>
          <w:highlight w:val="none"/>
        </w:rPr>
      </w:pPr>
    </w:p>
    <w:p w14:paraId="0A0731F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_GB2312"/>
          <w:b/>
          <w:bCs/>
          <w:color w:val="auto"/>
          <w:sz w:val="24"/>
          <w:szCs w:val="24"/>
          <w:highlight w:val="none"/>
          <w:u w:val="single"/>
        </w:rPr>
        <w:t>杭州市行政大楼服务保障中心、建正工程咨询有限公司</w:t>
      </w:r>
      <w:r>
        <w:rPr>
          <w:rFonts w:hint="eastAsia" w:ascii="仿宋" w:hAnsi="仿宋" w:eastAsia="仿宋" w:cs="仿宋"/>
          <w:color w:val="auto"/>
          <w:kern w:val="0"/>
          <w:sz w:val="24"/>
          <w:highlight w:val="none"/>
          <w:lang w:val="zh-CN"/>
        </w:rPr>
        <w:t>：</w:t>
      </w:r>
    </w:p>
    <w:p w14:paraId="5FC38E78">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杭州市市民中心公务服务及会议中心劳务服务外包人员经费</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rPr>
        <w:t>【招标编号：</w:t>
      </w:r>
      <w:r>
        <w:rPr>
          <w:rFonts w:hint="eastAsia" w:ascii="仿宋" w:hAnsi="仿宋" w:eastAsia="仿宋" w:cs="仿宋"/>
          <w:b/>
          <w:bCs/>
          <w:color w:val="auto"/>
          <w:sz w:val="24"/>
          <w:szCs w:val="24"/>
          <w:highlight w:val="none"/>
          <w:u w:val="single"/>
          <w:lang w:val="en-US" w:eastAsia="zh-CN"/>
        </w:rPr>
        <w:t>DL[2024]387</w:t>
      </w:r>
      <w:r>
        <w:rPr>
          <w:rFonts w:hint="eastAsia" w:ascii="仿宋" w:hAnsi="仿宋" w:eastAsia="仿宋" w:cs="仿宋"/>
          <w:b/>
          <w:bCs/>
          <w:color w:val="auto"/>
          <w:sz w:val="24"/>
          <w:szCs w:val="24"/>
          <w:highlight w:val="none"/>
          <w:u w:val="single"/>
        </w:rPr>
        <w:t>】</w:t>
      </w:r>
      <w:r>
        <w:rPr>
          <w:rFonts w:hint="eastAsia" w:ascii="仿宋" w:hAnsi="仿宋" w:eastAsia="仿宋" w:cs="仿宋"/>
          <w:color w:val="auto"/>
          <w:kern w:val="0"/>
          <w:sz w:val="24"/>
          <w:highlight w:val="none"/>
          <w:lang w:val="zh-CN"/>
        </w:rPr>
        <w:t>政府采购投标的一切事项，其法律后果由我方承担。</w:t>
      </w:r>
    </w:p>
    <w:p w14:paraId="25ED6A3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56272E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FFFDDD0">
      <w:pPr>
        <w:jc w:val="center"/>
        <w:rPr>
          <w:rFonts w:hint="eastAsia" w:ascii="仿宋" w:hAnsi="仿宋" w:eastAsia="仿宋" w:cs="仿宋"/>
          <w:b/>
          <w:color w:val="auto"/>
          <w:kern w:val="0"/>
          <w:sz w:val="32"/>
          <w:szCs w:val="32"/>
          <w:highlight w:val="none"/>
        </w:rPr>
      </w:pPr>
    </w:p>
    <w:p w14:paraId="067073A9">
      <w:pPr>
        <w:rPr>
          <w:rFonts w:hint="eastAsia" w:ascii="仿宋" w:hAnsi="仿宋" w:eastAsia="仿宋" w:cs="仿宋"/>
          <w:color w:val="auto"/>
          <w:highlight w:val="none"/>
        </w:rPr>
      </w:pPr>
    </w:p>
    <w:p w14:paraId="6F513AF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FA7DAE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13106C9">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31AE16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66CA7C9">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D0A1BA9">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B5E94B8">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62C0FBE">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ACAACE9">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81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55FFB6F">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5C27BAD">
            <w:pPr>
              <w:pStyle w:val="149"/>
              <w:adjustRightInd w:val="0"/>
              <w:spacing w:line="360" w:lineRule="auto"/>
              <w:rPr>
                <w:rFonts w:hint="eastAsia" w:ascii="仿宋" w:hAnsi="仿宋" w:eastAsia="仿宋" w:cs="仿宋"/>
                <w:bCs/>
                <w:color w:val="auto"/>
                <w:sz w:val="24"/>
                <w:highlight w:val="none"/>
              </w:rPr>
            </w:pPr>
          </w:p>
        </w:tc>
      </w:tr>
    </w:tbl>
    <w:p w14:paraId="057AF8F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B0D61E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A8C63E1">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F54CC7C">
      <w:pPr>
        <w:jc w:val="center"/>
        <w:rPr>
          <w:rFonts w:hint="eastAsia" w:ascii="仿宋" w:hAnsi="仿宋" w:eastAsia="仿宋" w:cs="仿宋"/>
          <w:b/>
          <w:color w:val="auto"/>
          <w:kern w:val="0"/>
          <w:sz w:val="32"/>
          <w:szCs w:val="32"/>
          <w:highlight w:val="none"/>
        </w:rPr>
      </w:pPr>
    </w:p>
    <w:p w14:paraId="453FED2B">
      <w:pPr>
        <w:jc w:val="center"/>
        <w:rPr>
          <w:rFonts w:hint="eastAsia" w:ascii="仿宋" w:hAnsi="仿宋" w:eastAsia="仿宋" w:cs="仿宋"/>
          <w:b/>
          <w:color w:val="auto"/>
          <w:kern w:val="0"/>
          <w:sz w:val="32"/>
          <w:szCs w:val="32"/>
          <w:highlight w:val="none"/>
        </w:rPr>
      </w:pPr>
    </w:p>
    <w:p w14:paraId="7976C5BA">
      <w:pPr>
        <w:jc w:val="center"/>
        <w:rPr>
          <w:rFonts w:hint="eastAsia" w:ascii="仿宋" w:hAnsi="仿宋" w:eastAsia="仿宋" w:cs="仿宋"/>
          <w:b/>
          <w:color w:val="auto"/>
          <w:kern w:val="0"/>
          <w:sz w:val="32"/>
          <w:szCs w:val="32"/>
          <w:highlight w:val="none"/>
        </w:rPr>
      </w:pPr>
    </w:p>
    <w:p w14:paraId="2860BA2F">
      <w:pPr>
        <w:jc w:val="center"/>
        <w:rPr>
          <w:rFonts w:hint="eastAsia" w:ascii="仿宋" w:hAnsi="仿宋" w:eastAsia="仿宋" w:cs="仿宋"/>
          <w:b/>
          <w:color w:val="auto"/>
          <w:kern w:val="0"/>
          <w:sz w:val="32"/>
          <w:szCs w:val="32"/>
          <w:highlight w:val="none"/>
        </w:rPr>
      </w:pPr>
    </w:p>
    <w:p w14:paraId="4448A8EB">
      <w:pPr>
        <w:jc w:val="center"/>
        <w:rPr>
          <w:rFonts w:hint="eastAsia" w:ascii="仿宋" w:hAnsi="仿宋" w:eastAsia="仿宋" w:cs="仿宋"/>
          <w:b/>
          <w:color w:val="auto"/>
          <w:kern w:val="0"/>
          <w:sz w:val="32"/>
          <w:szCs w:val="32"/>
          <w:highlight w:val="none"/>
        </w:rPr>
      </w:pPr>
    </w:p>
    <w:p w14:paraId="666BFA15">
      <w:pPr>
        <w:jc w:val="center"/>
        <w:rPr>
          <w:rFonts w:hint="eastAsia" w:ascii="仿宋" w:hAnsi="仿宋" w:eastAsia="仿宋" w:cs="仿宋"/>
          <w:b/>
          <w:color w:val="auto"/>
          <w:kern w:val="0"/>
          <w:sz w:val="32"/>
          <w:szCs w:val="32"/>
          <w:highlight w:val="none"/>
        </w:rPr>
      </w:pPr>
    </w:p>
    <w:p w14:paraId="76E48FFD">
      <w:pPr>
        <w:jc w:val="center"/>
        <w:rPr>
          <w:rFonts w:hint="eastAsia" w:ascii="仿宋" w:hAnsi="仿宋" w:eastAsia="仿宋" w:cs="仿宋"/>
          <w:b/>
          <w:color w:val="auto"/>
          <w:kern w:val="0"/>
          <w:sz w:val="32"/>
          <w:szCs w:val="32"/>
          <w:highlight w:val="none"/>
        </w:rPr>
      </w:pPr>
    </w:p>
    <w:p w14:paraId="079A7660">
      <w:pPr>
        <w:jc w:val="center"/>
        <w:rPr>
          <w:rFonts w:hint="eastAsia" w:ascii="仿宋" w:hAnsi="仿宋" w:eastAsia="仿宋" w:cs="仿宋"/>
          <w:b/>
          <w:color w:val="auto"/>
          <w:kern w:val="0"/>
          <w:sz w:val="32"/>
          <w:szCs w:val="32"/>
          <w:highlight w:val="none"/>
        </w:rPr>
      </w:pPr>
    </w:p>
    <w:p w14:paraId="7B260756">
      <w:pPr>
        <w:jc w:val="center"/>
        <w:rPr>
          <w:rFonts w:hint="eastAsia" w:ascii="仿宋" w:hAnsi="仿宋" w:eastAsia="仿宋" w:cs="仿宋"/>
          <w:b/>
          <w:color w:val="auto"/>
          <w:kern w:val="0"/>
          <w:sz w:val="32"/>
          <w:szCs w:val="32"/>
          <w:highlight w:val="none"/>
        </w:rPr>
      </w:pPr>
    </w:p>
    <w:p w14:paraId="13E180F4">
      <w:pPr>
        <w:jc w:val="center"/>
        <w:rPr>
          <w:rFonts w:hint="eastAsia" w:ascii="仿宋" w:hAnsi="仿宋" w:eastAsia="仿宋" w:cs="仿宋"/>
          <w:b/>
          <w:color w:val="auto"/>
          <w:kern w:val="0"/>
          <w:sz w:val="32"/>
          <w:szCs w:val="32"/>
          <w:highlight w:val="none"/>
        </w:rPr>
      </w:pPr>
    </w:p>
    <w:p w14:paraId="10788646">
      <w:pPr>
        <w:snapToGrid w:val="0"/>
        <w:spacing w:line="360" w:lineRule="auto"/>
        <w:ind w:right="480"/>
        <w:rPr>
          <w:rFonts w:hint="eastAsia" w:ascii="仿宋" w:hAnsi="仿宋" w:eastAsia="仿宋" w:cs="仿宋"/>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12F47DA">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BDD4E2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59FCF58C">
      <w:pPr>
        <w:snapToGrid w:val="0"/>
        <w:spacing w:line="360" w:lineRule="auto"/>
        <w:rPr>
          <w:rFonts w:hint="eastAsia" w:ascii="仿宋" w:hAnsi="仿宋" w:eastAsia="仿宋" w:cs="仿宋"/>
          <w:color w:val="auto"/>
          <w:kern w:val="0"/>
          <w:sz w:val="24"/>
          <w:highlight w:val="none"/>
        </w:rPr>
      </w:pPr>
    </w:p>
    <w:p w14:paraId="742C1B8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844095C">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0AB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2831D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E3DD89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14D79C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E249F9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AD0802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187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D3B1E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76BCCF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E8B00B5">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E99AD5A">
            <w:pPr>
              <w:rPr>
                <w:rFonts w:hint="eastAsia" w:ascii="仿宋" w:hAnsi="仿宋" w:eastAsia="仿宋" w:cs="仿宋"/>
                <w:color w:val="auto"/>
                <w:sz w:val="24"/>
                <w:highlight w:val="none"/>
              </w:rPr>
            </w:pPr>
          </w:p>
          <w:p w14:paraId="1C5C0DB3">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4C0D59A">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D23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719C3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3E2CD9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E667FFA">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210946B9">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4E7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F7043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41D705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0862534A">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3FE48AD5">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6A2D10C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0D1BD47">
      <w:pPr>
        <w:jc w:val="center"/>
        <w:rPr>
          <w:rFonts w:hint="eastAsia" w:ascii="仿宋" w:hAnsi="仿宋" w:eastAsia="仿宋" w:cs="仿宋"/>
          <w:b/>
          <w:color w:val="auto"/>
          <w:kern w:val="0"/>
          <w:sz w:val="32"/>
          <w:szCs w:val="32"/>
          <w:highlight w:val="none"/>
        </w:rPr>
      </w:pPr>
    </w:p>
    <w:p w14:paraId="732B40A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4A982F0">
      <w:pPr>
        <w:jc w:val="center"/>
        <w:rPr>
          <w:rFonts w:hint="eastAsia" w:ascii="仿宋" w:hAnsi="仿宋" w:eastAsia="仿宋" w:cs="仿宋"/>
          <w:b/>
          <w:color w:val="auto"/>
          <w:kern w:val="0"/>
          <w:sz w:val="32"/>
          <w:szCs w:val="32"/>
          <w:highlight w:val="none"/>
        </w:rPr>
      </w:pPr>
    </w:p>
    <w:p w14:paraId="793AB3A9">
      <w:pPr>
        <w:jc w:val="center"/>
        <w:rPr>
          <w:rFonts w:hint="eastAsia" w:ascii="仿宋" w:hAnsi="仿宋" w:eastAsia="仿宋" w:cs="仿宋"/>
          <w:b/>
          <w:color w:val="auto"/>
          <w:kern w:val="0"/>
          <w:sz w:val="32"/>
          <w:szCs w:val="32"/>
          <w:highlight w:val="none"/>
        </w:rPr>
      </w:pPr>
    </w:p>
    <w:p w14:paraId="32EB4E91">
      <w:pPr>
        <w:jc w:val="center"/>
        <w:rPr>
          <w:rFonts w:hint="eastAsia" w:ascii="仿宋" w:hAnsi="仿宋" w:eastAsia="仿宋" w:cs="仿宋"/>
          <w:b/>
          <w:color w:val="auto"/>
          <w:kern w:val="0"/>
          <w:sz w:val="32"/>
          <w:szCs w:val="32"/>
          <w:highlight w:val="none"/>
        </w:rPr>
      </w:pPr>
    </w:p>
    <w:p w14:paraId="2A3B69C1">
      <w:pPr>
        <w:jc w:val="center"/>
        <w:rPr>
          <w:rFonts w:hint="eastAsia" w:ascii="仿宋" w:hAnsi="仿宋" w:eastAsia="仿宋" w:cs="仿宋"/>
          <w:b/>
          <w:color w:val="auto"/>
          <w:kern w:val="0"/>
          <w:sz w:val="32"/>
          <w:szCs w:val="32"/>
          <w:highlight w:val="none"/>
        </w:rPr>
      </w:pPr>
    </w:p>
    <w:p w14:paraId="405ACC39">
      <w:pPr>
        <w:jc w:val="center"/>
        <w:rPr>
          <w:rFonts w:hint="eastAsia" w:ascii="仿宋" w:hAnsi="仿宋" w:eastAsia="仿宋" w:cs="仿宋"/>
          <w:b/>
          <w:color w:val="auto"/>
          <w:kern w:val="0"/>
          <w:sz w:val="32"/>
          <w:szCs w:val="32"/>
          <w:highlight w:val="none"/>
        </w:rPr>
      </w:pPr>
    </w:p>
    <w:p w14:paraId="22D39337">
      <w:pPr>
        <w:jc w:val="center"/>
        <w:rPr>
          <w:rFonts w:hint="eastAsia" w:ascii="仿宋" w:hAnsi="仿宋" w:eastAsia="仿宋" w:cs="仿宋"/>
          <w:b/>
          <w:color w:val="auto"/>
          <w:kern w:val="0"/>
          <w:sz w:val="32"/>
          <w:szCs w:val="32"/>
          <w:highlight w:val="none"/>
        </w:rPr>
      </w:pPr>
    </w:p>
    <w:p w14:paraId="2F7E07E4">
      <w:pPr>
        <w:jc w:val="center"/>
        <w:rPr>
          <w:rFonts w:hint="eastAsia" w:ascii="仿宋" w:hAnsi="仿宋" w:eastAsia="仿宋" w:cs="仿宋"/>
          <w:b/>
          <w:color w:val="auto"/>
          <w:kern w:val="0"/>
          <w:sz w:val="32"/>
          <w:szCs w:val="32"/>
          <w:highlight w:val="none"/>
        </w:rPr>
      </w:pPr>
    </w:p>
    <w:p w14:paraId="3FE13B19">
      <w:pPr>
        <w:jc w:val="center"/>
        <w:rPr>
          <w:rFonts w:hint="eastAsia" w:ascii="仿宋" w:hAnsi="仿宋" w:eastAsia="仿宋" w:cs="仿宋"/>
          <w:b/>
          <w:color w:val="auto"/>
          <w:kern w:val="0"/>
          <w:sz w:val="32"/>
          <w:szCs w:val="32"/>
          <w:highlight w:val="none"/>
        </w:rPr>
      </w:pPr>
    </w:p>
    <w:p w14:paraId="17464FDE">
      <w:pPr>
        <w:jc w:val="center"/>
        <w:rPr>
          <w:rFonts w:hint="eastAsia" w:ascii="仿宋" w:hAnsi="仿宋" w:eastAsia="仿宋" w:cs="仿宋"/>
          <w:b/>
          <w:color w:val="auto"/>
          <w:kern w:val="0"/>
          <w:sz w:val="32"/>
          <w:szCs w:val="32"/>
          <w:highlight w:val="none"/>
        </w:rPr>
      </w:pPr>
    </w:p>
    <w:p w14:paraId="091ABCEE">
      <w:pPr>
        <w:jc w:val="center"/>
        <w:rPr>
          <w:rFonts w:hint="eastAsia" w:ascii="仿宋" w:hAnsi="仿宋" w:eastAsia="仿宋" w:cs="仿宋"/>
          <w:b/>
          <w:color w:val="auto"/>
          <w:kern w:val="0"/>
          <w:sz w:val="32"/>
          <w:szCs w:val="32"/>
          <w:highlight w:val="none"/>
        </w:rPr>
      </w:pPr>
    </w:p>
    <w:p w14:paraId="068B9F66">
      <w:pPr>
        <w:jc w:val="center"/>
        <w:rPr>
          <w:rFonts w:hint="eastAsia" w:ascii="仿宋" w:hAnsi="仿宋" w:eastAsia="仿宋" w:cs="仿宋"/>
          <w:b/>
          <w:color w:val="auto"/>
          <w:kern w:val="0"/>
          <w:sz w:val="32"/>
          <w:szCs w:val="32"/>
          <w:highlight w:val="none"/>
        </w:rPr>
      </w:pPr>
    </w:p>
    <w:p w14:paraId="742C382A">
      <w:pPr>
        <w:jc w:val="center"/>
        <w:rPr>
          <w:rFonts w:hint="eastAsia" w:ascii="仿宋" w:hAnsi="仿宋" w:eastAsia="仿宋" w:cs="仿宋"/>
          <w:b/>
          <w:color w:val="auto"/>
          <w:kern w:val="0"/>
          <w:sz w:val="32"/>
          <w:szCs w:val="32"/>
          <w:highlight w:val="none"/>
        </w:rPr>
      </w:pPr>
    </w:p>
    <w:p w14:paraId="7E0E6A97">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5DFAE744">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7E183DF5">
      <w:pPr>
        <w:jc w:val="center"/>
        <w:rPr>
          <w:rFonts w:hint="eastAsia" w:ascii="仿宋" w:hAnsi="仿宋" w:eastAsia="仿宋" w:cs="仿宋"/>
          <w:b/>
          <w:color w:val="auto"/>
          <w:kern w:val="0"/>
          <w:sz w:val="32"/>
          <w:szCs w:val="32"/>
          <w:highlight w:val="none"/>
        </w:rPr>
      </w:pPr>
    </w:p>
    <w:p w14:paraId="16DF109F">
      <w:pPr>
        <w:jc w:val="center"/>
        <w:rPr>
          <w:rFonts w:hint="eastAsia" w:ascii="仿宋" w:hAnsi="仿宋" w:eastAsia="仿宋" w:cs="仿宋"/>
          <w:b/>
          <w:color w:val="auto"/>
          <w:kern w:val="0"/>
          <w:sz w:val="32"/>
          <w:szCs w:val="32"/>
          <w:highlight w:val="none"/>
        </w:rPr>
      </w:pPr>
    </w:p>
    <w:p w14:paraId="1CF9445C">
      <w:pPr>
        <w:jc w:val="center"/>
        <w:rPr>
          <w:rFonts w:hint="eastAsia" w:ascii="仿宋" w:hAnsi="仿宋" w:eastAsia="仿宋" w:cs="仿宋"/>
          <w:b/>
          <w:color w:val="auto"/>
          <w:kern w:val="0"/>
          <w:sz w:val="32"/>
          <w:szCs w:val="32"/>
          <w:highlight w:val="none"/>
        </w:rPr>
      </w:pPr>
    </w:p>
    <w:p w14:paraId="2F8C7D14">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A56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D7D58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78A16F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D12A4E3">
            <w:pPr>
              <w:spacing w:line="360" w:lineRule="auto"/>
              <w:jc w:val="center"/>
              <w:rPr>
                <w:rFonts w:hint="eastAsia" w:ascii="仿宋" w:hAnsi="仿宋" w:eastAsia="仿宋" w:cs="仿宋"/>
                <w:b/>
                <w:color w:val="auto"/>
                <w:sz w:val="24"/>
                <w:highlight w:val="none"/>
              </w:rPr>
            </w:pPr>
          </w:p>
          <w:p w14:paraId="1AF720F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254279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A1F3BE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260962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0959359">
            <w:pPr>
              <w:spacing w:line="360" w:lineRule="auto"/>
              <w:jc w:val="center"/>
              <w:rPr>
                <w:rFonts w:hint="eastAsia" w:ascii="仿宋" w:hAnsi="仿宋" w:eastAsia="仿宋" w:cs="仿宋"/>
                <w:b/>
                <w:color w:val="auto"/>
                <w:sz w:val="24"/>
                <w:highlight w:val="none"/>
              </w:rPr>
            </w:pPr>
          </w:p>
          <w:p w14:paraId="1399448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E19B41A">
            <w:pPr>
              <w:spacing w:line="360" w:lineRule="auto"/>
              <w:jc w:val="center"/>
              <w:rPr>
                <w:rFonts w:hint="eastAsia" w:ascii="仿宋" w:hAnsi="仿宋" w:eastAsia="仿宋" w:cs="仿宋"/>
                <w:b/>
                <w:color w:val="auto"/>
                <w:sz w:val="24"/>
                <w:highlight w:val="none"/>
              </w:rPr>
            </w:pPr>
          </w:p>
        </w:tc>
      </w:tr>
      <w:tr w14:paraId="0B22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EA6C5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4F48B0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493AF6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EDC7A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F2839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7BE008B">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17BE4F1">
            <w:pPr>
              <w:spacing w:line="360" w:lineRule="auto"/>
              <w:jc w:val="center"/>
              <w:rPr>
                <w:rFonts w:hint="eastAsia" w:ascii="仿宋" w:hAnsi="仿宋" w:eastAsia="仿宋" w:cs="仿宋"/>
                <w:color w:val="auto"/>
                <w:sz w:val="24"/>
                <w:highlight w:val="none"/>
              </w:rPr>
            </w:pPr>
          </w:p>
        </w:tc>
      </w:tr>
      <w:tr w14:paraId="3231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CE9E7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835E670">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288BF82">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07569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0FEC9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84E87A6">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ED7B4E5">
            <w:pPr>
              <w:spacing w:line="360" w:lineRule="auto"/>
              <w:jc w:val="center"/>
              <w:rPr>
                <w:rFonts w:hint="eastAsia" w:ascii="仿宋" w:hAnsi="仿宋" w:eastAsia="仿宋" w:cs="仿宋"/>
                <w:color w:val="auto"/>
                <w:sz w:val="24"/>
                <w:highlight w:val="none"/>
              </w:rPr>
            </w:pPr>
          </w:p>
        </w:tc>
      </w:tr>
      <w:tr w14:paraId="4901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71E66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5CBC50C">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565775D">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8303BA">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48491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D3E6980">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089A002">
            <w:pPr>
              <w:spacing w:line="360" w:lineRule="auto"/>
              <w:jc w:val="center"/>
              <w:rPr>
                <w:rFonts w:hint="eastAsia" w:ascii="仿宋" w:hAnsi="仿宋" w:eastAsia="仿宋" w:cs="仿宋"/>
                <w:color w:val="auto"/>
                <w:sz w:val="24"/>
                <w:highlight w:val="none"/>
              </w:rPr>
            </w:pPr>
          </w:p>
        </w:tc>
      </w:tr>
    </w:tbl>
    <w:p w14:paraId="13B0152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F62C96">
      <w:pPr>
        <w:jc w:val="center"/>
        <w:rPr>
          <w:rFonts w:hint="eastAsia" w:ascii="仿宋" w:hAnsi="仿宋" w:eastAsia="仿宋" w:cs="仿宋"/>
          <w:b/>
          <w:color w:val="auto"/>
          <w:kern w:val="0"/>
          <w:sz w:val="32"/>
          <w:szCs w:val="32"/>
          <w:highlight w:val="none"/>
        </w:rPr>
      </w:pPr>
    </w:p>
    <w:p w14:paraId="7E39D627">
      <w:pPr>
        <w:jc w:val="center"/>
        <w:rPr>
          <w:rFonts w:hint="eastAsia" w:ascii="仿宋" w:hAnsi="仿宋" w:eastAsia="仿宋" w:cs="仿宋"/>
          <w:b/>
          <w:color w:val="auto"/>
          <w:kern w:val="0"/>
          <w:sz w:val="32"/>
          <w:szCs w:val="32"/>
          <w:highlight w:val="none"/>
        </w:rPr>
      </w:pPr>
    </w:p>
    <w:p w14:paraId="495B20D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834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7C236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594B5F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E8533C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0B4312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4D5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EC88C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F43345D">
            <w:pPr>
              <w:jc w:val="center"/>
              <w:rPr>
                <w:rFonts w:hint="eastAsia" w:ascii="仿宋" w:hAnsi="仿宋" w:eastAsia="仿宋" w:cs="仿宋"/>
                <w:b/>
                <w:color w:val="auto"/>
                <w:kern w:val="0"/>
                <w:sz w:val="32"/>
                <w:szCs w:val="32"/>
                <w:highlight w:val="none"/>
              </w:rPr>
            </w:pPr>
          </w:p>
        </w:tc>
        <w:tc>
          <w:tcPr>
            <w:tcW w:w="3546" w:type="dxa"/>
          </w:tcPr>
          <w:p w14:paraId="5F22967D">
            <w:pPr>
              <w:jc w:val="center"/>
              <w:rPr>
                <w:rFonts w:hint="eastAsia" w:ascii="仿宋" w:hAnsi="仿宋" w:eastAsia="仿宋" w:cs="仿宋"/>
                <w:b/>
                <w:color w:val="auto"/>
                <w:kern w:val="0"/>
                <w:sz w:val="32"/>
                <w:szCs w:val="32"/>
                <w:highlight w:val="none"/>
              </w:rPr>
            </w:pPr>
          </w:p>
        </w:tc>
        <w:tc>
          <w:tcPr>
            <w:tcW w:w="1276" w:type="dxa"/>
          </w:tcPr>
          <w:p w14:paraId="6A00D24F">
            <w:pPr>
              <w:jc w:val="center"/>
              <w:rPr>
                <w:rFonts w:hint="eastAsia" w:ascii="仿宋" w:hAnsi="仿宋" w:eastAsia="仿宋" w:cs="仿宋"/>
                <w:b/>
                <w:color w:val="auto"/>
                <w:kern w:val="0"/>
                <w:sz w:val="32"/>
                <w:szCs w:val="32"/>
                <w:highlight w:val="none"/>
              </w:rPr>
            </w:pPr>
          </w:p>
        </w:tc>
      </w:tr>
      <w:tr w14:paraId="60B8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7C7CD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03CD04AC">
            <w:pPr>
              <w:jc w:val="center"/>
              <w:rPr>
                <w:rFonts w:hint="eastAsia" w:ascii="仿宋" w:hAnsi="仿宋" w:eastAsia="仿宋" w:cs="仿宋"/>
                <w:b/>
                <w:color w:val="auto"/>
                <w:kern w:val="0"/>
                <w:sz w:val="32"/>
                <w:szCs w:val="32"/>
                <w:highlight w:val="none"/>
              </w:rPr>
            </w:pPr>
          </w:p>
        </w:tc>
        <w:tc>
          <w:tcPr>
            <w:tcW w:w="3546" w:type="dxa"/>
          </w:tcPr>
          <w:p w14:paraId="1C708720">
            <w:pPr>
              <w:jc w:val="center"/>
              <w:rPr>
                <w:rFonts w:hint="eastAsia" w:ascii="仿宋" w:hAnsi="仿宋" w:eastAsia="仿宋" w:cs="仿宋"/>
                <w:b/>
                <w:color w:val="auto"/>
                <w:kern w:val="0"/>
                <w:sz w:val="32"/>
                <w:szCs w:val="32"/>
                <w:highlight w:val="none"/>
              </w:rPr>
            </w:pPr>
          </w:p>
        </w:tc>
        <w:tc>
          <w:tcPr>
            <w:tcW w:w="1276" w:type="dxa"/>
          </w:tcPr>
          <w:p w14:paraId="7886A40A">
            <w:pPr>
              <w:jc w:val="center"/>
              <w:rPr>
                <w:rFonts w:hint="eastAsia" w:ascii="仿宋" w:hAnsi="仿宋" w:eastAsia="仿宋" w:cs="仿宋"/>
                <w:b/>
                <w:color w:val="auto"/>
                <w:kern w:val="0"/>
                <w:sz w:val="32"/>
                <w:szCs w:val="32"/>
                <w:highlight w:val="none"/>
              </w:rPr>
            </w:pPr>
          </w:p>
        </w:tc>
      </w:tr>
      <w:tr w14:paraId="55C1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DAFB5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5584883B">
            <w:pPr>
              <w:jc w:val="center"/>
              <w:rPr>
                <w:rFonts w:hint="eastAsia" w:ascii="仿宋" w:hAnsi="仿宋" w:eastAsia="仿宋" w:cs="仿宋"/>
                <w:b/>
                <w:color w:val="auto"/>
                <w:kern w:val="0"/>
                <w:sz w:val="32"/>
                <w:szCs w:val="32"/>
                <w:highlight w:val="none"/>
              </w:rPr>
            </w:pPr>
          </w:p>
        </w:tc>
        <w:tc>
          <w:tcPr>
            <w:tcW w:w="3546" w:type="dxa"/>
          </w:tcPr>
          <w:p w14:paraId="25ECBB75">
            <w:pPr>
              <w:jc w:val="center"/>
              <w:rPr>
                <w:rFonts w:hint="eastAsia" w:ascii="仿宋" w:hAnsi="仿宋" w:eastAsia="仿宋" w:cs="仿宋"/>
                <w:b/>
                <w:color w:val="auto"/>
                <w:kern w:val="0"/>
                <w:sz w:val="32"/>
                <w:szCs w:val="32"/>
                <w:highlight w:val="none"/>
              </w:rPr>
            </w:pPr>
          </w:p>
        </w:tc>
        <w:tc>
          <w:tcPr>
            <w:tcW w:w="1276" w:type="dxa"/>
          </w:tcPr>
          <w:p w14:paraId="0D0DBA8C">
            <w:pPr>
              <w:jc w:val="center"/>
              <w:rPr>
                <w:rFonts w:hint="eastAsia" w:ascii="仿宋" w:hAnsi="仿宋" w:eastAsia="仿宋" w:cs="仿宋"/>
                <w:b/>
                <w:color w:val="auto"/>
                <w:kern w:val="0"/>
                <w:sz w:val="32"/>
                <w:szCs w:val="32"/>
                <w:highlight w:val="none"/>
              </w:rPr>
            </w:pPr>
          </w:p>
        </w:tc>
      </w:tr>
    </w:tbl>
    <w:p w14:paraId="71DA4F82">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D4CC200">
      <w:pPr>
        <w:jc w:val="center"/>
        <w:rPr>
          <w:rFonts w:hint="eastAsia" w:ascii="仿宋" w:hAnsi="仿宋" w:eastAsia="仿宋" w:cs="仿宋"/>
          <w:b/>
          <w:color w:val="auto"/>
          <w:kern w:val="0"/>
          <w:sz w:val="32"/>
          <w:szCs w:val="32"/>
          <w:highlight w:val="none"/>
        </w:rPr>
      </w:pPr>
    </w:p>
    <w:p w14:paraId="36A51D0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5346A13">
      <w:pPr>
        <w:ind w:firstLine="1911" w:firstLineChars="595"/>
        <w:rPr>
          <w:rFonts w:hint="eastAsia" w:ascii="仿宋" w:hAnsi="仿宋" w:eastAsia="仿宋" w:cs="仿宋"/>
          <w:b/>
          <w:bCs/>
          <w:color w:val="auto"/>
          <w:sz w:val="32"/>
          <w:szCs w:val="32"/>
          <w:highlight w:val="none"/>
        </w:rPr>
      </w:pPr>
    </w:p>
    <w:p w14:paraId="7C2EC190">
      <w:pPr>
        <w:ind w:firstLine="1911" w:firstLineChars="595"/>
        <w:rPr>
          <w:rFonts w:hint="eastAsia" w:ascii="仿宋" w:hAnsi="仿宋" w:eastAsia="仿宋" w:cs="仿宋"/>
          <w:b/>
          <w:bCs/>
          <w:color w:val="auto"/>
          <w:sz w:val="32"/>
          <w:szCs w:val="32"/>
          <w:highlight w:val="none"/>
        </w:rPr>
      </w:pPr>
    </w:p>
    <w:p w14:paraId="78938FE7">
      <w:pPr>
        <w:ind w:firstLine="1911" w:firstLineChars="595"/>
        <w:rPr>
          <w:rFonts w:hint="eastAsia" w:ascii="仿宋" w:hAnsi="仿宋" w:eastAsia="仿宋" w:cs="仿宋"/>
          <w:b/>
          <w:bCs/>
          <w:color w:val="auto"/>
          <w:sz w:val="32"/>
          <w:szCs w:val="32"/>
          <w:highlight w:val="none"/>
        </w:rPr>
      </w:pPr>
    </w:p>
    <w:p w14:paraId="177635C9">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522B829">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49DF20E6">
      <w:pPr>
        <w:snapToGrid w:val="0"/>
        <w:spacing w:line="360" w:lineRule="auto"/>
        <w:rPr>
          <w:rFonts w:hint="eastAsia" w:ascii="仿宋" w:hAnsi="仿宋" w:eastAsia="仿宋" w:cs="仿宋_GB2312"/>
          <w:b/>
          <w:bCs/>
          <w:color w:val="auto"/>
          <w:sz w:val="24"/>
          <w:szCs w:val="24"/>
          <w:highlight w:val="none"/>
          <w:u w:val="single"/>
        </w:rPr>
      </w:pPr>
    </w:p>
    <w:p w14:paraId="6AB0832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_GB2312"/>
          <w:b/>
          <w:bCs/>
          <w:color w:val="auto"/>
          <w:sz w:val="24"/>
          <w:szCs w:val="24"/>
          <w:highlight w:val="none"/>
          <w:u w:val="single"/>
        </w:rPr>
        <w:t>杭州市行政大楼服务保障中心、建正工程咨询有限公司</w:t>
      </w:r>
      <w:r>
        <w:rPr>
          <w:rFonts w:hint="eastAsia" w:ascii="仿宋" w:hAnsi="仿宋" w:eastAsia="仿宋" w:cs="仿宋"/>
          <w:color w:val="auto"/>
          <w:kern w:val="0"/>
          <w:sz w:val="24"/>
          <w:highlight w:val="none"/>
          <w:lang w:val="zh-CN"/>
        </w:rPr>
        <w:t>：</w:t>
      </w:r>
    </w:p>
    <w:p w14:paraId="6D3F0AE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4A5907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EB8F20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B2E33D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3D7982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69941B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7E3BA8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9F2A7E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0F2086F2">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327564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9AF1B3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EAD97B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D8A832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7276730">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525DE02">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7A2544B">
      <w:pPr>
        <w:spacing w:line="360" w:lineRule="auto"/>
        <w:jc w:val="center"/>
        <w:rPr>
          <w:rFonts w:hint="eastAsia" w:ascii="仿宋" w:hAnsi="仿宋" w:eastAsia="仿宋" w:cs="仿宋"/>
          <w:b/>
          <w:bCs/>
          <w:color w:val="auto"/>
          <w:sz w:val="24"/>
          <w:highlight w:val="none"/>
        </w:rPr>
      </w:pPr>
    </w:p>
    <w:p w14:paraId="606EF37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B346E03">
      <w:pPr>
        <w:spacing w:line="360" w:lineRule="auto"/>
        <w:jc w:val="center"/>
        <w:rPr>
          <w:rFonts w:hint="eastAsia" w:ascii="仿宋" w:hAnsi="仿宋" w:eastAsia="仿宋" w:cs="仿宋"/>
          <w:b/>
          <w:bCs/>
          <w:color w:val="auto"/>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8DDE3D9">
      <w:pPr>
        <w:spacing w:line="360" w:lineRule="auto"/>
        <w:jc w:val="center"/>
        <w:outlineLvl w:val="0"/>
        <w:rPr>
          <w:rFonts w:hint="eastAsia" w:ascii="仿宋" w:hAnsi="仿宋" w:eastAsia="仿宋" w:cs="仿宋"/>
          <w:b/>
          <w:color w:val="auto"/>
          <w:kern w:val="0"/>
          <w:sz w:val="36"/>
          <w:szCs w:val="36"/>
          <w:highlight w:val="none"/>
        </w:rPr>
      </w:pPr>
      <w:bookmarkStart w:id="414" w:name="_Toc22540"/>
      <w:r>
        <w:rPr>
          <w:rFonts w:hint="eastAsia" w:ascii="仿宋" w:hAnsi="仿宋" w:eastAsia="仿宋" w:cs="仿宋"/>
          <w:b/>
          <w:color w:val="auto"/>
          <w:kern w:val="0"/>
          <w:sz w:val="36"/>
          <w:szCs w:val="36"/>
          <w:highlight w:val="none"/>
        </w:rPr>
        <w:t>报价文件部分</w:t>
      </w:r>
      <w:bookmarkEnd w:id="414"/>
    </w:p>
    <w:p w14:paraId="2516F54B">
      <w:pPr>
        <w:spacing w:line="360" w:lineRule="auto"/>
        <w:jc w:val="center"/>
        <w:outlineLvl w:val="0"/>
        <w:rPr>
          <w:rFonts w:hint="eastAsia" w:ascii="仿宋" w:hAnsi="仿宋" w:eastAsia="仿宋" w:cs="仿宋"/>
          <w:b/>
          <w:color w:val="auto"/>
          <w:kern w:val="0"/>
          <w:sz w:val="36"/>
          <w:szCs w:val="36"/>
          <w:highlight w:val="none"/>
        </w:rPr>
      </w:pPr>
      <w:bookmarkStart w:id="415" w:name="_Toc23548"/>
      <w:r>
        <w:rPr>
          <w:rFonts w:hint="eastAsia" w:ascii="仿宋" w:hAnsi="仿宋" w:eastAsia="仿宋" w:cs="仿宋"/>
          <w:b/>
          <w:color w:val="auto"/>
          <w:kern w:val="0"/>
          <w:sz w:val="36"/>
          <w:szCs w:val="36"/>
          <w:highlight w:val="none"/>
        </w:rPr>
        <w:t>目录</w:t>
      </w:r>
      <w:bookmarkEnd w:id="415"/>
    </w:p>
    <w:p w14:paraId="7F23C741">
      <w:pPr>
        <w:spacing w:line="360" w:lineRule="auto"/>
        <w:jc w:val="center"/>
        <w:outlineLvl w:val="0"/>
        <w:rPr>
          <w:rFonts w:hint="eastAsia" w:ascii="仿宋" w:hAnsi="仿宋" w:eastAsia="仿宋" w:cs="仿宋"/>
          <w:b/>
          <w:color w:val="auto"/>
          <w:kern w:val="0"/>
          <w:sz w:val="36"/>
          <w:szCs w:val="36"/>
          <w:highlight w:val="none"/>
        </w:rPr>
      </w:pPr>
    </w:p>
    <w:p w14:paraId="08EC5456">
      <w:pPr>
        <w:numPr>
          <w:ilvl w:val="0"/>
          <w:numId w:val="6"/>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00C91FDE">
      <w:pPr>
        <w:numPr>
          <w:ilvl w:val="0"/>
          <w:numId w:val="6"/>
        </w:numPr>
        <w:snapToGrid w:val="0"/>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5F3470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4BFD59F9">
      <w:pPr>
        <w:snapToGrid w:val="0"/>
        <w:spacing w:line="360" w:lineRule="auto"/>
        <w:ind w:right="480"/>
        <w:jc w:val="center"/>
        <w:rPr>
          <w:rFonts w:hint="eastAsia" w:ascii="仿宋" w:hAnsi="仿宋" w:eastAsia="仿宋" w:cs="仿宋"/>
          <w:b/>
          <w:color w:val="auto"/>
          <w:kern w:val="0"/>
          <w:sz w:val="32"/>
          <w:szCs w:val="32"/>
          <w:highlight w:val="none"/>
        </w:rPr>
      </w:pPr>
    </w:p>
    <w:p w14:paraId="4D7B3B79">
      <w:pPr>
        <w:snapToGrid w:val="0"/>
        <w:spacing w:line="360" w:lineRule="auto"/>
        <w:ind w:right="480"/>
        <w:jc w:val="center"/>
        <w:rPr>
          <w:rFonts w:hint="eastAsia" w:ascii="仿宋" w:hAnsi="仿宋" w:eastAsia="仿宋" w:cs="仿宋"/>
          <w:b/>
          <w:color w:val="auto"/>
          <w:kern w:val="0"/>
          <w:sz w:val="32"/>
          <w:szCs w:val="32"/>
          <w:highlight w:val="none"/>
        </w:rPr>
      </w:pPr>
    </w:p>
    <w:p w14:paraId="27D44E13">
      <w:pPr>
        <w:snapToGrid w:val="0"/>
        <w:spacing w:line="360" w:lineRule="auto"/>
        <w:ind w:right="480"/>
        <w:jc w:val="center"/>
        <w:rPr>
          <w:rFonts w:hint="eastAsia" w:ascii="仿宋" w:hAnsi="仿宋" w:eastAsia="仿宋" w:cs="仿宋"/>
          <w:b/>
          <w:color w:val="auto"/>
          <w:kern w:val="0"/>
          <w:sz w:val="32"/>
          <w:szCs w:val="32"/>
          <w:highlight w:val="none"/>
        </w:rPr>
      </w:pPr>
    </w:p>
    <w:p w14:paraId="1ED57208">
      <w:pPr>
        <w:snapToGrid w:val="0"/>
        <w:spacing w:line="360" w:lineRule="auto"/>
        <w:ind w:right="480"/>
        <w:jc w:val="center"/>
        <w:rPr>
          <w:rFonts w:hint="eastAsia" w:ascii="仿宋" w:hAnsi="仿宋" w:eastAsia="仿宋" w:cs="仿宋"/>
          <w:b/>
          <w:color w:val="auto"/>
          <w:kern w:val="0"/>
          <w:sz w:val="32"/>
          <w:szCs w:val="32"/>
          <w:highlight w:val="none"/>
        </w:rPr>
      </w:pPr>
    </w:p>
    <w:p w14:paraId="44345777">
      <w:pPr>
        <w:snapToGrid w:val="0"/>
        <w:spacing w:line="360" w:lineRule="auto"/>
        <w:ind w:right="480"/>
        <w:jc w:val="center"/>
        <w:rPr>
          <w:rFonts w:hint="eastAsia" w:ascii="仿宋" w:hAnsi="仿宋" w:eastAsia="仿宋" w:cs="仿宋"/>
          <w:b/>
          <w:color w:val="auto"/>
          <w:kern w:val="0"/>
          <w:sz w:val="32"/>
          <w:szCs w:val="32"/>
          <w:highlight w:val="none"/>
        </w:rPr>
      </w:pPr>
    </w:p>
    <w:p w14:paraId="10C088F6">
      <w:pPr>
        <w:snapToGrid w:val="0"/>
        <w:spacing w:line="360" w:lineRule="auto"/>
        <w:ind w:right="480"/>
        <w:jc w:val="center"/>
        <w:rPr>
          <w:rFonts w:hint="eastAsia" w:ascii="仿宋" w:hAnsi="仿宋" w:eastAsia="仿宋" w:cs="仿宋"/>
          <w:b/>
          <w:color w:val="auto"/>
          <w:kern w:val="0"/>
          <w:sz w:val="32"/>
          <w:szCs w:val="32"/>
          <w:highlight w:val="none"/>
        </w:rPr>
      </w:pPr>
    </w:p>
    <w:p w14:paraId="62A52CA3">
      <w:pPr>
        <w:snapToGrid w:val="0"/>
        <w:spacing w:line="360" w:lineRule="auto"/>
        <w:ind w:right="480"/>
        <w:jc w:val="center"/>
        <w:rPr>
          <w:rFonts w:hint="eastAsia" w:ascii="仿宋" w:hAnsi="仿宋" w:eastAsia="仿宋" w:cs="仿宋"/>
          <w:b/>
          <w:color w:val="auto"/>
          <w:kern w:val="0"/>
          <w:sz w:val="32"/>
          <w:szCs w:val="32"/>
          <w:highlight w:val="none"/>
        </w:rPr>
      </w:pPr>
    </w:p>
    <w:p w14:paraId="3A86F6A2">
      <w:pPr>
        <w:snapToGrid w:val="0"/>
        <w:spacing w:line="360" w:lineRule="auto"/>
        <w:ind w:right="480"/>
        <w:jc w:val="center"/>
        <w:rPr>
          <w:rFonts w:hint="eastAsia" w:ascii="仿宋" w:hAnsi="仿宋" w:eastAsia="仿宋" w:cs="仿宋"/>
          <w:b/>
          <w:color w:val="auto"/>
          <w:kern w:val="0"/>
          <w:sz w:val="32"/>
          <w:szCs w:val="32"/>
          <w:highlight w:val="none"/>
        </w:rPr>
      </w:pPr>
    </w:p>
    <w:p w14:paraId="09A5FDD9">
      <w:pPr>
        <w:snapToGrid w:val="0"/>
        <w:spacing w:line="360" w:lineRule="auto"/>
        <w:ind w:right="480"/>
        <w:jc w:val="center"/>
        <w:rPr>
          <w:rFonts w:hint="eastAsia" w:ascii="仿宋" w:hAnsi="仿宋" w:eastAsia="仿宋" w:cs="仿宋"/>
          <w:b/>
          <w:color w:val="auto"/>
          <w:kern w:val="0"/>
          <w:sz w:val="32"/>
          <w:szCs w:val="32"/>
          <w:highlight w:val="none"/>
        </w:rPr>
      </w:pPr>
    </w:p>
    <w:p w14:paraId="7715D5E5">
      <w:pPr>
        <w:snapToGrid w:val="0"/>
        <w:spacing w:line="360" w:lineRule="auto"/>
        <w:ind w:right="480"/>
        <w:jc w:val="center"/>
        <w:rPr>
          <w:rFonts w:hint="eastAsia" w:ascii="仿宋" w:hAnsi="仿宋" w:eastAsia="仿宋" w:cs="仿宋"/>
          <w:b/>
          <w:color w:val="auto"/>
          <w:kern w:val="0"/>
          <w:sz w:val="32"/>
          <w:szCs w:val="32"/>
          <w:highlight w:val="none"/>
        </w:rPr>
      </w:pPr>
    </w:p>
    <w:p w14:paraId="0572EB11">
      <w:pPr>
        <w:snapToGrid w:val="0"/>
        <w:spacing w:line="360" w:lineRule="auto"/>
        <w:ind w:right="480"/>
        <w:jc w:val="center"/>
        <w:rPr>
          <w:rFonts w:hint="eastAsia" w:ascii="仿宋" w:hAnsi="仿宋" w:eastAsia="仿宋" w:cs="仿宋"/>
          <w:b/>
          <w:color w:val="auto"/>
          <w:kern w:val="0"/>
          <w:sz w:val="32"/>
          <w:szCs w:val="32"/>
          <w:highlight w:val="none"/>
        </w:rPr>
      </w:pPr>
    </w:p>
    <w:p w14:paraId="183FCB09">
      <w:pPr>
        <w:snapToGrid w:val="0"/>
        <w:spacing w:line="360" w:lineRule="auto"/>
        <w:ind w:right="480"/>
        <w:jc w:val="center"/>
        <w:rPr>
          <w:rFonts w:hint="eastAsia" w:ascii="仿宋" w:hAnsi="仿宋" w:eastAsia="仿宋" w:cs="仿宋"/>
          <w:b/>
          <w:color w:val="auto"/>
          <w:kern w:val="0"/>
          <w:sz w:val="32"/>
          <w:szCs w:val="32"/>
          <w:highlight w:val="none"/>
        </w:rPr>
      </w:pPr>
    </w:p>
    <w:p w14:paraId="54E31946">
      <w:pPr>
        <w:snapToGrid w:val="0"/>
        <w:spacing w:line="360" w:lineRule="auto"/>
        <w:ind w:right="480"/>
        <w:jc w:val="center"/>
        <w:rPr>
          <w:rFonts w:hint="eastAsia" w:ascii="仿宋" w:hAnsi="仿宋" w:eastAsia="仿宋" w:cs="仿宋"/>
          <w:b/>
          <w:color w:val="auto"/>
          <w:kern w:val="0"/>
          <w:sz w:val="32"/>
          <w:szCs w:val="32"/>
          <w:highlight w:val="none"/>
        </w:rPr>
      </w:pPr>
    </w:p>
    <w:p w14:paraId="06F57B8E">
      <w:pPr>
        <w:snapToGrid w:val="0"/>
        <w:spacing w:line="360" w:lineRule="auto"/>
        <w:ind w:right="480"/>
        <w:jc w:val="center"/>
        <w:rPr>
          <w:rFonts w:hint="eastAsia" w:ascii="仿宋" w:hAnsi="仿宋" w:eastAsia="仿宋" w:cs="仿宋"/>
          <w:b/>
          <w:color w:val="auto"/>
          <w:kern w:val="0"/>
          <w:sz w:val="32"/>
          <w:szCs w:val="32"/>
          <w:highlight w:val="none"/>
        </w:rPr>
      </w:pPr>
    </w:p>
    <w:p w14:paraId="27A74D2F">
      <w:pPr>
        <w:snapToGrid w:val="0"/>
        <w:spacing w:line="360" w:lineRule="auto"/>
        <w:ind w:right="480"/>
        <w:jc w:val="center"/>
        <w:rPr>
          <w:rFonts w:hint="eastAsia" w:ascii="仿宋" w:hAnsi="仿宋" w:eastAsia="仿宋" w:cs="仿宋"/>
          <w:b/>
          <w:color w:val="auto"/>
          <w:kern w:val="0"/>
          <w:sz w:val="32"/>
          <w:szCs w:val="32"/>
          <w:highlight w:val="none"/>
        </w:rPr>
      </w:pPr>
    </w:p>
    <w:p w14:paraId="7BA7E341">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FDF850E">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bookmarkStart w:id="416" w:name="_Toc4741"/>
      <w:r>
        <w:rPr>
          <w:rFonts w:hint="eastAsia" w:ascii="仿宋" w:hAnsi="仿宋" w:eastAsia="仿宋" w:cs="仿宋"/>
          <w:color w:val="auto"/>
          <w:kern w:val="2"/>
          <w:sz w:val="32"/>
          <w:szCs w:val="32"/>
          <w:highlight w:val="none"/>
        </w:rPr>
        <w:t>一、开标一览表（报价表）</w:t>
      </w:r>
      <w:bookmarkEnd w:id="416"/>
    </w:p>
    <w:p w14:paraId="298116E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_GB2312"/>
          <w:b/>
          <w:bCs/>
          <w:color w:val="auto"/>
          <w:sz w:val="24"/>
          <w:szCs w:val="24"/>
          <w:highlight w:val="none"/>
          <w:u w:val="single"/>
        </w:rPr>
        <w:t>杭州市行政大楼服务保障中心、建正工程咨询有限公司</w:t>
      </w:r>
      <w:r>
        <w:rPr>
          <w:rFonts w:hint="eastAsia" w:ascii="仿宋" w:hAnsi="仿宋" w:eastAsia="仿宋" w:cs="仿宋"/>
          <w:color w:val="auto"/>
          <w:kern w:val="0"/>
          <w:sz w:val="24"/>
          <w:highlight w:val="none"/>
          <w:lang w:val="zh-CN"/>
        </w:rPr>
        <w:t>：</w:t>
      </w:r>
    </w:p>
    <w:p w14:paraId="242247FC">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杭州市市民中心公务服务及会议中心劳务服务外包人员经费</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rPr>
        <w:t>【招标编号：</w:t>
      </w:r>
      <w:r>
        <w:rPr>
          <w:rFonts w:hint="eastAsia" w:ascii="仿宋" w:hAnsi="仿宋" w:eastAsia="仿宋" w:cs="仿宋"/>
          <w:b/>
          <w:bCs/>
          <w:color w:val="auto"/>
          <w:sz w:val="24"/>
          <w:szCs w:val="24"/>
          <w:highlight w:val="none"/>
          <w:u w:val="single"/>
          <w:lang w:val="en-US" w:eastAsia="zh-CN"/>
        </w:rPr>
        <w:t>DL[2024]387</w:t>
      </w:r>
      <w:r>
        <w:rPr>
          <w:rFonts w:hint="eastAsia" w:ascii="仿宋" w:hAnsi="仿宋" w:eastAsia="仿宋" w:cs="仿宋"/>
          <w:b/>
          <w:bCs/>
          <w:color w:val="auto"/>
          <w:sz w:val="24"/>
          <w:szCs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5C64F7A8">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p w14:paraId="3BD9DB6E">
      <w:pPr>
        <w:pStyle w:val="2"/>
        <w:rPr>
          <w:rFonts w:hint="eastAsia" w:ascii="仿宋" w:hAnsi="仿宋" w:eastAsia="仿宋" w:cs="仿宋"/>
          <w:b/>
          <w:color w:val="auto"/>
          <w:kern w:val="0"/>
          <w:sz w:val="24"/>
          <w:highlight w:val="none"/>
          <w:lang w:val="zh-CN"/>
        </w:rPr>
      </w:pP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2597"/>
        <w:gridCol w:w="2097"/>
        <w:gridCol w:w="1966"/>
        <w:gridCol w:w="2820"/>
        <w:gridCol w:w="1830"/>
        <w:gridCol w:w="2007"/>
      </w:tblGrid>
      <w:tr w14:paraId="00B6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14" w:type="pct"/>
            <w:vAlign w:val="center"/>
          </w:tcPr>
          <w:p w14:paraId="4E62D2AA">
            <w:pPr>
              <w:autoSpaceDE w:val="0"/>
              <w:autoSpaceDN w:val="0"/>
              <w:snapToGrid w:val="0"/>
              <w:jc w:val="center"/>
              <w:rPr>
                <w:rFonts w:hint="eastAsia" w:ascii="仿宋" w:hAnsi="仿宋" w:eastAsia="仿宋" w:cs="仿宋"/>
                <w:b/>
                <w:bCs/>
                <w:color w:val="auto"/>
                <w:w w:val="80"/>
                <w:sz w:val="21"/>
                <w:szCs w:val="21"/>
                <w:highlight w:val="none"/>
                <w:lang w:val="zh-CN"/>
              </w:rPr>
            </w:pPr>
            <w:r>
              <w:rPr>
                <w:rFonts w:hint="eastAsia" w:ascii="仿宋" w:hAnsi="仿宋" w:eastAsia="仿宋" w:cs="仿宋"/>
                <w:b/>
                <w:bCs/>
                <w:color w:val="auto"/>
                <w:w w:val="80"/>
                <w:sz w:val="21"/>
                <w:szCs w:val="21"/>
                <w:highlight w:val="none"/>
                <w:lang w:val="zh-CN"/>
              </w:rPr>
              <w:t>序号</w:t>
            </w:r>
          </w:p>
        </w:tc>
        <w:tc>
          <w:tcPr>
            <w:tcW w:w="894" w:type="pct"/>
            <w:vAlign w:val="center"/>
          </w:tcPr>
          <w:p w14:paraId="4C34C421">
            <w:pPr>
              <w:autoSpaceDE w:val="0"/>
              <w:autoSpaceDN w:val="0"/>
              <w:snapToGrid w:val="0"/>
              <w:jc w:val="center"/>
              <w:rPr>
                <w:rFonts w:hint="eastAsia" w:ascii="仿宋" w:hAnsi="仿宋" w:eastAsia="仿宋" w:cs="仿宋"/>
                <w:b/>
                <w:bCs/>
                <w:color w:val="auto"/>
                <w:w w:val="80"/>
                <w:sz w:val="21"/>
                <w:szCs w:val="21"/>
                <w:highlight w:val="none"/>
                <w:lang w:val="zh-CN"/>
              </w:rPr>
            </w:pPr>
            <w:r>
              <w:rPr>
                <w:rFonts w:hint="eastAsia" w:ascii="仿宋" w:hAnsi="仿宋" w:eastAsia="仿宋" w:cs="仿宋"/>
                <w:b/>
                <w:bCs/>
                <w:color w:val="auto"/>
                <w:w w:val="80"/>
                <w:sz w:val="21"/>
                <w:szCs w:val="21"/>
                <w:highlight w:val="none"/>
                <w:lang w:val="zh-CN"/>
              </w:rPr>
              <w:t>报价内容</w:t>
            </w:r>
          </w:p>
        </w:tc>
        <w:tc>
          <w:tcPr>
            <w:tcW w:w="722" w:type="pct"/>
            <w:vAlign w:val="center"/>
          </w:tcPr>
          <w:p w14:paraId="5EBA7BF4">
            <w:pPr>
              <w:autoSpaceDE w:val="0"/>
              <w:autoSpaceDN w:val="0"/>
              <w:snapToGrid w:val="0"/>
              <w:jc w:val="center"/>
              <w:rPr>
                <w:rFonts w:hint="default" w:ascii="仿宋" w:hAnsi="仿宋" w:eastAsia="仿宋" w:cs="仿宋"/>
                <w:b/>
                <w:bCs/>
                <w:color w:val="auto"/>
                <w:w w:val="80"/>
                <w:sz w:val="21"/>
                <w:szCs w:val="21"/>
                <w:highlight w:val="none"/>
                <w:lang w:val="en-US" w:eastAsia="zh-CN"/>
              </w:rPr>
            </w:pPr>
            <w:r>
              <w:rPr>
                <w:rFonts w:hint="eastAsia" w:ascii="仿宋" w:hAnsi="仿宋" w:eastAsia="仿宋" w:cs="仿宋"/>
                <w:b/>
                <w:bCs/>
                <w:color w:val="auto"/>
                <w:w w:val="80"/>
                <w:sz w:val="21"/>
                <w:szCs w:val="21"/>
                <w:highlight w:val="none"/>
                <w:lang w:val="en-US" w:eastAsia="zh-CN"/>
              </w:rPr>
              <w:t>单位</w:t>
            </w:r>
          </w:p>
        </w:tc>
        <w:tc>
          <w:tcPr>
            <w:tcW w:w="677" w:type="pct"/>
            <w:vAlign w:val="center"/>
          </w:tcPr>
          <w:p w14:paraId="0B7FEFC3">
            <w:pPr>
              <w:autoSpaceDE w:val="0"/>
              <w:autoSpaceDN w:val="0"/>
              <w:snapToGrid w:val="0"/>
              <w:jc w:val="center"/>
              <w:rPr>
                <w:rFonts w:hint="eastAsia" w:ascii="仿宋" w:hAnsi="仿宋" w:eastAsia="仿宋" w:cs="仿宋"/>
                <w:b/>
                <w:bCs/>
                <w:color w:val="auto"/>
                <w:w w:val="80"/>
                <w:sz w:val="21"/>
                <w:szCs w:val="21"/>
                <w:highlight w:val="none"/>
                <w:lang w:val="zh-CN"/>
              </w:rPr>
            </w:pPr>
            <w:r>
              <w:rPr>
                <w:rFonts w:hint="eastAsia" w:ascii="仿宋" w:hAnsi="仿宋" w:eastAsia="仿宋" w:cs="仿宋"/>
                <w:b/>
                <w:bCs/>
                <w:color w:val="auto"/>
                <w:w w:val="80"/>
                <w:sz w:val="21"/>
                <w:szCs w:val="21"/>
                <w:highlight w:val="none"/>
                <w:lang w:val="zh-CN"/>
              </w:rPr>
              <w:t>数量</w:t>
            </w:r>
          </w:p>
        </w:tc>
        <w:tc>
          <w:tcPr>
            <w:tcW w:w="971" w:type="pct"/>
            <w:vAlign w:val="center"/>
          </w:tcPr>
          <w:p w14:paraId="308D6B6B">
            <w:pPr>
              <w:autoSpaceDE w:val="0"/>
              <w:autoSpaceDN w:val="0"/>
              <w:snapToGrid w:val="0"/>
              <w:jc w:val="center"/>
              <w:rPr>
                <w:rFonts w:hint="eastAsia" w:ascii="仿宋" w:hAnsi="仿宋" w:eastAsia="仿宋" w:cs="仿宋"/>
                <w:b/>
                <w:bCs/>
                <w:color w:val="auto"/>
                <w:w w:val="80"/>
                <w:sz w:val="21"/>
                <w:szCs w:val="21"/>
                <w:highlight w:val="none"/>
                <w:lang w:val="zh-CN"/>
              </w:rPr>
            </w:pPr>
            <w:r>
              <w:rPr>
                <w:rFonts w:hint="eastAsia" w:ascii="仿宋" w:hAnsi="仿宋" w:eastAsia="仿宋" w:cs="仿宋"/>
                <w:b/>
                <w:bCs/>
                <w:color w:val="auto"/>
                <w:w w:val="80"/>
                <w:sz w:val="21"/>
                <w:szCs w:val="21"/>
                <w:highlight w:val="none"/>
                <w:lang w:val="zh-CN"/>
              </w:rPr>
              <w:t>单价</w:t>
            </w:r>
          </w:p>
        </w:tc>
        <w:tc>
          <w:tcPr>
            <w:tcW w:w="630" w:type="pct"/>
            <w:vAlign w:val="center"/>
          </w:tcPr>
          <w:p w14:paraId="546E9347">
            <w:pPr>
              <w:autoSpaceDE w:val="0"/>
              <w:autoSpaceDN w:val="0"/>
              <w:snapToGrid w:val="0"/>
              <w:jc w:val="center"/>
              <w:rPr>
                <w:rFonts w:hint="eastAsia" w:ascii="仿宋" w:hAnsi="仿宋" w:eastAsia="仿宋" w:cs="仿宋"/>
                <w:b/>
                <w:bCs/>
                <w:color w:val="auto"/>
                <w:w w:val="80"/>
                <w:sz w:val="21"/>
                <w:szCs w:val="21"/>
                <w:highlight w:val="none"/>
                <w:lang w:val="zh-CN"/>
              </w:rPr>
            </w:pPr>
            <w:r>
              <w:rPr>
                <w:rFonts w:hint="eastAsia" w:ascii="仿宋" w:hAnsi="仿宋" w:eastAsia="仿宋" w:cs="仿宋"/>
                <w:b/>
                <w:bCs/>
                <w:color w:val="auto"/>
                <w:w w:val="80"/>
                <w:sz w:val="21"/>
                <w:szCs w:val="21"/>
                <w:highlight w:val="none"/>
                <w:lang w:val="zh-CN"/>
              </w:rPr>
              <w:t>合价</w:t>
            </w:r>
          </w:p>
        </w:tc>
        <w:tc>
          <w:tcPr>
            <w:tcW w:w="690" w:type="pct"/>
            <w:vAlign w:val="center"/>
          </w:tcPr>
          <w:p w14:paraId="50F475AE">
            <w:pPr>
              <w:autoSpaceDE w:val="0"/>
              <w:autoSpaceDN w:val="0"/>
              <w:snapToGrid w:val="0"/>
              <w:jc w:val="center"/>
              <w:rPr>
                <w:rFonts w:hint="eastAsia" w:ascii="仿宋" w:hAnsi="仿宋" w:eastAsia="仿宋" w:cs="仿宋"/>
                <w:b/>
                <w:bCs/>
                <w:color w:val="auto"/>
                <w:w w:val="80"/>
                <w:sz w:val="21"/>
                <w:szCs w:val="21"/>
                <w:highlight w:val="none"/>
                <w:lang w:val="zh-CN"/>
              </w:rPr>
            </w:pPr>
            <w:r>
              <w:rPr>
                <w:rFonts w:hint="eastAsia" w:ascii="仿宋" w:hAnsi="仿宋" w:eastAsia="仿宋" w:cs="仿宋"/>
                <w:b/>
                <w:bCs/>
                <w:color w:val="auto"/>
                <w:w w:val="80"/>
                <w:sz w:val="21"/>
                <w:szCs w:val="21"/>
                <w:highlight w:val="none"/>
                <w:lang w:val="zh-CN"/>
              </w:rPr>
              <w:t>备注</w:t>
            </w:r>
          </w:p>
        </w:tc>
      </w:tr>
      <w:tr w14:paraId="5D29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14:paraId="4713CD59">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一</w:t>
            </w:r>
          </w:p>
        </w:tc>
        <w:tc>
          <w:tcPr>
            <w:tcW w:w="894" w:type="pct"/>
            <w:vAlign w:val="center"/>
          </w:tcPr>
          <w:p w14:paraId="1A441933">
            <w:pPr>
              <w:widowControl/>
              <w:snapToGrid w:val="0"/>
              <w:rPr>
                <w:rFonts w:hint="eastAsia" w:ascii="仿宋" w:hAnsi="仿宋" w:eastAsia="仿宋" w:cs="仿宋"/>
                <w:color w:val="auto"/>
                <w:w w:val="80"/>
                <w:sz w:val="21"/>
                <w:szCs w:val="21"/>
                <w:highlight w:val="none"/>
              </w:rPr>
            </w:pPr>
            <w:r>
              <w:rPr>
                <w:rFonts w:hint="eastAsia" w:ascii="仿宋" w:hAnsi="仿宋" w:eastAsia="仿宋" w:cs="仿宋"/>
                <w:color w:val="auto"/>
                <w:w w:val="80"/>
                <w:sz w:val="21"/>
                <w:szCs w:val="21"/>
                <w:highlight w:val="none"/>
              </w:rPr>
              <w:t>人员费用（岗位）</w:t>
            </w:r>
          </w:p>
        </w:tc>
        <w:tc>
          <w:tcPr>
            <w:tcW w:w="722" w:type="pct"/>
            <w:vAlign w:val="center"/>
          </w:tcPr>
          <w:p w14:paraId="11150C58">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14:paraId="18DD8F9B">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14:paraId="5684F4B8">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14:paraId="20E223D4">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14:paraId="5FDFB239">
            <w:pPr>
              <w:autoSpaceDE w:val="0"/>
              <w:autoSpaceDN w:val="0"/>
              <w:snapToGrid w:val="0"/>
              <w:rPr>
                <w:rFonts w:hint="eastAsia" w:ascii="仿宋" w:hAnsi="仿宋" w:eastAsia="仿宋" w:cs="仿宋"/>
                <w:bCs/>
                <w:color w:val="auto"/>
                <w:w w:val="80"/>
                <w:sz w:val="21"/>
                <w:szCs w:val="21"/>
                <w:highlight w:val="none"/>
                <w:lang w:val="zh-CN"/>
              </w:rPr>
            </w:pPr>
          </w:p>
        </w:tc>
      </w:tr>
      <w:tr w14:paraId="0450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14:paraId="4DBBA647">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1</w:t>
            </w:r>
          </w:p>
        </w:tc>
        <w:tc>
          <w:tcPr>
            <w:tcW w:w="894" w:type="pct"/>
            <w:vAlign w:val="center"/>
          </w:tcPr>
          <w:p w14:paraId="4907638E">
            <w:pPr>
              <w:widowControl/>
              <w:snapToGrid w:val="0"/>
              <w:rPr>
                <w:rFonts w:hint="eastAsia" w:ascii="仿宋" w:hAnsi="仿宋" w:eastAsia="仿宋" w:cs="仿宋"/>
                <w:color w:val="auto"/>
                <w:w w:val="80"/>
                <w:sz w:val="21"/>
                <w:szCs w:val="21"/>
                <w:highlight w:val="none"/>
              </w:rPr>
            </w:pPr>
          </w:p>
        </w:tc>
        <w:tc>
          <w:tcPr>
            <w:tcW w:w="722" w:type="pct"/>
            <w:vAlign w:val="center"/>
          </w:tcPr>
          <w:p w14:paraId="7F29C44C">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14:paraId="247A9E88">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14:paraId="651422CD">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14:paraId="4A377301">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14:paraId="1D243724">
            <w:pPr>
              <w:autoSpaceDE w:val="0"/>
              <w:autoSpaceDN w:val="0"/>
              <w:snapToGrid w:val="0"/>
              <w:rPr>
                <w:rFonts w:hint="eastAsia" w:ascii="仿宋" w:hAnsi="仿宋" w:eastAsia="仿宋" w:cs="仿宋"/>
                <w:bCs/>
                <w:color w:val="auto"/>
                <w:w w:val="80"/>
                <w:sz w:val="21"/>
                <w:szCs w:val="21"/>
                <w:highlight w:val="none"/>
                <w:lang w:val="zh-CN"/>
              </w:rPr>
            </w:pPr>
          </w:p>
        </w:tc>
      </w:tr>
      <w:tr w14:paraId="56CF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14:paraId="5C1F61C0">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2</w:t>
            </w:r>
          </w:p>
        </w:tc>
        <w:tc>
          <w:tcPr>
            <w:tcW w:w="894" w:type="pct"/>
            <w:vAlign w:val="center"/>
          </w:tcPr>
          <w:p w14:paraId="59043561">
            <w:pPr>
              <w:autoSpaceDE w:val="0"/>
              <w:autoSpaceDN w:val="0"/>
              <w:snapToGrid w:val="0"/>
              <w:rPr>
                <w:rFonts w:hint="eastAsia" w:ascii="仿宋" w:hAnsi="仿宋" w:eastAsia="仿宋" w:cs="仿宋"/>
                <w:bCs/>
                <w:color w:val="auto"/>
                <w:w w:val="80"/>
                <w:sz w:val="21"/>
                <w:szCs w:val="21"/>
                <w:highlight w:val="none"/>
                <w:lang w:val="zh-CN"/>
              </w:rPr>
            </w:pPr>
          </w:p>
        </w:tc>
        <w:tc>
          <w:tcPr>
            <w:tcW w:w="722" w:type="pct"/>
            <w:vAlign w:val="center"/>
          </w:tcPr>
          <w:p w14:paraId="2FBEA696">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14:paraId="47AB41D5">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14:paraId="20A99E11">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14:paraId="557E7CF6">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14:paraId="621BD9F7">
            <w:pPr>
              <w:autoSpaceDE w:val="0"/>
              <w:autoSpaceDN w:val="0"/>
              <w:snapToGrid w:val="0"/>
              <w:rPr>
                <w:rFonts w:hint="eastAsia" w:ascii="仿宋" w:hAnsi="仿宋" w:eastAsia="仿宋" w:cs="仿宋"/>
                <w:bCs/>
                <w:color w:val="auto"/>
                <w:w w:val="80"/>
                <w:sz w:val="21"/>
                <w:szCs w:val="21"/>
                <w:highlight w:val="none"/>
                <w:lang w:val="zh-CN"/>
              </w:rPr>
            </w:pPr>
          </w:p>
        </w:tc>
      </w:tr>
      <w:tr w14:paraId="2463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14:paraId="4D945391">
            <w:pPr>
              <w:autoSpaceDE w:val="0"/>
              <w:autoSpaceDN w:val="0"/>
              <w:snapToGrid w:val="0"/>
              <w:rPr>
                <w:rFonts w:hint="eastAsia" w:ascii="仿宋" w:hAnsi="仿宋" w:eastAsia="仿宋" w:cs="仿宋"/>
                <w:bCs/>
                <w:color w:val="auto"/>
                <w:w w:val="80"/>
                <w:sz w:val="21"/>
                <w:szCs w:val="21"/>
                <w:highlight w:val="none"/>
                <w:lang w:val="en-US" w:eastAsia="zh-CN"/>
              </w:rPr>
            </w:pPr>
            <w:r>
              <w:rPr>
                <w:rFonts w:hint="eastAsia" w:ascii="仿宋" w:hAnsi="仿宋" w:eastAsia="仿宋" w:cs="仿宋"/>
                <w:bCs/>
                <w:color w:val="auto"/>
                <w:w w:val="80"/>
                <w:sz w:val="21"/>
                <w:szCs w:val="21"/>
                <w:highlight w:val="none"/>
                <w:lang w:val="en-US" w:eastAsia="zh-CN"/>
              </w:rPr>
              <w:t>3</w:t>
            </w:r>
          </w:p>
        </w:tc>
        <w:tc>
          <w:tcPr>
            <w:tcW w:w="894" w:type="pct"/>
            <w:vAlign w:val="center"/>
          </w:tcPr>
          <w:p w14:paraId="494349EC">
            <w:pPr>
              <w:autoSpaceDE w:val="0"/>
              <w:autoSpaceDN w:val="0"/>
              <w:snapToGrid w:val="0"/>
              <w:rPr>
                <w:rFonts w:hint="eastAsia" w:ascii="仿宋" w:hAnsi="仿宋" w:eastAsia="仿宋" w:cs="仿宋"/>
                <w:bCs/>
                <w:color w:val="auto"/>
                <w:w w:val="80"/>
                <w:sz w:val="21"/>
                <w:szCs w:val="21"/>
                <w:highlight w:val="none"/>
                <w:lang w:val="zh-CN"/>
              </w:rPr>
            </w:pPr>
          </w:p>
        </w:tc>
        <w:tc>
          <w:tcPr>
            <w:tcW w:w="722" w:type="pct"/>
            <w:vAlign w:val="center"/>
          </w:tcPr>
          <w:p w14:paraId="2E0108CA">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14:paraId="1FBD7A18">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14:paraId="3606C3DE">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14:paraId="42190C72">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14:paraId="38C804E5">
            <w:pPr>
              <w:autoSpaceDE w:val="0"/>
              <w:autoSpaceDN w:val="0"/>
              <w:snapToGrid w:val="0"/>
              <w:rPr>
                <w:rFonts w:hint="eastAsia" w:ascii="仿宋" w:hAnsi="仿宋" w:eastAsia="仿宋" w:cs="仿宋"/>
                <w:bCs/>
                <w:color w:val="auto"/>
                <w:w w:val="80"/>
                <w:sz w:val="21"/>
                <w:szCs w:val="21"/>
                <w:highlight w:val="none"/>
                <w:lang w:val="zh-CN"/>
              </w:rPr>
            </w:pPr>
          </w:p>
        </w:tc>
      </w:tr>
      <w:tr w14:paraId="74E2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14:paraId="6F6C926C">
            <w:pPr>
              <w:autoSpaceDE w:val="0"/>
              <w:autoSpaceDN w:val="0"/>
              <w:snapToGrid w:val="0"/>
              <w:rPr>
                <w:rFonts w:hint="eastAsia" w:ascii="仿宋" w:hAnsi="仿宋" w:eastAsia="仿宋" w:cs="仿宋"/>
                <w:bCs/>
                <w:color w:val="auto"/>
                <w:w w:val="80"/>
                <w:sz w:val="21"/>
                <w:szCs w:val="21"/>
                <w:highlight w:val="none"/>
                <w:lang w:val="en-US" w:eastAsia="zh-CN"/>
              </w:rPr>
            </w:pPr>
            <w:r>
              <w:rPr>
                <w:rFonts w:hint="eastAsia" w:ascii="仿宋" w:hAnsi="仿宋" w:eastAsia="仿宋" w:cs="仿宋"/>
                <w:bCs/>
                <w:color w:val="auto"/>
                <w:w w:val="80"/>
                <w:sz w:val="21"/>
                <w:szCs w:val="21"/>
                <w:highlight w:val="none"/>
                <w:lang w:val="en-US" w:eastAsia="zh-CN"/>
              </w:rPr>
              <w:t>4</w:t>
            </w:r>
          </w:p>
        </w:tc>
        <w:tc>
          <w:tcPr>
            <w:tcW w:w="894" w:type="pct"/>
            <w:vAlign w:val="center"/>
          </w:tcPr>
          <w:p w14:paraId="42E6A0DE">
            <w:pPr>
              <w:autoSpaceDE w:val="0"/>
              <w:autoSpaceDN w:val="0"/>
              <w:snapToGrid w:val="0"/>
              <w:rPr>
                <w:rFonts w:hint="eastAsia" w:ascii="仿宋" w:hAnsi="仿宋" w:eastAsia="仿宋" w:cs="仿宋"/>
                <w:bCs/>
                <w:color w:val="auto"/>
                <w:w w:val="80"/>
                <w:sz w:val="21"/>
                <w:szCs w:val="21"/>
                <w:highlight w:val="none"/>
                <w:lang w:val="zh-CN"/>
              </w:rPr>
            </w:pPr>
          </w:p>
        </w:tc>
        <w:tc>
          <w:tcPr>
            <w:tcW w:w="722" w:type="pct"/>
            <w:vAlign w:val="center"/>
          </w:tcPr>
          <w:p w14:paraId="6459E774">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14:paraId="3D0301BA">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14:paraId="140C7891">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14:paraId="50C100B8">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14:paraId="15EA833E">
            <w:pPr>
              <w:autoSpaceDE w:val="0"/>
              <w:autoSpaceDN w:val="0"/>
              <w:snapToGrid w:val="0"/>
              <w:rPr>
                <w:rFonts w:hint="eastAsia" w:ascii="仿宋" w:hAnsi="仿宋" w:eastAsia="仿宋" w:cs="仿宋"/>
                <w:bCs/>
                <w:color w:val="auto"/>
                <w:w w:val="80"/>
                <w:sz w:val="21"/>
                <w:szCs w:val="21"/>
                <w:highlight w:val="none"/>
                <w:lang w:val="zh-CN"/>
              </w:rPr>
            </w:pPr>
          </w:p>
        </w:tc>
      </w:tr>
      <w:tr w14:paraId="2FD4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14:paraId="3A5D4CC1">
            <w:pPr>
              <w:autoSpaceDE w:val="0"/>
              <w:autoSpaceDN w:val="0"/>
              <w:snapToGrid w:val="0"/>
              <w:rPr>
                <w:rFonts w:hint="eastAsia" w:ascii="仿宋" w:hAnsi="仿宋" w:eastAsia="仿宋" w:cs="仿宋"/>
                <w:bCs/>
                <w:color w:val="auto"/>
                <w:w w:val="80"/>
                <w:sz w:val="21"/>
                <w:szCs w:val="21"/>
                <w:highlight w:val="none"/>
                <w:lang w:val="en-US" w:eastAsia="zh-CN"/>
              </w:rPr>
            </w:pPr>
            <w:r>
              <w:rPr>
                <w:rFonts w:hint="eastAsia" w:ascii="仿宋" w:hAnsi="仿宋" w:eastAsia="仿宋" w:cs="仿宋"/>
                <w:bCs/>
                <w:color w:val="auto"/>
                <w:w w:val="80"/>
                <w:sz w:val="21"/>
                <w:szCs w:val="21"/>
                <w:highlight w:val="none"/>
                <w:lang w:val="en-US" w:eastAsia="zh-CN"/>
              </w:rPr>
              <w:t>5</w:t>
            </w:r>
          </w:p>
        </w:tc>
        <w:tc>
          <w:tcPr>
            <w:tcW w:w="894" w:type="pct"/>
            <w:vAlign w:val="center"/>
          </w:tcPr>
          <w:p w14:paraId="48C1EB91">
            <w:pPr>
              <w:autoSpaceDE w:val="0"/>
              <w:autoSpaceDN w:val="0"/>
              <w:snapToGrid w:val="0"/>
              <w:rPr>
                <w:rFonts w:hint="eastAsia" w:ascii="仿宋" w:hAnsi="仿宋" w:eastAsia="仿宋" w:cs="仿宋"/>
                <w:bCs/>
                <w:color w:val="auto"/>
                <w:w w:val="80"/>
                <w:sz w:val="21"/>
                <w:szCs w:val="21"/>
                <w:highlight w:val="none"/>
                <w:lang w:val="zh-CN"/>
              </w:rPr>
            </w:pPr>
          </w:p>
        </w:tc>
        <w:tc>
          <w:tcPr>
            <w:tcW w:w="722" w:type="pct"/>
            <w:vAlign w:val="center"/>
          </w:tcPr>
          <w:p w14:paraId="7BB409A3">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14:paraId="2B7061B3">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14:paraId="32B43D94">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14:paraId="11333974">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14:paraId="7278CCDD">
            <w:pPr>
              <w:autoSpaceDE w:val="0"/>
              <w:autoSpaceDN w:val="0"/>
              <w:snapToGrid w:val="0"/>
              <w:rPr>
                <w:rFonts w:hint="eastAsia" w:ascii="仿宋" w:hAnsi="仿宋" w:eastAsia="仿宋" w:cs="仿宋"/>
                <w:bCs/>
                <w:color w:val="auto"/>
                <w:w w:val="80"/>
                <w:sz w:val="21"/>
                <w:szCs w:val="21"/>
                <w:highlight w:val="none"/>
                <w:lang w:val="zh-CN"/>
              </w:rPr>
            </w:pPr>
          </w:p>
        </w:tc>
      </w:tr>
      <w:tr w14:paraId="6B9C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14:paraId="71C1B716">
            <w:pPr>
              <w:autoSpaceDE w:val="0"/>
              <w:autoSpaceDN w:val="0"/>
              <w:snapToGrid w:val="0"/>
              <w:rPr>
                <w:rFonts w:hint="default" w:ascii="仿宋" w:hAnsi="仿宋" w:eastAsia="仿宋" w:cs="仿宋"/>
                <w:bCs/>
                <w:color w:val="auto"/>
                <w:w w:val="80"/>
                <w:sz w:val="21"/>
                <w:szCs w:val="21"/>
                <w:highlight w:val="none"/>
                <w:lang w:val="en-US" w:eastAsia="zh-CN"/>
              </w:rPr>
            </w:pPr>
            <w:r>
              <w:rPr>
                <w:rFonts w:hint="eastAsia" w:ascii="仿宋" w:hAnsi="仿宋" w:eastAsia="仿宋" w:cs="仿宋"/>
                <w:bCs/>
                <w:color w:val="auto"/>
                <w:w w:val="80"/>
                <w:sz w:val="21"/>
                <w:szCs w:val="21"/>
                <w:highlight w:val="none"/>
                <w:lang w:val="en-US" w:eastAsia="zh-CN"/>
              </w:rPr>
              <w:t>.......</w:t>
            </w:r>
          </w:p>
        </w:tc>
        <w:tc>
          <w:tcPr>
            <w:tcW w:w="894" w:type="pct"/>
            <w:vAlign w:val="center"/>
          </w:tcPr>
          <w:p w14:paraId="070C877F">
            <w:pPr>
              <w:autoSpaceDE w:val="0"/>
              <w:autoSpaceDN w:val="0"/>
              <w:snapToGrid w:val="0"/>
              <w:rPr>
                <w:rFonts w:hint="eastAsia" w:ascii="仿宋" w:hAnsi="仿宋" w:eastAsia="仿宋" w:cs="仿宋"/>
                <w:bCs/>
                <w:color w:val="auto"/>
                <w:w w:val="80"/>
                <w:sz w:val="21"/>
                <w:szCs w:val="21"/>
                <w:highlight w:val="none"/>
                <w:lang w:val="zh-CN"/>
              </w:rPr>
            </w:pPr>
          </w:p>
        </w:tc>
        <w:tc>
          <w:tcPr>
            <w:tcW w:w="722" w:type="pct"/>
            <w:vAlign w:val="center"/>
          </w:tcPr>
          <w:p w14:paraId="11BF62E9">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14:paraId="449E9758">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14:paraId="2A1A6BFD">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14:paraId="4C5BA1F2">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14:paraId="2CBB6865">
            <w:pPr>
              <w:autoSpaceDE w:val="0"/>
              <w:autoSpaceDN w:val="0"/>
              <w:snapToGrid w:val="0"/>
              <w:rPr>
                <w:rFonts w:hint="eastAsia" w:ascii="仿宋" w:hAnsi="仿宋" w:eastAsia="仿宋" w:cs="仿宋"/>
                <w:bCs/>
                <w:color w:val="auto"/>
                <w:w w:val="80"/>
                <w:sz w:val="21"/>
                <w:szCs w:val="21"/>
                <w:highlight w:val="none"/>
                <w:lang w:val="zh-CN"/>
              </w:rPr>
            </w:pPr>
          </w:p>
        </w:tc>
      </w:tr>
      <w:tr w14:paraId="3823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14:paraId="6469DB68">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二</w:t>
            </w:r>
          </w:p>
        </w:tc>
        <w:tc>
          <w:tcPr>
            <w:tcW w:w="894" w:type="pct"/>
            <w:vAlign w:val="center"/>
          </w:tcPr>
          <w:p w14:paraId="74CDC988">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管理费</w:t>
            </w:r>
          </w:p>
        </w:tc>
        <w:tc>
          <w:tcPr>
            <w:tcW w:w="722" w:type="pct"/>
            <w:vAlign w:val="center"/>
          </w:tcPr>
          <w:p w14:paraId="77E46AC4">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14:paraId="6BC8CFCB">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14:paraId="32C866F7">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14:paraId="1B24EEB8">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14:paraId="422D2518">
            <w:pPr>
              <w:autoSpaceDE w:val="0"/>
              <w:autoSpaceDN w:val="0"/>
              <w:snapToGrid w:val="0"/>
              <w:rPr>
                <w:rFonts w:hint="eastAsia" w:ascii="仿宋" w:hAnsi="仿宋" w:eastAsia="仿宋" w:cs="仿宋"/>
                <w:bCs/>
                <w:color w:val="auto"/>
                <w:w w:val="80"/>
                <w:sz w:val="21"/>
                <w:szCs w:val="21"/>
                <w:highlight w:val="none"/>
                <w:lang w:val="zh-CN"/>
              </w:rPr>
            </w:pPr>
          </w:p>
        </w:tc>
      </w:tr>
      <w:tr w14:paraId="36A7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14:paraId="452D15AF">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三</w:t>
            </w:r>
          </w:p>
        </w:tc>
        <w:tc>
          <w:tcPr>
            <w:tcW w:w="894" w:type="pct"/>
            <w:vAlign w:val="center"/>
          </w:tcPr>
          <w:p w14:paraId="28A56557">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其它</w:t>
            </w:r>
          </w:p>
        </w:tc>
        <w:tc>
          <w:tcPr>
            <w:tcW w:w="722" w:type="pct"/>
            <w:vAlign w:val="center"/>
          </w:tcPr>
          <w:p w14:paraId="3045C50C">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14:paraId="3C89FE71">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14:paraId="5CFCBA2C">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14:paraId="36698BF0">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14:paraId="507ABA00">
            <w:pPr>
              <w:autoSpaceDE w:val="0"/>
              <w:autoSpaceDN w:val="0"/>
              <w:snapToGrid w:val="0"/>
              <w:rPr>
                <w:rFonts w:hint="eastAsia" w:ascii="仿宋" w:hAnsi="仿宋" w:eastAsia="仿宋" w:cs="仿宋"/>
                <w:bCs/>
                <w:color w:val="auto"/>
                <w:w w:val="80"/>
                <w:sz w:val="21"/>
                <w:szCs w:val="21"/>
                <w:highlight w:val="none"/>
                <w:lang w:val="zh-CN"/>
              </w:rPr>
            </w:pPr>
          </w:p>
        </w:tc>
      </w:tr>
      <w:tr w14:paraId="5E7F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14:paraId="2DEB6324">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四</w:t>
            </w:r>
          </w:p>
        </w:tc>
        <w:tc>
          <w:tcPr>
            <w:tcW w:w="894" w:type="pct"/>
            <w:vAlign w:val="center"/>
          </w:tcPr>
          <w:p w14:paraId="485C66D1">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税金</w:t>
            </w:r>
          </w:p>
        </w:tc>
        <w:tc>
          <w:tcPr>
            <w:tcW w:w="722" w:type="pct"/>
            <w:vAlign w:val="center"/>
          </w:tcPr>
          <w:p w14:paraId="565DE91D">
            <w:pPr>
              <w:autoSpaceDE w:val="0"/>
              <w:autoSpaceDN w:val="0"/>
              <w:snapToGrid w:val="0"/>
              <w:rPr>
                <w:rFonts w:hint="eastAsia" w:ascii="仿宋" w:hAnsi="仿宋" w:eastAsia="仿宋" w:cs="仿宋"/>
                <w:bCs/>
                <w:color w:val="auto"/>
                <w:w w:val="80"/>
                <w:sz w:val="21"/>
                <w:szCs w:val="21"/>
                <w:highlight w:val="none"/>
                <w:lang w:val="zh-CN"/>
              </w:rPr>
            </w:pPr>
          </w:p>
        </w:tc>
        <w:tc>
          <w:tcPr>
            <w:tcW w:w="677" w:type="pct"/>
            <w:vAlign w:val="center"/>
          </w:tcPr>
          <w:p w14:paraId="107A39A8">
            <w:pPr>
              <w:autoSpaceDE w:val="0"/>
              <w:autoSpaceDN w:val="0"/>
              <w:snapToGrid w:val="0"/>
              <w:rPr>
                <w:rFonts w:hint="eastAsia" w:ascii="仿宋" w:hAnsi="仿宋" w:eastAsia="仿宋" w:cs="仿宋"/>
                <w:bCs/>
                <w:color w:val="auto"/>
                <w:w w:val="80"/>
                <w:sz w:val="21"/>
                <w:szCs w:val="21"/>
                <w:highlight w:val="none"/>
                <w:lang w:val="zh-CN"/>
              </w:rPr>
            </w:pPr>
          </w:p>
        </w:tc>
        <w:tc>
          <w:tcPr>
            <w:tcW w:w="971" w:type="pct"/>
            <w:vAlign w:val="center"/>
          </w:tcPr>
          <w:p w14:paraId="3B507EA6">
            <w:pPr>
              <w:autoSpaceDE w:val="0"/>
              <w:autoSpaceDN w:val="0"/>
              <w:snapToGrid w:val="0"/>
              <w:rPr>
                <w:rFonts w:hint="eastAsia" w:ascii="仿宋" w:hAnsi="仿宋" w:eastAsia="仿宋" w:cs="仿宋"/>
                <w:bCs/>
                <w:color w:val="auto"/>
                <w:w w:val="80"/>
                <w:sz w:val="21"/>
                <w:szCs w:val="21"/>
                <w:highlight w:val="none"/>
                <w:lang w:val="zh-CN"/>
              </w:rPr>
            </w:pPr>
          </w:p>
        </w:tc>
        <w:tc>
          <w:tcPr>
            <w:tcW w:w="630" w:type="pct"/>
            <w:vAlign w:val="center"/>
          </w:tcPr>
          <w:p w14:paraId="20A745C5">
            <w:pPr>
              <w:autoSpaceDE w:val="0"/>
              <w:autoSpaceDN w:val="0"/>
              <w:snapToGrid w:val="0"/>
              <w:rPr>
                <w:rFonts w:hint="eastAsia" w:ascii="仿宋" w:hAnsi="仿宋" w:eastAsia="仿宋" w:cs="仿宋"/>
                <w:bCs/>
                <w:color w:val="auto"/>
                <w:w w:val="80"/>
                <w:sz w:val="21"/>
                <w:szCs w:val="21"/>
                <w:highlight w:val="none"/>
                <w:lang w:val="zh-CN"/>
              </w:rPr>
            </w:pPr>
          </w:p>
        </w:tc>
        <w:tc>
          <w:tcPr>
            <w:tcW w:w="690" w:type="pct"/>
            <w:vAlign w:val="center"/>
          </w:tcPr>
          <w:p w14:paraId="4211FD61">
            <w:pPr>
              <w:autoSpaceDE w:val="0"/>
              <w:autoSpaceDN w:val="0"/>
              <w:snapToGrid w:val="0"/>
              <w:rPr>
                <w:rFonts w:hint="eastAsia" w:ascii="仿宋" w:hAnsi="仿宋" w:eastAsia="仿宋" w:cs="仿宋"/>
                <w:bCs/>
                <w:color w:val="auto"/>
                <w:w w:val="80"/>
                <w:sz w:val="21"/>
                <w:szCs w:val="21"/>
                <w:highlight w:val="none"/>
                <w:lang w:val="zh-CN"/>
              </w:rPr>
            </w:pPr>
          </w:p>
        </w:tc>
      </w:tr>
      <w:tr w14:paraId="2D65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Align w:val="center"/>
          </w:tcPr>
          <w:p w14:paraId="1C1AF9BB">
            <w:pPr>
              <w:autoSpaceDE w:val="0"/>
              <w:autoSpaceDN w:val="0"/>
              <w:snapToGrid w:val="0"/>
              <w:rPr>
                <w:rFonts w:hint="eastAsia" w:ascii="仿宋" w:hAnsi="仿宋" w:eastAsia="仿宋" w:cs="仿宋"/>
                <w:bCs/>
                <w:color w:val="auto"/>
                <w:w w:val="80"/>
                <w:sz w:val="21"/>
                <w:szCs w:val="21"/>
                <w:highlight w:val="none"/>
                <w:lang w:val="zh-CN"/>
              </w:rPr>
            </w:pPr>
          </w:p>
        </w:tc>
        <w:tc>
          <w:tcPr>
            <w:tcW w:w="894" w:type="pct"/>
            <w:vAlign w:val="center"/>
          </w:tcPr>
          <w:p w14:paraId="5C83AED6">
            <w:pPr>
              <w:autoSpaceDE w:val="0"/>
              <w:autoSpaceDN w:val="0"/>
              <w:snapToGrid w:val="0"/>
              <w:rPr>
                <w:rFonts w:hint="eastAsia" w:ascii="仿宋" w:hAnsi="仿宋" w:eastAsia="仿宋" w:cs="仿宋"/>
                <w:bCs/>
                <w:color w:val="auto"/>
                <w:w w:val="80"/>
                <w:sz w:val="21"/>
                <w:szCs w:val="21"/>
                <w:highlight w:val="none"/>
                <w:lang w:val="zh-CN"/>
              </w:rPr>
            </w:pPr>
            <w:r>
              <w:rPr>
                <w:rFonts w:hint="eastAsia" w:ascii="仿宋" w:hAnsi="仿宋" w:eastAsia="仿宋" w:cs="仿宋"/>
                <w:bCs/>
                <w:color w:val="auto"/>
                <w:w w:val="80"/>
                <w:sz w:val="21"/>
                <w:szCs w:val="21"/>
                <w:highlight w:val="none"/>
                <w:lang w:val="zh-CN"/>
              </w:rPr>
              <w:t>本项目费用总计</w:t>
            </w:r>
          </w:p>
        </w:tc>
        <w:tc>
          <w:tcPr>
            <w:tcW w:w="3691" w:type="pct"/>
            <w:gridSpan w:val="5"/>
            <w:vAlign w:val="center"/>
          </w:tcPr>
          <w:p w14:paraId="674B28F8">
            <w:pPr>
              <w:autoSpaceDE w:val="0"/>
              <w:autoSpaceDN w:val="0"/>
              <w:snapToGrid w:val="0"/>
              <w:rPr>
                <w:rFonts w:hint="eastAsia" w:ascii="仿宋" w:hAnsi="仿宋" w:eastAsia="仿宋" w:cs="仿宋"/>
                <w:bCs/>
                <w:color w:val="auto"/>
                <w:w w:val="80"/>
                <w:sz w:val="21"/>
                <w:szCs w:val="21"/>
                <w:highlight w:val="none"/>
                <w:u w:val="single"/>
                <w:lang w:val="zh-CN"/>
              </w:rPr>
            </w:pPr>
            <w:r>
              <w:rPr>
                <w:rFonts w:hint="eastAsia" w:ascii="仿宋" w:hAnsi="仿宋" w:eastAsia="仿宋" w:cs="仿宋"/>
                <w:bCs/>
                <w:color w:val="auto"/>
                <w:w w:val="80"/>
                <w:sz w:val="21"/>
                <w:szCs w:val="21"/>
                <w:highlight w:val="none"/>
                <w:u w:val="single"/>
                <w:lang w:val="zh-CN"/>
              </w:rPr>
              <w:t xml:space="preserve"> 大写：                     小写：             </w:t>
            </w:r>
          </w:p>
        </w:tc>
      </w:tr>
    </w:tbl>
    <w:p w14:paraId="241F1F61">
      <w:pPr>
        <w:pStyle w:val="2"/>
        <w:rPr>
          <w:rFonts w:hint="eastAsia" w:ascii="仿宋" w:hAnsi="仿宋" w:eastAsia="仿宋" w:cs="仿宋"/>
          <w:b/>
          <w:color w:val="auto"/>
          <w:kern w:val="0"/>
          <w:sz w:val="24"/>
          <w:highlight w:val="none"/>
          <w:lang w:val="zh-CN"/>
        </w:rPr>
      </w:pPr>
    </w:p>
    <w:p w14:paraId="79AA80E9">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C4868D3">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71FBCA1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kern w:val="0"/>
          <w:sz w:val="24"/>
          <w:highlight w:val="none"/>
          <w:lang w:val="zh-CN"/>
        </w:rPr>
        <w:t>总价</w:t>
      </w:r>
      <w:r>
        <w:rPr>
          <w:rFonts w:hint="eastAsia" w:ascii="仿宋" w:hAnsi="仿宋" w:eastAsia="仿宋" w:cs="仿宋"/>
          <w:color w:val="auto"/>
          <w:kern w:val="0"/>
          <w:sz w:val="24"/>
          <w:highlight w:val="none"/>
          <w:lang w:val="zh-CN" w:eastAsia="zh-CN"/>
        </w:rPr>
        <w:t>不为零</w:t>
      </w:r>
      <w:r>
        <w:rPr>
          <w:rFonts w:hint="eastAsia" w:ascii="仿宋" w:hAnsi="仿宋" w:eastAsia="仿宋" w:cs="仿宋"/>
          <w:color w:val="auto"/>
          <w:kern w:val="0"/>
          <w:sz w:val="24"/>
          <w:highlight w:val="none"/>
          <w:lang w:val="zh-CN"/>
        </w:rPr>
        <w:t>，报价明细表中</w:t>
      </w:r>
      <w:r>
        <w:rPr>
          <w:rFonts w:hint="eastAsia" w:ascii="仿宋" w:hAnsi="仿宋" w:eastAsia="仿宋" w:cs="仿宋"/>
          <w:color w:val="auto"/>
          <w:kern w:val="0"/>
          <w:sz w:val="24"/>
          <w:highlight w:val="none"/>
          <w:lang w:val="zh-CN" w:eastAsia="zh-CN"/>
        </w:rPr>
        <w:t>部分</w:t>
      </w:r>
      <w:r>
        <w:rPr>
          <w:rFonts w:hint="eastAsia" w:ascii="仿宋" w:hAnsi="仿宋" w:eastAsia="仿宋" w:cs="仿宋"/>
          <w:color w:val="auto"/>
          <w:kern w:val="0"/>
          <w:sz w:val="24"/>
          <w:highlight w:val="none"/>
          <w:lang w:val="zh-CN"/>
        </w:rPr>
        <w:t>产品、服务单价为零的，视作已包含在总价中</w:t>
      </w:r>
      <w:r>
        <w:rPr>
          <w:rFonts w:hint="eastAsia" w:ascii="仿宋" w:hAnsi="仿宋" w:eastAsia="仿宋" w:cs="仿宋"/>
          <w:color w:val="auto"/>
          <w:kern w:val="0"/>
          <w:sz w:val="24"/>
          <w:highlight w:val="none"/>
          <w:lang w:val="zh-CN" w:eastAsia="zh-CN"/>
        </w:rPr>
        <w:t>。</w:t>
      </w:r>
      <w:r>
        <w:rPr>
          <w:rFonts w:hint="eastAsia" w:ascii="仿宋" w:hAnsi="仿宋" w:eastAsia="仿宋" w:cs="仿宋"/>
          <w:b/>
          <w:bCs/>
          <w:color w:val="auto"/>
          <w:kern w:val="0"/>
          <w:sz w:val="24"/>
          <w:highlight w:val="none"/>
          <w:lang w:val="zh-CN"/>
        </w:rPr>
        <w:t>采购内容未包含在《开标一览表（报价表）》名称栏中，投标人不能作出合理解释的，视为投标文件含有采购人不能接受的附加条件的，投标无效。</w:t>
      </w:r>
    </w:p>
    <w:p w14:paraId="70D9531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E5947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2FD9BC1">
      <w:pPr>
        <w:spacing w:line="360" w:lineRule="auto"/>
        <w:ind w:firstLine="482" w:firstLineChars="200"/>
        <w:rPr>
          <w:rFonts w:hint="eastAsia" w:ascii="仿宋" w:hAnsi="仿宋" w:eastAsia="仿宋" w:cs="仿宋"/>
          <w:b/>
          <w:color w:val="auto"/>
          <w:kern w:val="0"/>
          <w:sz w:val="24"/>
          <w:highlight w:val="none"/>
        </w:rPr>
      </w:pPr>
    </w:p>
    <w:p w14:paraId="2E9A1E6F">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7A6497EC">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60B6845D">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lang w:val="en-US" w:eastAsia="zh-CN"/>
        </w:rPr>
      </w:pPr>
      <w:bookmarkStart w:id="417" w:name="_Toc717"/>
      <w:r>
        <w:rPr>
          <w:rFonts w:hint="eastAsia" w:ascii="仿宋" w:hAnsi="仿宋" w:eastAsia="仿宋" w:cs="仿宋"/>
          <w:color w:val="auto"/>
          <w:sz w:val="32"/>
          <w:szCs w:val="32"/>
          <w:highlight w:val="none"/>
          <w:lang w:val="en-US" w:eastAsia="zh-CN"/>
        </w:rPr>
        <w:t>二、报价情况说明（如果有）</w:t>
      </w:r>
    </w:p>
    <w:p w14:paraId="538B169D">
      <w:pPr>
        <w:pStyle w:val="4"/>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0E17F78F">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bookmarkEnd w:id="417"/>
    </w:p>
    <w:p w14:paraId="31F1EFCC">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40408CD">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24B63CA9">
      <w:pPr>
        <w:spacing w:line="360" w:lineRule="auto"/>
        <w:ind w:right="420" w:firstLine="3614" w:firstLineChars="1000"/>
        <w:rPr>
          <w:rFonts w:hint="eastAsia" w:ascii="仿宋" w:hAnsi="仿宋" w:eastAsia="仿宋" w:cs="仿宋"/>
          <w:b/>
          <w:color w:val="auto"/>
          <w:kern w:val="0"/>
          <w:sz w:val="36"/>
          <w:szCs w:val="36"/>
          <w:highlight w:val="none"/>
        </w:rPr>
      </w:pPr>
    </w:p>
    <w:p w14:paraId="5A7B73F5">
      <w:pPr>
        <w:spacing w:line="360" w:lineRule="auto"/>
        <w:ind w:right="420" w:firstLine="3614" w:firstLineChars="1000"/>
        <w:rPr>
          <w:rFonts w:hint="eastAsia" w:ascii="仿宋" w:hAnsi="仿宋" w:eastAsia="仿宋" w:cs="仿宋"/>
          <w:b/>
          <w:color w:val="auto"/>
          <w:kern w:val="0"/>
          <w:sz w:val="36"/>
          <w:szCs w:val="36"/>
          <w:highlight w:val="none"/>
        </w:rPr>
      </w:pPr>
    </w:p>
    <w:p w14:paraId="7D0EA13B">
      <w:pPr>
        <w:pStyle w:val="3"/>
        <w:keepNext w:val="0"/>
        <w:keepLines w:val="0"/>
        <w:pageBreakBefore w:val="0"/>
        <w:widowControl/>
        <w:spacing w:before="100" w:beforeAutospacing="1" w:after="100" w:afterAutospacing="1" w:line="360" w:lineRule="auto"/>
        <w:ind w:left="0" w:firstLine="0" w:firstLineChars="0"/>
        <w:rPr>
          <w:rFonts w:hint="eastAsia" w:ascii="仿宋" w:hAnsi="仿宋" w:eastAsia="仿宋" w:cs="仿宋"/>
          <w:color w:val="auto"/>
          <w:highlight w:val="none"/>
        </w:rPr>
      </w:pPr>
      <w:bookmarkStart w:id="418" w:name="_Toc9598"/>
      <w:r>
        <w:rPr>
          <w:rFonts w:hint="eastAsia" w:ascii="仿宋" w:hAnsi="仿宋" w:eastAsia="仿宋" w:cs="仿宋"/>
          <w:color w:val="auto"/>
          <w:highlight w:val="none"/>
        </w:rPr>
        <w:t>附件</w:t>
      </w:r>
      <w:bookmarkEnd w:id="418"/>
    </w:p>
    <w:p w14:paraId="2B3A8CD9">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4AA7F62">
      <w:pPr>
        <w:spacing w:line="360" w:lineRule="auto"/>
        <w:jc w:val="center"/>
        <w:rPr>
          <w:rFonts w:hint="eastAsia" w:ascii="仿宋" w:hAnsi="仿宋" w:eastAsia="仿宋" w:cs="仿宋"/>
          <w:b/>
          <w:color w:val="auto"/>
          <w:spacing w:val="6"/>
          <w:sz w:val="32"/>
          <w:szCs w:val="32"/>
          <w:highlight w:val="none"/>
        </w:rPr>
      </w:pPr>
      <w:bookmarkStart w:id="419" w:name="OLE_LINK13"/>
      <w:bookmarkStart w:id="420" w:name="OLE_LINK14"/>
      <w:r>
        <w:rPr>
          <w:rFonts w:hint="eastAsia" w:ascii="仿宋" w:hAnsi="仿宋" w:eastAsia="仿宋" w:cs="仿宋"/>
          <w:b/>
          <w:color w:val="auto"/>
          <w:spacing w:val="6"/>
          <w:sz w:val="32"/>
          <w:szCs w:val="32"/>
          <w:highlight w:val="none"/>
        </w:rPr>
        <w:t>残疾人福利性单位声明函</w:t>
      </w:r>
    </w:p>
    <w:bookmarkEnd w:id="419"/>
    <w:bookmarkEnd w:id="420"/>
    <w:p w14:paraId="63F22D42">
      <w:pPr>
        <w:spacing w:line="360" w:lineRule="auto"/>
        <w:rPr>
          <w:rFonts w:hint="eastAsia" w:ascii="仿宋" w:hAnsi="仿宋" w:eastAsia="仿宋" w:cs="仿宋"/>
          <w:b/>
          <w:color w:val="auto"/>
          <w:spacing w:val="6"/>
          <w:sz w:val="30"/>
          <w:szCs w:val="30"/>
          <w:highlight w:val="none"/>
        </w:rPr>
      </w:pPr>
    </w:p>
    <w:p w14:paraId="1D14AF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C904EE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A3FA8B9">
      <w:pPr>
        <w:spacing w:line="360" w:lineRule="auto"/>
        <w:ind w:firstLine="480" w:firstLineChars="200"/>
        <w:rPr>
          <w:rFonts w:hint="eastAsia" w:ascii="仿宋" w:hAnsi="仿宋" w:eastAsia="仿宋" w:cs="仿宋"/>
          <w:color w:val="auto"/>
          <w:sz w:val="24"/>
          <w:highlight w:val="none"/>
        </w:rPr>
      </w:pPr>
    </w:p>
    <w:p w14:paraId="448B57DC">
      <w:pPr>
        <w:spacing w:line="360" w:lineRule="auto"/>
        <w:ind w:firstLine="480" w:firstLineChars="200"/>
        <w:rPr>
          <w:rFonts w:hint="eastAsia" w:ascii="仿宋" w:hAnsi="仿宋" w:eastAsia="仿宋" w:cs="仿宋"/>
          <w:color w:val="auto"/>
          <w:sz w:val="24"/>
          <w:highlight w:val="none"/>
        </w:rPr>
      </w:pPr>
    </w:p>
    <w:p w14:paraId="59710243">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52443B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9A557AB">
      <w:pPr>
        <w:spacing w:line="360" w:lineRule="auto"/>
        <w:ind w:firstLine="480" w:firstLineChars="200"/>
        <w:rPr>
          <w:rFonts w:hint="eastAsia" w:ascii="仿宋" w:hAnsi="仿宋" w:eastAsia="仿宋" w:cs="仿宋"/>
          <w:color w:val="auto"/>
          <w:sz w:val="24"/>
          <w:highlight w:val="none"/>
        </w:rPr>
      </w:pPr>
    </w:p>
    <w:p w14:paraId="179B3EE8">
      <w:pPr>
        <w:spacing w:line="360" w:lineRule="auto"/>
        <w:ind w:firstLine="420" w:firstLineChars="200"/>
        <w:rPr>
          <w:rFonts w:hint="eastAsia" w:ascii="仿宋" w:hAnsi="仿宋" w:eastAsia="仿宋" w:cs="仿宋"/>
          <w:color w:val="auto"/>
          <w:highlight w:val="none"/>
        </w:rPr>
      </w:pPr>
    </w:p>
    <w:p w14:paraId="5ECDB182">
      <w:pPr>
        <w:spacing w:line="360" w:lineRule="auto"/>
        <w:ind w:firstLine="420" w:firstLineChars="200"/>
        <w:rPr>
          <w:rFonts w:hint="eastAsia" w:ascii="仿宋" w:hAnsi="仿宋" w:eastAsia="仿宋" w:cs="仿宋"/>
          <w:color w:val="auto"/>
          <w:highlight w:val="none"/>
        </w:rPr>
      </w:pPr>
    </w:p>
    <w:p w14:paraId="3B178377">
      <w:pPr>
        <w:spacing w:line="360" w:lineRule="auto"/>
        <w:rPr>
          <w:rFonts w:hint="eastAsia" w:ascii="仿宋" w:hAnsi="仿宋" w:eastAsia="仿宋" w:cs="仿宋"/>
          <w:b/>
          <w:color w:val="auto"/>
          <w:sz w:val="24"/>
          <w:highlight w:val="none"/>
        </w:rPr>
      </w:pPr>
    </w:p>
    <w:p w14:paraId="5B81408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AC2AC0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A027C6F">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5A2C93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9850F8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8ADBEE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F7723F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9B3D1D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567C38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3896B4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67352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A26BAA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3CBC9C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70032A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267B89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4F6F53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62DC56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BF0AA7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BFFD02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62C48E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8761DC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119152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240C23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2D4A7C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E9A66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EBAAF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321CB13">
      <w:pPr>
        <w:spacing w:line="360" w:lineRule="auto"/>
        <w:jc w:val="center"/>
        <w:rPr>
          <w:rFonts w:hint="eastAsia" w:ascii="仿宋" w:hAnsi="仿宋" w:eastAsia="仿宋" w:cs="仿宋"/>
          <w:b/>
          <w:bCs/>
          <w:color w:val="auto"/>
          <w:sz w:val="24"/>
          <w:highlight w:val="none"/>
        </w:rPr>
      </w:pPr>
    </w:p>
    <w:p w14:paraId="1F2874C1">
      <w:pPr>
        <w:spacing w:line="360" w:lineRule="auto"/>
        <w:rPr>
          <w:rFonts w:hint="eastAsia" w:ascii="仿宋" w:hAnsi="仿宋" w:eastAsia="仿宋" w:cs="仿宋"/>
          <w:b/>
          <w:color w:val="auto"/>
          <w:sz w:val="24"/>
          <w:highlight w:val="none"/>
        </w:rPr>
      </w:pPr>
    </w:p>
    <w:p w14:paraId="69B5C398">
      <w:pPr>
        <w:spacing w:line="360" w:lineRule="auto"/>
        <w:rPr>
          <w:rFonts w:hint="eastAsia" w:ascii="仿宋" w:hAnsi="仿宋" w:eastAsia="仿宋" w:cs="仿宋"/>
          <w:b/>
          <w:color w:val="auto"/>
          <w:sz w:val="24"/>
          <w:highlight w:val="none"/>
        </w:rPr>
      </w:pPr>
    </w:p>
    <w:p w14:paraId="390A1D6C">
      <w:pPr>
        <w:spacing w:line="360" w:lineRule="auto"/>
        <w:rPr>
          <w:rFonts w:hint="eastAsia" w:ascii="仿宋" w:hAnsi="仿宋" w:eastAsia="仿宋" w:cs="仿宋"/>
          <w:b/>
          <w:color w:val="auto"/>
          <w:sz w:val="24"/>
          <w:highlight w:val="none"/>
        </w:rPr>
      </w:pPr>
    </w:p>
    <w:p w14:paraId="4ABE5CE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C8846D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65F8FA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1857AF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C77078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81D7E4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5B1234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1B8C23E">
      <w:pPr>
        <w:widowControl/>
        <w:spacing w:line="360" w:lineRule="auto"/>
        <w:ind w:firstLine="600" w:firstLineChars="200"/>
        <w:jc w:val="left"/>
        <w:rPr>
          <w:rFonts w:hint="eastAsia" w:ascii="仿宋" w:hAnsi="仿宋" w:eastAsia="仿宋" w:cs="仿宋"/>
          <w:color w:val="auto"/>
          <w:sz w:val="30"/>
          <w:szCs w:val="30"/>
          <w:highlight w:val="none"/>
        </w:rPr>
      </w:pPr>
    </w:p>
    <w:p w14:paraId="1B81C13C">
      <w:pPr>
        <w:spacing w:line="360" w:lineRule="auto"/>
        <w:jc w:val="center"/>
        <w:rPr>
          <w:rFonts w:hint="eastAsia" w:ascii="仿宋" w:hAnsi="仿宋" w:eastAsia="仿宋" w:cs="仿宋"/>
          <w:b/>
          <w:color w:val="auto"/>
          <w:spacing w:val="6"/>
          <w:sz w:val="32"/>
          <w:szCs w:val="32"/>
          <w:highlight w:val="none"/>
        </w:rPr>
      </w:pPr>
    </w:p>
    <w:p w14:paraId="2CE956A8">
      <w:pPr>
        <w:spacing w:line="360" w:lineRule="auto"/>
        <w:jc w:val="center"/>
        <w:rPr>
          <w:rFonts w:hint="eastAsia" w:ascii="仿宋" w:hAnsi="仿宋" w:eastAsia="仿宋" w:cs="仿宋"/>
          <w:b/>
          <w:color w:val="auto"/>
          <w:spacing w:val="6"/>
          <w:sz w:val="32"/>
          <w:szCs w:val="32"/>
          <w:highlight w:val="none"/>
        </w:rPr>
      </w:pPr>
    </w:p>
    <w:p w14:paraId="7C3DD353">
      <w:pPr>
        <w:spacing w:line="360" w:lineRule="auto"/>
        <w:jc w:val="left"/>
        <w:rPr>
          <w:rFonts w:hint="eastAsia" w:ascii="仿宋" w:hAnsi="仿宋" w:eastAsia="仿宋" w:cs="仿宋"/>
          <w:b/>
          <w:color w:val="auto"/>
          <w:spacing w:val="6"/>
          <w:sz w:val="32"/>
          <w:szCs w:val="32"/>
          <w:highlight w:val="none"/>
        </w:rPr>
      </w:pPr>
    </w:p>
    <w:p w14:paraId="55134EF8">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3D9A54FE">
      <w:pPr>
        <w:spacing w:line="360" w:lineRule="auto"/>
        <w:jc w:val="center"/>
        <w:rPr>
          <w:rFonts w:hint="eastAsia" w:ascii="仿宋" w:hAnsi="仿宋" w:eastAsia="仿宋" w:cs="仿宋"/>
          <w:b/>
          <w:color w:val="auto"/>
          <w:sz w:val="24"/>
          <w:highlight w:val="none"/>
        </w:rPr>
      </w:pPr>
    </w:p>
    <w:p w14:paraId="2D38C63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CE9AB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882356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11D18B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9156531">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CC920F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21042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333B9B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456FE8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B36A94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D84B5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B96D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4B1430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85B4DA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466D8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8D84B1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52B5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9E0B16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7213DF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EE846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4F45DA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A454D6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12F3FF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27691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E5BBE95">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8666D8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FC56713">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540DF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119373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AA443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0CDA31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E3B178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53C0E5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D4535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502F6B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DE3B4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B02C6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AF60BD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7E76F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EE813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2ABC444">
      <w:pPr>
        <w:spacing w:line="360" w:lineRule="auto"/>
        <w:rPr>
          <w:rFonts w:hint="eastAsia" w:ascii="仿宋" w:hAnsi="仿宋" w:eastAsia="仿宋" w:cs="仿宋"/>
          <w:b/>
          <w:color w:val="auto"/>
          <w:sz w:val="24"/>
          <w:highlight w:val="none"/>
        </w:rPr>
      </w:pPr>
    </w:p>
    <w:p w14:paraId="0242B572">
      <w:pPr>
        <w:spacing w:line="360" w:lineRule="auto"/>
        <w:rPr>
          <w:rFonts w:hint="eastAsia" w:ascii="仿宋" w:hAnsi="仿宋" w:eastAsia="仿宋" w:cs="仿宋"/>
          <w:b/>
          <w:color w:val="auto"/>
          <w:sz w:val="24"/>
          <w:highlight w:val="none"/>
        </w:rPr>
      </w:pPr>
    </w:p>
    <w:p w14:paraId="7A63882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1BEA37D">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374BDB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07DA7A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6BB09E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6B7C90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F36B60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8B167C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BD4A5FD">
      <w:pPr>
        <w:spacing w:line="360" w:lineRule="auto"/>
        <w:rPr>
          <w:rFonts w:hint="eastAsia" w:ascii="仿宋" w:hAnsi="仿宋" w:eastAsia="仿宋" w:cs="仿宋"/>
          <w:b/>
          <w:color w:val="auto"/>
          <w:sz w:val="24"/>
          <w:highlight w:val="none"/>
        </w:rPr>
      </w:pPr>
    </w:p>
    <w:p w14:paraId="1A582E62">
      <w:pPr>
        <w:autoSpaceDE w:val="0"/>
        <w:autoSpaceDN w:val="0"/>
        <w:jc w:val="center"/>
        <w:rPr>
          <w:rFonts w:hint="eastAsia" w:ascii="仿宋" w:hAnsi="仿宋" w:eastAsia="仿宋" w:cs="仿宋"/>
          <w:b/>
          <w:color w:val="auto"/>
          <w:spacing w:val="6"/>
          <w:sz w:val="32"/>
          <w:szCs w:val="32"/>
          <w:highlight w:val="none"/>
        </w:rPr>
      </w:pPr>
    </w:p>
    <w:p w14:paraId="44267616">
      <w:pPr>
        <w:autoSpaceDE w:val="0"/>
        <w:autoSpaceDN w:val="0"/>
        <w:jc w:val="center"/>
        <w:rPr>
          <w:rFonts w:hint="eastAsia" w:ascii="仿宋" w:hAnsi="仿宋" w:eastAsia="仿宋" w:cs="仿宋"/>
          <w:b/>
          <w:color w:val="auto"/>
          <w:spacing w:val="6"/>
          <w:sz w:val="32"/>
          <w:szCs w:val="32"/>
          <w:highlight w:val="none"/>
        </w:rPr>
      </w:pPr>
    </w:p>
    <w:p w14:paraId="1C016A0B">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DAACFCD">
      <w:pPr>
        <w:spacing w:line="360" w:lineRule="auto"/>
        <w:rPr>
          <w:rFonts w:hint="eastAsia" w:ascii="仿宋" w:hAnsi="仿宋" w:eastAsia="仿宋" w:cs="仿宋"/>
          <w:color w:val="auto"/>
          <w:sz w:val="24"/>
          <w:highlight w:val="none"/>
          <w:u w:val="single"/>
        </w:rPr>
      </w:pPr>
    </w:p>
    <w:p w14:paraId="1C37DD5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_GB2312"/>
          <w:b/>
          <w:bCs/>
          <w:color w:val="auto"/>
          <w:sz w:val="24"/>
          <w:szCs w:val="24"/>
          <w:highlight w:val="none"/>
          <w:u w:val="single"/>
        </w:rPr>
        <w:t>杭州市行政大楼服务保障中心、建正工程咨询有限公司</w:t>
      </w:r>
      <w:r>
        <w:rPr>
          <w:rFonts w:hint="eastAsia" w:ascii="仿宋" w:hAnsi="仿宋" w:eastAsia="仿宋" w:cs="仿宋"/>
          <w:color w:val="auto"/>
          <w:kern w:val="0"/>
          <w:sz w:val="24"/>
          <w:highlight w:val="none"/>
          <w:lang w:val="zh-CN"/>
        </w:rPr>
        <w:t>：</w:t>
      </w:r>
    </w:p>
    <w:p w14:paraId="6DE318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杭州市市民中心公务服务及会议中心劳务服务外包人员经费</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rPr>
        <w:t>【招标编号：</w:t>
      </w:r>
      <w:r>
        <w:rPr>
          <w:rFonts w:hint="eastAsia" w:ascii="仿宋" w:hAnsi="仿宋" w:eastAsia="仿宋" w:cs="仿宋"/>
          <w:b/>
          <w:bCs/>
          <w:color w:val="auto"/>
          <w:sz w:val="24"/>
          <w:szCs w:val="24"/>
          <w:highlight w:val="none"/>
          <w:u w:val="single"/>
          <w:lang w:val="en-US" w:eastAsia="zh-CN"/>
        </w:rPr>
        <w:t>DL[2024]387</w:t>
      </w:r>
      <w:r>
        <w:rPr>
          <w:rFonts w:hint="eastAsia" w:ascii="仿宋" w:hAnsi="仿宋" w:eastAsia="仿宋" w:cs="仿宋"/>
          <w:b/>
          <w:bCs/>
          <w:color w:val="auto"/>
          <w:sz w:val="24"/>
          <w:szCs w:val="24"/>
          <w:highlight w:val="none"/>
          <w:u w:val="singl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4F785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81C143D">
      <w:pPr>
        <w:spacing w:line="360" w:lineRule="auto"/>
        <w:ind w:firstLine="494"/>
        <w:rPr>
          <w:rFonts w:hint="eastAsia" w:ascii="仿宋" w:hAnsi="仿宋" w:eastAsia="仿宋" w:cs="仿宋"/>
          <w:color w:val="auto"/>
          <w:sz w:val="24"/>
          <w:highlight w:val="none"/>
        </w:rPr>
      </w:pPr>
    </w:p>
    <w:p w14:paraId="439F813B">
      <w:pPr>
        <w:spacing w:line="360" w:lineRule="auto"/>
        <w:ind w:firstLine="494"/>
        <w:rPr>
          <w:rFonts w:hint="eastAsia" w:ascii="仿宋" w:hAnsi="仿宋" w:eastAsia="仿宋" w:cs="仿宋"/>
          <w:color w:val="auto"/>
          <w:sz w:val="24"/>
          <w:highlight w:val="none"/>
        </w:rPr>
      </w:pPr>
    </w:p>
    <w:p w14:paraId="5F49163D">
      <w:pPr>
        <w:spacing w:line="360" w:lineRule="auto"/>
        <w:ind w:firstLine="494"/>
        <w:rPr>
          <w:rFonts w:hint="eastAsia" w:ascii="仿宋" w:hAnsi="仿宋" w:eastAsia="仿宋" w:cs="仿宋"/>
          <w:color w:val="auto"/>
          <w:sz w:val="24"/>
          <w:highlight w:val="none"/>
        </w:rPr>
      </w:pPr>
    </w:p>
    <w:p w14:paraId="7EF92559">
      <w:pPr>
        <w:spacing w:line="360" w:lineRule="auto"/>
        <w:ind w:firstLine="494"/>
        <w:rPr>
          <w:rFonts w:hint="eastAsia" w:ascii="仿宋" w:hAnsi="仿宋" w:eastAsia="仿宋" w:cs="仿宋"/>
          <w:color w:val="auto"/>
          <w:sz w:val="24"/>
          <w:highlight w:val="none"/>
        </w:rPr>
      </w:pPr>
    </w:p>
    <w:p w14:paraId="0D4BEEE3">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BF57D03">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9B9F099">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7CAA2A3">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2783C5B">
      <w:pPr>
        <w:autoSpaceDE w:val="0"/>
        <w:autoSpaceDN w:val="0"/>
        <w:jc w:val="center"/>
        <w:rPr>
          <w:rFonts w:hint="eastAsia" w:ascii="仿宋" w:hAnsi="仿宋" w:eastAsia="仿宋" w:cs="仿宋"/>
          <w:b/>
          <w:color w:val="auto"/>
          <w:spacing w:val="6"/>
          <w:sz w:val="32"/>
          <w:szCs w:val="32"/>
          <w:highlight w:val="none"/>
        </w:rPr>
      </w:pPr>
    </w:p>
    <w:p w14:paraId="0F6FF854">
      <w:pPr>
        <w:autoSpaceDE w:val="0"/>
        <w:autoSpaceDN w:val="0"/>
        <w:jc w:val="center"/>
        <w:rPr>
          <w:rFonts w:hint="eastAsia" w:ascii="仿宋" w:hAnsi="仿宋" w:eastAsia="仿宋" w:cs="仿宋"/>
          <w:b/>
          <w:color w:val="auto"/>
          <w:spacing w:val="6"/>
          <w:sz w:val="32"/>
          <w:szCs w:val="32"/>
          <w:highlight w:val="none"/>
        </w:rPr>
      </w:pPr>
    </w:p>
    <w:p w14:paraId="30782C50">
      <w:pPr>
        <w:autoSpaceDE w:val="0"/>
        <w:autoSpaceDN w:val="0"/>
        <w:jc w:val="center"/>
        <w:rPr>
          <w:rFonts w:hint="eastAsia" w:ascii="仿宋" w:hAnsi="仿宋" w:eastAsia="仿宋" w:cs="仿宋"/>
          <w:b/>
          <w:color w:val="auto"/>
          <w:spacing w:val="6"/>
          <w:sz w:val="32"/>
          <w:szCs w:val="32"/>
          <w:highlight w:val="none"/>
        </w:rPr>
      </w:pPr>
    </w:p>
    <w:p w14:paraId="5B82F19A">
      <w:pPr>
        <w:autoSpaceDE w:val="0"/>
        <w:autoSpaceDN w:val="0"/>
        <w:jc w:val="center"/>
        <w:rPr>
          <w:rFonts w:hint="eastAsia" w:ascii="仿宋" w:hAnsi="仿宋" w:eastAsia="仿宋" w:cs="仿宋"/>
          <w:b/>
          <w:color w:val="auto"/>
          <w:spacing w:val="6"/>
          <w:sz w:val="32"/>
          <w:szCs w:val="32"/>
          <w:highlight w:val="none"/>
        </w:rPr>
      </w:pPr>
    </w:p>
    <w:p w14:paraId="7D29439F">
      <w:pPr>
        <w:autoSpaceDE w:val="0"/>
        <w:autoSpaceDN w:val="0"/>
        <w:jc w:val="center"/>
        <w:rPr>
          <w:rFonts w:hint="eastAsia" w:ascii="仿宋" w:hAnsi="仿宋" w:eastAsia="仿宋" w:cs="仿宋"/>
          <w:b/>
          <w:color w:val="auto"/>
          <w:spacing w:val="6"/>
          <w:sz w:val="32"/>
          <w:szCs w:val="32"/>
          <w:highlight w:val="none"/>
        </w:rPr>
      </w:pPr>
    </w:p>
    <w:p w14:paraId="6E898344">
      <w:pPr>
        <w:autoSpaceDE w:val="0"/>
        <w:autoSpaceDN w:val="0"/>
        <w:jc w:val="center"/>
        <w:rPr>
          <w:rFonts w:hint="eastAsia" w:ascii="仿宋" w:hAnsi="仿宋" w:eastAsia="仿宋" w:cs="仿宋"/>
          <w:b/>
          <w:color w:val="auto"/>
          <w:spacing w:val="6"/>
          <w:sz w:val="32"/>
          <w:szCs w:val="32"/>
          <w:highlight w:val="none"/>
        </w:rPr>
      </w:pPr>
    </w:p>
    <w:p w14:paraId="526CB494">
      <w:pPr>
        <w:autoSpaceDE w:val="0"/>
        <w:autoSpaceDN w:val="0"/>
        <w:jc w:val="center"/>
        <w:rPr>
          <w:rFonts w:hint="eastAsia" w:ascii="仿宋" w:hAnsi="仿宋" w:eastAsia="仿宋" w:cs="仿宋"/>
          <w:b/>
          <w:color w:val="auto"/>
          <w:spacing w:val="6"/>
          <w:sz w:val="32"/>
          <w:szCs w:val="32"/>
          <w:highlight w:val="none"/>
        </w:rPr>
      </w:pPr>
    </w:p>
    <w:p w14:paraId="0CCCE0E9">
      <w:pPr>
        <w:autoSpaceDE w:val="0"/>
        <w:autoSpaceDN w:val="0"/>
        <w:jc w:val="center"/>
        <w:rPr>
          <w:rFonts w:hint="eastAsia" w:ascii="仿宋" w:hAnsi="仿宋" w:eastAsia="仿宋" w:cs="仿宋"/>
          <w:b/>
          <w:color w:val="auto"/>
          <w:spacing w:val="6"/>
          <w:sz w:val="32"/>
          <w:szCs w:val="32"/>
          <w:highlight w:val="none"/>
        </w:rPr>
      </w:pPr>
    </w:p>
    <w:p w14:paraId="6CCDF71D">
      <w:pPr>
        <w:autoSpaceDE w:val="0"/>
        <w:autoSpaceDN w:val="0"/>
        <w:jc w:val="center"/>
        <w:rPr>
          <w:rFonts w:hint="eastAsia" w:ascii="仿宋" w:hAnsi="仿宋" w:eastAsia="仿宋" w:cs="仿宋"/>
          <w:b/>
          <w:color w:val="auto"/>
          <w:spacing w:val="6"/>
          <w:sz w:val="32"/>
          <w:szCs w:val="32"/>
          <w:highlight w:val="none"/>
        </w:rPr>
      </w:pPr>
    </w:p>
    <w:p w14:paraId="09833EC4">
      <w:pPr>
        <w:autoSpaceDE w:val="0"/>
        <w:autoSpaceDN w:val="0"/>
        <w:jc w:val="center"/>
        <w:rPr>
          <w:rFonts w:hint="eastAsia" w:ascii="仿宋" w:hAnsi="仿宋" w:eastAsia="仿宋" w:cs="仿宋"/>
          <w:b/>
          <w:color w:val="auto"/>
          <w:spacing w:val="6"/>
          <w:sz w:val="32"/>
          <w:szCs w:val="32"/>
          <w:highlight w:val="none"/>
        </w:rPr>
      </w:pPr>
    </w:p>
    <w:p w14:paraId="47CBC43A">
      <w:pPr>
        <w:autoSpaceDE w:val="0"/>
        <w:autoSpaceDN w:val="0"/>
        <w:jc w:val="center"/>
        <w:rPr>
          <w:rFonts w:hint="eastAsia" w:ascii="仿宋" w:hAnsi="仿宋" w:eastAsia="仿宋" w:cs="仿宋"/>
          <w:b/>
          <w:color w:val="auto"/>
          <w:spacing w:val="6"/>
          <w:sz w:val="32"/>
          <w:szCs w:val="32"/>
          <w:highlight w:val="none"/>
        </w:rPr>
      </w:pPr>
    </w:p>
    <w:p w14:paraId="2E73C1EF">
      <w:pPr>
        <w:autoSpaceDE w:val="0"/>
        <w:autoSpaceDN w:val="0"/>
        <w:jc w:val="center"/>
        <w:rPr>
          <w:rFonts w:hint="eastAsia" w:ascii="仿宋" w:hAnsi="仿宋" w:eastAsia="仿宋" w:cs="仿宋"/>
          <w:b/>
          <w:color w:val="auto"/>
          <w:spacing w:val="6"/>
          <w:sz w:val="32"/>
          <w:szCs w:val="32"/>
          <w:highlight w:val="none"/>
        </w:rPr>
      </w:pPr>
    </w:p>
    <w:p w14:paraId="013D6C8A">
      <w:pPr>
        <w:autoSpaceDE w:val="0"/>
        <w:autoSpaceDN w:val="0"/>
        <w:jc w:val="center"/>
        <w:rPr>
          <w:rFonts w:hint="eastAsia" w:ascii="仿宋" w:hAnsi="仿宋" w:eastAsia="仿宋" w:cs="仿宋"/>
          <w:b/>
          <w:color w:val="auto"/>
          <w:spacing w:val="6"/>
          <w:sz w:val="32"/>
          <w:szCs w:val="32"/>
          <w:highlight w:val="none"/>
        </w:rPr>
      </w:pPr>
    </w:p>
    <w:p w14:paraId="44BC172A">
      <w:pPr>
        <w:autoSpaceDE w:val="0"/>
        <w:autoSpaceDN w:val="0"/>
        <w:jc w:val="center"/>
        <w:rPr>
          <w:rFonts w:hint="eastAsia" w:ascii="仿宋" w:hAnsi="仿宋" w:eastAsia="仿宋" w:cs="仿宋"/>
          <w:b/>
          <w:color w:val="auto"/>
          <w:spacing w:val="6"/>
          <w:sz w:val="32"/>
          <w:szCs w:val="32"/>
          <w:highlight w:val="none"/>
        </w:rPr>
      </w:pPr>
    </w:p>
    <w:p w14:paraId="7F41507B">
      <w:pPr>
        <w:autoSpaceDE w:val="0"/>
        <w:autoSpaceDN w:val="0"/>
        <w:jc w:val="center"/>
        <w:rPr>
          <w:rFonts w:hint="eastAsia" w:ascii="仿宋" w:hAnsi="仿宋" w:eastAsia="仿宋" w:cs="仿宋"/>
          <w:b/>
          <w:color w:val="auto"/>
          <w:spacing w:val="6"/>
          <w:sz w:val="32"/>
          <w:szCs w:val="32"/>
          <w:highlight w:val="none"/>
        </w:rPr>
      </w:pPr>
    </w:p>
    <w:p w14:paraId="223A44F2">
      <w:pPr>
        <w:autoSpaceDE w:val="0"/>
        <w:autoSpaceDN w:val="0"/>
        <w:jc w:val="center"/>
        <w:rPr>
          <w:rFonts w:hint="eastAsia" w:ascii="仿宋" w:hAnsi="仿宋" w:eastAsia="仿宋" w:cs="仿宋"/>
          <w:b/>
          <w:color w:val="auto"/>
          <w:spacing w:val="6"/>
          <w:sz w:val="32"/>
          <w:szCs w:val="32"/>
          <w:highlight w:val="none"/>
        </w:rPr>
      </w:pPr>
    </w:p>
    <w:p w14:paraId="178D4347">
      <w:pPr>
        <w:autoSpaceDE w:val="0"/>
        <w:autoSpaceDN w:val="0"/>
        <w:jc w:val="center"/>
        <w:rPr>
          <w:rFonts w:hint="eastAsia" w:ascii="仿宋" w:hAnsi="仿宋" w:eastAsia="仿宋" w:cs="仿宋"/>
          <w:b/>
          <w:color w:val="auto"/>
          <w:spacing w:val="6"/>
          <w:sz w:val="32"/>
          <w:szCs w:val="32"/>
          <w:highlight w:val="none"/>
        </w:rPr>
      </w:pPr>
    </w:p>
    <w:p w14:paraId="6E96A5C1">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0A0E879F">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4C819BB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杭州市市民中心公务服务及会议中心劳务服务外包人员经费</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rPr>
        <w:t>【招标编号：</w:t>
      </w:r>
      <w:r>
        <w:rPr>
          <w:rFonts w:hint="eastAsia" w:ascii="仿宋" w:hAnsi="仿宋" w:eastAsia="仿宋" w:cs="仿宋"/>
          <w:b/>
          <w:bCs/>
          <w:color w:val="auto"/>
          <w:sz w:val="24"/>
          <w:szCs w:val="24"/>
          <w:highlight w:val="none"/>
          <w:u w:val="single"/>
          <w:lang w:val="en-US" w:eastAsia="zh-CN"/>
        </w:rPr>
        <w:t>DL[2024]387</w:t>
      </w:r>
      <w:r>
        <w:rPr>
          <w:rFonts w:hint="eastAsia" w:ascii="仿宋" w:hAnsi="仿宋" w:eastAsia="仿宋" w:cs="仿宋"/>
          <w:b/>
          <w:bCs/>
          <w:color w:val="auto"/>
          <w:sz w:val="24"/>
          <w:szCs w:val="24"/>
          <w:highlight w:val="none"/>
          <w:u w:val="single"/>
        </w:rPr>
        <w:t>】</w:t>
      </w:r>
      <w:r>
        <w:rPr>
          <w:rFonts w:hint="eastAsia" w:ascii="仿宋" w:hAnsi="仿宋" w:eastAsia="仿宋" w:cs="仿宋"/>
          <w:color w:val="auto"/>
          <w:kern w:val="0"/>
          <w:sz w:val="24"/>
          <w:highlight w:val="none"/>
          <w:lang w:val="zh-CN"/>
        </w:rPr>
        <w:t xml:space="preserve">投标。 </w:t>
      </w:r>
    </w:p>
    <w:p w14:paraId="2B7434E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25A06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B59B02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8EA74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77CCB7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1A568A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3D1658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451F04CA">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21" w:name="_Hlk101131882"/>
      <w:r>
        <w:rPr>
          <w:rFonts w:hint="eastAsia" w:ascii="仿宋" w:hAnsi="仿宋" w:eastAsia="仿宋" w:cs="仿宋"/>
          <w:color w:val="auto"/>
          <w:kern w:val="0"/>
          <w:sz w:val="24"/>
          <w:highlight w:val="none"/>
          <w:u w:val="single"/>
        </w:rPr>
        <w:t>联合体成员X,……</w:t>
      </w:r>
      <w:bookmarkEnd w:id="42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2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22"/>
      <w:r>
        <w:rPr>
          <w:rFonts w:hint="eastAsia" w:ascii="仿宋" w:hAnsi="仿宋" w:eastAsia="仿宋" w:cs="仿宋"/>
          <w:b/>
          <w:color w:val="auto"/>
          <w:kern w:val="0"/>
          <w:sz w:val="24"/>
          <w:highlight w:val="none"/>
          <w:lang w:val="zh-CN"/>
        </w:rPr>
        <w:t>）</w:t>
      </w:r>
    </w:p>
    <w:p w14:paraId="53A7B230">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2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23"/>
    </w:p>
    <w:p w14:paraId="698574D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2B29CA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CDAD6A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8625E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09C1AF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C94303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E2E77D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494C7F8">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DF95DF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C9D3A2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10F6FFB">
      <w:pPr>
        <w:autoSpaceDE w:val="0"/>
        <w:autoSpaceDN w:val="0"/>
        <w:jc w:val="center"/>
        <w:rPr>
          <w:rFonts w:hint="eastAsia" w:ascii="仿宋" w:hAnsi="仿宋" w:eastAsia="仿宋" w:cs="仿宋"/>
          <w:b/>
          <w:color w:val="auto"/>
          <w:spacing w:val="6"/>
          <w:sz w:val="32"/>
          <w:szCs w:val="32"/>
          <w:highlight w:val="none"/>
        </w:rPr>
      </w:pPr>
    </w:p>
    <w:p w14:paraId="7C75EC56">
      <w:pPr>
        <w:autoSpaceDE w:val="0"/>
        <w:autoSpaceDN w:val="0"/>
        <w:jc w:val="center"/>
        <w:rPr>
          <w:rFonts w:hint="eastAsia" w:ascii="仿宋" w:hAnsi="仿宋" w:eastAsia="仿宋" w:cs="仿宋"/>
          <w:b/>
          <w:color w:val="auto"/>
          <w:spacing w:val="6"/>
          <w:sz w:val="32"/>
          <w:szCs w:val="32"/>
          <w:highlight w:val="none"/>
        </w:rPr>
      </w:pPr>
    </w:p>
    <w:p w14:paraId="4317AEA8">
      <w:pPr>
        <w:autoSpaceDE w:val="0"/>
        <w:autoSpaceDN w:val="0"/>
        <w:jc w:val="center"/>
        <w:rPr>
          <w:rFonts w:hint="eastAsia" w:ascii="仿宋" w:hAnsi="仿宋" w:eastAsia="仿宋" w:cs="仿宋"/>
          <w:b/>
          <w:color w:val="auto"/>
          <w:spacing w:val="6"/>
          <w:sz w:val="32"/>
          <w:szCs w:val="32"/>
          <w:highlight w:val="none"/>
        </w:rPr>
      </w:pPr>
    </w:p>
    <w:p w14:paraId="045C5107">
      <w:pPr>
        <w:autoSpaceDE w:val="0"/>
        <w:autoSpaceDN w:val="0"/>
        <w:jc w:val="center"/>
        <w:rPr>
          <w:rFonts w:hint="eastAsia" w:ascii="仿宋" w:hAnsi="仿宋" w:eastAsia="仿宋" w:cs="仿宋"/>
          <w:b/>
          <w:color w:val="auto"/>
          <w:spacing w:val="6"/>
          <w:sz w:val="32"/>
          <w:szCs w:val="32"/>
          <w:highlight w:val="none"/>
        </w:rPr>
      </w:pPr>
    </w:p>
    <w:p w14:paraId="77620917">
      <w:pPr>
        <w:autoSpaceDE w:val="0"/>
        <w:autoSpaceDN w:val="0"/>
        <w:jc w:val="center"/>
        <w:rPr>
          <w:rFonts w:hint="eastAsia" w:ascii="仿宋" w:hAnsi="仿宋" w:eastAsia="仿宋" w:cs="仿宋"/>
          <w:b/>
          <w:color w:val="auto"/>
          <w:spacing w:val="6"/>
          <w:sz w:val="32"/>
          <w:szCs w:val="32"/>
          <w:highlight w:val="none"/>
        </w:rPr>
      </w:pPr>
    </w:p>
    <w:p w14:paraId="4461938C">
      <w:pPr>
        <w:autoSpaceDE w:val="0"/>
        <w:autoSpaceDN w:val="0"/>
        <w:jc w:val="center"/>
        <w:rPr>
          <w:rFonts w:hint="eastAsia" w:ascii="仿宋" w:hAnsi="仿宋" w:eastAsia="仿宋" w:cs="仿宋"/>
          <w:b/>
          <w:color w:val="auto"/>
          <w:spacing w:val="6"/>
          <w:sz w:val="32"/>
          <w:szCs w:val="32"/>
          <w:highlight w:val="none"/>
        </w:rPr>
      </w:pPr>
    </w:p>
    <w:p w14:paraId="47A3FA32">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74630B73">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538C8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杭州市市民中心公务服务及会议中心劳务服务外包人员经费</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rPr>
        <w:t>【招标编号：</w:t>
      </w:r>
      <w:r>
        <w:rPr>
          <w:rFonts w:hint="eastAsia" w:ascii="仿宋" w:hAnsi="仿宋" w:eastAsia="仿宋" w:cs="仿宋"/>
          <w:b/>
          <w:bCs/>
          <w:color w:val="auto"/>
          <w:sz w:val="24"/>
          <w:szCs w:val="24"/>
          <w:highlight w:val="none"/>
          <w:u w:val="single"/>
          <w:lang w:val="en-US" w:eastAsia="zh-CN"/>
        </w:rPr>
        <w:t>DL[2024]387</w:t>
      </w:r>
      <w:r>
        <w:rPr>
          <w:rFonts w:hint="eastAsia" w:ascii="仿宋" w:hAnsi="仿宋" w:eastAsia="仿宋" w:cs="仿宋"/>
          <w:b/>
          <w:bCs/>
          <w:color w:val="auto"/>
          <w:sz w:val="24"/>
          <w:szCs w:val="24"/>
          <w:highlight w:val="none"/>
          <w:u w:val="singl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2CB18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67ED4E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260CF56">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94F42AD">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7E2FF61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9BA34D4">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7E47007">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0C3AB8C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DF5FA30">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588348B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CDACA4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EA6409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21D67A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10429A8">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90689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6D1FE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A51BD4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7C4281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42FBFB67">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4AFE339A">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E83C23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B044938">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84A837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168E057">
      <w:pPr>
        <w:autoSpaceDE w:val="0"/>
        <w:autoSpaceDN w:val="0"/>
        <w:jc w:val="center"/>
        <w:rPr>
          <w:rFonts w:hint="eastAsia" w:ascii="仿宋" w:hAnsi="仿宋" w:eastAsia="仿宋" w:cs="仿宋"/>
          <w:b/>
          <w:color w:val="auto"/>
          <w:spacing w:val="6"/>
          <w:sz w:val="32"/>
          <w:szCs w:val="32"/>
          <w:highlight w:val="none"/>
        </w:rPr>
      </w:pPr>
    </w:p>
    <w:p w14:paraId="15260F1A">
      <w:pPr>
        <w:autoSpaceDE w:val="0"/>
        <w:autoSpaceDN w:val="0"/>
        <w:jc w:val="center"/>
        <w:rPr>
          <w:rFonts w:hint="eastAsia" w:ascii="仿宋" w:hAnsi="仿宋" w:eastAsia="仿宋" w:cs="仿宋"/>
          <w:b/>
          <w:color w:val="auto"/>
          <w:spacing w:val="6"/>
          <w:sz w:val="32"/>
          <w:szCs w:val="32"/>
          <w:highlight w:val="none"/>
        </w:rPr>
      </w:pPr>
    </w:p>
    <w:p w14:paraId="695686F6">
      <w:pPr>
        <w:autoSpaceDE w:val="0"/>
        <w:autoSpaceDN w:val="0"/>
        <w:jc w:val="center"/>
        <w:rPr>
          <w:rFonts w:hint="eastAsia" w:ascii="仿宋" w:hAnsi="仿宋" w:eastAsia="仿宋" w:cs="仿宋"/>
          <w:b/>
          <w:color w:val="auto"/>
          <w:spacing w:val="6"/>
          <w:sz w:val="32"/>
          <w:szCs w:val="32"/>
          <w:highlight w:val="none"/>
        </w:rPr>
      </w:pPr>
    </w:p>
    <w:p w14:paraId="58AA7468">
      <w:pPr>
        <w:autoSpaceDE w:val="0"/>
        <w:autoSpaceDN w:val="0"/>
        <w:jc w:val="center"/>
        <w:rPr>
          <w:rFonts w:hint="eastAsia" w:ascii="仿宋" w:hAnsi="仿宋" w:eastAsia="仿宋" w:cs="仿宋"/>
          <w:b/>
          <w:color w:val="auto"/>
          <w:spacing w:val="6"/>
          <w:sz w:val="32"/>
          <w:szCs w:val="32"/>
          <w:highlight w:val="none"/>
        </w:rPr>
      </w:pPr>
    </w:p>
    <w:p w14:paraId="02462F89">
      <w:pPr>
        <w:autoSpaceDE w:val="0"/>
        <w:autoSpaceDN w:val="0"/>
        <w:jc w:val="center"/>
        <w:rPr>
          <w:rFonts w:hint="eastAsia" w:ascii="仿宋" w:hAnsi="仿宋" w:eastAsia="仿宋" w:cs="仿宋"/>
          <w:b/>
          <w:color w:val="auto"/>
          <w:spacing w:val="6"/>
          <w:sz w:val="32"/>
          <w:szCs w:val="32"/>
          <w:highlight w:val="none"/>
        </w:rPr>
      </w:pPr>
    </w:p>
    <w:p w14:paraId="05342BB7">
      <w:pPr>
        <w:autoSpaceDE w:val="0"/>
        <w:autoSpaceDN w:val="0"/>
        <w:jc w:val="center"/>
        <w:rPr>
          <w:rFonts w:hint="eastAsia" w:ascii="仿宋" w:hAnsi="仿宋" w:eastAsia="仿宋" w:cs="仿宋"/>
          <w:b/>
          <w:color w:val="auto"/>
          <w:spacing w:val="6"/>
          <w:sz w:val="32"/>
          <w:szCs w:val="32"/>
          <w:highlight w:val="none"/>
        </w:rPr>
      </w:pPr>
    </w:p>
    <w:p w14:paraId="05D206A5">
      <w:pPr>
        <w:autoSpaceDE w:val="0"/>
        <w:autoSpaceDN w:val="0"/>
        <w:jc w:val="center"/>
        <w:rPr>
          <w:rFonts w:hint="eastAsia" w:ascii="仿宋" w:hAnsi="仿宋" w:eastAsia="仿宋" w:cs="仿宋"/>
          <w:b/>
          <w:color w:val="auto"/>
          <w:spacing w:val="6"/>
          <w:sz w:val="32"/>
          <w:szCs w:val="32"/>
          <w:highlight w:val="none"/>
        </w:rPr>
      </w:pPr>
    </w:p>
    <w:p w14:paraId="1F49F742">
      <w:pPr>
        <w:autoSpaceDE w:val="0"/>
        <w:autoSpaceDN w:val="0"/>
        <w:jc w:val="center"/>
        <w:rPr>
          <w:rFonts w:hint="eastAsia" w:ascii="仿宋" w:hAnsi="仿宋" w:eastAsia="仿宋" w:cs="仿宋"/>
          <w:b/>
          <w:color w:val="auto"/>
          <w:spacing w:val="6"/>
          <w:sz w:val="32"/>
          <w:szCs w:val="32"/>
          <w:highlight w:val="none"/>
        </w:rPr>
      </w:pPr>
    </w:p>
    <w:p w14:paraId="7B7B377D">
      <w:pPr>
        <w:autoSpaceDE w:val="0"/>
        <w:autoSpaceDN w:val="0"/>
        <w:jc w:val="center"/>
        <w:rPr>
          <w:rFonts w:hint="eastAsia" w:ascii="仿宋" w:hAnsi="仿宋" w:eastAsia="仿宋" w:cs="仿宋"/>
          <w:b/>
          <w:color w:val="auto"/>
          <w:spacing w:val="6"/>
          <w:sz w:val="32"/>
          <w:szCs w:val="32"/>
          <w:highlight w:val="none"/>
        </w:rPr>
      </w:pPr>
    </w:p>
    <w:p w14:paraId="55598475">
      <w:pPr>
        <w:autoSpaceDE w:val="0"/>
        <w:autoSpaceDN w:val="0"/>
        <w:jc w:val="center"/>
        <w:rPr>
          <w:rFonts w:hint="eastAsia" w:ascii="仿宋" w:hAnsi="仿宋" w:eastAsia="仿宋" w:cs="仿宋"/>
          <w:b/>
          <w:color w:val="auto"/>
          <w:spacing w:val="6"/>
          <w:sz w:val="32"/>
          <w:szCs w:val="32"/>
          <w:highlight w:val="none"/>
        </w:rPr>
      </w:pPr>
    </w:p>
    <w:p w14:paraId="5E047229">
      <w:pPr>
        <w:autoSpaceDE w:val="0"/>
        <w:autoSpaceDN w:val="0"/>
        <w:jc w:val="center"/>
        <w:rPr>
          <w:rFonts w:hint="eastAsia" w:ascii="仿宋" w:hAnsi="仿宋" w:eastAsia="仿宋" w:cs="仿宋"/>
          <w:b/>
          <w:color w:val="auto"/>
          <w:spacing w:val="6"/>
          <w:sz w:val="32"/>
          <w:szCs w:val="32"/>
          <w:highlight w:val="none"/>
        </w:rPr>
      </w:pPr>
    </w:p>
    <w:p w14:paraId="5AAB7E41">
      <w:pPr>
        <w:autoSpaceDE w:val="0"/>
        <w:autoSpaceDN w:val="0"/>
        <w:jc w:val="center"/>
        <w:rPr>
          <w:rFonts w:hint="eastAsia" w:ascii="仿宋" w:hAnsi="仿宋" w:eastAsia="仿宋" w:cs="仿宋"/>
          <w:b/>
          <w:color w:val="auto"/>
          <w:spacing w:val="6"/>
          <w:sz w:val="32"/>
          <w:szCs w:val="32"/>
          <w:highlight w:val="none"/>
        </w:rPr>
      </w:pPr>
    </w:p>
    <w:p w14:paraId="2E4EE5C4">
      <w:pPr>
        <w:autoSpaceDE w:val="0"/>
        <w:autoSpaceDN w:val="0"/>
        <w:jc w:val="center"/>
        <w:rPr>
          <w:rFonts w:hint="eastAsia" w:ascii="仿宋" w:hAnsi="仿宋" w:eastAsia="仿宋" w:cs="仿宋"/>
          <w:b/>
          <w:color w:val="auto"/>
          <w:spacing w:val="6"/>
          <w:sz w:val="32"/>
          <w:szCs w:val="32"/>
          <w:highlight w:val="none"/>
        </w:rPr>
      </w:pPr>
    </w:p>
    <w:p w14:paraId="13975E10">
      <w:pPr>
        <w:autoSpaceDE w:val="0"/>
        <w:autoSpaceDN w:val="0"/>
        <w:jc w:val="center"/>
        <w:rPr>
          <w:rFonts w:hint="eastAsia" w:ascii="仿宋" w:hAnsi="仿宋" w:eastAsia="仿宋" w:cs="仿宋"/>
          <w:b/>
          <w:color w:val="auto"/>
          <w:spacing w:val="6"/>
          <w:sz w:val="32"/>
          <w:szCs w:val="32"/>
          <w:highlight w:val="none"/>
        </w:rPr>
      </w:pPr>
    </w:p>
    <w:p w14:paraId="6CEBED39">
      <w:pPr>
        <w:autoSpaceDE w:val="0"/>
        <w:autoSpaceDN w:val="0"/>
        <w:jc w:val="center"/>
        <w:rPr>
          <w:rFonts w:hint="eastAsia" w:ascii="仿宋" w:hAnsi="仿宋" w:eastAsia="仿宋" w:cs="仿宋"/>
          <w:b/>
          <w:color w:val="auto"/>
          <w:spacing w:val="6"/>
          <w:sz w:val="32"/>
          <w:szCs w:val="32"/>
          <w:highlight w:val="none"/>
        </w:rPr>
      </w:pPr>
    </w:p>
    <w:p w14:paraId="6D6DD2EB">
      <w:pPr>
        <w:autoSpaceDE w:val="0"/>
        <w:autoSpaceDN w:val="0"/>
        <w:jc w:val="center"/>
        <w:rPr>
          <w:rFonts w:hint="eastAsia" w:ascii="仿宋" w:hAnsi="仿宋" w:eastAsia="仿宋" w:cs="仿宋"/>
          <w:b/>
          <w:color w:val="auto"/>
          <w:spacing w:val="6"/>
          <w:sz w:val="32"/>
          <w:szCs w:val="32"/>
          <w:highlight w:val="none"/>
        </w:rPr>
      </w:pPr>
    </w:p>
    <w:p w14:paraId="11D21024">
      <w:pPr>
        <w:autoSpaceDE w:val="0"/>
        <w:autoSpaceDN w:val="0"/>
        <w:jc w:val="center"/>
        <w:rPr>
          <w:rFonts w:hint="eastAsia" w:ascii="仿宋" w:hAnsi="仿宋" w:eastAsia="仿宋" w:cs="仿宋"/>
          <w:b/>
          <w:color w:val="auto"/>
          <w:spacing w:val="6"/>
          <w:sz w:val="32"/>
          <w:szCs w:val="32"/>
          <w:highlight w:val="none"/>
        </w:rPr>
      </w:pPr>
    </w:p>
    <w:p w14:paraId="6B40B95C">
      <w:pPr>
        <w:autoSpaceDE w:val="0"/>
        <w:autoSpaceDN w:val="0"/>
        <w:jc w:val="center"/>
        <w:rPr>
          <w:rFonts w:hint="eastAsia" w:ascii="仿宋" w:hAnsi="仿宋" w:eastAsia="仿宋" w:cs="仿宋"/>
          <w:b/>
          <w:color w:val="auto"/>
          <w:spacing w:val="6"/>
          <w:sz w:val="32"/>
          <w:szCs w:val="32"/>
          <w:highlight w:val="none"/>
        </w:rPr>
      </w:pPr>
    </w:p>
    <w:p w14:paraId="2E08545D">
      <w:pPr>
        <w:autoSpaceDE w:val="0"/>
        <w:autoSpaceDN w:val="0"/>
        <w:jc w:val="center"/>
        <w:rPr>
          <w:rFonts w:hint="eastAsia" w:ascii="仿宋" w:hAnsi="仿宋" w:eastAsia="仿宋" w:cs="仿宋"/>
          <w:b/>
          <w:color w:val="auto"/>
          <w:spacing w:val="6"/>
          <w:sz w:val="32"/>
          <w:szCs w:val="32"/>
          <w:highlight w:val="none"/>
        </w:rPr>
      </w:pPr>
    </w:p>
    <w:p w14:paraId="60FC4279">
      <w:pPr>
        <w:autoSpaceDE w:val="0"/>
        <w:autoSpaceDN w:val="0"/>
        <w:jc w:val="center"/>
        <w:rPr>
          <w:rFonts w:hint="eastAsia" w:ascii="仿宋" w:hAnsi="仿宋" w:eastAsia="仿宋" w:cs="仿宋"/>
          <w:b/>
          <w:color w:val="auto"/>
          <w:spacing w:val="6"/>
          <w:sz w:val="32"/>
          <w:szCs w:val="32"/>
          <w:highlight w:val="none"/>
        </w:rPr>
      </w:pPr>
    </w:p>
    <w:p w14:paraId="270A773F">
      <w:pPr>
        <w:autoSpaceDE w:val="0"/>
        <w:autoSpaceDN w:val="0"/>
        <w:jc w:val="center"/>
        <w:rPr>
          <w:rFonts w:hint="eastAsia" w:ascii="仿宋" w:hAnsi="仿宋" w:eastAsia="仿宋" w:cs="仿宋"/>
          <w:b/>
          <w:color w:val="auto"/>
          <w:spacing w:val="6"/>
          <w:sz w:val="32"/>
          <w:szCs w:val="32"/>
          <w:highlight w:val="none"/>
        </w:rPr>
      </w:pPr>
    </w:p>
    <w:p w14:paraId="02476680">
      <w:pPr>
        <w:autoSpaceDE w:val="0"/>
        <w:autoSpaceDN w:val="0"/>
        <w:jc w:val="center"/>
        <w:rPr>
          <w:rFonts w:hint="eastAsia" w:ascii="仿宋" w:hAnsi="仿宋" w:eastAsia="仿宋" w:cs="仿宋"/>
          <w:b/>
          <w:color w:val="auto"/>
          <w:spacing w:val="6"/>
          <w:sz w:val="32"/>
          <w:szCs w:val="32"/>
          <w:highlight w:val="none"/>
        </w:rPr>
      </w:pPr>
    </w:p>
    <w:p w14:paraId="14336599">
      <w:pPr>
        <w:autoSpaceDE w:val="0"/>
        <w:autoSpaceDN w:val="0"/>
        <w:jc w:val="center"/>
        <w:rPr>
          <w:rFonts w:hint="eastAsia" w:ascii="仿宋" w:hAnsi="仿宋" w:eastAsia="仿宋" w:cs="仿宋"/>
          <w:b/>
          <w:color w:val="auto"/>
          <w:spacing w:val="6"/>
          <w:sz w:val="32"/>
          <w:szCs w:val="32"/>
          <w:highlight w:val="none"/>
        </w:rPr>
      </w:pPr>
    </w:p>
    <w:p w14:paraId="0BE332F6">
      <w:pPr>
        <w:autoSpaceDE w:val="0"/>
        <w:autoSpaceDN w:val="0"/>
        <w:jc w:val="center"/>
        <w:rPr>
          <w:rFonts w:hint="eastAsia" w:ascii="仿宋" w:hAnsi="仿宋" w:eastAsia="仿宋" w:cs="仿宋"/>
          <w:b/>
          <w:color w:val="auto"/>
          <w:spacing w:val="6"/>
          <w:sz w:val="32"/>
          <w:szCs w:val="32"/>
          <w:highlight w:val="none"/>
        </w:rPr>
      </w:pPr>
    </w:p>
    <w:p w14:paraId="45AEF004">
      <w:pPr>
        <w:autoSpaceDE w:val="0"/>
        <w:autoSpaceDN w:val="0"/>
        <w:jc w:val="center"/>
        <w:rPr>
          <w:rFonts w:hint="eastAsia" w:ascii="仿宋" w:hAnsi="仿宋" w:eastAsia="仿宋" w:cs="仿宋"/>
          <w:b/>
          <w:color w:val="auto"/>
          <w:spacing w:val="6"/>
          <w:sz w:val="32"/>
          <w:szCs w:val="32"/>
          <w:highlight w:val="none"/>
        </w:rPr>
      </w:pPr>
    </w:p>
    <w:p w14:paraId="4F6760E9">
      <w:pPr>
        <w:autoSpaceDE w:val="0"/>
        <w:autoSpaceDN w:val="0"/>
        <w:jc w:val="center"/>
        <w:rPr>
          <w:rFonts w:hint="eastAsia" w:ascii="仿宋" w:hAnsi="仿宋" w:eastAsia="仿宋" w:cs="仿宋"/>
          <w:b/>
          <w:color w:val="auto"/>
          <w:spacing w:val="6"/>
          <w:sz w:val="32"/>
          <w:szCs w:val="32"/>
          <w:highlight w:val="none"/>
        </w:rPr>
      </w:pPr>
    </w:p>
    <w:p w14:paraId="0945A06E">
      <w:pPr>
        <w:autoSpaceDE w:val="0"/>
        <w:autoSpaceDN w:val="0"/>
        <w:jc w:val="center"/>
        <w:rPr>
          <w:rFonts w:hint="eastAsia" w:ascii="仿宋" w:hAnsi="仿宋" w:eastAsia="仿宋" w:cs="仿宋"/>
          <w:b/>
          <w:color w:val="auto"/>
          <w:spacing w:val="6"/>
          <w:sz w:val="32"/>
          <w:szCs w:val="32"/>
          <w:highlight w:val="none"/>
        </w:rPr>
      </w:pPr>
    </w:p>
    <w:p w14:paraId="3F8A058C">
      <w:pPr>
        <w:keepNext w:val="0"/>
        <w:keepLines w:val="0"/>
        <w:pageBreakBefore w:val="0"/>
        <w:kinsoku/>
        <w:wordWrap/>
        <w:overflowPunct/>
        <w:topLinePunct w:val="0"/>
        <w:autoSpaceDE/>
        <w:autoSpaceDN/>
        <w:bidi w:val="0"/>
        <w:snapToGrid/>
        <w:spacing w:line="360" w:lineRule="auto"/>
        <w:jc w:val="left"/>
        <w:textAlignment w:val="auto"/>
        <w:outlineLvl w:val="0"/>
        <w:rPr>
          <w:rFonts w:hint="eastAsia" w:ascii="仿宋" w:hAnsi="仿宋" w:eastAsia="仿宋" w:cs="仿宋"/>
          <w:b/>
          <w:color w:val="auto"/>
          <w:sz w:val="36"/>
          <w:szCs w:val="20"/>
          <w:highlight w:val="none"/>
        </w:rPr>
      </w:pPr>
      <w:bookmarkStart w:id="424" w:name="_Toc5437"/>
      <w:r>
        <w:rPr>
          <w:rFonts w:hint="eastAsia" w:ascii="仿宋" w:hAnsi="仿宋" w:eastAsia="仿宋" w:cs="仿宋"/>
          <w:b/>
          <w:color w:val="auto"/>
          <w:sz w:val="36"/>
          <w:szCs w:val="20"/>
          <w:highlight w:val="none"/>
        </w:rPr>
        <w:t>附件7：中小企业声明函</w:t>
      </w:r>
      <w:bookmarkEnd w:id="424"/>
    </w:p>
    <w:p w14:paraId="2DB7C36A">
      <w:pPr>
        <w:spacing w:line="360" w:lineRule="auto"/>
        <w:jc w:val="center"/>
        <w:rPr>
          <w:rFonts w:hint="eastAsia" w:ascii="仿宋" w:hAnsi="仿宋" w:eastAsia="仿宋" w:cs="仿宋"/>
          <w:color w:val="auto"/>
          <w:sz w:val="24"/>
          <w:highlight w:val="none"/>
          <w:u w:val="single"/>
        </w:rPr>
      </w:pPr>
    </w:p>
    <w:p w14:paraId="417C14C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09ED28E1">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_GB2312"/>
          <w:b/>
          <w:bCs/>
          <w:color w:val="auto"/>
          <w:sz w:val="24"/>
          <w:szCs w:val="24"/>
          <w:highlight w:val="none"/>
          <w:u w:val="single"/>
        </w:rPr>
        <w:t>杭州市行政大楼服务保障中心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szCs w:val="24"/>
          <w:highlight w:val="none"/>
          <w:u w:val="single"/>
          <w:lang w:val="en-US" w:eastAsia="zh-CN"/>
        </w:rPr>
        <w:fldChar w:fldCharType="begin"/>
      </w:r>
      <w:r>
        <w:rPr>
          <w:rFonts w:hint="eastAsia" w:ascii="仿宋" w:hAnsi="仿宋" w:eastAsia="仿宋" w:cs="仿宋"/>
          <w:b/>
          <w:bCs/>
          <w:color w:val="auto"/>
          <w:sz w:val="24"/>
          <w:szCs w:val="24"/>
          <w:highlight w:val="none"/>
          <w:u w:val="single"/>
          <w:lang w:val="en-US" w:eastAsia="zh-CN"/>
        </w:rPr>
        <w:instrText xml:space="preserve"> HYPERLINK "javascript:;" </w:instrText>
      </w:r>
      <w:r>
        <w:rPr>
          <w:rFonts w:hint="eastAsia"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val="en-US" w:eastAsia="zh-CN"/>
        </w:rPr>
        <w:t>杭州市市民中心公务服务及会议中心劳务服务外包人员经费</w:t>
      </w:r>
      <w:r>
        <w:rPr>
          <w:rFonts w:hint="eastAsia"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9B5E0E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03C0D3E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7D1D52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D9922D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239846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2726D4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A4A33CA">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3F9BA81B">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5AE8C4BE">
      <w:pPr>
        <w:spacing w:line="360" w:lineRule="auto"/>
        <w:ind w:right="420"/>
        <w:rPr>
          <w:rFonts w:hint="eastAsia" w:ascii="仿宋" w:hAnsi="仿宋" w:eastAsia="仿宋" w:cs="仿宋"/>
          <w:color w:val="auto"/>
          <w:sz w:val="24"/>
          <w:highlight w:val="none"/>
        </w:rPr>
      </w:pPr>
    </w:p>
    <w:p w14:paraId="42351E6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0872C2B8">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506F799">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6E78A7">
      <w:pPr>
        <w:pStyle w:val="4"/>
        <w:rPr>
          <w:rFonts w:hint="eastAsia" w:ascii="仿宋" w:hAnsi="仿宋" w:eastAsia="仿宋" w:cs="仿宋"/>
          <w:color w:val="auto"/>
          <w:highlight w:val="none"/>
          <w:lang w:val="en-US"/>
        </w:rPr>
      </w:pPr>
    </w:p>
    <w:p w14:paraId="5BE388E3">
      <w:pPr>
        <w:spacing w:line="360" w:lineRule="auto"/>
        <w:ind w:right="420"/>
        <w:rPr>
          <w:rFonts w:hint="eastAsia" w:ascii="仿宋" w:hAnsi="仿宋" w:eastAsia="仿宋" w:cs="仿宋"/>
          <w:color w:val="auto"/>
          <w:highlight w:val="none"/>
        </w:rPr>
      </w:pPr>
    </w:p>
    <w:p w14:paraId="33633394">
      <w:pPr>
        <w:spacing w:line="360" w:lineRule="auto"/>
        <w:rPr>
          <w:rFonts w:hint="eastAsia" w:ascii="仿宋" w:hAnsi="仿宋" w:eastAsia="仿宋" w:cs="仿宋"/>
          <w:bCs/>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FB05609-3838-4784-B6AB-07F8383C0D2D}"/>
  </w:font>
  <w:font w:name="Arial">
    <w:panose1 w:val="020B0604020202020204"/>
    <w:charset w:val="01"/>
    <w:family w:val="swiss"/>
    <w:pitch w:val="default"/>
    <w:sig w:usb0="E0002EFF" w:usb1="C000785B" w:usb2="00000009" w:usb3="00000000" w:csb0="400001FF" w:csb1="FFFF0000"/>
    <w:embedRegular r:id="rId2" w:fontKey="{BFC41B4F-2548-41F2-BBED-CB59B22160C3}"/>
  </w:font>
  <w:font w:name="黑体">
    <w:panose1 w:val="02010609060101010101"/>
    <w:charset w:val="86"/>
    <w:family w:val="auto"/>
    <w:pitch w:val="default"/>
    <w:sig w:usb0="800002BF" w:usb1="38CF7CFA" w:usb2="00000016" w:usb3="00000000" w:csb0="00040001" w:csb1="00000000"/>
    <w:embedRegular r:id="rId3" w:fontKey="{F33EEEC0-F7DE-4592-A362-3B7375048D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191F58D-5A26-4F22-8CC0-85C0D853FEB7}"/>
  </w:font>
  <w:font w:name="仿宋_GB2312">
    <w:panose1 w:val="02010609030101010101"/>
    <w:charset w:val="86"/>
    <w:family w:val="modern"/>
    <w:pitch w:val="default"/>
    <w:sig w:usb0="00000001" w:usb1="080E0000" w:usb2="00000000" w:usb3="00000000" w:csb0="00040000" w:csb1="00000000"/>
    <w:embedRegular r:id="rId5" w:fontKey="{0E01A775-8D14-4650-A074-530124938061}"/>
  </w:font>
  <w:font w:name="仿宋">
    <w:panose1 w:val="02010609060101010101"/>
    <w:charset w:val="86"/>
    <w:family w:val="modern"/>
    <w:pitch w:val="default"/>
    <w:sig w:usb0="800002BF" w:usb1="38CF7CFA" w:usb2="00000016" w:usb3="00000000" w:csb0="00040001" w:csb1="00000000"/>
    <w:embedRegular r:id="rId6" w:fontKey="{3F1A8C9D-608F-41DD-AD11-EB3A62272C7B}"/>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Arial Unicode MS"/>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embedRegular r:id="rId7" w:fontKey="{6892980B-97A4-4671-9AFF-195FD663C8EC}"/>
  </w:font>
  <w:font w:name="Helvetica">
    <w:altName w:val="Arial"/>
    <w:panose1 w:val="020B0504020202030204"/>
    <w:charset w:val="00"/>
    <w:family w:val="swiss"/>
    <w:pitch w:val="default"/>
    <w:sig w:usb0="00000000"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embedRegular r:id="rId8" w:fontKey="{B66394BE-ECC7-4A18-99F6-4F2FBE548DDE}"/>
  </w:font>
  <w:font w:name="方正小标宋_GBK">
    <w:panose1 w:val="02000000000000000000"/>
    <w:charset w:val="86"/>
    <w:family w:val="script"/>
    <w:pitch w:val="default"/>
    <w:sig w:usb0="A00002BF" w:usb1="38CF7CFA" w:usb2="00082016" w:usb3="00000000" w:csb0="00040001" w:csb1="00000000"/>
    <w:embedRegular r:id="rId9" w:fontKey="{0CD1E732-D617-4C30-945C-6513F8A7618E}"/>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4DB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6E58F">
    <w:pPr>
      <w:pStyle w:val="40"/>
      <w:framePr w:wrap="around" w:vAnchor="text" w:hAnchor="margin" w:xAlign="right" w:y="1"/>
      <w:rPr>
        <w:rStyle w:val="73"/>
      </w:rPr>
    </w:pPr>
    <w:r>
      <w:fldChar w:fldCharType="begin"/>
    </w:r>
    <w:r>
      <w:rPr>
        <w:rStyle w:val="73"/>
      </w:rPr>
      <w:instrText xml:space="preserve">PAGE  </w:instrText>
    </w:r>
    <w:r>
      <w:fldChar w:fldCharType="end"/>
    </w:r>
  </w:p>
  <w:p w14:paraId="1578AD7C">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CA28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25" w:name="_Toc91899912"/>
    <w:bookmarkStart w:id="426" w:name="_Toc36110187"/>
    <w:bookmarkStart w:id="427" w:name="_Toc164085800"/>
    <w:bookmarkStart w:id="428" w:name="_Toc131845147"/>
    <w:r>
      <w:rPr>
        <w:rFonts w:hint="eastAsia" w:ascii="仿宋_GB2312" w:eastAsia="仿宋_GB2312"/>
        <w:kern w:val="0"/>
        <w:szCs w:val="21"/>
      </w:rPr>
      <w:t xml:space="preserve"> 页</w:t>
    </w:r>
    <w:bookmarkEnd w:id="425"/>
    <w:bookmarkEnd w:id="426"/>
    <w:bookmarkEnd w:id="427"/>
    <w:bookmarkEnd w:id="4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35A8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7D7A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56759D2">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4A1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A65D56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BF56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4132F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CA0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EEE09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C8C0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30012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73E3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719381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4048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B003B">
    <w:pPr>
      <w:pStyle w:val="41"/>
      <w:widowControl w:val="0"/>
      <w:pBdr>
        <w:top w:val="none" w:color="auto" w:sz="0" w:space="1"/>
        <w:left w:val="none" w:color="auto" w:sz="0" w:space="4"/>
        <w:bottom w:val="none" w:color="auto" w:sz="0" w:space="4"/>
        <w:right w:val="none" w:color="auto" w:sz="0" w:space="4"/>
        <w:between w:val="none" w:color="auto" w:sz="0" w:space="0"/>
      </w:pBdr>
      <w:adjustRightInd w:val="0"/>
      <w:snapToGrid w:val="0"/>
      <w:jc w:val="right"/>
    </w:pPr>
    <w:r>
      <w:t></w:t>
    </w:r>
    <w:r>
      <w:rPr>
        <w:rFonts w:hint="eastAsia"/>
      </w:rPr>
      <w:t xml:space="preserve">           </w:t>
    </w:r>
  </w:p>
  <w:p w14:paraId="105CC23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A4C84">
    <w:pPr>
      <w:pStyle w:val="41"/>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cente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6B7B2">
    <w:pPr>
      <w:pStyle w:val="41"/>
      <w:widowControl w:val="0"/>
      <w:pBdr>
        <w:top w:val="none" w:color="auto" w:sz="0" w:space="1"/>
        <w:left w:val="none" w:color="auto" w:sz="0" w:space="4"/>
        <w:bottom w:val="none" w:color="auto" w:sz="0" w:space="0"/>
        <w:right w:val="none" w:color="auto" w:sz="0" w:space="4"/>
        <w:between w:val="none" w:color="auto" w:sz="0" w:space="0"/>
      </w:pBdr>
      <w:tabs>
        <w:tab w:val="center" w:pos="4535"/>
        <w:tab w:val="right" w:pos="9070"/>
        <w:tab w:val="clear" w:pos="4153"/>
        <w:tab w:val="clear" w:pos="8306"/>
      </w:tabs>
      <w:adjustRightInd w:val="0"/>
      <w:snapToGrid w:val="0"/>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096B">
    <w:pPr>
      <w:pStyle w:val="41"/>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center"/>
      <w:rPr>
        <w:rFonts w:ascii="仿宋_GB2312" w:eastAsia="仿宋_GB2312"/>
        <w:b/>
        <w:i/>
        <w:u w:val="single"/>
      </w:rPr>
    </w:pPr>
    <w:r>
      <w:t></w:t>
    </w:r>
    <w:r>
      <w:rPr>
        <w:rFonts w:hint="eastAsia"/>
      </w:rPr>
      <w:t xml:space="preserve">                                                  </w:t>
    </w:r>
    <w:r>
      <w:t xml:space="preserve">          </w:t>
    </w:r>
  </w:p>
  <w:p w14:paraId="13EBB18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0CBBB">
    <w:pPr>
      <w:pStyle w:val="41"/>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cente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BE69A">
    <w:pPr>
      <w:pStyle w:val="41"/>
      <w:rPr>
        <w:rFonts w:ascii="仿宋_GB2312" w:eastAsia="仿宋_GB2312"/>
        <w:b/>
        <w:i/>
        <w:u w:val="single"/>
      </w:rPr>
    </w:pPr>
    <w:r>
      <w:t></w:t>
    </w:r>
    <w:r>
      <w:rPr>
        <w:rFonts w:hint="eastAsia"/>
      </w:rPr>
      <w:t xml:space="preserve">                                                  </w:t>
    </w:r>
    <w:r>
      <w:t>杭州市政府采购公开招标文件</w:t>
    </w:r>
  </w:p>
  <w:p w14:paraId="5FFDF0F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95055">
    <w:pPr>
      <w:pStyle w:val="41"/>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25398">
    <w:pPr>
      <w:pStyle w:val="41"/>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right"/>
      <w:rPr>
        <w:rFonts w:ascii="仿宋_GB2312" w:eastAsia="仿宋_GB2312"/>
        <w:b/>
        <w:i/>
        <w:u w:val="single"/>
      </w:rPr>
    </w:pPr>
    <w:r>
      <w:rPr>
        <w:rFonts w:hint="eastAsia"/>
      </w:rPr>
      <w:t xml:space="preserve">                               </w:t>
    </w:r>
  </w:p>
  <w:p w14:paraId="15DA7C7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9F44D">
    <w:pPr>
      <w:pStyle w:val="41"/>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BBA6">
    <w:pPr>
      <w:pStyle w:val="41"/>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46332"/>
    <w:multiLevelType w:val="multilevel"/>
    <w:tmpl w:val="9E046332"/>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A734E420"/>
    <w:multiLevelType w:val="multilevel"/>
    <w:tmpl w:val="A734E420"/>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09BB0C9D"/>
    <w:multiLevelType w:val="singleLevel"/>
    <w:tmpl w:val="09BB0C9D"/>
    <w:lvl w:ilvl="0" w:tentative="0">
      <w:start w:val="1"/>
      <w:numFmt w:val="decimal"/>
      <w:suff w:val="nothing"/>
      <w:lvlText w:val="%1．"/>
      <w:lvlJc w:val="left"/>
    </w:lvl>
  </w:abstractNum>
  <w:abstractNum w:abstractNumId="3">
    <w:nsid w:val="23BBC4B5"/>
    <w:multiLevelType w:val="singleLevel"/>
    <w:tmpl w:val="23BBC4B5"/>
    <w:lvl w:ilvl="0" w:tentative="0">
      <w:start w:val="1"/>
      <w:numFmt w:val="decimal"/>
      <w:suff w:val="nothing"/>
      <w:lvlText w:val="（%1）"/>
      <w:lvlJc w:val="left"/>
    </w:lvl>
  </w:abstractNum>
  <w:abstractNum w:abstractNumId="4">
    <w:nsid w:val="2BDC7F92"/>
    <w:multiLevelType w:val="singleLevel"/>
    <w:tmpl w:val="2BDC7F92"/>
    <w:lvl w:ilvl="0" w:tentative="0">
      <w:start w:val="1"/>
      <w:numFmt w:val="chineseCounting"/>
      <w:suff w:val="nothing"/>
      <w:lvlText w:val="%1、"/>
      <w:lvlJc w:val="left"/>
      <w:rPr>
        <w:rFonts w:hint="eastAsia"/>
      </w:rPr>
    </w:lvl>
  </w:abstractNum>
  <w:abstractNum w:abstractNumId="5">
    <w:nsid w:val="49911B6D"/>
    <w:multiLevelType w:val="singleLevel"/>
    <w:tmpl w:val="49911B6D"/>
    <w:lvl w:ilvl="0" w:tentative="0">
      <w:start w:val="14"/>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MWJiMjlmOGRjYjkwOTgyYWQ5NmJjM2ExYTNiM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1B"/>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102"/>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89B"/>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0B88"/>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07B"/>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7FF3"/>
    <w:rsid w:val="011E3D92"/>
    <w:rsid w:val="011F6449"/>
    <w:rsid w:val="01236AFB"/>
    <w:rsid w:val="019F7441"/>
    <w:rsid w:val="01B37585"/>
    <w:rsid w:val="01B464A4"/>
    <w:rsid w:val="01D55165"/>
    <w:rsid w:val="01DF6BF8"/>
    <w:rsid w:val="01EC2C57"/>
    <w:rsid w:val="020C008E"/>
    <w:rsid w:val="02417E1D"/>
    <w:rsid w:val="025F0711"/>
    <w:rsid w:val="026B2E25"/>
    <w:rsid w:val="027F3841"/>
    <w:rsid w:val="02824D4D"/>
    <w:rsid w:val="028265A2"/>
    <w:rsid w:val="02906F11"/>
    <w:rsid w:val="029F7154"/>
    <w:rsid w:val="02CC3C0E"/>
    <w:rsid w:val="02DC4B10"/>
    <w:rsid w:val="02DD76CE"/>
    <w:rsid w:val="02F36323"/>
    <w:rsid w:val="02F5619C"/>
    <w:rsid w:val="02FC6355"/>
    <w:rsid w:val="02FF7BF3"/>
    <w:rsid w:val="03127217"/>
    <w:rsid w:val="0326446A"/>
    <w:rsid w:val="032D5555"/>
    <w:rsid w:val="036634D2"/>
    <w:rsid w:val="039679FC"/>
    <w:rsid w:val="039E565E"/>
    <w:rsid w:val="03B8020F"/>
    <w:rsid w:val="03BC7892"/>
    <w:rsid w:val="03DB240E"/>
    <w:rsid w:val="03DD35E4"/>
    <w:rsid w:val="03E017D2"/>
    <w:rsid w:val="03F60FF6"/>
    <w:rsid w:val="04051981"/>
    <w:rsid w:val="04076900"/>
    <w:rsid w:val="041A5A3B"/>
    <w:rsid w:val="042311BA"/>
    <w:rsid w:val="042B157A"/>
    <w:rsid w:val="048F763B"/>
    <w:rsid w:val="049F330E"/>
    <w:rsid w:val="04AA775C"/>
    <w:rsid w:val="04AF1889"/>
    <w:rsid w:val="04F07081"/>
    <w:rsid w:val="04F66F48"/>
    <w:rsid w:val="05251E14"/>
    <w:rsid w:val="052851DF"/>
    <w:rsid w:val="05465FAD"/>
    <w:rsid w:val="054E09BE"/>
    <w:rsid w:val="05A01219"/>
    <w:rsid w:val="05A16594"/>
    <w:rsid w:val="05A7762D"/>
    <w:rsid w:val="05CD5D86"/>
    <w:rsid w:val="05DE60F3"/>
    <w:rsid w:val="060E5941"/>
    <w:rsid w:val="06110FAF"/>
    <w:rsid w:val="06305565"/>
    <w:rsid w:val="06493CA7"/>
    <w:rsid w:val="0654753F"/>
    <w:rsid w:val="065A6178"/>
    <w:rsid w:val="065B333F"/>
    <w:rsid w:val="066849C1"/>
    <w:rsid w:val="066F1CF3"/>
    <w:rsid w:val="06930BB8"/>
    <w:rsid w:val="06A92350"/>
    <w:rsid w:val="06B41BF9"/>
    <w:rsid w:val="06BF7DC5"/>
    <w:rsid w:val="07034156"/>
    <w:rsid w:val="071579E5"/>
    <w:rsid w:val="07245D42"/>
    <w:rsid w:val="072639A0"/>
    <w:rsid w:val="07264C62"/>
    <w:rsid w:val="073256DB"/>
    <w:rsid w:val="074D602E"/>
    <w:rsid w:val="076444C8"/>
    <w:rsid w:val="0779354C"/>
    <w:rsid w:val="077B5E33"/>
    <w:rsid w:val="07E5385B"/>
    <w:rsid w:val="08061376"/>
    <w:rsid w:val="080F6B2A"/>
    <w:rsid w:val="08122176"/>
    <w:rsid w:val="082223BA"/>
    <w:rsid w:val="082946BF"/>
    <w:rsid w:val="083F4163"/>
    <w:rsid w:val="08452D77"/>
    <w:rsid w:val="086401F8"/>
    <w:rsid w:val="086F6DCE"/>
    <w:rsid w:val="08751CAA"/>
    <w:rsid w:val="087E4C40"/>
    <w:rsid w:val="088A7F5F"/>
    <w:rsid w:val="088F1549"/>
    <w:rsid w:val="089963F4"/>
    <w:rsid w:val="08A871D0"/>
    <w:rsid w:val="08AA425C"/>
    <w:rsid w:val="08B82D1E"/>
    <w:rsid w:val="08D66AD6"/>
    <w:rsid w:val="08DA33A3"/>
    <w:rsid w:val="08E80F13"/>
    <w:rsid w:val="09126A66"/>
    <w:rsid w:val="09335624"/>
    <w:rsid w:val="0944690F"/>
    <w:rsid w:val="09535675"/>
    <w:rsid w:val="095F057D"/>
    <w:rsid w:val="09622640"/>
    <w:rsid w:val="09642282"/>
    <w:rsid w:val="096E7880"/>
    <w:rsid w:val="09733572"/>
    <w:rsid w:val="09772C16"/>
    <w:rsid w:val="098353B5"/>
    <w:rsid w:val="09A60DC8"/>
    <w:rsid w:val="09A92330"/>
    <w:rsid w:val="09B06B87"/>
    <w:rsid w:val="09C13146"/>
    <w:rsid w:val="09E04166"/>
    <w:rsid w:val="09EC7123"/>
    <w:rsid w:val="0A140428"/>
    <w:rsid w:val="0A1C0718"/>
    <w:rsid w:val="0A1E3055"/>
    <w:rsid w:val="0A3E7710"/>
    <w:rsid w:val="0A5B7E63"/>
    <w:rsid w:val="0A6273E5"/>
    <w:rsid w:val="0A8235E3"/>
    <w:rsid w:val="0A8A161B"/>
    <w:rsid w:val="0A981059"/>
    <w:rsid w:val="0AA374A5"/>
    <w:rsid w:val="0AAB7649"/>
    <w:rsid w:val="0AAD36DD"/>
    <w:rsid w:val="0AAE43D8"/>
    <w:rsid w:val="0AAF1EFF"/>
    <w:rsid w:val="0ABC5606"/>
    <w:rsid w:val="0AD8582A"/>
    <w:rsid w:val="0AF049F1"/>
    <w:rsid w:val="0B2E72C7"/>
    <w:rsid w:val="0B30404E"/>
    <w:rsid w:val="0B4765DB"/>
    <w:rsid w:val="0B4908C6"/>
    <w:rsid w:val="0B4C6C14"/>
    <w:rsid w:val="0B547599"/>
    <w:rsid w:val="0B5558F0"/>
    <w:rsid w:val="0B631A88"/>
    <w:rsid w:val="0B683D45"/>
    <w:rsid w:val="0B7F3F11"/>
    <w:rsid w:val="0B884417"/>
    <w:rsid w:val="0B9730F7"/>
    <w:rsid w:val="0BB84DE3"/>
    <w:rsid w:val="0BCB720C"/>
    <w:rsid w:val="0BD87233"/>
    <w:rsid w:val="0BE65DF4"/>
    <w:rsid w:val="0BF6188C"/>
    <w:rsid w:val="0BF73C91"/>
    <w:rsid w:val="0C170175"/>
    <w:rsid w:val="0C3B1C9C"/>
    <w:rsid w:val="0C571A41"/>
    <w:rsid w:val="0C5C1171"/>
    <w:rsid w:val="0C5E1CBC"/>
    <w:rsid w:val="0C615B50"/>
    <w:rsid w:val="0C8445DA"/>
    <w:rsid w:val="0C87121B"/>
    <w:rsid w:val="0CC007F7"/>
    <w:rsid w:val="0CC617AC"/>
    <w:rsid w:val="0CE618DF"/>
    <w:rsid w:val="0CEA0261"/>
    <w:rsid w:val="0CFE707A"/>
    <w:rsid w:val="0D0504FC"/>
    <w:rsid w:val="0D063BDA"/>
    <w:rsid w:val="0D08375F"/>
    <w:rsid w:val="0D15073F"/>
    <w:rsid w:val="0D184CFB"/>
    <w:rsid w:val="0D240717"/>
    <w:rsid w:val="0D324849"/>
    <w:rsid w:val="0D4A7419"/>
    <w:rsid w:val="0D827401"/>
    <w:rsid w:val="0D84094E"/>
    <w:rsid w:val="0D8A00E9"/>
    <w:rsid w:val="0D8D589E"/>
    <w:rsid w:val="0DA01C73"/>
    <w:rsid w:val="0DD32132"/>
    <w:rsid w:val="0DD63300"/>
    <w:rsid w:val="0DDE4FF7"/>
    <w:rsid w:val="0DE27B1C"/>
    <w:rsid w:val="0DEE39B4"/>
    <w:rsid w:val="0DF04D08"/>
    <w:rsid w:val="0DF50604"/>
    <w:rsid w:val="0DF702FE"/>
    <w:rsid w:val="0E043EA9"/>
    <w:rsid w:val="0E060E51"/>
    <w:rsid w:val="0E1529C0"/>
    <w:rsid w:val="0E4806A0"/>
    <w:rsid w:val="0E5604B2"/>
    <w:rsid w:val="0E6D5D79"/>
    <w:rsid w:val="0E774674"/>
    <w:rsid w:val="0E880FE0"/>
    <w:rsid w:val="0E96697E"/>
    <w:rsid w:val="0E9D0089"/>
    <w:rsid w:val="0EAD149C"/>
    <w:rsid w:val="0EB803EE"/>
    <w:rsid w:val="0ECA07E3"/>
    <w:rsid w:val="0ED94720"/>
    <w:rsid w:val="0EF94D4B"/>
    <w:rsid w:val="0F451083"/>
    <w:rsid w:val="0F4958DC"/>
    <w:rsid w:val="0F515DF7"/>
    <w:rsid w:val="0F596BA8"/>
    <w:rsid w:val="0F6248D2"/>
    <w:rsid w:val="0F693536"/>
    <w:rsid w:val="0F7B0511"/>
    <w:rsid w:val="0F7B76D9"/>
    <w:rsid w:val="0F81030D"/>
    <w:rsid w:val="0F816ACD"/>
    <w:rsid w:val="0F931DEF"/>
    <w:rsid w:val="0F9832DB"/>
    <w:rsid w:val="0FA63EB6"/>
    <w:rsid w:val="0FBF3FD2"/>
    <w:rsid w:val="0FBF7FF3"/>
    <w:rsid w:val="0FD22917"/>
    <w:rsid w:val="0FE4264A"/>
    <w:rsid w:val="0FED3C1C"/>
    <w:rsid w:val="105772C0"/>
    <w:rsid w:val="105B0B5E"/>
    <w:rsid w:val="10646583"/>
    <w:rsid w:val="107D4B15"/>
    <w:rsid w:val="108A3C80"/>
    <w:rsid w:val="10A84A5E"/>
    <w:rsid w:val="10C26171"/>
    <w:rsid w:val="10C77FA2"/>
    <w:rsid w:val="10D83E1C"/>
    <w:rsid w:val="10F33360"/>
    <w:rsid w:val="10FC16EA"/>
    <w:rsid w:val="1105259F"/>
    <w:rsid w:val="110F1D40"/>
    <w:rsid w:val="111F7DDE"/>
    <w:rsid w:val="11266F33"/>
    <w:rsid w:val="113F4EFE"/>
    <w:rsid w:val="117B6FDE"/>
    <w:rsid w:val="118963A1"/>
    <w:rsid w:val="11C6522A"/>
    <w:rsid w:val="11D87F8D"/>
    <w:rsid w:val="11E104CC"/>
    <w:rsid w:val="11E20309"/>
    <w:rsid w:val="11E44B84"/>
    <w:rsid w:val="11EF7E71"/>
    <w:rsid w:val="12190A00"/>
    <w:rsid w:val="12255233"/>
    <w:rsid w:val="122A38AE"/>
    <w:rsid w:val="12530213"/>
    <w:rsid w:val="126161D4"/>
    <w:rsid w:val="127723A9"/>
    <w:rsid w:val="12862074"/>
    <w:rsid w:val="12883966"/>
    <w:rsid w:val="1291665A"/>
    <w:rsid w:val="129640D0"/>
    <w:rsid w:val="129E45B4"/>
    <w:rsid w:val="12C505E3"/>
    <w:rsid w:val="12D81596"/>
    <w:rsid w:val="13072A44"/>
    <w:rsid w:val="13080DA0"/>
    <w:rsid w:val="13246561"/>
    <w:rsid w:val="132C67E2"/>
    <w:rsid w:val="13392CAD"/>
    <w:rsid w:val="135F4BE2"/>
    <w:rsid w:val="13637988"/>
    <w:rsid w:val="136E0BA9"/>
    <w:rsid w:val="138E52A4"/>
    <w:rsid w:val="13983F30"/>
    <w:rsid w:val="139B1A0A"/>
    <w:rsid w:val="139D25C7"/>
    <w:rsid w:val="13A86933"/>
    <w:rsid w:val="13B660AC"/>
    <w:rsid w:val="13BB7412"/>
    <w:rsid w:val="13BF3CE4"/>
    <w:rsid w:val="13C407C9"/>
    <w:rsid w:val="13F82B68"/>
    <w:rsid w:val="141008D8"/>
    <w:rsid w:val="14125FE6"/>
    <w:rsid w:val="14553B17"/>
    <w:rsid w:val="14691370"/>
    <w:rsid w:val="146D271E"/>
    <w:rsid w:val="14982588"/>
    <w:rsid w:val="149A5AD9"/>
    <w:rsid w:val="14A7619D"/>
    <w:rsid w:val="14B9773F"/>
    <w:rsid w:val="150536C3"/>
    <w:rsid w:val="150834D9"/>
    <w:rsid w:val="150C1963"/>
    <w:rsid w:val="151447A0"/>
    <w:rsid w:val="152A6D51"/>
    <w:rsid w:val="154A6454"/>
    <w:rsid w:val="154C4F1A"/>
    <w:rsid w:val="155913E5"/>
    <w:rsid w:val="15762120"/>
    <w:rsid w:val="158D5C52"/>
    <w:rsid w:val="16223ECC"/>
    <w:rsid w:val="1631630E"/>
    <w:rsid w:val="1665226C"/>
    <w:rsid w:val="16A8729C"/>
    <w:rsid w:val="16AA639C"/>
    <w:rsid w:val="16B33777"/>
    <w:rsid w:val="16B74D00"/>
    <w:rsid w:val="16B7599F"/>
    <w:rsid w:val="16BA7FB4"/>
    <w:rsid w:val="16BC70A7"/>
    <w:rsid w:val="16C17241"/>
    <w:rsid w:val="16C3120C"/>
    <w:rsid w:val="16C6339E"/>
    <w:rsid w:val="16CD7A46"/>
    <w:rsid w:val="16F45869"/>
    <w:rsid w:val="172F2D79"/>
    <w:rsid w:val="17557BEF"/>
    <w:rsid w:val="176B2DF5"/>
    <w:rsid w:val="17771FF6"/>
    <w:rsid w:val="17B31280"/>
    <w:rsid w:val="17C52D61"/>
    <w:rsid w:val="17D349C1"/>
    <w:rsid w:val="17D411F6"/>
    <w:rsid w:val="1830729E"/>
    <w:rsid w:val="183F1262"/>
    <w:rsid w:val="186662F2"/>
    <w:rsid w:val="1870062C"/>
    <w:rsid w:val="18817102"/>
    <w:rsid w:val="18830A15"/>
    <w:rsid w:val="18852B28"/>
    <w:rsid w:val="1886179D"/>
    <w:rsid w:val="188B5321"/>
    <w:rsid w:val="18AC17BB"/>
    <w:rsid w:val="1921046B"/>
    <w:rsid w:val="19932372"/>
    <w:rsid w:val="199724DC"/>
    <w:rsid w:val="19A20DD5"/>
    <w:rsid w:val="19AE03F1"/>
    <w:rsid w:val="19AF5A77"/>
    <w:rsid w:val="19CC03D7"/>
    <w:rsid w:val="1A071A03"/>
    <w:rsid w:val="1A077661"/>
    <w:rsid w:val="1A1F16AE"/>
    <w:rsid w:val="1A2E39E6"/>
    <w:rsid w:val="1A3A17E5"/>
    <w:rsid w:val="1A3B5C77"/>
    <w:rsid w:val="1A40779E"/>
    <w:rsid w:val="1A5D54D3"/>
    <w:rsid w:val="1A5F124B"/>
    <w:rsid w:val="1A984BAD"/>
    <w:rsid w:val="1AB5285D"/>
    <w:rsid w:val="1AB8220E"/>
    <w:rsid w:val="1AE4166C"/>
    <w:rsid w:val="1AEB2ADF"/>
    <w:rsid w:val="1AF06CFB"/>
    <w:rsid w:val="1AF11B8D"/>
    <w:rsid w:val="1B11359C"/>
    <w:rsid w:val="1B2A271F"/>
    <w:rsid w:val="1B462E07"/>
    <w:rsid w:val="1B530544"/>
    <w:rsid w:val="1B713184"/>
    <w:rsid w:val="1BA209CF"/>
    <w:rsid w:val="1BB4777D"/>
    <w:rsid w:val="1BC752FA"/>
    <w:rsid w:val="1BD75AB8"/>
    <w:rsid w:val="1BE20386"/>
    <w:rsid w:val="1C0459C2"/>
    <w:rsid w:val="1C0D3E62"/>
    <w:rsid w:val="1C112A19"/>
    <w:rsid w:val="1C1B3B4A"/>
    <w:rsid w:val="1C88086E"/>
    <w:rsid w:val="1C8F393E"/>
    <w:rsid w:val="1CA94A00"/>
    <w:rsid w:val="1CF245F9"/>
    <w:rsid w:val="1D0E51AB"/>
    <w:rsid w:val="1D203C5E"/>
    <w:rsid w:val="1D266CE1"/>
    <w:rsid w:val="1D294B0D"/>
    <w:rsid w:val="1D37200B"/>
    <w:rsid w:val="1D3963AF"/>
    <w:rsid w:val="1D3D339A"/>
    <w:rsid w:val="1D517704"/>
    <w:rsid w:val="1D6A673C"/>
    <w:rsid w:val="1D9247AE"/>
    <w:rsid w:val="1D977403"/>
    <w:rsid w:val="1D99170B"/>
    <w:rsid w:val="1DA022A7"/>
    <w:rsid w:val="1DAC581B"/>
    <w:rsid w:val="1DB567EC"/>
    <w:rsid w:val="1DF51A98"/>
    <w:rsid w:val="1DFB128B"/>
    <w:rsid w:val="1E0C3498"/>
    <w:rsid w:val="1E285DF8"/>
    <w:rsid w:val="1E37428D"/>
    <w:rsid w:val="1E3D060F"/>
    <w:rsid w:val="1E3F7D2E"/>
    <w:rsid w:val="1E4134E4"/>
    <w:rsid w:val="1E5062B3"/>
    <w:rsid w:val="1E523514"/>
    <w:rsid w:val="1E714A66"/>
    <w:rsid w:val="1E802593"/>
    <w:rsid w:val="1E8B6156"/>
    <w:rsid w:val="1EA703CC"/>
    <w:rsid w:val="1EB63404"/>
    <w:rsid w:val="1EB7330C"/>
    <w:rsid w:val="1EF00F5B"/>
    <w:rsid w:val="1EF47EF6"/>
    <w:rsid w:val="1F0777AE"/>
    <w:rsid w:val="1F0A0FF3"/>
    <w:rsid w:val="1F0F1AEE"/>
    <w:rsid w:val="1F5771FF"/>
    <w:rsid w:val="1F752D3A"/>
    <w:rsid w:val="1FA13150"/>
    <w:rsid w:val="1FBF278C"/>
    <w:rsid w:val="1FCF0C21"/>
    <w:rsid w:val="1FD52DD5"/>
    <w:rsid w:val="1FE868A9"/>
    <w:rsid w:val="20034907"/>
    <w:rsid w:val="200A1D85"/>
    <w:rsid w:val="20173E4B"/>
    <w:rsid w:val="20176124"/>
    <w:rsid w:val="201B5C14"/>
    <w:rsid w:val="202820DF"/>
    <w:rsid w:val="204E48BC"/>
    <w:rsid w:val="2059498F"/>
    <w:rsid w:val="2080429A"/>
    <w:rsid w:val="208921B3"/>
    <w:rsid w:val="20906010"/>
    <w:rsid w:val="20973DEB"/>
    <w:rsid w:val="20B26522"/>
    <w:rsid w:val="20B44310"/>
    <w:rsid w:val="20BD416F"/>
    <w:rsid w:val="211116EB"/>
    <w:rsid w:val="215A276C"/>
    <w:rsid w:val="216133FC"/>
    <w:rsid w:val="21701408"/>
    <w:rsid w:val="2173382E"/>
    <w:rsid w:val="21B816E9"/>
    <w:rsid w:val="21D2504B"/>
    <w:rsid w:val="21D56769"/>
    <w:rsid w:val="21E401AA"/>
    <w:rsid w:val="21E52EF3"/>
    <w:rsid w:val="21FB5D7B"/>
    <w:rsid w:val="22015E94"/>
    <w:rsid w:val="220B1C3D"/>
    <w:rsid w:val="221D1D20"/>
    <w:rsid w:val="22334A87"/>
    <w:rsid w:val="225C2556"/>
    <w:rsid w:val="22BD2FB3"/>
    <w:rsid w:val="22BE6801"/>
    <w:rsid w:val="22C34BFF"/>
    <w:rsid w:val="22EE5862"/>
    <w:rsid w:val="23247AA9"/>
    <w:rsid w:val="2331574F"/>
    <w:rsid w:val="233500BF"/>
    <w:rsid w:val="23377FF7"/>
    <w:rsid w:val="2339248D"/>
    <w:rsid w:val="233F1C1A"/>
    <w:rsid w:val="234C07DB"/>
    <w:rsid w:val="2355768F"/>
    <w:rsid w:val="236B425F"/>
    <w:rsid w:val="23836192"/>
    <w:rsid w:val="23901F29"/>
    <w:rsid w:val="239C0061"/>
    <w:rsid w:val="23B908A4"/>
    <w:rsid w:val="23E95BEF"/>
    <w:rsid w:val="23FD0064"/>
    <w:rsid w:val="24280900"/>
    <w:rsid w:val="24305A06"/>
    <w:rsid w:val="243C43AB"/>
    <w:rsid w:val="24430826"/>
    <w:rsid w:val="245375B0"/>
    <w:rsid w:val="24642C0A"/>
    <w:rsid w:val="24765B0F"/>
    <w:rsid w:val="247B3126"/>
    <w:rsid w:val="24976244"/>
    <w:rsid w:val="249C309C"/>
    <w:rsid w:val="24A574FD"/>
    <w:rsid w:val="24B22173"/>
    <w:rsid w:val="24B95AD9"/>
    <w:rsid w:val="24BE24DA"/>
    <w:rsid w:val="24CF5825"/>
    <w:rsid w:val="24D663E6"/>
    <w:rsid w:val="24D77F2B"/>
    <w:rsid w:val="250749B9"/>
    <w:rsid w:val="25413040"/>
    <w:rsid w:val="2552283D"/>
    <w:rsid w:val="25541EB2"/>
    <w:rsid w:val="258B00E2"/>
    <w:rsid w:val="258C0B5D"/>
    <w:rsid w:val="25A917A6"/>
    <w:rsid w:val="25AC5561"/>
    <w:rsid w:val="25AC7D4F"/>
    <w:rsid w:val="25BE27CC"/>
    <w:rsid w:val="25C66622"/>
    <w:rsid w:val="25C7239A"/>
    <w:rsid w:val="25C805EC"/>
    <w:rsid w:val="25F74A5C"/>
    <w:rsid w:val="26282E39"/>
    <w:rsid w:val="2628662C"/>
    <w:rsid w:val="262D45DE"/>
    <w:rsid w:val="26871DC8"/>
    <w:rsid w:val="26A53EF9"/>
    <w:rsid w:val="26A94201"/>
    <w:rsid w:val="26AC274F"/>
    <w:rsid w:val="27044A29"/>
    <w:rsid w:val="271D34C8"/>
    <w:rsid w:val="276142BF"/>
    <w:rsid w:val="27734588"/>
    <w:rsid w:val="27783712"/>
    <w:rsid w:val="27907362"/>
    <w:rsid w:val="27934C2A"/>
    <w:rsid w:val="27C546B8"/>
    <w:rsid w:val="27C70430"/>
    <w:rsid w:val="28237D5C"/>
    <w:rsid w:val="28333E1D"/>
    <w:rsid w:val="28454BD6"/>
    <w:rsid w:val="28455253"/>
    <w:rsid w:val="28551971"/>
    <w:rsid w:val="285B1C53"/>
    <w:rsid w:val="289F7086"/>
    <w:rsid w:val="28C32028"/>
    <w:rsid w:val="28CC490F"/>
    <w:rsid w:val="28DE40AA"/>
    <w:rsid w:val="29177195"/>
    <w:rsid w:val="29223CC3"/>
    <w:rsid w:val="292673D8"/>
    <w:rsid w:val="29345E77"/>
    <w:rsid w:val="294C65AD"/>
    <w:rsid w:val="29785E86"/>
    <w:rsid w:val="29806583"/>
    <w:rsid w:val="29893945"/>
    <w:rsid w:val="298B3C4C"/>
    <w:rsid w:val="29916F47"/>
    <w:rsid w:val="29CA2F90"/>
    <w:rsid w:val="29CC7F7F"/>
    <w:rsid w:val="29DA6F17"/>
    <w:rsid w:val="29F26D24"/>
    <w:rsid w:val="2A15033F"/>
    <w:rsid w:val="2A1662C1"/>
    <w:rsid w:val="2A1C7367"/>
    <w:rsid w:val="2A2815FA"/>
    <w:rsid w:val="2A5D3182"/>
    <w:rsid w:val="2A64465C"/>
    <w:rsid w:val="2A6D6092"/>
    <w:rsid w:val="2A7D76B4"/>
    <w:rsid w:val="2A84377F"/>
    <w:rsid w:val="2B2D7144"/>
    <w:rsid w:val="2B437463"/>
    <w:rsid w:val="2B7807EE"/>
    <w:rsid w:val="2BA50BF7"/>
    <w:rsid w:val="2BAB67F6"/>
    <w:rsid w:val="2BB51143"/>
    <w:rsid w:val="2BBB64FD"/>
    <w:rsid w:val="2BBF00EC"/>
    <w:rsid w:val="2BC37CFD"/>
    <w:rsid w:val="2BD5237F"/>
    <w:rsid w:val="2BE315B0"/>
    <w:rsid w:val="2BE536CE"/>
    <w:rsid w:val="2BE758D9"/>
    <w:rsid w:val="2C09049E"/>
    <w:rsid w:val="2C0A653C"/>
    <w:rsid w:val="2C0F23A5"/>
    <w:rsid w:val="2C191F85"/>
    <w:rsid w:val="2C3342E6"/>
    <w:rsid w:val="2C3B4E08"/>
    <w:rsid w:val="2C3D6F12"/>
    <w:rsid w:val="2C444745"/>
    <w:rsid w:val="2C5D4DAB"/>
    <w:rsid w:val="2C9F197B"/>
    <w:rsid w:val="2CA13945"/>
    <w:rsid w:val="2CD23AFF"/>
    <w:rsid w:val="2CE82D6F"/>
    <w:rsid w:val="2D343236"/>
    <w:rsid w:val="2D4349FC"/>
    <w:rsid w:val="2D947006"/>
    <w:rsid w:val="2DB1789E"/>
    <w:rsid w:val="2DD1025A"/>
    <w:rsid w:val="2DD15014"/>
    <w:rsid w:val="2DF61A6F"/>
    <w:rsid w:val="2DF72DE4"/>
    <w:rsid w:val="2DFF6B75"/>
    <w:rsid w:val="2E0220AF"/>
    <w:rsid w:val="2E051BD8"/>
    <w:rsid w:val="2E07434F"/>
    <w:rsid w:val="2E474078"/>
    <w:rsid w:val="2E4834CF"/>
    <w:rsid w:val="2E4B082A"/>
    <w:rsid w:val="2E580034"/>
    <w:rsid w:val="2E5D4E86"/>
    <w:rsid w:val="2E5D790B"/>
    <w:rsid w:val="2E7F1A64"/>
    <w:rsid w:val="2E7F7CB6"/>
    <w:rsid w:val="2E951288"/>
    <w:rsid w:val="2E9A3C18"/>
    <w:rsid w:val="2EBB0FEE"/>
    <w:rsid w:val="2EC63002"/>
    <w:rsid w:val="2ED33B5E"/>
    <w:rsid w:val="2F0A6B38"/>
    <w:rsid w:val="2F124686"/>
    <w:rsid w:val="2F1877C3"/>
    <w:rsid w:val="2F2F5238"/>
    <w:rsid w:val="2F4A3E20"/>
    <w:rsid w:val="2F946CCB"/>
    <w:rsid w:val="2F972DDE"/>
    <w:rsid w:val="2FBFB58D"/>
    <w:rsid w:val="2FD25781"/>
    <w:rsid w:val="2FD47B8E"/>
    <w:rsid w:val="2FDC745C"/>
    <w:rsid w:val="2FFD7934"/>
    <w:rsid w:val="300F506A"/>
    <w:rsid w:val="30350E88"/>
    <w:rsid w:val="303F76FD"/>
    <w:rsid w:val="306077A7"/>
    <w:rsid w:val="30733ACD"/>
    <w:rsid w:val="308C3862"/>
    <w:rsid w:val="309379D8"/>
    <w:rsid w:val="30A270F7"/>
    <w:rsid w:val="30DF1478"/>
    <w:rsid w:val="30EC586F"/>
    <w:rsid w:val="310E5321"/>
    <w:rsid w:val="31124E12"/>
    <w:rsid w:val="312614B9"/>
    <w:rsid w:val="312B38DC"/>
    <w:rsid w:val="313E08E5"/>
    <w:rsid w:val="31440D43"/>
    <w:rsid w:val="314550B7"/>
    <w:rsid w:val="319071E5"/>
    <w:rsid w:val="319C6071"/>
    <w:rsid w:val="31A33CBC"/>
    <w:rsid w:val="31A41E31"/>
    <w:rsid w:val="31A44036"/>
    <w:rsid w:val="31AC537E"/>
    <w:rsid w:val="31CE41BF"/>
    <w:rsid w:val="31E3679B"/>
    <w:rsid w:val="31E732FD"/>
    <w:rsid w:val="31ED4F37"/>
    <w:rsid w:val="32071286"/>
    <w:rsid w:val="32236BAB"/>
    <w:rsid w:val="325154C6"/>
    <w:rsid w:val="32517576"/>
    <w:rsid w:val="32630425"/>
    <w:rsid w:val="329B0E37"/>
    <w:rsid w:val="32BE5C2C"/>
    <w:rsid w:val="32C24615"/>
    <w:rsid w:val="32D779FF"/>
    <w:rsid w:val="32F02F31"/>
    <w:rsid w:val="32FB6478"/>
    <w:rsid w:val="3307027A"/>
    <w:rsid w:val="331210F9"/>
    <w:rsid w:val="33245CBD"/>
    <w:rsid w:val="33263B3F"/>
    <w:rsid w:val="336963EB"/>
    <w:rsid w:val="33745910"/>
    <w:rsid w:val="33816EEB"/>
    <w:rsid w:val="33D740F0"/>
    <w:rsid w:val="33EB55CD"/>
    <w:rsid w:val="33EC4C02"/>
    <w:rsid w:val="340D2360"/>
    <w:rsid w:val="3410665D"/>
    <w:rsid w:val="34211214"/>
    <w:rsid w:val="342E63AB"/>
    <w:rsid w:val="34382116"/>
    <w:rsid w:val="34533777"/>
    <w:rsid w:val="34666D8C"/>
    <w:rsid w:val="34950E68"/>
    <w:rsid w:val="34986E94"/>
    <w:rsid w:val="34AF62C9"/>
    <w:rsid w:val="34BA04C8"/>
    <w:rsid w:val="34CB4388"/>
    <w:rsid w:val="34D16D92"/>
    <w:rsid w:val="34FA6E12"/>
    <w:rsid w:val="354D7158"/>
    <w:rsid w:val="35507CB7"/>
    <w:rsid w:val="358D5588"/>
    <w:rsid w:val="3596329B"/>
    <w:rsid w:val="35976F55"/>
    <w:rsid w:val="35FB4B84"/>
    <w:rsid w:val="361E1B63"/>
    <w:rsid w:val="36365C5F"/>
    <w:rsid w:val="363A3B40"/>
    <w:rsid w:val="365302AE"/>
    <w:rsid w:val="36607A0A"/>
    <w:rsid w:val="366D6646"/>
    <w:rsid w:val="366E227C"/>
    <w:rsid w:val="366F2E0D"/>
    <w:rsid w:val="367B6A5C"/>
    <w:rsid w:val="36A359EC"/>
    <w:rsid w:val="36A74ADA"/>
    <w:rsid w:val="36AD60D5"/>
    <w:rsid w:val="36B224F9"/>
    <w:rsid w:val="36EC0CC9"/>
    <w:rsid w:val="36F10AE1"/>
    <w:rsid w:val="37023232"/>
    <w:rsid w:val="373F410B"/>
    <w:rsid w:val="378A0189"/>
    <w:rsid w:val="37936B2C"/>
    <w:rsid w:val="37CB5D1A"/>
    <w:rsid w:val="37EE7094"/>
    <w:rsid w:val="37F54B45"/>
    <w:rsid w:val="37F9213C"/>
    <w:rsid w:val="38296C89"/>
    <w:rsid w:val="383002EB"/>
    <w:rsid w:val="384B3F96"/>
    <w:rsid w:val="38586797"/>
    <w:rsid w:val="386D5023"/>
    <w:rsid w:val="38BC0149"/>
    <w:rsid w:val="38C97DEE"/>
    <w:rsid w:val="38CD7870"/>
    <w:rsid w:val="38D87D1C"/>
    <w:rsid w:val="38D96215"/>
    <w:rsid w:val="38F65019"/>
    <w:rsid w:val="393F47DD"/>
    <w:rsid w:val="39636459"/>
    <w:rsid w:val="396A73C7"/>
    <w:rsid w:val="396B7F6C"/>
    <w:rsid w:val="39B417A9"/>
    <w:rsid w:val="39CF6DF4"/>
    <w:rsid w:val="39FC5695"/>
    <w:rsid w:val="3A006D8E"/>
    <w:rsid w:val="3A3651E5"/>
    <w:rsid w:val="3A571AE7"/>
    <w:rsid w:val="3A744481"/>
    <w:rsid w:val="3A8C7BEF"/>
    <w:rsid w:val="3A906246"/>
    <w:rsid w:val="3AA457CF"/>
    <w:rsid w:val="3AA52853"/>
    <w:rsid w:val="3AB413D1"/>
    <w:rsid w:val="3AB930D5"/>
    <w:rsid w:val="3AFF67B0"/>
    <w:rsid w:val="3B143534"/>
    <w:rsid w:val="3B2349B7"/>
    <w:rsid w:val="3B375357"/>
    <w:rsid w:val="3B404329"/>
    <w:rsid w:val="3B491430"/>
    <w:rsid w:val="3B616CFF"/>
    <w:rsid w:val="3B6259F6"/>
    <w:rsid w:val="3B8E32E7"/>
    <w:rsid w:val="3B976654"/>
    <w:rsid w:val="3B9D177C"/>
    <w:rsid w:val="3BB6283D"/>
    <w:rsid w:val="3BC01EFC"/>
    <w:rsid w:val="3BCA786A"/>
    <w:rsid w:val="3BD31E2F"/>
    <w:rsid w:val="3BF15831"/>
    <w:rsid w:val="3C105946"/>
    <w:rsid w:val="3C471448"/>
    <w:rsid w:val="3C5F759A"/>
    <w:rsid w:val="3C6C525A"/>
    <w:rsid w:val="3CBF4D79"/>
    <w:rsid w:val="3CCE23CB"/>
    <w:rsid w:val="3CD17D17"/>
    <w:rsid w:val="3CD64F45"/>
    <w:rsid w:val="3CD94797"/>
    <w:rsid w:val="3CEB6517"/>
    <w:rsid w:val="3D001FC2"/>
    <w:rsid w:val="3D3C7F39"/>
    <w:rsid w:val="3D440F09"/>
    <w:rsid w:val="3D4504A0"/>
    <w:rsid w:val="3D7D2C1A"/>
    <w:rsid w:val="3D8734BB"/>
    <w:rsid w:val="3D9A11D4"/>
    <w:rsid w:val="3D9B260D"/>
    <w:rsid w:val="3D9D5A63"/>
    <w:rsid w:val="3D9E46E1"/>
    <w:rsid w:val="3DA16D89"/>
    <w:rsid w:val="3DA364BE"/>
    <w:rsid w:val="3DD551FD"/>
    <w:rsid w:val="3DE041CB"/>
    <w:rsid w:val="3DF067DF"/>
    <w:rsid w:val="3DF5764D"/>
    <w:rsid w:val="3E0D48F6"/>
    <w:rsid w:val="3E1868B4"/>
    <w:rsid w:val="3E377251"/>
    <w:rsid w:val="3E3B7A33"/>
    <w:rsid w:val="3E42664B"/>
    <w:rsid w:val="3E5A7334"/>
    <w:rsid w:val="3E7756FF"/>
    <w:rsid w:val="3E7B5D6B"/>
    <w:rsid w:val="3E843E66"/>
    <w:rsid w:val="3E8F51FE"/>
    <w:rsid w:val="3E926F87"/>
    <w:rsid w:val="3E9A59DE"/>
    <w:rsid w:val="3E9F7F53"/>
    <w:rsid w:val="3EAF4836"/>
    <w:rsid w:val="3EC33DFA"/>
    <w:rsid w:val="3EF21DDE"/>
    <w:rsid w:val="3F060E16"/>
    <w:rsid w:val="3F0D6C18"/>
    <w:rsid w:val="3F1D1096"/>
    <w:rsid w:val="3F2F0234"/>
    <w:rsid w:val="3F3A3A46"/>
    <w:rsid w:val="3F6363FE"/>
    <w:rsid w:val="3F6F51DD"/>
    <w:rsid w:val="3F756B8F"/>
    <w:rsid w:val="3F8C2233"/>
    <w:rsid w:val="3F95482B"/>
    <w:rsid w:val="3FAB6A81"/>
    <w:rsid w:val="3FAE3F57"/>
    <w:rsid w:val="3FFD0A3B"/>
    <w:rsid w:val="4019356B"/>
    <w:rsid w:val="404E5DB8"/>
    <w:rsid w:val="40592157"/>
    <w:rsid w:val="406E1CAE"/>
    <w:rsid w:val="40A0133A"/>
    <w:rsid w:val="40A1586A"/>
    <w:rsid w:val="40A92971"/>
    <w:rsid w:val="40BC08F6"/>
    <w:rsid w:val="40C31A53"/>
    <w:rsid w:val="40E67721"/>
    <w:rsid w:val="40FF545D"/>
    <w:rsid w:val="410067C8"/>
    <w:rsid w:val="417D4941"/>
    <w:rsid w:val="418F0D2A"/>
    <w:rsid w:val="41D01505"/>
    <w:rsid w:val="41D4549E"/>
    <w:rsid w:val="41DB4DAC"/>
    <w:rsid w:val="41E73751"/>
    <w:rsid w:val="41EF0857"/>
    <w:rsid w:val="41F64F05"/>
    <w:rsid w:val="41FF0A9A"/>
    <w:rsid w:val="42366486"/>
    <w:rsid w:val="423E74D3"/>
    <w:rsid w:val="42474939"/>
    <w:rsid w:val="424C3C57"/>
    <w:rsid w:val="42613FF3"/>
    <w:rsid w:val="42660D96"/>
    <w:rsid w:val="428667D2"/>
    <w:rsid w:val="42CD0B98"/>
    <w:rsid w:val="42CD1CE0"/>
    <w:rsid w:val="42DA32B5"/>
    <w:rsid w:val="42E1381E"/>
    <w:rsid w:val="42ED6459"/>
    <w:rsid w:val="42F00D2B"/>
    <w:rsid w:val="42FE58DD"/>
    <w:rsid w:val="43174B3D"/>
    <w:rsid w:val="43186E8C"/>
    <w:rsid w:val="433A3D54"/>
    <w:rsid w:val="434B790E"/>
    <w:rsid w:val="434C41B3"/>
    <w:rsid w:val="4360274F"/>
    <w:rsid w:val="438324EF"/>
    <w:rsid w:val="438A4CDB"/>
    <w:rsid w:val="43977AB6"/>
    <w:rsid w:val="43A3342B"/>
    <w:rsid w:val="43C77C27"/>
    <w:rsid w:val="43CB7BD4"/>
    <w:rsid w:val="43DE09EE"/>
    <w:rsid w:val="44002FAD"/>
    <w:rsid w:val="44056110"/>
    <w:rsid w:val="44184095"/>
    <w:rsid w:val="441D5B50"/>
    <w:rsid w:val="445A2900"/>
    <w:rsid w:val="446D39A8"/>
    <w:rsid w:val="449101DD"/>
    <w:rsid w:val="449D0A3E"/>
    <w:rsid w:val="44A26055"/>
    <w:rsid w:val="44C9538F"/>
    <w:rsid w:val="44DE1391"/>
    <w:rsid w:val="451B225C"/>
    <w:rsid w:val="452410C9"/>
    <w:rsid w:val="45317DFB"/>
    <w:rsid w:val="453B004E"/>
    <w:rsid w:val="455D7CE5"/>
    <w:rsid w:val="45611A6C"/>
    <w:rsid w:val="456D3CE4"/>
    <w:rsid w:val="4579042C"/>
    <w:rsid w:val="457F0571"/>
    <w:rsid w:val="45851176"/>
    <w:rsid w:val="45C049E4"/>
    <w:rsid w:val="45C63B94"/>
    <w:rsid w:val="45C94ACE"/>
    <w:rsid w:val="45E561F9"/>
    <w:rsid w:val="45F351C8"/>
    <w:rsid w:val="45F8417E"/>
    <w:rsid w:val="45FF375F"/>
    <w:rsid w:val="460E7DA5"/>
    <w:rsid w:val="4612132F"/>
    <w:rsid w:val="46383DC0"/>
    <w:rsid w:val="46401681"/>
    <w:rsid w:val="46422483"/>
    <w:rsid w:val="4659254A"/>
    <w:rsid w:val="465B0637"/>
    <w:rsid w:val="465E3F0D"/>
    <w:rsid w:val="46647A66"/>
    <w:rsid w:val="466A16E6"/>
    <w:rsid w:val="468847BD"/>
    <w:rsid w:val="46893F2B"/>
    <w:rsid w:val="46B03F3A"/>
    <w:rsid w:val="46BD6A71"/>
    <w:rsid w:val="46C4686E"/>
    <w:rsid w:val="46CB0D6C"/>
    <w:rsid w:val="46D36999"/>
    <w:rsid w:val="46D75EBB"/>
    <w:rsid w:val="4729356A"/>
    <w:rsid w:val="472F66E6"/>
    <w:rsid w:val="47596E5F"/>
    <w:rsid w:val="475A5397"/>
    <w:rsid w:val="477B778F"/>
    <w:rsid w:val="478203EC"/>
    <w:rsid w:val="478C7274"/>
    <w:rsid w:val="47A67C0A"/>
    <w:rsid w:val="47B025FA"/>
    <w:rsid w:val="47CD4764"/>
    <w:rsid w:val="47D13163"/>
    <w:rsid w:val="47D51E1F"/>
    <w:rsid w:val="47F210A1"/>
    <w:rsid w:val="48054931"/>
    <w:rsid w:val="4809698F"/>
    <w:rsid w:val="4811697D"/>
    <w:rsid w:val="48390A7E"/>
    <w:rsid w:val="486D028E"/>
    <w:rsid w:val="487A3E25"/>
    <w:rsid w:val="488B5503"/>
    <w:rsid w:val="48937E21"/>
    <w:rsid w:val="489A0361"/>
    <w:rsid w:val="48B94FF3"/>
    <w:rsid w:val="48C7608A"/>
    <w:rsid w:val="48E37AAB"/>
    <w:rsid w:val="48FD4B4C"/>
    <w:rsid w:val="490A68E0"/>
    <w:rsid w:val="491055FE"/>
    <w:rsid w:val="494616A5"/>
    <w:rsid w:val="495C3F30"/>
    <w:rsid w:val="495F5B3E"/>
    <w:rsid w:val="496F77D7"/>
    <w:rsid w:val="497654FD"/>
    <w:rsid w:val="49B64211"/>
    <w:rsid w:val="49DB3642"/>
    <w:rsid w:val="49E56AF9"/>
    <w:rsid w:val="49F6167F"/>
    <w:rsid w:val="4A064FA0"/>
    <w:rsid w:val="4A070A2A"/>
    <w:rsid w:val="4A16615C"/>
    <w:rsid w:val="4A3459A1"/>
    <w:rsid w:val="4A3634C7"/>
    <w:rsid w:val="4A4424D7"/>
    <w:rsid w:val="4AB82D0F"/>
    <w:rsid w:val="4AC7411F"/>
    <w:rsid w:val="4AE178D7"/>
    <w:rsid w:val="4AE46639"/>
    <w:rsid w:val="4AEB7664"/>
    <w:rsid w:val="4AFD7C19"/>
    <w:rsid w:val="4B0567D1"/>
    <w:rsid w:val="4B104882"/>
    <w:rsid w:val="4B217CD3"/>
    <w:rsid w:val="4B236AAE"/>
    <w:rsid w:val="4B2A2CEA"/>
    <w:rsid w:val="4B527DC0"/>
    <w:rsid w:val="4B5B012F"/>
    <w:rsid w:val="4B5D2CD5"/>
    <w:rsid w:val="4B707271"/>
    <w:rsid w:val="4B904E59"/>
    <w:rsid w:val="4B9739F7"/>
    <w:rsid w:val="4BC15012"/>
    <w:rsid w:val="4BDF36EB"/>
    <w:rsid w:val="4BE156B5"/>
    <w:rsid w:val="4BEE2503"/>
    <w:rsid w:val="4C245A30"/>
    <w:rsid w:val="4C306BE3"/>
    <w:rsid w:val="4C6708A4"/>
    <w:rsid w:val="4C87625C"/>
    <w:rsid w:val="4C942B6D"/>
    <w:rsid w:val="4CB6685F"/>
    <w:rsid w:val="4CC367FE"/>
    <w:rsid w:val="4CCC1EC1"/>
    <w:rsid w:val="4D077F3C"/>
    <w:rsid w:val="4D123355"/>
    <w:rsid w:val="4D1250CB"/>
    <w:rsid w:val="4D203439"/>
    <w:rsid w:val="4D2A3B31"/>
    <w:rsid w:val="4D312C52"/>
    <w:rsid w:val="4D4B57E6"/>
    <w:rsid w:val="4D732821"/>
    <w:rsid w:val="4D905305"/>
    <w:rsid w:val="4D964A72"/>
    <w:rsid w:val="4D9C1254"/>
    <w:rsid w:val="4DFA1EA9"/>
    <w:rsid w:val="4E6E6DB5"/>
    <w:rsid w:val="4E793892"/>
    <w:rsid w:val="4E800872"/>
    <w:rsid w:val="4E832A53"/>
    <w:rsid w:val="4EC569ED"/>
    <w:rsid w:val="4ED50EA1"/>
    <w:rsid w:val="4EEC050C"/>
    <w:rsid w:val="4EF86F9D"/>
    <w:rsid w:val="4F104EC3"/>
    <w:rsid w:val="4F4254E9"/>
    <w:rsid w:val="4F47354A"/>
    <w:rsid w:val="4F5A7C58"/>
    <w:rsid w:val="4F911C54"/>
    <w:rsid w:val="4FBB03E3"/>
    <w:rsid w:val="4FC11A85"/>
    <w:rsid w:val="4FD25A40"/>
    <w:rsid w:val="4FE625E0"/>
    <w:rsid w:val="4FF17811"/>
    <w:rsid w:val="5021480F"/>
    <w:rsid w:val="503979C4"/>
    <w:rsid w:val="504D50C7"/>
    <w:rsid w:val="50962ECB"/>
    <w:rsid w:val="509C1E94"/>
    <w:rsid w:val="50A42E38"/>
    <w:rsid w:val="50A4577F"/>
    <w:rsid w:val="50B73D1F"/>
    <w:rsid w:val="50BD5BC9"/>
    <w:rsid w:val="50C11EEE"/>
    <w:rsid w:val="50C85164"/>
    <w:rsid w:val="50CA2BBB"/>
    <w:rsid w:val="50DB0907"/>
    <w:rsid w:val="50E97CFC"/>
    <w:rsid w:val="50FA4028"/>
    <w:rsid w:val="510D65B7"/>
    <w:rsid w:val="511157AB"/>
    <w:rsid w:val="51286AC3"/>
    <w:rsid w:val="5139389D"/>
    <w:rsid w:val="5142540C"/>
    <w:rsid w:val="5150612E"/>
    <w:rsid w:val="518832C8"/>
    <w:rsid w:val="519D3C50"/>
    <w:rsid w:val="51A0391C"/>
    <w:rsid w:val="51A0432A"/>
    <w:rsid w:val="51A86090"/>
    <w:rsid w:val="51B7396D"/>
    <w:rsid w:val="51DA0BDC"/>
    <w:rsid w:val="51FF6894"/>
    <w:rsid w:val="522E4CC3"/>
    <w:rsid w:val="524349D3"/>
    <w:rsid w:val="5244713B"/>
    <w:rsid w:val="525A0D5F"/>
    <w:rsid w:val="52615633"/>
    <w:rsid w:val="526F4DE4"/>
    <w:rsid w:val="528E1C15"/>
    <w:rsid w:val="52977FD4"/>
    <w:rsid w:val="529E1C09"/>
    <w:rsid w:val="529E7E5B"/>
    <w:rsid w:val="52A25790"/>
    <w:rsid w:val="52A5743C"/>
    <w:rsid w:val="52A96B6F"/>
    <w:rsid w:val="52B45975"/>
    <w:rsid w:val="52D91BA4"/>
    <w:rsid w:val="52D94AA4"/>
    <w:rsid w:val="52DB4C0C"/>
    <w:rsid w:val="52EA3A62"/>
    <w:rsid w:val="52F50BB8"/>
    <w:rsid w:val="53097272"/>
    <w:rsid w:val="53544462"/>
    <w:rsid w:val="53590226"/>
    <w:rsid w:val="53784B50"/>
    <w:rsid w:val="53933738"/>
    <w:rsid w:val="5397158E"/>
    <w:rsid w:val="53AE2320"/>
    <w:rsid w:val="53C35BA2"/>
    <w:rsid w:val="53C47D96"/>
    <w:rsid w:val="53F51CFD"/>
    <w:rsid w:val="54013861"/>
    <w:rsid w:val="542F72A2"/>
    <w:rsid w:val="5438608E"/>
    <w:rsid w:val="54487265"/>
    <w:rsid w:val="544D6070"/>
    <w:rsid w:val="54605E1E"/>
    <w:rsid w:val="549A28A4"/>
    <w:rsid w:val="54B3506A"/>
    <w:rsid w:val="54CA0D16"/>
    <w:rsid w:val="54DD4057"/>
    <w:rsid w:val="54E7490F"/>
    <w:rsid w:val="550764A4"/>
    <w:rsid w:val="550B2BF6"/>
    <w:rsid w:val="550C1C87"/>
    <w:rsid w:val="551509A8"/>
    <w:rsid w:val="55197C6D"/>
    <w:rsid w:val="551A0690"/>
    <w:rsid w:val="55214EB5"/>
    <w:rsid w:val="55364EFD"/>
    <w:rsid w:val="555313D1"/>
    <w:rsid w:val="555D4828"/>
    <w:rsid w:val="557A4C8B"/>
    <w:rsid w:val="55841B69"/>
    <w:rsid w:val="558931E1"/>
    <w:rsid w:val="55923347"/>
    <w:rsid w:val="55925180"/>
    <w:rsid w:val="55983B1B"/>
    <w:rsid w:val="55A20145"/>
    <w:rsid w:val="55A8376B"/>
    <w:rsid w:val="55D50038"/>
    <w:rsid w:val="55DC29B6"/>
    <w:rsid w:val="55DD4241"/>
    <w:rsid w:val="55F81F79"/>
    <w:rsid w:val="560C3207"/>
    <w:rsid w:val="566B6D1E"/>
    <w:rsid w:val="568832FC"/>
    <w:rsid w:val="56BC6B02"/>
    <w:rsid w:val="56D95906"/>
    <w:rsid w:val="57032A2C"/>
    <w:rsid w:val="570B1838"/>
    <w:rsid w:val="570F5219"/>
    <w:rsid w:val="57325016"/>
    <w:rsid w:val="573A62BB"/>
    <w:rsid w:val="575D12B5"/>
    <w:rsid w:val="57610A87"/>
    <w:rsid w:val="577B1140"/>
    <w:rsid w:val="577B7F21"/>
    <w:rsid w:val="577F181B"/>
    <w:rsid w:val="57921984"/>
    <w:rsid w:val="579737F0"/>
    <w:rsid w:val="57AB7B30"/>
    <w:rsid w:val="57AF5251"/>
    <w:rsid w:val="57B26373"/>
    <w:rsid w:val="57B63F04"/>
    <w:rsid w:val="57BE68AA"/>
    <w:rsid w:val="57CD20C2"/>
    <w:rsid w:val="57D675AB"/>
    <w:rsid w:val="57D95FDD"/>
    <w:rsid w:val="581D5CC6"/>
    <w:rsid w:val="583D3C73"/>
    <w:rsid w:val="58490869"/>
    <w:rsid w:val="5886561A"/>
    <w:rsid w:val="58917D2F"/>
    <w:rsid w:val="5894085C"/>
    <w:rsid w:val="589D2963"/>
    <w:rsid w:val="58AE4F0C"/>
    <w:rsid w:val="58B85899"/>
    <w:rsid w:val="58E363A9"/>
    <w:rsid w:val="58F46A27"/>
    <w:rsid w:val="59162E41"/>
    <w:rsid w:val="595E1678"/>
    <w:rsid w:val="596D5BD4"/>
    <w:rsid w:val="597E3DD8"/>
    <w:rsid w:val="598649EC"/>
    <w:rsid w:val="59A1611D"/>
    <w:rsid w:val="59B60C1C"/>
    <w:rsid w:val="59C06909"/>
    <w:rsid w:val="59D800F7"/>
    <w:rsid w:val="59DD395F"/>
    <w:rsid w:val="59E074F3"/>
    <w:rsid w:val="59E720E8"/>
    <w:rsid w:val="59F80043"/>
    <w:rsid w:val="5A09252F"/>
    <w:rsid w:val="5A0B2778"/>
    <w:rsid w:val="5A2A7C7B"/>
    <w:rsid w:val="5A3E2560"/>
    <w:rsid w:val="5A47527D"/>
    <w:rsid w:val="5A5D3B6E"/>
    <w:rsid w:val="5A637A76"/>
    <w:rsid w:val="5A6D33BA"/>
    <w:rsid w:val="5A792B1F"/>
    <w:rsid w:val="5A867B53"/>
    <w:rsid w:val="5A874767"/>
    <w:rsid w:val="5AA85BE2"/>
    <w:rsid w:val="5AAD6F28"/>
    <w:rsid w:val="5AC440BC"/>
    <w:rsid w:val="5AD63A24"/>
    <w:rsid w:val="5B2E1A1D"/>
    <w:rsid w:val="5B7200D7"/>
    <w:rsid w:val="5B7A6F8C"/>
    <w:rsid w:val="5B843A1C"/>
    <w:rsid w:val="5B873E3F"/>
    <w:rsid w:val="5B8B6761"/>
    <w:rsid w:val="5B9E0ECC"/>
    <w:rsid w:val="5C02690E"/>
    <w:rsid w:val="5C196DA7"/>
    <w:rsid w:val="5C2A048C"/>
    <w:rsid w:val="5C80234E"/>
    <w:rsid w:val="5C8A680C"/>
    <w:rsid w:val="5CBA16BC"/>
    <w:rsid w:val="5D0C4701"/>
    <w:rsid w:val="5D0F0395"/>
    <w:rsid w:val="5D221076"/>
    <w:rsid w:val="5D235B2D"/>
    <w:rsid w:val="5D303394"/>
    <w:rsid w:val="5D397964"/>
    <w:rsid w:val="5D3B14AC"/>
    <w:rsid w:val="5D403159"/>
    <w:rsid w:val="5D4B5084"/>
    <w:rsid w:val="5D5A391C"/>
    <w:rsid w:val="5D5F10C0"/>
    <w:rsid w:val="5D641CA2"/>
    <w:rsid w:val="5D891B7B"/>
    <w:rsid w:val="5D9E51B4"/>
    <w:rsid w:val="5DAD38EE"/>
    <w:rsid w:val="5DC56BE4"/>
    <w:rsid w:val="5DE352BC"/>
    <w:rsid w:val="5E006862"/>
    <w:rsid w:val="5E0207B9"/>
    <w:rsid w:val="5E122D21"/>
    <w:rsid w:val="5E1834A1"/>
    <w:rsid w:val="5E203E1A"/>
    <w:rsid w:val="5E261785"/>
    <w:rsid w:val="5E437C6C"/>
    <w:rsid w:val="5E4A7017"/>
    <w:rsid w:val="5E4C2504"/>
    <w:rsid w:val="5E552BBA"/>
    <w:rsid w:val="5E611C10"/>
    <w:rsid w:val="5E7A0F3F"/>
    <w:rsid w:val="5E93283E"/>
    <w:rsid w:val="5EB34C8F"/>
    <w:rsid w:val="5ED61141"/>
    <w:rsid w:val="5ED903A7"/>
    <w:rsid w:val="5EFC7377"/>
    <w:rsid w:val="5F06174D"/>
    <w:rsid w:val="5F3A3602"/>
    <w:rsid w:val="5F45733B"/>
    <w:rsid w:val="5F6277C6"/>
    <w:rsid w:val="5F6D0B1D"/>
    <w:rsid w:val="5F772160"/>
    <w:rsid w:val="5F776A62"/>
    <w:rsid w:val="5F8B1768"/>
    <w:rsid w:val="5F8D0B82"/>
    <w:rsid w:val="5FCC5339"/>
    <w:rsid w:val="5FDC0215"/>
    <w:rsid w:val="5FE34A5B"/>
    <w:rsid w:val="5FFE1E36"/>
    <w:rsid w:val="601156CE"/>
    <w:rsid w:val="601B2AEB"/>
    <w:rsid w:val="601F4CDA"/>
    <w:rsid w:val="60232584"/>
    <w:rsid w:val="606E5E7E"/>
    <w:rsid w:val="607330CE"/>
    <w:rsid w:val="60825176"/>
    <w:rsid w:val="609603C4"/>
    <w:rsid w:val="609F2AC4"/>
    <w:rsid w:val="60D94755"/>
    <w:rsid w:val="60EF6D4F"/>
    <w:rsid w:val="60FA2EE8"/>
    <w:rsid w:val="61023CAB"/>
    <w:rsid w:val="61054A27"/>
    <w:rsid w:val="610A52BC"/>
    <w:rsid w:val="611D2366"/>
    <w:rsid w:val="6138591F"/>
    <w:rsid w:val="614147D4"/>
    <w:rsid w:val="61421856"/>
    <w:rsid w:val="615227C4"/>
    <w:rsid w:val="616363F5"/>
    <w:rsid w:val="61654E3F"/>
    <w:rsid w:val="616D381B"/>
    <w:rsid w:val="617858AB"/>
    <w:rsid w:val="6182292A"/>
    <w:rsid w:val="6192301D"/>
    <w:rsid w:val="619F7F92"/>
    <w:rsid w:val="61F94C26"/>
    <w:rsid w:val="62000E56"/>
    <w:rsid w:val="621C4AE9"/>
    <w:rsid w:val="62483940"/>
    <w:rsid w:val="624C55AC"/>
    <w:rsid w:val="624F3E49"/>
    <w:rsid w:val="62632286"/>
    <w:rsid w:val="627604AD"/>
    <w:rsid w:val="62885958"/>
    <w:rsid w:val="62945C1A"/>
    <w:rsid w:val="62A0552A"/>
    <w:rsid w:val="62A36BDB"/>
    <w:rsid w:val="62B03E47"/>
    <w:rsid w:val="62E23D94"/>
    <w:rsid w:val="62F40B65"/>
    <w:rsid w:val="62FC2CFE"/>
    <w:rsid w:val="63024505"/>
    <w:rsid w:val="63147CC6"/>
    <w:rsid w:val="63402869"/>
    <w:rsid w:val="63405B21"/>
    <w:rsid w:val="63554566"/>
    <w:rsid w:val="635600A5"/>
    <w:rsid w:val="635B1DB5"/>
    <w:rsid w:val="63711FED"/>
    <w:rsid w:val="63880DDC"/>
    <w:rsid w:val="638D750D"/>
    <w:rsid w:val="63911317"/>
    <w:rsid w:val="63AC6CC0"/>
    <w:rsid w:val="63BE37AC"/>
    <w:rsid w:val="63FB5490"/>
    <w:rsid w:val="64055776"/>
    <w:rsid w:val="641307EF"/>
    <w:rsid w:val="64240056"/>
    <w:rsid w:val="643E143A"/>
    <w:rsid w:val="64491666"/>
    <w:rsid w:val="646D65C4"/>
    <w:rsid w:val="64790728"/>
    <w:rsid w:val="648B6EEF"/>
    <w:rsid w:val="64C00105"/>
    <w:rsid w:val="64C158BF"/>
    <w:rsid w:val="64CE2EAA"/>
    <w:rsid w:val="64D70FAB"/>
    <w:rsid w:val="64E97BA7"/>
    <w:rsid w:val="64F25DE5"/>
    <w:rsid w:val="651D40C8"/>
    <w:rsid w:val="652156BD"/>
    <w:rsid w:val="653C3090"/>
    <w:rsid w:val="65854376"/>
    <w:rsid w:val="658767BE"/>
    <w:rsid w:val="65892531"/>
    <w:rsid w:val="65AB66C0"/>
    <w:rsid w:val="65BC08CD"/>
    <w:rsid w:val="65CB5859"/>
    <w:rsid w:val="65F20792"/>
    <w:rsid w:val="661828FB"/>
    <w:rsid w:val="66195831"/>
    <w:rsid w:val="662E75B1"/>
    <w:rsid w:val="66342C2E"/>
    <w:rsid w:val="663E784C"/>
    <w:rsid w:val="664663E8"/>
    <w:rsid w:val="66522FDF"/>
    <w:rsid w:val="668B6A45"/>
    <w:rsid w:val="66925AD1"/>
    <w:rsid w:val="67011F07"/>
    <w:rsid w:val="670D6F06"/>
    <w:rsid w:val="671D539B"/>
    <w:rsid w:val="672C5A47"/>
    <w:rsid w:val="672F3F24"/>
    <w:rsid w:val="673E055F"/>
    <w:rsid w:val="67472418"/>
    <w:rsid w:val="674746CA"/>
    <w:rsid w:val="674D37A6"/>
    <w:rsid w:val="67551CE3"/>
    <w:rsid w:val="676E3E49"/>
    <w:rsid w:val="67755B92"/>
    <w:rsid w:val="67780823"/>
    <w:rsid w:val="67A22552"/>
    <w:rsid w:val="67A755AC"/>
    <w:rsid w:val="67B22DCC"/>
    <w:rsid w:val="67BE71AA"/>
    <w:rsid w:val="67D90273"/>
    <w:rsid w:val="67DE5875"/>
    <w:rsid w:val="67E55852"/>
    <w:rsid w:val="67EB1AB4"/>
    <w:rsid w:val="67F26828"/>
    <w:rsid w:val="67FA1285"/>
    <w:rsid w:val="684E5A28"/>
    <w:rsid w:val="68550B65"/>
    <w:rsid w:val="68551F4F"/>
    <w:rsid w:val="68703BF0"/>
    <w:rsid w:val="687C10C9"/>
    <w:rsid w:val="68840C16"/>
    <w:rsid w:val="6884144A"/>
    <w:rsid w:val="68872541"/>
    <w:rsid w:val="68876EFB"/>
    <w:rsid w:val="68884654"/>
    <w:rsid w:val="689E368E"/>
    <w:rsid w:val="689F444F"/>
    <w:rsid w:val="68B96DBB"/>
    <w:rsid w:val="68CA2805"/>
    <w:rsid w:val="68DC3034"/>
    <w:rsid w:val="68E937A3"/>
    <w:rsid w:val="68F14D31"/>
    <w:rsid w:val="69015F94"/>
    <w:rsid w:val="6905258B"/>
    <w:rsid w:val="691664E5"/>
    <w:rsid w:val="69344C1E"/>
    <w:rsid w:val="693E15D3"/>
    <w:rsid w:val="6949691B"/>
    <w:rsid w:val="694F1A58"/>
    <w:rsid w:val="69627681"/>
    <w:rsid w:val="6977531D"/>
    <w:rsid w:val="697D0373"/>
    <w:rsid w:val="698A2A90"/>
    <w:rsid w:val="699B2EEF"/>
    <w:rsid w:val="69CC2BFF"/>
    <w:rsid w:val="69DD72DF"/>
    <w:rsid w:val="69FD55B8"/>
    <w:rsid w:val="6A0B1C62"/>
    <w:rsid w:val="6A2406C8"/>
    <w:rsid w:val="6A2E3D63"/>
    <w:rsid w:val="6A386990"/>
    <w:rsid w:val="6A876FCF"/>
    <w:rsid w:val="6A8B2F63"/>
    <w:rsid w:val="6A9E67F3"/>
    <w:rsid w:val="6ABF49BB"/>
    <w:rsid w:val="6AC7109A"/>
    <w:rsid w:val="6AD55F8D"/>
    <w:rsid w:val="6ADE0BD1"/>
    <w:rsid w:val="6AE96859"/>
    <w:rsid w:val="6B013226"/>
    <w:rsid w:val="6B147746"/>
    <w:rsid w:val="6B234F4A"/>
    <w:rsid w:val="6B24787C"/>
    <w:rsid w:val="6B2D401B"/>
    <w:rsid w:val="6B32518D"/>
    <w:rsid w:val="6B480E55"/>
    <w:rsid w:val="6B513865"/>
    <w:rsid w:val="6B573233"/>
    <w:rsid w:val="6B5B6274"/>
    <w:rsid w:val="6B935D53"/>
    <w:rsid w:val="6BA918F3"/>
    <w:rsid w:val="6BB107A8"/>
    <w:rsid w:val="6BD76E4B"/>
    <w:rsid w:val="6BDB1F66"/>
    <w:rsid w:val="6BE24E05"/>
    <w:rsid w:val="6C00395A"/>
    <w:rsid w:val="6C022EB6"/>
    <w:rsid w:val="6C196F71"/>
    <w:rsid w:val="6C226FCB"/>
    <w:rsid w:val="6C31226F"/>
    <w:rsid w:val="6C496C32"/>
    <w:rsid w:val="6C552F0B"/>
    <w:rsid w:val="6C67530A"/>
    <w:rsid w:val="6C7D068A"/>
    <w:rsid w:val="6C8C67B7"/>
    <w:rsid w:val="6C9D744C"/>
    <w:rsid w:val="6CCE7137"/>
    <w:rsid w:val="6CD96208"/>
    <w:rsid w:val="6CE05D4C"/>
    <w:rsid w:val="6CE801F9"/>
    <w:rsid w:val="6CE8644B"/>
    <w:rsid w:val="6CF43042"/>
    <w:rsid w:val="6D06656D"/>
    <w:rsid w:val="6D0A4613"/>
    <w:rsid w:val="6D167928"/>
    <w:rsid w:val="6D26299B"/>
    <w:rsid w:val="6D4772EC"/>
    <w:rsid w:val="6D5F569F"/>
    <w:rsid w:val="6D617FAC"/>
    <w:rsid w:val="6D9078AF"/>
    <w:rsid w:val="6DA947E3"/>
    <w:rsid w:val="6DAA3FEF"/>
    <w:rsid w:val="6DC0172B"/>
    <w:rsid w:val="6DC249BF"/>
    <w:rsid w:val="6DCB690C"/>
    <w:rsid w:val="6DD41A5B"/>
    <w:rsid w:val="6DDC6986"/>
    <w:rsid w:val="6DF43C2E"/>
    <w:rsid w:val="6DF51CA3"/>
    <w:rsid w:val="6E775CD9"/>
    <w:rsid w:val="6E8335BD"/>
    <w:rsid w:val="6E8E12EF"/>
    <w:rsid w:val="6E972936"/>
    <w:rsid w:val="6EC9405A"/>
    <w:rsid w:val="6ED32C7F"/>
    <w:rsid w:val="6ED446C5"/>
    <w:rsid w:val="6F06705D"/>
    <w:rsid w:val="6F1E7F02"/>
    <w:rsid w:val="6F2A7D94"/>
    <w:rsid w:val="6F3C2A7E"/>
    <w:rsid w:val="6F8331F1"/>
    <w:rsid w:val="6F8B7727"/>
    <w:rsid w:val="6F977CB5"/>
    <w:rsid w:val="6FAE1A09"/>
    <w:rsid w:val="6FD75BF8"/>
    <w:rsid w:val="6FDF4370"/>
    <w:rsid w:val="7020414E"/>
    <w:rsid w:val="704B4683"/>
    <w:rsid w:val="707723D0"/>
    <w:rsid w:val="70814BED"/>
    <w:rsid w:val="70DC1E23"/>
    <w:rsid w:val="70E84C6C"/>
    <w:rsid w:val="70F5661B"/>
    <w:rsid w:val="70FA04FB"/>
    <w:rsid w:val="70FF1A7E"/>
    <w:rsid w:val="71357785"/>
    <w:rsid w:val="71360107"/>
    <w:rsid w:val="713B688E"/>
    <w:rsid w:val="71777D9E"/>
    <w:rsid w:val="71791D68"/>
    <w:rsid w:val="717C53B4"/>
    <w:rsid w:val="71A87F57"/>
    <w:rsid w:val="71C823A7"/>
    <w:rsid w:val="71D43752"/>
    <w:rsid w:val="71D76A8E"/>
    <w:rsid w:val="71ED1C78"/>
    <w:rsid w:val="71F1796A"/>
    <w:rsid w:val="71F94C57"/>
    <w:rsid w:val="72086C48"/>
    <w:rsid w:val="720A6E64"/>
    <w:rsid w:val="72154626"/>
    <w:rsid w:val="72262B5D"/>
    <w:rsid w:val="72282783"/>
    <w:rsid w:val="72283FF7"/>
    <w:rsid w:val="722E7212"/>
    <w:rsid w:val="72361A07"/>
    <w:rsid w:val="723A0474"/>
    <w:rsid w:val="725923E4"/>
    <w:rsid w:val="727D5888"/>
    <w:rsid w:val="72864BF7"/>
    <w:rsid w:val="729023FC"/>
    <w:rsid w:val="72E41463"/>
    <w:rsid w:val="732B52E4"/>
    <w:rsid w:val="734F7436"/>
    <w:rsid w:val="73AD33A8"/>
    <w:rsid w:val="73C0646E"/>
    <w:rsid w:val="73DB1B03"/>
    <w:rsid w:val="742222F5"/>
    <w:rsid w:val="74237D69"/>
    <w:rsid w:val="74251D33"/>
    <w:rsid w:val="74476126"/>
    <w:rsid w:val="74706664"/>
    <w:rsid w:val="7476433D"/>
    <w:rsid w:val="747F3682"/>
    <w:rsid w:val="7499002B"/>
    <w:rsid w:val="749C4185"/>
    <w:rsid w:val="74AC5FB0"/>
    <w:rsid w:val="74CA6436"/>
    <w:rsid w:val="74CB0B2C"/>
    <w:rsid w:val="75067759"/>
    <w:rsid w:val="752E6DCD"/>
    <w:rsid w:val="7551380D"/>
    <w:rsid w:val="75600BE5"/>
    <w:rsid w:val="7564475C"/>
    <w:rsid w:val="7571186A"/>
    <w:rsid w:val="7583797F"/>
    <w:rsid w:val="758B02BC"/>
    <w:rsid w:val="75954C96"/>
    <w:rsid w:val="75AD3537"/>
    <w:rsid w:val="75B01AD0"/>
    <w:rsid w:val="75D20F1D"/>
    <w:rsid w:val="75DA2C18"/>
    <w:rsid w:val="75DE432F"/>
    <w:rsid w:val="75F54412"/>
    <w:rsid w:val="761C0247"/>
    <w:rsid w:val="761D08E0"/>
    <w:rsid w:val="765D347C"/>
    <w:rsid w:val="76740D50"/>
    <w:rsid w:val="76826699"/>
    <w:rsid w:val="76AF6C28"/>
    <w:rsid w:val="76C87133"/>
    <w:rsid w:val="76CD08D5"/>
    <w:rsid w:val="76DB4B92"/>
    <w:rsid w:val="76E304E4"/>
    <w:rsid w:val="76F93003"/>
    <w:rsid w:val="76FD013A"/>
    <w:rsid w:val="77052AA4"/>
    <w:rsid w:val="770C2D36"/>
    <w:rsid w:val="77136511"/>
    <w:rsid w:val="77277B70"/>
    <w:rsid w:val="77340A39"/>
    <w:rsid w:val="77351FD0"/>
    <w:rsid w:val="774150D6"/>
    <w:rsid w:val="77472422"/>
    <w:rsid w:val="775B5A6C"/>
    <w:rsid w:val="777F31F2"/>
    <w:rsid w:val="778577E7"/>
    <w:rsid w:val="779411FC"/>
    <w:rsid w:val="779C67B0"/>
    <w:rsid w:val="77D1700D"/>
    <w:rsid w:val="77EB5041"/>
    <w:rsid w:val="77EC04CC"/>
    <w:rsid w:val="77F14F16"/>
    <w:rsid w:val="77F9775E"/>
    <w:rsid w:val="78105495"/>
    <w:rsid w:val="781E0F73"/>
    <w:rsid w:val="78524A0B"/>
    <w:rsid w:val="78775729"/>
    <w:rsid w:val="788F1E71"/>
    <w:rsid w:val="78A23952"/>
    <w:rsid w:val="78A42DB0"/>
    <w:rsid w:val="78A656AB"/>
    <w:rsid w:val="78B2245C"/>
    <w:rsid w:val="78B6564F"/>
    <w:rsid w:val="78D85A86"/>
    <w:rsid w:val="78E172CC"/>
    <w:rsid w:val="78EA1D1F"/>
    <w:rsid w:val="7904172F"/>
    <w:rsid w:val="790F7E27"/>
    <w:rsid w:val="791B1956"/>
    <w:rsid w:val="7924755B"/>
    <w:rsid w:val="792A231A"/>
    <w:rsid w:val="79316829"/>
    <w:rsid w:val="797E66A9"/>
    <w:rsid w:val="798518A4"/>
    <w:rsid w:val="79A97383"/>
    <w:rsid w:val="79B134C8"/>
    <w:rsid w:val="79E27E8B"/>
    <w:rsid w:val="79F850CE"/>
    <w:rsid w:val="79FD443C"/>
    <w:rsid w:val="7A1D1975"/>
    <w:rsid w:val="7A3902E6"/>
    <w:rsid w:val="7A3C7DD6"/>
    <w:rsid w:val="7A3D7C0F"/>
    <w:rsid w:val="7A3E5150"/>
    <w:rsid w:val="7A4670D6"/>
    <w:rsid w:val="7A534B63"/>
    <w:rsid w:val="7A5A1EF7"/>
    <w:rsid w:val="7A615382"/>
    <w:rsid w:val="7A67303B"/>
    <w:rsid w:val="7AAB1D04"/>
    <w:rsid w:val="7ABA4368"/>
    <w:rsid w:val="7ACA53E2"/>
    <w:rsid w:val="7AD05746"/>
    <w:rsid w:val="7B000E04"/>
    <w:rsid w:val="7B0C77A9"/>
    <w:rsid w:val="7B257FFD"/>
    <w:rsid w:val="7B273D20"/>
    <w:rsid w:val="7B343476"/>
    <w:rsid w:val="7B387EF0"/>
    <w:rsid w:val="7B4F58E7"/>
    <w:rsid w:val="7B5A2978"/>
    <w:rsid w:val="7B5A7E4C"/>
    <w:rsid w:val="7B667AF9"/>
    <w:rsid w:val="7B7468F8"/>
    <w:rsid w:val="7BB4551B"/>
    <w:rsid w:val="7BD202D1"/>
    <w:rsid w:val="7BEE0103"/>
    <w:rsid w:val="7C0A0FE4"/>
    <w:rsid w:val="7C0F2859"/>
    <w:rsid w:val="7C254906"/>
    <w:rsid w:val="7C26489A"/>
    <w:rsid w:val="7C590818"/>
    <w:rsid w:val="7C7C10F6"/>
    <w:rsid w:val="7C7D69DB"/>
    <w:rsid w:val="7C853BEA"/>
    <w:rsid w:val="7C881368"/>
    <w:rsid w:val="7C8A307B"/>
    <w:rsid w:val="7CAA1027"/>
    <w:rsid w:val="7CC049B0"/>
    <w:rsid w:val="7CC846E8"/>
    <w:rsid w:val="7CE01DE2"/>
    <w:rsid w:val="7CE27788"/>
    <w:rsid w:val="7CEF1130"/>
    <w:rsid w:val="7D0C32F1"/>
    <w:rsid w:val="7D0F408D"/>
    <w:rsid w:val="7D2863F0"/>
    <w:rsid w:val="7D491C6C"/>
    <w:rsid w:val="7D4F6126"/>
    <w:rsid w:val="7D5429C0"/>
    <w:rsid w:val="7D5479B5"/>
    <w:rsid w:val="7D67516A"/>
    <w:rsid w:val="7D6E6D43"/>
    <w:rsid w:val="7D9677FD"/>
    <w:rsid w:val="7DB57A34"/>
    <w:rsid w:val="7DE60973"/>
    <w:rsid w:val="7DEF0916"/>
    <w:rsid w:val="7DEF1796"/>
    <w:rsid w:val="7E1E5218"/>
    <w:rsid w:val="7E1F77F3"/>
    <w:rsid w:val="7E3679B2"/>
    <w:rsid w:val="7E783C06"/>
    <w:rsid w:val="7E9A4E1F"/>
    <w:rsid w:val="7EA7723A"/>
    <w:rsid w:val="7EBC7738"/>
    <w:rsid w:val="7ECB164E"/>
    <w:rsid w:val="7EE54599"/>
    <w:rsid w:val="7EF56FBB"/>
    <w:rsid w:val="7F01508A"/>
    <w:rsid w:val="7F0768EB"/>
    <w:rsid w:val="7F143BEC"/>
    <w:rsid w:val="7F151213"/>
    <w:rsid w:val="7F2A28F3"/>
    <w:rsid w:val="7F376DBE"/>
    <w:rsid w:val="7F3A092F"/>
    <w:rsid w:val="7F4E65E2"/>
    <w:rsid w:val="7F65392B"/>
    <w:rsid w:val="7F663D79"/>
    <w:rsid w:val="7F6A2CF0"/>
    <w:rsid w:val="7F715AF2"/>
    <w:rsid w:val="7F792F33"/>
    <w:rsid w:val="7F7E2FBE"/>
    <w:rsid w:val="7F8000D8"/>
    <w:rsid w:val="7F8703D2"/>
    <w:rsid w:val="7F886E69"/>
    <w:rsid w:val="7F890785"/>
    <w:rsid w:val="7F98785D"/>
    <w:rsid w:val="7F9E5D40"/>
    <w:rsid w:val="7FA75CF2"/>
    <w:rsid w:val="7FAE7080"/>
    <w:rsid w:val="7FBB79EF"/>
    <w:rsid w:val="7FE45B22"/>
    <w:rsid w:val="7FEA3E31"/>
    <w:rsid w:val="7FED08D2"/>
    <w:rsid w:val="9BBB64BB"/>
    <w:rsid w:val="ADEF42D1"/>
    <w:rsid w:val="BB7FA927"/>
    <w:rsid w:val="DBA76B67"/>
    <w:rsid w:val="DD8F6221"/>
    <w:rsid w:val="F5FFD31F"/>
    <w:rsid w:val="FC76D2DB"/>
    <w:rsid w:val="FDEDEF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UserStyle_0"/>
    <w:autoRedefine/>
    <w:qFormat/>
    <w:uiPriority w:val="0"/>
    <w:pPr>
      <w:textAlignment w:val="baseline"/>
    </w:pPr>
    <w:rPr>
      <w:rFonts w:ascii="Arial" w:hAnsi="Arial" w:eastAsia="宋体" w:cs="Times New Roman"/>
      <w:color w:val="000000"/>
      <w:sz w:val="24"/>
      <w:szCs w:val="24"/>
      <w:lang w:val="en-US" w:eastAsia="zh-CN" w:bidi="ar-SA"/>
    </w:rPr>
  </w:style>
  <w:style w:type="paragraph" w:styleId="6">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w:basedOn w:val="24"/>
    <w:next w:val="51"/>
    <w:link w:val="321"/>
    <w:autoRedefine/>
    <w:qFormat/>
    <w:uiPriority w:val="0"/>
    <w:pPr>
      <w:ind w:firstLine="420"/>
    </w:pPr>
    <w:rPr>
      <w:rFonts w:hAnsi="Calibri" w:cs="Times New Roman"/>
      <w:snapToGrid/>
      <w:szCs w:val="20"/>
    </w:rPr>
  </w:style>
  <w:style w:type="paragraph" w:styleId="62">
    <w:name w:val="Body Text First Indent 2"/>
    <w:basedOn w:val="25"/>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basedOn w:val="70"/>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autoRedefine/>
    <w:unhideWhenUsed/>
    <w:qFormat/>
    <w:uiPriority w:val="0"/>
    <w:tblPr>
      <w:tblCellMar>
        <w:top w:w="0" w:type="dxa"/>
        <w:left w:w="0" w:type="dxa"/>
        <w:bottom w:w="0" w:type="dxa"/>
        <w:right w:w="0" w:type="dxa"/>
      </w:tblCellMar>
    </w:tblPr>
  </w:style>
  <w:style w:type="character" w:customStyle="1" w:styleId="966">
    <w:name w:val="NormalCharacter"/>
    <w:autoRedefine/>
    <w:semiHidden/>
    <w:qFormat/>
    <w:uiPriority w:val="0"/>
    <w:rPr>
      <w:rFonts w:ascii="Arial" w:hAnsi="Arial" w:eastAsia="黑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87</Pages>
  <Words>55386</Words>
  <Characters>57623</Characters>
  <Lines>281</Lines>
  <Paragraphs>79</Paragraphs>
  <TotalTime>19</TotalTime>
  <ScaleCrop>false</ScaleCrop>
  <LinksUpToDate>false</LinksUpToDate>
  <CharactersWithSpaces>62946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Healer</cp:lastModifiedBy>
  <cp:lastPrinted>2024-02-01T08:23:00Z</cp:lastPrinted>
  <dcterms:modified xsi:type="dcterms:W3CDTF">2024-11-21T10:16:38Z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