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C9EAE">
      <w:pPr>
        <w:spacing w:line="360" w:lineRule="auto"/>
        <w:ind w:right="42" w:rightChars="20"/>
        <w:jc w:val="center"/>
        <w:rPr>
          <w:rFonts w:asciiTheme="minorEastAsia" w:hAnsiTheme="minorEastAsia" w:eastAsiaTheme="minorEastAsia"/>
          <w:b/>
          <w:bCs/>
          <w:color w:val="auto"/>
          <w:sz w:val="36"/>
          <w:szCs w:val="36"/>
          <w:highlight w:val="none"/>
        </w:rPr>
      </w:pPr>
    </w:p>
    <w:p w14:paraId="1191497F">
      <w:pPr>
        <w:spacing w:line="360" w:lineRule="auto"/>
        <w:ind w:right="42" w:rightChars="20"/>
        <w:jc w:val="center"/>
        <w:rPr>
          <w:rFonts w:hint="eastAsia" w:asciiTheme="minorEastAsia" w:hAnsiTheme="minorEastAsia" w:eastAsiaTheme="minorEastAsia"/>
          <w:b/>
          <w:bCs/>
          <w:color w:val="auto"/>
          <w:sz w:val="36"/>
          <w:szCs w:val="36"/>
          <w:highlight w:val="none"/>
          <w:lang w:eastAsia="zh-CN"/>
        </w:rPr>
      </w:pPr>
      <w:r>
        <w:rPr>
          <w:rFonts w:hint="eastAsia" w:asciiTheme="minorEastAsia" w:hAnsiTheme="minorEastAsia" w:eastAsiaTheme="minorEastAsia"/>
          <w:b/>
          <w:bCs/>
          <w:color w:val="auto"/>
          <w:sz w:val="36"/>
          <w:szCs w:val="36"/>
          <w:highlight w:val="none"/>
          <w:lang w:eastAsia="zh-CN"/>
        </w:rPr>
        <w:t>2025年排污许可和自行监测技术服务项目</w:t>
      </w:r>
    </w:p>
    <w:p w14:paraId="59BBE6F9">
      <w:pPr>
        <w:spacing w:line="360" w:lineRule="auto"/>
        <w:ind w:right="42" w:rightChars="20"/>
        <w:jc w:val="center"/>
        <w:rPr>
          <w:rFonts w:asciiTheme="minorEastAsia" w:hAnsiTheme="minorEastAsia" w:eastAsiaTheme="minorEastAsia"/>
          <w:color w:val="auto"/>
          <w:sz w:val="36"/>
          <w:szCs w:val="36"/>
          <w:highlight w:val="none"/>
        </w:rPr>
      </w:pPr>
      <w:r>
        <w:rPr>
          <w:rFonts w:hint="eastAsia" w:asciiTheme="minorEastAsia" w:hAnsiTheme="minorEastAsia" w:eastAsiaTheme="minorEastAsia"/>
          <w:b/>
          <w:bCs/>
          <w:color w:val="auto"/>
          <w:sz w:val="36"/>
          <w:szCs w:val="36"/>
          <w:highlight w:val="none"/>
        </w:rPr>
        <w:t>（线上电子招投标）</w:t>
      </w:r>
    </w:p>
    <w:p w14:paraId="55F69265">
      <w:pPr>
        <w:pStyle w:val="99"/>
        <w:rPr>
          <w:color w:val="auto"/>
          <w:highlight w:val="none"/>
        </w:rPr>
      </w:pPr>
    </w:p>
    <w:p w14:paraId="476594BC">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公</w:t>
      </w:r>
    </w:p>
    <w:p w14:paraId="6FA43D2E">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开</w:t>
      </w:r>
    </w:p>
    <w:p w14:paraId="36F0780E">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招</w:t>
      </w:r>
    </w:p>
    <w:p w14:paraId="73B0DAB4">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标</w:t>
      </w:r>
    </w:p>
    <w:p w14:paraId="7D8B8748">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文</w:t>
      </w:r>
    </w:p>
    <w:p w14:paraId="5CAC1073">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件</w:t>
      </w:r>
    </w:p>
    <w:p w14:paraId="48390FD1">
      <w:pPr>
        <w:pStyle w:val="99"/>
        <w:rPr>
          <w:color w:val="auto"/>
          <w:highlight w:val="none"/>
        </w:rPr>
      </w:pPr>
    </w:p>
    <w:p w14:paraId="6D63EA2A">
      <w:pPr>
        <w:pStyle w:val="23"/>
        <w:spacing w:after="0" w:line="360" w:lineRule="auto"/>
        <w:ind w:right="42" w:rightChars="20"/>
        <w:rPr>
          <w:rFonts w:asciiTheme="minorEastAsia" w:hAnsiTheme="minorEastAsia" w:eastAsiaTheme="minorEastAsia"/>
          <w:color w:val="auto"/>
          <w:sz w:val="28"/>
          <w:szCs w:val="28"/>
          <w:highlight w:val="none"/>
        </w:rPr>
      </w:pPr>
    </w:p>
    <w:p w14:paraId="5FE9D135">
      <w:pPr>
        <w:pStyle w:val="30"/>
        <w:spacing w:line="360" w:lineRule="auto"/>
        <w:ind w:right="42" w:rightChars="20" w:firstLine="1068" w:firstLineChars="400"/>
        <w:jc w:val="left"/>
        <w:rPr>
          <w:rFonts w:hint="eastAsia" w:asciiTheme="minorEastAsia" w:hAnsiTheme="minorEastAsia" w:eastAsiaTheme="minorEastAsia"/>
          <w:b/>
          <w:bCs/>
          <w:color w:val="auto"/>
          <w:w w:val="95"/>
          <w:sz w:val="28"/>
          <w:szCs w:val="28"/>
          <w:highlight w:val="none"/>
          <w:lang w:eastAsia="zh-CN"/>
        </w:rPr>
      </w:pPr>
      <w:r>
        <w:rPr>
          <w:rFonts w:hint="eastAsia" w:asciiTheme="minorEastAsia" w:hAnsiTheme="minorEastAsia" w:eastAsiaTheme="minorEastAsia"/>
          <w:b/>
          <w:bCs/>
          <w:color w:val="auto"/>
          <w:w w:val="95"/>
          <w:sz w:val="28"/>
          <w:szCs w:val="28"/>
          <w:highlight w:val="none"/>
        </w:rPr>
        <w:t>招标编号：</w:t>
      </w:r>
      <w:r>
        <w:rPr>
          <w:rFonts w:hint="eastAsia" w:asciiTheme="minorEastAsia" w:hAnsiTheme="minorEastAsia" w:eastAsiaTheme="minorEastAsia"/>
          <w:b/>
          <w:color w:val="auto"/>
          <w:sz w:val="28"/>
          <w:szCs w:val="28"/>
          <w:highlight w:val="none"/>
          <w:lang w:eastAsia="zh-CN"/>
        </w:rPr>
        <w:t>大地-DDZX-JX（2025）第5号</w:t>
      </w:r>
    </w:p>
    <w:p w14:paraId="7BD5CCE9">
      <w:pPr>
        <w:pStyle w:val="30"/>
        <w:spacing w:line="360" w:lineRule="auto"/>
        <w:ind w:right="42" w:rightChars="20" w:firstLine="1068" w:firstLineChars="400"/>
        <w:jc w:val="left"/>
        <w:rPr>
          <w:rFonts w:asciiTheme="minorEastAsia" w:hAnsiTheme="minorEastAsia" w:eastAsiaTheme="minorEastAsia"/>
          <w:b/>
          <w:bCs/>
          <w:color w:val="auto"/>
          <w:w w:val="95"/>
          <w:sz w:val="28"/>
          <w:szCs w:val="28"/>
          <w:highlight w:val="none"/>
        </w:rPr>
      </w:pPr>
      <w:r>
        <w:rPr>
          <w:rFonts w:hint="eastAsia" w:asciiTheme="minorEastAsia" w:hAnsiTheme="minorEastAsia" w:eastAsiaTheme="minorEastAsia"/>
          <w:b/>
          <w:bCs/>
          <w:color w:val="auto"/>
          <w:w w:val="95"/>
          <w:sz w:val="28"/>
          <w:szCs w:val="28"/>
          <w:highlight w:val="none"/>
        </w:rPr>
        <w:t>采购单位：</w:t>
      </w:r>
      <w:r>
        <w:rPr>
          <w:rFonts w:hint="eastAsia" w:asciiTheme="minorEastAsia" w:hAnsiTheme="minorEastAsia" w:eastAsiaTheme="minorEastAsia"/>
          <w:b/>
          <w:color w:val="auto"/>
          <w:sz w:val="28"/>
          <w:szCs w:val="28"/>
          <w:highlight w:val="none"/>
        </w:rPr>
        <w:t xml:space="preserve">嘉兴市生态环境局秀洲分局  </w:t>
      </w:r>
    </w:p>
    <w:p w14:paraId="6AC4758E">
      <w:pPr>
        <w:pStyle w:val="30"/>
        <w:spacing w:line="360" w:lineRule="auto"/>
        <w:ind w:right="42" w:rightChars="20" w:firstLine="1068" w:firstLineChars="400"/>
        <w:jc w:val="left"/>
        <w:rPr>
          <w:rFonts w:asciiTheme="minorEastAsia" w:hAnsiTheme="minorEastAsia" w:eastAsiaTheme="minorEastAsia"/>
          <w:b/>
          <w:bCs/>
          <w:color w:val="auto"/>
          <w:w w:val="95"/>
          <w:sz w:val="28"/>
          <w:szCs w:val="28"/>
          <w:highlight w:val="none"/>
        </w:rPr>
      </w:pPr>
      <w:r>
        <w:rPr>
          <w:rFonts w:hint="eastAsia" w:asciiTheme="minorEastAsia" w:hAnsiTheme="minorEastAsia" w:eastAsiaTheme="minorEastAsia"/>
          <w:b/>
          <w:bCs/>
          <w:color w:val="auto"/>
          <w:w w:val="95"/>
          <w:sz w:val="28"/>
          <w:szCs w:val="28"/>
          <w:highlight w:val="none"/>
        </w:rPr>
        <w:t>代理机构：大地工程咨询有限公司</w:t>
      </w:r>
    </w:p>
    <w:p w14:paraId="341ED087">
      <w:pPr>
        <w:pStyle w:val="30"/>
        <w:spacing w:line="360" w:lineRule="auto"/>
        <w:ind w:right="42" w:rightChars="20" w:firstLine="1068" w:firstLineChars="400"/>
        <w:jc w:val="left"/>
        <w:rPr>
          <w:rFonts w:asciiTheme="minorEastAsia" w:hAnsiTheme="minorEastAsia" w:eastAsiaTheme="minorEastAsia"/>
          <w:b/>
          <w:bCs/>
          <w:color w:val="auto"/>
          <w:w w:val="95"/>
          <w:sz w:val="28"/>
          <w:szCs w:val="28"/>
          <w:highlight w:val="none"/>
        </w:rPr>
      </w:pPr>
      <w:r>
        <w:rPr>
          <w:rFonts w:hint="eastAsia" w:asciiTheme="minorEastAsia" w:hAnsiTheme="minorEastAsia" w:eastAsiaTheme="minorEastAsia"/>
          <w:b/>
          <w:bCs/>
          <w:color w:val="auto"/>
          <w:w w:val="95"/>
          <w:sz w:val="28"/>
          <w:szCs w:val="28"/>
          <w:highlight w:val="none"/>
        </w:rPr>
        <w:t>备案单位：嘉兴市秀洲区财政局</w:t>
      </w:r>
    </w:p>
    <w:p w14:paraId="105F2386">
      <w:pPr>
        <w:pStyle w:val="30"/>
        <w:spacing w:line="360" w:lineRule="auto"/>
        <w:ind w:right="42" w:rightChars="20" w:firstLine="1068" w:firstLineChars="400"/>
        <w:jc w:val="left"/>
        <w:rPr>
          <w:rFonts w:asciiTheme="minorEastAsia" w:hAnsiTheme="minorEastAsia" w:eastAsiaTheme="minorEastAsia"/>
          <w:b/>
          <w:bCs/>
          <w:color w:val="auto"/>
          <w:w w:val="95"/>
          <w:sz w:val="28"/>
          <w:szCs w:val="28"/>
          <w:highlight w:val="none"/>
        </w:rPr>
      </w:pPr>
    </w:p>
    <w:p w14:paraId="4196456C">
      <w:pPr>
        <w:spacing w:line="360" w:lineRule="auto"/>
        <w:ind w:right="42" w:rightChars="20" w:firstLine="534" w:firstLineChars="200"/>
        <w:jc w:val="center"/>
        <w:rPr>
          <w:rFonts w:asciiTheme="minorEastAsia" w:hAnsiTheme="minorEastAsia" w:eastAsiaTheme="minorEastAsia"/>
          <w:b/>
          <w:bCs/>
          <w:color w:val="auto"/>
          <w:w w:val="95"/>
          <w:sz w:val="28"/>
          <w:szCs w:val="28"/>
          <w:highlight w:val="none"/>
        </w:rPr>
      </w:pPr>
      <w:bookmarkStart w:id="0" w:name="_Toc427915753"/>
      <w:bookmarkStart w:id="1" w:name="_Toc50012812"/>
      <w:bookmarkStart w:id="2" w:name="_Toc493511539"/>
      <w:r>
        <w:rPr>
          <w:rFonts w:hint="eastAsia" w:asciiTheme="minorEastAsia" w:hAnsiTheme="minorEastAsia" w:eastAsiaTheme="minorEastAsia"/>
          <w:b/>
          <w:bCs/>
          <w:color w:val="auto"/>
          <w:w w:val="95"/>
          <w:sz w:val="28"/>
          <w:szCs w:val="28"/>
          <w:highlight w:val="none"/>
        </w:rPr>
        <w:t>202</w:t>
      </w:r>
      <w:r>
        <w:rPr>
          <w:rFonts w:hint="eastAsia" w:asciiTheme="minorEastAsia" w:hAnsiTheme="minorEastAsia" w:eastAsiaTheme="minorEastAsia"/>
          <w:b/>
          <w:bCs/>
          <w:color w:val="auto"/>
          <w:w w:val="95"/>
          <w:sz w:val="28"/>
          <w:szCs w:val="28"/>
          <w:highlight w:val="none"/>
          <w:lang w:val="en-US" w:eastAsia="zh-CN"/>
        </w:rPr>
        <w:t>5</w:t>
      </w:r>
      <w:r>
        <w:rPr>
          <w:rFonts w:hint="eastAsia" w:asciiTheme="minorEastAsia" w:hAnsiTheme="minorEastAsia" w:eastAsiaTheme="minorEastAsia"/>
          <w:b/>
          <w:bCs/>
          <w:color w:val="auto"/>
          <w:w w:val="95"/>
          <w:sz w:val="28"/>
          <w:szCs w:val="28"/>
          <w:highlight w:val="none"/>
        </w:rPr>
        <w:t>年</w:t>
      </w:r>
      <w:bookmarkEnd w:id="0"/>
      <w:bookmarkEnd w:id="1"/>
      <w:bookmarkEnd w:id="2"/>
      <w:r>
        <w:rPr>
          <w:rFonts w:hint="eastAsia" w:asciiTheme="minorEastAsia" w:hAnsiTheme="minorEastAsia" w:eastAsiaTheme="minorEastAsia"/>
          <w:b/>
          <w:bCs/>
          <w:color w:val="auto"/>
          <w:w w:val="95"/>
          <w:sz w:val="28"/>
          <w:szCs w:val="28"/>
          <w:highlight w:val="none"/>
          <w:lang w:val="en-US" w:eastAsia="zh-CN"/>
        </w:rPr>
        <w:t>2</w:t>
      </w:r>
      <w:r>
        <w:rPr>
          <w:rFonts w:hint="eastAsia" w:asciiTheme="minorEastAsia" w:hAnsiTheme="minorEastAsia" w:eastAsiaTheme="minorEastAsia"/>
          <w:b/>
          <w:bCs/>
          <w:color w:val="auto"/>
          <w:w w:val="95"/>
          <w:sz w:val="28"/>
          <w:szCs w:val="28"/>
          <w:highlight w:val="none"/>
        </w:rPr>
        <w:t>月</w:t>
      </w:r>
    </w:p>
    <w:p w14:paraId="3032EF27">
      <w:pPr>
        <w:pStyle w:val="5"/>
        <w:rPr>
          <w:color w:val="auto"/>
          <w:highlight w:val="none"/>
        </w:rPr>
      </w:pPr>
    </w:p>
    <w:p w14:paraId="6F088C08">
      <w:pPr>
        <w:pStyle w:val="147"/>
        <w:spacing w:before="0" w:line="360" w:lineRule="auto"/>
        <w:ind w:right="42" w:rightChars="20" w:firstLine="422" w:firstLineChars="200"/>
        <w:rPr>
          <w:rFonts w:asciiTheme="minorEastAsia" w:hAnsiTheme="minorEastAsia" w:eastAsiaTheme="minorEastAsia"/>
          <w:color w:val="auto"/>
          <w:sz w:val="21"/>
          <w:szCs w:val="21"/>
          <w:highlight w:val="none"/>
          <w:lang w:val="zh-CN"/>
        </w:rPr>
        <w:sectPr>
          <w:footerReference r:id="rId3" w:type="default"/>
          <w:pgSz w:w="11906" w:h="16838"/>
          <w:pgMar w:top="1474" w:right="1842" w:bottom="1247" w:left="1797" w:header="851" w:footer="851" w:gutter="0"/>
          <w:cols w:space="720" w:num="1"/>
          <w:docGrid w:linePitch="312" w:charSpace="0"/>
        </w:sectPr>
      </w:pPr>
    </w:p>
    <w:p w14:paraId="244C7B41">
      <w:pPr>
        <w:spacing w:line="360" w:lineRule="auto"/>
        <w:ind w:right="42" w:rightChars="20"/>
        <w:rPr>
          <w:rFonts w:asciiTheme="minorEastAsia" w:hAnsiTheme="minorEastAsia" w:eastAsiaTheme="minorEastAsia"/>
          <w:color w:val="auto"/>
          <w:highlight w:val="none"/>
        </w:rPr>
      </w:pPr>
    </w:p>
    <w:p w14:paraId="56834EB3">
      <w:pPr>
        <w:pStyle w:val="147"/>
        <w:spacing w:before="0" w:line="360" w:lineRule="auto"/>
        <w:ind w:right="42" w:rightChars="20" w:firstLine="422" w:firstLineChars="200"/>
        <w:jc w:val="center"/>
        <w:rPr>
          <w:rFonts w:asciiTheme="minorEastAsia" w:hAnsiTheme="minorEastAsia" w:eastAsiaTheme="minorEastAsia"/>
          <w:color w:val="auto"/>
          <w:sz w:val="21"/>
          <w:szCs w:val="21"/>
          <w:highlight w:val="none"/>
        </w:rPr>
      </w:pPr>
      <w:bookmarkStart w:id="3" w:name="_Toc28810"/>
      <w:r>
        <w:rPr>
          <w:rFonts w:asciiTheme="minorEastAsia" w:hAnsiTheme="minorEastAsia" w:eastAsiaTheme="minorEastAsia"/>
          <w:color w:val="auto"/>
          <w:sz w:val="21"/>
          <w:szCs w:val="21"/>
          <w:highlight w:val="none"/>
          <w:lang w:val="zh-CN"/>
        </w:rPr>
        <w:t>目录</w:t>
      </w:r>
      <w:bookmarkEnd w:id="3"/>
    </w:p>
    <w:p w14:paraId="19E0B78E">
      <w:pPr>
        <w:pStyle w:val="38"/>
        <w:tabs>
          <w:tab w:val="right" w:leader="dot" w:pos="8312"/>
        </w:tabs>
        <w:spacing w:line="360" w:lineRule="auto"/>
        <w:ind w:right="42" w:rightChars="20"/>
        <w:rPr>
          <w:rFonts w:cs="微软雅黑" w:asciiTheme="minorEastAsia" w:hAnsiTheme="minorEastAsia" w:eastAsiaTheme="minorEastAsia"/>
          <w:color w:val="auto"/>
          <w:highlight w:val="none"/>
        </w:rPr>
      </w:pPr>
      <w:r>
        <w:rPr>
          <w:rFonts w:hint="eastAsia" w:cs="微软雅黑" w:asciiTheme="minorEastAsia" w:hAnsiTheme="minorEastAsia" w:eastAsiaTheme="minorEastAsia"/>
          <w:color w:val="auto"/>
          <w:szCs w:val="21"/>
          <w:highlight w:val="none"/>
        </w:rPr>
        <w:fldChar w:fldCharType="begin"/>
      </w:r>
      <w:r>
        <w:rPr>
          <w:rFonts w:hint="eastAsia" w:cs="微软雅黑" w:asciiTheme="minorEastAsia" w:hAnsiTheme="minorEastAsia" w:eastAsiaTheme="minorEastAsia"/>
          <w:color w:val="auto"/>
          <w:szCs w:val="21"/>
          <w:highlight w:val="none"/>
        </w:rPr>
        <w:instrText xml:space="preserve"> TOC \o "1-3" \h \z \u </w:instrText>
      </w:r>
      <w:r>
        <w:rPr>
          <w:rFonts w:hint="eastAsia" w:cs="微软雅黑" w:asciiTheme="minorEastAsia" w:hAnsiTheme="minorEastAsia" w:eastAsiaTheme="minorEastAsia"/>
          <w:color w:val="auto"/>
          <w:szCs w:val="21"/>
          <w:highlight w:val="none"/>
        </w:rPr>
        <w:fldChar w:fldCharType="separate"/>
      </w:r>
    </w:p>
    <w:p w14:paraId="3165CA86">
      <w:pPr>
        <w:pStyle w:val="31"/>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"_Toc3494" </w:instrText>
      </w:r>
      <w:r>
        <w:rPr>
          <w:color w:val="auto"/>
          <w:highlight w:val="none"/>
        </w:rPr>
        <w:fldChar w:fldCharType="separate"/>
      </w:r>
      <w:r>
        <w:rPr>
          <w:rFonts w:hint="eastAsia" w:cs="微软雅黑" w:asciiTheme="minorEastAsia" w:hAnsiTheme="minorEastAsia" w:eastAsiaTheme="minorEastAsia"/>
          <w:color w:val="auto"/>
          <w:highlight w:val="none"/>
        </w:rPr>
        <w:t>第一章  公开招标采购公告</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_Toc3494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3</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14:paraId="0A974215">
      <w:pPr>
        <w:pStyle w:val="31"/>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"_Toc3892" </w:instrText>
      </w:r>
      <w:r>
        <w:rPr>
          <w:color w:val="auto"/>
          <w:highlight w:val="none"/>
        </w:rPr>
        <w:fldChar w:fldCharType="separate"/>
      </w:r>
      <w:r>
        <w:rPr>
          <w:rFonts w:hint="eastAsia" w:cs="微软雅黑" w:asciiTheme="minorEastAsia" w:hAnsiTheme="minorEastAsia" w:eastAsiaTheme="minorEastAsia"/>
          <w:color w:val="auto"/>
          <w:highlight w:val="none"/>
        </w:rPr>
        <w:t>第二章  采购需求</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_Toc3892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3</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14:paraId="49552A24">
      <w:pPr>
        <w:pStyle w:val="31"/>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"_Toc31093" </w:instrText>
      </w:r>
      <w:r>
        <w:rPr>
          <w:color w:val="auto"/>
          <w:highlight w:val="none"/>
        </w:rPr>
        <w:fldChar w:fldCharType="separate"/>
      </w:r>
      <w:r>
        <w:rPr>
          <w:rFonts w:hint="eastAsia" w:cs="微软雅黑" w:asciiTheme="minorEastAsia" w:hAnsiTheme="minorEastAsia" w:eastAsiaTheme="minorEastAsia"/>
          <w:color w:val="auto"/>
          <w:highlight w:val="none"/>
        </w:rPr>
        <w:t>第三章  投标人须知</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_Toc31093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8</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14:paraId="4ECD5516">
      <w:pPr>
        <w:pStyle w:val="31"/>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"_Toc27157" </w:instrText>
      </w:r>
      <w:r>
        <w:rPr>
          <w:color w:val="auto"/>
          <w:highlight w:val="none"/>
        </w:rPr>
        <w:fldChar w:fldCharType="separate"/>
      </w:r>
      <w:r>
        <w:rPr>
          <w:rFonts w:hint="eastAsia" w:cs="微软雅黑" w:asciiTheme="minorEastAsia" w:hAnsiTheme="minorEastAsia" w:eastAsiaTheme="minorEastAsia"/>
          <w:color w:val="auto"/>
          <w:highlight w:val="none"/>
        </w:rPr>
        <w:t>第四章  评标办法及评</w:t>
      </w:r>
      <w:bookmarkStart w:id="4" w:name="_Hlt58947582"/>
      <w:bookmarkStart w:id="5" w:name="_Hlt58947581"/>
      <w:r>
        <w:rPr>
          <w:rFonts w:hint="eastAsia" w:cs="微软雅黑" w:asciiTheme="minorEastAsia" w:hAnsiTheme="minorEastAsia" w:eastAsiaTheme="minorEastAsia"/>
          <w:color w:val="auto"/>
          <w:highlight w:val="none"/>
        </w:rPr>
        <w:t>分</w:t>
      </w:r>
      <w:bookmarkEnd w:id="4"/>
      <w:bookmarkEnd w:id="5"/>
      <w:r>
        <w:rPr>
          <w:rFonts w:hint="eastAsia" w:cs="微软雅黑" w:asciiTheme="minorEastAsia" w:hAnsiTheme="minorEastAsia" w:eastAsiaTheme="minorEastAsia"/>
          <w:color w:val="auto"/>
          <w:highlight w:val="none"/>
        </w:rPr>
        <w:t>标准</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_Toc27157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30</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14:paraId="6A3A5C74">
      <w:pPr>
        <w:pStyle w:val="31"/>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"_Toc28829" </w:instrText>
      </w:r>
      <w:r>
        <w:rPr>
          <w:color w:val="auto"/>
          <w:highlight w:val="none"/>
        </w:rPr>
        <w:fldChar w:fldCharType="separate"/>
      </w:r>
      <w:r>
        <w:rPr>
          <w:rFonts w:hint="eastAsia" w:cs="微软雅黑" w:asciiTheme="minorEastAsia" w:hAnsiTheme="minorEastAsia" w:eastAsiaTheme="minorEastAsia"/>
          <w:color w:val="auto"/>
          <w:highlight w:val="none"/>
        </w:rPr>
        <w:t>第五章  政府采购合同</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_Toc28829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31</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14:paraId="6AF6A533">
      <w:pPr>
        <w:pStyle w:val="31"/>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"_Toc5531" </w:instrText>
      </w:r>
      <w:r>
        <w:rPr>
          <w:color w:val="auto"/>
          <w:highlight w:val="none"/>
        </w:rPr>
        <w:fldChar w:fldCharType="separate"/>
      </w:r>
      <w:r>
        <w:rPr>
          <w:rFonts w:hint="eastAsia" w:cs="微软雅黑" w:asciiTheme="minorEastAsia" w:hAnsiTheme="minorEastAsia" w:eastAsiaTheme="minorEastAsia"/>
          <w:color w:val="auto"/>
          <w:highlight w:val="none"/>
        </w:rPr>
        <w:t>第六章　投标文件相关格式</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_Toc5531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38</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14:paraId="1034C47F">
      <w:pPr>
        <w:spacing w:line="360" w:lineRule="auto"/>
        <w:ind w:right="42" w:rightChars="20" w:firstLine="420" w:firstLineChars="20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fldChar w:fldCharType="end"/>
      </w:r>
    </w:p>
    <w:p w14:paraId="69A696ED">
      <w:pPr>
        <w:spacing w:line="360" w:lineRule="auto"/>
        <w:ind w:right="42" w:rightChars="20" w:firstLine="420" w:firstLineChars="200"/>
        <w:jc w:val="left"/>
        <w:rPr>
          <w:rFonts w:asciiTheme="minorEastAsia" w:hAnsiTheme="minorEastAsia" w:eastAsiaTheme="minorEastAsia"/>
          <w:color w:val="auto"/>
          <w:szCs w:val="21"/>
          <w:highlight w:val="none"/>
        </w:rPr>
      </w:pPr>
    </w:p>
    <w:p w14:paraId="1F7CB6A2">
      <w:pPr>
        <w:pStyle w:val="162"/>
        <w:ind w:right="42" w:rightChars="20"/>
        <w:rPr>
          <w:rFonts w:asciiTheme="minorEastAsia" w:hAnsiTheme="minorEastAsia" w:eastAsiaTheme="minorEastAsia"/>
          <w:b w:val="0"/>
          <w:color w:val="auto"/>
          <w:highlight w:val="none"/>
        </w:rPr>
      </w:pPr>
      <w:bookmarkStart w:id="6" w:name="_Toc493511540"/>
      <w:r>
        <w:rPr>
          <w:rFonts w:hint="eastAsia" w:asciiTheme="minorEastAsia" w:hAnsiTheme="minorEastAsia" w:eastAsiaTheme="minorEastAsia"/>
          <w:color w:val="auto"/>
          <w:highlight w:val="none"/>
        </w:rPr>
        <w:br w:type="page"/>
      </w:r>
      <w:bookmarkStart w:id="7" w:name="_Toc3494"/>
      <w:r>
        <w:rPr>
          <w:rStyle w:val="68"/>
          <w:rFonts w:hint="eastAsia" w:cs="微软雅黑" w:asciiTheme="minorEastAsia" w:hAnsiTheme="minorEastAsia" w:eastAsiaTheme="minorEastAsia"/>
          <w:b/>
          <w:color w:val="auto"/>
          <w:highlight w:val="none"/>
        </w:rPr>
        <w:t>第一章  公开招标采购公告</w:t>
      </w:r>
      <w:bookmarkEnd w:id="6"/>
      <w:bookmarkEnd w:id="7"/>
    </w:p>
    <w:p w14:paraId="6A0174FB">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bookmarkStart w:id="8" w:name="_Toc493511541"/>
      <w:bookmarkStart w:id="9" w:name="_Toc3892"/>
      <w:bookmarkStart w:id="10" w:name="_Toc177870534"/>
      <w:r>
        <w:rPr>
          <w:rFonts w:hint="eastAsia" w:cs="宋体" w:asciiTheme="minorEastAsia" w:hAnsiTheme="minorEastAsia" w:eastAsiaTheme="minorEastAsia"/>
          <w:color w:val="auto"/>
          <w:sz w:val="18"/>
          <w:szCs w:val="18"/>
          <w:highlight w:val="none"/>
        </w:rPr>
        <w:t> </w:t>
      </w:r>
      <w:r>
        <w:rPr>
          <w:rFonts w:ascii="仿宋" w:hAnsi="仿宋" w:eastAsia="仿宋" w:cs="仿宋"/>
          <w:color w:val="auto"/>
          <w:sz w:val="27"/>
          <w:szCs w:val="27"/>
          <w:highlight w:val="none"/>
        </w:rPr>
        <w:t>         </w:t>
      </w:r>
      <w:r>
        <w:rPr>
          <w:rFonts w:hint="eastAsia" w:asciiTheme="minorEastAsia" w:hAnsiTheme="minorEastAsia" w:eastAsiaTheme="minorEastAsia" w:cstheme="minorEastAsia"/>
          <w:color w:val="auto"/>
          <w:sz w:val="21"/>
          <w:szCs w:val="21"/>
          <w:highlight w:val="none"/>
        </w:rPr>
        <w:t xml:space="preserve"> </w:t>
      </w:r>
      <w:r>
        <w:rPr>
          <w:rFonts w:ascii="仿宋" w:hAnsi="仿宋" w:eastAsia="仿宋" w:cs="仿宋"/>
          <w:color w:val="auto"/>
          <w:sz w:val="27"/>
          <w:szCs w:val="27"/>
          <w:highlight w:val="none"/>
        </w:rPr>
        <w:t xml:space="preserve">  </w:t>
      </w:r>
      <w:r>
        <w:rPr>
          <w:rFonts w:hint="eastAsia" w:cs="宋体"/>
          <w:color w:val="auto"/>
          <w:sz w:val="21"/>
          <w:szCs w:val="21"/>
          <w:highlight w:val="none"/>
        </w:rPr>
        <w:t xml:space="preserve">  </w:t>
      </w:r>
      <w:r>
        <w:rPr>
          <w:rFonts w:ascii="仿宋" w:hAnsi="仿宋" w:eastAsia="仿宋" w:cs="仿宋"/>
          <w:color w:val="auto"/>
          <w:sz w:val="27"/>
          <w:szCs w:val="27"/>
          <w:highlight w:val="none"/>
        </w:rPr>
        <w:t> </w:t>
      </w:r>
      <w:r>
        <w:rPr>
          <w:rFonts w:hint="eastAsia" w:asciiTheme="minorEastAsia" w:hAnsiTheme="minorEastAsia" w:eastAsiaTheme="minorEastAsia" w:cstheme="minorEastAsia"/>
          <w:color w:val="auto"/>
          <w:sz w:val="21"/>
          <w:szCs w:val="21"/>
          <w:highlight w:val="none"/>
        </w:rPr>
        <w:t xml:space="preserve">  </w:t>
      </w:r>
      <w:r>
        <w:rPr>
          <w:rFonts w:hint="eastAsia" w:ascii="宋体" w:hAnsi="宋体" w:eastAsia="宋体" w:cs="宋体"/>
          <w:color w:val="auto"/>
          <w:sz w:val="21"/>
          <w:szCs w:val="21"/>
          <w:highlight w:val="none"/>
        </w:rPr>
        <w:t>    项目概况</w:t>
      </w:r>
    </w:p>
    <w:p w14:paraId="0C7A0091">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71B0436D">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cs="宋体"/>
          <w:color w:val="auto"/>
          <w:sz w:val="21"/>
          <w:szCs w:val="21"/>
          <w:highlight w:val="none"/>
          <w:lang w:eastAsia="zh-CN"/>
        </w:rPr>
        <w:t>2025年排污许可和自行监测技术服务项目</w:t>
      </w:r>
      <w:r>
        <w:rPr>
          <w:rFonts w:hint="eastAsia" w:ascii="宋体" w:hAnsi="宋体" w:eastAsia="宋体" w:cs="宋体"/>
          <w:color w:val="auto"/>
          <w:sz w:val="21"/>
          <w:szCs w:val="21"/>
          <w:highlight w:val="none"/>
        </w:rPr>
        <w:t>招标项目的潜在投标人应在</w:t>
      </w:r>
      <w:r>
        <w:rPr>
          <w:rFonts w:hint="eastAsia" w:ascii="宋体" w:hAnsi="宋体" w:eastAsia="宋体" w:cs="宋体"/>
          <w:color w:val="auto"/>
          <w:sz w:val="21"/>
          <w:szCs w:val="21"/>
          <w:highlight w:val="none"/>
          <w:u w:val="none"/>
        </w:rPr>
        <w:t>政采云平台线上获取</w:t>
      </w:r>
      <w:r>
        <w:rPr>
          <w:rFonts w:hint="eastAsia" w:ascii="宋体" w:hAnsi="宋体" w:eastAsia="宋体" w:cs="宋体"/>
          <w:color w:val="auto"/>
          <w:sz w:val="21"/>
          <w:szCs w:val="21"/>
          <w:highlight w:val="none"/>
        </w:rPr>
        <w:t>获取（下载）招标文件，并于 </w:t>
      </w:r>
      <w:r>
        <w:rPr>
          <w:rFonts w:hint="eastAsia" w:ascii="宋体" w:hAnsi="宋体" w:eastAsia="宋体" w:cs="宋体"/>
          <w:color w:val="auto"/>
          <w:sz w:val="21"/>
          <w:szCs w:val="21"/>
          <w:highlight w:val="none"/>
        </w:rPr>
        <w:t>202</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19</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 xml:space="preserve"> 14:00（北京时间）前递交（上传）投标文件。                             </w:t>
      </w:r>
    </w:p>
    <w:p w14:paraId="365A5E94">
      <w:pPr>
        <w:pStyle w:val="49"/>
        <w:keepNext w:val="0"/>
        <w:keepLines w:val="0"/>
        <w:pageBreakBefore w:val="0"/>
        <w:widowControl/>
        <w:numPr>
          <w:ilvl w:val="0"/>
          <w:numId w:val="2"/>
        </w:numPr>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1"/>
          <w:szCs w:val="21"/>
          <w:highlight w:val="none"/>
        </w:rPr>
      </w:pPr>
      <w:r>
        <w:rPr>
          <w:rStyle w:val="58"/>
          <w:rFonts w:hint="eastAsia" w:ascii="宋体" w:hAnsi="宋体" w:eastAsia="宋体" w:cs="宋体"/>
          <w:color w:val="auto"/>
          <w:sz w:val="21"/>
          <w:szCs w:val="21"/>
          <w:highlight w:val="none"/>
        </w:rPr>
        <w:t>项目基本情况</w:t>
      </w:r>
    </w:p>
    <w:p w14:paraId="3503EC1B">
      <w:pPr>
        <w:pStyle w:val="49"/>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36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41A9340E">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项目编号：</w:t>
      </w:r>
      <w:r>
        <w:rPr>
          <w:rFonts w:hint="eastAsia" w:cs="宋体"/>
          <w:color w:val="auto"/>
          <w:sz w:val="21"/>
          <w:szCs w:val="21"/>
          <w:highlight w:val="none"/>
          <w:lang w:eastAsia="zh-CN"/>
        </w:rPr>
        <w:t>大地-DDZX-JX（2025）第5号</w:t>
      </w:r>
      <w:r>
        <w:rPr>
          <w:rFonts w:hint="eastAsia" w:ascii="宋体" w:hAnsi="宋体" w:eastAsia="宋体" w:cs="宋体"/>
          <w:color w:val="auto"/>
          <w:sz w:val="21"/>
          <w:szCs w:val="21"/>
          <w:highlight w:val="none"/>
        </w:rPr>
        <w:t> </w:t>
      </w:r>
    </w:p>
    <w:p w14:paraId="4F85882E">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项目名称：</w:t>
      </w:r>
      <w:r>
        <w:rPr>
          <w:rFonts w:hint="eastAsia" w:cs="宋体"/>
          <w:color w:val="auto"/>
          <w:sz w:val="21"/>
          <w:szCs w:val="21"/>
          <w:highlight w:val="none"/>
          <w:lang w:eastAsia="zh-CN"/>
        </w:rPr>
        <w:t>2025年排污许可和自行监测技术服务项目</w:t>
      </w:r>
    </w:p>
    <w:p w14:paraId="1ECD2B43">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预算金额（元）</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400000</w:t>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rPr>
        <w:t> </w:t>
      </w:r>
    </w:p>
    <w:p w14:paraId="0348780A">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最高限价（元）</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400000</w:t>
      </w:r>
      <w:r>
        <w:rPr>
          <w:rFonts w:hint="eastAsia" w:ascii="宋体" w:hAnsi="宋体" w:eastAsia="宋体" w:cs="宋体"/>
          <w:color w:val="auto"/>
          <w:sz w:val="21"/>
          <w:szCs w:val="21"/>
          <w:highlight w:val="none"/>
        </w:rPr>
        <w:t> </w:t>
      </w:r>
    </w:p>
    <w:p w14:paraId="6A3797DA">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采购需求：</w:t>
      </w:r>
    </w:p>
    <w:p w14:paraId="22EC3AA1">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fill="F7F7F7"/>
        </w:rPr>
        <w:t>    </w:t>
      </w:r>
      <w:r>
        <w:rPr>
          <w:rFonts w:hint="eastAsia" w:ascii="宋体" w:hAnsi="宋体" w:eastAsia="宋体" w:cs="宋体"/>
          <w:color w:val="auto"/>
          <w:sz w:val="21"/>
          <w:szCs w:val="21"/>
          <w:highlight w:val="none"/>
          <w:shd w:val="clear" w:fill="F7F7F7"/>
        </w:rPr>
        <w:br w:type="textWrapping"/>
      </w:r>
      <w:r>
        <w:rPr>
          <w:rFonts w:hint="eastAsia" w:ascii="宋体" w:hAnsi="宋体" w:eastAsia="宋体" w:cs="宋体"/>
          <w:color w:val="auto"/>
          <w:sz w:val="21"/>
          <w:szCs w:val="21"/>
          <w:highlight w:val="none"/>
          <w:shd w:val="clear" w:fill="F7F7F7"/>
        </w:rPr>
        <w:t>    标项名称: </w:t>
      </w:r>
      <w:r>
        <w:rPr>
          <w:rFonts w:hint="eastAsia" w:cs="宋体"/>
          <w:color w:val="auto"/>
          <w:sz w:val="21"/>
          <w:szCs w:val="21"/>
          <w:highlight w:val="none"/>
          <w:shd w:val="clear" w:fill="F7F7F7"/>
          <w:lang w:eastAsia="zh-CN"/>
        </w:rPr>
        <w:t>2025年排污许可和自行监测技术服务项目</w:t>
      </w:r>
      <w:r>
        <w:rPr>
          <w:rFonts w:hint="eastAsia" w:ascii="宋体" w:hAnsi="宋体" w:eastAsia="宋体" w:cs="宋体"/>
          <w:color w:val="auto"/>
          <w:sz w:val="21"/>
          <w:szCs w:val="21"/>
          <w:highlight w:val="none"/>
          <w:shd w:val="clear" w:fill="F7F7F7"/>
        </w:rPr>
        <w:t> </w:t>
      </w:r>
      <w:r>
        <w:rPr>
          <w:rFonts w:hint="eastAsia" w:ascii="宋体" w:hAnsi="宋体" w:eastAsia="宋体" w:cs="宋体"/>
          <w:color w:val="auto"/>
          <w:sz w:val="21"/>
          <w:szCs w:val="21"/>
          <w:highlight w:val="none"/>
          <w:shd w:val="clear" w:fill="F7F7F7"/>
        </w:rPr>
        <w:br w:type="textWrapping"/>
      </w:r>
      <w:r>
        <w:rPr>
          <w:rFonts w:hint="eastAsia" w:ascii="宋体" w:hAnsi="宋体" w:eastAsia="宋体" w:cs="宋体"/>
          <w:color w:val="auto"/>
          <w:sz w:val="21"/>
          <w:szCs w:val="21"/>
          <w:highlight w:val="none"/>
          <w:shd w:val="clear" w:fill="F7F7F7"/>
        </w:rPr>
        <w:t>    数量: 不限  </w:t>
      </w:r>
      <w:r>
        <w:rPr>
          <w:rFonts w:hint="eastAsia" w:ascii="宋体" w:hAnsi="宋体" w:eastAsia="宋体" w:cs="宋体"/>
          <w:color w:val="auto"/>
          <w:sz w:val="21"/>
          <w:szCs w:val="21"/>
          <w:highlight w:val="none"/>
          <w:shd w:val="clear" w:fill="F7F7F7"/>
        </w:rPr>
        <w:br w:type="textWrapping"/>
      </w:r>
      <w:r>
        <w:rPr>
          <w:rFonts w:hint="eastAsia" w:ascii="宋体" w:hAnsi="宋体" w:eastAsia="宋体" w:cs="宋体"/>
          <w:color w:val="auto"/>
          <w:sz w:val="21"/>
          <w:szCs w:val="21"/>
          <w:highlight w:val="none"/>
          <w:shd w:val="clear" w:fill="F7F7F7"/>
        </w:rPr>
        <w:t>    预算金额（元）:</w:t>
      </w:r>
      <w:r>
        <w:rPr>
          <w:rFonts w:hint="eastAsia" w:ascii="宋体" w:hAnsi="宋体" w:eastAsia="宋体" w:cs="宋体"/>
          <w:color w:val="auto"/>
          <w:sz w:val="21"/>
          <w:szCs w:val="21"/>
          <w:highlight w:val="none"/>
          <w:shd w:val="clear" w:fill="F7F7F7"/>
        </w:rPr>
        <w:t> </w:t>
      </w:r>
      <w:r>
        <w:rPr>
          <w:rFonts w:hint="eastAsia" w:cs="宋体"/>
          <w:color w:val="auto"/>
          <w:sz w:val="21"/>
          <w:szCs w:val="21"/>
          <w:highlight w:val="none"/>
          <w:shd w:val="clear" w:fill="F7F7F7"/>
          <w:lang w:eastAsia="zh-CN"/>
        </w:rPr>
        <w:t>400000</w:t>
      </w:r>
      <w:r>
        <w:rPr>
          <w:rFonts w:hint="eastAsia" w:ascii="宋体" w:hAnsi="宋体" w:eastAsia="宋体" w:cs="宋体"/>
          <w:color w:val="auto"/>
          <w:sz w:val="21"/>
          <w:szCs w:val="21"/>
          <w:highlight w:val="none"/>
          <w:shd w:val="clear" w:fill="F7F7F7"/>
        </w:rPr>
        <w:t> </w:t>
      </w:r>
      <w:r>
        <w:rPr>
          <w:rFonts w:hint="eastAsia" w:ascii="宋体" w:hAnsi="宋体" w:eastAsia="宋体" w:cs="宋体"/>
          <w:color w:val="auto"/>
          <w:sz w:val="21"/>
          <w:szCs w:val="21"/>
          <w:highlight w:val="none"/>
          <w:shd w:val="clear" w:fill="F7F7F7"/>
        </w:rPr>
        <w:br w:type="textWrapping"/>
      </w:r>
      <w:r>
        <w:rPr>
          <w:rFonts w:hint="eastAsia" w:ascii="宋体" w:hAnsi="宋体" w:eastAsia="宋体" w:cs="宋体"/>
          <w:color w:val="auto"/>
          <w:sz w:val="21"/>
          <w:szCs w:val="21"/>
          <w:highlight w:val="none"/>
          <w:shd w:val="clear" w:fill="F7F7F7"/>
        </w:rPr>
        <w:t>    简要规格描述或项目基本概况介绍、用途：详见采购文件 </w:t>
      </w:r>
      <w:r>
        <w:rPr>
          <w:rFonts w:hint="eastAsia" w:ascii="宋体" w:hAnsi="宋体" w:eastAsia="宋体" w:cs="宋体"/>
          <w:color w:val="auto"/>
          <w:sz w:val="21"/>
          <w:szCs w:val="21"/>
          <w:highlight w:val="none"/>
          <w:shd w:val="clear" w:fill="F7F7F7"/>
        </w:rPr>
        <w:br w:type="textWrapping"/>
      </w:r>
      <w:r>
        <w:rPr>
          <w:rFonts w:hint="eastAsia" w:ascii="宋体" w:hAnsi="宋体" w:eastAsia="宋体" w:cs="宋体"/>
          <w:color w:val="auto"/>
          <w:sz w:val="21"/>
          <w:szCs w:val="21"/>
          <w:highlight w:val="none"/>
          <w:shd w:val="clear" w:fill="F7F7F7"/>
        </w:rPr>
        <w:t>    备注： </w:t>
      </w:r>
    </w:p>
    <w:p w14:paraId="3FC643BB">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合同履约期限：标项 1，详见采购文件</w:t>
      </w:r>
    </w:p>
    <w:p w14:paraId="6DD9D983">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本项目（</w:t>
      </w:r>
      <w:r>
        <w:rPr>
          <w:rFonts w:hint="eastAsia" w:cs="宋体"/>
          <w:color w:val="auto"/>
          <w:sz w:val="21"/>
          <w:szCs w:val="21"/>
          <w:highlight w:val="none"/>
          <w:lang w:val="en-US" w:eastAsia="zh-CN"/>
        </w:rPr>
        <w:t>否</w:t>
      </w:r>
      <w:r>
        <w:rPr>
          <w:rFonts w:hint="eastAsia" w:ascii="宋体" w:hAnsi="宋体" w:eastAsia="宋体" w:cs="宋体"/>
          <w:color w:val="auto"/>
          <w:sz w:val="21"/>
          <w:szCs w:val="21"/>
          <w:highlight w:val="none"/>
        </w:rPr>
        <w:t>）接受联合体投标。</w:t>
      </w:r>
    </w:p>
    <w:p w14:paraId="2AD11801">
      <w:pPr>
        <w:pStyle w:val="49"/>
        <w:keepNext w:val="0"/>
        <w:keepLines w:val="0"/>
        <w:pageBreakBefore w:val="0"/>
        <w:widowControl/>
        <w:suppressLineNumbers w:val="0"/>
        <w:kinsoku/>
        <w:wordWrap/>
        <w:overflowPunct/>
        <w:topLinePunct w:val="0"/>
        <w:autoSpaceDE/>
        <w:autoSpaceDN/>
        <w:bidi w:val="0"/>
        <w:adjustRightInd/>
        <w:snapToGrid/>
        <w:spacing w:before="225" w:beforeAutospacing="0" w:after="225" w:afterAutospacing="0" w:line="360" w:lineRule="auto"/>
        <w:ind w:left="0" w:right="0"/>
        <w:textAlignment w:val="auto"/>
        <w:rPr>
          <w:rFonts w:hint="eastAsia" w:ascii="宋体" w:hAnsi="宋体" w:eastAsia="宋体" w:cs="宋体"/>
          <w:color w:val="auto"/>
          <w:sz w:val="21"/>
          <w:szCs w:val="21"/>
          <w:highlight w:val="none"/>
        </w:rPr>
      </w:pPr>
      <w:r>
        <w:rPr>
          <w:rStyle w:val="58"/>
          <w:rFonts w:hint="eastAsia" w:ascii="宋体" w:hAnsi="宋体" w:eastAsia="宋体" w:cs="宋体"/>
          <w:color w:val="auto"/>
          <w:sz w:val="21"/>
          <w:szCs w:val="21"/>
          <w:highlight w:val="none"/>
        </w:rPr>
        <w:t>二、申请人的资格要求：</w:t>
      </w:r>
    </w:p>
    <w:p w14:paraId="1945D5B7">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0D3771F6">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rPr>
        <w:t xml:space="preserve"> 2.落实政府采购政策需满足的资格要求：标项1：本项目专门面向中小企业招标（投标时须提供中小企业声明函）  </w:t>
      </w:r>
    </w:p>
    <w:p w14:paraId="55AA32E3">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3.本项目的特定资格要求：无 </w:t>
      </w:r>
    </w:p>
    <w:p w14:paraId="37ABE81A">
      <w:pPr>
        <w:pStyle w:val="4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1"/>
          <w:szCs w:val="21"/>
          <w:highlight w:val="none"/>
        </w:rPr>
      </w:pPr>
      <w:r>
        <w:rPr>
          <w:rStyle w:val="58"/>
          <w:rFonts w:hint="eastAsia" w:ascii="宋体" w:hAnsi="宋体" w:eastAsia="宋体" w:cs="宋体"/>
          <w:color w:val="auto"/>
          <w:sz w:val="21"/>
          <w:szCs w:val="21"/>
          <w:highlight w:val="none"/>
        </w:rPr>
        <w:t>三、获取招标文件</w:t>
      </w:r>
      <w:r>
        <w:rPr>
          <w:rFonts w:hint="eastAsia" w:ascii="宋体" w:hAnsi="宋体" w:eastAsia="宋体" w:cs="宋体"/>
          <w:color w:val="auto"/>
          <w:sz w:val="21"/>
          <w:szCs w:val="21"/>
          <w:highlight w:val="none"/>
        </w:rPr>
        <w:t> </w:t>
      </w:r>
    </w:p>
    <w:p w14:paraId="1825613B">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u w:val="none"/>
        </w:rPr>
        <w:t>时间：/至</w:t>
      </w:r>
      <w:r>
        <w:rPr>
          <w:rFonts w:hint="eastAsia" w:ascii="宋体" w:hAnsi="宋体" w:eastAsia="宋体" w:cs="宋体"/>
          <w:color w:val="auto"/>
          <w:sz w:val="21"/>
          <w:szCs w:val="21"/>
          <w:highlight w:val="none"/>
          <w:u w:val="none"/>
        </w:rPr>
        <w:t>202</w:t>
      </w:r>
      <w:r>
        <w:rPr>
          <w:rFonts w:hint="eastAsia"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年</w:t>
      </w:r>
      <w:r>
        <w:rPr>
          <w:rFonts w:hint="eastAsia"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月</w:t>
      </w:r>
      <w:r>
        <w:rPr>
          <w:rFonts w:hint="eastAsia" w:cs="宋体"/>
          <w:color w:val="auto"/>
          <w:sz w:val="21"/>
          <w:szCs w:val="21"/>
          <w:highlight w:val="none"/>
          <w:u w:val="none"/>
          <w:lang w:val="en-US" w:eastAsia="zh-CN"/>
        </w:rPr>
        <w:t>19</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rPr>
        <w:t> ，每天上午00:00至12:00 ，下午12:00至23:59（北京时间，线上获取法定节假日均可，线下获取文件法定节假日除外）</w:t>
      </w:r>
    </w:p>
    <w:p w14:paraId="0862D661">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地点（网址）：政采云平台线上获取 </w:t>
      </w:r>
    </w:p>
    <w:p w14:paraId="37A0ABEF">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方式：供应商登录政采云平台https://www.zcygov.cn/在线申请获取采购文件（进入“项目采购”应用，在获取采购文件菜单中选择项目，申请获取采购文件） </w:t>
      </w:r>
    </w:p>
    <w:p w14:paraId="11EA8BBD">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售价（元）：0 </w:t>
      </w:r>
    </w:p>
    <w:p w14:paraId="669986FF">
      <w:pPr>
        <w:pStyle w:val="4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1"/>
          <w:szCs w:val="21"/>
          <w:highlight w:val="none"/>
        </w:rPr>
      </w:pPr>
      <w:r>
        <w:rPr>
          <w:rStyle w:val="58"/>
          <w:rFonts w:hint="eastAsia" w:ascii="宋体" w:hAnsi="宋体" w:eastAsia="宋体" w:cs="宋体"/>
          <w:color w:val="auto"/>
          <w:sz w:val="21"/>
          <w:szCs w:val="21"/>
          <w:highlight w:val="none"/>
        </w:rPr>
        <w:t>四、提交投标文件截止时间、开标时间和地点</w:t>
      </w:r>
    </w:p>
    <w:p w14:paraId="3E37DB6C">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u w:val="none"/>
        </w:rPr>
        <w:t> 提交投标文件截止时间：</w:t>
      </w:r>
      <w:r>
        <w:rPr>
          <w:rFonts w:hint="eastAsia" w:ascii="宋体" w:hAnsi="宋体" w:eastAsia="宋体" w:cs="宋体"/>
          <w:color w:val="auto"/>
          <w:sz w:val="21"/>
          <w:szCs w:val="21"/>
          <w:highlight w:val="none"/>
          <w:u w:val="none"/>
        </w:rPr>
        <w:t>202</w:t>
      </w:r>
      <w:r>
        <w:rPr>
          <w:rFonts w:hint="eastAsia"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年</w:t>
      </w:r>
      <w:r>
        <w:rPr>
          <w:rFonts w:hint="eastAsia"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月</w:t>
      </w:r>
      <w:r>
        <w:rPr>
          <w:rFonts w:hint="eastAsia" w:cs="宋体"/>
          <w:color w:val="auto"/>
          <w:sz w:val="21"/>
          <w:szCs w:val="21"/>
          <w:highlight w:val="none"/>
          <w:u w:val="none"/>
          <w:lang w:val="en-US" w:eastAsia="zh-CN"/>
        </w:rPr>
        <w:t>19</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rPr>
        <w:t xml:space="preserve"> 14:00（北京时间）</w:t>
      </w:r>
    </w:p>
    <w:p w14:paraId="4643575E">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u w:val="none"/>
        </w:rPr>
        <w:t> 投标地点（网址）：请登录政采云投标客户端投标</w:t>
      </w:r>
      <w:r>
        <w:rPr>
          <w:rFonts w:hint="eastAsia" w:ascii="宋体" w:hAnsi="宋体" w:eastAsia="宋体" w:cs="宋体"/>
          <w:color w:val="auto"/>
          <w:sz w:val="21"/>
          <w:szCs w:val="21"/>
          <w:highlight w:val="none"/>
        </w:rPr>
        <w:t> </w:t>
      </w:r>
    </w:p>
    <w:p w14:paraId="46C69C88">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    开标时间：</w:t>
      </w:r>
      <w:r>
        <w:rPr>
          <w:rFonts w:hint="eastAsia" w:ascii="宋体" w:hAnsi="宋体" w:eastAsia="宋体" w:cs="宋体"/>
          <w:color w:val="auto"/>
          <w:sz w:val="21"/>
          <w:szCs w:val="21"/>
          <w:highlight w:val="none"/>
          <w:u w:val="none"/>
        </w:rPr>
        <w:t>202</w:t>
      </w:r>
      <w:r>
        <w:rPr>
          <w:rFonts w:hint="eastAsia"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年</w:t>
      </w:r>
      <w:r>
        <w:rPr>
          <w:rFonts w:hint="eastAsia"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月</w:t>
      </w:r>
      <w:r>
        <w:rPr>
          <w:rFonts w:hint="eastAsia" w:cs="宋体"/>
          <w:color w:val="auto"/>
          <w:sz w:val="21"/>
          <w:szCs w:val="21"/>
          <w:highlight w:val="none"/>
          <w:u w:val="none"/>
          <w:lang w:val="en-US" w:eastAsia="zh-CN"/>
        </w:rPr>
        <w:t>19</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rPr>
        <w:t xml:space="preserve"> 14:00</w:t>
      </w:r>
      <w:r>
        <w:rPr>
          <w:rFonts w:hint="eastAsia" w:ascii="宋体" w:hAnsi="宋体" w:eastAsia="宋体" w:cs="宋体"/>
          <w:color w:val="auto"/>
          <w:sz w:val="21"/>
          <w:szCs w:val="21"/>
          <w:highlight w:val="none"/>
        </w:rPr>
        <w:t> </w:t>
      </w:r>
    </w:p>
    <w:p w14:paraId="204ED8E7">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    开标地点（网址）：“政采云”平台电子投标（线上）</w:t>
      </w:r>
      <w:r>
        <w:rPr>
          <w:rFonts w:hint="eastAsia" w:ascii="宋体" w:hAnsi="宋体" w:eastAsia="宋体" w:cs="宋体"/>
          <w:color w:val="auto"/>
          <w:sz w:val="21"/>
          <w:szCs w:val="21"/>
          <w:highlight w:val="none"/>
        </w:rPr>
        <w:t>  </w:t>
      </w:r>
    </w:p>
    <w:p w14:paraId="6CBFBAF2">
      <w:pPr>
        <w:pStyle w:val="4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1"/>
          <w:szCs w:val="21"/>
          <w:highlight w:val="none"/>
        </w:rPr>
      </w:pPr>
      <w:r>
        <w:rPr>
          <w:rStyle w:val="58"/>
          <w:rFonts w:hint="eastAsia" w:ascii="宋体" w:hAnsi="宋体" w:eastAsia="宋体" w:cs="宋体"/>
          <w:color w:val="auto"/>
          <w:sz w:val="21"/>
          <w:szCs w:val="21"/>
          <w:highlight w:val="none"/>
        </w:rPr>
        <w:t>五、公告期限</w:t>
      </w:r>
      <w:r>
        <w:rPr>
          <w:rFonts w:hint="eastAsia" w:ascii="宋体" w:hAnsi="宋体" w:eastAsia="宋体" w:cs="宋体"/>
          <w:color w:val="auto"/>
          <w:sz w:val="21"/>
          <w:szCs w:val="21"/>
          <w:highlight w:val="none"/>
        </w:rPr>
        <w:t> </w:t>
      </w:r>
    </w:p>
    <w:p w14:paraId="07E5EA94">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自本公告发布之日起5个工作日。</w:t>
      </w:r>
    </w:p>
    <w:p w14:paraId="5AD42FAA">
      <w:pPr>
        <w:pStyle w:val="4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1"/>
          <w:szCs w:val="21"/>
          <w:highlight w:val="none"/>
        </w:rPr>
      </w:pPr>
      <w:r>
        <w:rPr>
          <w:rStyle w:val="58"/>
          <w:rFonts w:hint="eastAsia" w:ascii="宋体" w:hAnsi="宋体" w:eastAsia="宋体" w:cs="宋体"/>
          <w:color w:val="auto"/>
          <w:sz w:val="21"/>
          <w:szCs w:val="21"/>
          <w:highlight w:val="none"/>
        </w:rPr>
        <w:t>六、其他补充事宜</w:t>
      </w:r>
    </w:p>
    <w:p w14:paraId="76EBF954">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1316331">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https://jinrong.zcygov.cn/finance-service/#/home。</w:t>
      </w:r>
    </w:p>
    <w:p w14:paraId="4B111E62">
      <w:pPr>
        <w:pStyle w:val="4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1"/>
          <w:szCs w:val="21"/>
          <w:highlight w:val="none"/>
        </w:rPr>
      </w:pPr>
      <w:r>
        <w:rPr>
          <w:rStyle w:val="58"/>
          <w:rFonts w:hint="eastAsia" w:ascii="宋体" w:hAnsi="宋体" w:eastAsia="宋体" w:cs="宋体"/>
          <w:color w:val="auto"/>
          <w:sz w:val="21"/>
          <w:szCs w:val="21"/>
          <w:highlight w:val="none"/>
        </w:rPr>
        <w:t>七、对本次采购提出询问、质疑、投诉，请按以下方式联系</w:t>
      </w:r>
    </w:p>
    <w:p w14:paraId="0458D160">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1.采购人信息</w:t>
      </w:r>
    </w:p>
    <w:p w14:paraId="297DCF52">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    称：嘉兴市生态环境局秀洲分局 </w:t>
      </w:r>
    </w:p>
    <w:p w14:paraId="2445B38D">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    址：嘉兴市秀洲区新城街道新秀路351号 </w:t>
      </w:r>
    </w:p>
    <w:p w14:paraId="14BC6580">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传    真：  </w:t>
      </w:r>
    </w:p>
    <w:p w14:paraId="10AB9B0F">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项目联系人（询问）：田雨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p>
    <w:p w14:paraId="1AC88330">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项目联系方式（询问）：</w:t>
      </w:r>
      <w:r>
        <w:rPr>
          <w:rFonts w:hint="eastAsia" w:ascii="宋体" w:hAnsi="宋体" w:eastAsia="宋体" w:cs="宋体"/>
          <w:color w:val="auto"/>
          <w:sz w:val="21"/>
          <w:szCs w:val="21"/>
          <w:highlight w:val="none"/>
          <w:lang w:val="en-US" w:eastAsia="zh-CN"/>
        </w:rPr>
        <w:t xml:space="preserve">0573-83675120 </w:t>
      </w:r>
      <w:r>
        <w:rPr>
          <w:rFonts w:hint="eastAsia" w:ascii="宋体" w:hAnsi="宋体" w:eastAsia="宋体" w:cs="宋体"/>
          <w:color w:val="auto"/>
          <w:sz w:val="21"/>
          <w:szCs w:val="21"/>
          <w:highlight w:val="none"/>
        </w:rPr>
        <w:t> </w:t>
      </w:r>
    </w:p>
    <w:p w14:paraId="634B9674">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质疑联系人：柴欣钰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p>
    <w:p w14:paraId="6B6859D0">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质疑联系方式：</w:t>
      </w:r>
      <w:r>
        <w:rPr>
          <w:rFonts w:hint="eastAsia" w:ascii="宋体" w:hAnsi="宋体" w:eastAsia="宋体" w:cs="宋体"/>
          <w:color w:val="auto"/>
          <w:sz w:val="21"/>
          <w:szCs w:val="21"/>
          <w:highlight w:val="none"/>
          <w:lang w:val="en-US" w:eastAsia="zh-CN"/>
        </w:rPr>
        <w:t>0573-53675116</w:t>
      </w:r>
    </w:p>
    <w:p w14:paraId="13C08F44">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2.采购代理机构信息            </w:t>
      </w:r>
    </w:p>
    <w:p w14:paraId="62F4D82F">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    称：大地工程咨询有限公司             </w:t>
      </w:r>
    </w:p>
    <w:p w14:paraId="160F7AB3">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    址：嘉兴市秀洲区洪波路1200号万豪广场12楼1204             </w:t>
      </w:r>
    </w:p>
    <w:p w14:paraId="0372FE5A">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传    真：             </w:t>
      </w:r>
    </w:p>
    <w:p w14:paraId="236800CF">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项目联系人（询问）：杨丽莉              </w:t>
      </w:r>
    </w:p>
    <w:p w14:paraId="197B7556">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项目联系方式（询问）：0573-82133572 </w:t>
      </w:r>
    </w:p>
    <w:p w14:paraId="3B4E0D7F">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质疑联系人：李斌             </w:t>
      </w:r>
    </w:p>
    <w:p w14:paraId="64F356BD">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质疑联系方式：0573-82133572 　　　　　　     </w:t>
      </w:r>
    </w:p>
    <w:p w14:paraId="1B3A9067">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w:t>
      </w:r>
      <w:r>
        <w:rPr>
          <w:rStyle w:val="64"/>
          <w:rFonts w:hint="eastAsia" w:ascii="宋体" w:hAnsi="宋体" w:eastAsia="宋体" w:cs="宋体"/>
          <w:color w:val="auto"/>
          <w:sz w:val="21"/>
          <w:szCs w:val="21"/>
          <w:highlight w:val="none"/>
        </w:rPr>
        <w:t>同级政府采购监督管理部门</w:t>
      </w:r>
    </w:p>
    <w:p w14:paraId="567021E0">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    称：嘉兴市秀洲区财政局</w:t>
      </w:r>
    </w:p>
    <w:p w14:paraId="07A83A90">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    址：</w:t>
      </w:r>
    </w:p>
    <w:p w14:paraId="7EB51CE2">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传    真：</w:t>
      </w:r>
    </w:p>
    <w:p w14:paraId="284051F6">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联 系 人：宋女生</w:t>
      </w:r>
    </w:p>
    <w:p w14:paraId="6FFA4DD1">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监督投诉电话：0573-82720085</w:t>
      </w:r>
    </w:p>
    <w:p w14:paraId="25C1E5B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w:t>
      </w:r>
    </w:p>
    <w:p w14:paraId="44B2D762">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6EF9CD1F">
      <w:pPr>
        <w:pStyle w:val="4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p>
    <w:p w14:paraId="197FB69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若对项目采购电子交易系统操作有疑问，可登录政采云（https://www.zcygov.cn/），点击右侧咨询小采，获取采小蜜智能服务管家帮助，或拨打政采云服务热线95763获取热线服务帮助。       </w:t>
      </w:r>
    </w:p>
    <w:p w14:paraId="3080067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CA问题联系电话（人工）：汇信CA 400-888-4636；天谷CA 400-087-8198。</w:t>
      </w:r>
    </w:p>
    <w:p w14:paraId="368CC241">
      <w:pPr>
        <w:pStyle w:val="49"/>
        <w:keepNext w:val="0"/>
        <w:keepLines w:val="0"/>
        <w:widowControl/>
        <w:suppressLineNumbers w:val="0"/>
        <w:spacing w:before="75" w:beforeAutospacing="0" w:after="75" w:afterAutospacing="0"/>
        <w:ind w:left="0" w:right="0"/>
        <w:rPr>
          <w:color w:val="auto"/>
          <w:highlight w:val="none"/>
        </w:rPr>
      </w:pPr>
    </w:p>
    <w:p w14:paraId="40BD4117">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    </w:t>
      </w:r>
    </w:p>
    <w:p w14:paraId="22D63C29">
      <w:pPr>
        <w:pStyle w:val="49"/>
        <w:keepNext w:val="0"/>
        <w:keepLines w:val="0"/>
        <w:widowControl/>
        <w:suppressLineNumbers w:val="0"/>
        <w:spacing w:before="75" w:beforeAutospacing="0" w:after="75" w:afterAutospacing="0"/>
        <w:ind w:left="0" w:right="0"/>
        <w:rPr>
          <w:color w:val="auto"/>
          <w:highlight w:val="none"/>
        </w:rPr>
      </w:pPr>
    </w:p>
    <w:p w14:paraId="2757E288">
      <w:pPr>
        <w:pStyle w:val="17"/>
        <w:rPr>
          <w:color w:val="auto"/>
          <w:highlight w:val="none"/>
        </w:rPr>
      </w:pPr>
      <w:r>
        <w:rPr>
          <w:rFonts w:hint="eastAsia"/>
          <w:color w:val="auto"/>
          <w:highlight w:val="none"/>
        </w:rPr>
        <w:t xml:space="preserve">        </w:t>
      </w:r>
    </w:p>
    <w:bookmarkEnd w:id="8"/>
    <w:bookmarkEnd w:id="9"/>
    <w:p w14:paraId="08AAD92E">
      <w:pPr>
        <w:pStyle w:val="49"/>
        <w:numPr>
          <w:ilvl w:val="0"/>
          <w:numId w:val="3"/>
        </w:numPr>
        <w:spacing w:before="0" w:beforeAutospacing="0" w:after="0" w:afterAutospacing="0" w:line="360" w:lineRule="auto"/>
        <w:ind w:right="42" w:rightChars="20"/>
        <w:jc w:val="center"/>
        <w:rPr>
          <w:rFonts w:asciiTheme="minorEastAsia" w:hAnsiTheme="minorEastAsia" w:eastAsiaTheme="minorEastAsia"/>
          <w:b/>
          <w:bCs/>
          <w:color w:val="auto"/>
          <w:kern w:val="2"/>
          <w:szCs w:val="52"/>
          <w:highlight w:val="none"/>
        </w:rPr>
      </w:pPr>
      <w:bookmarkStart w:id="11" w:name="_Toc31093"/>
      <w:bookmarkStart w:id="12" w:name="_Toc493511542"/>
      <w:r>
        <w:rPr>
          <w:rFonts w:hint="eastAsia" w:asciiTheme="minorEastAsia" w:hAnsiTheme="minorEastAsia" w:eastAsiaTheme="minorEastAsia"/>
          <w:b/>
          <w:bCs/>
          <w:color w:val="auto"/>
          <w:kern w:val="2"/>
          <w:szCs w:val="52"/>
          <w:highlight w:val="none"/>
        </w:rPr>
        <w:t xml:space="preserve"> 采购需求</w:t>
      </w:r>
    </w:p>
    <w:p w14:paraId="09DB40B8">
      <w:pPr>
        <w:widowControl/>
        <w:snapToGrid w:val="0"/>
        <w:spacing w:line="520" w:lineRule="exact"/>
        <w:ind w:firstLine="422" w:firstLineChars="200"/>
        <w:jc w:val="left"/>
        <w:rPr>
          <w:rFonts w:hint="eastAsia" w:ascii="宋体" w:hAnsi="宋体" w:eastAsia="宋体" w:cs="宋体"/>
          <w:b/>
          <w:bCs/>
          <w:color w:val="auto"/>
          <w:kern w:val="0"/>
          <w:highlight w:val="none"/>
          <w:lang w:eastAsia="zh-CN"/>
        </w:rPr>
      </w:pPr>
      <w:r>
        <w:rPr>
          <w:rFonts w:hint="eastAsia" w:ascii="宋体" w:hAnsi="宋体" w:cs="宋体"/>
          <w:b/>
          <w:bCs/>
          <w:color w:val="auto"/>
          <w:kern w:val="0"/>
          <w:highlight w:val="none"/>
        </w:rPr>
        <w:t>一、项目</w:t>
      </w:r>
      <w:r>
        <w:rPr>
          <w:rFonts w:hint="eastAsia" w:ascii="宋体" w:hAnsi="宋体" w:cs="宋体"/>
          <w:b/>
          <w:bCs/>
          <w:color w:val="auto"/>
          <w:kern w:val="0"/>
          <w:highlight w:val="none"/>
          <w:lang w:val="en-US" w:eastAsia="zh-CN"/>
        </w:rPr>
        <w:t>概况</w:t>
      </w:r>
    </w:p>
    <w:p w14:paraId="443C92D6">
      <w:pPr>
        <w:widowControl/>
        <w:snapToGrid w:val="0"/>
        <w:spacing w:line="520" w:lineRule="exact"/>
        <w:ind w:firstLine="420" w:firstLineChars="200"/>
        <w:jc w:val="left"/>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 xml:space="preserve">为提升排污许可证填报工作的准确性与规范性，确保各企业能够严格依照法律法规开展排污活动，提高排污许可证的管理效率，促进企业绿色发展，提供进一步的排污技术服务，要求招标人能协助生态环境部门完成排污许可证和自行监测的提质增效。 </w:t>
      </w:r>
    </w:p>
    <w:p w14:paraId="020D3DED">
      <w:pPr>
        <w:keepNext w:val="0"/>
        <w:keepLines w:val="0"/>
        <w:pageBreakBefore w:val="0"/>
        <w:widowControl w:val="0"/>
        <w:numPr>
          <w:ilvl w:val="0"/>
          <w:numId w:val="4"/>
        </w:numPr>
        <w:kinsoku/>
        <w:wordWrap/>
        <w:overflowPunct/>
        <w:topLinePunct w:val="0"/>
        <w:bidi w:val="0"/>
        <w:spacing w:line="500" w:lineRule="exact"/>
        <w:ind w:firstLine="422" w:firstLineChars="200"/>
        <w:jc w:val="both"/>
        <w:rPr>
          <w:rFonts w:hint="default" w:ascii="宋体" w:hAnsi="宋体" w:eastAsia="宋体" w:cs="宋体"/>
          <w:b/>
          <w:bCs/>
          <w:color w:val="auto"/>
          <w:kern w:val="0"/>
          <w:sz w:val="21"/>
          <w:szCs w:val="21"/>
          <w:highlight w:val="none"/>
          <w:lang w:val="en-US" w:eastAsia="zh-CN" w:bidi="ar-SA"/>
        </w:rPr>
      </w:pPr>
      <w:r>
        <w:rPr>
          <w:rFonts w:hint="default" w:ascii="宋体" w:hAnsi="宋体" w:eastAsia="宋体" w:cs="宋体"/>
          <w:b/>
          <w:bCs/>
          <w:color w:val="auto"/>
          <w:kern w:val="0"/>
          <w:sz w:val="21"/>
          <w:szCs w:val="21"/>
          <w:highlight w:val="none"/>
          <w:lang w:val="en-US" w:eastAsia="zh-CN" w:bidi="ar-SA"/>
        </w:rPr>
        <w:t>排污许可工作</w:t>
      </w:r>
    </w:p>
    <w:p w14:paraId="4DDF46A2">
      <w:pPr>
        <w:widowControl/>
        <w:snapToGrid w:val="0"/>
        <w:spacing w:line="520" w:lineRule="exact"/>
        <w:ind w:firstLine="420" w:firstLineChars="200"/>
        <w:jc w:val="both"/>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1、协助采购人完成排污许可证质量回头看工作，并协助采购人对全区排污许可证进行质量复核全覆盖，并为存在问题排污单位整改工作提供技术咨询服务。</w:t>
      </w:r>
    </w:p>
    <w:p w14:paraId="08391747">
      <w:pPr>
        <w:widowControl/>
        <w:snapToGrid w:val="0"/>
        <w:spacing w:line="520" w:lineRule="exact"/>
        <w:ind w:left="420" w:leftChars="200" w:firstLine="0" w:firstLineChars="0"/>
        <w:jc w:val="both"/>
        <w:rPr>
          <w:rFonts w:hint="default" w:ascii="宋体" w:hAnsi="宋体" w:eastAsia="宋体" w:cs="宋体"/>
          <w:color w:val="auto"/>
          <w:kern w:val="0"/>
          <w:highlight w:val="none"/>
          <w:lang w:val="en-US" w:eastAsia="zh-CN"/>
        </w:rPr>
      </w:pPr>
      <w:r>
        <w:rPr>
          <w:rFonts w:hint="default" w:ascii="宋体" w:hAnsi="宋体" w:eastAsia="宋体" w:cs="宋体"/>
          <w:color w:val="auto"/>
          <w:kern w:val="0"/>
          <w:highlight w:val="none"/>
          <w:lang w:val="en-US" w:eastAsia="zh-CN"/>
        </w:rPr>
        <w:t>2.为秀洲区范围内首次申请、重新申请排污许可证的企业填报排污信息提供咨询服务。 3.为排污登记企业的登记申请、延续、变更、注销提供咨询服务，并保持动态更新。</w:t>
      </w:r>
    </w:p>
    <w:p w14:paraId="47DE5B65">
      <w:pPr>
        <w:widowControl/>
        <w:snapToGrid w:val="0"/>
        <w:spacing w:line="520" w:lineRule="exact"/>
        <w:ind w:left="420" w:leftChars="200" w:firstLine="0" w:firstLineChars="0"/>
        <w:jc w:val="both"/>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4.协助采购人对排污许可证执行报告进行收集，并为存在问题的排污单位整改工作提供技术咨询服务。</w:t>
      </w:r>
    </w:p>
    <w:p w14:paraId="60D4B106">
      <w:pPr>
        <w:widowControl/>
        <w:snapToGrid w:val="0"/>
        <w:spacing w:line="520" w:lineRule="exact"/>
        <w:ind w:firstLine="420" w:firstLineChars="200"/>
        <w:jc w:val="left"/>
        <w:rPr>
          <w:rFonts w:hint="default" w:ascii="宋体" w:hAnsi="宋体" w:cs="宋体"/>
          <w:color w:val="auto"/>
          <w:kern w:val="0"/>
          <w:highlight w:val="none"/>
          <w:lang w:val="en-US" w:eastAsia="zh-CN"/>
        </w:rPr>
      </w:pPr>
      <w:r>
        <w:rPr>
          <w:rFonts w:hint="eastAsia" w:ascii="宋体" w:hAnsi="宋体" w:eastAsia="宋体" w:cs="宋体"/>
          <w:color w:val="auto"/>
          <w:kern w:val="0"/>
          <w:highlight w:val="none"/>
          <w:lang w:val="en-US" w:eastAsia="zh-CN"/>
        </w:rPr>
        <w:t>5</w:t>
      </w:r>
      <w:r>
        <w:rPr>
          <w:rFonts w:hint="default" w:ascii="宋体" w:hAnsi="宋体" w:eastAsia="宋体" w:cs="宋体"/>
          <w:color w:val="auto"/>
          <w:kern w:val="0"/>
          <w:highlight w:val="none"/>
          <w:lang w:val="en-US" w:eastAsia="zh-CN"/>
        </w:rPr>
        <w:t>.</w:t>
      </w:r>
      <w:r>
        <w:rPr>
          <w:rFonts w:hint="eastAsia" w:ascii="宋体" w:hAnsi="宋体" w:eastAsia="宋体" w:cs="宋体"/>
          <w:color w:val="auto"/>
          <w:kern w:val="0"/>
          <w:highlight w:val="none"/>
          <w:lang w:val="en-US" w:eastAsia="zh-CN"/>
        </w:rPr>
        <w:t>投标人需协</w:t>
      </w:r>
      <w:r>
        <w:rPr>
          <w:rFonts w:hint="eastAsia" w:ascii="宋体" w:hAnsi="宋体" w:cs="宋体"/>
          <w:color w:val="auto"/>
          <w:kern w:val="0"/>
          <w:highlight w:val="none"/>
          <w:lang w:val="en-US" w:eastAsia="zh-CN"/>
        </w:rPr>
        <w:t>助采购人应对</w:t>
      </w:r>
      <w:r>
        <w:rPr>
          <w:rFonts w:hint="default" w:ascii="宋体" w:hAnsi="宋体" w:cs="宋体"/>
          <w:color w:val="auto"/>
          <w:kern w:val="0"/>
          <w:highlight w:val="none"/>
          <w:lang w:val="en-US" w:eastAsia="zh-CN"/>
        </w:rPr>
        <w:t>上级部门排污许可质量</w:t>
      </w:r>
      <w:r>
        <w:rPr>
          <w:rFonts w:hint="eastAsia" w:ascii="宋体" w:hAnsi="宋体" w:cs="宋体"/>
          <w:color w:val="auto"/>
          <w:kern w:val="0"/>
          <w:highlight w:val="none"/>
          <w:lang w:val="en-US" w:eastAsia="zh-CN"/>
        </w:rPr>
        <w:t>的工作要求并提供相关服务（费用包含在本次报价内，不另行结算）</w:t>
      </w:r>
      <w:r>
        <w:rPr>
          <w:rFonts w:hint="default" w:ascii="宋体" w:hAnsi="宋体" w:cs="宋体"/>
          <w:color w:val="auto"/>
          <w:kern w:val="0"/>
          <w:highlight w:val="none"/>
          <w:lang w:val="en-US" w:eastAsia="zh-CN"/>
        </w:rPr>
        <w:t>。</w:t>
      </w:r>
    </w:p>
    <w:p w14:paraId="394F03FC">
      <w:pPr>
        <w:widowControl/>
        <w:snapToGrid w:val="0"/>
        <w:spacing w:line="520" w:lineRule="exact"/>
        <w:ind w:firstLine="420" w:firstLineChars="200"/>
        <w:jc w:val="left"/>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6</w:t>
      </w:r>
      <w:r>
        <w:rPr>
          <w:rFonts w:hint="default" w:ascii="宋体" w:hAnsi="宋体" w:cs="宋体"/>
          <w:color w:val="auto"/>
          <w:kern w:val="0"/>
          <w:highlight w:val="none"/>
          <w:lang w:val="en-US" w:eastAsia="zh-CN"/>
        </w:rPr>
        <w:t>.配合完成</w:t>
      </w:r>
      <w:r>
        <w:rPr>
          <w:rFonts w:hint="eastAsia" w:ascii="宋体" w:hAnsi="宋体" w:cs="宋体"/>
          <w:color w:val="auto"/>
          <w:kern w:val="0"/>
          <w:highlight w:val="none"/>
          <w:lang w:val="en-US" w:eastAsia="zh-CN"/>
        </w:rPr>
        <w:t>科室</w:t>
      </w:r>
      <w:r>
        <w:rPr>
          <w:rFonts w:hint="default" w:ascii="宋体" w:hAnsi="宋体" w:cs="宋体"/>
          <w:color w:val="auto"/>
          <w:kern w:val="0"/>
          <w:highlight w:val="none"/>
          <w:lang w:val="en-US" w:eastAsia="zh-CN"/>
        </w:rPr>
        <w:t>其它相关技术服务。</w:t>
      </w:r>
    </w:p>
    <w:p w14:paraId="209DFCB4">
      <w:pPr>
        <w:widowControl/>
        <w:snapToGrid w:val="0"/>
        <w:spacing w:line="520" w:lineRule="exact"/>
        <w:ind w:firstLine="420" w:firstLineChars="200"/>
        <w:jc w:val="left"/>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7</w:t>
      </w:r>
      <w:r>
        <w:rPr>
          <w:rFonts w:hint="default" w:ascii="宋体" w:hAnsi="宋体" w:cs="宋体"/>
          <w:color w:val="auto"/>
          <w:kern w:val="0"/>
          <w:highlight w:val="none"/>
          <w:lang w:val="en-US" w:eastAsia="zh-CN"/>
        </w:rPr>
        <w:t>.合同履行期间，中标单位需配备1辆办公用车，不少于2名工作人员</w:t>
      </w:r>
      <w:r>
        <w:rPr>
          <w:rFonts w:hint="eastAsia" w:ascii="宋体" w:hAnsi="宋体" w:cs="宋体"/>
          <w:color w:val="auto"/>
          <w:kern w:val="0"/>
          <w:highlight w:val="none"/>
          <w:lang w:val="en-US" w:eastAsia="zh-CN"/>
        </w:rPr>
        <w:t>（不含项目负责人）</w:t>
      </w:r>
      <w:r>
        <w:rPr>
          <w:rFonts w:hint="default" w:ascii="宋体" w:hAnsi="宋体" w:cs="宋体"/>
          <w:color w:val="auto"/>
          <w:kern w:val="0"/>
          <w:highlight w:val="none"/>
          <w:lang w:val="en-US" w:eastAsia="zh-CN"/>
        </w:rPr>
        <w:t>和必要的办公设备在嘉兴市生态环境局秀洲分局驻点办公，驻点人员不再承接投标人本项目以外其他工作。项目负责人每周在项目组时间不少于1天。</w:t>
      </w:r>
    </w:p>
    <w:p w14:paraId="5B010D42">
      <w:pPr>
        <w:keepNext w:val="0"/>
        <w:keepLines w:val="0"/>
        <w:pageBreakBefore w:val="0"/>
        <w:widowControl w:val="0"/>
        <w:numPr>
          <w:ilvl w:val="0"/>
          <w:numId w:val="0"/>
        </w:numPr>
        <w:kinsoku/>
        <w:wordWrap/>
        <w:overflowPunct/>
        <w:topLinePunct w:val="0"/>
        <w:bidi w:val="0"/>
        <w:spacing w:line="500" w:lineRule="exact"/>
        <w:ind w:firstLine="422" w:firstLineChars="200"/>
        <w:jc w:val="both"/>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三</w:t>
      </w:r>
      <w:r>
        <w:rPr>
          <w:rFonts w:hint="default" w:ascii="宋体" w:hAnsi="宋体" w:eastAsia="宋体" w:cs="宋体"/>
          <w:b/>
          <w:bCs/>
          <w:color w:val="auto"/>
          <w:kern w:val="0"/>
          <w:sz w:val="21"/>
          <w:szCs w:val="21"/>
          <w:highlight w:val="none"/>
          <w:lang w:val="en-US" w:eastAsia="zh-CN" w:bidi="ar-SA"/>
        </w:rPr>
        <w:t>、自行监测工作</w:t>
      </w:r>
    </w:p>
    <w:p w14:paraId="7D3333D8">
      <w:pPr>
        <w:widowControl/>
        <w:snapToGrid w:val="0"/>
        <w:spacing w:line="520" w:lineRule="exact"/>
        <w:ind w:firstLine="420" w:firstLineChars="200"/>
        <w:jc w:val="both"/>
        <w:rPr>
          <w:rFonts w:hint="default" w:ascii="宋体" w:hAnsi="宋体" w:eastAsia="宋体" w:cs="宋体"/>
          <w:color w:val="auto"/>
          <w:kern w:val="0"/>
          <w:highlight w:val="none"/>
          <w:lang w:val="en-US" w:eastAsia="zh-CN"/>
        </w:rPr>
      </w:pPr>
      <w:r>
        <w:rPr>
          <w:rFonts w:hint="default" w:ascii="宋体" w:hAnsi="宋体" w:eastAsia="宋体" w:cs="宋体"/>
          <w:color w:val="auto"/>
          <w:kern w:val="0"/>
          <w:highlight w:val="none"/>
          <w:lang w:val="en-US" w:eastAsia="zh-CN"/>
        </w:rPr>
        <w:t>1.指定专人负责自行监测的相关技术服务。</w:t>
      </w:r>
    </w:p>
    <w:p w14:paraId="2499D700">
      <w:pPr>
        <w:widowControl/>
        <w:snapToGrid w:val="0"/>
        <w:spacing w:line="520" w:lineRule="exact"/>
        <w:ind w:firstLine="420" w:firstLineChars="200"/>
        <w:jc w:val="both"/>
        <w:rPr>
          <w:rFonts w:hint="default" w:ascii="宋体" w:hAnsi="宋体" w:eastAsia="宋体" w:cs="宋体"/>
          <w:color w:val="auto"/>
          <w:kern w:val="0"/>
          <w:highlight w:val="none"/>
          <w:lang w:val="en-US" w:eastAsia="zh-CN"/>
        </w:rPr>
      </w:pPr>
      <w:r>
        <w:rPr>
          <w:rFonts w:hint="default" w:ascii="宋体" w:hAnsi="宋体" w:eastAsia="宋体" w:cs="宋体"/>
          <w:color w:val="auto"/>
          <w:kern w:val="0"/>
          <w:highlight w:val="none"/>
          <w:lang w:val="en-US" w:eastAsia="zh-CN"/>
        </w:rPr>
        <w:t>2.督促企业按要求开展自行监测工作，完成年度考核目标联网率100%、完成率98%</w:t>
      </w:r>
      <w:r>
        <w:rPr>
          <w:rFonts w:hint="eastAsia" w:ascii="宋体" w:hAnsi="宋体" w:eastAsia="宋体" w:cs="宋体"/>
          <w:color w:val="auto"/>
          <w:kern w:val="0"/>
          <w:highlight w:val="none"/>
          <w:lang w:val="en-US" w:eastAsia="zh-CN"/>
        </w:rPr>
        <w:t>（含）以上</w:t>
      </w:r>
      <w:r>
        <w:rPr>
          <w:rFonts w:hint="default" w:ascii="宋体" w:hAnsi="宋体" w:eastAsia="宋体" w:cs="宋体"/>
          <w:color w:val="auto"/>
          <w:kern w:val="0"/>
          <w:highlight w:val="none"/>
          <w:lang w:val="en-US" w:eastAsia="zh-CN"/>
        </w:rPr>
        <w:t>。</w:t>
      </w:r>
      <w:r>
        <w:rPr>
          <w:rFonts w:hint="eastAsia" w:ascii="宋体" w:hAnsi="宋体" w:eastAsia="宋体" w:cs="宋体"/>
          <w:color w:val="auto"/>
          <w:kern w:val="0"/>
          <w:highlight w:val="none"/>
          <w:lang w:val="en-US" w:eastAsia="zh-CN"/>
        </w:rPr>
        <w:t>（考核标准按最新</w:t>
      </w:r>
      <w:r>
        <w:rPr>
          <w:rFonts w:hint="default" w:ascii="宋体" w:hAnsi="宋体" w:eastAsia="宋体" w:cs="宋体"/>
          <w:color w:val="auto"/>
          <w:kern w:val="0"/>
          <w:highlight w:val="none"/>
          <w:lang w:val="en-US" w:eastAsia="zh-CN"/>
        </w:rPr>
        <w:t>要求</w:t>
      </w:r>
      <w:r>
        <w:rPr>
          <w:rFonts w:hint="eastAsia" w:ascii="宋体" w:hAnsi="宋体" w:eastAsia="宋体" w:cs="宋体"/>
          <w:color w:val="auto"/>
          <w:kern w:val="0"/>
          <w:highlight w:val="none"/>
          <w:lang w:val="en-US" w:eastAsia="zh-CN"/>
        </w:rPr>
        <w:t>实时更新）</w:t>
      </w:r>
    </w:p>
    <w:p w14:paraId="71D18A61">
      <w:pPr>
        <w:widowControl/>
        <w:snapToGrid w:val="0"/>
        <w:spacing w:line="520" w:lineRule="exact"/>
        <w:ind w:firstLine="420" w:firstLineChars="200"/>
        <w:jc w:val="both"/>
        <w:rPr>
          <w:rFonts w:hint="default" w:ascii="宋体" w:hAnsi="宋体" w:eastAsia="宋体" w:cs="宋体"/>
          <w:color w:val="auto"/>
          <w:kern w:val="0"/>
          <w:highlight w:val="none"/>
          <w:lang w:val="en-US" w:eastAsia="zh-CN"/>
        </w:rPr>
      </w:pPr>
      <w:r>
        <w:rPr>
          <w:rFonts w:hint="default" w:ascii="宋体" w:hAnsi="宋体" w:eastAsia="宋体" w:cs="宋体"/>
          <w:color w:val="auto"/>
          <w:kern w:val="0"/>
          <w:highlight w:val="none"/>
          <w:lang w:val="en-US" w:eastAsia="zh-CN"/>
        </w:rPr>
        <w:t>3.每月完成</w:t>
      </w:r>
      <w:r>
        <w:rPr>
          <w:rFonts w:hint="eastAsia" w:ascii="宋体" w:hAnsi="宋体" w:eastAsia="宋体" w:cs="宋体"/>
          <w:color w:val="auto"/>
          <w:kern w:val="0"/>
          <w:highlight w:val="none"/>
          <w:lang w:val="en-US" w:eastAsia="zh-CN"/>
        </w:rPr>
        <w:t>自行监测相关工作</w:t>
      </w:r>
      <w:r>
        <w:rPr>
          <w:rFonts w:hint="default" w:ascii="宋体" w:hAnsi="宋体" w:eastAsia="宋体" w:cs="宋体"/>
          <w:color w:val="auto"/>
          <w:kern w:val="0"/>
          <w:highlight w:val="none"/>
          <w:lang w:val="en-US" w:eastAsia="zh-CN"/>
        </w:rPr>
        <w:t>，形成台账并定期反馈给监测站。对未公开或在平台上公开信息不全的企业，协助督促企业落实整改，及时跟踪整改进展情况。</w:t>
      </w:r>
    </w:p>
    <w:p w14:paraId="730B8279">
      <w:pPr>
        <w:widowControl/>
        <w:snapToGrid w:val="0"/>
        <w:spacing w:line="520" w:lineRule="exact"/>
        <w:ind w:firstLine="420" w:firstLineChars="200"/>
        <w:jc w:val="both"/>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4、</w:t>
      </w:r>
      <w:r>
        <w:rPr>
          <w:rFonts w:hint="default" w:ascii="宋体" w:hAnsi="宋体" w:eastAsia="宋体" w:cs="宋体"/>
          <w:color w:val="auto"/>
          <w:kern w:val="0"/>
          <w:highlight w:val="none"/>
          <w:lang w:val="en-US" w:eastAsia="zh-CN"/>
        </w:rPr>
        <w:t>配合完成科室其它相关技术服务。</w:t>
      </w:r>
    </w:p>
    <w:p w14:paraId="4B89D66A">
      <w:pPr>
        <w:pStyle w:val="49"/>
        <w:spacing w:before="75" w:beforeAutospacing="0" w:after="75" w:afterAutospacing="0" w:line="360" w:lineRule="auto"/>
        <w:ind w:firstLine="211" w:firstLineChars="100"/>
        <w:rPr>
          <w:rFonts w:cs="宋体"/>
          <w:b/>
          <w:bCs/>
          <w:color w:val="auto"/>
          <w:sz w:val="21"/>
          <w:szCs w:val="21"/>
          <w:highlight w:val="none"/>
        </w:rPr>
      </w:pPr>
      <w:r>
        <w:rPr>
          <w:rFonts w:hint="eastAsia" w:cs="宋体"/>
          <w:b/>
          <w:bCs/>
          <w:color w:val="auto"/>
          <w:sz w:val="21"/>
          <w:szCs w:val="21"/>
          <w:highlight w:val="none"/>
        </w:rPr>
        <w:t>四、商务要求表</w:t>
      </w:r>
    </w:p>
    <w:tbl>
      <w:tblPr>
        <w:tblStyle w:val="5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122"/>
      </w:tblGrid>
      <w:tr w14:paraId="28B7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6" w:type="dxa"/>
            <w:vAlign w:val="center"/>
          </w:tcPr>
          <w:p w14:paraId="34386B21">
            <w:pPr>
              <w:pStyle w:val="49"/>
              <w:spacing w:before="75" w:beforeAutospacing="0" w:after="75" w:afterAutospacing="0" w:line="360" w:lineRule="auto"/>
              <w:rPr>
                <w:rFonts w:cs="宋体"/>
                <w:color w:val="auto"/>
                <w:sz w:val="21"/>
                <w:szCs w:val="21"/>
                <w:highlight w:val="none"/>
              </w:rPr>
            </w:pPr>
            <w:r>
              <w:rPr>
                <w:rFonts w:hint="eastAsia" w:cs="宋体"/>
                <w:color w:val="auto"/>
                <w:sz w:val="21"/>
                <w:szCs w:val="21"/>
                <w:highlight w:val="none"/>
              </w:rPr>
              <w:t>服务期限</w:t>
            </w:r>
          </w:p>
        </w:tc>
        <w:tc>
          <w:tcPr>
            <w:tcW w:w="8122" w:type="dxa"/>
            <w:vAlign w:val="center"/>
          </w:tcPr>
          <w:p w14:paraId="1E212EE0">
            <w:pPr>
              <w:widowControl/>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kern w:val="0"/>
                <w:highlight w:val="none"/>
              </w:rPr>
              <w:t>自合同签订之日起</w:t>
            </w:r>
            <w:r>
              <w:rPr>
                <w:rFonts w:hint="eastAsia" w:ascii="宋体" w:hAnsi="宋体" w:cs="宋体"/>
                <w:color w:val="auto"/>
                <w:kern w:val="0"/>
                <w:highlight w:val="none"/>
                <w:lang w:val="en-US" w:eastAsia="zh-CN"/>
              </w:rPr>
              <w:t>一年</w:t>
            </w:r>
            <w:r>
              <w:rPr>
                <w:rFonts w:hint="eastAsia" w:ascii="宋体" w:hAnsi="宋体" w:cs="宋体"/>
                <w:color w:val="auto"/>
                <w:kern w:val="0"/>
                <w:highlight w:val="none"/>
              </w:rPr>
              <w:t>。</w:t>
            </w:r>
            <w:r>
              <w:rPr>
                <w:rFonts w:hint="eastAsia" w:ascii="宋体" w:hAnsi="宋体" w:eastAsia="宋体" w:cs="Arial"/>
                <w:color w:val="auto"/>
                <w:kern w:val="2"/>
                <w:sz w:val="21"/>
                <w:szCs w:val="21"/>
                <w:highlight w:val="none"/>
                <w:lang w:val="en-US" w:eastAsia="zh-CN" w:bidi="ar-SA"/>
              </w:rPr>
              <w:t>服务期满后根据中标单位的绩效评价、服务对象满意度考核情况，综合考虑是否续签合同（按浙财采监〔2014〕28号《浙江省财政厅关于印发浙江省政府购买服务采购管理暂行办法》的有关规定续签合同）。</w:t>
            </w:r>
          </w:p>
        </w:tc>
      </w:tr>
      <w:tr w14:paraId="605B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26" w:type="dxa"/>
            <w:vAlign w:val="center"/>
          </w:tcPr>
          <w:p w14:paraId="7C48FB5F">
            <w:pPr>
              <w:pStyle w:val="49"/>
              <w:spacing w:before="75" w:beforeAutospacing="0" w:after="75" w:afterAutospacing="0" w:line="360" w:lineRule="auto"/>
              <w:rPr>
                <w:rFonts w:cs="宋体"/>
                <w:color w:val="auto"/>
                <w:sz w:val="21"/>
                <w:szCs w:val="21"/>
                <w:highlight w:val="none"/>
              </w:rPr>
            </w:pPr>
            <w:r>
              <w:rPr>
                <w:rFonts w:hint="eastAsia" w:cs="宋体"/>
                <w:color w:val="auto"/>
                <w:sz w:val="21"/>
                <w:szCs w:val="21"/>
                <w:highlight w:val="none"/>
              </w:rPr>
              <w:t>付款方式</w:t>
            </w:r>
          </w:p>
        </w:tc>
        <w:tc>
          <w:tcPr>
            <w:tcW w:w="8122" w:type="dxa"/>
            <w:vAlign w:val="center"/>
          </w:tcPr>
          <w:p w14:paraId="3A695822">
            <w:pPr>
              <w:widowControl/>
              <w:snapToGrid w:val="0"/>
              <w:spacing w:line="520" w:lineRule="exact"/>
              <w:ind w:firstLine="420" w:firstLineChars="200"/>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合同签订后</w:t>
            </w:r>
            <w:r>
              <w:rPr>
                <w:rFonts w:hint="eastAsia" w:ascii="宋体" w:hAnsi="宋体" w:cs="宋体"/>
                <w:color w:val="auto"/>
                <w:kern w:val="0"/>
                <w:highlight w:val="none"/>
                <w:lang w:val="en-US" w:eastAsia="zh-CN"/>
              </w:rPr>
              <w:t>财政预算资金到位</w:t>
            </w:r>
            <w:r>
              <w:rPr>
                <w:rFonts w:hint="eastAsia" w:ascii="宋体" w:hAnsi="宋体" w:cs="宋体"/>
                <w:color w:val="auto"/>
                <w:kern w:val="0"/>
                <w:highlight w:val="none"/>
                <w:lang w:val="en-US" w:eastAsia="zh-CN"/>
              </w:rPr>
              <w:t>后</w:t>
            </w:r>
            <w:r>
              <w:rPr>
                <w:rFonts w:hint="eastAsia" w:ascii="宋体" w:hAnsi="宋体" w:cs="宋体"/>
                <w:color w:val="auto"/>
                <w:kern w:val="0"/>
                <w:highlight w:val="none"/>
              </w:rPr>
              <w:t>采购人向中标人支付合同金额的</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0%作为预付款；</w:t>
            </w:r>
            <w:r>
              <w:rPr>
                <w:rFonts w:hint="eastAsia" w:ascii="宋体" w:hAnsi="宋体" w:cs="宋体"/>
                <w:color w:val="auto"/>
                <w:kern w:val="0"/>
                <w:highlight w:val="none"/>
                <w:lang w:val="en-US" w:eastAsia="zh-CN"/>
              </w:rPr>
              <w:t>余款中合同价的50%根据考核进行付款（考核办法附后），其余按实发放</w:t>
            </w:r>
            <w:r>
              <w:rPr>
                <w:rFonts w:hint="eastAsia" w:ascii="宋体" w:hAnsi="宋体" w:cs="宋体"/>
                <w:color w:val="auto"/>
                <w:kern w:val="0"/>
                <w:highlight w:val="none"/>
                <w:lang w:eastAsia="zh-CN"/>
              </w:rPr>
              <w:t>。</w:t>
            </w:r>
          </w:p>
          <w:p w14:paraId="2FE4CC44">
            <w:pPr>
              <w:widowControl/>
              <w:snapToGrid w:val="0"/>
              <w:spacing w:line="520" w:lineRule="exact"/>
              <w:ind w:firstLine="420" w:firstLineChars="200"/>
              <w:jc w:val="left"/>
              <w:rPr>
                <w:rFonts w:ascii="宋体" w:hAnsi="宋体" w:cs="宋体"/>
                <w:color w:val="auto"/>
                <w:szCs w:val="21"/>
                <w:highlight w:val="none"/>
              </w:rPr>
            </w:pPr>
            <w:r>
              <w:rPr>
                <w:rFonts w:hint="eastAsia" w:ascii="宋体" w:hAnsi="宋体" w:cs="宋体"/>
                <w:color w:val="auto"/>
                <w:kern w:val="0"/>
                <w:highlight w:val="none"/>
              </w:rPr>
              <w:t>注：每次付款前中标方必须提供正式发票，因中标人不能及时提供发票导致采购人未能按约定时间付款的，不视为采购人违约，由中标人自行承担相应的法律责任。</w:t>
            </w:r>
          </w:p>
        </w:tc>
      </w:tr>
      <w:tr w14:paraId="3323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37F4013">
            <w:pPr>
              <w:pStyle w:val="49"/>
              <w:spacing w:before="75" w:beforeAutospacing="0" w:after="75" w:afterAutospacing="0" w:line="360" w:lineRule="auto"/>
              <w:rPr>
                <w:rFonts w:cs="宋体"/>
                <w:color w:val="auto"/>
                <w:sz w:val="21"/>
                <w:szCs w:val="21"/>
                <w:highlight w:val="none"/>
              </w:rPr>
            </w:pPr>
            <w:r>
              <w:rPr>
                <w:rFonts w:hint="eastAsia" w:cs="宋体"/>
                <w:color w:val="auto"/>
                <w:sz w:val="21"/>
                <w:szCs w:val="21"/>
                <w:highlight w:val="none"/>
              </w:rPr>
              <w:t>投标报价</w:t>
            </w:r>
          </w:p>
        </w:tc>
        <w:tc>
          <w:tcPr>
            <w:tcW w:w="8122" w:type="dxa"/>
            <w:vAlign w:val="center"/>
          </w:tcPr>
          <w:p w14:paraId="0EB2A1F1">
            <w:pPr>
              <w:pStyle w:val="49"/>
              <w:spacing w:before="75" w:beforeAutospacing="0" w:after="75" w:afterAutospacing="0" w:line="360" w:lineRule="auto"/>
              <w:rPr>
                <w:rFonts w:cs="宋体"/>
                <w:color w:val="auto"/>
                <w:sz w:val="21"/>
                <w:szCs w:val="21"/>
                <w:highlight w:val="none"/>
              </w:rPr>
            </w:pPr>
            <w:r>
              <w:rPr>
                <w:rFonts w:hint="eastAsia" w:cs="宋体"/>
                <w:color w:val="auto"/>
                <w:sz w:val="21"/>
                <w:szCs w:val="21"/>
                <w:highlight w:val="none"/>
              </w:rPr>
              <w:t>必须包括提供项目服务所需的一切人员费用（人员工资、奖金、各种加班费、各种社会保险（基本养老保险、基本医疗保险、工伤保险、失业保险、公积金等）、专家评审费、考察费、调研费、食宿与交通、高温补偿费）、会务费用、管理费用（意外保险、车辆、培训、税费、利润等完成合同所需的一切本身和不可或缺的所有工作开支、政策性文件规定及合同包含的所有风险、责任等各项全部费用并承担一切风险责任。</w:t>
            </w:r>
          </w:p>
        </w:tc>
      </w:tr>
      <w:tr w14:paraId="3D77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6" w:type="dxa"/>
            <w:vAlign w:val="center"/>
          </w:tcPr>
          <w:p w14:paraId="6F14B0FC">
            <w:pPr>
              <w:pStyle w:val="49"/>
              <w:spacing w:before="75" w:beforeAutospacing="0" w:after="75" w:afterAutospacing="0" w:line="360" w:lineRule="auto"/>
              <w:rPr>
                <w:rFonts w:cs="宋体"/>
                <w:color w:val="auto"/>
                <w:sz w:val="21"/>
                <w:szCs w:val="21"/>
                <w:highlight w:val="none"/>
              </w:rPr>
            </w:pPr>
            <w:r>
              <w:rPr>
                <w:rFonts w:hint="eastAsia" w:cs="宋体"/>
                <w:color w:val="auto"/>
                <w:sz w:val="21"/>
                <w:szCs w:val="21"/>
                <w:highlight w:val="none"/>
              </w:rPr>
              <w:t>安全生产责任</w:t>
            </w:r>
          </w:p>
        </w:tc>
        <w:tc>
          <w:tcPr>
            <w:tcW w:w="8122" w:type="dxa"/>
            <w:vAlign w:val="center"/>
          </w:tcPr>
          <w:p w14:paraId="03A4A091">
            <w:pPr>
              <w:pStyle w:val="49"/>
              <w:spacing w:before="75" w:beforeAutospacing="0" w:after="75" w:afterAutospacing="0" w:line="360" w:lineRule="auto"/>
              <w:rPr>
                <w:rFonts w:cs="宋体"/>
                <w:color w:val="auto"/>
                <w:sz w:val="21"/>
                <w:szCs w:val="21"/>
                <w:highlight w:val="none"/>
              </w:rPr>
            </w:pPr>
            <w:r>
              <w:rPr>
                <w:rFonts w:hint="eastAsia" w:cs="宋体"/>
                <w:color w:val="auto"/>
                <w:sz w:val="21"/>
                <w:szCs w:val="21"/>
                <w:highlight w:val="none"/>
              </w:rPr>
              <w:t>中标人应自行承担项目实施过程中安全生产责任，采购人任何情况下均不承担因此产生的任何法律责任和经济责任。</w:t>
            </w:r>
          </w:p>
        </w:tc>
      </w:tr>
    </w:tbl>
    <w:p w14:paraId="35ADAA62">
      <w:pPr>
        <w:pStyle w:val="49"/>
        <w:spacing w:before="75" w:beforeAutospacing="0" w:after="75" w:afterAutospacing="0" w:line="360" w:lineRule="auto"/>
        <w:rPr>
          <w:rFonts w:cs="宋体"/>
          <w:color w:val="auto"/>
          <w:sz w:val="21"/>
          <w:szCs w:val="21"/>
          <w:highlight w:val="none"/>
        </w:rPr>
      </w:pPr>
    </w:p>
    <w:p w14:paraId="48D16D30">
      <w:pPr>
        <w:pStyle w:val="23"/>
        <w:rPr>
          <w:rFonts w:hint="eastAsia" w:ascii="宋体" w:hAnsi="宋体" w:eastAsia="宋体" w:cs="宋体"/>
          <w:color w:val="auto"/>
          <w:kern w:val="0"/>
          <w:sz w:val="21"/>
          <w:szCs w:val="21"/>
          <w:highlight w:val="none"/>
          <w:lang w:val="en-US" w:eastAsia="zh-CN" w:bidi="ar-SA"/>
        </w:rPr>
      </w:pPr>
    </w:p>
    <w:p w14:paraId="5EA55D9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00" w:lineRule="exact"/>
        <w:jc w:val="center"/>
        <w:rPr>
          <w:rFonts w:hint="default" w:ascii="Times New Roman" w:hAnsi="Times New Roman" w:eastAsia="仿宋_GB2312" w:cs="Times New Roman"/>
          <w:b/>
          <w:bCs/>
          <w:color w:val="auto"/>
          <w:kern w:val="0"/>
          <w:sz w:val="24"/>
          <w:szCs w:val="24"/>
          <w:highlight w:val="none"/>
          <w:lang w:eastAsia="zh-CN"/>
        </w:rPr>
      </w:pPr>
      <w:r>
        <w:rPr>
          <w:rFonts w:hint="eastAsia" w:ascii="Times New Roman" w:hAnsi="Times New Roman" w:eastAsia="仿宋_GB2312" w:cs="Times New Roman"/>
          <w:b/>
          <w:bCs/>
          <w:color w:val="auto"/>
          <w:kern w:val="0"/>
          <w:sz w:val="24"/>
          <w:szCs w:val="24"/>
          <w:highlight w:val="none"/>
          <w:lang w:val="en-US" w:eastAsia="zh-CN"/>
        </w:rPr>
        <w:t>2025年排污许可和自行监测技术服务项目</w:t>
      </w:r>
      <w:r>
        <w:rPr>
          <w:rFonts w:hint="eastAsia" w:ascii="Times New Roman" w:hAnsi="Times New Roman" w:eastAsia="仿宋_GB2312" w:cs="Times New Roman"/>
          <w:b/>
          <w:bCs/>
          <w:color w:val="auto"/>
          <w:kern w:val="0"/>
          <w:sz w:val="24"/>
          <w:szCs w:val="24"/>
          <w:highlight w:val="none"/>
          <w:lang w:eastAsia="zh-CN"/>
        </w:rPr>
        <w:t>考评</w:t>
      </w:r>
      <w:r>
        <w:rPr>
          <w:rFonts w:hint="default" w:ascii="Times New Roman" w:hAnsi="Times New Roman" w:eastAsia="仿宋_GB2312" w:cs="Times New Roman"/>
          <w:b/>
          <w:bCs/>
          <w:color w:val="auto"/>
          <w:kern w:val="0"/>
          <w:sz w:val="24"/>
          <w:szCs w:val="24"/>
          <w:highlight w:val="none"/>
          <w:lang w:eastAsia="zh-CN"/>
        </w:rPr>
        <w:t>表</w:t>
      </w:r>
    </w:p>
    <w:tbl>
      <w:tblPr>
        <w:tblStyle w:val="55"/>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6614"/>
        <w:gridCol w:w="1062"/>
      </w:tblGrid>
      <w:tr w14:paraId="1882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noWrap w:val="0"/>
            <w:vAlign w:val="center"/>
          </w:tcPr>
          <w:p w14:paraId="18ACB52D">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序号</w:t>
            </w:r>
          </w:p>
        </w:tc>
        <w:tc>
          <w:tcPr>
            <w:tcW w:w="6614" w:type="dxa"/>
            <w:noWrap w:val="0"/>
            <w:vAlign w:val="center"/>
          </w:tcPr>
          <w:p w14:paraId="749A1056">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考核</w:t>
            </w:r>
            <w:r>
              <w:rPr>
                <w:rFonts w:hint="eastAsia" w:ascii="宋体" w:hAnsi="宋体" w:eastAsia="宋体" w:cs="宋体"/>
                <w:color w:val="auto"/>
                <w:spacing w:val="0"/>
                <w:kern w:val="0"/>
                <w:sz w:val="21"/>
                <w:szCs w:val="21"/>
                <w:highlight w:val="none"/>
                <w:lang w:val="en-US" w:eastAsia="zh-CN" w:bidi="ar-SA"/>
              </w:rPr>
              <w:t>细则</w:t>
            </w:r>
          </w:p>
        </w:tc>
        <w:tc>
          <w:tcPr>
            <w:tcW w:w="1062" w:type="dxa"/>
            <w:noWrap w:val="0"/>
            <w:vAlign w:val="center"/>
          </w:tcPr>
          <w:p w14:paraId="22559B8F">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分值</w:t>
            </w:r>
          </w:p>
        </w:tc>
      </w:tr>
      <w:tr w14:paraId="1976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noWrap w:val="0"/>
            <w:vAlign w:val="center"/>
          </w:tcPr>
          <w:p w14:paraId="1EE27B22">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1</w:t>
            </w:r>
          </w:p>
        </w:tc>
        <w:tc>
          <w:tcPr>
            <w:tcW w:w="6614" w:type="dxa"/>
            <w:noWrap w:val="0"/>
            <w:vAlign w:val="center"/>
          </w:tcPr>
          <w:p w14:paraId="54153EF6">
            <w:pPr>
              <w:pStyle w:val="18"/>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对全区排污许可证进行复核全覆盖，并</w:t>
            </w:r>
            <w:r>
              <w:rPr>
                <w:rFonts w:hint="eastAsia" w:hAnsi="宋体" w:cs="宋体"/>
                <w:color w:val="auto"/>
                <w:spacing w:val="0"/>
                <w:kern w:val="0"/>
                <w:sz w:val="21"/>
                <w:szCs w:val="21"/>
                <w:highlight w:val="none"/>
                <w:lang w:val="en-US" w:eastAsia="zh-CN" w:bidi="ar-SA"/>
              </w:rPr>
              <w:t>帮助</w:t>
            </w:r>
            <w:r>
              <w:rPr>
                <w:rFonts w:hint="default" w:ascii="宋体" w:hAnsi="宋体" w:eastAsia="宋体" w:cs="宋体"/>
                <w:color w:val="auto"/>
                <w:spacing w:val="0"/>
                <w:kern w:val="0"/>
                <w:sz w:val="21"/>
                <w:szCs w:val="21"/>
                <w:highlight w:val="none"/>
                <w:lang w:val="en-US" w:eastAsia="zh-CN" w:bidi="ar-SA"/>
              </w:rPr>
              <w:t>排污单位完成相应整改，每季度提交复核和整改报告，未完成的，扣0.5分/家，扣完为止。</w:t>
            </w:r>
          </w:p>
        </w:tc>
        <w:tc>
          <w:tcPr>
            <w:tcW w:w="1062" w:type="dxa"/>
            <w:noWrap w:val="0"/>
            <w:vAlign w:val="center"/>
          </w:tcPr>
          <w:p w14:paraId="7D03BB08">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10</w:t>
            </w:r>
          </w:p>
        </w:tc>
      </w:tr>
      <w:tr w14:paraId="07AB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noWrap w:val="0"/>
            <w:vAlign w:val="center"/>
          </w:tcPr>
          <w:p w14:paraId="4F96450C">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2</w:t>
            </w:r>
          </w:p>
        </w:tc>
        <w:tc>
          <w:tcPr>
            <w:tcW w:w="6614" w:type="dxa"/>
            <w:noWrap w:val="0"/>
            <w:vAlign w:val="center"/>
          </w:tcPr>
          <w:p w14:paraId="7C53BEE5">
            <w:pPr>
              <w:pStyle w:val="18"/>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完成新增排污许可发证单位填报</w:t>
            </w:r>
            <w:r>
              <w:rPr>
                <w:rFonts w:hint="eastAsia" w:hAnsi="宋体" w:cs="宋体"/>
                <w:color w:val="auto"/>
                <w:spacing w:val="0"/>
                <w:kern w:val="0"/>
                <w:sz w:val="21"/>
                <w:szCs w:val="21"/>
                <w:highlight w:val="none"/>
                <w:lang w:val="en-US" w:eastAsia="zh-CN" w:bidi="ar-SA"/>
              </w:rPr>
              <w:t>技术服务</w:t>
            </w:r>
            <w:r>
              <w:rPr>
                <w:rFonts w:hint="default" w:ascii="宋体" w:hAnsi="宋体" w:eastAsia="宋体" w:cs="宋体"/>
                <w:color w:val="auto"/>
                <w:spacing w:val="0"/>
                <w:kern w:val="0"/>
                <w:sz w:val="21"/>
                <w:szCs w:val="21"/>
                <w:highlight w:val="none"/>
                <w:lang w:val="en-US" w:eastAsia="zh-CN" w:bidi="ar-SA"/>
              </w:rPr>
              <w:t>、</w:t>
            </w:r>
            <w:r>
              <w:rPr>
                <w:rFonts w:hint="eastAsia" w:hAnsi="宋体" w:cs="宋体"/>
                <w:color w:val="auto"/>
                <w:spacing w:val="0"/>
                <w:kern w:val="0"/>
                <w:sz w:val="21"/>
                <w:szCs w:val="21"/>
                <w:highlight w:val="none"/>
                <w:lang w:val="en-US" w:eastAsia="zh-CN" w:bidi="ar-SA"/>
              </w:rPr>
              <w:t>技术咨询</w:t>
            </w:r>
            <w:r>
              <w:rPr>
                <w:rFonts w:hint="default" w:ascii="宋体" w:hAnsi="宋体" w:eastAsia="宋体" w:cs="宋体"/>
                <w:color w:val="auto"/>
                <w:spacing w:val="0"/>
                <w:kern w:val="0"/>
                <w:sz w:val="21"/>
                <w:szCs w:val="21"/>
                <w:highlight w:val="none"/>
                <w:lang w:val="en-US" w:eastAsia="zh-CN" w:bidi="ar-SA"/>
              </w:rPr>
              <w:t>以及现场勘查工作，按完成情况给分。</w:t>
            </w:r>
          </w:p>
        </w:tc>
        <w:tc>
          <w:tcPr>
            <w:tcW w:w="1062" w:type="dxa"/>
            <w:noWrap w:val="0"/>
            <w:vAlign w:val="center"/>
          </w:tcPr>
          <w:p w14:paraId="5D24C34F">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8</w:t>
            </w:r>
          </w:p>
        </w:tc>
      </w:tr>
      <w:tr w14:paraId="38A9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noWrap w:val="0"/>
            <w:vAlign w:val="center"/>
          </w:tcPr>
          <w:p w14:paraId="5A9DA1B0">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3</w:t>
            </w:r>
          </w:p>
        </w:tc>
        <w:tc>
          <w:tcPr>
            <w:tcW w:w="6614" w:type="dxa"/>
            <w:noWrap w:val="0"/>
            <w:vAlign w:val="center"/>
          </w:tcPr>
          <w:p w14:paraId="2373258B">
            <w:pPr>
              <w:pStyle w:val="18"/>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完成秀洲区持证单位日常变更、重新申请、延续申请等</w:t>
            </w:r>
            <w:r>
              <w:rPr>
                <w:rFonts w:hint="eastAsia" w:hAnsi="宋体" w:cs="宋体"/>
                <w:color w:val="auto"/>
                <w:spacing w:val="0"/>
                <w:kern w:val="0"/>
                <w:sz w:val="21"/>
                <w:szCs w:val="21"/>
                <w:highlight w:val="none"/>
                <w:lang w:val="en-US" w:eastAsia="zh-CN" w:bidi="ar-SA"/>
              </w:rPr>
              <w:t>咨询</w:t>
            </w:r>
            <w:r>
              <w:rPr>
                <w:rFonts w:hint="default" w:ascii="宋体" w:hAnsi="宋体" w:eastAsia="宋体" w:cs="宋体"/>
                <w:color w:val="auto"/>
                <w:spacing w:val="0"/>
                <w:kern w:val="0"/>
                <w:sz w:val="21"/>
                <w:szCs w:val="21"/>
                <w:highlight w:val="none"/>
                <w:lang w:val="en-US" w:eastAsia="zh-CN" w:bidi="ar-SA"/>
              </w:rPr>
              <w:t>工作，必要时前往现场核查，按完成情况给分。</w:t>
            </w:r>
          </w:p>
        </w:tc>
        <w:tc>
          <w:tcPr>
            <w:tcW w:w="1062" w:type="dxa"/>
            <w:noWrap w:val="0"/>
            <w:vAlign w:val="center"/>
          </w:tcPr>
          <w:p w14:paraId="5231595A">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8</w:t>
            </w:r>
          </w:p>
        </w:tc>
      </w:tr>
      <w:tr w14:paraId="6135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noWrap w:val="0"/>
            <w:vAlign w:val="center"/>
          </w:tcPr>
          <w:p w14:paraId="6A491833">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4</w:t>
            </w:r>
          </w:p>
        </w:tc>
        <w:tc>
          <w:tcPr>
            <w:tcW w:w="6614" w:type="dxa"/>
            <w:noWrap w:val="0"/>
            <w:vAlign w:val="center"/>
          </w:tcPr>
          <w:p w14:paraId="6269AC61">
            <w:pPr>
              <w:pStyle w:val="18"/>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协助完成排污登记单位的申请、延续、变更、注销等动态更新工作，按完成情况给分。</w:t>
            </w:r>
          </w:p>
        </w:tc>
        <w:tc>
          <w:tcPr>
            <w:tcW w:w="1062" w:type="dxa"/>
            <w:noWrap w:val="0"/>
            <w:vAlign w:val="center"/>
          </w:tcPr>
          <w:p w14:paraId="18F9ADB1">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8</w:t>
            </w:r>
          </w:p>
        </w:tc>
      </w:tr>
      <w:tr w14:paraId="70DA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noWrap w:val="0"/>
            <w:vAlign w:val="center"/>
          </w:tcPr>
          <w:p w14:paraId="20E8EB1D">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5</w:t>
            </w:r>
          </w:p>
        </w:tc>
        <w:tc>
          <w:tcPr>
            <w:tcW w:w="6614" w:type="dxa"/>
            <w:noWrap w:val="0"/>
            <w:vAlign w:val="center"/>
          </w:tcPr>
          <w:p w14:paraId="76A2FDDD">
            <w:pPr>
              <w:pStyle w:val="18"/>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完成秀洲区发证企业的执行报告内容规范性</w:t>
            </w:r>
            <w:r>
              <w:rPr>
                <w:rFonts w:hint="eastAsia" w:hAnsi="宋体" w:cs="宋体"/>
                <w:color w:val="auto"/>
                <w:spacing w:val="0"/>
                <w:kern w:val="0"/>
                <w:sz w:val="21"/>
                <w:szCs w:val="21"/>
                <w:highlight w:val="none"/>
                <w:lang w:val="en-US" w:eastAsia="zh-CN" w:bidi="ar-SA"/>
              </w:rPr>
              <w:t>技术服务</w:t>
            </w:r>
            <w:r>
              <w:rPr>
                <w:rFonts w:hint="default" w:ascii="宋体" w:hAnsi="宋体" w:eastAsia="宋体" w:cs="宋体"/>
                <w:color w:val="auto"/>
                <w:spacing w:val="0"/>
                <w:kern w:val="0"/>
                <w:sz w:val="21"/>
                <w:szCs w:val="21"/>
                <w:highlight w:val="none"/>
                <w:lang w:val="en-US" w:eastAsia="zh-CN" w:bidi="ar-SA"/>
              </w:rPr>
              <w:t>和整改工作，按完成情况给分。</w:t>
            </w:r>
          </w:p>
        </w:tc>
        <w:tc>
          <w:tcPr>
            <w:tcW w:w="1062" w:type="dxa"/>
            <w:noWrap w:val="0"/>
            <w:vAlign w:val="center"/>
          </w:tcPr>
          <w:p w14:paraId="233716C8">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8</w:t>
            </w:r>
          </w:p>
        </w:tc>
      </w:tr>
      <w:tr w14:paraId="0EA2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noWrap w:val="0"/>
            <w:vAlign w:val="center"/>
          </w:tcPr>
          <w:p w14:paraId="3C071A1B">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6</w:t>
            </w:r>
          </w:p>
        </w:tc>
        <w:tc>
          <w:tcPr>
            <w:tcW w:w="6614" w:type="dxa"/>
            <w:noWrap w:val="0"/>
            <w:vAlign w:val="center"/>
          </w:tcPr>
          <w:p w14:paraId="4C7FC319">
            <w:pPr>
              <w:pStyle w:val="18"/>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 w:eastAsia="zh-CN" w:bidi="ar-SA"/>
              </w:rPr>
              <w:t>服务期内</w:t>
            </w:r>
            <w:r>
              <w:rPr>
                <w:rFonts w:hint="default" w:ascii="宋体" w:hAnsi="宋体" w:eastAsia="宋体" w:cs="宋体"/>
                <w:color w:val="auto"/>
                <w:spacing w:val="0"/>
                <w:kern w:val="0"/>
                <w:sz w:val="21"/>
                <w:szCs w:val="21"/>
                <w:highlight w:val="none"/>
                <w:lang w:val="en-US" w:eastAsia="zh-CN" w:bidi="ar-SA"/>
              </w:rPr>
              <w:t>至少开展</w:t>
            </w:r>
            <w:r>
              <w:rPr>
                <w:rFonts w:hint="eastAsia" w:hAnsi="宋体" w:cs="宋体"/>
                <w:color w:val="auto"/>
                <w:spacing w:val="0"/>
                <w:kern w:val="0"/>
                <w:sz w:val="21"/>
                <w:szCs w:val="21"/>
                <w:highlight w:val="none"/>
                <w:lang w:val="en-US" w:eastAsia="zh-CN" w:bidi="ar-SA"/>
              </w:rPr>
              <w:t>2</w:t>
            </w:r>
            <w:r>
              <w:rPr>
                <w:rFonts w:hint="default" w:ascii="宋体" w:hAnsi="宋体" w:eastAsia="宋体" w:cs="宋体"/>
                <w:color w:val="auto"/>
                <w:spacing w:val="0"/>
                <w:kern w:val="0"/>
                <w:sz w:val="21"/>
                <w:szCs w:val="21"/>
                <w:highlight w:val="none"/>
                <w:lang w:val="en-US" w:eastAsia="zh-CN" w:bidi="ar-SA"/>
              </w:rPr>
              <w:t>次排</w:t>
            </w:r>
            <w:r>
              <w:rPr>
                <w:rFonts w:hint="default" w:ascii="宋体" w:hAnsi="宋体" w:eastAsia="宋体" w:cs="宋体"/>
                <w:color w:val="auto"/>
                <w:spacing w:val="0"/>
                <w:kern w:val="0"/>
                <w:sz w:val="21"/>
                <w:szCs w:val="21"/>
                <w:highlight w:val="none"/>
                <w:lang w:val="en-US" w:eastAsia="zh-CN" w:bidi="ar-SA"/>
              </w:rPr>
              <w:t>污许可证相关培训，少一次扣</w:t>
            </w:r>
            <w:r>
              <w:rPr>
                <w:rFonts w:hint="eastAsia" w:hAnsi="宋体" w:cs="宋体"/>
                <w:color w:val="auto"/>
                <w:spacing w:val="0"/>
                <w:kern w:val="0"/>
                <w:sz w:val="21"/>
                <w:szCs w:val="21"/>
                <w:highlight w:val="none"/>
                <w:lang w:val="en-US" w:eastAsia="zh-CN" w:bidi="ar-SA"/>
              </w:rPr>
              <w:t>4</w:t>
            </w:r>
            <w:r>
              <w:rPr>
                <w:rFonts w:hint="default" w:ascii="宋体" w:hAnsi="宋体" w:eastAsia="宋体" w:cs="宋体"/>
                <w:color w:val="auto"/>
                <w:spacing w:val="0"/>
                <w:kern w:val="0"/>
                <w:sz w:val="21"/>
                <w:szCs w:val="21"/>
                <w:highlight w:val="none"/>
                <w:lang w:val="en-US" w:eastAsia="zh-CN" w:bidi="ar-SA"/>
              </w:rPr>
              <w:t>分，</w:t>
            </w:r>
            <w:r>
              <w:rPr>
                <w:rFonts w:hint="default" w:ascii="宋体" w:hAnsi="宋体" w:eastAsia="宋体" w:cs="宋体"/>
                <w:color w:val="auto"/>
                <w:spacing w:val="0"/>
                <w:kern w:val="0"/>
                <w:sz w:val="21"/>
                <w:szCs w:val="21"/>
                <w:highlight w:val="none"/>
                <w:lang w:val="en-US" w:eastAsia="zh-CN" w:bidi="ar-SA"/>
              </w:rPr>
              <w:t>扣完为止。</w:t>
            </w:r>
          </w:p>
        </w:tc>
        <w:tc>
          <w:tcPr>
            <w:tcW w:w="1062" w:type="dxa"/>
            <w:noWrap w:val="0"/>
            <w:vAlign w:val="center"/>
          </w:tcPr>
          <w:p w14:paraId="49FF5C4B">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8</w:t>
            </w:r>
          </w:p>
        </w:tc>
      </w:tr>
      <w:tr w14:paraId="22B7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noWrap w:val="0"/>
            <w:vAlign w:val="center"/>
          </w:tcPr>
          <w:p w14:paraId="3DD9FF74">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7</w:t>
            </w:r>
          </w:p>
        </w:tc>
        <w:tc>
          <w:tcPr>
            <w:tcW w:w="6614" w:type="dxa"/>
            <w:noWrap w:val="0"/>
            <w:vAlign w:val="center"/>
          </w:tcPr>
          <w:p w14:paraId="1D189FB4">
            <w:pPr>
              <w:pStyle w:val="18"/>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default" w:ascii="宋体" w:hAnsi="宋体" w:eastAsia="宋体" w:cs="宋体"/>
                <w:color w:val="auto"/>
                <w:spacing w:val="0"/>
                <w:kern w:val="0"/>
                <w:sz w:val="21"/>
                <w:szCs w:val="21"/>
                <w:highlight w:val="none"/>
                <w:lang w:eastAsia="zh-CN" w:bidi="ar-SA"/>
                <w:woUserID w:val="1"/>
              </w:rPr>
            </w:pPr>
            <w:r>
              <w:rPr>
                <w:rFonts w:hint="default" w:ascii="宋体" w:hAnsi="宋体" w:eastAsia="宋体" w:cs="宋体"/>
                <w:color w:val="auto"/>
                <w:spacing w:val="0"/>
                <w:kern w:val="0"/>
                <w:sz w:val="21"/>
                <w:szCs w:val="21"/>
                <w:highlight w:val="none"/>
                <w:lang w:eastAsia="zh-CN" w:bidi="ar-SA"/>
              </w:rPr>
              <w:t>新发证企业自行监测联网率巡检及督促工作；</w:t>
            </w:r>
            <w:r>
              <w:rPr>
                <w:rFonts w:hint="default" w:ascii="宋体" w:hAnsi="宋体" w:eastAsia="宋体" w:cs="宋体"/>
                <w:color w:val="auto"/>
                <w:spacing w:val="0"/>
                <w:kern w:val="0"/>
                <w:sz w:val="21"/>
                <w:szCs w:val="21"/>
                <w:highlight w:val="none"/>
                <w:lang w:val="en-US" w:eastAsia="zh-CN" w:bidi="ar-SA"/>
              </w:rPr>
              <w:t>完成约200家排污单位自行监测联网率和完成率每月巡检及督促工作</w:t>
            </w:r>
            <w:r>
              <w:rPr>
                <w:rFonts w:hint="default" w:ascii="宋体" w:hAnsi="宋体" w:eastAsia="宋体" w:cs="宋体"/>
                <w:color w:val="auto"/>
                <w:spacing w:val="0"/>
                <w:kern w:val="0"/>
                <w:sz w:val="21"/>
                <w:szCs w:val="21"/>
                <w:highlight w:val="none"/>
                <w:lang w:eastAsia="zh-CN" w:bidi="ar-SA"/>
                <w:woUserID w:val="1"/>
              </w:rPr>
              <w:t>，</w:t>
            </w:r>
            <w:r>
              <w:rPr>
                <w:rFonts w:hint="default" w:ascii="宋体" w:hAnsi="宋体" w:eastAsia="宋体" w:cs="宋体"/>
                <w:color w:val="auto"/>
                <w:spacing w:val="0"/>
                <w:kern w:val="0"/>
                <w:sz w:val="21"/>
                <w:szCs w:val="21"/>
                <w:highlight w:val="none"/>
                <w:lang w:val="en-US" w:eastAsia="zh-CN" w:bidi="ar-SA"/>
              </w:rPr>
              <w:t>督促企业按要求开展自行监测工作，完成年度考核目标联网率100%、完成率98%</w:t>
            </w:r>
            <w:r>
              <w:rPr>
                <w:rFonts w:hint="eastAsia" w:ascii="宋体" w:hAnsi="宋体" w:eastAsia="宋体" w:cs="宋体"/>
                <w:color w:val="auto"/>
                <w:spacing w:val="0"/>
                <w:kern w:val="0"/>
                <w:sz w:val="21"/>
                <w:szCs w:val="21"/>
                <w:highlight w:val="none"/>
                <w:lang w:val="en-US" w:eastAsia="zh-CN" w:bidi="ar-SA"/>
              </w:rPr>
              <w:t>（含）以上</w:t>
            </w:r>
            <w:r>
              <w:rPr>
                <w:rFonts w:hint="default" w:ascii="宋体" w:hAnsi="宋体" w:eastAsia="宋体" w:cs="宋体"/>
                <w:color w:val="auto"/>
                <w:spacing w:val="0"/>
                <w:kern w:val="0"/>
                <w:sz w:val="21"/>
                <w:szCs w:val="21"/>
                <w:highlight w:val="none"/>
                <w:lang w:val="en-US" w:eastAsia="zh-CN" w:bidi="ar-SA"/>
              </w:rPr>
              <w:t>；完成约100家自行监测现场</w:t>
            </w:r>
            <w:r>
              <w:rPr>
                <w:rFonts w:hint="default" w:ascii="宋体" w:hAnsi="宋体" w:eastAsia="宋体" w:cs="宋体"/>
                <w:color w:val="auto"/>
                <w:spacing w:val="0"/>
                <w:kern w:val="0"/>
                <w:sz w:val="21"/>
                <w:szCs w:val="21"/>
                <w:highlight w:val="none"/>
                <w:lang w:eastAsia="zh-CN" w:bidi="ar-SA"/>
                <w:woUserID w:val="1"/>
              </w:rPr>
              <w:t>抽</w:t>
            </w:r>
            <w:r>
              <w:rPr>
                <w:rFonts w:hint="default" w:ascii="宋体" w:hAnsi="宋体" w:eastAsia="宋体" w:cs="宋体"/>
                <w:color w:val="auto"/>
                <w:spacing w:val="0"/>
                <w:kern w:val="0"/>
                <w:sz w:val="21"/>
                <w:szCs w:val="21"/>
                <w:highlight w:val="none"/>
                <w:lang w:val="en-US" w:eastAsia="zh-CN" w:bidi="ar-SA"/>
              </w:rPr>
              <w:t>查，包括自行监测方案、监测内容等，</w:t>
            </w:r>
            <w:r>
              <w:rPr>
                <w:rFonts w:hint="default" w:ascii="宋体" w:hAnsi="宋体" w:eastAsia="宋体" w:cs="宋体"/>
                <w:color w:val="auto"/>
                <w:spacing w:val="0"/>
                <w:kern w:val="0"/>
                <w:sz w:val="21"/>
                <w:szCs w:val="21"/>
                <w:highlight w:val="none"/>
                <w:lang w:eastAsia="zh-CN" w:bidi="ar-SA"/>
              </w:rPr>
              <w:t>提前制定监督</w:t>
            </w:r>
            <w:r>
              <w:rPr>
                <w:rFonts w:hint="default" w:ascii="宋体" w:hAnsi="宋体" w:eastAsia="宋体" w:cs="宋体"/>
                <w:color w:val="auto"/>
                <w:spacing w:val="0"/>
                <w:kern w:val="0"/>
                <w:sz w:val="21"/>
                <w:szCs w:val="21"/>
                <w:highlight w:val="none"/>
                <w:lang w:eastAsia="zh-CN" w:bidi="ar-SA"/>
                <w:woUserID w:val="1"/>
              </w:rPr>
              <w:t>抽</w:t>
            </w:r>
            <w:r>
              <w:rPr>
                <w:rFonts w:hint="default" w:ascii="宋体" w:hAnsi="宋体" w:eastAsia="宋体" w:cs="宋体"/>
                <w:color w:val="auto"/>
                <w:spacing w:val="0"/>
                <w:kern w:val="0"/>
                <w:sz w:val="21"/>
                <w:szCs w:val="21"/>
                <w:highlight w:val="none"/>
                <w:lang w:eastAsia="zh-CN" w:bidi="ar-SA"/>
              </w:rPr>
              <w:t>查现场评分表，</w:t>
            </w:r>
            <w:r>
              <w:rPr>
                <w:rFonts w:hint="default" w:ascii="宋体" w:hAnsi="宋体" w:eastAsia="宋体" w:cs="宋体"/>
                <w:color w:val="auto"/>
                <w:spacing w:val="0"/>
                <w:kern w:val="0"/>
                <w:sz w:val="21"/>
                <w:szCs w:val="21"/>
                <w:highlight w:val="none"/>
                <w:lang w:val="en-US" w:eastAsia="zh-CN" w:bidi="ar-SA"/>
              </w:rPr>
              <w:t>对企业自行监测质量进行打分并保存台账资料等</w:t>
            </w:r>
            <w:r>
              <w:rPr>
                <w:rFonts w:hint="default" w:ascii="宋体" w:hAnsi="宋体" w:eastAsia="宋体" w:cs="宋体"/>
                <w:color w:val="auto"/>
                <w:spacing w:val="0"/>
                <w:kern w:val="0"/>
                <w:sz w:val="21"/>
                <w:szCs w:val="21"/>
                <w:highlight w:val="none"/>
                <w:lang w:eastAsia="zh-CN" w:bidi="ar-SA"/>
                <w:woUserID w:val="1"/>
              </w:rPr>
              <w:t>。</w:t>
            </w:r>
            <w:r>
              <w:rPr>
                <w:rFonts w:hint="default" w:ascii="宋体" w:hAnsi="宋体" w:eastAsia="宋体" w:cs="宋体"/>
                <w:color w:val="auto"/>
                <w:spacing w:val="0"/>
                <w:kern w:val="0"/>
                <w:sz w:val="21"/>
                <w:szCs w:val="21"/>
                <w:highlight w:val="none"/>
                <w:lang w:val="en-US" w:eastAsia="zh-CN" w:bidi="ar-SA"/>
              </w:rPr>
              <w:t>每月完成月巡检，形成巡检台账并定期反馈给监测站。对未公开或在平台上公开信息不全的企业，督促企业落实整改，及时跟踪整改进展情况。</w:t>
            </w:r>
            <w:r>
              <w:rPr>
                <w:rFonts w:hint="default" w:ascii="宋体" w:hAnsi="宋体" w:eastAsia="宋体" w:cs="宋体"/>
                <w:color w:val="auto"/>
                <w:spacing w:val="0"/>
                <w:kern w:val="0"/>
                <w:sz w:val="21"/>
                <w:szCs w:val="21"/>
                <w:highlight w:val="none"/>
                <w:lang w:val="en-US" w:eastAsia="zh-CN" w:bidi="ar-SA"/>
                <w:woUserID w:val="1"/>
              </w:rPr>
              <w:t>按完成情况</w:t>
            </w:r>
            <w:r>
              <w:rPr>
                <w:rFonts w:hint="eastAsia" w:ascii="宋体" w:hAnsi="宋体" w:eastAsia="宋体" w:cs="宋体"/>
                <w:color w:val="auto"/>
                <w:spacing w:val="0"/>
                <w:kern w:val="0"/>
                <w:sz w:val="21"/>
                <w:szCs w:val="21"/>
                <w:highlight w:val="none"/>
                <w:lang w:eastAsia="zh-CN" w:bidi="ar-SA"/>
                <w:woUserID w:val="1"/>
              </w:rPr>
              <w:t>打分。</w:t>
            </w:r>
          </w:p>
        </w:tc>
        <w:tc>
          <w:tcPr>
            <w:tcW w:w="1062" w:type="dxa"/>
            <w:noWrap w:val="0"/>
            <w:vAlign w:val="center"/>
          </w:tcPr>
          <w:p w14:paraId="33625D4B">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10</w:t>
            </w:r>
          </w:p>
        </w:tc>
      </w:tr>
      <w:tr w14:paraId="1069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noWrap w:val="0"/>
            <w:vAlign w:val="center"/>
          </w:tcPr>
          <w:p w14:paraId="69FF1CBF">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8</w:t>
            </w:r>
          </w:p>
        </w:tc>
        <w:tc>
          <w:tcPr>
            <w:tcW w:w="6614" w:type="dxa"/>
            <w:noWrap w:val="0"/>
            <w:vAlign w:val="center"/>
          </w:tcPr>
          <w:p w14:paraId="4A611A2F">
            <w:pPr>
              <w:pStyle w:val="18"/>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default"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服务期间，中标单位被生态环境部抽查排污许可证发现</w:t>
            </w:r>
            <w:r>
              <w:rPr>
                <w:rFonts w:hint="default" w:ascii="宋体" w:hAnsi="宋体" w:eastAsia="宋体" w:cs="宋体"/>
                <w:color w:val="auto"/>
                <w:spacing w:val="0"/>
                <w:kern w:val="0"/>
                <w:sz w:val="21"/>
                <w:szCs w:val="21"/>
                <w:highlight w:val="none"/>
                <w:lang w:val="en-US" w:eastAsia="zh-CN" w:bidi="ar-SA"/>
              </w:rPr>
              <w:t>有重点问题的，每</w:t>
            </w:r>
            <w:r>
              <w:rPr>
                <w:rFonts w:hint="eastAsia" w:ascii="宋体" w:hAnsi="宋体" w:eastAsia="宋体" w:cs="宋体"/>
                <w:color w:val="auto"/>
                <w:spacing w:val="0"/>
                <w:kern w:val="0"/>
                <w:sz w:val="21"/>
                <w:szCs w:val="21"/>
                <w:highlight w:val="none"/>
                <w:lang w:val="en-US" w:eastAsia="zh-CN" w:bidi="ar-SA"/>
              </w:rPr>
              <w:t>本</w:t>
            </w:r>
            <w:r>
              <w:rPr>
                <w:rFonts w:hint="default" w:ascii="宋体" w:hAnsi="宋体" w:eastAsia="宋体" w:cs="宋体"/>
                <w:color w:val="auto"/>
                <w:spacing w:val="0"/>
                <w:kern w:val="0"/>
                <w:sz w:val="21"/>
                <w:szCs w:val="21"/>
                <w:highlight w:val="none"/>
                <w:lang w:val="en-US" w:eastAsia="zh-CN" w:bidi="ar-SA"/>
              </w:rPr>
              <w:t>扣</w:t>
            </w:r>
            <w:r>
              <w:rPr>
                <w:rFonts w:hint="eastAsia" w:ascii="宋体" w:hAnsi="宋体" w:eastAsia="宋体" w:cs="宋体"/>
                <w:color w:val="auto"/>
                <w:spacing w:val="0"/>
                <w:kern w:val="0"/>
                <w:sz w:val="21"/>
                <w:szCs w:val="21"/>
                <w:highlight w:val="none"/>
                <w:lang w:val="en-US" w:eastAsia="zh-CN" w:bidi="ar-SA"/>
              </w:rPr>
              <w:t>5</w:t>
            </w:r>
            <w:r>
              <w:rPr>
                <w:rFonts w:hint="default" w:ascii="宋体" w:hAnsi="宋体" w:eastAsia="宋体" w:cs="宋体"/>
                <w:color w:val="auto"/>
                <w:spacing w:val="0"/>
                <w:kern w:val="0"/>
                <w:sz w:val="21"/>
                <w:szCs w:val="21"/>
                <w:highlight w:val="none"/>
                <w:lang w:val="en-US" w:eastAsia="zh-CN" w:bidi="ar-SA"/>
              </w:rPr>
              <w:t>分</w:t>
            </w:r>
            <w:r>
              <w:rPr>
                <w:rFonts w:hint="eastAsia" w:ascii="宋体" w:hAnsi="宋体" w:eastAsia="宋体" w:cs="宋体"/>
                <w:color w:val="auto"/>
                <w:spacing w:val="0"/>
                <w:kern w:val="0"/>
                <w:sz w:val="21"/>
                <w:szCs w:val="21"/>
                <w:highlight w:val="none"/>
                <w:lang w:val="en-US" w:eastAsia="zh-CN" w:bidi="ar-SA"/>
              </w:rPr>
              <w:t>；被省厅抽查发现有重点问题的，每本扣3分；被市局抽查发现有重点问题的，每本扣2分，</w:t>
            </w:r>
            <w:r>
              <w:rPr>
                <w:rFonts w:hint="default" w:ascii="宋体" w:hAnsi="宋体" w:eastAsia="宋体" w:cs="宋体"/>
                <w:color w:val="auto"/>
                <w:spacing w:val="0"/>
                <w:kern w:val="0"/>
                <w:sz w:val="21"/>
                <w:szCs w:val="21"/>
                <w:highlight w:val="none"/>
                <w:lang w:val="en-US" w:eastAsia="zh-CN" w:bidi="ar-SA"/>
              </w:rPr>
              <w:t>扣完为止。</w:t>
            </w:r>
            <w:r>
              <w:rPr>
                <w:rFonts w:hint="eastAsia" w:ascii="宋体" w:hAnsi="宋体" w:eastAsia="宋体" w:cs="宋体"/>
                <w:color w:val="auto"/>
                <w:spacing w:val="0"/>
                <w:kern w:val="0"/>
                <w:sz w:val="21"/>
                <w:szCs w:val="21"/>
                <w:highlight w:val="none"/>
                <w:lang w:val="en-US" w:eastAsia="zh-CN" w:bidi="ar-SA"/>
              </w:rPr>
              <w:t>（经核实问题不存在的不扣分）</w:t>
            </w:r>
          </w:p>
        </w:tc>
        <w:tc>
          <w:tcPr>
            <w:tcW w:w="1062" w:type="dxa"/>
            <w:noWrap w:val="0"/>
            <w:vAlign w:val="center"/>
          </w:tcPr>
          <w:p w14:paraId="5627AF0E">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25</w:t>
            </w:r>
          </w:p>
        </w:tc>
      </w:tr>
      <w:tr w14:paraId="102F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36" w:type="dxa"/>
            <w:noWrap w:val="0"/>
            <w:vAlign w:val="center"/>
          </w:tcPr>
          <w:p w14:paraId="3795471E">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9</w:t>
            </w:r>
          </w:p>
        </w:tc>
        <w:tc>
          <w:tcPr>
            <w:tcW w:w="6614" w:type="dxa"/>
            <w:noWrap w:val="0"/>
            <w:vAlign w:val="center"/>
          </w:tcPr>
          <w:p w14:paraId="37E37D1B">
            <w:pPr>
              <w:pStyle w:val="18"/>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完成服务期内</w:t>
            </w:r>
            <w:r>
              <w:rPr>
                <w:rFonts w:hint="eastAsia" w:hAnsi="宋体" w:cs="宋体"/>
                <w:color w:val="auto"/>
                <w:spacing w:val="0"/>
                <w:kern w:val="0"/>
                <w:sz w:val="21"/>
                <w:szCs w:val="21"/>
                <w:highlight w:val="none"/>
                <w:lang w:val="en-US" w:eastAsia="zh-CN" w:bidi="ar-SA"/>
              </w:rPr>
              <w:t>最</w:t>
            </w:r>
            <w:r>
              <w:rPr>
                <w:rFonts w:hint="default" w:ascii="宋体" w:hAnsi="宋体" w:eastAsia="宋体" w:cs="宋体"/>
                <w:color w:val="auto"/>
                <w:spacing w:val="0"/>
                <w:kern w:val="0"/>
                <w:sz w:val="21"/>
                <w:szCs w:val="21"/>
                <w:highlight w:val="none"/>
                <w:lang w:val="en-US" w:eastAsia="zh-CN" w:bidi="ar-SA"/>
              </w:rPr>
              <w:t>新</w:t>
            </w:r>
            <w:r>
              <w:rPr>
                <w:rFonts w:hint="eastAsia" w:hAnsi="宋体" w:cs="宋体"/>
                <w:color w:val="auto"/>
                <w:spacing w:val="0"/>
                <w:kern w:val="0"/>
                <w:sz w:val="21"/>
                <w:szCs w:val="21"/>
                <w:highlight w:val="none"/>
                <w:lang w:val="en-US" w:eastAsia="zh-CN" w:bidi="ar-SA"/>
              </w:rPr>
              <w:t>的</w:t>
            </w:r>
            <w:r>
              <w:rPr>
                <w:rFonts w:hint="default" w:ascii="宋体" w:hAnsi="宋体" w:eastAsia="宋体" w:cs="宋体"/>
                <w:color w:val="auto"/>
                <w:spacing w:val="0"/>
                <w:kern w:val="0"/>
                <w:sz w:val="21"/>
                <w:szCs w:val="21"/>
                <w:highlight w:val="none"/>
                <w:lang w:val="en-US" w:eastAsia="zh-CN" w:bidi="ar-SA"/>
              </w:rPr>
              <w:t>文件</w:t>
            </w:r>
            <w:r>
              <w:rPr>
                <w:rFonts w:hint="eastAsia" w:hAnsi="宋体" w:cs="宋体"/>
                <w:color w:val="auto"/>
                <w:spacing w:val="0"/>
                <w:kern w:val="0"/>
                <w:sz w:val="21"/>
                <w:szCs w:val="21"/>
                <w:highlight w:val="none"/>
                <w:lang w:val="en-US" w:eastAsia="zh-CN" w:bidi="ar-SA"/>
              </w:rPr>
              <w:t>工作要求</w:t>
            </w:r>
            <w:r>
              <w:rPr>
                <w:rFonts w:hint="default" w:ascii="宋体" w:hAnsi="宋体" w:eastAsia="宋体" w:cs="宋体"/>
                <w:color w:val="auto"/>
                <w:spacing w:val="0"/>
                <w:kern w:val="0"/>
                <w:sz w:val="21"/>
                <w:szCs w:val="21"/>
                <w:highlight w:val="none"/>
                <w:lang w:val="en-US" w:eastAsia="zh-CN" w:bidi="ar-SA"/>
              </w:rPr>
              <w:t>。</w:t>
            </w:r>
          </w:p>
        </w:tc>
        <w:tc>
          <w:tcPr>
            <w:tcW w:w="1062" w:type="dxa"/>
            <w:noWrap w:val="0"/>
            <w:vAlign w:val="center"/>
          </w:tcPr>
          <w:p w14:paraId="6A8271A9">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5</w:t>
            </w:r>
          </w:p>
        </w:tc>
      </w:tr>
      <w:tr w14:paraId="5F05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36" w:type="dxa"/>
            <w:noWrap w:val="0"/>
            <w:vAlign w:val="center"/>
          </w:tcPr>
          <w:p w14:paraId="0AA27A74">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10</w:t>
            </w:r>
          </w:p>
        </w:tc>
        <w:tc>
          <w:tcPr>
            <w:tcW w:w="6614" w:type="dxa"/>
            <w:noWrap w:val="0"/>
            <w:vAlign w:val="center"/>
          </w:tcPr>
          <w:p w14:paraId="4AB89EFD">
            <w:pPr>
              <w:pStyle w:val="18"/>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驻点人员进行更换</w:t>
            </w:r>
            <w:r>
              <w:rPr>
                <w:rFonts w:hint="eastAsia" w:hAnsi="宋体" w:cs="宋体"/>
                <w:color w:val="auto"/>
                <w:spacing w:val="0"/>
                <w:kern w:val="0"/>
                <w:sz w:val="21"/>
                <w:szCs w:val="21"/>
                <w:highlight w:val="none"/>
                <w:lang w:val="en-US" w:eastAsia="zh-CN" w:bidi="ar-SA"/>
              </w:rPr>
              <w:t>未经业主同意</w:t>
            </w:r>
            <w:r>
              <w:rPr>
                <w:rFonts w:hint="default" w:ascii="宋体" w:hAnsi="宋体" w:eastAsia="宋体" w:cs="宋体"/>
                <w:color w:val="auto"/>
                <w:spacing w:val="0"/>
                <w:kern w:val="0"/>
                <w:sz w:val="21"/>
                <w:szCs w:val="21"/>
                <w:highlight w:val="none"/>
                <w:lang w:val="en-US" w:eastAsia="zh-CN" w:bidi="ar-SA"/>
              </w:rPr>
              <w:t>的，</w:t>
            </w:r>
            <w:r>
              <w:rPr>
                <w:rFonts w:hint="default" w:ascii="宋体" w:hAnsi="宋体" w:eastAsia="宋体" w:cs="宋体"/>
                <w:color w:val="auto"/>
                <w:spacing w:val="0"/>
                <w:kern w:val="0"/>
                <w:sz w:val="21"/>
                <w:szCs w:val="21"/>
                <w:highlight w:val="none"/>
                <w:lang w:val="en-US" w:eastAsia="zh-CN" w:bidi="ar-SA"/>
              </w:rPr>
              <w:t>每人每次扣10分。</w:t>
            </w:r>
          </w:p>
        </w:tc>
        <w:tc>
          <w:tcPr>
            <w:tcW w:w="1062" w:type="dxa"/>
            <w:noWrap w:val="0"/>
            <w:vAlign w:val="center"/>
          </w:tcPr>
          <w:p w14:paraId="5278FFB3">
            <w:pPr>
              <w:pStyle w:val="18"/>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10</w:t>
            </w:r>
          </w:p>
        </w:tc>
      </w:tr>
    </w:tbl>
    <w:p w14:paraId="7F7C1BC6">
      <w:pPr>
        <w:keepNext w:val="0"/>
        <w:keepLines w:val="0"/>
        <w:pageBreakBefore w:val="0"/>
        <w:numPr>
          <w:ilvl w:val="0"/>
          <w:numId w:val="0"/>
        </w:numPr>
        <w:kinsoku/>
        <w:wordWrap/>
        <w:overflowPunct/>
        <w:topLinePunct w:val="0"/>
        <w:bidi w:val="0"/>
        <w:spacing w:line="500" w:lineRule="exact"/>
        <w:jc w:val="left"/>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备注：考核表根据最新考核任务</w:t>
      </w:r>
      <w:r>
        <w:rPr>
          <w:rFonts w:hint="eastAsia" w:ascii="宋体" w:hAnsi="宋体" w:eastAsia="宋体" w:cs="宋体"/>
          <w:color w:val="auto"/>
          <w:spacing w:val="0"/>
          <w:kern w:val="0"/>
          <w:sz w:val="21"/>
          <w:szCs w:val="21"/>
          <w:highlight w:val="none"/>
          <w:lang w:val="en-US" w:eastAsia="zh-CN" w:bidi="ar-SA"/>
        </w:rPr>
        <w:t>可做</w:t>
      </w:r>
      <w:r>
        <w:rPr>
          <w:rFonts w:hint="default" w:ascii="宋体" w:hAnsi="宋体" w:eastAsia="宋体" w:cs="宋体"/>
          <w:color w:val="auto"/>
          <w:spacing w:val="0"/>
          <w:kern w:val="0"/>
          <w:sz w:val="21"/>
          <w:szCs w:val="21"/>
          <w:highlight w:val="none"/>
          <w:lang w:val="en-US" w:eastAsia="zh-CN" w:bidi="ar-SA"/>
        </w:rPr>
        <w:t>调整。</w:t>
      </w:r>
    </w:p>
    <w:p w14:paraId="251D1D9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00" w:lineRule="exact"/>
        <w:ind w:firstLine="420" w:firstLineChars="200"/>
        <w:jc w:val="left"/>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考核结算：</w:t>
      </w:r>
    </w:p>
    <w:p w14:paraId="339F309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00" w:lineRule="exact"/>
        <w:jc w:val="left"/>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①考核分在90分及以上的，支付全部考核资金；</w:t>
      </w:r>
    </w:p>
    <w:p w14:paraId="4CA2E82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00" w:lineRule="exact"/>
        <w:jc w:val="left"/>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②考核分在80-89分的，支付90%考核资金；</w:t>
      </w:r>
    </w:p>
    <w:p w14:paraId="42E1306C">
      <w:pPr>
        <w:pStyle w:val="150"/>
        <w:keepNext w:val="0"/>
        <w:keepLines w:val="0"/>
        <w:pageBreakBefore w:val="0"/>
        <w:kinsoku/>
        <w:wordWrap/>
        <w:overflowPunct/>
        <w:topLinePunct w:val="0"/>
        <w:bidi w:val="0"/>
        <w:spacing w:after="0" w:afterLines="0" w:line="500" w:lineRule="exact"/>
        <w:ind w:left="0" w:leftChars="0" w:firstLine="0" w:firstLineChars="0"/>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③考分在80分以下的，按照考核资金*分数比例进行支付。</w:t>
      </w:r>
    </w:p>
    <w:p w14:paraId="04EEC1AB">
      <w:pPr>
        <w:pStyle w:val="32"/>
        <w:rPr>
          <w:rFonts w:hint="eastAsia" w:ascii="宋体" w:hAnsi="宋体" w:eastAsia="宋体" w:cs="宋体"/>
          <w:color w:val="auto"/>
          <w:spacing w:val="0"/>
          <w:kern w:val="0"/>
          <w:sz w:val="21"/>
          <w:szCs w:val="21"/>
          <w:highlight w:val="none"/>
          <w:lang w:val="en-US" w:eastAsia="zh-CN" w:bidi="ar-SA"/>
        </w:rPr>
      </w:pPr>
    </w:p>
    <w:p w14:paraId="0934E4F8">
      <w:pPr>
        <w:rPr>
          <w:rFonts w:ascii="宋体" w:hAnsi="宋体" w:cs="宋体"/>
          <w:color w:val="auto"/>
          <w:szCs w:val="21"/>
          <w:highlight w:val="none"/>
          <w:lang w:bidi="ar"/>
        </w:rPr>
      </w:pPr>
    </w:p>
    <w:p w14:paraId="47A2E6C0">
      <w:pPr>
        <w:pStyle w:val="23"/>
        <w:rPr>
          <w:rFonts w:ascii="宋体" w:hAnsi="宋体" w:cs="宋体"/>
          <w:color w:val="auto"/>
          <w:szCs w:val="21"/>
          <w:highlight w:val="none"/>
          <w:lang w:bidi="ar"/>
        </w:rPr>
      </w:pPr>
    </w:p>
    <w:p w14:paraId="2812FFF7">
      <w:pPr>
        <w:pStyle w:val="32"/>
        <w:rPr>
          <w:rFonts w:ascii="宋体" w:hAnsi="宋体" w:cs="宋体"/>
          <w:color w:val="auto"/>
          <w:szCs w:val="21"/>
          <w:highlight w:val="none"/>
          <w:lang w:bidi="ar"/>
        </w:rPr>
      </w:pPr>
    </w:p>
    <w:p w14:paraId="040CB7E1">
      <w:pPr>
        <w:rPr>
          <w:rFonts w:ascii="宋体" w:hAnsi="宋体" w:cs="宋体"/>
          <w:color w:val="auto"/>
          <w:szCs w:val="21"/>
          <w:highlight w:val="none"/>
          <w:lang w:bidi="ar"/>
        </w:rPr>
      </w:pPr>
    </w:p>
    <w:p w14:paraId="3C896C67">
      <w:pPr>
        <w:pStyle w:val="23"/>
        <w:rPr>
          <w:rFonts w:ascii="宋体" w:hAnsi="宋体" w:cs="宋体"/>
          <w:color w:val="auto"/>
          <w:szCs w:val="21"/>
          <w:highlight w:val="none"/>
          <w:lang w:bidi="ar"/>
        </w:rPr>
      </w:pPr>
    </w:p>
    <w:p w14:paraId="4514B743">
      <w:pPr>
        <w:pStyle w:val="32"/>
        <w:rPr>
          <w:rFonts w:ascii="宋体" w:hAnsi="宋体" w:cs="宋体"/>
          <w:color w:val="auto"/>
          <w:szCs w:val="21"/>
          <w:highlight w:val="none"/>
          <w:lang w:bidi="ar"/>
        </w:rPr>
      </w:pPr>
    </w:p>
    <w:p w14:paraId="27943099">
      <w:pPr>
        <w:rPr>
          <w:rFonts w:ascii="宋体" w:hAnsi="宋体" w:cs="宋体"/>
          <w:color w:val="auto"/>
          <w:szCs w:val="21"/>
          <w:highlight w:val="none"/>
          <w:lang w:bidi="ar"/>
        </w:rPr>
      </w:pPr>
    </w:p>
    <w:p w14:paraId="61DE0781">
      <w:pPr>
        <w:pStyle w:val="23"/>
        <w:rPr>
          <w:rFonts w:ascii="宋体" w:hAnsi="宋体" w:cs="宋体"/>
          <w:color w:val="auto"/>
          <w:szCs w:val="21"/>
          <w:highlight w:val="none"/>
          <w:lang w:bidi="ar"/>
        </w:rPr>
      </w:pPr>
    </w:p>
    <w:p w14:paraId="169E4296">
      <w:pPr>
        <w:pStyle w:val="32"/>
        <w:rPr>
          <w:rFonts w:ascii="宋体" w:hAnsi="宋体" w:cs="宋体"/>
          <w:color w:val="auto"/>
          <w:szCs w:val="21"/>
          <w:highlight w:val="none"/>
          <w:lang w:bidi="ar"/>
        </w:rPr>
      </w:pPr>
    </w:p>
    <w:p w14:paraId="3FA8589A">
      <w:pPr>
        <w:rPr>
          <w:rFonts w:ascii="宋体" w:hAnsi="宋体" w:cs="宋体"/>
          <w:color w:val="auto"/>
          <w:szCs w:val="21"/>
          <w:highlight w:val="none"/>
          <w:lang w:bidi="ar"/>
        </w:rPr>
      </w:pPr>
    </w:p>
    <w:p w14:paraId="2D997719">
      <w:pPr>
        <w:pStyle w:val="17"/>
        <w:rPr>
          <w:rFonts w:ascii="宋体" w:hAnsi="宋体" w:cs="宋体"/>
          <w:color w:val="auto"/>
          <w:szCs w:val="21"/>
          <w:highlight w:val="none"/>
          <w:lang w:bidi="ar"/>
        </w:rPr>
      </w:pPr>
    </w:p>
    <w:p w14:paraId="4CB0FAC8">
      <w:pPr>
        <w:pStyle w:val="18"/>
        <w:rPr>
          <w:rFonts w:hAnsi="宋体" w:cs="宋体"/>
          <w:color w:val="auto"/>
          <w:szCs w:val="21"/>
          <w:highlight w:val="none"/>
          <w:lang w:bidi="ar"/>
        </w:rPr>
      </w:pPr>
    </w:p>
    <w:p w14:paraId="4660C186">
      <w:pPr>
        <w:pStyle w:val="17"/>
        <w:rPr>
          <w:rFonts w:ascii="宋体" w:hAnsi="宋体" w:cs="宋体"/>
          <w:color w:val="auto"/>
          <w:szCs w:val="21"/>
          <w:highlight w:val="none"/>
          <w:lang w:bidi="ar"/>
        </w:rPr>
      </w:pPr>
    </w:p>
    <w:p w14:paraId="5AA41377">
      <w:pPr>
        <w:pStyle w:val="18"/>
        <w:rPr>
          <w:rFonts w:hAnsi="宋体" w:cs="宋体"/>
          <w:color w:val="auto"/>
          <w:szCs w:val="21"/>
          <w:highlight w:val="none"/>
          <w:lang w:bidi="ar"/>
        </w:rPr>
      </w:pPr>
    </w:p>
    <w:p w14:paraId="69F72C2A">
      <w:pPr>
        <w:pStyle w:val="17"/>
        <w:rPr>
          <w:rFonts w:ascii="宋体" w:hAnsi="宋体" w:cs="宋体"/>
          <w:color w:val="auto"/>
          <w:szCs w:val="21"/>
          <w:highlight w:val="none"/>
          <w:lang w:bidi="ar"/>
        </w:rPr>
      </w:pPr>
    </w:p>
    <w:p w14:paraId="0A64BF19">
      <w:pPr>
        <w:pStyle w:val="18"/>
        <w:rPr>
          <w:rFonts w:hAnsi="宋体" w:cs="宋体"/>
          <w:color w:val="auto"/>
          <w:szCs w:val="21"/>
          <w:highlight w:val="none"/>
          <w:lang w:bidi="ar"/>
        </w:rPr>
      </w:pPr>
    </w:p>
    <w:p w14:paraId="743380BB">
      <w:pPr>
        <w:pStyle w:val="17"/>
        <w:rPr>
          <w:rFonts w:ascii="宋体" w:hAnsi="宋体" w:cs="宋体"/>
          <w:color w:val="auto"/>
          <w:szCs w:val="21"/>
          <w:highlight w:val="none"/>
          <w:lang w:bidi="ar"/>
        </w:rPr>
      </w:pPr>
    </w:p>
    <w:p w14:paraId="4DDC3BD0">
      <w:pPr>
        <w:pStyle w:val="18"/>
        <w:rPr>
          <w:rFonts w:hAnsi="宋体" w:cs="宋体"/>
          <w:color w:val="auto"/>
          <w:szCs w:val="21"/>
          <w:highlight w:val="none"/>
          <w:lang w:bidi="ar"/>
        </w:rPr>
      </w:pPr>
    </w:p>
    <w:p w14:paraId="7ECBD118">
      <w:pPr>
        <w:pStyle w:val="162"/>
        <w:ind w:right="42" w:rightChars="20"/>
        <w:rPr>
          <w:rFonts w:cs="微软雅黑" w:asciiTheme="minorEastAsia" w:hAnsiTheme="minorEastAsia" w:eastAsiaTheme="minorEastAsia"/>
          <w:color w:val="auto"/>
          <w:sz w:val="36"/>
          <w:highlight w:val="none"/>
        </w:rPr>
      </w:pPr>
      <w:r>
        <w:rPr>
          <w:rFonts w:hint="eastAsia" w:asciiTheme="minorEastAsia" w:hAnsiTheme="minorEastAsia" w:eastAsiaTheme="minorEastAsia"/>
          <w:color w:val="auto"/>
          <w:highlight w:val="none"/>
        </w:rPr>
        <w:t>第三章  投标人须知</w:t>
      </w:r>
      <w:bookmarkEnd w:id="10"/>
      <w:bookmarkEnd w:id="11"/>
      <w:bookmarkEnd w:id="12"/>
    </w:p>
    <w:p w14:paraId="2ABB3A9F">
      <w:pPr>
        <w:spacing w:line="360" w:lineRule="auto"/>
        <w:ind w:right="42" w:rightChars="20" w:firstLine="562" w:firstLineChars="200"/>
        <w:jc w:val="center"/>
        <w:rPr>
          <w:rFonts w:asciiTheme="minorEastAsia" w:hAnsiTheme="minorEastAsia" w:eastAsiaTheme="minorEastAsia"/>
          <w:b/>
          <w:bCs/>
          <w:color w:val="auto"/>
          <w:sz w:val="28"/>
          <w:szCs w:val="28"/>
          <w:highlight w:val="none"/>
        </w:rPr>
      </w:pPr>
      <w:bookmarkStart w:id="13" w:name="_Toc177870535"/>
      <w:bookmarkStart w:id="14" w:name="_Toc50012816"/>
      <w:bookmarkStart w:id="15" w:name="_Toc493511543"/>
      <w:bookmarkStart w:id="16" w:name="_Toc17413"/>
      <w:r>
        <w:rPr>
          <w:rFonts w:hint="eastAsia" w:cs="宋体" w:asciiTheme="minorEastAsia" w:hAnsiTheme="minorEastAsia" w:eastAsiaTheme="minorEastAsia"/>
          <w:b/>
          <w:bCs/>
          <w:color w:val="auto"/>
          <w:sz w:val="28"/>
          <w:szCs w:val="28"/>
          <w:highlight w:val="none"/>
        </w:rPr>
        <w:t>电子交易注意事项</w:t>
      </w:r>
    </w:p>
    <w:p w14:paraId="30FEF20F">
      <w:pPr>
        <w:spacing w:line="360" w:lineRule="auto"/>
        <w:ind w:right="42" w:rightChars="20" w:firstLine="210" w:firstLineChars="100"/>
        <w:jc w:val="left"/>
        <w:rPr>
          <w:rFonts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政府采购项目电子交易活动适用《浙江省政府采购项目电子交易管理暂行办法》，现将相关注意事项告知如下：</w:t>
      </w:r>
    </w:p>
    <w:p w14:paraId="7ACCABC7">
      <w:pPr>
        <w:spacing w:line="360" w:lineRule="auto"/>
        <w:ind w:right="42" w:rightChars="20" w:firstLine="210" w:firstLineChars="100"/>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1.集中采购机构按照招标文件规定的时间通过电子交易平台组织开标、开启投标文件、开启报价文件，所有投标人均应当准时在线参加，直至评审结束。</w:t>
      </w:r>
    </w:p>
    <w:p w14:paraId="39642C24">
      <w:pPr>
        <w:pStyle w:val="49"/>
        <w:spacing w:beforeAutospacing="0" w:afterAutospacing="0" w:line="360" w:lineRule="auto"/>
        <w:ind w:right="42" w:rightChars="20" w:firstLine="210" w:firstLineChars="100"/>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　2. 投标文件未按时解密，投标人如提供备份投标文件的，以符合要求的备份投标文件作为依据，否则视为投标文件撤回。投标文件已按时解密的，备份投标文件自动失效。</w:t>
      </w:r>
    </w:p>
    <w:p w14:paraId="778CA678">
      <w:pPr>
        <w:pStyle w:val="49"/>
        <w:spacing w:beforeAutospacing="0" w:afterAutospacing="0" w:line="360" w:lineRule="auto"/>
        <w:ind w:right="42" w:rightChars="20" w:firstLine="210" w:firstLineChars="100"/>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　3. 采购过程中出现以下情形，导致电子交易平台无法正常运行，或者无法保证电子交易的公平、公正和安全时，集中采购机构可中止电子交易活动：</w:t>
      </w:r>
    </w:p>
    <w:p w14:paraId="09F0B421">
      <w:pPr>
        <w:pStyle w:val="49"/>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（一）电子交易平台发生故障而无法登录访问的； </w:t>
      </w:r>
    </w:p>
    <w:p w14:paraId="26935FB3">
      <w:pPr>
        <w:pStyle w:val="49"/>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（二）电子交易平台应用或数据库出现错误，不能进行正常操作的；</w:t>
      </w:r>
    </w:p>
    <w:p w14:paraId="457C0E6E">
      <w:pPr>
        <w:pStyle w:val="49"/>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（三）电子交易平台发现严重安全漏洞，有潜在泄密危险的；</w:t>
      </w:r>
    </w:p>
    <w:p w14:paraId="65FE9B16">
      <w:pPr>
        <w:pStyle w:val="49"/>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（四）病毒发作导致不能进行正常操作的； </w:t>
      </w:r>
    </w:p>
    <w:p w14:paraId="617B00F3">
      <w:pPr>
        <w:pStyle w:val="49"/>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（五）其他无法保证电子交易的公平、公正和安全的情况。</w:t>
      </w:r>
    </w:p>
    <w:p w14:paraId="18AC993B">
      <w:pPr>
        <w:pStyle w:val="49"/>
        <w:spacing w:beforeAutospacing="0" w:afterAutospacing="0" w:line="360" w:lineRule="auto"/>
        <w:ind w:right="42" w:rightChars="20" w:firstLine="210"/>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出现前款规定情形，不影响采购公平、公正性的，集中采购机构可以待上述情形消除后继续组织电子交易活动，也可以决定某些环节以纸质形式进行；影响或可能影响采购公平、公正性的，应当重新采购。</w:t>
      </w:r>
    </w:p>
    <w:p w14:paraId="6953EA81">
      <w:pPr>
        <w:spacing w:line="360" w:lineRule="auto"/>
        <w:ind w:right="42" w:rightChars="20" w:firstLine="420" w:firstLineChars="200"/>
        <w:jc w:val="left"/>
        <w:outlineLvl w:val="1"/>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4.评审中需要投标人对投标文件作出澄清、说明或者补正的，评审小组和投标人应当通过电子交易平台交换数据电文。投标人需在半小时内提交澄清说明或补正，投标人已经明确表示澄清说明或补正完毕的除外。</w:t>
      </w:r>
    </w:p>
    <w:p w14:paraId="60061814">
      <w:pPr>
        <w:spacing w:line="360" w:lineRule="auto"/>
        <w:ind w:right="42" w:rightChars="20" w:firstLine="422" w:firstLineChars="200"/>
        <w:jc w:val="left"/>
        <w:outlineLvl w:val="1"/>
        <w:rPr>
          <w:rFonts w:cs="宋体" w:asciiTheme="minorEastAsia" w:hAnsiTheme="minorEastAsia" w:eastAsiaTheme="minorEastAsia"/>
          <w:color w:val="auto"/>
          <w:szCs w:val="21"/>
          <w:highlight w:val="none"/>
          <w:shd w:val="clear" w:color="auto" w:fill="FFFFFF"/>
        </w:rPr>
      </w:pPr>
      <w:r>
        <w:rPr>
          <w:rFonts w:hint="eastAsia" w:ascii="微软雅黑" w:hAnsi="微软雅黑" w:cs="宋体"/>
          <w:b/>
          <w:color w:val="auto"/>
          <w:kern w:val="0"/>
          <w:szCs w:val="21"/>
          <w:highlight w:val="none"/>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视为默认原投标文件内容。</w:t>
      </w:r>
    </w:p>
    <w:p w14:paraId="10B5C1DE">
      <w:pPr>
        <w:pStyle w:val="99"/>
        <w:rPr>
          <w:color w:val="auto"/>
          <w:highlight w:val="none"/>
        </w:rPr>
      </w:pPr>
    </w:p>
    <w:p w14:paraId="0E788EF7">
      <w:pPr>
        <w:pStyle w:val="99"/>
        <w:rPr>
          <w:color w:val="auto"/>
          <w:highlight w:val="none"/>
        </w:rPr>
      </w:pPr>
    </w:p>
    <w:p w14:paraId="2F837A48">
      <w:pPr>
        <w:spacing w:line="360" w:lineRule="auto"/>
        <w:ind w:right="42" w:rightChars="20" w:firstLine="422" w:firstLineChars="200"/>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前附表</w:t>
      </w:r>
      <w:bookmarkEnd w:id="13"/>
      <w:bookmarkEnd w:id="14"/>
      <w:bookmarkEnd w:id="15"/>
      <w:bookmarkEnd w:id="16"/>
    </w:p>
    <w:tbl>
      <w:tblPr>
        <w:tblStyle w:val="54"/>
        <w:tblW w:w="9288"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8511"/>
      </w:tblGrid>
      <w:tr w14:paraId="39A97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777" w:type="dxa"/>
            <w:tcBorders>
              <w:top w:val="single" w:color="auto" w:sz="4" w:space="0"/>
              <w:left w:val="single" w:color="auto" w:sz="4" w:space="0"/>
              <w:bottom w:val="single" w:color="auto" w:sz="4" w:space="0"/>
              <w:right w:val="single" w:color="auto" w:sz="4" w:space="0"/>
            </w:tcBorders>
            <w:vAlign w:val="center"/>
          </w:tcPr>
          <w:p w14:paraId="080A2D90">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序号</w:t>
            </w:r>
          </w:p>
        </w:tc>
        <w:tc>
          <w:tcPr>
            <w:tcW w:w="8511" w:type="dxa"/>
            <w:tcBorders>
              <w:top w:val="single" w:color="auto" w:sz="4" w:space="0"/>
              <w:left w:val="single" w:color="auto" w:sz="4" w:space="0"/>
              <w:bottom w:val="single" w:color="auto" w:sz="4" w:space="0"/>
              <w:right w:val="single" w:color="auto" w:sz="4" w:space="0"/>
            </w:tcBorders>
            <w:vAlign w:val="center"/>
          </w:tcPr>
          <w:p w14:paraId="5E04031E">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内容、要求</w:t>
            </w:r>
          </w:p>
        </w:tc>
      </w:tr>
      <w:tr w14:paraId="450D5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777" w:type="dxa"/>
            <w:tcBorders>
              <w:top w:val="single" w:color="auto" w:sz="4" w:space="0"/>
              <w:left w:val="single" w:color="auto" w:sz="4" w:space="0"/>
              <w:bottom w:val="single" w:color="auto" w:sz="4" w:space="0"/>
              <w:right w:val="single" w:color="auto" w:sz="4" w:space="0"/>
            </w:tcBorders>
            <w:vAlign w:val="center"/>
          </w:tcPr>
          <w:p w14:paraId="14A744CF">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w:t>
            </w:r>
          </w:p>
        </w:tc>
        <w:tc>
          <w:tcPr>
            <w:tcW w:w="8511" w:type="dxa"/>
            <w:tcBorders>
              <w:top w:val="single" w:color="auto" w:sz="4" w:space="0"/>
              <w:left w:val="single" w:color="auto" w:sz="4" w:space="0"/>
              <w:bottom w:val="single" w:color="auto" w:sz="4" w:space="0"/>
              <w:right w:val="single" w:color="auto" w:sz="4" w:space="0"/>
            </w:tcBorders>
            <w:vAlign w:val="center"/>
          </w:tcPr>
          <w:p w14:paraId="3BC05C8F">
            <w:pPr>
              <w:snapToGrid w:val="0"/>
              <w:spacing w:line="360" w:lineRule="auto"/>
              <w:ind w:right="42" w:rightChars="20"/>
              <w:jc w:val="left"/>
              <w:rPr>
                <w:rFonts w:hint="eastAsia" w:cs="微软雅黑" w:asciiTheme="minorEastAsia" w:hAnsiTheme="minorEastAsia" w:eastAsiaTheme="minorEastAsia"/>
                <w:color w:val="auto"/>
                <w:szCs w:val="21"/>
                <w:highlight w:val="none"/>
                <w:lang w:eastAsia="zh-CN"/>
              </w:rPr>
            </w:pPr>
            <w:r>
              <w:rPr>
                <w:rFonts w:hint="eastAsia" w:cs="微软雅黑" w:asciiTheme="minorEastAsia" w:hAnsiTheme="minorEastAsia" w:eastAsiaTheme="minorEastAsia"/>
                <w:color w:val="auto"/>
                <w:szCs w:val="21"/>
                <w:highlight w:val="none"/>
              </w:rPr>
              <w:t>项目名称：</w:t>
            </w:r>
            <w:r>
              <w:rPr>
                <w:rFonts w:hint="eastAsia" w:cs="微软雅黑" w:asciiTheme="minorEastAsia" w:hAnsiTheme="minorEastAsia" w:eastAsiaTheme="minorEastAsia"/>
                <w:b/>
                <w:color w:val="auto"/>
                <w:szCs w:val="21"/>
                <w:highlight w:val="none"/>
                <w:lang w:eastAsia="zh-CN"/>
              </w:rPr>
              <w:t>2025年排污许可和自行监测技术服务项目</w:t>
            </w:r>
          </w:p>
        </w:tc>
      </w:tr>
      <w:tr w14:paraId="17E91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77" w:type="dxa"/>
            <w:tcBorders>
              <w:top w:val="single" w:color="auto" w:sz="4" w:space="0"/>
              <w:left w:val="single" w:color="auto" w:sz="4" w:space="0"/>
              <w:bottom w:val="single" w:color="auto" w:sz="4" w:space="0"/>
              <w:right w:val="single" w:color="auto" w:sz="4" w:space="0"/>
            </w:tcBorders>
            <w:vAlign w:val="center"/>
          </w:tcPr>
          <w:p w14:paraId="2A963239">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w:t>
            </w:r>
          </w:p>
        </w:tc>
        <w:tc>
          <w:tcPr>
            <w:tcW w:w="8511" w:type="dxa"/>
            <w:tcBorders>
              <w:top w:val="single" w:color="auto" w:sz="4" w:space="0"/>
              <w:left w:val="single" w:color="auto" w:sz="4" w:space="0"/>
              <w:bottom w:val="single" w:color="auto" w:sz="4" w:space="0"/>
              <w:right w:val="single" w:color="auto" w:sz="4" w:space="0"/>
            </w:tcBorders>
            <w:vAlign w:val="center"/>
          </w:tcPr>
          <w:p w14:paraId="20531439">
            <w:pPr>
              <w:snapToGrid w:val="0"/>
              <w:spacing w:line="360" w:lineRule="auto"/>
              <w:ind w:right="42" w:rightChars="20"/>
              <w:jc w:val="left"/>
              <w:rPr>
                <w:rFonts w:hint="eastAsia" w:cs="微软雅黑" w:asciiTheme="minorEastAsia" w:hAnsiTheme="minorEastAsia" w:eastAsiaTheme="minorEastAsia"/>
                <w:color w:val="auto"/>
                <w:szCs w:val="21"/>
                <w:highlight w:val="none"/>
                <w:lang w:eastAsia="zh-CN"/>
              </w:rPr>
            </w:pPr>
            <w:r>
              <w:rPr>
                <w:rFonts w:hint="eastAsia" w:cs="微软雅黑" w:asciiTheme="minorEastAsia" w:hAnsiTheme="minorEastAsia" w:eastAsiaTheme="minorEastAsia"/>
                <w:color w:val="auto"/>
                <w:szCs w:val="21"/>
                <w:highlight w:val="none"/>
              </w:rPr>
              <w:t>招标编号：</w:t>
            </w:r>
            <w:r>
              <w:rPr>
                <w:rFonts w:hint="eastAsia" w:cs="微软雅黑" w:asciiTheme="minorEastAsia" w:hAnsiTheme="minorEastAsia" w:eastAsiaTheme="minorEastAsia"/>
                <w:color w:val="auto"/>
                <w:szCs w:val="21"/>
                <w:highlight w:val="none"/>
                <w:lang w:eastAsia="zh-CN"/>
              </w:rPr>
              <w:t>大地-DDZX-JX（2025）第5号</w:t>
            </w:r>
            <w:r>
              <w:rPr>
                <w:rFonts w:hint="eastAsia" w:cs="微软雅黑" w:asciiTheme="minorEastAsia" w:hAnsiTheme="minorEastAsia" w:eastAsiaTheme="minorEastAsia"/>
                <w:color w:val="auto"/>
                <w:szCs w:val="21"/>
                <w:highlight w:val="none"/>
              </w:rPr>
              <w:t xml:space="preserve">   采购计划文号：</w:t>
            </w:r>
            <w:r>
              <w:rPr>
                <w:rFonts w:hint="eastAsia" w:cs="微软雅黑" w:asciiTheme="minorEastAsia" w:hAnsiTheme="minorEastAsia" w:eastAsiaTheme="minorEastAsia"/>
                <w:color w:val="auto"/>
                <w:szCs w:val="21"/>
                <w:highlight w:val="none"/>
                <w:lang w:val="en-US" w:eastAsia="zh-CN"/>
              </w:rPr>
              <w:t xml:space="preserve"> </w:t>
            </w:r>
            <w:r>
              <w:rPr>
                <w:rFonts w:hint="eastAsia" w:cs="微软雅黑" w:asciiTheme="minorEastAsia" w:hAnsiTheme="minorEastAsia" w:eastAsiaTheme="minorEastAsia"/>
                <w:color w:val="auto"/>
                <w:szCs w:val="21"/>
                <w:highlight w:val="none"/>
              </w:rPr>
              <w:fldChar w:fldCharType="begin"/>
            </w:r>
            <w:r>
              <w:rPr>
                <w:rFonts w:hint="eastAsia" w:cs="微软雅黑" w:asciiTheme="minorEastAsia" w:hAnsiTheme="minorEastAsia" w:eastAsiaTheme="minorEastAsia"/>
                <w:color w:val="auto"/>
                <w:szCs w:val="21"/>
                <w:highlight w:val="none"/>
              </w:rPr>
              <w:instrText xml:space="preserve"> HYPERLINK "https://pay.zcygov.cn/purchaseplan_front/" \l "/plan/list/view?id=1000000000015380502&amp;_app_=zcy.procurement" \t "https://www.zcygov.cn/delegation-order/_procurement_/order/_blank" </w:instrText>
            </w:r>
            <w:r>
              <w:rPr>
                <w:rFonts w:hint="eastAsia" w:cs="微软雅黑" w:asciiTheme="minorEastAsia" w:hAnsiTheme="minorEastAsia" w:eastAsiaTheme="minorEastAsia"/>
                <w:color w:val="auto"/>
                <w:szCs w:val="21"/>
                <w:highlight w:val="none"/>
              </w:rPr>
              <w:fldChar w:fldCharType="separate"/>
            </w:r>
            <w:r>
              <w:rPr>
                <w:rFonts w:hint="eastAsia" w:cs="微软雅黑" w:asciiTheme="minorEastAsia" w:hAnsiTheme="minorEastAsia" w:eastAsiaTheme="minorEastAsia"/>
                <w:color w:val="auto"/>
                <w:szCs w:val="21"/>
                <w:highlight w:val="none"/>
              </w:rPr>
              <w:t>临[2025]99号</w:t>
            </w:r>
            <w:r>
              <w:rPr>
                <w:rFonts w:hint="eastAsia" w:cs="微软雅黑" w:asciiTheme="minorEastAsia" w:hAnsiTheme="minorEastAsia" w:eastAsiaTheme="minorEastAsia"/>
                <w:color w:val="auto"/>
                <w:szCs w:val="21"/>
                <w:highlight w:val="none"/>
              </w:rPr>
              <w:fldChar w:fldCharType="end"/>
            </w:r>
          </w:p>
        </w:tc>
      </w:tr>
      <w:tr w14:paraId="76DAF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77" w:type="dxa"/>
            <w:tcBorders>
              <w:top w:val="single" w:color="auto" w:sz="4" w:space="0"/>
              <w:left w:val="single" w:color="auto" w:sz="4" w:space="0"/>
              <w:bottom w:val="single" w:color="auto" w:sz="4" w:space="0"/>
              <w:right w:val="single" w:color="auto" w:sz="4" w:space="0"/>
            </w:tcBorders>
            <w:vAlign w:val="center"/>
          </w:tcPr>
          <w:p w14:paraId="585E04D5">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3</w:t>
            </w:r>
          </w:p>
        </w:tc>
        <w:tc>
          <w:tcPr>
            <w:tcW w:w="8511" w:type="dxa"/>
            <w:tcBorders>
              <w:top w:val="single" w:color="auto" w:sz="4" w:space="0"/>
              <w:left w:val="single" w:color="auto" w:sz="4" w:space="0"/>
              <w:bottom w:val="single" w:color="auto" w:sz="4" w:space="0"/>
              <w:right w:val="single" w:color="auto" w:sz="4" w:space="0"/>
            </w:tcBorders>
            <w:vAlign w:val="center"/>
          </w:tcPr>
          <w:p w14:paraId="611F585C">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投标报价及费用：1、本项目投标应以人民币报价；2、不论投标结果如何，投标人均应自行承担所有与投标有关的全部费用。</w:t>
            </w:r>
          </w:p>
        </w:tc>
      </w:tr>
      <w:tr w14:paraId="0498F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77" w:type="dxa"/>
            <w:tcBorders>
              <w:top w:val="single" w:color="auto" w:sz="4" w:space="0"/>
              <w:left w:val="single" w:color="auto" w:sz="4" w:space="0"/>
              <w:bottom w:val="single" w:color="auto" w:sz="4" w:space="0"/>
              <w:right w:val="single" w:color="auto" w:sz="4" w:space="0"/>
            </w:tcBorders>
            <w:vAlign w:val="center"/>
          </w:tcPr>
          <w:p w14:paraId="3AD21787">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4</w:t>
            </w:r>
          </w:p>
        </w:tc>
        <w:tc>
          <w:tcPr>
            <w:tcW w:w="8511" w:type="dxa"/>
            <w:tcBorders>
              <w:top w:val="single" w:color="auto" w:sz="4" w:space="0"/>
              <w:left w:val="single" w:color="auto" w:sz="4" w:space="0"/>
              <w:bottom w:val="single" w:color="auto" w:sz="4" w:space="0"/>
              <w:right w:val="single" w:color="auto" w:sz="4" w:space="0"/>
            </w:tcBorders>
            <w:vAlign w:val="center"/>
          </w:tcPr>
          <w:p w14:paraId="75592AD7">
            <w:pPr>
              <w:spacing w:line="360" w:lineRule="auto"/>
              <w:contextualSpacing/>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w:t>
            </w:r>
            <w:r>
              <w:rPr>
                <w:rFonts w:hint="eastAsia" w:asciiTheme="minorEastAsia" w:hAnsiTheme="minorEastAsia" w:eastAsiaTheme="minorEastAsia"/>
                <w:b/>
                <w:bCs/>
                <w:color w:val="auto"/>
                <w:szCs w:val="21"/>
                <w:highlight w:val="none"/>
              </w:rPr>
              <w:t>预算金额：</w:t>
            </w:r>
            <w:r>
              <w:rPr>
                <w:rFonts w:hint="eastAsia" w:asciiTheme="minorEastAsia" w:hAnsiTheme="minorEastAsia" w:eastAsiaTheme="minorEastAsia"/>
                <w:b/>
                <w:bCs/>
                <w:color w:val="auto"/>
                <w:szCs w:val="21"/>
                <w:highlight w:val="none"/>
                <w:lang w:eastAsia="zh-CN"/>
              </w:rPr>
              <w:t>400000</w:t>
            </w:r>
            <w:r>
              <w:rPr>
                <w:rFonts w:hint="eastAsia" w:asciiTheme="minorEastAsia" w:hAnsiTheme="minorEastAsia" w:eastAsiaTheme="minorEastAsia"/>
                <w:b/>
                <w:bCs/>
                <w:color w:val="auto"/>
                <w:szCs w:val="21"/>
                <w:highlight w:val="none"/>
              </w:rPr>
              <w:t>元</w:t>
            </w:r>
            <w:r>
              <w:rPr>
                <w:rFonts w:hint="eastAsia" w:asciiTheme="minorEastAsia" w:hAnsiTheme="minorEastAsia" w:eastAsiaTheme="minorEastAsia"/>
                <w:b/>
                <w:bCs/>
                <w:color w:val="auto"/>
                <w:szCs w:val="21"/>
                <w:highlight w:val="none"/>
              </w:rPr>
              <w:t>，投标报价超过预算价的作无效标处理。。</w:t>
            </w:r>
          </w:p>
        </w:tc>
      </w:tr>
      <w:tr w14:paraId="1A8BA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777" w:type="dxa"/>
            <w:tcBorders>
              <w:top w:val="single" w:color="auto" w:sz="4" w:space="0"/>
              <w:left w:val="single" w:color="auto" w:sz="4" w:space="0"/>
              <w:bottom w:val="single" w:color="auto" w:sz="4" w:space="0"/>
              <w:right w:val="single" w:color="auto" w:sz="4" w:space="0"/>
            </w:tcBorders>
            <w:vAlign w:val="center"/>
          </w:tcPr>
          <w:p w14:paraId="6BD08122">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5</w:t>
            </w:r>
          </w:p>
        </w:tc>
        <w:tc>
          <w:tcPr>
            <w:tcW w:w="8511" w:type="dxa"/>
            <w:tcBorders>
              <w:top w:val="single" w:color="auto" w:sz="4" w:space="0"/>
              <w:left w:val="single" w:color="auto" w:sz="4" w:space="0"/>
              <w:bottom w:val="single" w:color="auto" w:sz="4" w:space="0"/>
              <w:right w:val="single" w:color="auto" w:sz="4" w:space="0"/>
            </w:tcBorders>
            <w:vAlign w:val="center"/>
          </w:tcPr>
          <w:p w14:paraId="03BDD232">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投标保证金：无</w:t>
            </w:r>
          </w:p>
        </w:tc>
      </w:tr>
      <w:tr w14:paraId="673CB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77" w:type="dxa"/>
            <w:tcBorders>
              <w:top w:val="single" w:color="auto" w:sz="4" w:space="0"/>
              <w:left w:val="single" w:color="auto" w:sz="4" w:space="0"/>
              <w:bottom w:val="single" w:color="auto" w:sz="4" w:space="0"/>
              <w:right w:val="single" w:color="auto" w:sz="4" w:space="0"/>
            </w:tcBorders>
            <w:vAlign w:val="center"/>
          </w:tcPr>
          <w:p w14:paraId="3630B3A8">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6</w:t>
            </w:r>
          </w:p>
        </w:tc>
        <w:tc>
          <w:tcPr>
            <w:tcW w:w="8511" w:type="dxa"/>
            <w:tcBorders>
              <w:top w:val="single" w:color="auto" w:sz="4" w:space="0"/>
              <w:left w:val="single" w:color="auto" w:sz="4" w:space="0"/>
              <w:bottom w:val="single" w:color="auto" w:sz="4" w:space="0"/>
              <w:right w:val="single" w:color="auto" w:sz="4" w:space="0"/>
            </w:tcBorders>
            <w:vAlign w:val="center"/>
          </w:tcPr>
          <w:p w14:paraId="06156909">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现场踏勘：自行踏勘（费用自理）</w:t>
            </w:r>
          </w:p>
        </w:tc>
      </w:tr>
      <w:tr w14:paraId="020D3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77" w:type="dxa"/>
            <w:tcBorders>
              <w:top w:val="single" w:color="auto" w:sz="4" w:space="0"/>
              <w:left w:val="single" w:color="auto" w:sz="4" w:space="0"/>
              <w:bottom w:val="single" w:color="auto" w:sz="4" w:space="0"/>
              <w:right w:val="single" w:color="auto" w:sz="4" w:space="0"/>
            </w:tcBorders>
            <w:vAlign w:val="center"/>
          </w:tcPr>
          <w:p w14:paraId="2630A304">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7</w:t>
            </w:r>
          </w:p>
        </w:tc>
        <w:tc>
          <w:tcPr>
            <w:tcW w:w="8511" w:type="dxa"/>
            <w:tcBorders>
              <w:top w:val="single" w:color="auto" w:sz="4" w:space="0"/>
              <w:left w:val="single" w:color="auto" w:sz="4" w:space="0"/>
              <w:bottom w:val="single" w:color="auto" w:sz="4" w:space="0"/>
              <w:right w:val="single" w:color="auto" w:sz="4" w:space="0"/>
            </w:tcBorders>
            <w:vAlign w:val="center"/>
          </w:tcPr>
          <w:p w14:paraId="53E0D29C">
            <w:pPr>
              <w:snapToGrid w:val="0"/>
              <w:spacing w:line="360" w:lineRule="auto"/>
              <w:rPr>
                <w:rFonts w:hint="eastAsia" w:cs="微软雅黑" w:asciiTheme="minorEastAsia" w:hAnsiTheme="minorEastAsia" w:eastAsiaTheme="minorEastAsia"/>
                <w:color w:val="auto"/>
                <w:szCs w:val="21"/>
                <w:highlight w:val="none"/>
                <w:lang w:eastAsia="zh-CN"/>
              </w:rPr>
            </w:pPr>
            <w:r>
              <w:rPr>
                <w:rFonts w:hint="eastAsia" w:cs="微软雅黑" w:asciiTheme="minorEastAsia" w:hAnsiTheme="minorEastAsia" w:eastAsiaTheme="minorEastAsia"/>
                <w:color w:val="auto"/>
                <w:szCs w:val="21"/>
                <w:highlight w:val="none"/>
              </w:rPr>
              <w:t>演示及样品：</w:t>
            </w:r>
            <w:r>
              <w:rPr>
                <w:rFonts w:hint="eastAsia" w:ascii="宋体" w:hAnsi="宋体" w:cs="微软雅黑" w:eastAsiaTheme="minorEastAsia"/>
                <w:color w:val="auto"/>
                <w:szCs w:val="21"/>
                <w:highlight w:val="none"/>
                <w:lang w:val="en-US" w:eastAsia="zh-CN"/>
              </w:rPr>
              <w:t>无</w:t>
            </w:r>
          </w:p>
          <w:p w14:paraId="4CD9D54D">
            <w:pPr>
              <w:snapToGrid w:val="0"/>
              <w:spacing w:line="360" w:lineRule="auto"/>
              <w:ind w:right="42" w:rightChars="20"/>
              <w:rPr>
                <w:rFonts w:cs="微软雅黑" w:asciiTheme="minorEastAsia" w:hAnsiTheme="minorEastAsia"/>
                <w:color w:val="auto"/>
                <w:szCs w:val="21"/>
                <w:highlight w:val="none"/>
              </w:rPr>
            </w:pPr>
            <w:r>
              <w:rPr>
                <w:rFonts w:hint="eastAsia" w:ascii="宋体" w:hAnsi="宋体" w:cs="微软雅黑"/>
                <w:color w:val="auto"/>
                <w:szCs w:val="21"/>
                <w:highlight w:val="none"/>
              </w:rPr>
              <w:t>演示时间及地点：无</w:t>
            </w:r>
          </w:p>
        </w:tc>
      </w:tr>
      <w:tr w14:paraId="49F9F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 w:hRule="atLeast"/>
        </w:trPr>
        <w:tc>
          <w:tcPr>
            <w:tcW w:w="777" w:type="dxa"/>
            <w:tcBorders>
              <w:top w:val="single" w:color="auto" w:sz="4" w:space="0"/>
              <w:left w:val="single" w:color="auto" w:sz="4" w:space="0"/>
              <w:bottom w:val="single" w:color="auto" w:sz="4" w:space="0"/>
              <w:right w:val="single" w:color="auto" w:sz="4" w:space="0"/>
            </w:tcBorders>
            <w:vAlign w:val="center"/>
          </w:tcPr>
          <w:p w14:paraId="2711BC05">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8</w:t>
            </w:r>
          </w:p>
        </w:tc>
        <w:tc>
          <w:tcPr>
            <w:tcW w:w="8511" w:type="dxa"/>
            <w:tcBorders>
              <w:top w:val="single" w:color="auto" w:sz="4" w:space="0"/>
              <w:left w:val="single" w:color="auto" w:sz="4" w:space="0"/>
              <w:bottom w:val="single" w:color="auto" w:sz="4" w:space="0"/>
              <w:right w:val="single" w:color="auto" w:sz="4" w:space="0"/>
            </w:tcBorders>
            <w:vAlign w:val="center"/>
          </w:tcPr>
          <w:p w14:paraId="310FAC35">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答疑与澄清：无</w:t>
            </w:r>
          </w:p>
        </w:tc>
      </w:tr>
      <w:tr w14:paraId="7D7C0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77" w:type="dxa"/>
            <w:tcBorders>
              <w:top w:val="single" w:color="auto" w:sz="4" w:space="0"/>
              <w:left w:val="single" w:color="auto" w:sz="4" w:space="0"/>
              <w:bottom w:val="single" w:color="auto" w:sz="4" w:space="0"/>
              <w:right w:val="single" w:color="auto" w:sz="4" w:space="0"/>
            </w:tcBorders>
            <w:vAlign w:val="center"/>
          </w:tcPr>
          <w:p w14:paraId="1B1D5262">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9</w:t>
            </w:r>
          </w:p>
        </w:tc>
        <w:tc>
          <w:tcPr>
            <w:tcW w:w="8511" w:type="dxa"/>
            <w:tcBorders>
              <w:top w:val="single" w:color="auto" w:sz="4" w:space="0"/>
              <w:left w:val="single" w:color="auto" w:sz="4" w:space="0"/>
              <w:bottom w:val="single" w:color="auto" w:sz="4" w:space="0"/>
              <w:right w:val="single" w:color="auto" w:sz="4" w:space="0"/>
            </w:tcBorders>
            <w:vAlign w:val="center"/>
          </w:tcPr>
          <w:p w14:paraId="277A385F">
            <w:pPr>
              <w:autoSpaceDE w:val="0"/>
              <w:autoSpaceDN w:val="0"/>
              <w:snapToGrid w:val="0"/>
              <w:spacing w:line="360" w:lineRule="auto"/>
              <w:ind w:right="42" w:rightChars="20"/>
              <w:jc w:val="left"/>
              <w:textAlignment w:val="bottom"/>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投标文件组成：</w:t>
            </w:r>
            <w:r>
              <w:rPr>
                <w:rFonts w:hint="eastAsia" w:cs="微软雅黑" w:asciiTheme="minorEastAsia" w:hAnsiTheme="minorEastAsia" w:eastAsiaTheme="minorEastAsia"/>
                <w:bCs/>
                <w:color w:val="auto"/>
                <w:szCs w:val="21"/>
                <w:highlight w:val="none"/>
              </w:rPr>
              <w:t>完整的《投标文件》由</w:t>
            </w:r>
            <w:r>
              <w:rPr>
                <w:rFonts w:hint="eastAsia" w:cs="微软雅黑" w:asciiTheme="minorEastAsia" w:hAnsiTheme="minorEastAsia" w:eastAsiaTheme="minorEastAsia"/>
                <w:b/>
                <w:color w:val="auto"/>
                <w:szCs w:val="21"/>
                <w:highlight w:val="none"/>
              </w:rPr>
              <w:t>资格投标文件、商务技术文件、报价文件三部份组成</w:t>
            </w:r>
            <w:r>
              <w:rPr>
                <w:rFonts w:hint="eastAsia" w:cs="微软雅黑" w:asciiTheme="minorEastAsia" w:hAnsiTheme="minorEastAsia" w:eastAsiaTheme="minorEastAsia"/>
                <w:bCs/>
                <w:color w:val="auto"/>
                <w:szCs w:val="21"/>
                <w:highlight w:val="none"/>
              </w:rPr>
              <w:t>。样品要求详见第二章采购需求。</w:t>
            </w:r>
          </w:p>
        </w:tc>
      </w:tr>
      <w:tr w14:paraId="25629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14:paraId="105D22BD">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10</w:t>
            </w:r>
          </w:p>
        </w:tc>
        <w:tc>
          <w:tcPr>
            <w:tcW w:w="8511" w:type="dxa"/>
            <w:tcBorders>
              <w:top w:val="single" w:color="auto" w:sz="4" w:space="0"/>
              <w:left w:val="single" w:color="auto" w:sz="4" w:space="0"/>
              <w:bottom w:val="single" w:color="auto" w:sz="4" w:space="0"/>
              <w:right w:val="single" w:color="auto" w:sz="4" w:space="0"/>
            </w:tcBorders>
            <w:vAlign w:val="center"/>
          </w:tcPr>
          <w:p w14:paraId="05AED7ED">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投标文件的编制：投标人应先安装“政采云电子交易客户端”，并按照本招标文件和“政府采购云平台”的要求，通过“政采云电子交易客户端”编制并加密投标文件。</w:t>
            </w:r>
          </w:p>
        </w:tc>
      </w:tr>
      <w:tr w14:paraId="55620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77" w:type="dxa"/>
            <w:tcBorders>
              <w:top w:val="single" w:color="auto" w:sz="4" w:space="0"/>
              <w:left w:val="single" w:color="auto" w:sz="4" w:space="0"/>
              <w:bottom w:val="single" w:color="auto" w:sz="4" w:space="0"/>
              <w:right w:val="single" w:color="auto" w:sz="4" w:space="0"/>
            </w:tcBorders>
            <w:vAlign w:val="center"/>
          </w:tcPr>
          <w:p w14:paraId="3398D9F6">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11</w:t>
            </w:r>
          </w:p>
        </w:tc>
        <w:tc>
          <w:tcPr>
            <w:tcW w:w="8511" w:type="dxa"/>
            <w:tcBorders>
              <w:top w:val="single" w:color="auto" w:sz="4" w:space="0"/>
              <w:left w:val="single" w:color="auto" w:sz="4" w:space="0"/>
              <w:bottom w:val="single" w:color="auto" w:sz="4" w:space="0"/>
              <w:right w:val="single" w:color="auto" w:sz="4" w:space="0"/>
            </w:tcBorders>
            <w:vAlign w:val="center"/>
          </w:tcPr>
          <w:p w14:paraId="573BD823">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投标文件的签章：电子签章。</w:t>
            </w:r>
          </w:p>
        </w:tc>
      </w:tr>
      <w:tr w14:paraId="7042A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14:paraId="74293292">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12</w:t>
            </w:r>
          </w:p>
        </w:tc>
        <w:tc>
          <w:tcPr>
            <w:tcW w:w="8511" w:type="dxa"/>
            <w:tcBorders>
              <w:top w:val="single" w:color="auto" w:sz="4" w:space="0"/>
              <w:left w:val="single" w:color="auto" w:sz="4" w:space="0"/>
              <w:bottom w:val="single" w:color="auto" w:sz="4" w:space="0"/>
              <w:right w:val="single" w:color="auto" w:sz="4" w:space="0"/>
            </w:tcBorders>
            <w:vAlign w:val="center"/>
          </w:tcPr>
          <w:p w14:paraId="7EEFE894">
            <w:pPr>
              <w:spacing w:line="360" w:lineRule="auto"/>
              <w:ind w:right="42" w:rightChars="2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color w:val="auto"/>
                <w:szCs w:val="21"/>
                <w:highlight w:val="none"/>
              </w:rPr>
              <w:t>投标文件的形式：</w:t>
            </w:r>
            <w:r>
              <w:rPr>
                <w:rFonts w:hint="eastAsia" w:ascii="MS Mincho" w:hAnsi="MS Mincho" w:eastAsia="MS Mincho" w:cs="MS Mincho"/>
                <w:bCs/>
                <w:color w:val="auto"/>
                <w:szCs w:val="21"/>
                <w:highlight w:val="none"/>
              </w:rPr>
              <w:t>☑</w:t>
            </w:r>
            <w:r>
              <w:rPr>
                <w:rFonts w:hint="eastAsia" w:ascii="宋体" w:hAnsi="宋体" w:cs="宋体"/>
                <w:bCs/>
                <w:color w:val="auto"/>
                <w:szCs w:val="21"/>
                <w:highlight w:val="none"/>
              </w:rPr>
              <w:t>电子投标文件（包括“电子加密投标文件”和“备份投标文件”，在投标文件编制完成后同时生成）；</w:t>
            </w:r>
          </w:p>
          <w:p w14:paraId="4F691C32">
            <w:pPr>
              <w:spacing w:line="360" w:lineRule="auto"/>
              <w:ind w:right="42" w:rightChars="2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（1）“电子加密投标文件”是指通过“政采云电子交易客户端”完成投标文件编制后生成并加密的数据电文形式的投标文件。</w:t>
            </w:r>
          </w:p>
          <w:p w14:paraId="2A8EC63F">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bCs/>
                <w:color w:val="auto"/>
                <w:szCs w:val="21"/>
                <w:highlight w:val="none"/>
              </w:rPr>
              <w:t>（2）“备份投标文件”是指与“电子加密投标文件”同时生成的数据电文形式的电子文件（备份标书），其他方式编制的备份投标文件视为无效备份投标文件。</w:t>
            </w:r>
          </w:p>
        </w:tc>
      </w:tr>
      <w:tr w14:paraId="1B7F0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14:paraId="0823D5C3">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13</w:t>
            </w:r>
          </w:p>
        </w:tc>
        <w:tc>
          <w:tcPr>
            <w:tcW w:w="8511" w:type="dxa"/>
            <w:tcBorders>
              <w:top w:val="single" w:color="auto" w:sz="4" w:space="0"/>
              <w:left w:val="single" w:color="auto" w:sz="4" w:space="0"/>
              <w:bottom w:val="single" w:color="auto" w:sz="4" w:space="0"/>
              <w:right w:val="single" w:color="auto" w:sz="4" w:space="0"/>
            </w:tcBorders>
            <w:vAlign w:val="center"/>
          </w:tcPr>
          <w:p w14:paraId="315BAF81">
            <w:pPr>
              <w:spacing w:line="360" w:lineRule="auto"/>
              <w:ind w:right="42" w:rightChars="20" w:firstLine="420" w:firstLineChars="20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投标文件份数：</w:t>
            </w:r>
            <w:r>
              <w:rPr>
                <w:rFonts w:hint="eastAsia" w:cs="微软雅黑" w:asciiTheme="minorEastAsia" w:hAnsiTheme="minorEastAsia" w:eastAsiaTheme="minorEastAsia"/>
                <w:bCs/>
                <w:color w:val="auto"/>
                <w:szCs w:val="21"/>
                <w:highlight w:val="none"/>
              </w:rPr>
              <w:t>（1）“电子加密投标文件”：在线上传递交、一份。（2）“备份投标文件”：密封包装后（邮寄形式）投标截止时间前递交一份（邮寄地址：嘉兴市洪波路1200号万豪广场12楼1204号大地工程咨询有限公司（杨丽莉  电话：0573-82133572）。</w:t>
            </w:r>
          </w:p>
        </w:tc>
      </w:tr>
      <w:tr w14:paraId="4F64F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14:paraId="7DE898CB">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14</w:t>
            </w:r>
          </w:p>
        </w:tc>
        <w:tc>
          <w:tcPr>
            <w:tcW w:w="8511" w:type="dxa"/>
            <w:tcBorders>
              <w:top w:val="single" w:color="auto" w:sz="4" w:space="0"/>
              <w:left w:val="single" w:color="auto" w:sz="4" w:space="0"/>
              <w:bottom w:val="single" w:color="auto" w:sz="4" w:space="0"/>
              <w:right w:val="single" w:color="auto" w:sz="4" w:space="0"/>
            </w:tcBorders>
            <w:vAlign w:val="center"/>
          </w:tcPr>
          <w:p w14:paraId="122D2067">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投标文件的上传和递交：</w:t>
            </w:r>
          </w:p>
          <w:p w14:paraId="6B9E616D">
            <w:pPr>
              <w:spacing w:line="360" w:lineRule="auto"/>
              <w:ind w:right="42" w:rightChars="2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（1）“电子加密投标文件”的上传、递交：</w:t>
            </w:r>
          </w:p>
          <w:p w14:paraId="11D8573B">
            <w:pPr>
              <w:spacing w:line="360" w:lineRule="auto"/>
              <w:ind w:right="42" w:rightChars="20" w:firstLine="420" w:firstLineChars="20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a.投标人应在投标截止时间前将“电子加密投标文件”成功上传递交至“政府采购云平台”，否则投标无效。</w:t>
            </w:r>
          </w:p>
          <w:p w14:paraId="6572B714">
            <w:pPr>
              <w:spacing w:line="360" w:lineRule="auto"/>
              <w:ind w:right="42" w:rightChars="20" w:firstLine="420" w:firstLineChars="20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b.“电子加密投标文件”成功上传递交后，投标人可自行打印投标文件接收回执。</w:t>
            </w:r>
          </w:p>
          <w:p w14:paraId="4B80A7BE">
            <w:pPr>
              <w:spacing w:line="360" w:lineRule="auto"/>
              <w:ind w:right="42" w:rightChars="2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（2）“备份投标文件”的密封包装、递交：</w:t>
            </w:r>
          </w:p>
          <w:p w14:paraId="00E76896">
            <w:pPr>
              <w:spacing w:line="360" w:lineRule="auto"/>
              <w:ind w:right="42" w:rightChars="20" w:firstLine="420" w:firstLineChars="20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a.投标人在“政府采购云平台”完成“电子加密投标文件”的上传递交后，还可以（邮寄形式）在投标截止时间前递交以介质（U盘）存储的 “备份投标文件”（一份）；</w:t>
            </w:r>
          </w:p>
          <w:p w14:paraId="274247D7">
            <w:pPr>
              <w:spacing w:line="360" w:lineRule="auto"/>
              <w:ind w:right="42" w:rightChars="20" w:firstLine="422" w:firstLineChars="200"/>
              <w:jc w:val="left"/>
              <w:rPr>
                <w:rFonts w:cs="微软雅黑" w:asciiTheme="minorEastAsia" w:hAnsiTheme="minorEastAsia" w:eastAsiaTheme="minorEastAsia"/>
                <w:b/>
                <w:bCs/>
                <w:color w:val="auto"/>
                <w:szCs w:val="21"/>
                <w:highlight w:val="none"/>
              </w:rPr>
            </w:pPr>
            <w:r>
              <w:rPr>
                <w:rFonts w:hint="eastAsia" w:cs="微软雅黑" w:asciiTheme="minorEastAsia" w:hAnsiTheme="minorEastAsia" w:eastAsiaTheme="minorEastAsia"/>
                <w:b/>
                <w:bCs/>
                <w:color w:val="auto"/>
                <w:szCs w:val="21"/>
                <w:highlight w:val="none"/>
              </w:rPr>
              <w:t>b.“备份投标文件”应当密封包装，并在包装上标注投标项目名称、投标单位名称并加盖公章。没有密封包装或者逾期邮寄送达至上述邮寄地点的“备份投标文件”将不予接收；（非强制递交）</w:t>
            </w:r>
          </w:p>
          <w:p w14:paraId="7FF90C86">
            <w:pPr>
              <w:spacing w:line="360" w:lineRule="auto"/>
              <w:ind w:right="42" w:rightChars="20" w:firstLine="420" w:firstLineChars="20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bCs/>
                <w:color w:val="auto"/>
                <w:szCs w:val="21"/>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1A8A8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14:paraId="73DC2B00">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15</w:t>
            </w:r>
          </w:p>
        </w:tc>
        <w:tc>
          <w:tcPr>
            <w:tcW w:w="8511" w:type="dxa"/>
            <w:tcBorders>
              <w:top w:val="single" w:color="auto" w:sz="4" w:space="0"/>
              <w:left w:val="single" w:color="auto" w:sz="4" w:space="0"/>
              <w:bottom w:val="single" w:color="auto" w:sz="4" w:space="0"/>
              <w:right w:val="single" w:color="auto" w:sz="4" w:space="0"/>
            </w:tcBorders>
            <w:vAlign w:val="center"/>
          </w:tcPr>
          <w:p w14:paraId="6DCFD106">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电子加密投标文件的解密和异常情况处理：</w:t>
            </w:r>
          </w:p>
          <w:p w14:paraId="1F900836">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（1）开标后，采购组织机构将向各投标人发出“电子加密投标文件”的解密通知，各投标人代表应当在接到解密通知后30分钟内自行完成“电子加密投标文件”的在线解密。</w:t>
            </w:r>
          </w:p>
          <w:p w14:paraId="43D88870">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F001F33">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（3）投标截止时间前，投标人仅递交了“备份投标文件”而未将电子加密投标文件上传至“政府采购云平台”的，投标无效。</w:t>
            </w:r>
          </w:p>
        </w:tc>
      </w:tr>
      <w:tr w14:paraId="0E763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14:paraId="42F79F51">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16</w:t>
            </w:r>
          </w:p>
        </w:tc>
        <w:tc>
          <w:tcPr>
            <w:tcW w:w="8511" w:type="dxa"/>
            <w:tcBorders>
              <w:top w:val="single" w:color="auto" w:sz="4" w:space="0"/>
              <w:left w:val="single" w:color="auto" w:sz="4" w:space="0"/>
              <w:bottom w:val="single" w:color="auto" w:sz="4" w:space="0"/>
              <w:right w:val="single" w:color="auto" w:sz="4" w:space="0"/>
            </w:tcBorders>
            <w:vAlign w:val="center"/>
          </w:tcPr>
          <w:p w14:paraId="44351254">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投标截止时间及地点：</w:t>
            </w: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:00</w:t>
            </w:r>
          </w:p>
          <w:p w14:paraId="08070408">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 xml:space="preserve">                     政采云线上投标</w:t>
            </w:r>
          </w:p>
        </w:tc>
      </w:tr>
      <w:tr w14:paraId="58473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77" w:type="dxa"/>
            <w:tcBorders>
              <w:top w:val="single" w:color="auto" w:sz="4" w:space="0"/>
              <w:left w:val="single" w:color="auto" w:sz="4" w:space="0"/>
              <w:bottom w:val="single" w:color="auto" w:sz="4" w:space="0"/>
              <w:right w:val="single" w:color="auto" w:sz="4" w:space="0"/>
            </w:tcBorders>
            <w:vAlign w:val="center"/>
          </w:tcPr>
          <w:p w14:paraId="38AEB991">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17</w:t>
            </w:r>
          </w:p>
        </w:tc>
        <w:tc>
          <w:tcPr>
            <w:tcW w:w="8511" w:type="dxa"/>
            <w:tcBorders>
              <w:top w:val="single" w:color="auto" w:sz="4" w:space="0"/>
              <w:left w:val="single" w:color="auto" w:sz="4" w:space="0"/>
              <w:bottom w:val="single" w:color="auto" w:sz="4" w:space="0"/>
              <w:right w:val="single" w:color="auto" w:sz="4" w:space="0"/>
            </w:tcBorders>
            <w:vAlign w:val="center"/>
          </w:tcPr>
          <w:p w14:paraId="1C040084">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开标时间及地点：</w:t>
            </w: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:00</w:t>
            </w:r>
          </w:p>
          <w:p w14:paraId="62DC0AA2">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开标地点（线下）：嘉兴市洪波路1200号万豪广场12楼1204号 </w:t>
            </w:r>
          </w:p>
        </w:tc>
      </w:tr>
      <w:tr w14:paraId="0F1C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77" w:type="dxa"/>
            <w:tcBorders>
              <w:top w:val="single" w:color="auto" w:sz="4" w:space="0"/>
              <w:left w:val="single" w:color="auto" w:sz="4" w:space="0"/>
              <w:bottom w:val="single" w:color="auto" w:sz="4" w:space="0"/>
              <w:right w:val="single" w:color="auto" w:sz="4" w:space="0"/>
            </w:tcBorders>
            <w:vAlign w:val="center"/>
          </w:tcPr>
          <w:p w14:paraId="3A2E20A0">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18</w:t>
            </w:r>
          </w:p>
        </w:tc>
        <w:tc>
          <w:tcPr>
            <w:tcW w:w="8511" w:type="dxa"/>
            <w:tcBorders>
              <w:top w:val="single" w:color="auto" w:sz="4" w:space="0"/>
              <w:left w:val="single" w:color="auto" w:sz="4" w:space="0"/>
              <w:bottom w:val="single" w:color="auto" w:sz="4" w:space="0"/>
              <w:right w:val="single" w:color="auto" w:sz="4" w:space="0"/>
            </w:tcBorders>
            <w:vAlign w:val="center"/>
          </w:tcPr>
          <w:p w14:paraId="5DAF64F0">
            <w:pPr>
              <w:autoSpaceDE w:val="0"/>
              <w:autoSpaceDN w:val="0"/>
              <w:snapToGrid w:val="0"/>
              <w:spacing w:line="360" w:lineRule="auto"/>
              <w:ind w:right="42" w:rightChars="20"/>
              <w:jc w:val="left"/>
              <w:textAlignment w:val="bottom"/>
              <w:rPr>
                <w:rFonts w:cs="微软雅黑" w:asciiTheme="minorEastAsia" w:hAnsiTheme="minorEastAsia" w:eastAsiaTheme="minorEastAsia"/>
                <w:b/>
                <w:color w:val="auto"/>
                <w:szCs w:val="21"/>
                <w:highlight w:val="none"/>
              </w:rPr>
            </w:pPr>
            <w:r>
              <w:rPr>
                <w:rFonts w:hint="eastAsia" w:cs="微软雅黑" w:asciiTheme="minorEastAsia" w:hAnsiTheme="minorEastAsia" w:eastAsiaTheme="minorEastAsia"/>
                <w:color w:val="auto"/>
                <w:szCs w:val="21"/>
                <w:highlight w:val="none"/>
              </w:rPr>
              <w:t>投标费用：</w:t>
            </w:r>
            <w:r>
              <w:rPr>
                <w:rFonts w:hint="eastAsia"/>
                <w:color w:val="auto"/>
                <w:highlight w:val="none"/>
              </w:rPr>
              <w:t>本项目招标代理费由中标人支付，金额为5</w:t>
            </w:r>
            <w:r>
              <w:rPr>
                <w:rFonts w:hint="eastAsia"/>
                <w:color w:val="auto"/>
                <w:highlight w:val="none"/>
                <w:lang w:val="en-US" w:eastAsia="zh-CN"/>
              </w:rPr>
              <w:t>5</w:t>
            </w:r>
            <w:r>
              <w:rPr>
                <w:rFonts w:hint="eastAsia"/>
                <w:color w:val="auto"/>
                <w:highlight w:val="none"/>
              </w:rPr>
              <w:t>00元，中标人在领取成交通知书时一次性交纳给采购代理机构。</w:t>
            </w:r>
          </w:p>
        </w:tc>
      </w:tr>
      <w:tr w14:paraId="485F0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7" w:type="dxa"/>
            <w:tcBorders>
              <w:top w:val="single" w:color="auto" w:sz="4" w:space="0"/>
              <w:left w:val="single" w:color="auto" w:sz="4" w:space="0"/>
              <w:bottom w:val="single" w:color="auto" w:sz="4" w:space="0"/>
              <w:right w:val="single" w:color="auto" w:sz="4" w:space="0"/>
            </w:tcBorders>
            <w:vAlign w:val="center"/>
          </w:tcPr>
          <w:p w14:paraId="6260742F">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19</w:t>
            </w:r>
          </w:p>
        </w:tc>
        <w:tc>
          <w:tcPr>
            <w:tcW w:w="8511" w:type="dxa"/>
            <w:tcBorders>
              <w:top w:val="single" w:color="auto" w:sz="4" w:space="0"/>
              <w:left w:val="single" w:color="auto" w:sz="4" w:space="0"/>
              <w:bottom w:val="single" w:color="auto" w:sz="4" w:space="0"/>
              <w:right w:val="single" w:color="auto" w:sz="4" w:space="0"/>
            </w:tcBorders>
            <w:vAlign w:val="center"/>
          </w:tcPr>
          <w:p w14:paraId="557DB2A2">
            <w:pPr>
              <w:autoSpaceDE w:val="0"/>
              <w:autoSpaceDN w:val="0"/>
              <w:snapToGrid w:val="0"/>
              <w:spacing w:line="360" w:lineRule="auto"/>
              <w:ind w:right="42" w:rightChars="20"/>
              <w:jc w:val="left"/>
              <w:textAlignment w:val="bottom"/>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签订合同时间：中标通知书发出后30日内。</w:t>
            </w:r>
          </w:p>
        </w:tc>
      </w:tr>
      <w:tr w14:paraId="52660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trPr>
        <w:tc>
          <w:tcPr>
            <w:tcW w:w="777" w:type="dxa"/>
            <w:tcBorders>
              <w:top w:val="single" w:color="auto" w:sz="4" w:space="0"/>
              <w:left w:val="single" w:color="auto" w:sz="4" w:space="0"/>
              <w:bottom w:val="single" w:color="auto" w:sz="4" w:space="0"/>
              <w:right w:val="single" w:color="auto" w:sz="4" w:space="0"/>
            </w:tcBorders>
            <w:vAlign w:val="center"/>
          </w:tcPr>
          <w:p w14:paraId="592D9E47">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20</w:t>
            </w:r>
          </w:p>
        </w:tc>
        <w:tc>
          <w:tcPr>
            <w:tcW w:w="8511" w:type="dxa"/>
            <w:tcBorders>
              <w:top w:val="single" w:color="auto" w:sz="4" w:space="0"/>
              <w:left w:val="single" w:color="auto" w:sz="4" w:space="0"/>
              <w:bottom w:val="single" w:color="auto" w:sz="4" w:space="0"/>
              <w:right w:val="single" w:color="auto" w:sz="4" w:space="0"/>
            </w:tcBorders>
            <w:vAlign w:val="center"/>
          </w:tcPr>
          <w:p w14:paraId="342BB63F">
            <w:pPr>
              <w:autoSpaceDE w:val="0"/>
              <w:autoSpaceDN w:val="0"/>
              <w:snapToGrid w:val="0"/>
              <w:spacing w:line="360" w:lineRule="auto"/>
              <w:ind w:right="42" w:rightChars="20"/>
              <w:jc w:val="left"/>
              <w:textAlignment w:val="bottom"/>
              <w:rPr>
                <w:rFonts w:cs="微软雅黑"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履约保证金的收取及退还：无。</w:t>
            </w:r>
          </w:p>
        </w:tc>
      </w:tr>
      <w:tr w14:paraId="305AD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77" w:type="dxa"/>
            <w:tcBorders>
              <w:top w:val="single" w:color="auto" w:sz="4" w:space="0"/>
              <w:left w:val="single" w:color="auto" w:sz="4" w:space="0"/>
              <w:bottom w:val="single" w:color="auto" w:sz="4" w:space="0"/>
              <w:right w:val="single" w:color="auto" w:sz="4" w:space="0"/>
            </w:tcBorders>
            <w:vAlign w:val="center"/>
          </w:tcPr>
          <w:p w14:paraId="03DE525D">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21</w:t>
            </w:r>
          </w:p>
        </w:tc>
        <w:tc>
          <w:tcPr>
            <w:tcW w:w="8511" w:type="dxa"/>
            <w:tcBorders>
              <w:top w:val="single" w:color="auto" w:sz="4" w:space="0"/>
              <w:left w:val="single" w:color="auto" w:sz="4" w:space="0"/>
              <w:bottom w:val="single" w:color="auto" w:sz="4" w:space="0"/>
              <w:right w:val="single" w:color="auto" w:sz="4" w:space="0"/>
            </w:tcBorders>
            <w:vAlign w:val="center"/>
          </w:tcPr>
          <w:p w14:paraId="7A98FA5B">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投标文件有效期：</w:t>
            </w:r>
            <w:r>
              <w:rPr>
                <w:rFonts w:hint="eastAsia" w:cs="微软雅黑" w:asciiTheme="minorEastAsia" w:hAnsiTheme="minorEastAsia" w:eastAsiaTheme="minorEastAsia"/>
                <w:color w:val="auto"/>
                <w:szCs w:val="21"/>
                <w:highlight w:val="none"/>
                <w:u w:val="single"/>
              </w:rPr>
              <w:t>60</w:t>
            </w:r>
            <w:r>
              <w:rPr>
                <w:rFonts w:hint="eastAsia" w:cs="微软雅黑" w:asciiTheme="minorEastAsia" w:hAnsiTheme="minorEastAsia" w:eastAsiaTheme="minorEastAsia"/>
                <w:color w:val="auto"/>
                <w:szCs w:val="21"/>
                <w:highlight w:val="none"/>
              </w:rPr>
              <w:t>天</w:t>
            </w:r>
          </w:p>
        </w:tc>
      </w:tr>
      <w:tr w14:paraId="35686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7" w:type="dxa"/>
            <w:tcBorders>
              <w:top w:val="single" w:color="auto" w:sz="4" w:space="0"/>
              <w:left w:val="single" w:color="auto" w:sz="4" w:space="0"/>
              <w:bottom w:val="single" w:color="auto" w:sz="4" w:space="0"/>
              <w:right w:val="single" w:color="auto" w:sz="4" w:space="0"/>
            </w:tcBorders>
            <w:vAlign w:val="center"/>
          </w:tcPr>
          <w:p w14:paraId="6E5239CB">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22</w:t>
            </w:r>
          </w:p>
        </w:tc>
        <w:tc>
          <w:tcPr>
            <w:tcW w:w="8511" w:type="dxa"/>
            <w:tcBorders>
              <w:top w:val="single" w:color="auto" w:sz="4" w:space="0"/>
              <w:left w:val="single" w:color="auto" w:sz="4" w:space="0"/>
              <w:bottom w:val="single" w:color="auto" w:sz="4" w:space="0"/>
              <w:right w:val="single" w:color="auto" w:sz="4" w:space="0"/>
            </w:tcBorders>
            <w:vAlign w:val="center"/>
          </w:tcPr>
          <w:p w14:paraId="370A34A9">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kern w:val="0"/>
                <w:szCs w:val="21"/>
                <w:highlight w:val="none"/>
              </w:rPr>
              <w:t>网上注册：</w:t>
            </w:r>
            <w:r>
              <w:rPr>
                <w:rFonts w:hint="eastAsia" w:cs="微软雅黑" w:asciiTheme="minorEastAsia" w:hAnsiTheme="minorEastAsia" w:eastAsiaTheme="minorEastAsia"/>
                <w:color w:val="auto"/>
                <w:kern w:val="0"/>
                <w:szCs w:val="21"/>
                <w:highlight w:val="none"/>
              </w:rPr>
              <w:br w:type="textWrapping"/>
            </w:r>
            <w:r>
              <w:rPr>
                <w:rFonts w:hint="eastAsia" w:cs="微软雅黑" w:asciiTheme="minorEastAsia" w:hAnsiTheme="minorEastAsia" w:eastAsiaTheme="minorEastAsia"/>
                <w:color w:val="auto"/>
                <w:kern w:val="0"/>
                <w:szCs w:val="21"/>
                <w:highlight w:val="none"/>
              </w:rPr>
              <w:t>本项目不接受现场报名，须注册后进行网上报名。在浙江政府采购网进行投标人注册后完成报名；（详情请见第一章公告报名及招标文件的获取）</w:t>
            </w:r>
          </w:p>
        </w:tc>
      </w:tr>
      <w:tr w14:paraId="3C5A0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7" w:type="dxa"/>
            <w:tcBorders>
              <w:top w:val="single" w:color="auto" w:sz="4" w:space="0"/>
              <w:left w:val="single" w:color="auto" w:sz="4" w:space="0"/>
              <w:bottom w:val="single" w:color="auto" w:sz="4" w:space="0"/>
              <w:right w:val="single" w:color="auto" w:sz="4" w:space="0"/>
            </w:tcBorders>
            <w:vAlign w:val="center"/>
          </w:tcPr>
          <w:p w14:paraId="591B6AAC">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23</w:t>
            </w:r>
          </w:p>
        </w:tc>
        <w:tc>
          <w:tcPr>
            <w:tcW w:w="8511" w:type="dxa"/>
            <w:tcBorders>
              <w:top w:val="single" w:color="auto" w:sz="4" w:space="0"/>
              <w:left w:val="single" w:color="auto" w:sz="4" w:space="0"/>
              <w:bottom w:val="single" w:color="auto" w:sz="4" w:space="0"/>
              <w:right w:val="single" w:color="auto" w:sz="4" w:space="0"/>
            </w:tcBorders>
            <w:vAlign w:val="center"/>
          </w:tcPr>
          <w:p w14:paraId="0FE9B5D9">
            <w:pPr>
              <w:autoSpaceDE w:val="0"/>
              <w:autoSpaceDN w:val="0"/>
              <w:snapToGrid w:val="0"/>
              <w:spacing w:line="360" w:lineRule="auto"/>
              <w:ind w:right="42" w:rightChars="20"/>
              <w:textAlignment w:val="bottom"/>
              <w:rPr>
                <w:rFonts w:cs="微软雅黑" w:asciiTheme="minorEastAsia" w:hAnsiTheme="minorEastAsia" w:eastAsiaTheme="minorEastAsia"/>
                <w:color w:val="auto"/>
                <w:kern w:val="0"/>
                <w:szCs w:val="21"/>
                <w:highlight w:val="none"/>
              </w:rPr>
            </w:pPr>
            <w:r>
              <w:rPr>
                <w:rFonts w:hint="eastAsia" w:cs="微软雅黑" w:asciiTheme="minorEastAsia" w:hAnsiTheme="minorEastAsia" w:eastAsiaTheme="minorEastAsia"/>
                <w:color w:val="auto"/>
                <w:kern w:val="0"/>
                <w:szCs w:val="21"/>
                <w:highlight w:val="none"/>
              </w:rPr>
              <w:t>信用记录：符合浙财采监【2013】24号《关于规范政府采购投标人资格设定及资格审查的通知》规定,且未被“信用中国”（www.creditchina.gov.cn）和中国政府采购网（www.ccgp.gov.cn）列入失信被执行人、重大税收违法案件当事人名单、政府采购严重违法失信行为记录名单。提供承诺（详见附件）。</w:t>
            </w:r>
          </w:p>
        </w:tc>
      </w:tr>
      <w:tr w14:paraId="7F271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7" w:type="dxa"/>
            <w:tcBorders>
              <w:top w:val="single" w:color="auto" w:sz="4" w:space="0"/>
              <w:left w:val="single" w:color="auto" w:sz="4" w:space="0"/>
              <w:bottom w:val="single" w:color="auto" w:sz="4" w:space="0"/>
              <w:right w:val="single" w:color="auto" w:sz="4" w:space="0"/>
            </w:tcBorders>
            <w:vAlign w:val="center"/>
          </w:tcPr>
          <w:p w14:paraId="44719F22">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24</w:t>
            </w:r>
          </w:p>
        </w:tc>
        <w:tc>
          <w:tcPr>
            <w:tcW w:w="8511" w:type="dxa"/>
            <w:tcBorders>
              <w:top w:val="single" w:color="auto" w:sz="4" w:space="0"/>
              <w:left w:val="single" w:color="auto" w:sz="4" w:space="0"/>
              <w:bottom w:val="single" w:color="auto" w:sz="4" w:space="0"/>
              <w:right w:val="single" w:color="auto" w:sz="4" w:space="0"/>
            </w:tcBorders>
            <w:vAlign w:val="center"/>
          </w:tcPr>
          <w:p w14:paraId="241AEF4F">
            <w:pPr>
              <w:spacing w:line="500" w:lineRule="exact"/>
              <w:rPr>
                <w:rFonts w:cs="微软雅黑" w:asciiTheme="minorEastAsia" w:hAnsiTheme="minorEastAsia" w:eastAsiaTheme="minorEastAsia"/>
                <w:color w:val="auto"/>
                <w:kern w:val="0"/>
                <w:szCs w:val="21"/>
                <w:highlight w:val="none"/>
              </w:rPr>
            </w:pPr>
            <w:r>
              <w:rPr>
                <w:rFonts w:hint="eastAsia" w:cs="微软雅黑" w:asciiTheme="minorEastAsia" w:hAnsiTheme="minorEastAsia" w:eastAsiaTheme="minorEastAsia"/>
                <w:color w:val="auto"/>
                <w:kern w:val="0"/>
                <w:szCs w:val="21"/>
                <w:highlight w:val="none"/>
              </w:rPr>
              <w:t>本项目为服务类采购，所属行业为其他未列明行业。</w:t>
            </w:r>
          </w:p>
          <w:p w14:paraId="3CAE7BB8">
            <w:pPr>
              <w:spacing w:line="500" w:lineRule="exact"/>
              <w:rPr>
                <w:color w:val="auto"/>
                <w:highlight w:val="none"/>
              </w:rPr>
            </w:pPr>
            <w:r>
              <w:rPr>
                <w:rFonts w:hint="eastAsia"/>
                <w:color w:val="auto"/>
                <w:highlight w:val="none"/>
              </w:rPr>
              <w:t>一、说明</w:t>
            </w:r>
          </w:p>
          <w:p w14:paraId="212F6AFB">
            <w:pPr>
              <w:spacing w:line="500" w:lineRule="exact"/>
              <w:rPr>
                <w:color w:val="auto"/>
                <w:highlight w:val="none"/>
              </w:rPr>
            </w:pPr>
            <w:r>
              <w:rPr>
                <w:rFonts w:hint="eastAsia"/>
                <w:color w:val="auto"/>
                <w:highlight w:val="none"/>
              </w:rPr>
              <w:t>中小企业</w:t>
            </w:r>
          </w:p>
          <w:p w14:paraId="4747C0A4">
            <w:pPr>
              <w:spacing w:line="500" w:lineRule="exact"/>
              <w:rPr>
                <w:color w:val="auto"/>
                <w:highlight w:val="none"/>
              </w:rPr>
            </w:pPr>
            <w:r>
              <w:rPr>
                <w:rFonts w:hint="eastAsia"/>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20C63E5">
            <w:pPr>
              <w:spacing w:line="500" w:lineRule="exact"/>
              <w:rPr>
                <w:color w:val="auto"/>
                <w:highlight w:val="none"/>
              </w:rPr>
            </w:pPr>
            <w:r>
              <w:rPr>
                <w:rFonts w:hint="eastAsia"/>
                <w:color w:val="auto"/>
                <w:highlight w:val="none"/>
              </w:rPr>
              <w:t>符合中小企业划分标准的个体工商户，在政府采购活动中视同中小企业。</w:t>
            </w:r>
          </w:p>
          <w:p w14:paraId="6502AE6D">
            <w:pPr>
              <w:spacing w:line="500" w:lineRule="exact"/>
              <w:rPr>
                <w:color w:val="auto"/>
                <w:highlight w:val="none"/>
              </w:rPr>
            </w:pPr>
            <w:r>
              <w:rPr>
                <w:rFonts w:hint="eastAsia"/>
                <w:color w:val="auto"/>
                <w:highlight w:val="none"/>
              </w:rPr>
              <w:t>在政府采购活动中，供应商提供的货物、工程或者服务符合下列情形的，享受本办法规定的中小企业扶持政策：</w:t>
            </w:r>
          </w:p>
          <w:p w14:paraId="4845CCBF">
            <w:pPr>
              <w:spacing w:line="500" w:lineRule="exact"/>
              <w:rPr>
                <w:color w:val="auto"/>
                <w:highlight w:val="none"/>
              </w:rPr>
            </w:pPr>
            <w:r>
              <w:rPr>
                <w:rFonts w:hint="eastAsia"/>
                <w:color w:val="auto"/>
                <w:highlight w:val="none"/>
              </w:rPr>
              <w:t>(一)在货物采购项目中，货物由中小企业制造，即货物由中小企业生产且使用该中小企业商号或者注册商标；</w:t>
            </w:r>
          </w:p>
          <w:p w14:paraId="462DD213">
            <w:pPr>
              <w:spacing w:line="500" w:lineRule="exact"/>
              <w:rPr>
                <w:color w:val="auto"/>
                <w:highlight w:val="none"/>
              </w:rPr>
            </w:pPr>
            <w:r>
              <w:rPr>
                <w:rFonts w:hint="eastAsia"/>
                <w:color w:val="auto"/>
                <w:highlight w:val="none"/>
              </w:rPr>
              <w:t>(二)在工程采购项目中，工程由中小企业承建，即工程施工单位为中小企业；</w:t>
            </w:r>
          </w:p>
          <w:p w14:paraId="2EB634A8">
            <w:pPr>
              <w:spacing w:line="500" w:lineRule="exact"/>
              <w:rPr>
                <w:color w:val="auto"/>
                <w:highlight w:val="none"/>
              </w:rPr>
            </w:pPr>
            <w:r>
              <w:rPr>
                <w:rFonts w:hint="eastAsia"/>
                <w:color w:val="auto"/>
                <w:highlight w:val="none"/>
              </w:rPr>
              <w:t>(三)在服务采购项目中，服务由中小企业承接，即提供服务的人员为中小企业依照《中华人民共和国民法典》订立劳动合同的从业人员。</w:t>
            </w:r>
          </w:p>
          <w:p w14:paraId="037545BF">
            <w:pPr>
              <w:spacing w:line="500" w:lineRule="exact"/>
              <w:rPr>
                <w:color w:val="auto"/>
                <w:highlight w:val="none"/>
              </w:rPr>
            </w:pPr>
            <w:r>
              <w:rPr>
                <w:rFonts w:hint="eastAsia"/>
                <w:color w:val="auto"/>
                <w:highlight w:val="none"/>
              </w:rPr>
              <w:t>在货物采购项目中，供应商提供的货物既有中小企业制造货物，也有大型企业制造货物的，不享受本办法规定的中小企业扶持政策。</w:t>
            </w:r>
          </w:p>
          <w:p w14:paraId="1449CEE6">
            <w:pPr>
              <w:spacing w:line="500" w:lineRule="exac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1D57A7F1">
            <w:pPr>
              <w:spacing w:line="500" w:lineRule="exact"/>
              <w:rPr>
                <w:color w:val="auto"/>
                <w:highlight w:val="none"/>
              </w:rPr>
            </w:pPr>
            <w:r>
              <w:rPr>
                <w:rFonts w:hint="eastAsia"/>
                <w:color w:val="auto"/>
                <w:highlight w:val="none"/>
              </w:rPr>
              <w:t>残疾人福利性单位</w:t>
            </w:r>
          </w:p>
          <w:p w14:paraId="4A008955">
            <w:pPr>
              <w:spacing w:line="500" w:lineRule="exact"/>
              <w:rPr>
                <w:color w:val="auto"/>
                <w:highlight w:val="none"/>
              </w:rPr>
            </w:pPr>
            <w:r>
              <w:rPr>
                <w:rFonts w:hint="eastAsia"/>
                <w:color w:val="auto"/>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22387154">
            <w:pPr>
              <w:spacing w:line="500" w:lineRule="exact"/>
              <w:rPr>
                <w:color w:val="auto"/>
                <w:highlight w:val="none"/>
              </w:rPr>
            </w:pPr>
            <w:r>
              <w:rPr>
                <w:rFonts w:hint="eastAsia"/>
                <w:color w:val="auto"/>
                <w:highlight w:val="none"/>
              </w:rPr>
              <w:t>监狱企业</w:t>
            </w:r>
          </w:p>
          <w:p w14:paraId="277A8037">
            <w:pPr>
              <w:autoSpaceDE w:val="0"/>
              <w:autoSpaceDN w:val="0"/>
              <w:snapToGrid w:val="0"/>
              <w:spacing w:line="360" w:lineRule="auto"/>
              <w:ind w:right="42" w:rightChars="20"/>
              <w:textAlignment w:val="bottom"/>
              <w:rPr>
                <w:rFonts w:cs="微软雅黑" w:asciiTheme="minorEastAsia" w:hAnsiTheme="minorEastAsia" w:eastAsiaTheme="minorEastAsia"/>
                <w:color w:val="auto"/>
                <w:kern w:val="0"/>
                <w:szCs w:val="21"/>
                <w:highlight w:val="none"/>
              </w:rPr>
            </w:pPr>
            <w:r>
              <w:rPr>
                <w:rFonts w:hint="eastAsia"/>
                <w:color w:val="auto"/>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tc>
      </w:tr>
      <w:tr w14:paraId="3A78C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77" w:type="dxa"/>
            <w:tcBorders>
              <w:top w:val="single" w:color="auto" w:sz="4" w:space="0"/>
              <w:left w:val="single" w:color="auto" w:sz="4" w:space="0"/>
              <w:bottom w:val="single" w:color="auto" w:sz="4" w:space="0"/>
              <w:right w:val="single" w:color="auto" w:sz="4" w:space="0"/>
            </w:tcBorders>
            <w:vAlign w:val="center"/>
          </w:tcPr>
          <w:p w14:paraId="68E239A7">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25</w:t>
            </w:r>
          </w:p>
        </w:tc>
        <w:tc>
          <w:tcPr>
            <w:tcW w:w="8511" w:type="dxa"/>
            <w:tcBorders>
              <w:top w:val="single" w:color="auto" w:sz="4" w:space="0"/>
              <w:left w:val="single" w:color="auto" w:sz="4" w:space="0"/>
              <w:bottom w:val="single" w:color="auto" w:sz="4" w:space="0"/>
              <w:right w:val="single" w:color="auto" w:sz="4" w:space="0"/>
            </w:tcBorders>
            <w:vAlign w:val="center"/>
          </w:tcPr>
          <w:p w14:paraId="1D9AFF62">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解释：本招标文件的解释权属于招标采购单位。</w:t>
            </w:r>
          </w:p>
        </w:tc>
      </w:tr>
    </w:tbl>
    <w:p w14:paraId="6324BB72">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7" w:name="_Toc50012817"/>
      <w:bookmarkStart w:id="18" w:name="_Toc493511580"/>
      <w:bookmarkStart w:id="19" w:name="_Toc177870536"/>
    </w:p>
    <w:p w14:paraId="4947C92D">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20" w:name="_Toc2096"/>
      <w:r>
        <w:rPr>
          <w:rFonts w:hint="eastAsia" w:asciiTheme="minorEastAsia" w:hAnsiTheme="minorEastAsia" w:eastAsiaTheme="minorEastAsia"/>
          <w:b/>
          <w:color w:val="auto"/>
          <w:szCs w:val="21"/>
          <w:highlight w:val="none"/>
        </w:rPr>
        <w:t>一、总  则</w:t>
      </w:r>
      <w:bookmarkEnd w:id="17"/>
      <w:bookmarkEnd w:id="18"/>
      <w:bookmarkEnd w:id="19"/>
      <w:bookmarkEnd w:id="20"/>
    </w:p>
    <w:p w14:paraId="47F491B8">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21" w:name="_Toc177870537"/>
      <w:bookmarkStart w:id="22" w:name="_Toc8394"/>
      <w:bookmarkStart w:id="23" w:name="_Toc177824939"/>
      <w:bookmarkStart w:id="24" w:name="_Toc50012818"/>
      <w:bookmarkStart w:id="25" w:name="_Toc177824872"/>
      <w:bookmarkStart w:id="26" w:name="_Toc177825120"/>
      <w:bookmarkStart w:id="27" w:name="_Toc493511581"/>
      <w:bookmarkStart w:id="28" w:name="_Toc427915759"/>
      <w:r>
        <w:rPr>
          <w:rFonts w:hint="eastAsia" w:asciiTheme="minorEastAsia" w:hAnsiTheme="minorEastAsia" w:eastAsiaTheme="minorEastAsia"/>
          <w:color w:val="auto"/>
          <w:szCs w:val="21"/>
          <w:highlight w:val="none"/>
        </w:rPr>
        <w:t>1、 适用范围</w:t>
      </w:r>
      <w:bookmarkEnd w:id="21"/>
      <w:bookmarkEnd w:id="22"/>
      <w:bookmarkEnd w:id="23"/>
      <w:bookmarkEnd w:id="24"/>
      <w:bookmarkEnd w:id="25"/>
      <w:bookmarkEnd w:id="26"/>
      <w:bookmarkEnd w:id="27"/>
      <w:bookmarkEnd w:id="28"/>
    </w:p>
    <w:p w14:paraId="077EB37B">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29" w:name="_Toc50012819"/>
      <w:bookmarkStart w:id="30" w:name="_Toc30106"/>
      <w:bookmarkStart w:id="31" w:name="_Toc493511582"/>
      <w:r>
        <w:rPr>
          <w:rFonts w:hint="eastAsia" w:asciiTheme="minorEastAsia" w:hAnsiTheme="minorEastAsia" w:eastAsiaTheme="minorEastAsia"/>
          <w:color w:val="auto"/>
          <w:szCs w:val="21"/>
          <w:highlight w:val="none"/>
        </w:rPr>
        <w:t>1.1、本招标文件适用于本次所述项目的招标。</w:t>
      </w:r>
      <w:bookmarkEnd w:id="29"/>
      <w:bookmarkEnd w:id="30"/>
      <w:bookmarkEnd w:id="31"/>
      <w:bookmarkStart w:id="32" w:name="_Toc177825121"/>
      <w:bookmarkStart w:id="33" w:name="_Toc177870538"/>
      <w:bookmarkStart w:id="34" w:name="_Toc177824873"/>
      <w:bookmarkStart w:id="35" w:name="_Toc177824940"/>
      <w:bookmarkStart w:id="36" w:name="_Toc427915760"/>
    </w:p>
    <w:p w14:paraId="63165E7F">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37" w:name="_Toc493511583"/>
      <w:bookmarkStart w:id="38" w:name="_Toc50012820"/>
      <w:bookmarkStart w:id="39" w:name="_Toc29052"/>
      <w:r>
        <w:rPr>
          <w:rFonts w:hint="eastAsia" w:asciiTheme="minorEastAsia" w:hAnsiTheme="minorEastAsia" w:eastAsiaTheme="minorEastAsia"/>
          <w:color w:val="auto"/>
          <w:szCs w:val="21"/>
          <w:highlight w:val="none"/>
        </w:rPr>
        <w:t>2、定义</w:t>
      </w:r>
      <w:bookmarkEnd w:id="32"/>
      <w:bookmarkEnd w:id="33"/>
      <w:bookmarkEnd w:id="34"/>
      <w:bookmarkEnd w:id="35"/>
      <w:bookmarkEnd w:id="36"/>
      <w:bookmarkEnd w:id="37"/>
      <w:bookmarkEnd w:id="38"/>
      <w:bookmarkEnd w:id="39"/>
    </w:p>
    <w:p w14:paraId="4F459999">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40" w:name="_Toc50012821"/>
      <w:bookmarkStart w:id="41" w:name="_Toc19542"/>
      <w:bookmarkStart w:id="42" w:name="_Toc493511584"/>
      <w:r>
        <w:rPr>
          <w:rFonts w:hint="eastAsia" w:asciiTheme="minorEastAsia" w:hAnsiTheme="minorEastAsia" w:eastAsiaTheme="minorEastAsia"/>
          <w:color w:val="auto"/>
          <w:szCs w:val="21"/>
          <w:highlight w:val="none"/>
        </w:rPr>
        <w:t>2.1、“招标人”系指组织本次招标的代理机构或采购人。</w:t>
      </w:r>
      <w:bookmarkEnd w:id="40"/>
      <w:bookmarkEnd w:id="41"/>
      <w:bookmarkEnd w:id="42"/>
    </w:p>
    <w:p w14:paraId="69C7DC15">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43" w:name="_Toc493511585"/>
      <w:bookmarkStart w:id="44" w:name="_Toc22525"/>
      <w:bookmarkStart w:id="45" w:name="_Toc50012822"/>
      <w:r>
        <w:rPr>
          <w:rFonts w:hint="eastAsia" w:asciiTheme="minorEastAsia" w:hAnsiTheme="minorEastAsia" w:eastAsiaTheme="minorEastAsia"/>
          <w:color w:val="auto"/>
          <w:szCs w:val="21"/>
          <w:highlight w:val="none"/>
        </w:rPr>
        <w:t>2.2、“投标人”系指向采购人提交投标文件的投标人。</w:t>
      </w:r>
      <w:bookmarkEnd w:id="43"/>
      <w:bookmarkEnd w:id="44"/>
      <w:bookmarkEnd w:id="45"/>
    </w:p>
    <w:p w14:paraId="3922B19B">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46" w:name="_Toc493511586"/>
      <w:bookmarkStart w:id="47" w:name="_Toc50012823"/>
      <w:bookmarkStart w:id="48" w:name="_Toc2392"/>
      <w:r>
        <w:rPr>
          <w:rFonts w:hint="eastAsia" w:asciiTheme="minorEastAsia" w:hAnsiTheme="minorEastAsia" w:eastAsiaTheme="minorEastAsia"/>
          <w:color w:val="auto"/>
          <w:szCs w:val="21"/>
          <w:highlight w:val="none"/>
        </w:rPr>
        <w:t>2.3、“产品”系指供方按招标文件规定，须向采购人提供的一切设备、保险、税金、备品备件、工具、手册及其它有关技术资料和材料。</w:t>
      </w:r>
      <w:bookmarkEnd w:id="46"/>
      <w:bookmarkEnd w:id="47"/>
      <w:bookmarkEnd w:id="48"/>
    </w:p>
    <w:p w14:paraId="73399ADE">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49" w:name="_Toc50012824"/>
      <w:bookmarkStart w:id="50" w:name="_Toc15752"/>
      <w:bookmarkStart w:id="51" w:name="_Toc493511587"/>
      <w:r>
        <w:rPr>
          <w:rFonts w:hint="eastAsia" w:asciiTheme="minorEastAsia" w:hAnsiTheme="minorEastAsia" w:eastAsiaTheme="minorEastAsia"/>
          <w:color w:val="auto"/>
          <w:szCs w:val="21"/>
          <w:highlight w:val="none"/>
        </w:rPr>
        <w:t>2.4、“服务”系指招标文件规定投标人须承担的安装、调试、技术协助、校准、培训、技术指导以及其他类似的义务。</w:t>
      </w:r>
      <w:bookmarkEnd w:id="49"/>
      <w:bookmarkEnd w:id="50"/>
      <w:bookmarkEnd w:id="51"/>
    </w:p>
    <w:p w14:paraId="3EA9964B">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52" w:name="_Toc493511588"/>
      <w:bookmarkStart w:id="53" w:name="_Toc50012825"/>
      <w:bookmarkStart w:id="54" w:name="_Toc14499"/>
      <w:r>
        <w:rPr>
          <w:rFonts w:hint="eastAsia" w:asciiTheme="minorEastAsia" w:hAnsiTheme="minorEastAsia" w:eastAsiaTheme="minorEastAsia"/>
          <w:color w:val="auto"/>
          <w:szCs w:val="21"/>
          <w:highlight w:val="none"/>
        </w:rPr>
        <w:t>2.5、“项目”系指投标人按招标文件规定向采购人提供的产品和服务。</w:t>
      </w:r>
      <w:bookmarkEnd w:id="52"/>
      <w:bookmarkEnd w:id="53"/>
      <w:bookmarkEnd w:id="54"/>
    </w:p>
    <w:p w14:paraId="01673FBF">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55" w:name="_Toc28414"/>
      <w:bookmarkStart w:id="56" w:name="_Toc50012826"/>
      <w:bookmarkStart w:id="57" w:name="_Toc493511589"/>
      <w:r>
        <w:rPr>
          <w:rFonts w:hint="eastAsia" w:asciiTheme="minorEastAsia" w:hAnsiTheme="minorEastAsia" w:eastAsiaTheme="minorEastAsia"/>
          <w:color w:val="auto"/>
          <w:szCs w:val="21"/>
          <w:highlight w:val="none"/>
        </w:rPr>
        <w:t>2.6、“书面形式”包括信函、传真、电报、电子文档等。</w:t>
      </w:r>
      <w:bookmarkEnd w:id="55"/>
      <w:bookmarkEnd w:id="56"/>
      <w:bookmarkEnd w:id="57"/>
    </w:p>
    <w:p w14:paraId="61B5DEBD">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58" w:name="_Toc18649"/>
      <w:bookmarkStart w:id="59" w:name="_Toc493511590"/>
      <w:bookmarkStart w:id="60" w:name="_Toc50012827"/>
      <w:r>
        <w:rPr>
          <w:rFonts w:hint="eastAsia" w:asciiTheme="minorEastAsia" w:hAnsiTheme="minorEastAsia" w:eastAsiaTheme="minorEastAsia"/>
          <w:color w:val="auto"/>
          <w:szCs w:val="21"/>
          <w:highlight w:val="none"/>
        </w:rPr>
        <w:t>2.7、“▲”系指实质性要求条款。</w:t>
      </w:r>
      <w:bookmarkEnd w:id="58"/>
      <w:bookmarkEnd w:id="59"/>
      <w:bookmarkEnd w:id="60"/>
      <w:bookmarkStart w:id="61" w:name="_Toc427915761"/>
      <w:bookmarkStart w:id="62" w:name="_Toc177870539"/>
    </w:p>
    <w:p w14:paraId="1A063556">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63" w:name="_Toc493511591"/>
      <w:bookmarkStart w:id="64" w:name="_Toc10422"/>
      <w:bookmarkStart w:id="65" w:name="_Toc50012828"/>
      <w:r>
        <w:rPr>
          <w:rFonts w:hint="eastAsia" w:asciiTheme="minorEastAsia" w:hAnsiTheme="minorEastAsia" w:eastAsiaTheme="minorEastAsia"/>
          <w:color w:val="auto"/>
          <w:szCs w:val="21"/>
          <w:highlight w:val="none"/>
        </w:rPr>
        <w:t>3、</w:t>
      </w:r>
      <w:bookmarkEnd w:id="61"/>
      <w:bookmarkEnd w:id="62"/>
      <w:bookmarkEnd w:id="63"/>
      <w:bookmarkEnd w:id="64"/>
      <w:bookmarkEnd w:id="65"/>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式</w:t>
      </w:r>
    </w:p>
    <w:p w14:paraId="1CD8E178">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66" w:name="_Toc493511592"/>
      <w:bookmarkStart w:id="67" w:name="_Toc21572"/>
      <w:bookmarkStart w:id="68" w:name="_Toc50012829"/>
      <w:r>
        <w:rPr>
          <w:rFonts w:hint="eastAsia" w:asciiTheme="minorEastAsia" w:hAnsiTheme="minorEastAsia" w:eastAsiaTheme="minorEastAsia"/>
          <w:color w:val="auto"/>
          <w:szCs w:val="21"/>
          <w:highlight w:val="none"/>
        </w:rPr>
        <w:t>3.1、本次招标采用公开</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式进行。</w:t>
      </w:r>
      <w:bookmarkEnd w:id="66"/>
      <w:bookmarkEnd w:id="67"/>
      <w:bookmarkEnd w:id="68"/>
    </w:p>
    <w:p w14:paraId="41632182">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69" w:name="_Toc493511593"/>
      <w:bookmarkStart w:id="70" w:name="_Toc30170"/>
      <w:bookmarkStart w:id="71" w:name="_Toc50012830"/>
      <w:r>
        <w:rPr>
          <w:rFonts w:hint="eastAsia" w:asciiTheme="minorEastAsia" w:hAnsiTheme="minorEastAsia" w:eastAsiaTheme="minorEastAsia"/>
          <w:color w:val="auto"/>
          <w:szCs w:val="21"/>
          <w:highlight w:val="none"/>
        </w:rPr>
        <w:t>3.2、本次招标设定上限价为预算价。</w:t>
      </w:r>
      <w:bookmarkEnd w:id="69"/>
      <w:bookmarkEnd w:id="70"/>
      <w:bookmarkEnd w:id="71"/>
      <w:bookmarkStart w:id="72" w:name="_Toc177870540"/>
      <w:bookmarkStart w:id="73" w:name="_Toc177825122"/>
      <w:bookmarkStart w:id="74" w:name="_Toc177824941"/>
      <w:bookmarkStart w:id="75" w:name="_Toc427915762"/>
      <w:bookmarkStart w:id="76" w:name="_Toc177824874"/>
    </w:p>
    <w:p w14:paraId="0B813411">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77" w:name="_Toc493511594"/>
      <w:bookmarkStart w:id="78" w:name="_Toc50012831"/>
      <w:bookmarkStart w:id="79" w:name="_Toc21323"/>
      <w:r>
        <w:rPr>
          <w:rFonts w:hint="eastAsia" w:asciiTheme="minorEastAsia" w:hAnsiTheme="minorEastAsia" w:eastAsiaTheme="minorEastAsia"/>
          <w:color w:val="auto"/>
          <w:szCs w:val="21"/>
          <w:highlight w:val="none"/>
        </w:rPr>
        <w:t>4、投标委托</w:t>
      </w:r>
      <w:bookmarkEnd w:id="72"/>
      <w:bookmarkEnd w:id="73"/>
      <w:bookmarkEnd w:id="74"/>
      <w:bookmarkEnd w:id="75"/>
      <w:bookmarkEnd w:id="76"/>
      <w:bookmarkEnd w:id="77"/>
      <w:bookmarkEnd w:id="78"/>
      <w:bookmarkEnd w:id="79"/>
    </w:p>
    <w:p w14:paraId="165C94B9">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80" w:name="_Toc10126"/>
      <w:bookmarkStart w:id="81" w:name="_Toc50012832"/>
      <w:bookmarkStart w:id="82" w:name="_Toc493511595"/>
      <w:r>
        <w:rPr>
          <w:rFonts w:hint="eastAsia" w:asciiTheme="minorEastAsia" w:hAnsiTheme="minorEastAsia" w:eastAsiaTheme="minorEastAsia"/>
          <w:color w:val="auto"/>
          <w:szCs w:val="21"/>
          <w:highlight w:val="none"/>
        </w:rPr>
        <w:t>投标人代表须携带居民身份证。如投标人代表不是法定代表人，须有法定代表人出具的授权委托书。（正本用原件，副本可用复印件，格式见第六部分）。</w:t>
      </w:r>
      <w:bookmarkEnd w:id="80"/>
      <w:bookmarkEnd w:id="81"/>
      <w:bookmarkEnd w:id="82"/>
      <w:bookmarkStart w:id="83" w:name="_Toc177870541"/>
      <w:bookmarkStart w:id="84" w:name="_Toc177824875"/>
      <w:bookmarkStart w:id="85" w:name="_Toc177824942"/>
      <w:bookmarkStart w:id="86" w:name="_Toc427915763"/>
      <w:bookmarkStart w:id="87" w:name="_Toc177825123"/>
    </w:p>
    <w:p w14:paraId="2035ADDD">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88" w:name="_Toc493511596"/>
      <w:bookmarkStart w:id="89" w:name="_Toc50012833"/>
      <w:bookmarkStart w:id="90" w:name="_Toc2927"/>
      <w:r>
        <w:rPr>
          <w:rFonts w:hint="eastAsia" w:asciiTheme="minorEastAsia" w:hAnsiTheme="minorEastAsia" w:eastAsiaTheme="minorEastAsia"/>
          <w:color w:val="auto"/>
          <w:szCs w:val="21"/>
          <w:highlight w:val="none"/>
        </w:rPr>
        <w:t>5、投标费用</w:t>
      </w:r>
      <w:bookmarkEnd w:id="83"/>
      <w:bookmarkEnd w:id="84"/>
      <w:bookmarkEnd w:id="85"/>
      <w:bookmarkEnd w:id="86"/>
      <w:bookmarkEnd w:id="87"/>
      <w:bookmarkEnd w:id="88"/>
      <w:bookmarkEnd w:id="89"/>
      <w:bookmarkEnd w:id="90"/>
    </w:p>
    <w:p w14:paraId="55D18130">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91" w:name="_Toc493511597"/>
      <w:bookmarkStart w:id="92" w:name="_Toc2682"/>
      <w:bookmarkStart w:id="93" w:name="_Toc50012834"/>
      <w:r>
        <w:rPr>
          <w:rFonts w:hint="eastAsia" w:asciiTheme="minorEastAsia" w:hAnsiTheme="minorEastAsia" w:eastAsiaTheme="minorEastAsia"/>
          <w:color w:val="auto"/>
          <w:szCs w:val="21"/>
          <w:highlight w:val="none"/>
        </w:rPr>
        <w:t>不论投标结果如何，投标人均应自行承担所有与投标有关的全部费用。</w:t>
      </w:r>
      <w:bookmarkEnd w:id="91"/>
      <w:bookmarkEnd w:id="92"/>
      <w:bookmarkEnd w:id="93"/>
    </w:p>
    <w:p w14:paraId="6720D5D0">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94" w:name="_Toc50012835"/>
      <w:bookmarkStart w:id="95" w:name="_Toc26432"/>
      <w:bookmarkStart w:id="96" w:name="_Toc493511598"/>
      <w:r>
        <w:rPr>
          <w:rFonts w:hint="eastAsia" w:asciiTheme="minorEastAsia" w:hAnsiTheme="minorEastAsia" w:eastAsiaTheme="minorEastAsia"/>
          <w:color w:val="auto"/>
          <w:szCs w:val="21"/>
          <w:highlight w:val="none"/>
        </w:rPr>
        <w:t>6、联合体投标</w:t>
      </w:r>
      <w:bookmarkEnd w:id="94"/>
      <w:bookmarkEnd w:id="95"/>
      <w:bookmarkEnd w:id="96"/>
    </w:p>
    <w:p w14:paraId="74A27EDA">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97" w:name="_Toc493511599"/>
      <w:bookmarkStart w:id="98" w:name="_Toc50012836"/>
      <w:bookmarkStart w:id="99" w:name="_Toc30057"/>
      <w:r>
        <w:rPr>
          <w:rFonts w:hint="eastAsia"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lang w:val="en-US" w:eastAsia="zh-CN"/>
        </w:rPr>
        <w:t>不</w:t>
      </w:r>
      <w:r>
        <w:rPr>
          <w:rFonts w:hint="eastAsia" w:asciiTheme="minorEastAsia" w:hAnsiTheme="minorEastAsia" w:eastAsiaTheme="minorEastAsia"/>
          <w:color w:val="auto"/>
          <w:szCs w:val="21"/>
          <w:highlight w:val="none"/>
        </w:rPr>
        <w:t>接受联合体投标。</w:t>
      </w:r>
      <w:bookmarkEnd w:id="97"/>
      <w:bookmarkEnd w:id="98"/>
      <w:bookmarkEnd w:id="99"/>
      <w:bookmarkStart w:id="100" w:name="_Toc177870544"/>
    </w:p>
    <w:p w14:paraId="30795BED">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01" w:name="_Toc1772"/>
      <w:bookmarkStart w:id="102" w:name="_Toc50012837"/>
      <w:r>
        <w:rPr>
          <w:rFonts w:hint="eastAsia" w:asciiTheme="minorEastAsia" w:hAnsiTheme="minorEastAsia" w:eastAsiaTheme="minorEastAsia"/>
          <w:b/>
          <w:color w:val="auto"/>
          <w:szCs w:val="21"/>
          <w:highlight w:val="none"/>
        </w:rPr>
        <w:t>7.转包与分包</w:t>
      </w:r>
      <w:bookmarkEnd w:id="101"/>
      <w:bookmarkEnd w:id="102"/>
    </w:p>
    <w:p w14:paraId="541E3FE6">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03" w:name="_Toc25115"/>
      <w:bookmarkStart w:id="104" w:name="_Toc50012838"/>
      <w:r>
        <w:rPr>
          <w:rFonts w:hint="eastAsia" w:asciiTheme="minorEastAsia" w:hAnsiTheme="minorEastAsia" w:eastAsiaTheme="minorEastAsia"/>
          <w:color w:val="auto"/>
          <w:szCs w:val="21"/>
          <w:highlight w:val="none"/>
        </w:rPr>
        <w:t>7.1本项目不允许转包；</w:t>
      </w:r>
      <w:bookmarkEnd w:id="103"/>
      <w:bookmarkEnd w:id="104"/>
    </w:p>
    <w:p w14:paraId="4F6CA6D3">
      <w:pPr>
        <w:snapToGrid w:val="0"/>
        <w:spacing w:line="360" w:lineRule="auto"/>
        <w:ind w:right="42" w:rightChars="20" w:firstLine="420" w:firstLineChars="200"/>
        <w:jc w:val="left"/>
        <w:outlineLvl w:val="1"/>
        <w:rPr>
          <w:rFonts w:cs="宋体" w:asciiTheme="minorEastAsia" w:hAnsiTheme="minorEastAsia" w:eastAsiaTheme="minorEastAsia"/>
          <w:color w:val="auto"/>
          <w:kern w:val="0"/>
          <w:szCs w:val="21"/>
          <w:highlight w:val="none"/>
        </w:rPr>
      </w:pPr>
      <w:bookmarkStart w:id="105" w:name="_Toc5717"/>
      <w:bookmarkStart w:id="106" w:name="_Toc50012839"/>
      <w:r>
        <w:rPr>
          <w:rFonts w:hint="eastAsia" w:cs="宋体" w:asciiTheme="minorEastAsia" w:hAnsiTheme="minorEastAsia" w:eastAsiaTheme="minorEastAsia"/>
          <w:color w:val="auto"/>
          <w:kern w:val="0"/>
          <w:szCs w:val="21"/>
          <w:highlight w:val="none"/>
        </w:rPr>
        <w:t>7.2</w:t>
      </w:r>
      <w:r>
        <w:rPr>
          <w:rFonts w:hint="eastAsia" w:asciiTheme="minorEastAsia" w:hAnsiTheme="minorEastAsia" w:eastAsiaTheme="minorEastAsia"/>
          <w:color w:val="auto"/>
          <w:szCs w:val="21"/>
          <w:highlight w:val="none"/>
        </w:rPr>
        <w:t>本项目不允许分包</w:t>
      </w:r>
      <w:r>
        <w:rPr>
          <w:rFonts w:hint="eastAsia" w:cs="宋体" w:asciiTheme="minorEastAsia" w:hAnsiTheme="minorEastAsia" w:eastAsiaTheme="minorEastAsia"/>
          <w:color w:val="auto"/>
          <w:kern w:val="0"/>
          <w:szCs w:val="21"/>
          <w:highlight w:val="none"/>
        </w:rPr>
        <w:t>。</w:t>
      </w:r>
      <w:bookmarkEnd w:id="105"/>
      <w:bookmarkEnd w:id="106"/>
      <w:bookmarkStart w:id="107" w:name="_Toc430786267"/>
      <w:bookmarkStart w:id="108" w:name="_Toc177870542"/>
    </w:p>
    <w:p w14:paraId="49A30D11">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09" w:name="_Toc2435"/>
      <w:bookmarkStart w:id="110" w:name="_Toc50012840"/>
      <w:r>
        <w:rPr>
          <w:rFonts w:hint="eastAsia" w:asciiTheme="minorEastAsia" w:hAnsiTheme="minorEastAsia" w:eastAsiaTheme="minorEastAsia"/>
          <w:b/>
          <w:color w:val="auto"/>
          <w:szCs w:val="21"/>
          <w:highlight w:val="none"/>
        </w:rPr>
        <w:t>8.特别说明：</w:t>
      </w:r>
      <w:bookmarkEnd w:id="107"/>
      <w:bookmarkEnd w:id="108"/>
      <w:bookmarkEnd w:id="109"/>
      <w:bookmarkEnd w:id="110"/>
    </w:p>
    <w:p w14:paraId="42E7832C">
      <w:pPr>
        <w:pStyle w:val="18"/>
        <w:snapToGrid w:val="0"/>
        <w:spacing w:line="360" w:lineRule="auto"/>
        <w:ind w:right="42" w:rightChars="20" w:firstLine="420" w:firstLineChars="200"/>
        <w:jc w:val="left"/>
        <w:rPr>
          <w:rFonts w:asciiTheme="minorEastAsia" w:hAnsiTheme="minorEastAsia" w:eastAsiaTheme="minorEastAsia"/>
          <w:color w:val="auto"/>
          <w:spacing w:val="0"/>
          <w:sz w:val="21"/>
          <w:szCs w:val="21"/>
          <w:highlight w:val="none"/>
        </w:rPr>
      </w:pPr>
      <w:bookmarkStart w:id="111" w:name="_Toc430786268"/>
      <w:bookmarkStart w:id="112" w:name="_Toc495603533"/>
      <w:bookmarkStart w:id="113" w:name="_Toc177870543"/>
      <w:r>
        <w:rPr>
          <w:rFonts w:hint="eastAsia" w:asciiTheme="minorEastAsia" w:hAnsiTheme="minorEastAsia" w:eastAsiaTheme="minorEastAsia"/>
          <w:color w:val="auto"/>
          <w:spacing w:val="0"/>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C82BF0E">
      <w:pPr>
        <w:pStyle w:val="18"/>
        <w:snapToGrid w:val="0"/>
        <w:spacing w:line="360" w:lineRule="auto"/>
        <w:ind w:right="42" w:rightChars="20" w:firstLine="420" w:firstLineChars="200"/>
        <w:jc w:val="left"/>
        <w:rPr>
          <w:rFonts w:asciiTheme="minorEastAsia" w:hAnsiTheme="minorEastAsia" w:eastAsiaTheme="minorEastAsia"/>
          <w:color w:val="auto"/>
          <w:spacing w:val="0"/>
          <w:sz w:val="21"/>
          <w:szCs w:val="21"/>
          <w:highlight w:val="none"/>
        </w:rPr>
      </w:pPr>
      <w:r>
        <w:rPr>
          <w:rFonts w:hint="eastAsia" w:asciiTheme="minorEastAsia" w:hAnsiTheme="minorEastAsia" w:eastAsiaTheme="minorEastAsia"/>
          <w:color w:val="auto"/>
          <w:spacing w:val="0"/>
          <w:sz w:val="21"/>
          <w:szCs w:val="21"/>
          <w:highlight w:val="none"/>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70E99F3">
      <w:pPr>
        <w:pStyle w:val="18"/>
        <w:snapToGrid w:val="0"/>
        <w:spacing w:line="360" w:lineRule="auto"/>
        <w:ind w:right="42" w:rightChars="20" w:firstLine="420" w:firstLineChars="200"/>
        <w:jc w:val="left"/>
        <w:rPr>
          <w:rFonts w:asciiTheme="minorEastAsia" w:hAnsiTheme="minorEastAsia" w:eastAsiaTheme="minorEastAsia"/>
          <w:color w:val="auto"/>
          <w:spacing w:val="0"/>
          <w:sz w:val="21"/>
          <w:szCs w:val="21"/>
          <w:highlight w:val="none"/>
        </w:rPr>
      </w:pPr>
      <w:r>
        <w:rPr>
          <w:rFonts w:hint="eastAsia" w:asciiTheme="minorEastAsia" w:hAnsiTheme="minorEastAsia" w:eastAsiaTheme="minorEastAsia"/>
          <w:color w:val="auto"/>
          <w:spacing w:val="0"/>
          <w:sz w:val="21"/>
          <w:szCs w:val="21"/>
          <w:highlight w:val="none"/>
        </w:rPr>
        <w:t>8.3、非单一产品采购项目，采购人应当根据采购项目技术构成、产品价格比重等合理确定核心产品，并在招标文件中载明。多家投标人提供的核心产品品牌相同的，按前两款规定处理。</w:t>
      </w:r>
    </w:p>
    <w:p w14:paraId="4E141A7D">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14" w:name="_Toc7381"/>
      <w:bookmarkStart w:id="115" w:name="_Toc50012841"/>
      <w:r>
        <w:rPr>
          <w:rFonts w:hint="eastAsia" w:asciiTheme="minorEastAsia" w:hAnsiTheme="minorEastAsia" w:eastAsiaTheme="minorEastAsia"/>
          <w:b/>
          <w:color w:val="auto"/>
          <w:szCs w:val="21"/>
          <w:highlight w:val="none"/>
        </w:rPr>
        <w:t>9.质疑</w:t>
      </w:r>
      <w:bookmarkEnd w:id="111"/>
      <w:bookmarkEnd w:id="112"/>
      <w:bookmarkEnd w:id="113"/>
      <w:bookmarkEnd w:id="114"/>
      <w:bookmarkEnd w:id="115"/>
    </w:p>
    <w:p w14:paraId="1EFD4D63">
      <w:pPr>
        <w:pStyle w:val="3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16" w:name="_Toc1791"/>
      <w:bookmarkStart w:id="117" w:name="_Toc50012842"/>
      <w:bookmarkStart w:id="118" w:name="_Toc495603534"/>
      <w:r>
        <w:rPr>
          <w:rFonts w:hint="eastAsia" w:asciiTheme="minorEastAsia" w:hAnsiTheme="minorEastAsia" w:eastAsiaTheme="minorEastAsia"/>
          <w:b/>
          <w:color w:val="auto"/>
          <w:szCs w:val="21"/>
          <w:highlight w:val="none"/>
        </w:rPr>
        <w:t>9.</w:t>
      </w:r>
      <w:r>
        <w:rPr>
          <w:rFonts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投标人认为招标文件、招标过程</w:t>
      </w:r>
      <w:r>
        <w:rPr>
          <w:rFonts w:hint="eastAsia" w:asciiTheme="minorEastAsia" w:hAnsiTheme="minorEastAsia" w:eastAsiaTheme="minorEastAsia"/>
          <w:b/>
          <w:color w:val="auto"/>
          <w:szCs w:val="21"/>
          <w:highlight w:val="none"/>
        </w:rPr>
        <w:t>或</w:t>
      </w:r>
      <w:r>
        <w:rPr>
          <w:rFonts w:asciiTheme="minorEastAsia" w:hAnsiTheme="minorEastAsia" w:eastAsiaTheme="minorEastAsia"/>
          <w:b/>
          <w:color w:val="auto"/>
          <w:szCs w:val="21"/>
          <w:highlight w:val="none"/>
        </w:rPr>
        <w:t>中标结果使自己的合法权益受到损害的，应当在知道或者应知其权益受到损害之日起七个工作日内，以书面形式向采购人、</w:t>
      </w:r>
      <w:r>
        <w:rPr>
          <w:rFonts w:hint="eastAsia" w:asciiTheme="minorEastAsia" w:hAnsiTheme="minorEastAsia" w:eastAsiaTheme="minorEastAsia"/>
          <w:b/>
          <w:color w:val="auto"/>
          <w:szCs w:val="21"/>
          <w:highlight w:val="none"/>
        </w:rPr>
        <w:t>代理机构</w:t>
      </w:r>
      <w:r>
        <w:rPr>
          <w:rFonts w:asciiTheme="minorEastAsia" w:hAnsiTheme="minorEastAsia" w:eastAsiaTheme="minorEastAsia"/>
          <w:b/>
          <w:color w:val="auto"/>
          <w:szCs w:val="21"/>
          <w:highlight w:val="none"/>
        </w:rPr>
        <w:t>提出质疑。投标人对招标采购单位的质疑答复不满意或者招标采购单位未在规定时间内作出答复的，可以在答复期满后十五个工作日内向同级采购监管部门投诉。</w:t>
      </w:r>
      <w:bookmarkEnd w:id="116"/>
      <w:bookmarkEnd w:id="117"/>
      <w:bookmarkEnd w:id="118"/>
      <w:bookmarkStart w:id="119" w:name="_Toc495603535"/>
    </w:p>
    <w:p w14:paraId="71C7D33E">
      <w:pPr>
        <w:pStyle w:val="3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20" w:name="_Toc50012843"/>
      <w:bookmarkStart w:id="121" w:name="_Toc23570"/>
      <w:r>
        <w:rPr>
          <w:rFonts w:hint="eastAsia" w:asciiTheme="minorEastAsia" w:hAnsiTheme="minorEastAsia" w:eastAsiaTheme="minorEastAsia"/>
          <w:b/>
          <w:color w:val="auto"/>
          <w:szCs w:val="21"/>
          <w:highlight w:val="none"/>
        </w:rPr>
        <w:t>9.</w:t>
      </w: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质疑、投诉应当采用书面形式，质疑书、投诉书均应明确阐述招标文件、招标过程</w:t>
      </w:r>
      <w:r>
        <w:rPr>
          <w:rFonts w:hint="eastAsia" w:asciiTheme="minorEastAsia" w:hAnsiTheme="minorEastAsia" w:eastAsiaTheme="minorEastAsia"/>
          <w:b/>
          <w:color w:val="auto"/>
          <w:szCs w:val="21"/>
          <w:highlight w:val="none"/>
        </w:rPr>
        <w:t>或</w:t>
      </w:r>
      <w:r>
        <w:rPr>
          <w:rFonts w:asciiTheme="minorEastAsia" w:hAnsiTheme="minorEastAsia" w:eastAsiaTheme="minorEastAsia"/>
          <w:b/>
          <w:color w:val="auto"/>
          <w:szCs w:val="21"/>
          <w:highlight w:val="none"/>
        </w:rPr>
        <w:t>中标结果中使自己合法权益受到损害的实质性内容，提供相关事实、依据和证据及其来源或线索，便于有关单位调查、答复和处理</w:t>
      </w:r>
      <w:r>
        <w:rPr>
          <w:rFonts w:hint="eastAsia" w:asciiTheme="minorEastAsia" w:hAnsiTheme="minorEastAsia" w:eastAsiaTheme="minorEastAsia"/>
          <w:b/>
          <w:color w:val="auto"/>
          <w:szCs w:val="21"/>
          <w:highlight w:val="none"/>
        </w:rPr>
        <w:t>。</w:t>
      </w:r>
      <w:bookmarkEnd w:id="119"/>
      <w:bookmarkEnd w:id="120"/>
      <w:bookmarkEnd w:id="121"/>
    </w:p>
    <w:p w14:paraId="3429927C">
      <w:pPr>
        <w:pStyle w:val="3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p>
    <w:p w14:paraId="55A7F49C">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22" w:name="_Toc50012844"/>
      <w:bookmarkStart w:id="123" w:name="_Toc493511613"/>
      <w:bookmarkStart w:id="124" w:name="_Toc25169"/>
      <w:r>
        <w:rPr>
          <w:rFonts w:hint="eastAsia" w:asciiTheme="minorEastAsia" w:hAnsiTheme="minorEastAsia" w:eastAsiaTheme="minorEastAsia"/>
          <w:b/>
          <w:color w:val="auto"/>
          <w:szCs w:val="21"/>
          <w:highlight w:val="none"/>
        </w:rPr>
        <w:t>二 、招标文件</w:t>
      </w:r>
      <w:bookmarkEnd w:id="100"/>
      <w:bookmarkEnd w:id="122"/>
      <w:bookmarkEnd w:id="123"/>
      <w:bookmarkEnd w:id="124"/>
    </w:p>
    <w:p w14:paraId="4F47028C">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25" w:name="_Toc50012845"/>
      <w:bookmarkStart w:id="126" w:name="_Toc493511614"/>
      <w:bookmarkStart w:id="127" w:name="_Toc16026"/>
      <w:r>
        <w:rPr>
          <w:rFonts w:hint="eastAsia" w:asciiTheme="minorEastAsia" w:hAnsiTheme="minorEastAsia" w:eastAsiaTheme="minorEastAsia"/>
          <w:b/>
          <w:color w:val="auto"/>
          <w:szCs w:val="21"/>
          <w:highlight w:val="none"/>
        </w:rPr>
        <w:t>1、招标文件的构成</w:t>
      </w:r>
      <w:bookmarkEnd w:id="125"/>
      <w:bookmarkEnd w:id="126"/>
      <w:bookmarkEnd w:id="127"/>
    </w:p>
    <w:p w14:paraId="7F6CB839">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28" w:name="_Toc493511615"/>
      <w:bookmarkStart w:id="129" w:name="_Toc50012846"/>
      <w:bookmarkStart w:id="130" w:name="_Toc7778"/>
      <w:r>
        <w:rPr>
          <w:rFonts w:hint="eastAsia" w:asciiTheme="minorEastAsia" w:hAnsiTheme="minorEastAsia" w:eastAsiaTheme="minorEastAsia"/>
          <w:color w:val="auto"/>
          <w:szCs w:val="21"/>
          <w:highlight w:val="none"/>
        </w:rPr>
        <w:t>1.1、公开招标采购公告</w:t>
      </w:r>
      <w:bookmarkEnd w:id="128"/>
      <w:bookmarkEnd w:id="129"/>
      <w:bookmarkEnd w:id="130"/>
    </w:p>
    <w:p w14:paraId="3287E78C">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31" w:name="_Toc50012847"/>
      <w:bookmarkStart w:id="132" w:name="_Toc493511616"/>
      <w:bookmarkStart w:id="133" w:name="_Toc7186"/>
      <w:r>
        <w:rPr>
          <w:rFonts w:hint="eastAsia" w:asciiTheme="minorEastAsia" w:hAnsiTheme="minorEastAsia" w:eastAsiaTheme="minorEastAsia"/>
          <w:color w:val="auto"/>
          <w:szCs w:val="21"/>
          <w:highlight w:val="none"/>
        </w:rPr>
        <w:t>1.2、采购需求</w:t>
      </w:r>
      <w:bookmarkEnd w:id="131"/>
      <w:bookmarkEnd w:id="132"/>
      <w:bookmarkEnd w:id="133"/>
    </w:p>
    <w:p w14:paraId="232D27BA">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34" w:name="_Toc493511617"/>
      <w:bookmarkStart w:id="135" w:name="_Toc6933"/>
      <w:bookmarkStart w:id="136" w:name="_Toc50012848"/>
      <w:r>
        <w:rPr>
          <w:rFonts w:hint="eastAsia" w:asciiTheme="minorEastAsia" w:hAnsiTheme="minorEastAsia" w:eastAsiaTheme="minorEastAsia"/>
          <w:color w:val="auto"/>
          <w:szCs w:val="21"/>
          <w:highlight w:val="none"/>
        </w:rPr>
        <w:t>1.3、投标人须知</w:t>
      </w:r>
      <w:bookmarkEnd w:id="134"/>
      <w:bookmarkEnd w:id="135"/>
      <w:bookmarkEnd w:id="136"/>
    </w:p>
    <w:p w14:paraId="580B5040">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37" w:name="_Toc2119"/>
      <w:bookmarkStart w:id="138" w:name="_Toc493511618"/>
      <w:bookmarkStart w:id="139" w:name="_Toc50012849"/>
      <w:r>
        <w:rPr>
          <w:rFonts w:hint="eastAsia" w:asciiTheme="minorEastAsia" w:hAnsiTheme="minorEastAsia" w:eastAsiaTheme="minorEastAsia"/>
          <w:color w:val="auto"/>
          <w:szCs w:val="21"/>
          <w:highlight w:val="none"/>
        </w:rPr>
        <w:t>1.4、评标办法</w:t>
      </w:r>
      <w:bookmarkEnd w:id="137"/>
      <w:bookmarkEnd w:id="138"/>
      <w:bookmarkEnd w:id="139"/>
    </w:p>
    <w:p w14:paraId="637FB2EB">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40" w:name="_Toc19120"/>
      <w:bookmarkStart w:id="141" w:name="_Toc50012850"/>
      <w:bookmarkStart w:id="142" w:name="_Toc493511619"/>
      <w:r>
        <w:rPr>
          <w:rFonts w:hint="eastAsia" w:asciiTheme="minorEastAsia" w:hAnsiTheme="minorEastAsia" w:eastAsiaTheme="minorEastAsia"/>
          <w:color w:val="auto"/>
          <w:szCs w:val="21"/>
          <w:highlight w:val="none"/>
        </w:rPr>
        <w:t>1.5、政府采购合同</w:t>
      </w:r>
      <w:bookmarkEnd w:id="140"/>
      <w:bookmarkEnd w:id="141"/>
      <w:bookmarkEnd w:id="142"/>
    </w:p>
    <w:p w14:paraId="1A6559A4">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43" w:name="_Toc493511620"/>
      <w:bookmarkStart w:id="144" w:name="_Toc50012851"/>
      <w:bookmarkStart w:id="145" w:name="_Toc19300"/>
      <w:r>
        <w:rPr>
          <w:rFonts w:hint="eastAsia" w:asciiTheme="minorEastAsia" w:hAnsiTheme="minorEastAsia" w:eastAsiaTheme="minorEastAsia"/>
          <w:color w:val="auto"/>
          <w:szCs w:val="21"/>
          <w:highlight w:val="none"/>
        </w:rPr>
        <w:t>1.6、投标文件相关文件格式</w:t>
      </w:r>
      <w:bookmarkEnd w:id="143"/>
      <w:bookmarkEnd w:id="144"/>
      <w:bookmarkEnd w:id="145"/>
      <w:bookmarkStart w:id="146" w:name="_Toc482363722"/>
    </w:p>
    <w:p w14:paraId="45EDB246">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47" w:name="_Toc32687"/>
      <w:bookmarkStart w:id="148" w:name="_Toc50012852"/>
      <w:bookmarkStart w:id="149" w:name="_Toc493511621"/>
      <w:r>
        <w:rPr>
          <w:rFonts w:asciiTheme="minorEastAsia" w:hAnsiTheme="minorEastAsia" w:eastAsiaTheme="minorEastAsia"/>
          <w:color w:val="auto"/>
          <w:szCs w:val="21"/>
          <w:highlight w:val="none"/>
        </w:rPr>
        <w:t>1.7、本项目招标文件的澄清、答复、修改、补充的内容（所有内容将以电子文档形式上传于浙江省政府采购网网站（https://zfcg.czt.zj.gov.cn/）。澄清、答复、修改、补充的内容均作为招标文件的组成部分，具有约束作用。投标人必须自行下载。）</w:t>
      </w:r>
      <w:bookmarkEnd w:id="146"/>
      <w:bookmarkEnd w:id="147"/>
      <w:bookmarkEnd w:id="148"/>
      <w:bookmarkEnd w:id="149"/>
    </w:p>
    <w:p w14:paraId="0D918CE6">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50" w:name="_Toc50012853"/>
      <w:bookmarkStart w:id="151" w:name="_Toc21770"/>
      <w:bookmarkStart w:id="152" w:name="_Toc493511622"/>
      <w:r>
        <w:rPr>
          <w:rFonts w:hint="eastAsia" w:asciiTheme="minorEastAsia" w:hAnsiTheme="minorEastAsia" w:eastAsiaTheme="minorEastAsia"/>
          <w:b/>
          <w:color w:val="auto"/>
          <w:szCs w:val="21"/>
          <w:highlight w:val="none"/>
        </w:rPr>
        <w:t>2、存在的风险</w:t>
      </w:r>
      <w:bookmarkEnd w:id="150"/>
      <w:bookmarkEnd w:id="151"/>
      <w:bookmarkEnd w:id="152"/>
    </w:p>
    <w:p w14:paraId="1973993E">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53" w:name="_Toc493511623"/>
      <w:bookmarkStart w:id="154" w:name="_Toc50012854"/>
      <w:bookmarkStart w:id="155" w:name="_Toc32245"/>
      <w:r>
        <w:rPr>
          <w:rFonts w:hint="eastAsia" w:asciiTheme="minorEastAsia" w:hAnsiTheme="minorEastAsia" w:eastAsiaTheme="minorEastAsia"/>
          <w:color w:val="auto"/>
          <w:szCs w:val="21"/>
          <w:highlight w:val="none"/>
        </w:rPr>
        <w:t>投标人没有按照招标文件要求提供全部资料，或者投标人没有对招标文件在各方面作出实质性响应是投标人的风险，并可能导致其投标无效。</w:t>
      </w:r>
      <w:bookmarkEnd w:id="153"/>
      <w:bookmarkEnd w:id="154"/>
      <w:bookmarkEnd w:id="155"/>
    </w:p>
    <w:p w14:paraId="50231F80">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56" w:name="_Toc50012855"/>
      <w:bookmarkStart w:id="157" w:name="_Toc493511624"/>
      <w:bookmarkStart w:id="158" w:name="_Toc18736"/>
      <w:r>
        <w:rPr>
          <w:rFonts w:hint="eastAsia" w:asciiTheme="minorEastAsia" w:hAnsiTheme="minorEastAsia" w:eastAsiaTheme="minorEastAsia"/>
          <w:b/>
          <w:color w:val="auto"/>
          <w:szCs w:val="21"/>
          <w:highlight w:val="none"/>
        </w:rPr>
        <w:t>3、招标文件的澄清与修改</w:t>
      </w:r>
      <w:bookmarkEnd w:id="156"/>
      <w:bookmarkEnd w:id="157"/>
      <w:bookmarkEnd w:id="158"/>
    </w:p>
    <w:p w14:paraId="5B15A064">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59" w:name="_Toc50012856"/>
      <w:bookmarkStart w:id="160" w:name="_Toc493511625"/>
      <w:bookmarkStart w:id="161" w:name="_Toc4790"/>
      <w:r>
        <w:rPr>
          <w:rFonts w:hint="eastAsia" w:asciiTheme="minorEastAsia" w:hAnsiTheme="minorEastAsia" w:eastAsiaTheme="minorEastAsia"/>
          <w:color w:val="auto"/>
          <w:szCs w:val="21"/>
          <w:highlight w:val="none"/>
        </w:rPr>
        <w:t>3.1、投标人应认真阅读本招标文件，发现其中有误或有要求不合理的，投标人必须在知道或者应当知道之日起七个工作日内以书面形式要求采购代理机构澄清，否则，由此产生的后果由投标人负责。</w:t>
      </w:r>
      <w:bookmarkEnd w:id="159"/>
      <w:bookmarkEnd w:id="160"/>
      <w:bookmarkEnd w:id="161"/>
    </w:p>
    <w:p w14:paraId="1B471F2B">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62" w:name="_Toc50012857"/>
      <w:bookmarkStart w:id="163" w:name="_Toc493511626"/>
      <w:bookmarkStart w:id="164" w:name="_Toc31984"/>
      <w:r>
        <w:rPr>
          <w:rFonts w:hint="eastAsia" w:asciiTheme="minorEastAsia" w:hAnsiTheme="minorEastAsia" w:eastAsiaTheme="minorEastAsia"/>
          <w:color w:val="auto"/>
          <w:szCs w:val="21"/>
          <w:highlight w:val="none"/>
        </w:rPr>
        <w:t>3.2、采购代理机构必须以书面形式答复所有购买招标文件的投标人（答复中不包含问题的来源）要求澄清的问题，同时认定其他澄清方式为无效。</w:t>
      </w:r>
      <w:bookmarkEnd w:id="162"/>
      <w:bookmarkEnd w:id="163"/>
      <w:bookmarkEnd w:id="164"/>
    </w:p>
    <w:p w14:paraId="0B524E55">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65" w:name="_Toc493511627"/>
      <w:bookmarkStart w:id="166" w:name="_Toc50012858"/>
      <w:bookmarkStart w:id="167" w:name="_Toc20629"/>
      <w:r>
        <w:rPr>
          <w:rFonts w:hint="eastAsia" w:asciiTheme="minorEastAsia" w:hAnsiTheme="minorEastAsia" w:eastAsiaTheme="minorEastAsia"/>
          <w:color w:val="auto"/>
          <w:szCs w:val="21"/>
          <w:highlight w:val="none"/>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165"/>
      <w:bookmarkEnd w:id="166"/>
      <w:bookmarkEnd w:id="167"/>
    </w:p>
    <w:p w14:paraId="7593785F">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68" w:name="_Toc50012859"/>
      <w:bookmarkStart w:id="169" w:name="_Toc493511628"/>
      <w:bookmarkStart w:id="170" w:name="_Toc10910"/>
      <w:r>
        <w:rPr>
          <w:rFonts w:hint="eastAsia" w:asciiTheme="minorEastAsia" w:hAnsiTheme="minorEastAsia" w:eastAsiaTheme="minorEastAsia"/>
          <w:color w:val="auto"/>
          <w:szCs w:val="21"/>
          <w:highlight w:val="none"/>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168"/>
      <w:bookmarkEnd w:id="169"/>
      <w:bookmarkEnd w:id="170"/>
    </w:p>
    <w:p w14:paraId="2F58C07B">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71" w:name="_Toc50012860"/>
      <w:bookmarkStart w:id="172" w:name="_Toc14791"/>
      <w:bookmarkStart w:id="173" w:name="_Toc493511629"/>
      <w:r>
        <w:rPr>
          <w:rFonts w:hint="eastAsia" w:asciiTheme="minorEastAsia" w:hAnsiTheme="minorEastAsia" w:eastAsiaTheme="minorEastAsia"/>
          <w:color w:val="auto"/>
          <w:szCs w:val="21"/>
          <w:highlight w:val="none"/>
        </w:rPr>
        <w:t>3.5、招标文件的澄清或者修改都应该通过本代理机构以法定形式发布，采购人非通过本机构，不得擅自澄清或者修改招标文件。</w:t>
      </w:r>
      <w:bookmarkEnd w:id="171"/>
      <w:bookmarkEnd w:id="172"/>
      <w:bookmarkEnd w:id="173"/>
    </w:p>
    <w:p w14:paraId="32D3E6D1">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74" w:name="_Toc177870545"/>
      <w:bookmarkStart w:id="175" w:name="_Toc493511630"/>
      <w:bookmarkStart w:id="176" w:name="_Toc8175"/>
      <w:bookmarkStart w:id="177" w:name="_Toc50012861"/>
      <w:r>
        <w:rPr>
          <w:rFonts w:hint="eastAsia" w:asciiTheme="minorEastAsia" w:hAnsiTheme="minorEastAsia" w:eastAsiaTheme="minorEastAsia"/>
          <w:b/>
          <w:color w:val="auto"/>
          <w:szCs w:val="21"/>
          <w:highlight w:val="none"/>
        </w:rPr>
        <w:t>三、 投标文件的编制</w:t>
      </w:r>
      <w:bookmarkEnd w:id="174"/>
      <w:bookmarkEnd w:id="175"/>
      <w:bookmarkEnd w:id="176"/>
      <w:bookmarkEnd w:id="177"/>
    </w:p>
    <w:p w14:paraId="76F163F4">
      <w:pPr>
        <w:ind w:firstLine="422" w:firstLineChars="200"/>
        <w:rPr>
          <w:rFonts w:ascii="宋体" w:hAnsi="宋体"/>
          <w:b/>
          <w:bCs/>
          <w:color w:val="auto"/>
          <w:highlight w:val="none"/>
        </w:rPr>
      </w:pPr>
      <w:bookmarkStart w:id="178" w:name="_Toc493511643"/>
      <w:bookmarkStart w:id="179" w:name="_Toc177824944"/>
      <w:bookmarkStart w:id="180" w:name="_Toc177824877"/>
      <w:bookmarkStart w:id="181" w:name="_Toc177825125"/>
      <w:bookmarkStart w:id="182" w:name="_Toc177870547"/>
      <w:r>
        <w:rPr>
          <w:rFonts w:hint="eastAsia" w:ascii="宋体" w:hAnsi="宋体"/>
          <w:b/>
          <w:bCs/>
          <w:color w:val="auto"/>
          <w:highlight w:val="none"/>
        </w:rPr>
        <w:t>本项目所涉投标文件格式请详见第六章，未给出的格式请自拟。商务、资信及其他及技术文件中不得出现报价，否则投标文件将被视为无效。</w:t>
      </w:r>
      <w:r>
        <w:rPr>
          <w:rFonts w:hint="eastAsia" w:ascii="宋体" w:hAnsi="宋体"/>
          <w:b/>
          <w:bCs/>
          <w:color w:val="auto"/>
          <w:highlight w:val="none"/>
        </w:rPr>
        <w:br w:type="textWrapping"/>
      </w:r>
      <w:r>
        <w:rPr>
          <w:rFonts w:hint="eastAsia" w:ascii="宋体" w:hAnsi="宋体"/>
          <w:b/>
          <w:bCs/>
          <w:color w:val="auto"/>
          <w:highlight w:val="none"/>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14:paraId="050B073C">
      <w:pPr>
        <w:ind w:firstLine="422" w:firstLineChars="200"/>
        <w:rPr>
          <w:rFonts w:ascii="宋体" w:hAnsi="宋体"/>
          <w:b/>
          <w:bCs/>
          <w:color w:val="auto"/>
          <w:highlight w:val="none"/>
        </w:rPr>
      </w:pPr>
      <w:r>
        <w:rPr>
          <w:rFonts w:hint="eastAsia" w:ascii="宋体" w:hAnsi="宋体"/>
          <w:b/>
          <w:bCs/>
          <w:color w:val="auto"/>
          <w:highlight w:val="none"/>
        </w:rPr>
        <w:t>路径：浙江省“项目采购电子交易系统/不见面开评标”学习专题-操作指南-供应商</w:t>
      </w:r>
    </w:p>
    <w:p w14:paraId="238F1E49">
      <w:pPr>
        <w:spacing w:line="360" w:lineRule="auto"/>
        <w:ind w:firstLine="422" w:firstLineChars="200"/>
        <w:rPr>
          <w:rFonts w:cs="宋体" w:asciiTheme="minorEastAsia" w:hAnsiTheme="minorEastAsia" w:eastAsiaTheme="minorEastAsia"/>
          <w:b/>
          <w:color w:val="auto"/>
          <w:szCs w:val="21"/>
          <w:highlight w:val="none"/>
        </w:rPr>
      </w:pPr>
      <w:r>
        <w:rPr>
          <w:rFonts w:hint="eastAsia" w:ascii="宋体" w:hAnsi="宋体"/>
          <w:b/>
          <w:bCs/>
          <w:color w:val="auto"/>
          <w:highlight w:val="none"/>
        </w:rPr>
        <w:t>网址：</w:t>
      </w:r>
      <w:r>
        <w:rPr>
          <w:color w:val="auto"/>
          <w:highlight w:val="none"/>
        </w:rPr>
        <w:fldChar w:fldCharType="begin"/>
      </w:r>
      <w:r>
        <w:rPr>
          <w:color w:val="auto"/>
          <w:highlight w:val="none"/>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color w:val="auto"/>
          <w:highlight w:val="none"/>
        </w:rPr>
        <w:fldChar w:fldCharType="separate"/>
      </w:r>
      <w:r>
        <w:rPr>
          <w:rFonts w:hint="eastAsia" w:ascii="宋体" w:hAnsi="宋体"/>
          <w:b/>
          <w:bCs/>
          <w:color w:val="auto"/>
          <w:highlight w:val="none"/>
        </w:rPr>
        <w:t>https://edu.zcygov.cn/luban/e-biding</w:t>
      </w:r>
      <w:r>
        <w:rPr>
          <w:rFonts w:hint="eastAsia" w:ascii="宋体" w:hAnsi="宋体"/>
          <w:b/>
          <w:bCs/>
          <w:color w:val="auto"/>
          <w:highlight w:val="none"/>
        </w:rPr>
        <w:fldChar w:fldCharType="end"/>
      </w:r>
    </w:p>
    <w:p w14:paraId="2DEDE061">
      <w:pPr>
        <w:pStyle w:val="30"/>
        <w:snapToGrid w:val="0"/>
        <w:spacing w:line="360" w:lineRule="auto"/>
        <w:ind w:right="42" w:rightChars="20" w:firstLine="422" w:firstLineChars="200"/>
        <w:jc w:val="left"/>
        <w:outlineLvl w:val="1"/>
        <w:rPr>
          <w:rFonts w:cs="宋体" w:asciiTheme="minorEastAsia" w:hAnsiTheme="minorEastAsia" w:eastAsiaTheme="minorEastAsia"/>
          <w:b/>
          <w:color w:val="auto"/>
          <w:szCs w:val="21"/>
          <w:highlight w:val="none"/>
        </w:rPr>
      </w:pPr>
      <w:bookmarkStart w:id="183" w:name="_Toc32243"/>
      <w:bookmarkStart w:id="184" w:name="_Toc33535357"/>
      <w:bookmarkStart w:id="185" w:name="_Toc50012863"/>
      <w:r>
        <w:rPr>
          <w:rFonts w:hint="eastAsia" w:cs="宋体" w:asciiTheme="minorEastAsia" w:hAnsiTheme="minorEastAsia" w:eastAsiaTheme="minorEastAsia"/>
          <w:b/>
          <w:color w:val="auto"/>
          <w:szCs w:val="21"/>
          <w:highlight w:val="none"/>
        </w:rPr>
        <w:t>总体要求：</w:t>
      </w:r>
      <w:bookmarkEnd w:id="183"/>
      <w:bookmarkEnd w:id="184"/>
      <w:bookmarkEnd w:id="185"/>
    </w:p>
    <w:p w14:paraId="794C2794">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w:t>
      </w:r>
      <w:r>
        <w:rPr>
          <w:rFonts w:asciiTheme="minorEastAsia" w:hAnsiTheme="minorEastAsia" w:eastAsiaTheme="minorEastAsia"/>
          <w:color w:val="auto"/>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14:paraId="195B9AC7">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2、投标文件及投标人与采购有关的来往通知，函件和文件均应使用中文。</w:t>
      </w:r>
    </w:p>
    <w:p w14:paraId="4F6215BB">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3、投标人应按本文件中提供的文件格式、内容和要求制作投标文件。</w:t>
      </w:r>
    </w:p>
    <w:p w14:paraId="1202F94D">
      <w:pPr>
        <w:spacing w:line="360" w:lineRule="auto"/>
        <w:ind w:right="42" w:rightChars="20" w:firstLine="422" w:firstLineChars="200"/>
        <w:jc w:val="left"/>
        <w:rPr>
          <w:rFonts w:cs="宋体" w:asciiTheme="minorEastAsia" w:hAnsiTheme="minorEastAsia" w:eastAsiaTheme="minorEastAsia"/>
          <w:bCs/>
          <w:color w:val="auto"/>
          <w:szCs w:val="21"/>
          <w:highlight w:val="none"/>
        </w:rPr>
      </w:pPr>
      <w:r>
        <w:rPr>
          <w:rFonts w:hint="eastAsia" w:asciiTheme="minorEastAsia" w:hAnsiTheme="minorEastAsia" w:eastAsiaTheme="minorEastAsia"/>
          <w:b/>
          <w:color w:val="auto"/>
          <w:szCs w:val="21"/>
          <w:highlight w:val="none"/>
        </w:rPr>
        <w:t>4、投标文件的效力：投标文件的启用，按先后顺位分别为电子投标文件、电子</w:t>
      </w:r>
      <w:r>
        <w:rPr>
          <w:rFonts w:hint="eastAsia" w:cs="宋体" w:asciiTheme="minorEastAsia" w:hAnsiTheme="minorEastAsia" w:eastAsiaTheme="minorEastAsia"/>
          <w:bCs/>
          <w:color w:val="auto"/>
          <w:szCs w:val="21"/>
          <w:highlight w:val="none"/>
        </w:rPr>
        <w:t>备份投标文件</w:t>
      </w:r>
      <w:r>
        <w:rPr>
          <w:rFonts w:hint="eastAsia" w:asciiTheme="minorEastAsia" w:hAnsiTheme="minorEastAsia" w:eastAsiaTheme="minorEastAsia"/>
          <w:b/>
          <w:color w:val="auto"/>
          <w:szCs w:val="21"/>
          <w:highlight w:val="none"/>
        </w:rPr>
        <w:t>。</w:t>
      </w:r>
      <w:r>
        <w:rPr>
          <w:rFonts w:hint="eastAsia" w:cs="宋体" w:asciiTheme="minorEastAsia" w:hAnsiTheme="minorEastAsia" w:eastAsiaTheme="minorEastAsia"/>
          <w:bCs/>
          <w:color w:val="auto"/>
          <w:szCs w:val="21"/>
          <w:highlight w:val="none"/>
        </w:rPr>
        <w:t>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00449D7">
      <w:pPr>
        <w:snapToGrid w:val="0"/>
        <w:spacing w:line="360" w:lineRule="auto"/>
        <w:ind w:right="42" w:rightChars="20" w:firstLine="422" w:firstLineChars="200"/>
        <w:jc w:val="left"/>
        <w:outlineLvl w:val="0"/>
        <w:rPr>
          <w:rFonts w:asciiTheme="minorEastAsia" w:hAnsiTheme="minorEastAsia" w:eastAsiaTheme="minorEastAsia"/>
          <w:b/>
          <w:color w:val="auto"/>
          <w:szCs w:val="21"/>
          <w:highlight w:val="none"/>
        </w:rPr>
      </w:pPr>
      <w:bookmarkStart w:id="186" w:name="_Toc406402988"/>
      <w:bookmarkStart w:id="187" w:name="_Toc50012864"/>
      <w:bookmarkStart w:id="188" w:name="_Toc1053"/>
      <w:bookmarkStart w:id="189" w:name="_Toc406402944"/>
      <w:bookmarkStart w:id="190" w:name="_Toc33535358"/>
      <w:r>
        <w:rPr>
          <w:rFonts w:hint="eastAsia" w:asciiTheme="minorEastAsia" w:hAnsiTheme="minorEastAsia" w:eastAsiaTheme="minorEastAsia"/>
          <w:b/>
          <w:color w:val="auto"/>
          <w:szCs w:val="21"/>
          <w:highlight w:val="none"/>
        </w:rPr>
        <w:t>（一）投标文件的组成</w:t>
      </w:r>
      <w:bookmarkEnd w:id="186"/>
      <w:bookmarkEnd w:id="187"/>
      <w:bookmarkEnd w:id="188"/>
      <w:bookmarkEnd w:id="189"/>
      <w:bookmarkEnd w:id="190"/>
    </w:p>
    <w:p w14:paraId="6198E8DE">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包括电子投标文件和电子</w:t>
      </w:r>
      <w:r>
        <w:rPr>
          <w:rFonts w:hint="eastAsia" w:cs="宋体" w:asciiTheme="minorEastAsia" w:hAnsiTheme="minorEastAsia" w:eastAsiaTheme="minorEastAsia"/>
          <w:bCs/>
          <w:color w:val="auto"/>
          <w:szCs w:val="21"/>
          <w:highlight w:val="none"/>
        </w:rPr>
        <w:t>备份投标文件（选送）</w:t>
      </w:r>
      <w:r>
        <w:rPr>
          <w:rFonts w:hint="eastAsia" w:asciiTheme="minorEastAsia" w:hAnsiTheme="minorEastAsia" w:eastAsiaTheme="minorEastAsia"/>
          <w:b/>
          <w:color w:val="auto"/>
          <w:szCs w:val="21"/>
          <w:highlight w:val="none"/>
        </w:rPr>
        <w:t>，均由资格投标文件、商务技术文件及投标报价文件三部份组成。其中电子投标文件中所须加盖公章部分均采用CA签章。</w:t>
      </w:r>
    </w:p>
    <w:p w14:paraId="1A802CF0">
      <w:pPr>
        <w:numPr>
          <w:ilvl w:val="0"/>
          <w:numId w:val="5"/>
        </w:numPr>
        <w:snapToGrid w:val="0"/>
        <w:spacing w:line="360" w:lineRule="auto"/>
        <w:ind w:left="-2" w:right="42" w:rightChars="20" w:firstLine="422"/>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资格投标文件：</w:t>
      </w:r>
    </w:p>
    <w:p w14:paraId="192CC81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1、提供具有独立承担民事责任的能力、具有良好的商业信誉和健全的财务会计制度、具有履行合同所必需的设备和专业技术能力、有依法缴纳税收和社会保障资金的良好记录、参加政府采购活动前三年，在经营活动中没有重大违法记录、自招标公告发布之日起至投标截止日内任意时间的“信用中国”网站（www.creditchina.gov.cn）（未被信用中国网站</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highlight w:val="none"/>
        </w:rPr>
        <w:t>列入失信被执行人、重大税收违法案件当事人名单</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、中国政府采购网（www.ccgp.gov.cn）（未被中国政府采购网</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highlight w:val="none"/>
        </w:rPr>
        <w:t>列入政府采购严重违法失信行为记录名单</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）也没有因违反《浙江省政府采购投标人注册及诚信管理暂行办法》被列入“黑名单”，正在处罚有效期（详见格式）的承诺书；</w:t>
      </w:r>
    </w:p>
    <w:p w14:paraId="2E90B23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法定代表人授权委托书</w:t>
      </w:r>
      <w:r>
        <w:rPr>
          <w:rFonts w:hint="eastAsia" w:asciiTheme="minorEastAsia" w:hAnsiTheme="minorEastAsia" w:eastAsiaTheme="minorEastAsia"/>
          <w:color w:val="auto"/>
          <w:szCs w:val="21"/>
          <w:highlight w:val="none"/>
        </w:rPr>
        <w:t>；</w:t>
      </w:r>
    </w:p>
    <w:p w14:paraId="79F24F5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、中小企业声明函、残疾人福利性单位声明函及其他符合政策性条件的承诺函。</w:t>
      </w:r>
    </w:p>
    <w:p w14:paraId="1F43F46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w:t>
      </w:r>
      <w:r>
        <w:rPr>
          <w:rFonts w:hint="eastAsia"/>
          <w:color w:val="auto"/>
          <w:highlight w:val="none"/>
        </w:rPr>
        <w:t>投标人符合特定条件的相关证明文件（如有）；</w:t>
      </w:r>
    </w:p>
    <w:p w14:paraId="5EAECEC4">
      <w:pPr>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2、商务技术文件</w:t>
      </w:r>
    </w:p>
    <w:p w14:paraId="32B1632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2.1、投标声明书；</w:t>
      </w:r>
    </w:p>
    <w:p w14:paraId="2ABC631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2、类似案例成功的业绩</w:t>
      </w:r>
      <w:r>
        <w:rPr>
          <w:rFonts w:hint="eastAsia" w:asciiTheme="minorEastAsia" w:hAnsiTheme="minorEastAsia" w:eastAsiaTheme="minorEastAsia"/>
          <w:b/>
          <w:color w:val="auto"/>
          <w:szCs w:val="21"/>
          <w:highlight w:val="none"/>
        </w:rPr>
        <w:t>（合同复印件并CA签章）</w:t>
      </w:r>
      <w:r>
        <w:rPr>
          <w:rFonts w:hint="eastAsia" w:asciiTheme="minorEastAsia" w:hAnsiTheme="minorEastAsia" w:eastAsiaTheme="minorEastAsia"/>
          <w:color w:val="auto"/>
          <w:szCs w:val="21"/>
          <w:highlight w:val="none"/>
        </w:rPr>
        <w:t>；</w:t>
      </w:r>
    </w:p>
    <w:p w14:paraId="138F52D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3、与本项目实施相关的投标人各类资质证书、认证证书、许可证等（如信誉荣誉、本地化服务等。</w:t>
      </w:r>
      <w:r>
        <w:rPr>
          <w:rFonts w:hint="eastAsia" w:asciiTheme="minorEastAsia" w:hAnsiTheme="minorEastAsia" w:eastAsiaTheme="minorEastAsia"/>
          <w:b/>
          <w:color w:val="auto"/>
          <w:szCs w:val="21"/>
          <w:highlight w:val="none"/>
        </w:rPr>
        <w:t>提供复印件并CA签章）（如有）</w:t>
      </w:r>
      <w:r>
        <w:rPr>
          <w:rFonts w:hint="eastAsia" w:asciiTheme="minorEastAsia" w:hAnsiTheme="minorEastAsia" w:eastAsiaTheme="minorEastAsia"/>
          <w:color w:val="auto"/>
          <w:szCs w:val="21"/>
          <w:highlight w:val="none"/>
        </w:rPr>
        <w:t>；</w:t>
      </w:r>
    </w:p>
    <w:p w14:paraId="6EE3B61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2.4、投标人情况介绍；</w:t>
      </w:r>
    </w:p>
    <w:p w14:paraId="390BD7A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2.5、商务、技术响应表；</w:t>
      </w:r>
    </w:p>
    <w:p w14:paraId="5B37915C">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w:t>
      </w:r>
      <w:r>
        <w:rPr>
          <w:rFonts w:asciiTheme="minorEastAsia" w:hAnsiTheme="minorEastAsia" w:eastAsiaTheme="minorEastAsia"/>
          <w:color w:val="auto"/>
          <w:szCs w:val="21"/>
          <w:highlight w:val="none"/>
        </w:rPr>
        <w:t>项目实施人员一览表</w:t>
      </w:r>
      <w:r>
        <w:rPr>
          <w:rFonts w:hint="eastAsia" w:asciiTheme="minorEastAsia" w:hAnsiTheme="minorEastAsia" w:eastAsiaTheme="minorEastAsia"/>
          <w:color w:val="auto"/>
          <w:szCs w:val="21"/>
          <w:highlight w:val="none"/>
        </w:rPr>
        <w:t>、距采购人最近或者能为本项目提供最优服务的网点情况表</w:t>
      </w:r>
    </w:p>
    <w:p w14:paraId="4281E7A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2.7、</w:t>
      </w:r>
      <w:r>
        <w:rPr>
          <w:rFonts w:asciiTheme="minorEastAsia" w:hAnsiTheme="minorEastAsia" w:eastAsiaTheme="minorEastAsia"/>
          <w:color w:val="auto"/>
          <w:szCs w:val="21"/>
          <w:highlight w:val="none"/>
        </w:rPr>
        <w:t>对招标项目的理解</w:t>
      </w:r>
      <w:r>
        <w:rPr>
          <w:rFonts w:hint="eastAsia" w:asciiTheme="minorEastAsia" w:hAnsiTheme="minorEastAsia" w:eastAsiaTheme="minorEastAsia"/>
          <w:color w:val="auto"/>
          <w:szCs w:val="21"/>
          <w:highlight w:val="none"/>
        </w:rPr>
        <w:t>；（格式自拟）</w:t>
      </w:r>
    </w:p>
    <w:p w14:paraId="6A67B6A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2.8、工作的实施方案；（根据实际情况拟定，结合评分内容编制，格式自拟）</w:t>
      </w:r>
    </w:p>
    <w:p w14:paraId="00CD4E6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2.9、</w:t>
      </w:r>
      <w:r>
        <w:rPr>
          <w:rFonts w:asciiTheme="minorEastAsia" w:hAnsiTheme="minorEastAsia" w:eastAsiaTheme="minorEastAsia"/>
          <w:color w:val="auto"/>
          <w:szCs w:val="21"/>
          <w:highlight w:val="none"/>
        </w:rPr>
        <w:t>进度安排</w:t>
      </w:r>
      <w:r>
        <w:rPr>
          <w:rFonts w:hint="eastAsia" w:asciiTheme="minorEastAsia" w:hAnsiTheme="minorEastAsia" w:eastAsiaTheme="minorEastAsia"/>
          <w:color w:val="auto"/>
          <w:szCs w:val="21"/>
          <w:highlight w:val="none"/>
        </w:rPr>
        <w:t>、质量</w:t>
      </w:r>
      <w:r>
        <w:rPr>
          <w:rFonts w:asciiTheme="minorEastAsia" w:hAnsiTheme="minorEastAsia" w:eastAsiaTheme="minorEastAsia"/>
          <w:color w:val="auto"/>
          <w:szCs w:val="21"/>
          <w:highlight w:val="none"/>
        </w:rPr>
        <w:t>保障</w:t>
      </w:r>
      <w:r>
        <w:rPr>
          <w:rFonts w:hint="eastAsia" w:asciiTheme="minorEastAsia" w:hAnsiTheme="minorEastAsia" w:eastAsiaTheme="minorEastAsia"/>
          <w:color w:val="auto"/>
          <w:szCs w:val="21"/>
          <w:highlight w:val="none"/>
        </w:rPr>
        <w:t>、服务保障；（格式自拟）</w:t>
      </w:r>
    </w:p>
    <w:p w14:paraId="13BC944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2.10、拟投入实施设备、备品备件耗材、备机（如需）；（格式自拟，包含品牌、型号、功能等）</w:t>
      </w:r>
    </w:p>
    <w:p w14:paraId="6AB8706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2.11、</w:t>
      </w:r>
      <w:r>
        <w:rPr>
          <w:rFonts w:asciiTheme="minorEastAsia" w:hAnsiTheme="minorEastAsia" w:eastAsiaTheme="minorEastAsia"/>
          <w:color w:val="auto"/>
          <w:szCs w:val="21"/>
          <w:highlight w:val="none"/>
        </w:rPr>
        <w:t>投标人承诺给予招标人的各种优惠条件，包括售后服务等方面的优惠；</w:t>
      </w:r>
      <w:r>
        <w:rPr>
          <w:rFonts w:hint="eastAsia" w:asciiTheme="minorEastAsia" w:hAnsiTheme="minorEastAsia" w:eastAsiaTheme="minorEastAsia"/>
          <w:color w:val="auto"/>
          <w:szCs w:val="21"/>
          <w:highlight w:val="none"/>
        </w:rPr>
        <w:t>（格式自拟）</w:t>
      </w:r>
    </w:p>
    <w:p w14:paraId="6DE3720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2.12、投标人截止投标时间前三年内的奖惩情况说明，格式自拟；</w:t>
      </w:r>
    </w:p>
    <w:p w14:paraId="24B060B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2.13、投标单位对本项目的合理化建议和改进措施；</w:t>
      </w:r>
    </w:p>
    <w:p w14:paraId="606FCB6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2.14、</w:t>
      </w:r>
      <w:r>
        <w:rPr>
          <w:rFonts w:asciiTheme="minorEastAsia" w:hAnsiTheme="minorEastAsia" w:eastAsiaTheme="minorEastAsia"/>
          <w:color w:val="auto"/>
          <w:szCs w:val="21"/>
          <w:highlight w:val="none"/>
        </w:rPr>
        <w:t>投标人需要说明的其他文件和说明（格式</w:t>
      </w:r>
      <w:r>
        <w:rPr>
          <w:rFonts w:hint="eastAsia" w:asciiTheme="minorEastAsia" w:hAnsiTheme="minorEastAsia" w:eastAsiaTheme="minorEastAsia"/>
          <w:color w:val="auto"/>
          <w:szCs w:val="21"/>
          <w:highlight w:val="none"/>
        </w:rPr>
        <w:t>自拟</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p>
    <w:p w14:paraId="460A90D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2.15、未尽事宜请各投标人按评分细则制作。</w:t>
      </w:r>
    </w:p>
    <w:p w14:paraId="68AF5F15">
      <w:pPr>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3、投标报价文件：</w:t>
      </w:r>
    </w:p>
    <w:p w14:paraId="751BEEEF">
      <w:pPr>
        <w:tabs>
          <w:tab w:val="left" w:pos="3870"/>
          <w:tab w:val="left" w:pos="4085"/>
        </w:tabs>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3.1、投标函； </w:t>
      </w:r>
    </w:p>
    <w:p w14:paraId="325164EA">
      <w:pPr>
        <w:tabs>
          <w:tab w:val="left" w:pos="3870"/>
          <w:tab w:val="left" w:pos="4085"/>
        </w:tabs>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3.2、开标一览表；</w:t>
      </w:r>
    </w:p>
    <w:p w14:paraId="18E16E31">
      <w:pPr>
        <w:tabs>
          <w:tab w:val="left" w:pos="3870"/>
          <w:tab w:val="left" w:pos="4085"/>
        </w:tabs>
        <w:snapToGrid w:val="0"/>
        <w:spacing w:line="360" w:lineRule="auto"/>
        <w:ind w:right="42" w:rightChars="20"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3.3、</w:t>
      </w:r>
      <w:r>
        <w:rPr>
          <w:rFonts w:hint="eastAsia" w:asciiTheme="minorEastAsia" w:hAnsiTheme="minorEastAsia" w:eastAsiaTheme="minorEastAsia"/>
          <w:bCs/>
          <w:color w:val="auto"/>
          <w:szCs w:val="21"/>
          <w:highlight w:val="none"/>
        </w:rPr>
        <w:t>分项报价明细表；</w:t>
      </w:r>
    </w:p>
    <w:p w14:paraId="7330B48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3.4、投标人针对报价需要说明的其他文件和说明。</w:t>
      </w:r>
    </w:p>
    <w:bookmarkEnd w:id="178"/>
    <w:p w14:paraId="593AB03A">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91" w:name="_Toc493511656"/>
      <w:bookmarkStart w:id="192" w:name="_Toc8745"/>
      <w:bookmarkStart w:id="193" w:name="_Toc50012865"/>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注：法定代表人授权委托书、投标声明书、投标函、开标一览表必须由法定代表人</w:t>
      </w:r>
      <w:r>
        <w:rPr>
          <w:rFonts w:hint="eastAsia" w:asciiTheme="minorEastAsia" w:hAnsiTheme="minorEastAsia" w:eastAsiaTheme="minorEastAsia"/>
          <w:color w:val="auto"/>
          <w:szCs w:val="21"/>
          <w:highlight w:val="none"/>
        </w:rPr>
        <w:t>或负责人或授权代表</w:t>
      </w:r>
      <w:r>
        <w:rPr>
          <w:rFonts w:asciiTheme="minorEastAsia" w:hAnsiTheme="minorEastAsia" w:eastAsiaTheme="minorEastAsia"/>
          <w:color w:val="auto"/>
          <w:szCs w:val="21"/>
          <w:highlight w:val="none"/>
        </w:rPr>
        <w:t>签名并加盖单位公章。</w:t>
      </w:r>
      <w:bookmarkEnd w:id="191"/>
      <w:bookmarkEnd w:id="192"/>
      <w:bookmarkEnd w:id="193"/>
    </w:p>
    <w:bookmarkEnd w:id="179"/>
    <w:bookmarkEnd w:id="180"/>
    <w:bookmarkEnd w:id="181"/>
    <w:bookmarkEnd w:id="182"/>
    <w:p w14:paraId="3758D726">
      <w:pPr>
        <w:snapToGrid w:val="0"/>
        <w:spacing w:line="360" w:lineRule="auto"/>
        <w:ind w:right="42" w:rightChars="20" w:firstLine="422" w:firstLineChars="200"/>
        <w:jc w:val="left"/>
        <w:outlineLvl w:val="0"/>
        <w:rPr>
          <w:rFonts w:asciiTheme="minorEastAsia" w:hAnsiTheme="minorEastAsia" w:eastAsiaTheme="minorEastAsia"/>
          <w:b/>
          <w:color w:val="auto"/>
          <w:szCs w:val="21"/>
          <w:highlight w:val="none"/>
        </w:rPr>
      </w:pPr>
      <w:bookmarkStart w:id="194" w:name="_Toc402963117"/>
      <w:bookmarkStart w:id="195" w:name="_Toc33535360"/>
      <w:bookmarkStart w:id="196" w:name="_Toc406402946"/>
      <w:bookmarkStart w:id="197" w:name="_Toc50012866"/>
      <w:bookmarkStart w:id="198" w:name="_Toc385854146"/>
      <w:bookmarkStart w:id="199" w:name="_Toc31513"/>
      <w:bookmarkStart w:id="200" w:name="_Toc385854100"/>
      <w:bookmarkStart w:id="201" w:name="_Toc402963084"/>
      <w:bookmarkStart w:id="202" w:name="_Toc406402990"/>
      <w:bookmarkStart w:id="203" w:name="_Toc493511751"/>
      <w:r>
        <w:rPr>
          <w:rFonts w:hint="eastAsia" w:asciiTheme="minorEastAsia" w:hAnsiTheme="minorEastAsia" w:eastAsiaTheme="minorEastAsia"/>
          <w:b/>
          <w:color w:val="auto"/>
          <w:szCs w:val="21"/>
          <w:highlight w:val="none"/>
        </w:rPr>
        <w:t>（二）投标文件的语言及计量</w:t>
      </w:r>
      <w:bookmarkEnd w:id="194"/>
      <w:bookmarkEnd w:id="195"/>
      <w:bookmarkEnd w:id="196"/>
      <w:bookmarkEnd w:id="197"/>
      <w:bookmarkEnd w:id="198"/>
      <w:bookmarkEnd w:id="199"/>
      <w:bookmarkEnd w:id="200"/>
      <w:bookmarkEnd w:id="201"/>
      <w:bookmarkEnd w:id="202"/>
    </w:p>
    <w:p w14:paraId="248D2C9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投标文件以及投标方与</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就有关投标事宜的所有来往函电，均应以中文汉语书写。除签名、盖章、专用名称等特殊情形外，以中文汉语以外的文字表述的投标文件视同未提供。</w:t>
      </w:r>
    </w:p>
    <w:p w14:paraId="24B12D6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投标计量单位，招标文件已有明确规定的，使用招标文件规定的计量单位；招标文件没有规定的，应采用中华人民共和国法定计量单位（货币单位：人民币元），否则视同未响应。</w:t>
      </w:r>
    </w:p>
    <w:p w14:paraId="5239BB55">
      <w:pPr>
        <w:snapToGrid w:val="0"/>
        <w:spacing w:line="360" w:lineRule="auto"/>
        <w:ind w:right="42" w:rightChars="20" w:firstLine="422" w:firstLineChars="200"/>
        <w:contextualSpacing/>
        <w:jc w:val="left"/>
        <w:outlineLvl w:val="0"/>
        <w:rPr>
          <w:rFonts w:asciiTheme="minorEastAsia" w:hAnsiTheme="minorEastAsia" w:eastAsiaTheme="minorEastAsia"/>
          <w:b/>
          <w:color w:val="auto"/>
          <w:szCs w:val="21"/>
          <w:highlight w:val="none"/>
        </w:rPr>
      </w:pPr>
      <w:bookmarkStart w:id="204" w:name="_Toc402963085"/>
      <w:bookmarkStart w:id="205" w:name="_Toc18686"/>
      <w:bookmarkStart w:id="206" w:name="_Toc406402991"/>
      <w:bookmarkStart w:id="207" w:name="_Toc385854101"/>
      <w:bookmarkStart w:id="208" w:name="_Toc406402947"/>
      <w:bookmarkStart w:id="209" w:name="_Toc385854147"/>
      <w:bookmarkStart w:id="210" w:name="_Toc33535361"/>
      <w:bookmarkStart w:id="211" w:name="_Toc402963118"/>
      <w:bookmarkStart w:id="212" w:name="_Toc50012867"/>
      <w:r>
        <w:rPr>
          <w:rFonts w:hint="eastAsia" w:asciiTheme="minorEastAsia" w:hAnsiTheme="minorEastAsia" w:eastAsiaTheme="minorEastAsia"/>
          <w:b/>
          <w:color w:val="auto"/>
          <w:szCs w:val="21"/>
          <w:highlight w:val="none"/>
        </w:rPr>
        <w:t>（三）投标报价</w:t>
      </w:r>
      <w:bookmarkEnd w:id="204"/>
      <w:bookmarkEnd w:id="205"/>
      <w:bookmarkEnd w:id="206"/>
      <w:bookmarkEnd w:id="207"/>
      <w:bookmarkEnd w:id="208"/>
      <w:bookmarkEnd w:id="209"/>
      <w:bookmarkEnd w:id="210"/>
      <w:bookmarkEnd w:id="211"/>
      <w:bookmarkEnd w:id="212"/>
    </w:p>
    <w:p w14:paraId="404B9CD6">
      <w:pPr>
        <w:pStyle w:val="30"/>
        <w:snapToGrid w:val="0"/>
        <w:spacing w:line="360" w:lineRule="auto"/>
        <w:ind w:right="42" w:rightChars="20" w:firstLine="420" w:firstLineChars="200"/>
        <w:contextualSpacing/>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投标报价应按招标文件中相关附表格式填写。</w:t>
      </w:r>
    </w:p>
    <w:p w14:paraId="485F36C1">
      <w:pPr>
        <w:widowControl/>
        <w:spacing w:line="360" w:lineRule="auto"/>
        <w:ind w:right="42" w:rightChars="20" w:firstLine="480"/>
        <w:contextualSpacing/>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、投标报价应包括为本项目服务内容可能发生的所有费用，包括但不限于工作、生活、交通、通讯、设备（仪器）、劳力、利润、税收等一切费用。</w:t>
      </w:r>
    </w:p>
    <w:p w14:paraId="4CE84F7B">
      <w:pPr>
        <w:pStyle w:val="30"/>
        <w:snapToGrid w:val="0"/>
        <w:spacing w:line="360" w:lineRule="auto"/>
        <w:ind w:right="42" w:rightChars="20" w:firstLine="420" w:firstLineChars="200"/>
        <w:contextualSpacing/>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投标文件只允许有一个报价，有选择的</w:t>
      </w:r>
      <w:r>
        <w:rPr>
          <w:rFonts w:hint="eastAsia" w:asciiTheme="minorEastAsia" w:hAnsiTheme="minorEastAsia" w:eastAsiaTheme="minorEastAsia"/>
          <w:color w:val="auto"/>
          <w:szCs w:val="21"/>
          <w:highlight w:val="none"/>
        </w:rPr>
        <w:t>或有条件的</w:t>
      </w:r>
      <w:r>
        <w:rPr>
          <w:rFonts w:asciiTheme="minorEastAsia" w:hAnsiTheme="minorEastAsia" w:eastAsiaTheme="minorEastAsia"/>
          <w:color w:val="auto"/>
          <w:szCs w:val="21"/>
          <w:highlight w:val="none"/>
        </w:rPr>
        <w:t>报价将不予接受。</w:t>
      </w:r>
    </w:p>
    <w:p w14:paraId="08870BE3">
      <w:pPr>
        <w:pStyle w:val="16"/>
        <w:widowControl w:val="0"/>
        <w:tabs>
          <w:tab w:val="clear" w:pos="454"/>
        </w:tabs>
        <w:snapToGrid w:val="0"/>
        <w:spacing w:afterLines="0" w:line="360" w:lineRule="auto"/>
        <w:ind w:left="0" w:right="42" w:rightChars="20" w:firstLine="422" w:firstLineChars="200"/>
        <w:contextualSpacing/>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（四）投标文件的有效期</w:t>
      </w:r>
    </w:p>
    <w:p w14:paraId="0FFFDD0A">
      <w:pPr>
        <w:pStyle w:val="16"/>
        <w:widowControl w:val="0"/>
        <w:tabs>
          <w:tab w:val="left" w:pos="4500"/>
          <w:tab w:val="clear" w:pos="454"/>
        </w:tabs>
        <w:snapToGrid w:val="0"/>
        <w:spacing w:afterLines="0" w:line="360" w:lineRule="auto"/>
        <w:ind w:left="0" w:right="42" w:rightChars="20" w:firstLine="420" w:firstLineChars="200"/>
        <w:contextualSpacing/>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自投标截止日起</w:t>
      </w:r>
      <w:r>
        <w:rPr>
          <w:rFonts w:hint="eastAsia" w:asciiTheme="minorEastAsia" w:hAnsiTheme="minorEastAsia" w:eastAsiaTheme="minorEastAsia"/>
          <w:color w:val="auto"/>
          <w:sz w:val="21"/>
          <w:szCs w:val="21"/>
          <w:highlight w:val="none"/>
          <w:u w:val="single"/>
        </w:rPr>
        <w:t>60</w:t>
      </w:r>
      <w:r>
        <w:rPr>
          <w:rFonts w:asciiTheme="minorEastAsia" w:hAnsiTheme="minorEastAsia" w:eastAsiaTheme="minorEastAsia"/>
          <w:color w:val="auto"/>
          <w:sz w:val="21"/>
          <w:szCs w:val="21"/>
          <w:highlight w:val="none"/>
        </w:rPr>
        <w:t>天投标</w:t>
      </w:r>
      <w:r>
        <w:rPr>
          <w:rFonts w:hint="eastAsia" w:asciiTheme="minorEastAsia" w:hAnsiTheme="minorEastAsia" w:eastAsiaTheme="minorEastAsia"/>
          <w:color w:val="auto"/>
          <w:sz w:val="21"/>
          <w:szCs w:val="21"/>
          <w:highlight w:val="none"/>
        </w:rPr>
        <w:t>文件</w:t>
      </w:r>
      <w:r>
        <w:rPr>
          <w:rFonts w:asciiTheme="minorEastAsia" w:hAnsiTheme="minorEastAsia" w:eastAsiaTheme="minorEastAsia"/>
          <w:color w:val="auto"/>
          <w:sz w:val="21"/>
          <w:szCs w:val="21"/>
          <w:highlight w:val="none"/>
        </w:rPr>
        <w:t>应保持有效。有效期</w:t>
      </w:r>
      <w:r>
        <w:rPr>
          <w:rFonts w:hint="eastAsia" w:asciiTheme="minorEastAsia" w:hAnsiTheme="minorEastAsia" w:eastAsiaTheme="minorEastAsia"/>
          <w:color w:val="auto"/>
          <w:sz w:val="21"/>
          <w:szCs w:val="21"/>
          <w:highlight w:val="none"/>
        </w:rPr>
        <w:t>不足</w:t>
      </w:r>
      <w:r>
        <w:rPr>
          <w:rFonts w:asciiTheme="minorEastAsia" w:hAnsiTheme="minorEastAsia" w:eastAsiaTheme="minorEastAsia"/>
          <w:color w:val="auto"/>
          <w:sz w:val="21"/>
          <w:szCs w:val="21"/>
          <w:highlight w:val="none"/>
        </w:rPr>
        <w:t>的投标</w:t>
      </w:r>
      <w:r>
        <w:rPr>
          <w:rFonts w:hint="eastAsia" w:asciiTheme="minorEastAsia" w:hAnsiTheme="minorEastAsia" w:eastAsiaTheme="minorEastAsia"/>
          <w:color w:val="auto"/>
          <w:sz w:val="21"/>
          <w:szCs w:val="21"/>
          <w:highlight w:val="none"/>
        </w:rPr>
        <w:t>文件</w:t>
      </w:r>
      <w:r>
        <w:rPr>
          <w:rFonts w:asciiTheme="minorEastAsia" w:hAnsiTheme="minorEastAsia" w:eastAsiaTheme="minorEastAsia"/>
          <w:color w:val="auto"/>
          <w:sz w:val="21"/>
          <w:szCs w:val="21"/>
          <w:highlight w:val="none"/>
        </w:rPr>
        <w:t>将被拒绝。</w:t>
      </w:r>
    </w:p>
    <w:p w14:paraId="7FF5689A">
      <w:pPr>
        <w:pStyle w:val="16"/>
        <w:widowControl w:val="0"/>
        <w:tabs>
          <w:tab w:val="clear" w:pos="454"/>
        </w:tabs>
        <w:snapToGrid w:val="0"/>
        <w:spacing w:afterLines="0" w:line="360" w:lineRule="auto"/>
        <w:ind w:left="0" w:right="42" w:rightChars="20" w:firstLine="420" w:firstLineChars="200"/>
        <w:contextualSpacing/>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在特殊情况下，</w:t>
      </w:r>
      <w:r>
        <w:rPr>
          <w:rFonts w:hint="eastAsia" w:asciiTheme="minorEastAsia" w:hAnsiTheme="minorEastAsia" w:eastAsiaTheme="minorEastAsia"/>
          <w:color w:val="auto"/>
          <w:sz w:val="21"/>
          <w:szCs w:val="21"/>
          <w:highlight w:val="none"/>
        </w:rPr>
        <w:t>采购人</w:t>
      </w:r>
      <w:r>
        <w:rPr>
          <w:rFonts w:asciiTheme="minorEastAsia" w:hAnsiTheme="minorEastAsia" w:eastAsiaTheme="minorEastAsia"/>
          <w:color w:val="auto"/>
          <w:sz w:val="21"/>
          <w:szCs w:val="21"/>
          <w:highlight w:val="none"/>
        </w:rPr>
        <w:t>可与投标人协商延长投标书的有效期，这种要求和答复均以书面形式进行。</w:t>
      </w:r>
    </w:p>
    <w:p w14:paraId="0D6525DE">
      <w:pPr>
        <w:pStyle w:val="16"/>
        <w:widowControl w:val="0"/>
        <w:tabs>
          <w:tab w:val="left" w:pos="4500"/>
          <w:tab w:val="clear" w:pos="454"/>
        </w:tabs>
        <w:snapToGrid w:val="0"/>
        <w:spacing w:afterLines="0" w:line="360" w:lineRule="auto"/>
        <w:ind w:left="0" w:right="42" w:rightChars="20" w:firstLine="420" w:firstLineChars="200"/>
        <w:contextualSpacing/>
        <w:rPr>
          <w:rFonts w:asciiTheme="minorEastAsia" w:hAnsiTheme="minorEastAsia" w:eastAsiaTheme="minorEastAsia"/>
          <w:color w:val="auto"/>
          <w:sz w:val="21"/>
          <w:szCs w:val="21"/>
          <w:highlight w:val="none"/>
        </w:rPr>
      </w:pPr>
      <w:bookmarkStart w:id="213" w:name="_Toc402963119"/>
      <w:bookmarkStart w:id="214" w:name="_Toc385854148"/>
      <w:bookmarkStart w:id="215" w:name="_Toc402963086"/>
      <w:bookmarkStart w:id="216" w:name="_Toc406402948"/>
      <w:bookmarkStart w:id="217" w:name="_Toc50012868"/>
      <w:bookmarkStart w:id="218" w:name="_Toc385854102"/>
      <w:bookmarkStart w:id="219" w:name="_Toc33535362"/>
      <w:bookmarkStart w:id="220" w:name="_Toc406402992"/>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投标人可拒绝接受延期要求。同意延长有效期的投标人不能修改投标文件。</w:t>
      </w:r>
      <w:bookmarkEnd w:id="213"/>
      <w:bookmarkEnd w:id="214"/>
      <w:bookmarkEnd w:id="215"/>
      <w:bookmarkEnd w:id="216"/>
      <w:bookmarkEnd w:id="217"/>
      <w:bookmarkEnd w:id="218"/>
      <w:bookmarkEnd w:id="219"/>
      <w:bookmarkEnd w:id="220"/>
    </w:p>
    <w:p w14:paraId="697D04C4">
      <w:pPr>
        <w:pStyle w:val="16"/>
        <w:widowControl w:val="0"/>
        <w:tabs>
          <w:tab w:val="left" w:pos="4500"/>
          <w:tab w:val="clear" w:pos="454"/>
        </w:tabs>
        <w:snapToGrid w:val="0"/>
        <w:spacing w:afterLines="0" w:line="360" w:lineRule="auto"/>
        <w:ind w:left="0" w:right="42" w:rightChars="20" w:firstLine="420" w:firstLineChars="200"/>
        <w:contextualSpacing/>
        <w:rPr>
          <w:rFonts w:asciiTheme="minorEastAsia" w:hAnsiTheme="minorEastAsia" w:eastAsiaTheme="minorEastAsia"/>
          <w:color w:val="auto"/>
          <w:sz w:val="21"/>
          <w:szCs w:val="21"/>
          <w:highlight w:val="none"/>
        </w:rPr>
      </w:pPr>
      <w:bookmarkStart w:id="221" w:name="_Toc406402949"/>
      <w:bookmarkStart w:id="222" w:name="_Toc33535363"/>
      <w:bookmarkStart w:id="223" w:name="_Toc385854149"/>
      <w:bookmarkStart w:id="224" w:name="_Toc385854103"/>
      <w:bookmarkStart w:id="225" w:name="_Toc402963120"/>
      <w:bookmarkStart w:id="226" w:name="_Toc406402993"/>
      <w:bookmarkStart w:id="227" w:name="_Toc50012869"/>
      <w:bookmarkStart w:id="228" w:name="_Toc402963087"/>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中标人的投标文件自开标之日起至合同履行完毕止均应保持有效。</w:t>
      </w:r>
      <w:bookmarkEnd w:id="221"/>
      <w:bookmarkEnd w:id="222"/>
      <w:bookmarkEnd w:id="223"/>
      <w:bookmarkEnd w:id="224"/>
      <w:bookmarkEnd w:id="225"/>
      <w:bookmarkEnd w:id="226"/>
      <w:bookmarkEnd w:id="227"/>
      <w:bookmarkEnd w:id="228"/>
    </w:p>
    <w:p w14:paraId="4F1B525C">
      <w:pPr>
        <w:snapToGrid w:val="0"/>
        <w:spacing w:line="360" w:lineRule="auto"/>
        <w:ind w:right="42" w:rightChars="20" w:firstLine="422" w:firstLineChars="200"/>
        <w:contextualSpacing/>
        <w:jc w:val="left"/>
        <w:outlineLvl w:val="0"/>
        <w:rPr>
          <w:rFonts w:asciiTheme="minorEastAsia" w:hAnsiTheme="minorEastAsia" w:eastAsiaTheme="minorEastAsia"/>
          <w:b/>
          <w:color w:val="auto"/>
          <w:szCs w:val="21"/>
          <w:highlight w:val="none"/>
        </w:rPr>
      </w:pPr>
      <w:bookmarkStart w:id="229" w:name="_Toc50012870"/>
      <w:bookmarkStart w:id="230" w:name="_Toc402963122"/>
      <w:bookmarkStart w:id="231" w:name="_Toc16226"/>
      <w:bookmarkStart w:id="232" w:name="_Toc33535364"/>
      <w:bookmarkStart w:id="233" w:name="_Toc402963089"/>
      <w:bookmarkStart w:id="234" w:name="_Toc406402951"/>
      <w:bookmarkStart w:id="235" w:name="_Toc406402995"/>
      <w:bookmarkStart w:id="236" w:name="_Toc385854151"/>
      <w:bookmarkStart w:id="237" w:name="_Toc385854105"/>
      <w:r>
        <w:rPr>
          <w:rFonts w:hint="eastAsia" w:asciiTheme="minorEastAsia" w:hAnsiTheme="minorEastAsia" w:eastAsiaTheme="minorEastAsia"/>
          <w:b/>
          <w:color w:val="auto"/>
          <w:szCs w:val="21"/>
          <w:highlight w:val="none"/>
        </w:rPr>
        <w:t>（五）投标文件的签署和份数</w:t>
      </w:r>
      <w:bookmarkEnd w:id="229"/>
      <w:bookmarkEnd w:id="230"/>
      <w:bookmarkEnd w:id="231"/>
      <w:bookmarkEnd w:id="232"/>
      <w:bookmarkEnd w:id="233"/>
      <w:bookmarkEnd w:id="234"/>
      <w:bookmarkEnd w:id="235"/>
      <w:bookmarkEnd w:id="236"/>
      <w:bookmarkEnd w:id="237"/>
    </w:p>
    <w:p w14:paraId="70591689">
      <w:pPr>
        <w:snapToGrid w:val="0"/>
        <w:spacing w:line="360" w:lineRule="auto"/>
        <w:ind w:right="42" w:rightChars="20" w:firstLine="420" w:firstLineChars="200"/>
        <w:contextualSpacing/>
        <w:jc w:val="left"/>
        <w:outlineLvl w:val="0"/>
        <w:rPr>
          <w:rFonts w:cs="微软雅黑" w:asciiTheme="minorEastAsia" w:hAnsiTheme="minorEastAsia" w:eastAsiaTheme="minorEastAsia"/>
          <w:b/>
          <w:bCs/>
          <w:color w:val="auto"/>
          <w:szCs w:val="21"/>
          <w:highlight w:val="none"/>
        </w:rPr>
      </w:pPr>
      <w:bookmarkStart w:id="238" w:name="_Toc50012871"/>
      <w:bookmarkStart w:id="239" w:name="_Toc15727"/>
      <w:r>
        <w:rPr>
          <w:rFonts w:hint="eastAsia" w:cs="宋体" w:asciiTheme="minorEastAsia" w:hAnsiTheme="minorEastAsia" w:eastAsiaTheme="minorEastAsia"/>
          <w:color w:val="auto"/>
          <w:szCs w:val="21"/>
          <w:highlight w:val="none"/>
        </w:rPr>
        <w:t>投标文件的形式：</w:t>
      </w:r>
      <w:r>
        <w:rPr>
          <w:rFonts w:hint="eastAsia" w:eastAsia="MS Mincho" w:cs="MS Mincho" w:asciiTheme="minorEastAsia" w:hAnsiTheme="minorEastAsia"/>
          <w:b/>
          <w:bCs/>
          <w:color w:val="auto"/>
          <w:szCs w:val="21"/>
          <w:highlight w:val="none"/>
        </w:rPr>
        <w:t>☑</w:t>
      </w:r>
      <w:r>
        <w:rPr>
          <w:rFonts w:hint="eastAsia" w:cs="微软雅黑" w:asciiTheme="minorEastAsia" w:hAnsiTheme="minorEastAsia" w:eastAsiaTheme="minorEastAsia"/>
          <w:b/>
          <w:bCs/>
          <w:color w:val="auto"/>
          <w:szCs w:val="21"/>
          <w:highlight w:val="none"/>
        </w:rPr>
        <w:t>电子投标文件（包括“电子加密投标文件”和“备份投标文件”，在投标文件编制完成后同时生成）；</w:t>
      </w:r>
      <w:bookmarkEnd w:id="238"/>
      <w:bookmarkEnd w:id="239"/>
    </w:p>
    <w:p w14:paraId="13122218">
      <w:pPr>
        <w:snapToGrid w:val="0"/>
        <w:spacing w:line="360" w:lineRule="auto"/>
        <w:ind w:right="42" w:rightChars="20" w:firstLine="422" w:firstLineChars="200"/>
        <w:contextualSpacing/>
        <w:jc w:val="left"/>
        <w:outlineLvl w:val="0"/>
        <w:rPr>
          <w:rFonts w:cs="宋体" w:asciiTheme="minorEastAsia" w:hAnsiTheme="minorEastAsia" w:eastAsiaTheme="minorEastAsia"/>
          <w:b/>
          <w:bCs/>
          <w:color w:val="auto"/>
          <w:szCs w:val="21"/>
          <w:highlight w:val="none"/>
        </w:rPr>
      </w:pPr>
      <w:bookmarkStart w:id="240" w:name="_Toc50012872"/>
      <w:bookmarkStart w:id="241" w:name="_Toc23368"/>
      <w:r>
        <w:rPr>
          <w:rFonts w:hint="eastAsia" w:cs="宋体" w:asciiTheme="minorEastAsia" w:hAnsiTheme="minorEastAsia" w:eastAsiaTheme="minorEastAsia"/>
          <w:b/>
          <w:bCs/>
          <w:color w:val="auto"/>
          <w:szCs w:val="21"/>
          <w:highlight w:val="none"/>
        </w:rPr>
        <w:t>（1）“电子加密投标文件”是指通过“政采云电子交易客户端”完成投标文件编制后生成并加密的数据电文形式的投标文件。</w:t>
      </w:r>
      <w:bookmarkEnd w:id="240"/>
      <w:bookmarkEnd w:id="241"/>
    </w:p>
    <w:p w14:paraId="7F74D881">
      <w:pPr>
        <w:snapToGrid w:val="0"/>
        <w:spacing w:line="360" w:lineRule="auto"/>
        <w:ind w:right="42" w:rightChars="20" w:firstLine="422" w:firstLineChars="200"/>
        <w:contextualSpacing/>
        <w:jc w:val="left"/>
        <w:outlineLvl w:val="0"/>
        <w:rPr>
          <w:rFonts w:cs="宋体" w:asciiTheme="minorEastAsia" w:hAnsiTheme="minorEastAsia" w:eastAsiaTheme="minorEastAsia"/>
          <w:b/>
          <w:bCs/>
          <w:color w:val="auto"/>
          <w:szCs w:val="21"/>
          <w:highlight w:val="none"/>
        </w:rPr>
      </w:pPr>
      <w:bookmarkStart w:id="242" w:name="_Toc18098"/>
      <w:bookmarkStart w:id="243" w:name="_Toc50012873"/>
      <w:r>
        <w:rPr>
          <w:rFonts w:hint="eastAsia" w:cs="宋体" w:asciiTheme="minorEastAsia" w:hAnsiTheme="minorEastAsia" w:eastAsiaTheme="minorEastAsia"/>
          <w:b/>
          <w:bCs/>
          <w:color w:val="auto"/>
          <w:szCs w:val="21"/>
          <w:highlight w:val="none"/>
        </w:rPr>
        <w:t>（2）“备份投标文件”是指与“电子加密投标文件”同时生成的数据电文形式的电子文件（备份标书），其他方式编制的备份投标文件视为无效备份投标文件。</w:t>
      </w:r>
      <w:bookmarkEnd w:id="242"/>
      <w:bookmarkEnd w:id="243"/>
    </w:p>
    <w:p w14:paraId="2852C72B">
      <w:pPr>
        <w:snapToGrid w:val="0"/>
        <w:spacing w:line="360" w:lineRule="auto"/>
        <w:ind w:right="42" w:rightChars="20" w:firstLine="422" w:firstLineChars="200"/>
        <w:contextualSpacing/>
        <w:jc w:val="left"/>
        <w:outlineLvl w:val="0"/>
        <w:rPr>
          <w:rFonts w:cs="宋体" w:asciiTheme="minorEastAsia" w:hAnsiTheme="minorEastAsia" w:eastAsiaTheme="minorEastAsia"/>
          <w:b/>
          <w:bCs/>
          <w:color w:val="auto"/>
          <w:szCs w:val="21"/>
          <w:highlight w:val="none"/>
        </w:rPr>
      </w:pPr>
      <w:bookmarkStart w:id="244" w:name="_Toc20165"/>
      <w:bookmarkStart w:id="245" w:name="_Toc50012874"/>
      <w:r>
        <w:rPr>
          <w:rFonts w:hint="eastAsia" w:cs="宋体" w:asciiTheme="minorEastAsia" w:hAnsiTheme="minorEastAsia" w:eastAsiaTheme="minorEastAsia"/>
          <w:b/>
          <w:bCs/>
          <w:color w:val="auto"/>
          <w:szCs w:val="21"/>
          <w:highlight w:val="none"/>
        </w:rPr>
        <w:t>（六）</w:t>
      </w:r>
      <w:bookmarkStart w:id="246" w:name="_Toc33535368"/>
      <w:r>
        <w:rPr>
          <w:rFonts w:hint="eastAsia" w:cs="宋体" w:asciiTheme="minorEastAsia" w:hAnsiTheme="minorEastAsia" w:eastAsiaTheme="minorEastAsia"/>
          <w:b/>
          <w:bCs/>
          <w:color w:val="auto"/>
          <w:szCs w:val="21"/>
          <w:highlight w:val="none"/>
        </w:rPr>
        <w:t>投标文件的上传和递交：</w:t>
      </w:r>
      <w:bookmarkEnd w:id="244"/>
      <w:bookmarkEnd w:id="245"/>
    </w:p>
    <w:p w14:paraId="380BC5FB">
      <w:pPr>
        <w:snapToGrid w:val="0"/>
        <w:spacing w:line="360" w:lineRule="auto"/>
        <w:ind w:right="42" w:rightChars="20" w:firstLine="422" w:firstLineChars="200"/>
        <w:contextualSpacing/>
        <w:jc w:val="left"/>
        <w:outlineLvl w:val="0"/>
        <w:rPr>
          <w:rFonts w:cs="宋体" w:asciiTheme="minorEastAsia" w:hAnsiTheme="minorEastAsia" w:eastAsiaTheme="minorEastAsia"/>
          <w:b/>
          <w:bCs/>
          <w:color w:val="auto"/>
          <w:szCs w:val="21"/>
          <w:highlight w:val="none"/>
        </w:rPr>
      </w:pPr>
      <w:bookmarkStart w:id="247" w:name="_Toc50012875"/>
      <w:bookmarkStart w:id="248" w:name="_Toc19460"/>
      <w:r>
        <w:rPr>
          <w:rFonts w:hint="eastAsia" w:cs="宋体" w:asciiTheme="minorEastAsia" w:hAnsiTheme="minorEastAsia" w:eastAsiaTheme="minorEastAsia"/>
          <w:b/>
          <w:bCs/>
          <w:color w:val="auto"/>
          <w:szCs w:val="21"/>
          <w:highlight w:val="none"/>
        </w:rPr>
        <w:t>（1）“电子加密投标文件”的上传、递交：</w:t>
      </w:r>
      <w:bookmarkEnd w:id="247"/>
      <w:bookmarkEnd w:id="248"/>
    </w:p>
    <w:p w14:paraId="034CAD01">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49" w:name="_Toc30349"/>
      <w:bookmarkStart w:id="250" w:name="_Toc50012876"/>
      <w:r>
        <w:rPr>
          <w:rFonts w:cs="宋体" w:asciiTheme="minorEastAsia" w:hAnsiTheme="minorEastAsia" w:eastAsiaTheme="minorEastAsia"/>
          <w:b/>
          <w:bCs/>
          <w:color w:val="auto"/>
          <w:szCs w:val="21"/>
          <w:highlight w:val="none"/>
        </w:rPr>
        <w:t>A</w:t>
      </w:r>
      <w:r>
        <w:rPr>
          <w:rFonts w:hint="eastAsia" w:cs="宋体" w:asciiTheme="minorEastAsia" w:hAnsiTheme="minorEastAsia" w:eastAsiaTheme="minorEastAsia"/>
          <w:b/>
          <w:bCs/>
          <w:color w:val="auto"/>
          <w:szCs w:val="21"/>
          <w:highlight w:val="none"/>
        </w:rPr>
        <w:t>、投标人应在投标截止时间前将“电子加密投标文件”成功上传递交至“政府采购云平台”，否则投标无效。</w:t>
      </w:r>
      <w:bookmarkEnd w:id="249"/>
      <w:bookmarkEnd w:id="250"/>
    </w:p>
    <w:p w14:paraId="55D0A215">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1" w:name="_Toc50012877"/>
      <w:bookmarkStart w:id="252" w:name="_Toc10260"/>
      <w:r>
        <w:rPr>
          <w:rFonts w:cs="宋体" w:asciiTheme="minorEastAsia" w:hAnsiTheme="minorEastAsia" w:eastAsiaTheme="minorEastAsia"/>
          <w:b/>
          <w:bCs/>
          <w:color w:val="auto"/>
          <w:szCs w:val="21"/>
          <w:highlight w:val="none"/>
        </w:rPr>
        <w:t>B</w:t>
      </w:r>
      <w:r>
        <w:rPr>
          <w:rFonts w:hint="eastAsia" w:cs="宋体" w:asciiTheme="minorEastAsia" w:hAnsiTheme="minorEastAsia" w:eastAsiaTheme="minorEastAsia"/>
          <w:b/>
          <w:bCs/>
          <w:color w:val="auto"/>
          <w:szCs w:val="21"/>
          <w:highlight w:val="none"/>
        </w:rPr>
        <w:t>、“电子加密投标文件”成功上传递交后，投标人可自行打印投标文件接收回执。</w:t>
      </w:r>
      <w:bookmarkEnd w:id="251"/>
      <w:bookmarkEnd w:id="252"/>
    </w:p>
    <w:p w14:paraId="76773E4B">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3" w:name="_Toc30797"/>
      <w:bookmarkStart w:id="254" w:name="_Toc50012878"/>
      <w:r>
        <w:rPr>
          <w:rFonts w:hint="eastAsia" w:cs="宋体" w:asciiTheme="minorEastAsia" w:hAnsiTheme="minorEastAsia" w:eastAsiaTheme="minorEastAsia"/>
          <w:b/>
          <w:bCs/>
          <w:color w:val="auto"/>
          <w:szCs w:val="21"/>
          <w:highlight w:val="none"/>
        </w:rPr>
        <w:t>（2）“备份投标文件”的密封包装、递交：</w:t>
      </w:r>
      <w:bookmarkEnd w:id="253"/>
      <w:bookmarkEnd w:id="254"/>
      <w:r>
        <w:rPr>
          <w:rFonts w:hint="eastAsia" w:cs="宋体" w:asciiTheme="minorEastAsia" w:hAnsiTheme="minorEastAsia" w:eastAsiaTheme="minorEastAsia"/>
          <w:b/>
          <w:bCs/>
          <w:color w:val="auto"/>
          <w:szCs w:val="21"/>
          <w:highlight w:val="none"/>
        </w:rPr>
        <w:t>（备份文件非强制）</w:t>
      </w:r>
    </w:p>
    <w:p w14:paraId="7D89D3D3">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5" w:name="_Toc50012879"/>
      <w:bookmarkStart w:id="256" w:name="_Toc12452"/>
      <w:r>
        <w:rPr>
          <w:rFonts w:cs="宋体" w:asciiTheme="minorEastAsia" w:hAnsiTheme="minorEastAsia" w:eastAsiaTheme="minorEastAsia"/>
          <w:b/>
          <w:bCs/>
          <w:color w:val="auto"/>
          <w:szCs w:val="21"/>
          <w:highlight w:val="none"/>
        </w:rPr>
        <w:t>A</w:t>
      </w:r>
      <w:r>
        <w:rPr>
          <w:rFonts w:hint="eastAsia" w:cs="宋体" w:asciiTheme="minorEastAsia" w:hAnsiTheme="minorEastAsia" w:eastAsiaTheme="minorEastAsia"/>
          <w:b/>
          <w:bCs/>
          <w:color w:val="auto"/>
          <w:szCs w:val="21"/>
          <w:highlight w:val="none"/>
        </w:rPr>
        <w:t>、投标人在“政府采购云平台”完成“电子加密投标文件”的上传递交后，还可以（邮寄形式）在投标截止时间前递交以介质（U盘）存储的 “备份投标文件”（一份）；</w:t>
      </w:r>
      <w:bookmarkEnd w:id="255"/>
      <w:bookmarkEnd w:id="256"/>
    </w:p>
    <w:p w14:paraId="17DD53A4">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7" w:name="_Toc17991"/>
      <w:bookmarkStart w:id="258" w:name="_Toc50012880"/>
      <w:r>
        <w:rPr>
          <w:rFonts w:cs="宋体" w:asciiTheme="minorEastAsia" w:hAnsiTheme="minorEastAsia" w:eastAsiaTheme="minorEastAsia"/>
          <w:b/>
          <w:bCs/>
          <w:color w:val="auto"/>
          <w:szCs w:val="21"/>
          <w:highlight w:val="none"/>
        </w:rPr>
        <w:t>B</w:t>
      </w:r>
      <w:r>
        <w:rPr>
          <w:rFonts w:hint="eastAsia" w:cs="宋体" w:asciiTheme="minorEastAsia" w:hAnsiTheme="minorEastAsia" w:eastAsiaTheme="minorEastAsia"/>
          <w:b/>
          <w:bCs/>
          <w:color w:val="auto"/>
          <w:szCs w:val="21"/>
          <w:highlight w:val="none"/>
        </w:rPr>
        <w:t>、“备份投标文件”应当密封包装，并在包装上标注投标项目名称、投标单位名称并加盖公章。没有密封包装或者逾期邮寄送达至邮寄接收地点的“备份投标文件”将不予接收；</w:t>
      </w:r>
      <w:bookmarkEnd w:id="257"/>
      <w:bookmarkEnd w:id="258"/>
    </w:p>
    <w:p w14:paraId="75B8C2A4">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9" w:name="_Toc50012881"/>
      <w:bookmarkStart w:id="260" w:name="_Toc23640"/>
      <w:r>
        <w:rPr>
          <w:rFonts w:cs="宋体" w:asciiTheme="minorEastAsia" w:hAnsiTheme="minorEastAsia" w:eastAsiaTheme="minorEastAsia"/>
          <w:b/>
          <w:bCs/>
          <w:color w:val="auto"/>
          <w:szCs w:val="21"/>
          <w:highlight w:val="none"/>
        </w:rPr>
        <w:t>C</w:t>
      </w:r>
      <w:r>
        <w:rPr>
          <w:rFonts w:hint="eastAsia" w:cs="宋体" w:asciiTheme="minorEastAsia" w:hAnsiTheme="minorEastAsia" w:eastAsiaTheme="minorEastAsia"/>
          <w:b/>
          <w:bCs/>
          <w:color w:val="auto"/>
          <w:szCs w:val="21"/>
          <w:highlight w:val="none"/>
        </w:rPr>
        <w:t>、通过“政府采购云平台”成功上传递交的“电子加密投标文件”已按时解密的，“备份投标文件”自动失效。投标截止时间前，投标人仅递交了“备份投标文件”而未将“电子加密投标文件”成功上传至“政府采购云平台”的，投标无效。</w:t>
      </w:r>
      <w:bookmarkEnd w:id="259"/>
      <w:bookmarkEnd w:id="260"/>
    </w:p>
    <w:p w14:paraId="4C5385D5">
      <w:pPr>
        <w:snapToGrid w:val="0"/>
        <w:spacing w:line="360" w:lineRule="auto"/>
        <w:ind w:right="42" w:rightChars="20" w:firstLine="422" w:firstLineChars="200"/>
        <w:jc w:val="left"/>
        <w:outlineLvl w:val="0"/>
        <w:rPr>
          <w:rFonts w:asciiTheme="minorEastAsia" w:hAnsiTheme="minorEastAsia" w:eastAsiaTheme="minorEastAsia"/>
          <w:b/>
          <w:color w:val="auto"/>
          <w:szCs w:val="21"/>
          <w:highlight w:val="none"/>
        </w:rPr>
      </w:pPr>
      <w:bookmarkStart w:id="261" w:name="_Toc50012882"/>
      <w:bookmarkStart w:id="262" w:name="_Toc7277"/>
      <w:r>
        <w:rPr>
          <w:rFonts w:hint="eastAsia" w:asciiTheme="minorEastAsia" w:hAnsiTheme="minorEastAsia" w:eastAsiaTheme="minorEastAsia"/>
          <w:b/>
          <w:color w:val="auto"/>
          <w:szCs w:val="21"/>
          <w:highlight w:val="none"/>
        </w:rPr>
        <w:t>（七）投标无效的情形</w:t>
      </w:r>
      <w:bookmarkEnd w:id="246"/>
      <w:bookmarkEnd w:id="261"/>
      <w:bookmarkEnd w:id="262"/>
    </w:p>
    <w:p w14:paraId="0BDE53B6">
      <w:pPr>
        <w:snapToGrid w:val="0"/>
        <w:spacing w:line="360" w:lineRule="auto"/>
        <w:ind w:right="42" w:rightChars="20" w:firstLine="420" w:firstLineChars="200"/>
        <w:jc w:val="left"/>
        <w:outlineLvl w:val="0"/>
        <w:rPr>
          <w:rFonts w:asciiTheme="minorEastAsia" w:hAnsiTheme="minorEastAsia" w:eastAsiaTheme="minorEastAsia"/>
          <w:color w:val="auto"/>
          <w:szCs w:val="21"/>
          <w:highlight w:val="none"/>
        </w:rPr>
      </w:pPr>
      <w:bookmarkStart w:id="263" w:name="_Toc50012883"/>
      <w:bookmarkStart w:id="264" w:name="_Toc32709"/>
      <w:r>
        <w:rPr>
          <w:rFonts w:hint="eastAsia" w:asciiTheme="minorEastAsia" w:hAnsiTheme="minorEastAsia" w:eastAsiaTheme="minorEastAsia"/>
          <w:color w:val="auto"/>
          <w:szCs w:val="21"/>
          <w:highlight w:val="none"/>
        </w:rPr>
        <w:t>根据《政府采购货物和服务招标投标管理办法》有下列情形之一的，视为投标人串通投标，其投标无效：</w:t>
      </w:r>
      <w:bookmarkEnd w:id="263"/>
      <w:bookmarkEnd w:id="264"/>
    </w:p>
    <w:p w14:paraId="6DD501DB">
      <w:pPr>
        <w:snapToGrid w:val="0"/>
        <w:spacing w:line="360" w:lineRule="auto"/>
        <w:ind w:right="42" w:rightChars="20" w:firstLine="420" w:firstLineChars="200"/>
        <w:jc w:val="left"/>
        <w:outlineLvl w:val="0"/>
        <w:rPr>
          <w:rFonts w:asciiTheme="minorEastAsia" w:hAnsiTheme="minorEastAsia" w:eastAsiaTheme="minorEastAsia"/>
          <w:color w:val="auto"/>
          <w:szCs w:val="21"/>
          <w:highlight w:val="none"/>
        </w:rPr>
      </w:pPr>
      <w:bookmarkStart w:id="265" w:name="_Toc50012884"/>
      <w:bookmarkStart w:id="266" w:name="_Toc11171"/>
      <w:r>
        <w:rPr>
          <w:rFonts w:hint="eastAsia" w:asciiTheme="minorEastAsia" w:hAnsiTheme="minorEastAsia" w:eastAsiaTheme="minorEastAsia"/>
          <w:color w:val="auto"/>
          <w:szCs w:val="21"/>
          <w:highlight w:val="none"/>
        </w:rPr>
        <w:t>(一)不同投标人的投标文件由同一单位或者个人编制;</w:t>
      </w:r>
      <w:bookmarkEnd w:id="265"/>
      <w:bookmarkEnd w:id="266"/>
    </w:p>
    <w:p w14:paraId="11ACC32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(二)不同投标人委托同一单位或者个人办理投标事宜;</w:t>
      </w:r>
    </w:p>
    <w:p w14:paraId="45D25CE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(三)不同投标人的投标文件载明的项目管理成员或者联系人员为同一人;</w:t>
      </w:r>
    </w:p>
    <w:p w14:paraId="3B615D8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(四)不同投标人的投标文件异常一致或者投标报价呈规律性差异;</w:t>
      </w:r>
    </w:p>
    <w:p w14:paraId="16527FE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(五)不同投标人的投标文件相互混装;</w:t>
      </w:r>
    </w:p>
    <w:p w14:paraId="6F87A78A">
      <w:pPr>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实质上没有响应招标文件要求的投标将被视为无效投标。</w:t>
      </w:r>
    </w:p>
    <w:p w14:paraId="0148E6D0">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r>
        <w:rPr>
          <w:rFonts w:asciiTheme="minorEastAsia" w:hAnsiTheme="minorEastAsia" w:eastAsiaTheme="minorEastAsia"/>
          <w:b/>
          <w:bCs/>
          <w:color w:val="auto"/>
          <w:szCs w:val="21"/>
          <w:highlight w:val="none"/>
        </w:rPr>
        <w:t>电子投标文件解密失败的，且未在规定时间内提交备份投标文件的</w:t>
      </w:r>
      <w:r>
        <w:rPr>
          <w:rFonts w:hint="eastAsia" w:asciiTheme="minorEastAsia" w:hAnsiTheme="minorEastAsia" w:eastAsiaTheme="minorEastAsia"/>
          <w:b/>
          <w:bCs/>
          <w:color w:val="auto"/>
          <w:szCs w:val="21"/>
          <w:highlight w:val="none"/>
        </w:rPr>
        <w:t>。</w:t>
      </w:r>
    </w:p>
    <w:p w14:paraId="350E2625">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2</w:t>
      </w:r>
      <w:r>
        <w:rPr>
          <w:rFonts w:hint="eastAsia" w:asciiTheme="minorEastAsia" w:hAnsiTheme="minorEastAsia" w:eastAsiaTheme="minorEastAsia"/>
          <w:b/>
          <w:bCs/>
          <w:color w:val="auto"/>
          <w:szCs w:val="21"/>
          <w:highlight w:val="none"/>
        </w:rPr>
        <w:t>、没有通过资格审查的，</w:t>
      </w:r>
      <w:r>
        <w:rPr>
          <w:rFonts w:asciiTheme="minorEastAsia" w:hAnsiTheme="minorEastAsia" w:eastAsiaTheme="minorEastAsia"/>
          <w:b/>
          <w:bCs/>
          <w:color w:val="auto"/>
          <w:szCs w:val="21"/>
          <w:highlight w:val="none"/>
        </w:rPr>
        <w:t>投标文件将被视为无效。</w:t>
      </w:r>
    </w:p>
    <w:p w14:paraId="33617DB7">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3</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在符合性审查和商务评审时，如发现下列情形之一的，投标文件将被视为无效：</w:t>
      </w:r>
    </w:p>
    <w:p w14:paraId="6E7A77C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（1）</w:t>
      </w:r>
      <w:r>
        <w:rPr>
          <w:rFonts w:asciiTheme="minorEastAsia" w:hAnsiTheme="minorEastAsia" w:eastAsiaTheme="minorEastAsia"/>
          <w:color w:val="auto"/>
          <w:szCs w:val="21"/>
          <w:highlight w:val="none"/>
        </w:rPr>
        <w:t>电子投标文件未按规定要求提供电子签章的</w:t>
      </w:r>
      <w:r>
        <w:rPr>
          <w:rFonts w:hint="eastAsia" w:asciiTheme="minorEastAsia" w:hAnsiTheme="minorEastAsia" w:eastAsiaTheme="minorEastAsia"/>
          <w:color w:val="auto"/>
          <w:szCs w:val="21"/>
          <w:highlight w:val="none"/>
        </w:rPr>
        <w:t>；</w:t>
      </w:r>
    </w:p>
    <w:p w14:paraId="629224D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在资信商务技术文件中出现报价的；</w:t>
      </w:r>
    </w:p>
    <w:p w14:paraId="513D85A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）资格证明文件不全的，或者不符合招标文件标明的资格要求的</w:t>
      </w:r>
      <w:r>
        <w:rPr>
          <w:rFonts w:hint="eastAsia" w:asciiTheme="minorEastAsia" w:hAnsiTheme="minorEastAsia" w:eastAsiaTheme="minorEastAsia"/>
          <w:color w:val="auto"/>
          <w:szCs w:val="21"/>
          <w:highlight w:val="none"/>
        </w:rPr>
        <w:t>；</w:t>
      </w:r>
    </w:p>
    <w:p w14:paraId="082449B3">
      <w:pPr>
        <w:snapToGrid w:val="0"/>
        <w:spacing w:line="360" w:lineRule="auto"/>
        <w:ind w:right="42" w:rightChars="20" w:firstLine="420" w:firstLineChars="200"/>
        <w:jc w:val="left"/>
        <w:rPr>
          <w:rFonts w:asciiTheme="minorEastAsia" w:hAnsiTheme="minorEastAsia" w:eastAsiaTheme="minorEastAsia"/>
          <w:bCs/>
          <w:color w:val="auto"/>
          <w:kern w:val="0"/>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）投标文件无法定代表人签字</w:t>
      </w:r>
      <w:r>
        <w:rPr>
          <w:rFonts w:hint="eastAsia" w:asciiTheme="minorEastAsia" w:hAnsiTheme="minorEastAsia" w:eastAsiaTheme="minorEastAsia"/>
          <w:color w:val="auto"/>
          <w:szCs w:val="21"/>
          <w:highlight w:val="none"/>
        </w:rPr>
        <w:t>（或盖章）</w:t>
      </w:r>
      <w:r>
        <w:rPr>
          <w:rFonts w:asciiTheme="minorEastAsia" w:hAnsiTheme="minorEastAsia" w:eastAsiaTheme="minorEastAsia"/>
          <w:color w:val="auto"/>
          <w:szCs w:val="21"/>
          <w:highlight w:val="none"/>
        </w:rPr>
        <w:t>,或未</w:t>
      </w:r>
      <w:r>
        <w:rPr>
          <w:rFonts w:hint="eastAsia" w:asciiTheme="minorEastAsia" w:hAnsiTheme="minorEastAsia" w:eastAsiaTheme="minorEastAsia"/>
          <w:bCs/>
          <w:color w:val="auto"/>
          <w:kern w:val="0"/>
          <w:szCs w:val="21"/>
          <w:highlight w:val="none"/>
        </w:rPr>
        <w:t>提供法定代表人授权委托书、投标声明书或者填写项目不齐全的；</w:t>
      </w:r>
    </w:p>
    <w:p w14:paraId="4866192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snapToGrid w:val="0"/>
          <w:color w:val="auto"/>
          <w:szCs w:val="21"/>
          <w:highlight w:val="none"/>
        </w:rPr>
        <w:t>5</w:t>
      </w:r>
      <w:r>
        <w:rPr>
          <w:rFonts w:asciiTheme="minorEastAsia" w:hAnsiTheme="minorEastAsia" w:eastAsiaTheme="minorEastAsia"/>
          <w:snapToGrid w:val="0"/>
          <w:color w:val="auto"/>
          <w:szCs w:val="21"/>
          <w:highlight w:val="none"/>
        </w:rPr>
        <w:t>）</w:t>
      </w:r>
      <w:r>
        <w:rPr>
          <w:rFonts w:asciiTheme="minorEastAsia" w:hAnsiTheme="minorEastAsia" w:eastAsiaTheme="minorEastAsia"/>
          <w:color w:val="auto"/>
          <w:szCs w:val="21"/>
          <w:highlight w:val="none"/>
        </w:rPr>
        <w:t>投标文件格式不规范、项目不齐全或者内容虚假的；</w:t>
      </w:r>
    </w:p>
    <w:p w14:paraId="71CD976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）投标文件的实质性内容未使用中文表述、意思表述不明确、前后矛盾或者使用计量单位不符合招标文件要求的（经评标委员会认定</w:t>
      </w:r>
      <w:r>
        <w:rPr>
          <w:rFonts w:hint="eastAsia" w:asciiTheme="minorEastAsia" w:hAnsiTheme="minorEastAsia" w:eastAsiaTheme="minorEastAsia"/>
          <w:color w:val="auto"/>
          <w:szCs w:val="21"/>
          <w:highlight w:val="none"/>
        </w:rPr>
        <w:t>并</w:t>
      </w:r>
      <w:r>
        <w:rPr>
          <w:rFonts w:asciiTheme="minorEastAsia" w:hAnsiTheme="minorEastAsia" w:eastAsiaTheme="minorEastAsia"/>
          <w:color w:val="auto"/>
          <w:szCs w:val="21"/>
          <w:highlight w:val="none"/>
        </w:rPr>
        <w:t>允许其当场更正的笔误除外）</w:t>
      </w:r>
      <w:r>
        <w:rPr>
          <w:rFonts w:hint="eastAsia" w:asciiTheme="minorEastAsia" w:hAnsiTheme="minorEastAsia" w:eastAsiaTheme="minorEastAsia"/>
          <w:color w:val="auto"/>
          <w:szCs w:val="21"/>
          <w:highlight w:val="none"/>
        </w:rPr>
        <w:t>；</w:t>
      </w:r>
    </w:p>
    <w:p w14:paraId="6848ADAC">
      <w:pPr>
        <w:snapToGrid w:val="0"/>
        <w:spacing w:line="360" w:lineRule="auto"/>
        <w:ind w:right="42" w:rightChars="20" w:firstLine="420" w:firstLineChars="200"/>
        <w:jc w:val="left"/>
        <w:rPr>
          <w:rFonts w:asciiTheme="minorEastAsia" w:hAnsiTheme="minorEastAsia" w:eastAsiaTheme="minorEastAsia"/>
          <w:snapToGrid w:val="0"/>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snapToGrid w:val="0"/>
          <w:color w:val="auto"/>
          <w:szCs w:val="21"/>
          <w:highlight w:val="none"/>
        </w:rPr>
        <w:t>7</w:t>
      </w:r>
      <w:r>
        <w:rPr>
          <w:rFonts w:asciiTheme="minorEastAsia" w:hAnsiTheme="minorEastAsia" w:eastAsiaTheme="minorEastAsia"/>
          <w:snapToGrid w:val="0"/>
          <w:color w:val="auto"/>
          <w:szCs w:val="21"/>
          <w:highlight w:val="none"/>
        </w:rPr>
        <w:t>）投标有效期、交货时间、质保期等商务条款不能满足招标文件要求的；</w:t>
      </w:r>
    </w:p>
    <w:p w14:paraId="14EB483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未实质性</w:t>
      </w:r>
      <w:r>
        <w:rPr>
          <w:rFonts w:asciiTheme="minorEastAsia" w:hAnsiTheme="minorEastAsia" w:eastAsiaTheme="minorEastAsia"/>
          <w:color w:val="auto"/>
          <w:szCs w:val="21"/>
          <w:highlight w:val="none"/>
        </w:rPr>
        <w:t>响应招标文件要求或者投标文件有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r>
        <w:rPr>
          <w:rFonts w:hint="eastAsia" w:asciiTheme="minorEastAsia" w:hAnsiTheme="minorEastAsia" w:eastAsiaTheme="minorEastAsia"/>
          <w:color w:val="auto"/>
          <w:szCs w:val="21"/>
          <w:highlight w:val="none"/>
        </w:rPr>
        <w:t>；</w:t>
      </w:r>
    </w:p>
    <w:p w14:paraId="017DFE4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（9）不符合本招标文件中的实质性要求条款。</w:t>
      </w:r>
    </w:p>
    <w:p w14:paraId="33D80E81">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r>
        <w:rPr>
          <w:rFonts w:asciiTheme="minorEastAsia" w:hAnsiTheme="minorEastAsia" w:eastAsiaTheme="minorEastAsia"/>
          <w:b/>
          <w:bCs/>
          <w:color w:val="auto"/>
          <w:szCs w:val="21"/>
          <w:highlight w:val="none"/>
        </w:rPr>
        <w:t>在技术评审时，如发现下列情形之一的，投标文件将被视为无效：</w:t>
      </w:r>
    </w:p>
    <w:p w14:paraId="0FD35B1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（1）未提供或未如实提供投标货物的技术参数</w:t>
      </w:r>
      <w:r>
        <w:rPr>
          <w:rFonts w:hint="eastAsia" w:asciiTheme="minorEastAsia" w:hAnsiTheme="minorEastAsia" w:eastAsiaTheme="minorEastAsia"/>
          <w:color w:val="auto"/>
          <w:szCs w:val="21"/>
          <w:highlight w:val="none"/>
        </w:rPr>
        <w:t>或服务内容</w:t>
      </w:r>
      <w:r>
        <w:rPr>
          <w:rFonts w:asciiTheme="minorEastAsia" w:hAnsiTheme="minorEastAsia" w:eastAsiaTheme="minorEastAsia"/>
          <w:color w:val="auto"/>
          <w:szCs w:val="21"/>
          <w:highlight w:val="none"/>
        </w:rPr>
        <w:t>，或者投标文件标明的响应或偏离与事实不符或虚假投标的；</w:t>
      </w:r>
    </w:p>
    <w:p w14:paraId="695A110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asciiTheme="minorEastAsia" w:hAnsiTheme="minorEastAsia" w:eastAsiaTheme="minorEastAsia"/>
          <w:snapToGrid w:val="0"/>
          <w:color w:val="auto"/>
          <w:szCs w:val="21"/>
          <w:highlight w:val="none"/>
        </w:rPr>
        <w:t>明显不符合招标文件</w:t>
      </w:r>
      <w:r>
        <w:rPr>
          <w:rFonts w:hint="eastAsia" w:asciiTheme="minorEastAsia" w:hAnsiTheme="minorEastAsia" w:eastAsiaTheme="minorEastAsia"/>
          <w:snapToGrid w:val="0"/>
          <w:color w:val="auto"/>
          <w:szCs w:val="21"/>
          <w:highlight w:val="none"/>
        </w:rPr>
        <w:t>要求</w:t>
      </w:r>
      <w:r>
        <w:rPr>
          <w:rFonts w:asciiTheme="minorEastAsia" w:hAnsiTheme="minorEastAsia" w:eastAsiaTheme="minorEastAsia"/>
          <w:snapToGrid w:val="0"/>
          <w:color w:val="auto"/>
          <w:szCs w:val="21"/>
          <w:highlight w:val="none"/>
        </w:rPr>
        <w:t>的规格型号、质量标准，或者</w:t>
      </w:r>
      <w:r>
        <w:rPr>
          <w:rFonts w:hint="eastAsia" w:asciiTheme="minorEastAsia" w:hAnsiTheme="minorEastAsia" w:eastAsiaTheme="minorEastAsia"/>
          <w:snapToGrid w:val="0"/>
          <w:color w:val="auto"/>
          <w:szCs w:val="21"/>
          <w:highlight w:val="none"/>
        </w:rPr>
        <w:t>与</w:t>
      </w:r>
      <w:r>
        <w:rPr>
          <w:rFonts w:asciiTheme="minorEastAsia" w:hAnsiTheme="minorEastAsia" w:eastAsiaTheme="minorEastAsia"/>
          <w:color w:val="auto"/>
          <w:szCs w:val="21"/>
          <w:highlight w:val="none"/>
        </w:rPr>
        <w:t>招标文件中标“▲”的技术指标、主要功能项目发生实质性偏离的；</w:t>
      </w:r>
    </w:p>
    <w:p w14:paraId="7E034487">
      <w:pPr>
        <w:snapToGrid w:val="0"/>
        <w:spacing w:line="360" w:lineRule="auto"/>
        <w:ind w:right="42" w:rightChars="20" w:firstLine="420" w:firstLineChars="200"/>
        <w:jc w:val="left"/>
        <w:rPr>
          <w:rFonts w:cs="Times New Roman" w:asciiTheme="minorEastAsia" w:hAnsiTheme="minorEastAsia" w:eastAsiaTheme="minorEastAsia"/>
          <w:color w:val="auto"/>
          <w:szCs w:val="21"/>
          <w:highlight w:val="none"/>
        </w:rPr>
      </w:pPr>
      <w:r>
        <w:rPr>
          <w:rFonts w:cs="Times New Roman" w:asciiTheme="minorEastAsia" w:hAnsiTheme="minorEastAsia" w:eastAsiaTheme="minorEastAsia"/>
          <w:color w:val="auto"/>
          <w:szCs w:val="21"/>
          <w:highlight w:val="none"/>
        </w:rPr>
        <w:t>（</w:t>
      </w:r>
      <w:r>
        <w:rPr>
          <w:rFonts w:hint="eastAsia" w:cs="Times New Roman" w:asciiTheme="minorEastAsia" w:hAnsiTheme="minorEastAsia" w:eastAsiaTheme="minorEastAsia"/>
          <w:color w:val="auto"/>
          <w:szCs w:val="21"/>
          <w:highlight w:val="none"/>
        </w:rPr>
        <w:t>3</w:t>
      </w:r>
      <w:r>
        <w:rPr>
          <w:rFonts w:cs="Times New Roman" w:asciiTheme="minorEastAsia" w:hAnsiTheme="minorEastAsia" w:eastAsiaTheme="minorEastAsia"/>
          <w:color w:val="auto"/>
          <w:szCs w:val="21"/>
          <w:highlight w:val="none"/>
        </w:rPr>
        <w:t>）投标技术方案不明确，存在一个或一个以上备选（替代）投标方案的；</w:t>
      </w:r>
    </w:p>
    <w:p w14:paraId="464F9742">
      <w:pPr>
        <w:snapToGrid w:val="0"/>
        <w:spacing w:line="360" w:lineRule="auto"/>
        <w:ind w:right="42" w:rightChars="20" w:firstLine="420" w:firstLineChars="200"/>
        <w:jc w:val="left"/>
        <w:rPr>
          <w:rFonts w:hint="eastAsia" w:cs="Times New Roman" w:asciiTheme="minorEastAsia" w:hAnsiTheme="minorEastAsia" w:eastAsiaTheme="minorEastAsia"/>
          <w:color w:val="auto"/>
          <w:szCs w:val="21"/>
          <w:highlight w:val="none"/>
          <w:lang w:val="en-US" w:eastAsia="zh-CN"/>
        </w:rPr>
      </w:pPr>
      <w:r>
        <w:rPr>
          <w:rFonts w:hint="eastAsia" w:cs="Times New Roman" w:asciiTheme="minorEastAsia" w:hAnsiTheme="minorEastAsia" w:eastAsiaTheme="minorEastAsia"/>
          <w:color w:val="auto"/>
          <w:szCs w:val="21"/>
          <w:highlight w:val="none"/>
          <w:lang w:eastAsia="zh-CN"/>
        </w:rPr>
        <w:t>（</w:t>
      </w:r>
      <w:r>
        <w:rPr>
          <w:rFonts w:hint="eastAsia" w:cs="Times New Roman" w:asciiTheme="minorEastAsia" w:hAnsiTheme="minorEastAsia" w:eastAsiaTheme="minorEastAsia"/>
          <w:color w:val="auto"/>
          <w:szCs w:val="21"/>
          <w:highlight w:val="none"/>
          <w:lang w:val="en-US" w:eastAsia="zh-CN"/>
        </w:rPr>
        <w:t>4</w:t>
      </w:r>
      <w:r>
        <w:rPr>
          <w:rFonts w:hint="eastAsia" w:cs="Times New Roman" w:asciiTheme="minorEastAsia" w:hAnsiTheme="minorEastAsia" w:eastAsiaTheme="minorEastAsia"/>
          <w:color w:val="auto"/>
          <w:szCs w:val="21"/>
          <w:highlight w:val="none"/>
          <w:lang w:eastAsia="zh-CN"/>
        </w:rPr>
        <w:t>）</w:t>
      </w:r>
      <w:r>
        <w:rPr>
          <w:rFonts w:hint="eastAsia" w:cs="Times New Roman" w:asciiTheme="minorEastAsia" w:hAnsiTheme="minorEastAsia" w:eastAsiaTheme="minorEastAsia"/>
          <w:color w:val="auto"/>
          <w:szCs w:val="21"/>
          <w:highlight w:val="none"/>
          <w:lang w:val="en-US" w:eastAsia="zh-CN"/>
        </w:rPr>
        <w:t>除政府采购法律法规规章规定的属于恶意串通、视为串通投标情形外，在不影响公平竞争的前提下，存在下列情形之一的，其投标文件无效：(1）不同供应商的电子投标文件上传计算机的网卡 MAC 地址、 CPU 序列号和硬盘序列号等硬件信息相同的；(2）上传的电子投标文件若出现使用本项目其他投标供应商的数字证书加息密的，或者加盖本项目其他投标供应商的电子印章的；(3）不同供应商的投标文件的内容存在三处（含）以上错误一致，且无法合理解释的；(4）不同供应商联系人为同一人或不同联系人的联系电话一致，且无法合理解释的。在评审过程中，发现供应商有采购文件约定的上述情形的，评审小组应当根据采购文件认定其投标无效，评审报告应详细记录相关情况，评审结束后由采购代理机构或采购人书面报告本级财政部门。</w:t>
      </w:r>
    </w:p>
    <w:p w14:paraId="0EA9609A">
      <w:pPr>
        <w:pStyle w:val="18"/>
        <w:snapToGrid w:val="0"/>
        <w:spacing w:line="360" w:lineRule="auto"/>
        <w:ind w:right="42" w:rightChars="20" w:firstLine="406" w:firstLineChars="200"/>
        <w:jc w:val="left"/>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4、</w:t>
      </w:r>
      <w:r>
        <w:rPr>
          <w:rFonts w:asciiTheme="minorEastAsia" w:hAnsiTheme="minorEastAsia" w:eastAsiaTheme="minorEastAsia"/>
          <w:b/>
          <w:bCs/>
          <w:color w:val="auto"/>
          <w:sz w:val="21"/>
          <w:szCs w:val="21"/>
          <w:highlight w:val="none"/>
        </w:rPr>
        <w:t>在报价评审时，如发现下列情形之一的，投标文件将被视为无效：</w:t>
      </w:r>
    </w:p>
    <w:p w14:paraId="749772E8">
      <w:pPr>
        <w:pStyle w:val="18"/>
        <w:snapToGrid w:val="0"/>
        <w:spacing w:line="360" w:lineRule="auto"/>
        <w:ind w:right="42" w:rightChars="20" w:firstLine="404"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电子投标文件未按规定要求提供电子签章的</w:t>
      </w:r>
    </w:p>
    <w:p w14:paraId="52CB5F31">
      <w:pPr>
        <w:pStyle w:val="18"/>
        <w:snapToGrid w:val="0"/>
        <w:spacing w:line="360" w:lineRule="auto"/>
        <w:ind w:right="42" w:rightChars="20" w:firstLine="404"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（2）未采用人民币报价或者未按照招标文件标明的币种报价的；</w:t>
      </w:r>
    </w:p>
    <w:p w14:paraId="485E0442">
      <w:pPr>
        <w:pStyle w:val="18"/>
        <w:snapToGrid w:val="0"/>
        <w:spacing w:line="360" w:lineRule="auto"/>
        <w:ind w:right="42" w:rightChars="20" w:firstLine="404"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）报价</w:t>
      </w:r>
      <w:r>
        <w:rPr>
          <w:rFonts w:hint="eastAsia" w:asciiTheme="minorEastAsia" w:hAnsiTheme="minorEastAsia" w:eastAsiaTheme="minorEastAsia"/>
          <w:color w:val="auto"/>
          <w:sz w:val="21"/>
          <w:szCs w:val="21"/>
          <w:highlight w:val="none"/>
        </w:rPr>
        <w:t>（单价或总价）</w:t>
      </w:r>
      <w:r>
        <w:rPr>
          <w:rFonts w:asciiTheme="minorEastAsia" w:hAnsiTheme="minorEastAsia" w:eastAsiaTheme="minorEastAsia"/>
          <w:color w:val="auto"/>
          <w:sz w:val="21"/>
          <w:szCs w:val="21"/>
          <w:highlight w:val="none"/>
        </w:rPr>
        <w:t>超出最高限价</w:t>
      </w:r>
      <w:r>
        <w:rPr>
          <w:rFonts w:hint="eastAsia" w:asciiTheme="minorEastAsia" w:hAnsiTheme="minorEastAsia" w:eastAsiaTheme="minorEastAsia"/>
          <w:color w:val="auto"/>
          <w:sz w:val="21"/>
          <w:szCs w:val="21"/>
          <w:highlight w:val="none"/>
        </w:rPr>
        <w:t>；</w:t>
      </w:r>
    </w:p>
    <w:p w14:paraId="4F9CDD82">
      <w:pPr>
        <w:pStyle w:val="18"/>
        <w:snapToGrid w:val="0"/>
        <w:spacing w:line="360" w:lineRule="auto"/>
        <w:ind w:right="42" w:rightChars="20" w:firstLine="404"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（4）投标报价具有选择性，或者开标价格与投标文件承诺的优惠（折扣）价格不一致的。                                                                                            </w:t>
      </w:r>
    </w:p>
    <w:p w14:paraId="7D955589">
      <w:pPr>
        <w:pStyle w:val="18"/>
        <w:snapToGrid w:val="0"/>
        <w:spacing w:line="360" w:lineRule="auto"/>
        <w:ind w:right="42" w:rightChars="20" w:firstLine="406" w:firstLineChars="200"/>
        <w:jc w:val="left"/>
        <w:rPr>
          <w:rFonts w:asciiTheme="minorEastAsia" w:hAnsiTheme="minorEastAsia" w:eastAsiaTheme="minorEastAsia"/>
          <w:b/>
          <w:snapToGrid w:val="0"/>
          <w:color w:val="auto"/>
          <w:sz w:val="21"/>
          <w:szCs w:val="21"/>
          <w:highlight w:val="none"/>
        </w:rPr>
      </w:pPr>
      <w:r>
        <w:rPr>
          <w:rFonts w:hint="eastAsia" w:asciiTheme="minorEastAsia" w:hAnsiTheme="minorEastAsia" w:eastAsiaTheme="minorEastAsia"/>
          <w:b/>
          <w:color w:val="auto"/>
          <w:sz w:val="21"/>
          <w:szCs w:val="21"/>
          <w:highlight w:val="none"/>
        </w:rPr>
        <w:t>5、</w:t>
      </w:r>
      <w:r>
        <w:rPr>
          <w:rFonts w:asciiTheme="minorEastAsia" w:hAnsiTheme="minorEastAsia" w:eastAsiaTheme="minorEastAsia"/>
          <w:b/>
          <w:color w:val="auto"/>
          <w:sz w:val="21"/>
          <w:szCs w:val="21"/>
          <w:highlight w:val="none"/>
        </w:rPr>
        <w:t>被拒绝的投标文件为无效。</w:t>
      </w:r>
    </w:p>
    <w:p w14:paraId="69B86117">
      <w:pPr>
        <w:pStyle w:val="18"/>
        <w:snapToGrid w:val="0"/>
        <w:spacing w:line="360" w:lineRule="auto"/>
        <w:ind w:right="42" w:rightChars="20" w:firstLine="406" w:firstLineChars="200"/>
        <w:jc w:val="left"/>
        <w:outlineLvl w:val="1"/>
        <w:rPr>
          <w:rFonts w:asciiTheme="minorEastAsia" w:hAnsiTheme="minorEastAsia" w:eastAsiaTheme="minorEastAsia"/>
          <w:b/>
          <w:snapToGrid w:val="0"/>
          <w:color w:val="auto"/>
          <w:sz w:val="21"/>
          <w:szCs w:val="21"/>
          <w:highlight w:val="none"/>
        </w:rPr>
      </w:pPr>
      <w:bookmarkStart w:id="267" w:name="_Toc33535369"/>
      <w:bookmarkStart w:id="268" w:name="_Toc9286"/>
      <w:bookmarkStart w:id="269" w:name="_Toc50012885"/>
      <w:r>
        <w:rPr>
          <w:rFonts w:hint="eastAsia" w:asciiTheme="minorEastAsia" w:hAnsiTheme="minorEastAsia" w:eastAsiaTheme="minorEastAsia"/>
          <w:b/>
          <w:color w:val="auto"/>
          <w:sz w:val="21"/>
          <w:szCs w:val="21"/>
          <w:highlight w:val="none"/>
        </w:rPr>
        <w:t>四、开标</w:t>
      </w:r>
      <w:bookmarkEnd w:id="267"/>
      <w:bookmarkEnd w:id="268"/>
      <w:bookmarkEnd w:id="269"/>
    </w:p>
    <w:p w14:paraId="2ADA2A96">
      <w:pPr>
        <w:pStyle w:val="30"/>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（一）开标准备</w:t>
      </w:r>
    </w:p>
    <w:p w14:paraId="38F560FE">
      <w:pPr>
        <w:pStyle w:val="30"/>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1、开标的准备工作由采购组织机构负责落实；</w:t>
      </w:r>
    </w:p>
    <w:p w14:paraId="6209A603">
      <w:pPr>
        <w:pStyle w:val="30"/>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6D59A25">
      <w:pPr>
        <w:pStyle w:val="30"/>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(二 ) 采购人或者采购代理机构职责</w:t>
      </w:r>
    </w:p>
    <w:p w14:paraId="6920A982">
      <w:pPr>
        <w:pStyle w:val="30"/>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采购人或者采购代理机构负责组织评标工作，并履行下列职责：</w:t>
      </w:r>
    </w:p>
    <w:p w14:paraId="46413D4C">
      <w:pPr>
        <w:pStyle w:val="30"/>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1、核对评审专家身份和采购人代表授权函，对评审专家在政府采购活动中的职责履行情况予以记录，并及时将有关违法违规行为向财政部门报告;</w:t>
      </w:r>
    </w:p>
    <w:p w14:paraId="3EA7D61E">
      <w:pPr>
        <w:pStyle w:val="30"/>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2、宣布评标纪律;</w:t>
      </w:r>
    </w:p>
    <w:p w14:paraId="5B8B764F">
      <w:pPr>
        <w:pStyle w:val="30"/>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3、公布投标人名单，告知评审专家应当回避的情形;</w:t>
      </w:r>
    </w:p>
    <w:p w14:paraId="1D071617">
      <w:pPr>
        <w:pStyle w:val="30"/>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4、组织评标委员会推选评标组长，采购人代表不得担任组长;</w:t>
      </w:r>
    </w:p>
    <w:p w14:paraId="1D81F604">
      <w:pPr>
        <w:pStyle w:val="30"/>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5、在评标期间采取必要的通讯管理措施，保证评标活动不受外界干扰;</w:t>
      </w:r>
    </w:p>
    <w:p w14:paraId="644041A1">
      <w:pPr>
        <w:pStyle w:val="30"/>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6、根据评标委员会的要求介绍政府采购相关政策法规、招标文件;</w:t>
      </w:r>
    </w:p>
    <w:p w14:paraId="07A686F4">
      <w:pPr>
        <w:pStyle w:val="30"/>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7、维护评标秩序，监督评标委员会依照招标文件规定的评标程序、方法和标准进行独立评审，及时制止和纠正采购人代表、评审专家的倾向性言论或者违法违规行为;</w:t>
      </w:r>
    </w:p>
    <w:p w14:paraId="66A1EA93">
      <w:pPr>
        <w:pStyle w:val="30"/>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7C2A2B83">
      <w:pPr>
        <w:pStyle w:val="30"/>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9、评审工作完成后，按照规定向评审专家支付劳务报酬和异地评审差旅费，不得向评审专家以外的其他人员支付评审劳务报酬;</w:t>
      </w:r>
    </w:p>
    <w:p w14:paraId="357438CF">
      <w:pPr>
        <w:pStyle w:val="30"/>
        <w:snapToGrid w:val="0"/>
        <w:spacing w:line="360" w:lineRule="auto"/>
        <w:ind w:right="42" w:rightChars="20" w:firstLine="404" w:firstLineChars="200"/>
        <w:jc w:val="left"/>
        <w:rPr>
          <w:rFonts w:asciiTheme="minorEastAsia" w:hAnsiTheme="minorEastAsia" w:eastAsiaTheme="minorEastAsia"/>
          <w:color w:val="auto"/>
          <w:spacing w:val="-4"/>
          <w:szCs w:val="21"/>
          <w:highlight w:val="none"/>
        </w:rPr>
      </w:pPr>
      <w:r>
        <w:rPr>
          <w:rFonts w:hint="eastAsia" w:asciiTheme="minorEastAsia" w:hAnsiTheme="minorEastAsia" w:eastAsiaTheme="minorEastAsia"/>
          <w:color w:val="auto"/>
          <w:spacing w:val="-4"/>
          <w:szCs w:val="21"/>
          <w:highlight w:val="none"/>
        </w:rPr>
        <w:t>10、处理与评标有关的其他事项。</w:t>
      </w:r>
    </w:p>
    <w:p w14:paraId="57423DC1">
      <w:pPr>
        <w:pStyle w:val="30"/>
        <w:snapToGrid w:val="0"/>
        <w:spacing w:line="360" w:lineRule="auto"/>
        <w:ind w:right="42" w:rightChars="20" w:firstLine="406" w:firstLineChars="200"/>
        <w:jc w:val="left"/>
        <w:rPr>
          <w:rFonts w:asciiTheme="minorEastAsia" w:hAnsiTheme="minorEastAsia" w:eastAsiaTheme="minorEastAsia"/>
          <w:b/>
          <w:color w:val="auto"/>
          <w:spacing w:val="-4"/>
          <w:szCs w:val="21"/>
          <w:highlight w:val="none"/>
        </w:rPr>
      </w:pPr>
      <w:r>
        <w:rPr>
          <w:rFonts w:asciiTheme="minorEastAsia" w:hAnsiTheme="minorEastAsia" w:eastAsiaTheme="minorEastAsia"/>
          <w:b/>
          <w:color w:val="auto"/>
          <w:spacing w:val="-4"/>
          <w:szCs w:val="21"/>
          <w:highlight w:val="none"/>
        </w:rPr>
        <w:t>（</w:t>
      </w:r>
      <w:r>
        <w:rPr>
          <w:rFonts w:hint="eastAsia" w:asciiTheme="minorEastAsia" w:hAnsiTheme="minorEastAsia" w:eastAsiaTheme="minorEastAsia"/>
          <w:b/>
          <w:color w:val="auto"/>
          <w:spacing w:val="-4"/>
          <w:szCs w:val="21"/>
          <w:highlight w:val="none"/>
        </w:rPr>
        <w:t>三</w:t>
      </w:r>
      <w:r>
        <w:rPr>
          <w:rFonts w:asciiTheme="minorEastAsia" w:hAnsiTheme="minorEastAsia" w:eastAsiaTheme="minorEastAsia"/>
          <w:b/>
          <w:color w:val="auto"/>
          <w:spacing w:val="-4"/>
          <w:szCs w:val="21"/>
          <w:highlight w:val="none"/>
        </w:rPr>
        <w:t>）</w:t>
      </w:r>
      <w:r>
        <w:rPr>
          <w:rFonts w:hint="eastAsia" w:asciiTheme="minorEastAsia" w:hAnsiTheme="minorEastAsia" w:eastAsiaTheme="minorEastAsia"/>
          <w:b/>
          <w:color w:val="auto"/>
          <w:spacing w:val="-4"/>
          <w:szCs w:val="21"/>
          <w:highlight w:val="none"/>
        </w:rPr>
        <w:t>开标流程（两阶段）</w:t>
      </w:r>
    </w:p>
    <w:p w14:paraId="76BA4F6E">
      <w:pPr>
        <w:pStyle w:val="18"/>
        <w:snapToGrid w:val="0"/>
        <w:spacing w:line="360" w:lineRule="auto"/>
        <w:ind w:right="42" w:rightChars="20" w:firstLine="406" w:firstLineChars="20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1、开标第一阶段</w:t>
      </w:r>
    </w:p>
    <w:p w14:paraId="3FB67F9E">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30BEDFE">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（2）投标文件解密，解密成功后，招标代理将与投标人建立钉钉联系请各投标单位在投标截止时间前注册完成钉钉联系方式，</w:t>
      </w:r>
      <w:r>
        <w:rPr>
          <w:rFonts w:hint="eastAsia" w:cs="宋体" w:asciiTheme="minorEastAsia" w:hAnsiTheme="minorEastAsia" w:eastAsiaTheme="minorEastAsia"/>
          <w:b/>
          <w:bCs/>
          <w:color w:val="auto"/>
          <w:kern w:val="0"/>
          <w:szCs w:val="21"/>
          <w:highlight w:val="none"/>
        </w:rPr>
        <w:t>各供应商将政府采购活动现场确认声明书传给代理公司</w:t>
      </w:r>
      <w:r>
        <w:rPr>
          <w:rFonts w:hint="eastAsia" w:cs="宋体" w:asciiTheme="minorEastAsia" w:hAnsiTheme="minorEastAsia" w:eastAsiaTheme="minorEastAsia"/>
          <w:color w:val="auto"/>
          <w:kern w:val="0"/>
          <w:szCs w:val="21"/>
          <w:highlight w:val="none"/>
        </w:rPr>
        <w:t>；（评审时如需要建立钉钉联系方式则建立）</w:t>
      </w:r>
    </w:p>
    <w:p w14:paraId="57303506">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（3）开启投标文件，进入资格审查；</w:t>
      </w:r>
    </w:p>
    <w:p w14:paraId="6DCDBCB6">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（4）开启资格审查通过的投标人的商务技术文件进入符合性审查、商务技术评审；</w:t>
      </w:r>
    </w:p>
    <w:p w14:paraId="3769EAD2">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（5）第一阶段开标结束。</w:t>
      </w:r>
    </w:p>
    <w:p w14:paraId="39B7A035">
      <w:pPr>
        <w:spacing w:line="360" w:lineRule="auto"/>
        <w:ind w:right="42" w:rightChars="20" w:firstLine="406" w:firstLineChars="200"/>
        <w:jc w:val="left"/>
        <w:rPr>
          <w:rFonts w:asciiTheme="minorEastAsia" w:hAnsiTheme="minorEastAsia" w:eastAsiaTheme="minorEastAsia"/>
          <w:b/>
          <w:color w:val="auto"/>
          <w:spacing w:val="-4"/>
          <w:szCs w:val="21"/>
          <w:highlight w:val="none"/>
        </w:rPr>
      </w:pPr>
      <w:r>
        <w:rPr>
          <w:rFonts w:hint="eastAsia" w:asciiTheme="minorEastAsia" w:hAnsiTheme="minorEastAsia" w:eastAsiaTheme="minorEastAsia"/>
          <w:b/>
          <w:color w:val="auto"/>
          <w:spacing w:val="-4"/>
          <w:szCs w:val="21"/>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14:paraId="1C701C37">
      <w:pPr>
        <w:spacing w:line="360" w:lineRule="auto"/>
        <w:ind w:right="42" w:rightChars="20" w:firstLine="406" w:firstLineChars="200"/>
        <w:jc w:val="left"/>
        <w:rPr>
          <w:rFonts w:asciiTheme="minorEastAsia" w:hAnsiTheme="minorEastAsia" w:eastAsiaTheme="minorEastAsia"/>
          <w:b/>
          <w:color w:val="auto"/>
          <w:spacing w:val="-4"/>
          <w:szCs w:val="21"/>
          <w:highlight w:val="none"/>
        </w:rPr>
      </w:pPr>
      <w:r>
        <w:rPr>
          <w:rFonts w:hint="eastAsia" w:asciiTheme="minorEastAsia" w:hAnsiTheme="minorEastAsia" w:eastAsiaTheme="minorEastAsia"/>
          <w:b/>
          <w:color w:val="auto"/>
          <w:spacing w:val="-4"/>
          <w:szCs w:val="21"/>
          <w:highlight w:val="none"/>
        </w:rPr>
        <w:t>2、开标大会第二阶段</w:t>
      </w:r>
    </w:p>
    <w:p w14:paraId="79E6351D">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（1）符合性审查、商务技术评审结束后，举行开标大会第二阶段会议。</w:t>
      </w:r>
    </w:p>
    <w:p w14:paraId="42AE9F8C">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14:paraId="54C95702">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（3）评审结束后，通过政采云方式公布中标（成交）候选供应商名单，及采购人最终确定中标或中标人名单的时间和公告方式等。</w:t>
      </w:r>
    </w:p>
    <w:p w14:paraId="12E9D8F5">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特别说明：如遇“政府采购云平台”电子化开标或评审程序调整的，按调整后程序执行。</w:t>
      </w:r>
    </w:p>
    <w:p w14:paraId="200F0CDC">
      <w:pPr>
        <w:spacing w:line="360" w:lineRule="auto"/>
        <w:ind w:right="42" w:rightChars="20" w:firstLine="422" w:firstLineChars="200"/>
        <w:jc w:val="left"/>
        <w:rPr>
          <w:rFonts w:asciiTheme="minorEastAsia" w:hAnsiTheme="minorEastAsia" w:eastAsiaTheme="minorEastAsia"/>
          <w:b/>
          <w:color w:val="auto"/>
          <w:szCs w:val="21"/>
          <w:highlight w:val="none"/>
        </w:rPr>
      </w:pPr>
      <w:bookmarkStart w:id="270" w:name="_Toc24550037"/>
      <w:bookmarkStart w:id="271" w:name="_Toc33194393"/>
      <w:r>
        <w:rPr>
          <w:rFonts w:hint="eastAsia" w:asciiTheme="minorEastAsia" w:hAnsiTheme="minorEastAsia" w:eastAsiaTheme="minorEastAsia"/>
          <w:b/>
          <w:color w:val="auto"/>
          <w:szCs w:val="21"/>
          <w:highlight w:val="none"/>
        </w:rPr>
        <w:t>（四）投标人资格审查</w:t>
      </w:r>
      <w:bookmarkEnd w:id="270"/>
      <w:bookmarkEnd w:id="271"/>
    </w:p>
    <w:p w14:paraId="4A936341">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开标大会第一阶段结束后，采购人或采购代理机构首先依法对各投标人的资格进行审查，审查各投标人的资格是否满足招标文件的要求。采购人或采购代理机构对投标人所提交的资格证明材料仅负审核的责任。如发现投标人所提交的资格证明材料不合法或与事实不符，采购人可取消其中标资格并追究投标人的法律责任。</w:t>
      </w:r>
    </w:p>
    <w:p w14:paraId="0894D679">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14:paraId="12235C31">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3、单位负责人为同一人或者存在直接控股、管理关系的不同投标人参加同一合同项下的政府采购活动的，相关投标人均作资格无效处理。</w:t>
      </w:r>
    </w:p>
    <w:p w14:paraId="73BB976B">
      <w:pPr>
        <w:pStyle w:val="30"/>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272" w:name="_Toc50012886"/>
      <w:bookmarkStart w:id="273" w:name="_Toc33535370"/>
      <w:bookmarkStart w:id="274" w:name="_Toc3032"/>
      <w:r>
        <w:rPr>
          <w:rFonts w:hint="eastAsia" w:asciiTheme="minorEastAsia" w:hAnsiTheme="minorEastAsia" w:eastAsiaTheme="minorEastAsia"/>
          <w:b/>
          <w:color w:val="auto"/>
          <w:szCs w:val="21"/>
          <w:highlight w:val="none"/>
        </w:rPr>
        <w:t>五、评标</w:t>
      </w:r>
      <w:bookmarkEnd w:id="272"/>
      <w:bookmarkEnd w:id="273"/>
      <w:bookmarkEnd w:id="274"/>
    </w:p>
    <w:p w14:paraId="39F6FBDC">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（一）组建评标委员会</w:t>
      </w:r>
    </w:p>
    <w:p w14:paraId="25A818C3">
      <w:pPr>
        <w:pStyle w:val="30"/>
        <w:snapToGrid w:val="0"/>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评标委员会由采购人代表和评审专家组成，</w:t>
      </w:r>
      <w:r>
        <w:rPr>
          <w:rFonts w:asciiTheme="minorEastAsia" w:hAnsiTheme="minorEastAsia" w:eastAsiaTheme="minorEastAsia"/>
          <w:color w:val="auto"/>
          <w:szCs w:val="21"/>
          <w:highlight w:val="none"/>
        </w:rPr>
        <w:t>政府采购评审专家</w:t>
      </w:r>
      <w:r>
        <w:rPr>
          <w:rFonts w:hint="eastAsia" w:asciiTheme="minorEastAsia" w:hAnsiTheme="minorEastAsia" w:eastAsiaTheme="minorEastAsia"/>
          <w:color w:val="auto"/>
          <w:szCs w:val="21"/>
          <w:highlight w:val="none"/>
          <w:u w:val="single"/>
        </w:rPr>
        <w:t>5</w:t>
      </w:r>
      <w:r>
        <w:rPr>
          <w:rFonts w:asciiTheme="minorEastAsia" w:hAnsiTheme="minorEastAsia" w:eastAsiaTheme="minorEastAsia"/>
          <w:color w:val="auto"/>
          <w:szCs w:val="21"/>
          <w:highlight w:val="none"/>
        </w:rPr>
        <w:t>人组成。</w:t>
      </w:r>
    </w:p>
    <w:p w14:paraId="48D9C41B">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评标委员会负责具体评标事务，并独立履行下列职责：</w:t>
      </w:r>
    </w:p>
    <w:p w14:paraId="43B5A3A9">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1、审查、评价投标文件是否符合招标文件的商务、技术等实质性要求;</w:t>
      </w:r>
    </w:p>
    <w:p w14:paraId="7BF840CB">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2、要求投标人对投标文件有关事项作出澄清或者说明;</w:t>
      </w:r>
    </w:p>
    <w:p w14:paraId="02A044D1">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3、对投标文件进行比较和评价;</w:t>
      </w:r>
    </w:p>
    <w:p w14:paraId="2C7F2214">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4、确定中标候选人名单，以及根据采购人委托直接确定中标人;</w:t>
      </w:r>
    </w:p>
    <w:p w14:paraId="79A2B5AE">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5、向采购人、采购代理机构或者有关部门报告评标中发现的违法行为。</w:t>
      </w:r>
    </w:p>
    <w:p w14:paraId="168BB6A4">
      <w:pPr>
        <w:widowControl/>
        <w:shd w:val="clear" w:color="auto" w:fill="FFFFFF"/>
        <w:spacing w:line="360" w:lineRule="auto"/>
        <w:ind w:right="42" w:rightChars="20" w:firstLine="422" w:firstLineChars="200"/>
        <w:jc w:val="left"/>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除采购人代表、评标现场组织人员外，采购人的其他工作人员以及与评标工作无关的人员不得进入评标现场。</w:t>
      </w:r>
    </w:p>
    <w:p w14:paraId="64134939">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（二）评标的方式</w:t>
      </w:r>
    </w:p>
    <w:p w14:paraId="59F03B94">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本项目采用不公开方式评标，评标的依据为招标文件和投标文件。</w:t>
      </w:r>
    </w:p>
    <w:p w14:paraId="5FDE2F5D">
      <w:pPr>
        <w:pStyle w:val="30"/>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color w:val="auto"/>
          <w:szCs w:val="21"/>
          <w:highlight w:val="none"/>
        </w:rPr>
        <w:t>（三）</w:t>
      </w:r>
      <w:r>
        <w:rPr>
          <w:rFonts w:asciiTheme="minorEastAsia" w:hAnsiTheme="minorEastAsia" w:eastAsiaTheme="minorEastAsia"/>
          <w:b/>
          <w:bCs/>
          <w:color w:val="auto"/>
          <w:szCs w:val="21"/>
          <w:highlight w:val="none"/>
        </w:rPr>
        <w:t>评标程序</w:t>
      </w:r>
    </w:p>
    <w:p w14:paraId="4793A42C">
      <w:pPr>
        <w:pStyle w:val="30"/>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采购人可以在评标前说明项目背景和采购需求，说明内容不得含有歧视性、倾向性意见，不得超出招标文件所述范围。说明应当提交书面材料，并随采购文件一并存档。</w:t>
      </w:r>
    </w:p>
    <w:p w14:paraId="40D484D3">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1</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形式审查</w:t>
      </w:r>
    </w:p>
    <w:p w14:paraId="14689E1F">
      <w:pPr>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形式审查</w:t>
      </w:r>
      <w:r>
        <w:rPr>
          <w:rFonts w:hint="eastAsia" w:asciiTheme="minorEastAsia" w:hAnsiTheme="minorEastAsia" w:eastAsiaTheme="minorEastAsia"/>
          <w:bCs/>
          <w:color w:val="auto"/>
          <w:szCs w:val="21"/>
          <w:highlight w:val="none"/>
        </w:rPr>
        <w:t>包括资格审查（除符合性审查以外的关于投标人资格条件等内容）和符合性审查，即对投标人的资格</w:t>
      </w:r>
      <w:r>
        <w:rPr>
          <w:rFonts w:asciiTheme="minorEastAsia" w:hAnsiTheme="minorEastAsia" w:eastAsiaTheme="minorEastAsia"/>
          <w:bCs/>
          <w:color w:val="auto"/>
          <w:szCs w:val="21"/>
          <w:highlight w:val="none"/>
        </w:rPr>
        <w:t>和投标文件的完整性、合法性等进行审查。</w:t>
      </w:r>
      <w:r>
        <w:rPr>
          <w:rFonts w:hint="eastAsia" w:asciiTheme="minorEastAsia" w:hAnsiTheme="minorEastAsia" w:eastAsiaTheme="minorEastAsia"/>
          <w:bCs/>
          <w:color w:val="auto"/>
          <w:szCs w:val="21"/>
          <w:highlight w:val="none"/>
        </w:rPr>
        <w:t>投标文件形式审查未通过的投标人，其投标文件将不再评审。</w:t>
      </w:r>
    </w:p>
    <w:p w14:paraId="55377B70">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2</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实质审查与比较</w:t>
      </w:r>
    </w:p>
    <w:p w14:paraId="46DF7CD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1）评标委员会审查投标文件的实质性内容是否符合招标文件的实质性要求。</w:t>
      </w:r>
    </w:p>
    <w:p w14:paraId="58C882B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2）评标委员会将根据投标人的投标文件进行审查、核对,如有疑问,将对投标人进行询标,投标人要向评标委员会澄清有关问题,并最终以书面形式进行答复。</w:t>
      </w:r>
    </w:p>
    <w:p w14:paraId="4B88768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询标</w:t>
      </w:r>
      <w:r>
        <w:rPr>
          <w:rFonts w:hint="eastAsia" w:asciiTheme="minorEastAsia" w:hAnsiTheme="minorEastAsia" w:eastAsiaTheme="minorEastAsia"/>
          <w:color w:val="auto"/>
          <w:szCs w:val="21"/>
          <w:highlight w:val="none"/>
        </w:rPr>
        <w:t>时，投标人代表未到场或者拒绝澄清或者澄清的内容改变了投标文件的实质性内容的，评标委员会有权对该投标文件作出不利于投标人的评判。</w:t>
      </w:r>
    </w:p>
    <w:p w14:paraId="1A39671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3）各投标人的</w:t>
      </w:r>
      <w:r>
        <w:rPr>
          <w:rFonts w:hint="eastAsia" w:asciiTheme="minorEastAsia" w:hAnsiTheme="minorEastAsia" w:eastAsiaTheme="minorEastAsia"/>
          <w:color w:val="auto"/>
          <w:szCs w:val="21"/>
          <w:highlight w:val="none"/>
        </w:rPr>
        <w:t>资信商务及技术分按照评标委员会成员的独立评分结果汇后的算术平均分计算</w:t>
      </w:r>
      <w:r>
        <w:rPr>
          <w:rFonts w:asciiTheme="minorEastAsia" w:hAnsiTheme="minorEastAsia" w:eastAsiaTheme="minorEastAsia"/>
          <w:color w:val="auto"/>
          <w:szCs w:val="21"/>
          <w:highlight w:val="none"/>
        </w:rPr>
        <w:t>。</w:t>
      </w:r>
    </w:p>
    <w:p w14:paraId="58AD158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采购代理机构工作人员协助</w:t>
      </w:r>
      <w:r>
        <w:rPr>
          <w:rFonts w:asciiTheme="minorEastAsia" w:hAnsiTheme="minorEastAsia" w:eastAsiaTheme="minorEastAsia"/>
          <w:color w:val="auto"/>
          <w:szCs w:val="21"/>
          <w:highlight w:val="none"/>
        </w:rPr>
        <w:t>评标委员会根据</w:t>
      </w:r>
      <w:r>
        <w:rPr>
          <w:rFonts w:hint="eastAsia" w:asciiTheme="minorEastAsia" w:hAnsiTheme="minorEastAsia" w:eastAsiaTheme="minorEastAsia"/>
          <w:color w:val="auto"/>
          <w:szCs w:val="21"/>
          <w:highlight w:val="none"/>
        </w:rPr>
        <w:t>本项目的评分标准操作政府采购业务系统，由系统</w:t>
      </w:r>
      <w:r>
        <w:rPr>
          <w:rFonts w:asciiTheme="minorEastAsia" w:hAnsiTheme="minorEastAsia" w:eastAsiaTheme="minorEastAsia"/>
          <w:color w:val="auto"/>
          <w:szCs w:val="21"/>
          <w:highlight w:val="none"/>
        </w:rPr>
        <w:t>计算各投标人的商务报价得分</w:t>
      </w:r>
      <w:r>
        <w:rPr>
          <w:rFonts w:hint="eastAsia" w:asciiTheme="minorEastAsia" w:hAnsiTheme="minorEastAsia" w:eastAsiaTheme="minorEastAsia"/>
          <w:color w:val="auto"/>
          <w:szCs w:val="21"/>
          <w:highlight w:val="none"/>
        </w:rPr>
        <w:t>。</w:t>
      </w:r>
    </w:p>
    <w:p w14:paraId="4E27E24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5）评标委员会完成评标后,评委对各部分得分汇总,</w:t>
      </w:r>
      <w:r>
        <w:rPr>
          <w:rFonts w:hint="eastAsia" w:asciiTheme="minorEastAsia" w:hAnsiTheme="minorEastAsia" w:eastAsiaTheme="minorEastAsia"/>
          <w:color w:val="auto"/>
          <w:szCs w:val="21"/>
          <w:highlight w:val="none"/>
        </w:rPr>
        <w:t>计算</w:t>
      </w:r>
      <w:r>
        <w:rPr>
          <w:rFonts w:asciiTheme="minorEastAsia" w:hAnsiTheme="minorEastAsia" w:eastAsiaTheme="minorEastAsia"/>
          <w:color w:val="auto"/>
          <w:szCs w:val="21"/>
          <w:highlight w:val="none"/>
        </w:rPr>
        <w:t>出本项目</w:t>
      </w:r>
      <w:r>
        <w:rPr>
          <w:rFonts w:hint="eastAsia" w:asciiTheme="minorEastAsia" w:hAnsiTheme="minorEastAsia" w:eastAsiaTheme="minorEastAsia"/>
          <w:color w:val="auto"/>
          <w:szCs w:val="21"/>
          <w:highlight w:val="none"/>
        </w:rPr>
        <w:t>最终得分、性价比、评标价等</w:t>
      </w:r>
      <w:r>
        <w:rPr>
          <w:rFonts w:asciiTheme="minorEastAsia" w:hAnsiTheme="minorEastAsia" w:eastAsiaTheme="minorEastAsia"/>
          <w:color w:val="auto"/>
          <w:szCs w:val="21"/>
          <w:highlight w:val="none"/>
        </w:rPr>
        <w:t>。评标委员会按评标原则推荐中标候选人同时起草评标报告。</w:t>
      </w:r>
    </w:p>
    <w:p w14:paraId="649B304F">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（四）澄清问题的形式</w:t>
      </w:r>
    </w:p>
    <w:p w14:paraId="21A1A8BE">
      <w:pPr>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cs="宋体" w:asciiTheme="minorEastAsia" w:hAnsiTheme="minorEastAsia" w:eastAsiaTheme="minorEastAsia"/>
          <w:color w:val="auto"/>
          <w:kern w:val="0"/>
          <w:szCs w:val="21"/>
          <w:highlight w:val="none"/>
        </w:rPr>
        <w:t>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1C647A08">
      <w:pPr>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cs="宋体" w:asciiTheme="minorEastAsia" w:hAnsiTheme="minorEastAsia" w:eastAsiaTheme="minorEastAsia"/>
          <w:color w:val="auto"/>
          <w:kern w:val="0"/>
          <w:szCs w:val="21"/>
          <w:highlight w:val="none"/>
        </w:rPr>
        <w:t>投标人的澄清、说明或者补正应当采用书面（或通过“政府采购云平台”在线答复）形式提交，并加盖CA签章，或者由法定代表人或其授权的代表签字或盖章。投标人的澄清、说明或者补正不得超出投标文件的范围或者改变投标文件的实质性内容。</w:t>
      </w:r>
    </w:p>
    <w:p w14:paraId="11FCC5C9">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（五）错误修正</w:t>
      </w:r>
    </w:p>
    <w:p w14:paraId="0E2AD6F1">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投标文件如果出现计算或表达上的错误，修正错误的原则如下：</w:t>
      </w:r>
    </w:p>
    <w:p w14:paraId="58440543">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投标文件的大写金额和小写金额不一致的，以大写金额为准；</w:t>
      </w:r>
    </w:p>
    <w:p w14:paraId="2797770F">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总价金额与按单价汇总金额不一致的，以单价金额计算结果为准；</w:t>
      </w:r>
    </w:p>
    <w:p w14:paraId="09651EA1">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对不同文字文本投标文件的解释发生异议的，以中文文本为准。</w:t>
      </w:r>
    </w:p>
    <w:p w14:paraId="1D59CB05">
      <w:pPr>
        <w:pStyle w:val="30"/>
        <w:tabs>
          <w:tab w:val="left" w:pos="630"/>
        </w:tabs>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（六）评标原则和评标办法</w:t>
      </w:r>
    </w:p>
    <w:p w14:paraId="484562BE">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2F4AAFB">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评标办法。本项目评标办法是</w:t>
      </w:r>
      <w:r>
        <w:rPr>
          <w:rFonts w:hint="eastAsia" w:asciiTheme="minorEastAsia" w:hAnsiTheme="minorEastAsia" w:eastAsiaTheme="minorEastAsia"/>
          <w:color w:val="auto"/>
          <w:szCs w:val="21"/>
          <w:highlight w:val="none"/>
        </w:rPr>
        <w:t xml:space="preserve"> 综合评标法</w:t>
      </w:r>
      <w:r>
        <w:rPr>
          <w:rFonts w:asciiTheme="minorEastAsia" w:hAnsiTheme="minorEastAsia" w:eastAsiaTheme="minorEastAsia"/>
          <w:color w:val="auto"/>
          <w:szCs w:val="21"/>
          <w:highlight w:val="none"/>
        </w:rPr>
        <w:t xml:space="preserve"> ，具体评标内容及评分标准等详见《第四章：评标办法及评分标准》。</w:t>
      </w:r>
    </w:p>
    <w:p w14:paraId="02BCF467">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（七）评标过程的监控</w:t>
      </w:r>
    </w:p>
    <w:p w14:paraId="6146103E">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本项目评标过程实行全程录音、录像监控</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投标人在评标过程中所进行的</w:t>
      </w:r>
      <w:r>
        <w:rPr>
          <w:rFonts w:hint="eastAsia" w:asciiTheme="minorEastAsia" w:hAnsiTheme="minorEastAsia" w:eastAsiaTheme="minorEastAsia"/>
          <w:color w:val="auto"/>
          <w:szCs w:val="21"/>
          <w:highlight w:val="none"/>
        </w:rPr>
        <w:t>试</w:t>
      </w:r>
      <w:r>
        <w:rPr>
          <w:rFonts w:asciiTheme="minorEastAsia" w:hAnsiTheme="minorEastAsia" w:eastAsiaTheme="minorEastAsia"/>
          <w:color w:val="auto"/>
          <w:szCs w:val="21"/>
          <w:highlight w:val="none"/>
        </w:rPr>
        <w:t>图影响评标结果的不公正活动，可能导致其投标被拒绝。</w:t>
      </w:r>
    </w:p>
    <w:p w14:paraId="0278A129">
      <w:pPr>
        <w:pStyle w:val="30"/>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275" w:name="_Toc19997"/>
      <w:bookmarkStart w:id="276" w:name="_Toc33535371"/>
      <w:bookmarkStart w:id="277" w:name="_Toc50012887"/>
      <w:r>
        <w:rPr>
          <w:rFonts w:hint="eastAsia" w:asciiTheme="minorEastAsia" w:hAnsiTheme="minorEastAsia" w:eastAsiaTheme="minorEastAsia"/>
          <w:b/>
          <w:color w:val="auto"/>
          <w:szCs w:val="21"/>
          <w:highlight w:val="none"/>
        </w:rPr>
        <w:t>六、定标</w:t>
      </w:r>
      <w:bookmarkEnd w:id="275"/>
      <w:bookmarkEnd w:id="276"/>
      <w:bookmarkEnd w:id="277"/>
    </w:p>
    <w:p w14:paraId="52D4F276">
      <w:pPr>
        <w:pStyle w:val="30"/>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（一）确定中标人。</w:t>
      </w:r>
    </w:p>
    <w:p w14:paraId="3C5878B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、采购代理机构</w:t>
      </w:r>
      <w:r>
        <w:rPr>
          <w:rFonts w:asciiTheme="minorEastAsia" w:hAnsiTheme="minorEastAsia" w:eastAsiaTheme="minorEastAsia"/>
          <w:color w:val="auto"/>
          <w:szCs w:val="21"/>
          <w:highlight w:val="none"/>
        </w:rPr>
        <w:t>在评标结束后2个工作日内将评标报告交采购人确认，同时在发布招标公告的网站上对评标结果进行</w:t>
      </w:r>
      <w:r>
        <w:rPr>
          <w:rFonts w:hint="eastAsia" w:asciiTheme="minorEastAsia" w:hAnsiTheme="minorEastAsia" w:eastAsiaTheme="minorEastAsia"/>
          <w:color w:val="auto"/>
          <w:szCs w:val="21"/>
          <w:highlight w:val="none"/>
        </w:rPr>
        <w:t>公告</w:t>
      </w:r>
      <w:r>
        <w:rPr>
          <w:rFonts w:asciiTheme="minorEastAsia" w:hAnsiTheme="minorEastAsia" w:eastAsiaTheme="minorEastAsia"/>
          <w:color w:val="auto"/>
          <w:szCs w:val="21"/>
          <w:highlight w:val="none"/>
        </w:rPr>
        <w:t>。</w:t>
      </w:r>
    </w:p>
    <w:p w14:paraId="057148F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投标人对评标结果无异议的，采购人应在收到评标报告后5个工作日内对评标结果进行确认。如有投标人对评标结果提出质疑的，采购人可在质疑处理完毕后确定中标人。</w:t>
      </w:r>
    </w:p>
    <w:p w14:paraId="677F74E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在公告中标结果的同时，采购代理机构向中标人发出中标通知书。</w:t>
      </w:r>
    </w:p>
    <w:p w14:paraId="66B4E588">
      <w:pPr>
        <w:pStyle w:val="30"/>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278" w:name="_Toc5136"/>
      <w:bookmarkStart w:id="279" w:name="_Toc33535372"/>
      <w:bookmarkStart w:id="280" w:name="_Toc50012888"/>
      <w:r>
        <w:rPr>
          <w:rFonts w:hint="eastAsia" w:asciiTheme="minorEastAsia" w:hAnsiTheme="minorEastAsia" w:eastAsiaTheme="minorEastAsia"/>
          <w:b/>
          <w:color w:val="auto"/>
          <w:szCs w:val="21"/>
          <w:highlight w:val="none"/>
        </w:rPr>
        <w:t>七、合同授予</w:t>
      </w:r>
      <w:bookmarkEnd w:id="278"/>
      <w:bookmarkEnd w:id="279"/>
      <w:bookmarkEnd w:id="280"/>
    </w:p>
    <w:p w14:paraId="2CFD470C">
      <w:pPr>
        <w:snapToGrid w:val="0"/>
        <w:spacing w:line="360" w:lineRule="auto"/>
        <w:ind w:right="42" w:rightChars="20" w:firstLine="422"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
          <w:bCs/>
          <w:color w:val="auto"/>
          <w:szCs w:val="21"/>
          <w:highlight w:val="none"/>
        </w:rPr>
        <w:t>（一）签订合同</w:t>
      </w:r>
    </w:p>
    <w:p w14:paraId="7CC36C1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、采购人与</w:t>
      </w:r>
      <w:r>
        <w:rPr>
          <w:rFonts w:asciiTheme="minorEastAsia" w:hAnsiTheme="minorEastAsia" w:eastAsiaTheme="minorEastAsia"/>
          <w:color w:val="auto"/>
          <w:szCs w:val="21"/>
          <w:highlight w:val="none"/>
        </w:rPr>
        <w:t>中标人应</w:t>
      </w:r>
      <w:r>
        <w:rPr>
          <w:rFonts w:hint="eastAsia" w:asciiTheme="minorEastAsia" w:hAnsiTheme="minorEastAsia" w:eastAsiaTheme="minorEastAsia"/>
          <w:color w:val="auto"/>
          <w:szCs w:val="21"/>
          <w:highlight w:val="none"/>
        </w:rPr>
        <w:t>当在中标公示发出之日起30日内签订政府采购合同。同时，采购机构对合同内容进行审查，如发现与采购结果和投标承诺内容不一致的，将予以纠正。</w:t>
      </w:r>
    </w:p>
    <w:p w14:paraId="39873CC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中标人拖延、拒签合同的,将被取消中标资格</w:t>
      </w:r>
      <w:r>
        <w:rPr>
          <w:rFonts w:hint="eastAsia" w:asciiTheme="minorEastAsia" w:hAnsiTheme="minorEastAsia" w:eastAsiaTheme="minorEastAsia"/>
          <w:color w:val="auto"/>
          <w:szCs w:val="21"/>
          <w:highlight w:val="none"/>
        </w:rPr>
        <w:t>，并报监督管理部门</w:t>
      </w:r>
      <w:r>
        <w:rPr>
          <w:rFonts w:asciiTheme="minorEastAsia" w:hAnsiTheme="minorEastAsia" w:eastAsiaTheme="minorEastAsia"/>
          <w:color w:val="auto"/>
          <w:szCs w:val="21"/>
          <w:highlight w:val="none"/>
        </w:rPr>
        <w:t>。</w:t>
      </w:r>
    </w:p>
    <w:p w14:paraId="219FD9A0">
      <w:pPr>
        <w:pStyle w:val="30"/>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asciiTheme="minorEastAsia" w:hAnsiTheme="minorEastAsia" w:eastAsiaTheme="minorEastAsia"/>
          <w:b/>
          <w:color w:val="auto"/>
          <w:szCs w:val="21"/>
          <w:highlight w:val="none"/>
        </w:rPr>
        <w:t>（二）</w:t>
      </w:r>
      <w:r>
        <w:rPr>
          <w:rFonts w:hint="eastAsia" w:asciiTheme="minorEastAsia" w:hAnsiTheme="minorEastAsia" w:eastAsiaTheme="minorEastAsia"/>
          <w:color w:val="auto"/>
          <w:szCs w:val="21"/>
          <w:highlight w:val="none"/>
        </w:rPr>
        <w:t>履约保证金的收取及退还：无。</w:t>
      </w:r>
    </w:p>
    <w:bookmarkEnd w:id="203"/>
    <w:p w14:paraId="7DAD3314">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bookmarkStart w:id="281" w:name="_Toc27157"/>
      <w:bookmarkStart w:id="282" w:name="_Toc493511776"/>
      <w:bookmarkStart w:id="283" w:name="_Toc177870559"/>
      <w:bookmarkStart w:id="284" w:name="_Toc170792807"/>
    </w:p>
    <w:p w14:paraId="6DDFCB94">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3BB79FA7">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1E59D50C">
      <w:pPr>
        <w:pStyle w:val="31"/>
        <w:rPr>
          <w:rFonts w:asciiTheme="minorEastAsia" w:hAnsiTheme="minorEastAsia" w:eastAsiaTheme="minorEastAsia"/>
          <w:color w:val="auto"/>
          <w:szCs w:val="21"/>
          <w:highlight w:val="none"/>
        </w:rPr>
      </w:pPr>
    </w:p>
    <w:p w14:paraId="4E120AC4">
      <w:pPr>
        <w:rPr>
          <w:color w:val="auto"/>
          <w:highlight w:val="none"/>
        </w:rPr>
      </w:pPr>
    </w:p>
    <w:p w14:paraId="4A4B69A8">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6BFF1E2B">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2F7095DC">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16630D35">
      <w:pPr>
        <w:pStyle w:val="31"/>
        <w:rPr>
          <w:rFonts w:asciiTheme="minorEastAsia" w:hAnsiTheme="minorEastAsia" w:eastAsiaTheme="minorEastAsia"/>
          <w:color w:val="auto"/>
          <w:szCs w:val="21"/>
          <w:highlight w:val="none"/>
        </w:rPr>
      </w:pPr>
    </w:p>
    <w:p w14:paraId="1A2116A8">
      <w:pPr>
        <w:pStyle w:val="65"/>
        <w:rPr>
          <w:color w:val="auto"/>
          <w:highlight w:val="none"/>
        </w:rPr>
      </w:pPr>
    </w:p>
    <w:p w14:paraId="12279AFF">
      <w:pPr>
        <w:pStyle w:val="162"/>
        <w:ind w:right="42" w:rightChars="20"/>
        <w:rPr>
          <w:rFonts w:asciiTheme="minorEastAsia" w:hAnsiTheme="minorEastAsia" w:eastAsiaTheme="minorEastAsia"/>
          <w:b w:val="0"/>
          <w:color w:val="auto"/>
          <w:highlight w:val="none"/>
        </w:rPr>
      </w:pPr>
      <w:r>
        <w:rPr>
          <w:rStyle w:val="68"/>
          <w:rFonts w:hint="eastAsia" w:cs="微软雅黑" w:asciiTheme="minorEastAsia" w:hAnsiTheme="minorEastAsia" w:eastAsiaTheme="minorEastAsia"/>
          <w:b/>
          <w:color w:val="auto"/>
          <w:highlight w:val="none"/>
        </w:rPr>
        <w:t>第四章  评标办法及评分标准</w:t>
      </w:r>
      <w:bookmarkEnd w:id="281"/>
      <w:bookmarkEnd w:id="282"/>
    </w:p>
    <w:p w14:paraId="3F6F0A49">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为公正、公平、科学地选择中标人，根据《中华人民共和国政府采购法》等有关法律法规的规定，并结合本项目的实际，制定本办法。</w:t>
      </w:r>
    </w:p>
    <w:bookmarkEnd w:id="283"/>
    <w:bookmarkEnd w:id="284"/>
    <w:p w14:paraId="72C541ED">
      <w:pPr>
        <w:spacing w:line="360" w:lineRule="auto"/>
        <w:ind w:right="42" w:rightChars="20" w:firstLine="422" w:firstLineChars="200"/>
        <w:jc w:val="left"/>
        <w:rPr>
          <w:rFonts w:asciiTheme="minorEastAsia" w:hAnsiTheme="minorEastAsia" w:eastAsiaTheme="minorEastAsia"/>
          <w:b/>
          <w:color w:val="auto"/>
          <w:szCs w:val="21"/>
          <w:highlight w:val="none"/>
        </w:rPr>
      </w:pPr>
      <w:bookmarkStart w:id="285" w:name="_Toc170792802"/>
      <w:r>
        <w:rPr>
          <w:rFonts w:hint="eastAsia" w:asciiTheme="minorEastAsia" w:hAnsiTheme="minorEastAsia" w:eastAsiaTheme="minorEastAsia"/>
          <w:b/>
          <w:color w:val="auto"/>
          <w:szCs w:val="21"/>
          <w:highlight w:val="none"/>
        </w:rPr>
        <w:t>一、总则</w:t>
      </w:r>
    </w:p>
    <w:p w14:paraId="784C2B42">
      <w:pPr>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本次评标采用综合评分法，总分为100分，其中价格分10分，技术资信及商务分90分。合格投标人的评标得分为各项目汇总得分，中标候选资格按评标得分由高到低顺序排列，得分相同的，按投标报价由低到高顺序排列；得分且投标报价相同的，按技术得分由高到低顺序排列。排名</w:t>
      </w:r>
      <w:r>
        <w:rPr>
          <w:rFonts w:hint="eastAsia" w:asciiTheme="minorEastAsia" w:hAnsiTheme="minorEastAsia" w:eastAsiaTheme="minorEastAsia"/>
          <w:b/>
          <w:color w:val="auto"/>
          <w:szCs w:val="21"/>
          <w:highlight w:val="none"/>
        </w:rPr>
        <w:t>第一</w:t>
      </w:r>
      <w:r>
        <w:rPr>
          <w:rFonts w:hint="eastAsia" w:asciiTheme="minorEastAsia" w:hAnsiTheme="minorEastAsia" w:eastAsiaTheme="minorEastAsia"/>
          <w:color w:val="auto"/>
          <w:szCs w:val="21"/>
          <w:highlight w:val="none"/>
        </w:rPr>
        <w:t>的投标人为中标候选人，排名第二的投标人为候补中标候选人……其他投标人中标候选资格依此类推。</w:t>
      </w:r>
      <w:r>
        <w:rPr>
          <w:rFonts w:hint="eastAsia" w:asciiTheme="minorEastAsia" w:hAnsiTheme="minorEastAsia" w:eastAsiaTheme="minorEastAsia"/>
          <w:bCs/>
          <w:color w:val="auto"/>
          <w:szCs w:val="21"/>
          <w:highlight w:val="none"/>
        </w:rPr>
        <w:t>评分过程中采用四舍五入法，并保留小数2位。</w:t>
      </w:r>
    </w:p>
    <w:p w14:paraId="0E633762">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投标人评标</w:t>
      </w:r>
      <w:r>
        <w:rPr>
          <w:rFonts w:hint="eastAsia" w:asciiTheme="minorEastAsia" w:hAnsiTheme="minorEastAsia" w:eastAsiaTheme="minorEastAsia"/>
          <w:bCs/>
          <w:color w:val="auto"/>
          <w:szCs w:val="21"/>
          <w:highlight w:val="none"/>
        </w:rPr>
        <w:t>综合得分=价格分+(技术分+资信、商务及其他分)</w:t>
      </w:r>
    </w:p>
    <w:p w14:paraId="10A9E30D">
      <w:pPr>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二、评标内容及标准</w:t>
      </w:r>
    </w:p>
    <w:p w14:paraId="0F2B09BA">
      <w:pPr>
        <w:pStyle w:val="30"/>
        <w:tabs>
          <w:tab w:val="left" w:pos="630"/>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（一）价格分（10分）</w:t>
      </w:r>
    </w:p>
    <w:p w14:paraId="1EDDC2E6">
      <w:pPr>
        <w:pStyle w:val="30"/>
        <w:tabs>
          <w:tab w:val="left" w:pos="630"/>
        </w:tabs>
        <w:spacing w:line="360" w:lineRule="auto"/>
        <w:ind w:right="42" w:rightChars="20" w:firstLine="420" w:firstLineChars="200"/>
        <w:jc w:val="left"/>
        <w:rPr>
          <w:rFonts w:hAnsi="宋体" w:cs="宋体"/>
          <w:color w:val="auto"/>
          <w:highlight w:val="none"/>
          <w:lang w:val="zh-CN"/>
        </w:rPr>
      </w:pPr>
      <w:r>
        <w:rPr>
          <w:rFonts w:hint="eastAsia" w:asciiTheme="minorEastAsia" w:hAnsiTheme="minorEastAsia" w:eastAsiaTheme="minorEastAsia"/>
          <w:bCs/>
          <w:color w:val="auto"/>
          <w:szCs w:val="21"/>
          <w:highlight w:val="none"/>
        </w:rPr>
        <w:t>1、价格分采用低价优先法计算，即满足招标文件要求且投标价格最低的投标报价为评标基准价</w:t>
      </w:r>
      <w:r>
        <w:rPr>
          <w:rFonts w:hint="eastAsia" w:hAnsi="宋体" w:cs="宋体"/>
          <w:color w:val="auto"/>
          <w:highlight w:val="none"/>
          <w:lang w:val="zh-CN"/>
        </w:rPr>
        <w:t>，其价格分为满分。其他的报价分统一按下列公式计算：</w:t>
      </w:r>
    </w:p>
    <w:p w14:paraId="21383CFA">
      <w:pPr>
        <w:pStyle w:val="30"/>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hAnsi="宋体" w:cs="宋体"/>
          <w:color w:val="auto"/>
          <w:highlight w:val="none"/>
          <w:lang w:val="zh-CN"/>
        </w:rPr>
        <w:t>投标报价得分=(评标基准价／投标报价)×价格权值（</w:t>
      </w:r>
      <w:r>
        <w:rPr>
          <w:rFonts w:hint="eastAsia" w:hAnsi="宋体" w:cs="宋体"/>
          <w:color w:val="auto"/>
          <w:highlight w:val="none"/>
        </w:rPr>
        <w:t>10</w:t>
      </w:r>
      <w:r>
        <w:rPr>
          <w:rFonts w:hint="eastAsia" w:hAnsi="宋体" w:cs="宋体"/>
          <w:color w:val="auto"/>
          <w:highlight w:val="none"/>
          <w:lang w:val="zh-CN"/>
        </w:rPr>
        <w:t>%）×100。</w:t>
      </w:r>
    </w:p>
    <w:p w14:paraId="0E4A54FF">
      <w:pPr>
        <w:pStyle w:val="30"/>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2、投标人的投标报价超过采购人设定的最高限价（总价及单价），将作为无效标。</w:t>
      </w:r>
    </w:p>
    <w:p w14:paraId="7BACD097">
      <w:pPr>
        <w:pStyle w:val="30"/>
        <w:tabs>
          <w:tab w:val="left" w:pos="630"/>
        </w:tabs>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w:t>
      </w:r>
      <w:r>
        <w:rPr>
          <w:rFonts w:hint="eastAsia" w:asciiTheme="minorEastAsia" w:hAnsiTheme="minorEastAsia" w:eastAsiaTheme="minorEastAsia"/>
          <w:bCs/>
          <w:color w:val="auto"/>
          <w:szCs w:val="21"/>
          <w:highlight w:val="none"/>
        </w:rPr>
        <w:t>其报价合理性的，评标委员会应当将其作为无效投标处理。</w:t>
      </w:r>
    </w:p>
    <w:p w14:paraId="576B36AD">
      <w:pPr>
        <w:pStyle w:val="30"/>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4、扶持政策说明：</w:t>
      </w:r>
    </w:p>
    <w:p w14:paraId="4937FEA0">
      <w:pPr>
        <w:pStyle w:val="30"/>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（1）本次采购为专门面向中小企业预留采购份额的采购项目。</w:t>
      </w:r>
    </w:p>
    <w:p w14:paraId="4D304F83">
      <w:pPr>
        <w:pStyle w:val="30"/>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（2）本项目对应的中小企业划分标准所属行业：</w:t>
      </w:r>
      <w:r>
        <w:rPr>
          <w:rFonts w:hint="eastAsia" w:cs="微软雅黑" w:asciiTheme="minorEastAsia" w:hAnsiTheme="minorEastAsia" w:eastAsiaTheme="minorEastAsia"/>
          <w:color w:val="auto"/>
          <w:kern w:val="0"/>
          <w:szCs w:val="21"/>
          <w:highlight w:val="none"/>
        </w:rPr>
        <w:t>其他未列明行业</w:t>
      </w:r>
      <w:r>
        <w:rPr>
          <w:rFonts w:hint="eastAsia" w:asciiTheme="minorEastAsia" w:hAnsiTheme="minorEastAsia" w:eastAsiaTheme="minorEastAsia"/>
          <w:color w:val="auto"/>
          <w:szCs w:val="21"/>
          <w:highlight w:val="none"/>
        </w:rPr>
        <w:t>。</w:t>
      </w:r>
    </w:p>
    <w:p w14:paraId="2F623980">
      <w:pPr>
        <w:pStyle w:val="30"/>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369EBDF">
      <w:pPr>
        <w:pStyle w:val="30"/>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（4）监狱企业和残疾人福利性单位视同小型、微型企业，按《财政部司法部关于政府采购支持监狱企业发展有关问题的通知》(财库〔2014〕68 号)、《财政部  民政部  中国残疾人联合会关于促进残疾人就业政府采购政策的通知》（财库〔2017〕141 号）的规定执行。</w:t>
      </w:r>
    </w:p>
    <w:p w14:paraId="72B7DCAD">
      <w:pPr>
        <w:pStyle w:val="30"/>
        <w:tabs>
          <w:tab w:val="left" w:pos="630"/>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中标、中标人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4E3F611C">
      <w:pPr>
        <w:pStyle w:val="30"/>
        <w:tabs>
          <w:tab w:val="left" w:pos="630"/>
        </w:tabs>
        <w:spacing w:line="360" w:lineRule="auto"/>
        <w:ind w:right="42" w:rightChars="20" w:firstLine="422" w:firstLineChars="200"/>
        <w:jc w:val="left"/>
        <w:rPr>
          <w:rFonts w:asciiTheme="minorEastAsia" w:hAnsiTheme="minorEastAsia" w:eastAsiaTheme="minorEastAsia"/>
          <w:b/>
          <w:bCs/>
          <w:color w:val="auto"/>
          <w:szCs w:val="21"/>
          <w:highlight w:val="none"/>
        </w:rPr>
      </w:pPr>
    </w:p>
    <w:p w14:paraId="187C2242">
      <w:pPr>
        <w:numPr>
          <w:ilvl w:val="0"/>
          <w:numId w:val="6"/>
        </w:numPr>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技术资信分：</w:t>
      </w:r>
      <w:bookmarkStart w:id="286" w:name="_Toc417992896"/>
      <w:bookmarkStart w:id="287" w:name="_Toc416422800"/>
      <w:bookmarkStart w:id="288" w:name="_Toc493511826"/>
      <w:bookmarkStart w:id="289" w:name="_Toc28829"/>
      <w:r>
        <w:rPr>
          <w:rFonts w:hint="eastAsia" w:asciiTheme="minorEastAsia" w:hAnsiTheme="minorEastAsia" w:eastAsiaTheme="minorEastAsia"/>
          <w:b/>
          <w:bCs/>
          <w:color w:val="auto"/>
          <w:szCs w:val="21"/>
          <w:highlight w:val="none"/>
        </w:rPr>
        <w:t>（90分）</w:t>
      </w:r>
    </w:p>
    <w:p w14:paraId="11268E06">
      <w:pPr>
        <w:pStyle w:val="17"/>
        <w:rPr>
          <w:color w:val="auto"/>
          <w:highlight w:val="none"/>
        </w:rPr>
      </w:pPr>
    </w:p>
    <w:tbl>
      <w:tblPr>
        <w:tblStyle w:val="54"/>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86"/>
        <w:gridCol w:w="5062"/>
        <w:gridCol w:w="850"/>
        <w:gridCol w:w="913"/>
      </w:tblGrid>
      <w:tr w14:paraId="6303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06125C7">
            <w:pPr>
              <w:pStyle w:val="99"/>
              <w:rPr>
                <w:color w:val="auto"/>
                <w:highlight w:val="none"/>
              </w:rPr>
            </w:pPr>
            <w:r>
              <w:rPr>
                <w:rFonts w:hint="eastAsia"/>
                <w:color w:val="auto"/>
                <w:highlight w:val="none"/>
              </w:rPr>
              <w:t>序号</w:t>
            </w:r>
          </w:p>
        </w:tc>
        <w:tc>
          <w:tcPr>
            <w:tcW w:w="1486" w:type="dxa"/>
            <w:vAlign w:val="center"/>
          </w:tcPr>
          <w:p w14:paraId="57764EA5">
            <w:pPr>
              <w:pStyle w:val="99"/>
              <w:rPr>
                <w:color w:val="auto"/>
                <w:highlight w:val="none"/>
              </w:rPr>
            </w:pPr>
            <w:r>
              <w:rPr>
                <w:rFonts w:hint="eastAsia"/>
                <w:color w:val="auto"/>
                <w:highlight w:val="none"/>
              </w:rPr>
              <w:t>评审内容</w:t>
            </w:r>
          </w:p>
        </w:tc>
        <w:tc>
          <w:tcPr>
            <w:tcW w:w="5062" w:type="dxa"/>
            <w:vAlign w:val="center"/>
          </w:tcPr>
          <w:p w14:paraId="38008F10">
            <w:pPr>
              <w:pStyle w:val="99"/>
              <w:rPr>
                <w:color w:val="auto"/>
                <w:highlight w:val="none"/>
              </w:rPr>
            </w:pPr>
            <w:r>
              <w:rPr>
                <w:rFonts w:hint="eastAsia"/>
                <w:color w:val="auto"/>
                <w:highlight w:val="none"/>
              </w:rPr>
              <w:t>评审细则</w:t>
            </w:r>
          </w:p>
        </w:tc>
        <w:tc>
          <w:tcPr>
            <w:tcW w:w="850" w:type="dxa"/>
            <w:vAlign w:val="center"/>
          </w:tcPr>
          <w:p w14:paraId="4BFE1ED2">
            <w:pPr>
              <w:pStyle w:val="99"/>
              <w:rPr>
                <w:color w:val="auto"/>
                <w:highlight w:val="none"/>
              </w:rPr>
            </w:pPr>
            <w:r>
              <w:rPr>
                <w:rFonts w:hint="eastAsia"/>
                <w:color w:val="auto"/>
                <w:highlight w:val="none"/>
              </w:rPr>
              <w:t>评分</w:t>
            </w:r>
          </w:p>
        </w:tc>
        <w:tc>
          <w:tcPr>
            <w:tcW w:w="913" w:type="dxa"/>
            <w:vAlign w:val="center"/>
          </w:tcPr>
          <w:p w14:paraId="24D701E6">
            <w:pPr>
              <w:pStyle w:val="99"/>
              <w:rPr>
                <w:color w:val="auto"/>
                <w:highlight w:val="none"/>
              </w:rPr>
            </w:pPr>
            <w:r>
              <w:rPr>
                <w:rFonts w:hint="eastAsia"/>
                <w:color w:val="auto"/>
                <w:highlight w:val="none"/>
              </w:rPr>
              <w:t>备注</w:t>
            </w:r>
          </w:p>
        </w:tc>
      </w:tr>
      <w:tr w14:paraId="45A2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675" w:type="dxa"/>
            <w:vAlign w:val="center"/>
          </w:tcPr>
          <w:p w14:paraId="2FB4D591">
            <w:pPr>
              <w:pStyle w:val="99"/>
              <w:rPr>
                <w:color w:val="auto"/>
                <w:highlight w:val="none"/>
              </w:rPr>
            </w:pPr>
            <w:r>
              <w:rPr>
                <w:rFonts w:hint="eastAsia"/>
                <w:color w:val="auto"/>
                <w:highlight w:val="none"/>
              </w:rPr>
              <w:t>1</w:t>
            </w:r>
          </w:p>
        </w:tc>
        <w:tc>
          <w:tcPr>
            <w:tcW w:w="1486" w:type="dxa"/>
            <w:vMerge w:val="restart"/>
            <w:vAlign w:val="center"/>
          </w:tcPr>
          <w:p w14:paraId="5F3197E4">
            <w:pPr>
              <w:pStyle w:val="99"/>
              <w:rPr>
                <w:color w:val="auto"/>
                <w:highlight w:val="none"/>
              </w:rPr>
            </w:pPr>
            <w:r>
              <w:rPr>
                <w:rFonts w:hint="eastAsia" w:cs="Times New Roman" w:asciiTheme="minorEastAsia" w:hAnsiTheme="minorEastAsia" w:eastAsiaTheme="minorEastAsia"/>
                <w:b/>
                <w:bCs/>
                <w:color w:val="auto"/>
                <w:kern w:val="2"/>
                <w:sz w:val="21"/>
                <w:szCs w:val="21"/>
                <w:highlight w:val="none"/>
                <w:lang w:val="en-US" w:eastAsia="zh-CN" w:bidi="ar-SA"/>
              </w:rPr>
              <w:t>资信分</w:t>
            </w:r>
            <w:r>
              <w:rPr>
                <w:rFonts w:hint="eastAsia" w:cs="Times New Roman" w:asciiTheme="minorEastAsia" w:hAnsiTheme="minorEastAsia" w:eastAsiaTheme="minorEastAsia"/>
                <w:b/>
                <w:bCs/>
                <w:color w:val="auto"/>
                <w:kern w:val="2"/>
                <w:sz w:val="21"/>
                <w:szCs w:val="21"/>
                <w:highlight w:val="none"/>
                <w:lang w:val="en-US" w:eastAsia="zh-CN" w:bidi="ar-SA"/>
              </w:rPr>
              <w:t>（1</w:t>
            </w:r>
            <w:r>
              <w:rPr>
                <w:rFonts w:hint="eastAsia" w:cs="Times New Roman"/>
                <w:b/>
                <w:bCs/>
                <w:color w:val="auto"/>
                <w:kern w:val="2"/>
                <w:sz w:val="21"/>
                <w:szCs w:val="21"/>
                <w:highlight w:val="none"/>
                <w:lang w:val="en-US" w:eastAsia="zh-CN" w:bidi="ar-SA"/>
              </w:rPr>
              <w:t>1</w:t>
            </w:r>
            <w:r>
              <w:rPr>
                <w:rFonts w:hint="eastAsia" w:cs="Times New Roman" w:asciiTheme="minorEastAsia" w:hAnsiTheme="minorEastAsia" w:eastAsiaTheme="minorEastAsia"/>
                <w:b/>
                <w:bCs/>
                <w:color w:val="auto"/>
                <w:kern w:val="2"/>
                <w:sz w:val="21"/>
                <w:szCs w:val="21"/>
                <w:highlight w:val="none"/>
                <w:lang w:val="en-US" w:eastAsia="zh-CN" w:bidi="ar-SA"/>
              </w:rPr>
              <w:t>分）</w:t>
            </w:r>
          </w:p>
        </w:tc>
        <w:tc>
          <w:tcPr>
            <w:tcW w:w="5062" w:type="dxa"/>
            <w:vAlign w:val="center"/>
          </w:tcPr>
          <w:p w14:paraId="05A6829C">
            <w:pPr>
              <w:pStyle w:val="99"/>
              <w:rPr>
                <w:color w:val="auto"/>
                <w:highlight w:val="none"/>
              </w:rPr>
            </w:pPr>
            <w:r>
              <w:rPr>
                <w:rFonts w:hint="eastAsia" w:ascii="宋体" w:hAnsi="宋体" w:cs="宋体"/>
                <w:color w:val="auto"/>
                <w:highlight w:val="none"/>
                <w:lang w:bidi="ar"/>
              </w:rPr>
              <w:t>投标人自202</w:t>
            </w:r>
            <w:r>
              <w:rPr>
                <w:rFonts w:hint="eastAsia" w:ascii="宋体" w:hAnsi="宋体" w:cs="宋体"/>
                <w:color w:val="auto"/>
                <w:highlight w:val="none"/>
                <w:lang w:val="en-US" w:eastAsia="zh-CN" w:bidi="ar"/>
              </w:rPr>
              <w:t>2</w:t>
            </w:r>
            <w:r>
              <w:rPr>
                <w:rFonts w:hint="eastAsia" w:ascii="宋体" w:hAnsi="宋体" w:cs="宋体"/>
                <w:color w:val="auto"/>
                <w:highlight w:val="none"/>
                <w:lang w:bidi="ar"/>
              </w:rPr>
              <w:t>年1月1日以来具有类似本项目案例的每个得</w:t>
            </w:r>
            <w:r>
              <w:rPr>
                <w:rFonts w:hint="eastAsia" w:cs="宋体"/>
                <w:color w:val="auto"/>
                <w:highlight w:val="none"/>
                <w:lang w:val="en-US" w:eastAsia="zh-CN" w:bidi="ar"/>
              </w:rPr>
              <w:t>0.5</w:t>
            </w:r>
            <w:r>
              <w:rPr>
                <w:rFonts w:hint="eastAsia" w:ascii="宋体" w:hAnsi="宋体" w:cs="宋体"/>
                <w:color w:val="auto"/>
                <w:highlight w:val="none"/>
                <w:lang w:bidi="ar"/>
              </w:rPr>
              <w:t>分，最高得1分。</w:t>
            </w:r>
            <w:r>
              <w:rPr>
                <w:rFonts w:hint="eastAsia"/>
                <w:b/>
                <w:bCs/>
                <w:color w:val="auto"/>
                <w:highlight w:val="none"/>
              </w:rPr>
              <w:t>（是否属于有效的类似项目业绩由评委根据供应商提供的业绩合同业务内容、技术特点等方面与本项目的类似程度进行认定，投标文件中提供合同复印件并CA签章，若合同中无法反应业务内容、技术特点的则提供采购人证明资料（采购人证明资料需加盖采购人公章）</w:t>
            </w:r>
          </w:p>
        </w:tc>
        <w:tc>
          <w:tcPr>
            <w:tcW w:w="850" w:type="dxa"/>
            <w:vAlign w:val="center"/>
          </w:tcPr>
          <w:p w14:paraId="1816E2F7">
            <w:pPr>
              <w:pStyle w:val="99"/>
              <w:rPr>
                <w:color w:val="auto"/>
                <w:highlight w:val="none"/>
              </w:rPr>
            </w:pPr>
            <w:r>
              <w:rPr>
                <w:rFonts w:hint="eastAsia"/>
                <w:color w:val="auto"/>
                <w:highlight w:val="none"/>
              </w:rPr>
              <w:t>0-1分</w:t>
            </w:r>
          </w:p>
        </w:tc>
        <w:tc>
          <w:tcPr>
            <w:tcW w:w="913" w:type="dxa"/>
            <w:vAlign w:val="center"/>
          </w:tcPr>
          <w:p w14:paraId="2B500A5E">
            <w:pPr>
              <w:pStyle w:val="99"/>
              <w:rPr>
                <w:color w:val="auto"/>
                <w:highlight w:val="none"/>
              </w:rPr>
            </w:pPr>
            <w:r>
              <w:rPr>
                <w:rFonts w:hint="eastAsia"/>
                <w:color w:val="auto"/>
                <w:highlight w:val="none"/>
              </w:rPr>
              <w:t>客观分</w:t>
            </w:r>
          </w:p>
        </w:tc>
      </w:tr>
      <w:tr w14:paraId="4F03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75" w:type="dxa"/>
            <w:vAlign w:val="center"/>
          </w:tcPr>
          <w:p w14:paraId="7AE2F406">
            <w:pPr>
              <w:pStyle w:val="99"/>
              <w:rPr>
                <w:rFonts w:hint="eastAsia" w:eastAsiaTheme="minorEastAsia"/>
                <w:color w:val="auto"/>
                <w:highlight w:val="none"/>
                <w:lang w:eastAsia="zh-CN"/>
              </w:rPr>
            </w:pPr>
            <w:r>
              <w:rPr>
                <w:rFonts w:hint="eastAsia"/>
                <w:color w:val="auto"/>
                <w:highlight w:val="none"/>
                <w:lang w:val="en-US" w:eastAsia="zh-CN"/>
              </w:rPr>
              <w:t>2</w:t>
            </w:r>
          </w:p>
        </w:tc>
        <w:tc>
          <w:tcPr>
            <w:tcW w:w="1486" w:type="dxa"/>
            <w:vMerge w:val="continue"/>
            <w:vAlign w:val="center"/>
          </w:tcPr>
          <w:p w14:paraId="3BF953E2">
            <w:pPr>
              <w:pStyle w:val="99"/>
              <w:rPr>
                <w:color w:val="auto"/>
                <w:highlight w:val="none"/>
              </w:rPr>
            </w:pPr>
          </w:p>
        </w:tc>
        <w:tc>
          <w:tcPr>
            <w:tcW w:w="5062" w:type="dxa"/>
            <w:vAlign w:val="center"/>
          </w:tcPr>
          <w:p w14:paraId="1EF99508">
            <w:pPr>
              <w:pStyle w:val="99"/>
              <w:rPr>
                <w:rFonts w:hint="eastAsia" w:cs="Times New Roman"/>
                <w:color w:val="auto"/>
                <w:highlight w:val="none"/>
              </w:rPr>
            </w:pPr>
            <w:r>
              <w:rPr>
                <w:rFonts w:hint="eastAsia" w:cs="Times New Roman"/>
                <w:color w:val="auto"/>
                <w:highlight w:val="none"/>
              </w:rPr>
              <w:t>投标人具有有效期内的质量管理体系认证证书、有效期内的环境管理体系证书、有效期内的职业健康安全管理体系认证证书的</w:t>
            </w:r>
            <w:r>
              <w:rPr>
                <w:rFonts w:hint="eastAsia" w:cs="Times New Roman"/>
                <w:color w:val="auto"/>
                <w:highlight w:val="none"/>
                <w:lang w:eastAsia="zh-CN"/>
              </w:rPr>
              <w:t>，</w:t>
            </w:r>
            <w:r>
              <w:rPr>
                <w:rFonts w:hint="eastAsia" w:cs="Times New Roman"/>
                <w:color w:val="auto"/>
                <w:highlight w:val="none"/>
                <w:lang w:val="en-US" w:eastAsia="zh-CN"/>
              </w:rPr>
              <w:t>认证范围须包含“排污许可证管理”</w:t>
            </w:r>
            <w:r>
              <w:rPr>
                <w:rFonts w:hint="eastAsia" w:cs="Times New Roman"/>
                <w:color w:val="auto"/>
                <w:highlight w:val="none"/>
                <w:lang w:eastAsia="zh-CN"/>
              </w:rPr>
              <w:t>，</w:t>
            </w:r>
            <w:r>
              <w:rPr>
                <w:rFonts w:hint="eastAsia" w:cs="Times New Roman"/>
                <w:color w:val="auto"/>
                <w:highlight w:val="none"/>
                <w:lang w:val="en-US" w:eastAsia="zh-CN"/>
              </w:rPr>
              <w:t>每个得1分</w:t>
            </w:r>
            <w:r>
              <w:rPr>
                <w:rFonts w:hint="eastAsia" w:cs="Times New Roman"/>
                <w:color w:val="auto"/>
                <w:highlight w:val="none"/>
              </w:rPr>
              <w:t>，本项最高得</w:t>
            </w:r>
            <w:r>
              <w:rPr>
                <w:rFonts w:hint="eastAsia" w:cs="Times New Roman"/>
                <w:color w:val="auto"/>
                <w:highlight w:val="none"/>
                <w:lang w:val="en-US" w:eastAsia="zh-CN"/>
              </w:rPr>
              <w:t>3</w:t>
            </w:r>
            <w:r>
              <w:rPr>
                <w:rFonts w:hint="eastAsia" w:cs="Times New Roman"/>
                <w:color w:val="auto"/>
                <w:highlight w:val="none"/>
              </w:rPr>
              <w:t>分。</w:t>
            </w:r>
            <w:r>
              <w:rPr>
                <w:rFonts w:hint="eastAsia" w:cs="Times New Roman"/>
                <w:b/>
                <w:bCs/>
                <w:color w:val="auto"/>
                <w:highlight w:val="none"/>
              </w:rPr>
              <w:t>（投标文件中提供证书复印或提供证书原件扫描件并加盖公章，全国认证认可信息公共服务平台</w:t>
            </w:r>
            <w:r>
              <w:rPr>
                <w:rFonts w:hint="eastAsia" w:cs="Times New Roman"/>
                <w:b/>
                <w:bCs/>
                <w:color w:val="auto"/>
                <w:highlight w:val="none"/>
              </w:rPr>
              <w:fldChar w:fldCharType="begin"/>
            </w:r>
            <w:r>
              <w:rPr>
                <w:rFonts w:hint="eastAsia" w:cs="Times New Roman"/>
                <w:b/>
                <w:bCs/>
                <w:color w:val="auto"/>
                <w:highlight w:val="none"/>
              </w:rPr>
              <w:instrText xml:space="preserve"> HYPERLINK "http://cx.cnca.cn/CertECloud/result/skipResultList" </w:instrText>
            </w:r>
            <w:r>
              <w:rPr>
                <w:rFonts w:hint="eastAsia" w:cs="Times New Roman"/>
                <w:b/>
                <w:bCs/>
                <w:color w:val="auto"/>
                <w:highlight w:val="none"/>
              </w:rPr>
              <w:fldChar w:fldCharType="separate"/>
            </w:r>
            <w:r>
              <w:rPr>
                <w:rFonts w:hint="eastAsia" w:cs="Times New Roman"/>
                <w:b/>
                <w:bCs/>
                <w:color w:val="auto"/>
                <w:highlight w:val="none"/>
              </w:rPr>
              <w:t>http://cx.cnca.cn/CertECloud/result/skipResultList</w:t>
            </w:r>
            <w:r>
              <w:rPr>
                <w:rFonts w:hint="eastAsia" w:cs="Times New Roman"/>
                <w:b/>
                <w:bCs/>
                <w:color w:val="auto"/>
                <w:highlight w:val="none"/>
              </w:rPr>
              <w:fldChar w:fldCharType="end"/>
            </w:r>
            <w:r>
              <w:rPr>
                <w:rFonts w:hint="eastAsia" w:cs="Times New Roman"/>
                <w:b/>
                <w:bCs/>
                <w:color w:val="auto"/>
                <w:highlight w:val="none"/>
              </w:rPr>
              <w:t>可查。）</w:t>
            </w:r>
            <w:r>
              <w:rPr>
                <w:rFonts w:hint="eastAsia" w:cs="Times New Roman"/>
                <w:b/>
                <w:bCs/>
                <w:color w:val="auto"/>
                <w:highlight w:val="none"/>
                <w:lang w:val="en-US" w:eastAsia="zh-CN"/>
              </w:rPr>
              <w:t>截图</w:t>
            </w:r>
            <w:r>
              <w:rPr>
                <w:rFonts w:hint="eastAsia" w:cs="Times New Roman"/>
                <w:b/>
                <w:bCs/>
                <w:color w:val="auto"/>
                <w:highlight w:val="none"/>
              </w:rPr>
              <w:t>并加盖CA签章）</w:t>
            </w:r>
          </w:p>
        </w:tc>
        <w:tc>
          <w:tcPr>
            <w:tcW w:w="850" w:type="dxa"/>
            <w:vAlign w:val="center"/>
          </w:tcPr>
          <w:p w14:paraId="64A367C0">
            <w:pPr>
              <w:pStyle w:val="99"/>
              <w:rPr>
                <w:color w:val="auto"/>
                <w:highlight w:val="none"/>
              </w:rPr>
            </w:pPr>
            <w:r>
              <w:rPr>
                <w:rFonts w:hint="eastAsia"/>
                <w:color w:val="auto"/>
                <w:highlight w:val="none"/>
              </w:rPr>
              <w:t>0-3分</w:t>
            </w:r>
          </w:p>
        </w:tc>
        <w:tc>
          <w:tcPr>
            <w:tcW w:w="913" w:type="dxa"/>
            <w:vAlign w:val="center"/>
          </w:tcPr>
          <w:p w14:paraId="4680C9C6">
            <w:pPr>
              <w:pStyle w:val="99"/>
              <w:rPr>
                <w:color w:val="auto"/>
                <w:highlight w:val="none"/>
              </w:rPr>
            </w:pPr>
            <w:r>
              <w:rPr>
                <w:rFonts w:hint="eastAsia"/>
                <w:color w:val="auto"/>
                <w:highlight w:val="none"/>
              </w:rPr>
              <w:t>客观分</w:t>
            </w:r>
          </w:p>
        </w:tc>
      </w:tr>
      <w:tr w14:paraId="7A8E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75" w:type="dxa"/>
            <w:vAlign w:val="center"/>
          </w:tcPr>
          <w:p w14:paraId="7799EFEF">
            <w:pPr>
              <w:pStyle w:val="99"/>
              <w:rPr>
                <w:rFonts w:hint="eastAsia" w:eastAsiaTheme="minorEastAsia"/>
                <w:color w:val="auto"/>
                <w:highlight w:val="none"/>
                <w:lang w:eastAsia="zh-CN"/>
              </w:rPr>
            </w:pPr>
            <w:bookmarkStart w:id="290" w:name="OLE_LINK10" w:colFirst="3" w:colLast="4"/>
            <w:r>
              <w:rPr>
                <w:rFonts w:hint="eastAsia"/>
                <w:color w:val="auto"/>
                <w:highlight w:val="none"/>
                <w:lang w:val="en-US" w:eastAsia="zh-CN"/>
              </w:rPr>
              <w:t>3</w:t>
            </w:r>
          </w:p>
        </w:tc>
        <w:tc>
          <w:tcPr>
            <w:tcW w:w="1486" w:type="dxa"/>
            <w:vMerge w:val="continue"/>
            <w:vAlign w:val="center"/>
          </w:tcPr>
          <w:p w14:paraId="69C8CEDD">
            <w:pPr>
              <w:pStyle w:val="99"/>
              <w:rPr>
                <w:color w:val="auto"/>
                <w:highlight w:val="none"/>
              </w:rPr>
            </w:pPr>
          </w:p>
        </w:tc>
        <w:tc>
          <w:tcPr>
            <w:tcW w:w="5062" w:type="dxa"/>
            <w:vAlign w:val="center"/>
          </w:tcPr>
          <w:p w14:paraId="4ABDA04C">
            <w:pPr>
              <w:pStyle w:val="99"/>
              <w:rPr>
                <w:rFonts w:hint="default" w:cs="Times New Roman"/>
                <w:color w:val="auto"/>
                <w:highlight w:val="none"/>
                <w:lang w:val="en-US" w:eastAsia="zh-CN"/>
              </w:rPr>
            </w:pPr>
            <w:r>
              <w:rPr>
                <w:rFonts w:hint="eastAsia" w:cs="Times New Roman"/>
                <w:color w:val="auto"/>
                <w:highlight w:val="none"/>
                <w:lang w:val="en-US" w:eastAsia="zh-CN"/>
              </w:rPr>
              <w:t>人员：</w:t>
            </w:r>
          </w:p>
          <w:p w14:paraId="05C4D901">
            <w:pPr>
              <w:pStyle w:val="99"/>
              <w:rPr>
                <w:rFonts w:hint="eastAsia" w:cs="Times New Roman"/>
                <w:color w:val="auto"/>
                <w:highlight w:val="none"/>
                <w:lang w:val="en-US" w:eastAsia="zh-CN"/>
              </w:rPr>
            </w:pPr>
            <w:r>
              <w:rPr>
                <w:rFonts w:hint="eastAsia" w:cs="Times New Roman"/>
                <w:color w:val="auto"/>
                <w:highlight w:val="none"/>
                <w:lang w:val="en-US" w:eastAsia="zh-CN"/>
              </w:rPr>
              <w:t>1、拟派本项目的项目负责人：</w:t>
            </w:r>
          </w:p>
          <w:p w14:paraId="34F71F7B">
            <w:pPr>
              <w:pStyle w:val="99"/>
              <w:rPr>
                <w:rFonts w:hint="eastAsia" w:cs="Times New Roman"/>
                <w:color w:val="auto"/>
                <w:highlight w:val="none"/>
                <w:lang w:val="en-US" w:eastAsia="zh-CN"/>
              </w:rPr>
            </w:pPr>
            <w:r>
              <w:rPr>
                <w:rFonts w:hint="eastAsia" w:cs="Times New Roman"/>
                <w:color w:val="auto"/>
                <w:highlight w:val="none"/>
                <w:lang w:val="en-US" w:eastAsia="zh-CN"/>
              </w:rPr>
              <w:t>（1）具有环保类相关专业正高级工程师职称的得2分，具有环保类相关专业高级工程师职称的得1分。</w:t>
            </w:r>
          </w:p>
          <w:p w14:paraId="7239C198">
            <w:pPr>
              <w:pStyle w:val="99"/>
              <w:rPr>
                <w:rFonts w:hint="default" w:cs="Times New Roman"/>
                <w:color w:val="auto"/>
                <w:highlight w:val="none"/>
                <w:lang w:val="en-US" w:eastAsia="zh-CN"/>
              </w:rPr>
            </w:pPr>
            <w:r>
              <w:rPr>
                <w:rFonts w:hint="eastAsia" w:cs="Times New Roman"/>
                <w:color w:val="auto"/>
                <w:highlight w:val="none"/>
                <w:lang w:val="en-US" w:eastAsia="zh-CN"/>
              </w:rPr>
              <w:t>（2）具有注册环评工程师的得1分，没有不得分。</w:t>
            </w:r>
          </w:p>
          <w:p w14:paraId="2FABEC78">
            <w:pPr>
              <w:pStyle w:val="99"/>
              <w:rPr>
                <w:rFonts w:hint="default" w:cs="Times New Roman"/>
                <w:color w:val="auto"/>
                <w:highlight w:val="none"/>
                <w:lang w:val="en-US" w:eastAsia="zh-CN"/>
              </w:rPr>
            </w:pPr>
            <w:r>
              <w:rPr>
                <w:rFonts w:hint="eastAsia" w:cs="Times New Roman"/>
                <w:color w:val="auto"/>
                <w:highlight w:val="none"/>
                <w:lang w:val="en-US" w:eastAsia="zh-CN"/>
              </w:rPr>
              <w:t>2、项目组成员：</w:t>
            </w:r>
          </w:p>
          <w:p w14:paraId="6066F94D">
            <w:pPr>
              <w:pStyle w:val="99"/>
              <w:rPr>
                <w:rFonts w:hint="eastAsia" w:cs="Times New Roman"/>
                <w:color w:val="auto"/>
                <w:highlight w:val="none"/>
                <w:lang w:val="en-US" w:eastAsia="zh-CN"/>
              </w:rPr>
            </w:pPr>
            <w:r>
              <w:rPr>
                <w:rFonts w:hint="eastAsia" w:cs="Times New Roman"/>
                <w:color w:val="auto"/>
                <w:highlight w:val="none"/>
                <w:lang w:val="en-US" w:eastAsia="zh-CN"/>
              </w:rPr>
              <w:t>（1）项目组人员（项目负责人除外）具有环保类相关专业高级及以上技术职称的每人得1分，具有环保类相关专业中级技术职称的每人得0.5分。本项最高得3分。</w:t>
            </w:r>
          </w:p>
          <w:p w14:paraId="0C6C0677">
            <w:pPr>
              <w:pStyle w:val="99"/>
              <w:rPr>
                <w:rFonts w:hint="default" w:cs="Times New Roman"/>
                <w:color w:val="auto"/>
                <w:highlight w:val="none"/>
                <w:lang w:val="en-US" w:eastAsia="zh-CN"/>
              </w:rPr>
            </w:pPr>
            <w:r>
              <w:rPr>
                <w:rFonts w:hint="eastAsia" w:cs="Times New Roman"/>
                <w:color w:val="auto"/>
                <w:highlight w:val="none"/>
                <w:lang w:val="en-US" w:eastAsia="zh-CN"/>
              </w:rPr>
              <w:t>（2）项目组人员（项目负责人除外）具有注册环评工程师的每人得1分，</w:t>
            </w:r>
            <w:r>
              <w:rPr>
                <w:rFonts w:hint="eastAsia" w:cs="Times New Roman"/>
                <w:color w:val="auto"/>
                <w:highlight w:val="none"/>
                <w:lang w:val="en-US" w:eastAsia="zh-CN"/>
              </w:rPr>
              <w:t>本项最高得1分。</w:t>
            </w:r>
          </w:p>
          <w:p w14:paraId="70967C9C">
            <w:pPr>
              <w:pStyle w:val="99"/>
              <w:rPr>
                <w:rFonts w:hint="eastAsia" w:cs="Times New Roman"/>
                <w:color w:val="auto"/>
                <w:highlight w:val="none"/>
              </w:rPr>
            </w:pPr>
            <w:r>
              <w:rPr>
                <w:rFonts w:hint="eastAsia" w:cs="Times New Roman"/>
                <w:b/>
                <w:bCs/>
                <w:color w:val="auto"/>
                <w:highlight w:val="none"/>
                <w:lang w:val="en-US" w:eastAsia="zh-CN"/>
              </w:rPr>
              <w:t>（</w:t>
            </w:r>
            <w:r>
              <w:rPr>
                <w:rFonts w:hint="eastAsia" w:cs="Times New Roman"/>
                <w:b/>
                <w:bCs/>
                <w:color w:val="auto"/>
                <w:highlight w:val="none"/>
                <w:lang w:val="en-US" w:eastAsia="zh-CN"/>
              </w:rPr>
              <w:t>投标文件中提供职称证书、注册环评工程师提供相应证书或环境影响评价信用平台https://xypt.china-eia.com/XYPT/截图，</w:t>
            </w:r>
            <w:r>
              <w:rPr>
                <w:rFonts w:hint="eastAsia" w:cs="Times New Roman"/>
                <w:b/>
                <w:bCs/>
                <w:color w:val="auto"/>
                <w:highlight w:val="none"/>
                <w:lang w:val="en-US" w:eastAsia="zh-CN"/>
              </w:rPr>
              <w:t>并CA 签章，同一人员只计一次分）</w:t>
            </w:r>
          </w:p>
        </w:tc>
        <w:tc>
          <w:tcPr>
            <w:tcW w:w="850" w:type="dxa"/>
            <w:vAlign w:val="center"/>
          </w:tcPr>
          <w:p w14:paraId="2CCF29A8">
            <w:pPr>
              <w:pStyle w:val="99"/>
              <w:rPr>
                <w:color w:val="auto"/>
                <w:highlight w:val="none"/>
              </w:rPr>
            </w:pPr>
            <w:r>
              <w:rPr>
                <w:rFonts w:hint="eastAsia"/>
                <w:color w:val="auto"/>
                <w:highlight w:val="none"/>
              </w:rPr>
              <w:t>0-</w:t>
            </w:r>
            <w:r>
              <w:rPr>
                <w:rFonts w:hint="eastAsia"/>
                <w:color w:val="auto"/>
                <w:highlight w:val="none"/>
                <w:lang w:val="en-US" w:eastAsia="zh-CN"/>
              </w:rPr>
              <w:t>7</w:t>
            </w:r>
            <w:r>
              <w:rPr>
                <w:rFonts w:hint="eastAsia"/>
                <w:color w:val="auto"/>
                <w:highlight w:val="none"/>
              </w:rPr>
              <w:t>分</w:t>
            </w:r>
          </w:p>
        </w:tc>
        <w:tc>
          <w:tcPr>
            <w:tcW w:w="913" w:type="dxa"/>
            <w:vAlign w:val="center"/>
          </w:tcPr>
          <w:p w14:paraId="24D2504D">
            <w:pPr>
              <w:pStyle w:val="99"/>
              <w:rPr>
                <w:color w:val="auto"/>
                <w:highlight w:val="none"/>
              </w:rPr>
            </w:pPr>
            <w:r>
              <w:rPr>
                <w:rFonts w:hint="eastAsia"/>
                <w:color w:val="auto"/>
                <w:highlight w:val="none"/>
              </w:rPr>
              <w:t>客观分</w:t>
            </w:r>
          </w:p>
        </w:tc>
      </w:tr>
      <w:bookmarkEnd w:id="290"/>
      <w:tr w14:paraId="3D24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97719AA">
            <w:pPr>
              <w:pStyle w:val="99"/>
              <w:rPr>
                <w:rFonts w:hint="eastAsia" w:eastAsiaTheme="minorEastAsia"/>
                <w:color w:val="auto"/>
                <w:highlight w:val="none"/>
                <w:lang w:eastAsia="zh-CN"/>
              </w:rPr>
            </w:pPr>
            <w:r>
              <w:rPr>
                <w:rFonts w:hint="eastAsia"/>
                <w:color w:val="auto"/>
                <w:highlight w:val="none"/>
                <w:lang w:val="en-US" w:eastAsia="zh-CN"/>
              </w:rPr>
              <w:t>4</w:t>
            </w:r>
          </w:p>
        </w:tc>
        <w:tc>
          <w:tcPr>
            <w:tcW w:w="1486" w:type="dxa"/>
            <w:vMerge w:val="restart"/>
            <w:vAlign w:val="center"/>
          </w:tcPr>
          <w:p w14:paraId="0BA53FAF">
            <w:pPr>
              <w:pStyle w:val="99"/>
              <w:rPr>
                <w:color w:val="auto"/>
                <w:highlight w:val="none"/>
              </w:rPr>
            </w:pPr>
            <w:r>
              <w:rPr>
                <w:rFonts w:hint="eastAsia" w:cs="Times New Roman" w:asciiTheme="minorEastAsia" w:hAnsiTheme="minorEastAsia" w:eastAsiaTheme="minorEastAsia"/>
                <w:b/>
                <w:bCs/>
                <w:color w:val="auto"/>
                <w:kern w:val="2"/>
                <w:sz w:val="21"/>
                <w:szCs w:val="21"/>
                <w:highlight w:val="none"/>
                <w:lang w:val="en-US" w:eastAsia="zh-CN" w:bidi="ar-SA"/>
              </w:rPr>
              <w:t>投标方案（</w:t>
            </w:r>
            <w:r>
              <w:rPr>
                <w:rFonts w:hint="eastAsia" w:cs="Times New Roman"/>
                <w:b/>
                <w:bCs/>
                <w:color w:val="auto"/>
                <w:kern w:val="2"/>
                <w:sz w:val="21"/>
                <w:szCs w:val="21"/>
                <w:highlight w:val="none"/>
                <w:lang w:val="en-US" w:eastAsia="zh-CN" w:bidi="ar-SA"/>
              </w:rPr>
              <w:t>40</w:t>
            </w:r>
            <w:r>
              <w:rPr>
                <w:rFonts w:hint="eastAsia" w:cs="Times New Roman" w:asciiTheme="minorEastAsia" w:hAnsiTheme="minorEastAsia" w:eastAsiaTheme="minorEastAsia"/>
                <w:b/>
                <w:bCs/>
                <w:color w:val="auto"/>
                <w:kern w:val="2"/>
                <w:sz w:val="21"/>
                <w:szCs w:val="21"/>
                <w:highlight w:val="none"/>
                <w:lang w:val="en-US" w:eastAsia="zh-CN" w:bidi="ar-SA"/>
              </w:rPr>
              <w:t>分）</w:t>
            </w:r>
          </w:p>
        </w:tc>
        <w:tc>
          <w:tcPr>
            <w:tcW w:w="5062" w:type="dxa"/>
            <w:vAlign w:val="center"/>
          </w:tcPr>
          <w:p w14:paraId="40592719">
            <w:pPr>
              <w:pStyle w:val="99"/>
              <w:rPr>
                <w:color w:val="auto"/>
                <w:szCs w:val="21"/>
                <w:highlight w:val="none"/>
              </w:rPr>
            </w:pPr>
            <w:bookmarkStart w:id="291" w:name="OLE_LINK12"/>
            <w:bookmarkStart w:id="292" w:name="OLE_LINK13"/>
            <w:r>
              <w:rPr>
                <w:rFonts w:hint="eastAsia"/>
                <w:color w:val="auto"/>
                <w:highlight w:val="none"/>
              </w:rPr>
              <w:t>针对</w:t>
            </w:r>
            <w:r>
              <w:rPr>
                <w:rFonts w:hint="eastAsia"/>
                <w:color w:val="auto"/>
                <w:highlight w:val="none"/>
                <w:lang w:val="en-US" w:eastAsia="zh-CN"/>
              </w:rPr>
              <w:t>全区排污许可证核发</w:t>
            </w:r>
            <w:r>
              <w:rPr>
                <w:rFonts w:hint="eastAsia"/>
                <w:color w:val="auto"/>
                <w:highlight w:val="none"/>
              </w:rPr>
              <w:t>的政策解读，对项目背景分析到位、项目定位</w:t>
            </w:r>
            <w:bookmarkStart w:id="293" w:name="OLE_LINK11"/>
            <w:r>
              <w:rPr>
                <w:rFonts w:hint="eastAsia"/>
                <w:color w:val="auto"/>
                <w:highlight w:val="none"/>
              </w:rPr>
              <w:t>准确、具有针对性的得5分，分析比较全面、项目定位基本准确的得4分，简单分析、基</w:t>
            </w:r>
            <w:bookmarkEnd w:id="291"/>
            <w:r>
              <w:rPr>
                <w:rFonts w:hint="eastAsia"/>
                <w:color w:val="auto"/>
                <w:highlight w:val="none"/>
              </w:rPr>
              <w:t>本定位的得3分，部分</w:t>
            </w:r>
            <w:bookmarkEnd w:id="293"/>
            <w:r>
              <w:rPr>
                <w:rFonts w:hint="eastAsia"/>
                <w:color w:val="auto"/>
                <w:highlight w:val="none"/>
              </w:rPr>
              <w:t>分析、了解不全面的得2分，基本描述的得1分，未提供的不得分。</w:t>
            </w:r>
            <w:bookmarkEnd w:id="292"/>
          </w:p>
        </w:tc>
        <w:tc>
          <w:tcPr>
            <w:tcW w:w="850" w:type="dxa"/>
            <w:vAlign w:val="center"/>
          </w:tcPr>
          <w:p w14:paraId="2653BA64">
            <w:pPr>
              <w:pStyle w:val="99"/>
              <w:rPr>
                <w:color w:val="auto"/>
                <w:highlight w:val="none"/>
              </w:rPr>
            </w:pPr>
            <w:r>
              <w:rPr>
                <w:rFonts w:hint="eastAsia"/>
                <w:color w:val="auto"/>
                <w:highlight w:val="none"/>
              </w:rPr>
              <w:t>0-5分</w:t>
            </w:r>
          </w:p>
        </w:tc>
        <w:tc>
          <w:tcPr>
            <w:tcW w:w="913" w:type="dxa"/>
            <w:vAlign w:val="center"/>
          </w:tcPr>
          <w:p w14:paraId="75F90EE4">
            <w:pPr>
              <w:pStyle w:val="99"/>
              <w:rPr>
                <w:color w:val="auto"/>
                <w:highlight w:val="none"/>
              </w:rPr>
            </w:pPr>
            <w:r>
              <w:rPr>
                <w:rFonts w:hint="eastAsia"/>
                <w:color w:val="auto"/>
                <w:highlight w:val="none"/>
              </w:rPr>
              <w:t>主观分</w:t>
            </w:r>
          </w:p>
        </w:tc>
      </w:tr>
      <w:tr w14:paraId="7F3C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67EDF47">
            <w:pPr>
              <w:pStyle w:val="99"/>
              <w:rPr>
                <w:rFonts w:hint="default"/>
                <w:color w:val="auto"/>
                <w:highlight w:val="none"/>
                <w:lang w:val="en-US" w:eastAsia="zh-CN"/>
              </w:rPr>
            </w:pPr>
            <w:r>
              <w:rPr>
                <w:rFonts w:hint="eastAsia"/>
                <w:color w:val="auto"/>
                <w:highlight w:val="none"/>
                <w:lang w:val="en-US" w:eastAsia="zh-CN"/>
              </w:rPr>
              <w:t>5</w:t>
            </w:r>
          </w:p>
        </w:tc>
        <w:tc>
          <w:tcPr>
            <w:tcW w:w="1486" w:type="dxa"/>
            <w:vMerge w:val="continue"/>
            <w:vAlign w:val="center"/>
          </w:tcPr>
          <w:p w14:paraId="39C1C40E">
            <w:pPr>
              <w:pStyle w:val="99"/>
              <w:rPr>
                <w:rFonts w:hint="eastAsia" w:cs="Times New Roman" w:asciiTheme="minorEastAsia" w:hAnsiTheme="minorEastAsia" w:eastAsiaTheme="minorEastAsia"/>
                <w:b/>
                <w:bCs/>
                <w:color w:val="auto"/>
                <w:kern w:val="2"/>
                <w:sz w:val="21"/>
                <w:szCs w:val="21"/>
                <w:highlight w:val="none"/>
                <w:lang w:val="en-US" w:eastAsia="zh-CN" w:bidi="ar-SA"/>
              </w:rPr>
            </w:pPr>
          </w:p>
        </w:tc>
        <w:tc>
          <w:tcPr>
            <w:tcW w:w="5062" w:type="dxa"/>
            <w:shd w:val="clear" w:color="auto" w:fill="auto"/>
            <w:vAlign w:val="center"/>
          </w:tcPr>
          <w:p w14:paraId="73E450A8">
            <w:pPr>
              <w:pStyle w:val="99"/>
              <w:rPr>
                <w:rFonts w:hint="eastAsia" w:cs="Times New Roman" w:asciiTheme="minorEastAsia" w:hAnsiTheme="minorEastAsia" w:eastAsiaTheme="minorEastAsia"/>
                <w:color w:val="auto"/>
                <w:kern w:val="2"/>
                <w:sz w:val="21"/>
                <w:szCs w:val="22"/>
                <w:highlight w:val="none"/>
                <w:lang w:val="en-US" w:eastAsia="zh-CN" w:bidi="ar-SA"/>
              </w:rPr>
            </w:pPr>
            <w:r>
              <w:rPr>
                <w:rFonts w:hint="eastAsia"/>
                <w:color w:val="auto"/>
                <w:highlight w:val="none"/>
              </w:rPr>
              <w:t>分析本项目特点及难点，并提供解决方案，根据解决方案是否合理、是否切实可行，进行横向对比酌情打分。项目重点难点分析、解决方案全面的得</w:t>
            </w:r>
            <w:r>
              <w:rPr>
                <w:color w:val="auto"/>
                <w:highlight w:val="none"/>
              </w:rPr>
              <w:t>5</w:t>
            </w:r>
            <w:r>
              <w:rPr>
                <w:rFonts w:hint="eastAsia"/>
                <w:color w:val="auto"/>
                <w:highlight w:val="none"/>
              </w:rPr>
              <w:t>分；比较满足要求的得</w:t>
            </w:r>
            <w:r>
              <w:rPr>
                <w:color w:val="auto"/>
                <w:highlight w:val="none"/>
              </w:rPr>
              <w:t>4</w:t>
            </w:r>
            <w:r>
              <w:rPr>
                <w:rFonts w:hint="eastAsia"/>
                <w:color w:val="auto"/>
                <w:highlight w:val="none"/>
              </w:rPr>
              <w:t>分；基本满足要求的得</w:t>
            </w:r>
            <w:r>
              <w:rPr>
                <w:color w:val="auto"/>
                <w:highlight w:val="none"/>
              </w:rPr>
              <w:t>3</w:t>
            </w:r>
            <w:r>
              <w:rPr>
                <w:rFonts w:hint="eastAsia"/>
                <w:color w:val="auto"/>
                <w:highlight w:val="none"/>
              </w:rPr>
              <w:t>分；部分满足要求的得</w:t>
            </w:r>
            <w:r>
              <w:rPr>
                <w:color w:val="auto"/>
                <w:highlight w:val="none"/>
              </w:rPr>
              <w:t>2</w:t>
            </w:r>
            <w:r>
              <w:rPr>
                <w:rFonts w:hint="eastAsia"/>
                <w:color w:val="auto"/>
                <w:highlight w:val="none"/>
              </w:rPr>
              <w:t>分；简要描述、不够全面的得1分，未描述的得0分</w:t>
            </w:r>
          </w:p>
        </w:tc>
        <w:tc>
          <w:tcPr>
            <w:tcW w:w="850" w:type="dxa"/>
            <w:shd w:val="clear" w:color="auto" w:fill="auto"/>
            <w:vAlign w:val="center"/>
          </w:tcPr>
          <w:p w14:paraId="4245C766">
            <w:pPr>
              <w:pStyle w:val="99"/>
              <w:rPr>
                <w:rFonts w:hint="eastAsia" w:cs="Times New Roman" w:asciiTheme="minorEastAsia" w:hAnsiTheme="minorEastAsia" w:eastAsiaTheme="minorEastAsia"/>
                <w:color w:val="auto"/>
                <w:kern w:val="2"/>
                <w:sz w:val="21"/>
                <w:szCs w:val="22"/>
                <w:highlight w:val="none"/>
                <w:lang w:val="en-US" w:eastAsia="zh-CN" w:bidi="ar-SA"/>
              </w:rPr>
            </w:pPr>
            <w:r>
              <w:rPr>
                <w:rFonts w:hint="eastAsia"/>
                <w:color w:val="auto"/>
                <w:highlight w:val="none"/>
              </w:rPr>
              <w:t>0-5分</w:t>
            </w:r>
          </w:p>
        </w:tc>
        <w:tc>
          <w:tcPr>
            <w:tcW w:w="913" w:type="dxa"/>
            <w:shd w:val="clear" w:color="auto" w:fill="auto"/>
            <w:vAlign w:val="center"/>
          </w:tcPr>
          <w:p w14:paraId="4E966C2C">
            <w:pPr>
              <w:pStyle w:val="99"/>
              <w:rPr>
                <w:rFonts w:hint="eastAsia" w:cs="Times New Roman" w:asciiTheme="minorEastAsia" w:hAnsiTheme="minorEastAsia" w:eastAsiaTheme="minorEastAsia"/>
                <w:color w:val="auto"/>
                <w:kern w:val="2"/>
                <w:sz w:val="21"/>
                <w:szCs w:val="22"/>
                <w:highlight w:val="none"/>
                <w:lang w:val="en-US" w:eastAsia="zh-CN" w:bidi="ar-SA"/>
              </w:rPr>
            </w:pPr>
            <w:r>
              <w:rPr>
                <w:rFonts w:hint="eastAsia"/>
                <w:color w:val="auto"/>
                <w:highlight w:val="none"/>
              </w:rPr>
              <w:t>主观分</w:t>
            </w:r>
          </w:p>
        </w:tc>
      </w:tr>
      <w:tr w14:paraId="2B59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8012DF3">
            <w:pPr>
              <w:pStyle w:val="99"/>
              <w:rPr>
                <w:rFonts w:hint="eastAsia" w:eastAsiaTheme="minorEastAsia"/>
                <w:color w:val="auto"/>
                <w:highlight w:val="none"/>
                <w:lang w:eastAsia="zh-CN"/>
              </w:rPr>
            </w:pPr>
            <w:r>
              <w:rPr>
                <w:rFonts w:hint="eastAsia"/>
                <w:color w:val="auto"/>
                <w:highlight w:val="none"/>
                <w:lang w:val="en-US" w:eastAsia="zh-CN"/>
              </w:rPr>
              <w:t>6</w:t>
            </w:r>
          </w:p>
        </w:tc>
        <w:tc>
          <w:tcPr>
            <w:tcW w:w="1486" w:type="dxa"/>
            <w:vMerge w:val="continue"/>
            <w:vAlign w:val="center"/>
          </w:tcPr>
          <w:p w14:paraId="4FDB1123">
            <w:pPr>
              <w:pStyle w:val="99"/>
              <w:rPr>
                <w:color w:val="auto"/>
                <w:highlight w:val="none"/>
              </w:rPr>
            </w:pPr>
          </w:p>
        </w:tc>
        <w:tc>
          <w:tcPr>
            <w:tcW w:w="5062" w:type="dxa"/>
            <w:vAlign w:val="center"/>
          </w:tcPr>
          <w:p w14:paraId="3AF54845">
            <w:pPr>
              <w:pStyle w:val="99"/>
              <w:rPr>
                <w:rFonts w:hint="default" w:eastAsiaTheme="minorEastAsia"/>
                <w:color w:val="auto"/>
                <w:highlight w:val="none"/>
                <w:lang w:val="en-US" w:eastAsia="zh-CN"/>
              </w:rPr>
            </w:pPr>
            <w:r>
              <w:rPr>
                <w:rFonts w:hint="eastAsia"/>
                <w:color w:val="auto"/>
                <w:highlight w:val="none"/>
                <w:lang w:val="en-US" w:eastAsia="zh-CN"/>
              </w:rPr>
              <w:t>对企业排污许可证质量的复核方案</w:t>
            </w:r>
            <w:r>
              <w:rPr>
                <w:rFonts w:hint="eastAsia"/>
                <w:color w:val="auto"/>
                <w:highlight w:val="none"/>
              </w:rPr>
              <w:t>，方案合理、可实施、贴合实际的得5分，方案基本合理、基本可实施、部分贴合实际的得4分，方案基本合理、部分可实施、部分贴合实际的得3分，方案部分合理、部分可实施、部分贴合实际的得2分，方案简要描述的得1分，未提供的不得分</w:t>
            </w:r>
          </w:p>
        </w:tc>
        <w:tc>
          <w:tcPr>
            <w:tcW w:w="850" w:type="dxa"/>
            <w:vAlign w:val="center"/>
          </w:tcPr>
          <w:p w14:paraId="5CD375E9">
            <w:pPr>
              <w:pStyle w:val="99"/>
              <w:rPr>
                <w:color w:val="auto"/>
                <w:highlight w:val="none"/>
              </w:rPr>
            </w:pPr>
            <w:r>
              <w:rPr>
                <w:rFonts w:hint="eastAsia"/>
                <w:color w:val="auto"/>
                <w:highlight w:val="none"/>
              </w:rPr>
              <w:t>0</w:t>
            </w:r>
            <w:r>
              <w:rPr>
                <w:color w:val="auto"/>
                <w:highlight w:val="none"/>
              </w:rPr>
              <w:t>-5</w:t>
            </w:r>
            <w:r>
              <w:rPr>
                <w:rFonts w:hint="eastAsia"/>
                <w:color w:val="auto"/>
                <w:highlight w:val="none"/>
              </w:rPr>
              <w:t>分</w:t>
            </w:r>
          </w:p>
        </w:tc>
        <w:tc>
          <w:tcPr>
            <w:tcW w:w="913" w:type="dxa"/>
            <w:vAlign w:val="center"/>
          </w:tcPr>
          <w:p w14:paraId="0D7310BF">
            <w:pPr>
              <w:pStyle w:val="99"/>
              <w:rPr>
                <w:color w:val="auto"/>
                <w:highlight w:val="none"/>
              </w:rPr>
            </w:pPr>
            <w:r>
              <w:rPr>
                <w:rFonts w:hint="eastAsia"/>
                <w:color w:val="auto"/>
                <w:highlight w:val="none"/>
              </w:rPr>
              <w:t>主观分</w:t>
            </w:r>
          </w:p>
        </w:tc>
      </w:tr>
      <w:tr w14:paraId="06EF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C195B07">
            <w:pPr>
              <w:pStyle w:val="99"/>
              <w:rPr>
                <w:rFonts w:hint="eastAsia" w:eastAsiaTheme="minorEastAsia"/>
                <w:color w:val="auto"/>
                <w:highlight w:val="none"/>
                <w:lang w:eastAsia="zh-CN"/>
              </w:rPr>
            </w:pPr>
            <w:r>
              <w:rPr>
                <w:rFonts w:hint="eastAsia"/>
                <w:color w:val="auto"/>
                <w:highlight w:val="none"/>
                <w:lang w:val="en-US" w:eastAsia="zh-CN"/>
              </w:rPr>
              <w:t>7</w:t>
            </w:r>
          </w:p>
        </w:tc>
        <w:tc>
          <w:tcPr>
            <w:tcW w:w="1486" w:type="dxa"/>
            <w:vMerge w:val="continue"/>
            <w:vAlign w:val="center"/>
          </w:tcPr>
          <w:p w14:paraId="6C70FA9D">
            <w:pPr>
              <w:pStyle w:val="99"/>
              <w:rPr>
                <w:color w:val="auto"/>
                <w:highlight w:val="none"/>
              </w:rPr>
            </w:pPr>
          </w:p>
        </w:tc>
        <w:tc>
          <w:tcPr>
            <w:tcW w:w="5062" w:type="dxa"/>
            <w:vAlign w:val="center"/>
          </w:tcPr>
          <w:p w14:paraId="4E7F99BF">
            <w:pPr>
              <w:pStyle w:val="99"/>
              <w:rPr>
                <w:rFonts w:hint="default" w:ascii="宋体" w:hAnsi="宋体" w:cs="宋体" w:eastAsiaTheme="minorEastAsia"/>
                <w:color w:val="auto"/>
                <w:szCs w:val="21"/>
                <w:highlight w:val="none"/>
                <w:lang w:val="en-US" w:eastAsia="zh-CN"/>
              </w:rPr>
            </w:pPr>
            <w:r>
              <w:rPr>
                <w:rFonts w:hint="eastAsia"/>
                <w:color w:val="auto"/>
                <w:szCs w:val="22"/>
                <w:highlight w:val="none"/>
                <w:lang w:val="en-US" w:eastAsia="zh-CN"/>
              </w:rPr>
              <w:t xml:space="preserve"> 对企业排污企业质量不达标时的整改方案</w:t>
            </w:r>
            <w:r>
              <w:rPr>
                <w:rFonts w:hint="eastAsia"/>
                <w:color w:val="auto"/>
                <w:highlight w:val="none"/>
              </w:rPr>
              <w:t>，方案合理、可实施、贴合实际的得5分，方案基本合理、基本可实施、部分贴合实际的得4分，方案基本合理、部分可实施、部分贴合实际的得3分，方案部分合理、部分可实施、部分贴合实际的得2分，方案简要描述的得1分，未提供的不得分</w:t>
            </w:r>
          </w:p>
        </w:tc>
        <w:tc>
          <w:tcPr>
            <w:tcW w:w="850" w:type="dxa"/>
            <w:vAlign w:val="center"/>
          </w:tcPr>
          <w:p w14:paraId="0937F22A">
            <w:pPr>
              <w:pStyle w:val="99"/>
              <w:rPr>
                <w:color w:val="auto"/>
                <w:highlight w:val="none"/>
              </w:rPr>
            </w:pPr>
            <w:r>
              <w:rPr>
                <w:rFonts w:hint="eastAsia"/>
                <w:color w:val="auto"/>
                <w:highlight w:val="none"/>
              </w:rPr>
              <w:t>0</w:t>
            </w:r>
            <w:r>
              <w:rPr>
                <w:color w:val="auto"/>
                <w:highlight w:val="none"/>
              </w:rPr>
              <w:t>-</w:t>
            </w:r>
            <w:r>
              <w:rPr>
                <w:rFonts w:hint="eastAsia"/>
                <w:color w:val="auto"/>
                <w:highlight w:val="none"/>
                <w:lang w:val="en-US" w:eastAsia="zh-CN"/>
              </w:rPr>
              <w:t>5</w:t>
            </w:r>
            <w:r>
              <w:rPr>
                <w:rFonts w:hint="eastAsia"/>
                <w:color w:val="auto"/>
                <w:highlight w:val="none"/>
              </w:rPr>
              <w:t>分</w:t>
            </w:r>
          </w:p>
        </w:tc>
        <w:tc>
          <w:tcPr>
            <w:tcW w:w="913" w:type="dxa"/>
            <w:vAlign w:val="center"/>
          </w:tcPr>
          <w:p w14:paraId="0B9D6E17">
            <w:pPr>
              <w:pStyle w:val="99"/>
              <w:rPr>
                <w:color w:val="auto"/>
                <w:highlight w:val="none"/>
              </w:rPr>
            </w:pPr>
            <w:r>
              <w:rPr>
                <w:rFonts w:hint="eastAsia"/>
                <w:color w:val="auto"/>
                <w:highlight w:val="none"/>
              </w:rPr>
              <w:t>主观分</w:t>
            </w:r>
          </w:p>
        </w:tc>
      </w:tr>
      <w:tr w14:paraId="1582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7374938">
            <w:pPr>
              <w:pStyle w:val="99"/>
              <w:rPr>
                <w:rFonts w:hint="eastAsia" w:eastAsiaTheme="minorEastAsia"/>
                <w:color w:val="auto"/>
                <w:highlight w:val="none"/>
                <w:lang w:eastAsia="zh-CN"/>
              </w:rPr>
            </w:pPr>
            <w:bookmarkStart w:id="294" w:name="OLE_LINK22" w:colFirst="3" w:colLast="4"/>
            <w:r>
              <w:rPr>
                <w:rFonts w:hint="eastAsia"/>
                <w:color w:val="auto"/>
                <w:highlight w:val="none"/>
                <w:lang w:val="en-US" w:eastAsia="zh-CN"/>
              </w:rPr>
              <w:t>8</w:t>
            </w:r>
          </w:p>
        </w:tc>
        <w:tc>
          <w:tcPr>
            <w:tcW w:w="1486" w:type="dxa"/>
            <w:vMerge w:val="continue"/>
            <w:vAlign w:val="center"/>
          </w:tcPr>
          <w:p w14:paraId="0219B2F3">
            <w:pPr>
              <w:pStyle w:val="99"/>
              <w:rPr>
                <w:color w:val="auto"/>
                <w:highlight w:val="none"/>
              </w:rPr>
            </w:pPr>
          </w:p>
        </w:tc>
        <w:tc>
          <w:tcPr>
            <w:tcW w:w="5062" w:type="dxa"/>
            <w:vAlign w:val="center"/>
          </w:tcPr>
          <w:p w14:paraId="1337A933">
            <w:pPr>
              <w:pStyle w:val="99"/>
              <w:rPr>
                <w:rFonts w:hint="default" w:eastAsiaTheme="minorEastAsia"/>
                <w:color w:val="auto"/>
                <w:highlight w:val="none"/>
                <w:lang w:val="en-US" w:eastAsia="zh-CN"/>
              </w:rPr>
            </w:pPr>
            <w:r>
              <w:rPr>
                <w:rFonts w:hint="eastAsia"/>
                <w:color w:val="auto"/>
                <w:highlight w:val="none"/>
                <w:lang w:val="en-US" w:eastAsia="zh-CN"/>
              </w:rPr>
              <w:t xml:space="preserve"> 对首次申请、重新申请排污许可证企业的核查、指导方案</w:t>
            </w:r>
            <w:r>
              <w:rPr>
                <w:rFonts w:hint="eastAsia"/>
                <w:color w:val="auto"/>
                <w:highlight w:val="none"/>
              </w:rPr>
              <w:t>，方案合理、可实施、贴合实际的得5分，方案基本合理、基本可实施、部分贴合实际的得4分，方案基本合理、部分可实施、部分贴合实际的得3分，方案部分合理、部分可实施、部分贴合实际的得2分，方案简要描述的得1分，未提供的不得分</w:t>
            </w:r>
          </w:p>
        </w:tc>
        <w:tc>
          <w:tcPr>
            <w:tcW w:w="850" w:type="dxa"/>
            <w:vAlign w:val="center"/>
          </w:tcPr>
          <w:p w14:paraId="23A2B3B5">
            <w:pPr>
              <w:pStyle w:val="99"/>
              <w:rPr>
                <w:color w:val="auto"/>
                <w:highlight w:val="none"/>
              </w:rPr>
            </w:pPr>
            <w:r>
              <w:rPr>
                <w:rFonts w:hint="eastAsia"/>
                <w:color w:val="auto"/>
                <w:highlight w:val="none"/>
              </w:rPr>
              <w:t>0-</w:t>
            </w:r>
            <w:r>
              <w:rPr>
                <w:rFonts w:hint="eastAsia"/>
                <w:color w:val="auto"/>
                <w:highlight w:val="none"/>
                <w:lang w:val="en-US" w:eastAsia="zh-CN"/>
              </w:rPr>
              <w:t>5</w:t>
            </w:r>
            <w:r>
              <w:rPr>
                <w:rFonts w:hint="eastAsia"/>
                <w:color w:val="auto"/>
                <w:highlight w:val="none"/>
              </w:rPr>
              <w:t>分</w:t>
            </w:r>
          </w:p>
        </w:tc>
        <w:tc>
          <w:tcPr>
            <w:tcW w:w="913" w:type="dxa"/>
            <w:vAlign w:val="center"/>
          </w:tcPr>
          <w:p w14:paraId="5EAF8275">
            <w:pPr>
              <w:pStyle w:val="99"/>
              <w:rPr>
                <w:color w:val="auto"/>
                <w:highlight w:val="none"/>
              </w:rPr>
            </w:pPr>
            <w:r>
              <w:rPr>
                <w:rFonts w:hint="eastAsia"/>
                <w:color w:val="auto"/>
                <w:highlight w:val="none"/>
              </w:rPr>
              <w:t>主观分</w:t>
            </w:r>
          </w:p>
        </w:tc>
      </w:tr>
      <w:tr w14:paraId="2E99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EB4A233">
            <w:pPr>
              <w:pStyle w:val="99"/>
              <w:rPr>
                <w:rFonts w:hint="eastAsia" w:eastAsiaTheme="minorEastAsia"/>
                <w:color w:val="auto"/>
                <w:highlight w:val="none"/>
                <w:lang w:eastAsia="zh-CN"/>
              </w:rPr>
            </w:pPr>
            <w:bookmarkStart w:id="295" w:name="OLE_LINK31" w:colFirst="3" w:colLast="4"/>
            <w:r>
              <w:rPr>
                <w:rFonts w:hint="eastAsia"/>
                <w:color w:val="auto"/>
                <w:highlight w:val="none"/>
                <w:lang w:val="en-US" w:eastAsia="zh-CN"/>
              </w:rPr>
              <w:t>9</w:t>
            </w:r>
          </w:p>
        </w:tc>
        <w:tc>
          <w:tcPr>
            <w:tcW w:w="1486" w:type="dxa"/>
            <w:vMerge w:val="continue"/>
            <w:vAlign w:val="center"/>
          </w:tcPr>
          <w:p w14:paraId="1B8A0141">
            <w:pPr>
              <w:pStyle w:val="99"/>
              <w:rPr>
                <w:color w:val="auto"/>
                <w:highlight w:val="none"/>
              </w:rPr>
            </w:pPr>
          </w:p>
        </w:tc>
        <w:tc>
          <w:tcPr>
            <w:tcW w:w="5062" w:type="dxa"/>
            <w:vAlign w:val="center"/>
          </w:tcPr>
          <w:p w14:paraId="45107D39">
            <w:pPr>
              <w:pStyle w:val="99"/>
              <w:rPr>
                <w:color w:val="auto"/>
                <w:highlight w:val="none"/>
              </w:rPr>
            </w:pPr>
            <w:r>
              <w:rPr>
                <w:rFonts w:hint="eastAsia"/>
                <w:color w:val="auto"/>
                <w:highlight w:val="none"/>
                <w:lang w:val="en-US" w:eastAsia="zh-CN"/>
              </w:rPr>
              <w:t>核查、指导工作的</w:t>
            </w:r>
            <w:r>
              <w:rPr>
                <w:rFonts w:hint="eastAsia"/>
                <w:color w:val="auto"/>
                <w:highlight w:val="none"/>
              </w:rPr>
              <w:t>质量保障方案，方案合理、可实施、</w:t>
            </w:r>
            <w:bookmarkStart w:id="296" w:name="OLE_LINK27"/>
            <w:r>
              <w:rPr>
                <w:rFonts w:hint="eastAsia"/>
                <w:color w:val="auto"/>
                <w:highlight w:val="none"/>
              </w:rPr>
              <w:t>贴合实际</w:t>
            </w:r>
            <w:bookmarkEnd w:id="296"/>
            <w:r>
              <w:rPr>
                <w:rFonts w:hint="eastAsia"/>
                <w:color w:val="auto"/>
                <w:highlight w:val="none"/>
              </w:rPr>
              <w:t>的得5分，</w:t>
            </w:r>
            <w:bookmarkStart w:id="297" w:name="OLE_LINK28"/>
            <w:r>
              <w:rPr>
                <w:rFonts w:hint="eastAsia"/>
                <w:color w:val="auto"/>
                <w:highlight w:val="none"/>
              </w:rPr>
              <w:t>方案基本合理、基本可实施、部分贴合实际的得</w:t>
            </w:r>
            <w:bookmarkEnd w:id="297"/>
            <w:r>
              <w:rPr>
                <w:rFonts w:hint="eastAsia"/>
                <w:color w:val="auto"/>
                <w:highlight w:val="none"/>
              </w:rPr>
              <w:t>4分，方案</w:t>
            </w:r>
            <w:bookmarkStart w:id="298" w:name="OLE_LINK29"/>
            <w:r>
              <w:rPr>
                <w:rFonts w:hint="eastAsia"/>
                <w:color w:val="auto"/>
                <w:highlight w:val="none"/>
              </w:rPr>
              <w:t>基本</w:t>
            </w:r>
            <w:bookmarkEnd w:id="298"/>
            <w:r>
              <w:rPr>
                <w:rFonts w:hint="eastAsia"/>
                <w:color w:val="auto"/>
                <w:highlight w:val="none"/>
              </w:rPr>
              <w:t>合理、部分可实施、部分贴合实际的得3分，方案部分合理、部分可实施、部分贴合实际的得2分，方案简要描述的得1分，未提供的不得分</w:t>
            </w:r>
          </w:p>
        </w:tc>
        <w:tc>
          <w:tcPr>
            <w:tcW w:w="850" w:type="dxa"/>
            <w:vAlign w:val="center"/>
          </w:tcPr>
          <w:p w14:paraId="7F91E6A0">
            <w:pPr>
              <w:pStyle w:val="99"/>
              <w:rPr>
                <w:color w:val="auto"/>
                <w:highlight w:val="none"/>
              </w:rPr>
            </w:pPr>
            <w:r>
              <w:rPr>
                <w:rFonts w:hint="eastAsia"/>
                <w:color w:val="auto"/>
                <w:highlight w:val="none"/>
              </w:rPr>
              <w:t>0-5分</w:t>
            </w:r>
          </w:p>
        </w:tc>
        <w:tc>
          <w:tcPr>
            <w:tcW w:w="913" w:type="dxa"/>
            <w:vAlign w:val="center"/>
          </w:tcPr>
          <w:p w14:paraId="7E640688">
            <w:pPr>
              <w:pStyle w:val="99"/>
              <w:rPr>
                <w:color w:val="auto"/>
                <w:highlight w:val="none"/>
              </w:rPr>
            </w:pPr>
            <w:r>
              <w:rPr>
                <w:rFonts w:hint="eastAsia"/>
                <w:color w:val="auto"/>
                <w:highlight w:val="none"/>
              </w:rPr>
              <w:t>主观分</w:t>
            </w:r>
          </w:p>
        </w:tc>
      </w:tr>
      <w:bookmarkEnd w:id="294"/>
      <w:bookmarkEnd w:id="295"/>
      <w:tr w14:paraId="54E0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B6EF142">
            <w:pPr>
              <w:pStyle w:val="99"/>
              <w:rPr>
                <w:rFonts w:hint="eastAsia" w:eastAsiaTheme="minorEastAsia"/>
                <w:color w:val="auto"/>
                <w:highlight w:val="none"/>
                <w:lang w:eastAsia="zh-CN"/>
              </w:rPr>
            </w:pPr>
            <w:bookmarkStart w:id="299" w:name="OLE_LINK30" w:colFirst="3" w:colLast="4"/>
            <w:r>
              <w:rPr>
                <w:color w:val="auto"/>
                <w:highlight w:val="none"/>
              </w:rPr>
              <w:t>1</w:t>
            </w:r>
            <w:r>
              <w:rPr>
                <w:rFonts w:hint="eastAsia"/>
                <w:color w:val="auto"/>
                <w:highlight w:val="none"/>
                <w:lang w:val="en-US" w:eastAsia="zh-CN"/>
              </w:rPr>
              <w:t>0</w:t>
            </w:r>
          </w:p>
        </w:tc>
        <w:tc>
          <w:tcPr>
            <w:tcW w:w="1486" w:type="dxa"/>
            <w:vMerge w:val="continue"/>
            <w:vAlign w:val="center"/>
          </w:tcPr>
          <w:p w14:paraId="34C5BD0B">
            <w:pPr>
              <w:pStyle w:val="99"/>
              <w:rPr>
                <w:color w:val="auto"/>
                <w:highlight w:val="none"/>
              </w:rPr>
            </w:pPr>
          </w:p>
        </w:tc>
        <w:tc>
          <w:tcPr>
            <w:tcW w:w="5062" w:type="dxa"/>
            <w:vAlign w:val="center"/>
          </w:tcPr>
          <w:p w14:paraId="0BCB38C5">
            <w:pPr>
              <w:pStyle w:val="99"/>
              <w:rPr>
                <w:rFonts w:hint="default" w:eastAsiaTheme="minorEastAsia"/>
                <w:color w:val="auto"/>
                <w:szCs w:val="21"/>
                <w:highlight w:val="none"/>
                <w:lang w:val="en-US" w:eastAsia="zh-CN"/>
              </w:rPr>
            </w:pPr>
            <w:r>
              <w:rPr>
                <w:rFonts w:hint="eastAsia"/>
                <w:color w:val="auto"/>
                <w:szCs w:val="21"/>
                <w:highlight w:val="none"/>
                <w:lang w:val="en-US" w:eastAsia="zh-CN"/>
              </w:rPr>
              <w:t>对企业自行监测工作的方案</w:t>
            </w:r>
            <w:r>
              <w:rPr>
                <w:rFonts w:hint="eastAsia"/>
                <w:color w:val="auto"/>
                <w:highlight w:val="none"/>
              </w:rPr>
              <w:t>，方案合理、可实施、贴合实际的得5分，方案基本合理、基本可实施、部分贴合实际的得4分，方案基本合理、部分可实施、部分贴合实际的得3分，方案部分合理、部分可实施、部分贴合实际的得2分，方案简要描述的得1分，未提供的不得分</w:t>
            </w:r>
          </w:p>
        </w:tc>
        <w:tc>
          <w:tcPr>
            <w:tcW w:w="850" w:type="dxa"/>
            <w:vAlign w:val="center"/>
          </w:tcPr>
          <w:p w14:paraId="37EC7B22">
            <w:pPr>
              <w:pStyle w:val="99"/>
              <w:rPr>
                <w:color w:val="auto"/>
                <w:highlight w:val="none"/>
              </w:rPr>
            </w:pPr>
            <w:r>
              <w:rPr>
                <w:rFonts w:hint="eastAsia"/>
                <w:color w:val="auto"/>
                <w:highlight w:val="none"/>
              </w:rPr>
              <w:t>0-5分</w:t>
            </w:r>
          </w:p>
        </w:tc>
        <w:tc>
          <w:tcPr>
            <w:tcW w:w="913" w:type="dxa"/>
            <w:vAlign w:val="center"/>
          </w:tcPr>
          <w:p w14:paraId="10EA498D">
            <w:pPr>
              <w:pStyle w:val="99"/>
              <w:rPr>
                <w:color w:val="auto"/>
                <w:highlight w:val="none"/>
              </w:rPr>
            </w:pPr>
            <w:r>
              <w:rPr>
                <w:rFonts w:hint="eastAsia"/>
                <w:color w:val="auto"/>
                <w:highlight w:val="none"/>
              </w:rPr>
              <w:t>主观分</w:t>
            </w:r>
          </w:p>
        </w:tc>
      </w:tr>
      <w:tr w14:paraId="212C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76E2961">
            <w:pPr>
              <w:pStyle w:val="99"/>
              <w:rPr>
                <w:rFonts w:hint="default" w:eastAsiaTheme="minorEastAsia"/>
                <w:color w:val="auto"/>
                <w:highlight w:val="none"/>
                <w:lang w:val="en-US" w:eastAsia="zh-CN"/>
              </w:rPr>
            </w:pPr>
            <w:bookmarkStart w:id="300" w:name="OLE_LINK5" w:colFirst="2" w:colLast="4"/>
            <w:r>
              <w:rPr>
                <w:rFonts w:hint="eastAsia"/>
                <w:color w:val="auto"/>
                <w:highlight w:val="none"/>
                <w:lang w:val="en-US" w:eastAsia="zh-CN"/>
              </w:rPr>
              <w:t>11</w:t>
            </w:r>
          </w:p>
        </w:tc>
        <w:tc>
          <w:tcPr>
            <w:tcW w:w="1486" w:type="dxa"/>
            <w:vMerge w:val="continue"/>
            <w:vAlign w:val="center"/>
          </w:tcPr>
          <w:p w14:paraId="242003CD">
            <w:pPr>
              <w:pStyle w:val="99"/>
              <w:rPr>
                <w:color w:val="auto"/>
                <w:highlight w:val="none"/>
              </w:rPr>
            </w:pPr>
          </w:p>
        </w:tc>
        <w:tc>
          <w:tcPr>
            <w:tcW w:w="5062" w:type="dxa"/>
            <w:vAlign w:val="center"/>
          </w:tcPr>
          <w:p w14:paraId="5FF35301">
            <w:pPr>
              <w:pStyle w:val="99"/>
              <w:rPr>
                <w:rFonts w:hint="default"/>
                <w:color w:val="auto"/>
                <w:szCs w:val="21"/>
                <w:highlight w:val="none"/>
                <w:lang w:val="en-US" w:eastAsia="zh-CN"/>
              </w:rPr>
            </w:pPr>
            <w:r>
              <w:rPr>
                <w:rFonts w:hint="eastAsia"/>
                <w:color w:val="auto"/>
                <w:szCs w:val="21"/>
                <w:highlight w:val="none"/>
                <w:lang w:val="en-US" w:eastAsia="zh-CN"/>
              </w:rPr>
              <w:t>对企业自行监测企业的整改方案</w:t>
            </w:r>
            <w:r>
              <w:rPr>
                <w:rFonts w:hint="eastAsia"/>
                <w:color w:val="auto"/>
                <w:highlight w:val="none"/>
              </w:rPr>
              <w:t>，方案合理、可实施、贴合实际的得5分，方案基本合理、基本可实施、部分贴合实际的得4分，方案基本合理、部分可实施、部分贴合实际的得3分，方案部分合理、部分可实施、部分贴合实际的得2分，方案简要描述的得1分，未提供的不得分</w:t>
            </w:r>
          </w:p>
        </w:tc>
        <w:tc>
          <w:tcPr>
            <w:tcW w:w="850" w:type="dxa"/>
            <w:vAlign w:val="center"/>
          </w:tcPr>
          <w:p w14:paraId="7196BAAC">
            <w:pPr>
              <w:pStyle w:val="99"/>
              <w:rPr>
                <w:rFonts w:hint="eastAsia"/>
                <w:color w:val="auto"/>
                <w:highlight w:val="none"/>
              </w:rPr>
            </w:pPr>
            <w:r>
              <w:rPr>
                <w:rFonts w:hint="eastAsia"/>
                <w:color w:val="auto"/>
                <w:highlight w:val="none"/>
              </w:rPr>
              <w:t>0-5分</w:t>
            </w:r>
          </w:p>
        </w:tc>
        <w:tc>
          <w:tcPr>
            <w:tcW w:w="913" w:type="dxa"/>
            <w:vAlign w:val="center"/>
          </w:tcPr>
          <w:p w14:paraId="7A707E3C">
            <w:pPr>
              <w:pStyle w:val="99"/>
              <w:rPr>
                <w:rFonts w:hint="eastAsia"/>
                <w:color w:val="auto"/>
                <w:highlight w:val="none"/>
              </w:rPr>
            </w:pPr>
            <w:r>
              <w:rPr>
                <w:rFonts w:hint="eastAsia"/>
                <w:color w:val="auto"/>
                <w:highlight w:val="none"/>
              </w:rPr>
              <w:t>主观分</w:t>
            </w:r>
          </w:p>
        </w:tc>
      </w:tr>
      <w:bookmarkEnd w:id="299"/>
      <w:tr w14:paraId="4522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9B2199F">
            <w:pPr>
              <w:pStyle w:val="99"/>
              <w:rPr>
                <w:rFonts w:hint="default" w:eastAsiaTheme="minorEastAsia"/>
                <w:color w:val="auto"/>
                <w:highlight w:val="none"/>
                <w:lang w:val="en-US" w:eastAsia="zh-CN"/>
              </w:rPr>
            </w:pPr>
            <w:r>
              <w:rPr>
                <w:rFonts w:hint="eastAsia"/>
                <w:color w:val="auto"/>
                <w:highlight w:val="none"/>
                <w:lang w:val="en-US" w:eastAsia="zh-CN"/>
              </w:rPr>
              <w:t>12</w:t>
            </w:r>
          </w:p>
        </w:tc>
        <w:tc>
          <w:tcPr>
            <w:tcW w:w="1486" w:type="dxa"/>
            <w:vMerge w:val="restart"/>
            <w:vAlign w:val="center"/>
          </w:tcPr>
          <w:p w14:paraId="21E53727">
            <w:pPr>
              <w:pStyle w:val="99"/>
              <w:rPr>
                <w:color w:val="auto"/>
                <w:highlight w:val="none"/>
              </w:rPr>
            </w:pPr>
            <w:r>
              <w:rPr>
                <w:rFonts w:hint="eastAsia" w:cs="Times New Roman" w:asciiTheme="minorEastAsia" w:hAnsiTheme="minorEastAsia" w:eastAsiaTheme="minorEastAsia"/>
                <w:b/>
                <w:bCs/>
                <w:color w:val="auto"/>
                <w:kern w:val="2"/>
                <w:sz w:val="21"/>
                <w:szCs w:val="21"/>
                <w:highlight w:val="none"/>
                <w:lang w:val="en-US" w:eastAsia="zh-CN" w:bidi="ar-SA"/>
              </w:rPr>
              <w:t>服务方案（</w:t>
            </w:r>
            <w:r>
              <w:rPr>
                <w:rFonts w:hint="eastAsia" w:cs="Times New Roman"/>
                <w:b/>
                <w:bCs/>
                <w:color w:val="auto"/>
                <w:kern w:val="2"/>
                <w:sz w:val="21"/>
                <w:szCs w:val="21"/>
                <w:highlight w:val="none"/>
                <w:lang w:val="en-US" w:eastAsia="zh-CN" w:bidi="ar-SA"/>
              </w:rPr>
              <w:t>35</w:t>
            </w:r>
            <w:r>
              <w:rPr>
                <w:rFonts w:hint="eastAsia" w:cs="Times New Roman" w:asciiTheme="minorEastAsia" w:hAnsiTheme="minorEastAsia" w:eastAsiaTheme="minorEastAsia"/>
                <w:b/>
                <w:bCs/>
                <w:color w:val="auto"/>
                <w:kern w:val="2"/>
                <w:sz w:val="21"/>
                <w:szCs w:val="21"/>
                <w:highlight w:val="none"/>
                <w:lang w:val="en-US" w:eastAsia="zh-CN" w:bidi="ar-SA"/>
              </w:rPr>
              <w:t>分）</w:t>
            </w:r>
          </w:p>
        </w:tc>
        <w:tc>
          <w:tcPr>
            <w:tcW w:w="5062" w:type="dxa"/>
            <w:vAlign w:val="center"/>
          </w:tcPr>
          <w:p w14:paraId="43995751">
            <w:pPr>
              <w:pStyle w:val="99"/>
              <w:rPr>
                <w:color w:val="auto"/>
                <w:highlight w:val="none"/>
              </w:rPr>
            </w:pPr>
            <w:r>
              <w:rPr>
                <w:rFonts w:hint="eastAsia"/>
                <w:color w:val="auto"/>
                <w:highlight w:val="none"/>
              </w:rPr>
              <w:t>项目实施进度计划安排</w:t>
            </w:r>
            <w:r>
              <w:rPr>
                <w:rFonts w:hint="eastAsia"/>
                <w:color w:val="auto"/>
                <w:highlight w:val="none"/>
                <w:lang w:val="en-US" w:eastAsia="zh-CN"/>
              </w:rPr>
              <w:t>及进度保障措施</w:t>
            </w:r>
            <w:r>
              <w:rPr>
                <w:rFonts w:hint="eastAsia"/>
                <w:color w:val="auto"/>
                <w:highlight w:val="none"/>
                <w:lang w:eastAsia="zh-CN"/>
              </w:rPr>
              <w:t>，</w:t>
            </w:r>
            <w:r>
              <w:rPr>
                <w:rFonts w:hint="eastAsia"/>
                <w:color w:val="auto"/>
                <w:highlight w:val="none"/>
              </w:rPr>
              <w:t>各环节时间节点的设置及实施方案，各工作时间节点设置合理、工作面实施交叉进行的、工作进度合理的得5分，各工作时间节点基本明确、时间安排基本合理的得4分，各项工作时间节点简要设置，部分可实施的得3分，部分工作设置时间节点、可实施的得2分，简要描述、不够全面的得1分，未描述的得0分</w:t>
            </w:r>
          </w:p>
        </w:tc>
        <w:tc>
          <w:tcPr>
            <w:tcW w:w="850" w:type="dxa"/>
            <w:vAlign w:val="center"/>
          </w:tcPr>
          <w:p w14:paraId="731797BE">
            <w:pPr>
              <w:pStyle w:val="99"/>
              <w:rPr>
                <w:color w:val="auto"/>
                <w:highlight w:val="none"/>
              </w:rPr>
            </w:pPr>
            <w:r>
              <w:rPr>
                <w:rFonts w:hint="eastAsia"/>
                <w:color w:val="auto"/>
                <w:highlight w:val="none"/>
              </w:rPr>
              <w:t>0-5分</w:t>
            </w:r>
          </w:p>
        </w:tc>
        <w:tc>
          <w:tcPr>
            <w:tcW w:w="913" w:type="dxa"/>
            <w:vAlign w:val="center"/>
          </w:tcPr>
          <w:p w14:paraId="23E64817">
            <w:pPr>
              <w:pStyle w:val="99"/>
              <w:rPr>
                <w:color w:val="auto"/>
                <w:highlight w:val="none"/>
              </w:rPr>
            </w:pPr>
            <w:r>
              <w:rPr>
                <w:rFonts w:hint="eastAsia"/>
                <w:color w:val="auto"/>
                <w:highlight w:val="none"/>
              </w:rPr>
              <w:t>主观分</w:t>
            </w:r>
          </w:p>
        </w:tc>
      </w:tr>
      <w:tr w14:paraId="01B3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5F90B2B">
            <w:pPr>
              <w:pStyle w:val="99"/>
              <w:rPr>
                <w:rFonts w:hint="default" w:eastAsiaTheme="minorEastAsia"/>
                <w:color w:val="auto"/>
                <w:highlight w:val="none"/>
                <w:lang w:val="en-US" w:eastAsia="zh-CN"/>
              </w:rPr>
            </w:pPr>
            <w:r>
              <w:rPr>
                <w:rFonts w:hint="eastAsia"/>
                <w:color w:val="auto"/>
                <w:highlight w:val="none"/>
                <w:lang w:val="en-US" w:eastAsia="zh-CN"/>
              </w:rPr>
              <w:t>13</w:t>
            </w:r>
          </w:p>
        </w:tc>
        <w:tc>
          <w:tcPr>
            <w:tcW w:w="1486" w:type="dxa"/>
            <w:vMerge w:val="continue"/>
            <w:vAlign w:val="center"/>
          </w:tcPr>
          <w:p w14:paraId="5A5157D0">
            <w:pPr>
              <w:pStyle w:val="99"/>
              <w:rPr>
                <w:rFonts w:hint="eastAsia"/>
                <w:color w:val="auto"/>
                <w:highlight w:val="none"/>
              </w:rPr>
            </w:pPr>
          </w:p>
        </w:tc>
        <w:tc>
          <w:tcPr>
            <w:tcW w:w="5062" w:type="dxa"/>
            <w:vAlign w:val="center"/>
          </w:tcPr>
          <w:p w14:paraId="1824B34D">
            <w:pPr>
              <w:pStyle w:val="99"/>
              <w:spacing w:line="360" w:lineRule="auto"/>
              <w:rPr>
                <w:rFonts w:hint="eastAsia"/>
                <w:color w:val="auto"/>
                <w:highlight w:val="none"/>
              </w:rPr>
            </w:pPr>
            <w:r>
              <w:rPr>
                <w:rFonts w:hint="eastAsia" w:asciiTheme="minorEastAsia" w:hAnsiTheme="minorEastAsia" w:eastAsiaTheme="minorEastAsia"/>
                <w:color w:val="auto"/>
                <w:highlight w:val="none"/>
                <w:lang w:val="en-US" w:eastAsia="zh-CN"/>
              </w:rPr>
              <w:t>投标人具有完善的台账制度，各工作节点进度、各项数据、申报材料登记并具有健全的台账制度、台账规范、配备专人负责台账及内容核对的得5分，制定完善的台账管理制度的得4分，基本制定台账管理制度的得3分，简要阐述台账制度部分合理的得2分</w:t>
            </w:r>
            <w:r>
              <w:rPr>
                <w:rFonts w:hint="eastAsia" w:cs="Times New Roman" w:asciiTheme="minorEastAsia" w:hAnsiTheme="minorEastAsia" w:eastAsiaTheme="minorEastAsia"/>
                <w:color w:val="auto"/>
                <w:highlight w:val="none"/>
                <w:lang w:val="en-US" w:eastAsia="zh-CN"/>
              </w:rPr>
              <w:t>，简要描述、不够全面的得1分，未描述的得0分</w:t>
            </w:r>
          </w:p>
        </w:tc>
        <w:tc>
          <w:tcPr>
            <w:tcW w:w="850" w:type="dxa"/>
            <w:vAlign w:val="center"/>
          </w:tcPr>
          <w:p w14:paraId="13DD33D9">
            <w:pPr>
              <w:pStyle w:val="99"/>
              <w:spacing w:line="360" w:lineRule="auto"/>
              <w:jc w:val="center"/>
              <w:rPr>
                <w:rFonts w:hint="eastAsia"/>
                <w:color w:val="auto"/>
                <w:highlight w:val="none"/>
              </w:rPr>
            </w:pPr>
            <w:r>
              <w:rPr>
                <w:rFonts w:hint="eastAsia" w:asciiTheme="minorEastAsia" w:hAnsiTheme="minorEastAsia" w:eastAsiaTheme="minorEastAsia"/>
                <w:color w:val="auto"/>
                <w:highlight w:val="none"/>
                <w:lang w:eastAsia="zh-CN"/>
              </w:rPr>
              <w:t>0-</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分</w:t>
            </w:r>
          </w:p>
        </w:tc>
        <w:tc>
          <w:tcPr>
            <w:tcW w:w="913" w:type="dxa"/>
            <w:vAlign w:val="center"/>
          </w:tcPr>
          <w:p w14:paraId="5F400014">
            <w:pPr>
              <w:pStyle w:val="99"/>
              <w:spacing w:line="360" w:lineRule="auto"/>
              <w:rPr>
                <w:rFonts w:hint="eastAsia"/>
                <w:color w:val="auto"/>
                <w:highlight w:val="none"/>
              </w:rPr>
            </w:pPr>
            <w:r>
              <w:rPr>
                <w:rFonts w:hint="eastAsia" w:asciiTheme="minorEastAsia" w:hAnsiTheme="minorEastAsia" w:eastAsiaTheme="minorEastAsia"/>
                <w:color w:val="auto"/>
                <w:highlight w:val="none"/>
                <w:lang w:val="en-US" w:eastAsia="zh-CN"/>
              </w:rPr>
              <w:t>主观分</w:t>
            </w:r>
          </w:p>
        </w:tc>
      </w:tr>
      <w:bookmarkEnd w:id="300"/>
      <w:tr w14:paraId="3C82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CB9B101">
            <w:pPr>
              <w:pStyle w:val="99"/>
              <w:rPr>
                <w:color w:val="auto"/>
                <w:highlight w:val="none"/>
              </w:rPr>
            </w:pPr>
            <w:r>
              <w:rPr>
                <w:rFonts w:hint="eastAsia"/>
                <w:color w:val="auto"/>
                <w:highlight w:val="none"/>
              </w:rPr>
              <w:t>1</w:t>
            </w:r>
            <w:r>
              <w:rPr>
                <w:color w:val="auto"/>
                <w:highlight w:val="none"/>
              </w:rPr>
              <w:t>4</w:t>
            </w:r>
          </w:p>
        </w:tc>
        <w:tc>
          <w:tcPr>
            <w:tcW w:w="1486" w:type="dxa"/>
            <w:vMerge w:val="continue"/>
            <w:vAlign w:val="center"/>
          </w:tcPr>
          <w:p w14:paraId="6C798996">
            <w:pPr>
              <w:pStyle w:val="99"/>
              <w:rPr>
                <w:color w:val="auto"/>
                <w:highlight w:val="none"/>
              </w:rPr>
            </w:pPr>
          </w:p>
        </w:tc>
        <w:tc>
          <w:tcPr>
            <w:tcW w:w="5062" w:type="dxa"/>
            <w:vAlign w:val="center"/>
          </w:tcPr>
          <w:p w14:paraId="2DFC2A1B">
            <w:pPr>
              <w:pStyle w:val="99"/>
              <w:rPr>
                <w:rFonts w:hint="default" w:eastAsiaTheme="minorEastAsia"/>
                <w:color w:val="auto"/>
                <w:highlight w:val="none"/>
                <w:lang w:val="en-US" w:eastAsia="zh-CN"/>
              </w:rPr>
            </w:pPr>
            <w:r>
              <w:rPr>
                <w:rFonts w:hint="eastAsia"/>
                <w:color w:val="auto"/>
                <w:highlight w:val="none"/>
                <w:lang w:val="en-US" w:eastAsia="zh-CN"/>
              </w:rPr>
              <w:t>投标人人员及车辆到位率的保障方案</w:t>
            </w:r>
            <w:r>
              <w:rPr>
                <w:rFonts w:hint="eastAsia"/>
                <w:color w:val="auto"/>
                <w:highlight w:val="none"/>
              </w:rPr>
              <w:t>，方案合理、可实施、贴合实际的得5分，方案基本合理、基本可实施、部分贴合实际的得4分，方案基本合理、部分可实施、部分贴合实际的得3分，方案部分合理、部分可实施、部分贴合实际的得2分，方案简要描述的得1分，未提供的不得分</w:t>
            </w:r>
          </w:p>
        </w:tc>
        <w:tc>
          <w:tcPr>
            <w:tcW w:w="850" w:type="dxa"/>
            <w:shd w:val="clear" w:color="auto" w:fill="auto"/>
            <w:vAlign w:val="center"/>
          </w:tcPr>
          <w:p w14:paraId="5FDC5EF5">
            <w:pPr>
              <w:pStyle w:val="99"/>
              <w:spacing w:line="360" w:lineRule="auto"/>
              <w:jc w:val="center"/>
              <w:rPr>
                <w:rFonts w:hint="eastAsia" w:cs="Times New Roman" w:asciiTheme="minorEastAsia" w:hAnsiTheme="minorEastAsia" w:eastAsiaTheme="minorEastAsia"/>
                <w:color w:val="auto"/>
                <w:kern w:val="2"/>
                <w:sz w:val="21"/>
                <w:szCs w:val="22"/>
                <w:highlight w:val="none"/>
                <w:lang w:val="en-US" w:eastAsia="zh-CN" w:bidi="ar-SA"/>
              </w:rPr>
            </w:pPr>
            <w:r>
              <w:rPr>
                <w:rFonts w:hint="eastAsia" w:asciiTheme="minorEastAsia" w:hAnsiTheme="minorEastAsia" w:eastAsiaTheme="minorEastAsia"/>
                <w:color w:val="auto"/>
                <w:highlight w:val="none"/>
                <w:lang w:eastAsia="zh-CN"/>
              </w:rPr>
              <w:t>0-</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分</w:t>
            </w:r>
          </w:p>
        </w:tc>
        <w:tc>
          <w:tcPr>
            <w:tcW w:w="913" w:type="dxa"/>
            <w:shd w:val="clear" w:color="auto" w:fill="auto"/>
            <w:vAlign w:val="center"/>
          </w:tcPr>
          <w:p w14:paraId="1ED9BF2E">
            <w:pPr>
              <w:pStyle w:val="99"/>
              <w:spacing w:line="360" w:lineRule="auto"/>
              <w:rPr>
                <w:rFonts w:hint="eastAsia" w:cs="Times New Roman" w:asciiTheme="minorEastAsia" w:hAnsiTheme="minorEastAsia" w:eastAsiaTheme="minorEastAsia"/>
                <w:color w:val="auto"/>
                <w:kern w:val="2"/>
                <w:sz w:val="21"/>
                <w:szCs w:val="22"/>
                <w:highlight w:val="none"/>
                <w:lang w:val="en-US" w:eastAsia="zh-CN" w:bidi="ar-SA"/>
              </w:rPr>
            </w:pPr>
            <w:r>
              <w:rPr>
                <w:rFonts w:hint="eastAsia" w:asciiTheme="minorEastAsia" w:hAnsiTheme="minorEastAsia" w:eastAsiaTheme="minorEastAsia"/>
                <w:color w:val="auto"/>
                <w:highlight w:val="none"/>
                <w:lang w:val="en-US" w:eastAsia="zh-CN"/>
              </w:rPr>
              <w:t>主观分</w:t>
            </w:r>
          </w:p>
        </w:tc>
      </w:tr>
      <w:tr w14:paraId="176A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9DB07FD">
            <w:pPr>
              <w:pStyle w:val="99"/>
              <w:rPr>
                <w:color w:val="auto"/>
                <w:highlight w:val="none"/>
              </w:rPr>
            </w:pPr>
            <w:r>
              <w:rPr>
                <w:rFonts w:hint="eastAsia"/>
                <w:color w:val="auto"/>
                <w:highlight w:val="none"/>
              </w:rPr>
              <w:t>1</w:t>
            </w:r>
            <w:r>
              <w:rPr>
                <w:color w:val="auto"/>
                <w:highlight w:val="none"/>
              </w:rPr>
              <w:t>5</w:t>
            </w:r>
          </w:p>
        </w:tc>
        <w:tc>
          <w:tcPr>
            <w:tcW w:w="1486" w:type="dxa"/>
            <w:vMerge w:val="continue"/>
            <w:vAlign w:val="center"/>
          </w:tcPr>
          <w:p w14:paraId="52B00D88">
            <w:pPr>
              <w:pStyle w:val="99"/>
              <w:rPr>
                <w:color w:val="auto"/>
                <w:highlight w:val="none"/>
              </w:rPr>
            </w:pPr>
          </w:p>
        </w:tc>
        <w:tc>
          <w:tcPr>
            <w:tcW w:w="5062" w:type="dxa"/>
            <w:vAlign w:val="center"/>
          </w:tcPr>
          <w:p w14:paraId="18ACBE8D">
            <w:pPr>
              <w:pStyle w:val="99"/>
              <w:spacing w:line="360" w:lineRule="auto"/>
              <w:rPr>
                <w:rFonts w:hint="default" w:eastAsiaTheme="minorEastAsia"/>
                <w:color w:val="auto"/>
                <w:szCs w:val="21"/>
                <w:highlight w:val="none"/>
                <w:lang w:val="en-US" w:eastAsia="zh-CN"/>
              </w:rPr>
            </w:pPr>
            <w:r>
              <w:rPr>
                <w:rFonts w:hint="default" w:ascii="宋体" w:hAnsi="宋体" w:eastAsia="宋体" w:cs="Times New Roman"/>
                <w:color w:val="auto"/>
                <w:kern w:val="2"/>
                <w:sz w:val="21"/>
                <w:szCs w:val="21"/>
                <w:highlight w:val="none"/>
                <w:lang w:val="en-US" w:eastAsia="zh-CN" w:bidi="ar-SA"/>
              </w:rPr>
              <w:t>根据供应商提供的针对本</w:t>
            </w:r>
            <w:r>
              <w:rPr>
                <w:rFonts w:hint="eastAsia" w:ascii="宋体" w:hAnsi="宋体" w:cs="Times New Roman"/>
                <w:color w:val="auto"/>
                <w:kern w:val="2"/>
                <w:sz w:val="21"/>
                <w:szCs w:val="21"/>
                <w:highlight w:val="none"/>
                <w:lang w:val="en-US" w:eastAsia="zh-CN" w:bidi="ar-SA"/>
              </w:rPr>
              <w:t>项目</w:t>
            </w:r>
            <w:r>
              <w:rPr>
                <w:rFonts w:hint="default" w:ascii="宋体" w:hAnsi="宋体" w:eastAsia="宋体" w:cs="Times New Roman"/>
                <w:color w:val="auto"/>
                <w:kern w:val="2"/>
                <w:sz w:val="21"/>
                <w:szCs w:val="21"/>
                <w:highlight w:val="none"/>
                <w:lang w:val="en-US" w:eastAsia="zh-CN" w:bidi="ar-SA"/>
              </w:rPr>
              <w:t>服务过程中可能涉及的保密制度及措施方案（如工作底稿数据、电子数据</w:t>
            </w:r>
            <w:r>
              <w:rPr>
                <w:rFonts w:hint="eastAsia" w:ascii="宋体" w:hAnsi="宋体" w:eastAsia="宋体" w:cs="Times New Roman"/>
                <w:color w:val="auto"/>
                <w:kern w:val="2"/>
                <w:sz w:val="21"/>
                <w:szCs w:val="21"/>
                <w:highlight w:val="none"/>
                <w:lang w:val="en-US" w:eastAsia="zh-CN" w:bidi="ar-SA"/>
              </w:rPr>
              <w:t>、样本数据</w:t>
            </w:r>
            <w:r>
              <w:rPr>
                <w:rFonts w:hint="eastAsia" w:ascii="宋体" w:hAnsi="宋体" w:cs="Times New Roman"/>
                <w:color w:val="auto"/>
                <w:kern w:val="2"/>
                <w:sz w:val="21"/>
                <w:szCs w:val="21"/>
                <w:highlight w:val="none"/>
                <w:lang w:val="en-US" w:eastAsia="zh-CN" w:bidi="ar-SA"/>
              </w:rPr>
              <w:t>、企业信息等</w:t>
            </w:r>
            <w:r>
              <w:rPr>
                <w:rFonts w:hint="default" w:ascii="宋体" w:hAnsi="宋体" w:eastAsia="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，制度完整周密全面、措施有效、承诺责任落实且合理可行、符合采购人实际、完全满足且合理可行的得</w:t>
            </w:r>
            <w:r>
              <w:rPr>
                <w:rFonts w:hint="eastAsia" w:ascii="宋体" w:hAnsi="宋体" w:cs="Times New Roman"/>
                <w:color w:val="auto"/>
                <w:kern w:val="2"/>
                <w:sz w:val="21"/>
                <w:szCs w:val="21"/>
                <w:highlight w:val="none"/>
                <w:lang w:val="en-US" w:eastAsia="zh-CN" w:bidi="ar-SA"/>
              </w:rPr>
              <w:t>5</w:t>
            </w:r>
            <w:r>
              <w:rPr>
                <w:rFonts w:hint="eastAsia" w:ascii="宋体" w:hAnsi="宋体" w:eastAsia="宋体" w:cs="Times New Roman"/>
                <w:color w:val="auto"/>
                <w:kern w:val="2"/>
                <w:sz w:val="21"/>
                <w:szCs w:val="21"/>
                <w:highlight w:val="none"/>
                <w:lang w:val="en-US" w:eastAsia="zh-CN" w:bidi="ar-SA"/>
              </w:rPr>
              <w:t>分；制度及措施有欠缺但基本合理可行的得</w:t>
            </w:r>
            <w:r>
              <w:rPr>
                <w:rFonts w:hint="eastAsia" w:ascii="宋体" w:hAnsi="宋体" w:cs="Times New Roman"/>
                <w:color w:val="auto"/>
                <w:kern w:val="2"/>
                <w:sz w:val="21"/>
                <w:szCs w:val="21"/>
                <w:highlight w:val="none"/>
                <w:lang w:val="en-US" w:eastAsia="zh-CN" w:bidi="ar-SA"/>
              </w:rPr>
              <w:t>4</w:t>
            </w:r>
            <w:r>
              <w:rPr>
                <w:rFonts w:hint="eastAsia" w:ascii="宋体" w:hAnsi="宋体" w:eastAsia="宋体" w:cs="Times New Roman"/>
                <w:color w:val="auto"/>
                <w:kern w:val="2"/>
                <w:sz w:val="21"/>
                <w:szCs w:val="21"/>
                <w:highlight w:val="none"/>
                <w:lang w:val="en-US" w:eastAsia="zh-CN" w:bidi="ar-SA"/>
              </w:rPr>
              <w:t>分；制度及措施不够全面或合理可行性有所欠缺的得</w:t>
            </w: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分；制度及措施不全面或合理可行性欠缺的，有泄密风险的得</w:t>
            </w: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分；</w:t>
            </w:r>
            <w:r>
              <w:rPr>
                <w:rFonts w:hint="eastAsia" w:ascii="宋体" w:hAnsi="宋体" w:cs="Times New Roman"/>
                <w:color w:val="auto"/>
                <w:kern w:val="2"/>
                <w:sz w:val="21"/>
                <w:szCs w:val="21"/>
                <w:highlight w:val="none"/>
                <w:lang w:val="en-US" w:eastAsia="zh-CN" w:bidi="ar-SA"/>
              </w:rPr>
              <w:t>简要描述但漏洞较大的得1分；</w:t>
            </w:r>
            <w:r>
              <w:rPr>
                <w:rFonts w:hint="eastAsia" w:ascii="宋体" w:hAnsi="宋体" w:eastAsia="宋体" w:cs="Times New Roman"/>
                <w:color w:val="auto"/>
                <w:kern w:val="2"/>
                <w:sz w:val="21"/>
                <w:szCs w:val="21"/>
                <w:highlight w:val="none"/>
                <w:lang w:val="en-US" w:eastAsia="zh-CN" w:bidi="ar-SA"/>
              </w:rPr>
              <w:t>不满足或未提供的，不得分。</w:t>
            </w:r>
          </w:p>
        </w:tc>
        <w:tc>
          <w:tcPr>
            <w:tcW w:w="850" w:type="dxa"/>
            <w:vAlign w:val="center"/>
          </w:tcPr>
          <w:p w14:paraId="2BA07DEF">
            <w:pPr>
              <w:pStyle w:val="99"/>
              <w:spacing w:line="360" w:lineRule="auto"/>
              <w:jc w:val="center"/>
              <w:rPr>
                <w:color w:val="auto"/>
                <w:highlight w:val="none"/>
              </w:rPr>
            </w:pPr>
            <w:r>
              <w:rPr>
                <w:rFonts w:hint="eastAsia" w:asciiTheme="minorEastAsia" w:hAnsiTheme="minorEastAsia" w:eastAsiaTheme="minorEastAsia"/>
                <w:color w:val="auto"/>
                <w:highlight w:val="none"/>
                <w:lang w:eastAsia="zh-CN"/>
              </w:rPr>
              <w:t>0-</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分</w:t>
            </w:r>
          </w:p>
        </w:tc>
        <w:tc>
          <w:tcPr>
            <w:tcW w:w="913" w:type="dxa"/>
            <w:vAlign w:val="center"/>
          </w:tcPr>
          <w:p w14:paraId="5371F323">
            <w:pPr>
              <w:pStyle w:val="99"/>
              <w:spacing w:line="360" w:lineRule="auto"/>
              <w:rPr>
                <w:color w:val="auto"/>
                <w:highlight w:val="none"/>
              </w:rPr>
            </w:pPr>
            <w:r>
              <w:rPr>
                <w:rFonts w:hint="eastAsia" w:asciiTheme="minorEastAsia" w:hAnsiTheme="minorEastAsia" w:eastAsiaTheme="minorEastAsia"/>
                <w:color w:val="auto"/>
                <w:highlight w:val="none"/>
                <w:lang w:val="en-US" w:eastAsia="zh-CN"/>
              </w:rPr>
              <w:t>主观分</w:t>
            </w:r>
          </w:p>
        </w:tc>
      </w:tr>
      <w:tr w14:paraId="5360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32EF90A">
            <w:pPr>
              <w:pStyle w:val="99"/>
              <w:rPr>
                <w:rFonts w:hint="default" w:eastAsiaTheme="minorEastAsia"/>
                <w:color w:val="auto"/>
                <w:highlight w:val="none"/>
                <w:lang w:val="en-US" w:eastAsia="zh-CN"/>
              </w:rPr>
            </w:pPr>
            <w:r>
              <w:rPr>
                <w:rFonts w:hint="eastAsia"/>
                <w:color w:val="auto"/>
                <w:highlight w:val="none"/>
                <w:lang w:val="en-US" w:eastAsia="zh-CN"/>
              </w:rPr>
              <w:t>16</w:t>
            </w:r>
          </w:p>
        </w:tc>
        <w:tc>
          <w:tcPr>
            <w:tcW w:w="1486" w:type="dxa"/>
            <w:vMerge w:val="continue"/>
            <w:vAlign w:val="center"/>
          </w:tcPr>
          <w:p w14:paraId="1D9E8603">
            <w:pPr>
              <w:pStyle w:val="99"/>
              <w:rPr>
                <w:color w:val="auto"/>
                <w:highlight w:val="none"/>
              </w:rPr>
            </w:pPr>
          </w:p>
        </w:tc>
        <w:tc>
          <w:tcPr>
            <w:tcW w:w="5062" w:type="dxa"/>
            <w:vAlign w:val="center"/>
          </w:tcPr>
          <w:p w14:paraId="0AA86CD9">
            <w:pPr>
              <w:pStyle w:val="99"/>
              <w:spacing w:line="360" w:lineRule="auto"/>
              <w:rPr>
                <w:rFonts w:hint="eastAsia"/>
                <w:color w:val="auto"/>
                <w:highlight w:val="none"/>
              </w:rPr>
            </w:pPr>
            <w:r>
              <w:rPr>
                <w:rFonts w:hint="eastAsia" w:asciiTheme="minorEastAsia" w:hAnsiTheme="minorEastAsia" w:eastAsiaTheme="minorEastAsia"/>
                <w:color w:val="auto"/>
                <w:szCs w:val="21"/>
                <w:highlight w:val="none"/>
                <w:lang w:val="en-US" w:eastAsia="zh-CN"/>
              </w:rPr>
              <w:t>应急保障方案，针对</w:t>
            </w:r>
            <w:r>
              <w:rPr>
                <w:rFonts w:hint="eastAsia"/>
                <w:color w:val="auto"/>
                <w:szCs w:val="21"/>
                <w:highlight w:val="none"/>
                <w:lang w:val="en-US" w:eastAsia="zh-CN"/>
              </w:rPr>
              <w:t>复核或监测</w:t>
            </w:r>
            <w:r>
              <w:rPr>
                <w:rFonts w:hint="eastAsia" w:asciiTheme="minorEastAsia" w:hAnsiTheme="minorEastAsia" w:eastAsiaTheme="minorEastAsia"/>
                <w:color w:val="auto"/>
                <w:szCs w:val="21"/>
                <w:highlight w:val="none"/>
                <w:lang w:val="en-US" w:eastAsia="zh-CN"/>
              </w:rPr>
              <w:t>过程中的突发事件解决方案，方案明确事件等级及对应的解决措施、解决方案、处理时效的得</w:t>
            </w:r>
            <w:r>
              <w:rPr>
                <w:rFonts w:hint="eastAsia"/>
                <w:color w:val="auto"/>
                <w:szCs w:val="21"/>
                <w:highlight w:val="none"/>
                <w:lang w:val="en-US" w:eastAsia="zh-CN"/>
              </w:rPr>
              <w:t>5</w:t>
            </w:r>
            <w:r>
              <w:rPr>
                <w:rFonts w:hint="eastAsia" w:asciiTheme="minorEastAsia" w:hAnsiTheme="minorEastAsia" w:eastAsiaTheme="minorEastAsia"/>
                <w:color w:val="auto"/>
                <w:szCs w:val="21"/>
                <w:highlight w:val="none"/>
                <w:lang w:val="en-US" w:eastAsia="zh-CN"/>
              </w:rPr>
              <w:t>分，方案简要列举事件并提供解决措施、解决方案、处理时效的得</w:t>
            </w:r>
            <w:r>
              <w:rPr>
                <w:rFonts w:hint="eastAsia"/>
                <w:color w:val="auto"/>
                <w:szCs w:val="21"/>
                <w:highlight w:val="none"/>
                <w:lang w:val="en-US" w:eastAsia="zh-CN"/>
              </w:rPr>
              <w:t>4</w:t>
            </w:r>
            <w:r>
              <w:rPr>
                <w:rFonts w:hint="eastAsia" w:asciiTheme="minorEastAsia" w:hAnsiTheme="minorEastAsia" w:eastAsiaTheme="minorEastAsia"/>
                <w:color w:val="auto"/>
                <w:szCs w:val="21"/>
                <w:highlight w:val="none"/>
                <w:lang w:val="en-US" w:eastAsia="zh-CN"/>
              </w:rPr>
              <w:t>分，方案基本描述、部分提供解决方案的、处理时不明确的得</w:t>
            </w:r>
            <w:r>
              <w:rPr>
                <w:rFonts w:hint="eastAsia"/>
                <w:color w:val="auto"/>
                <w:szCs w:val="21"/>
                <w:highlight w:val="none"/>
                <w:lang w:val="en-US" w:eastAsia="zh-CN"/>
              </w:rPr>
              <w:t>3</w:t>
            </w:r>
            <w:r>
              <w:rPr>
                <w:rFonts w:hint="eastAsia" w:asciiTheme="minorEastAsia" w:hAnsiTheme="minorEastAsia" w:eastAsiaTheme="minorEastAsia"/>
                <w:color w:val="auto"/>
                <w:szCs w:val="21"/>
                <w:highlight w:val="none"/>
                <w:lang w:val="en-US" w:eastAsia="zh-CN"/>
              </w:rPr>
              <w:t>分</w:t>
            </w:r>
            <w:r>
              <w:rPr>
                <w:rFonts w:hint="eastAsia" w:asciiTheme="minorEastAsia" w:hAnsiTheme="minorEastAsia" w:eastAsiaTheme="minorEastAsia"/>
                <w:color w:val="auto"/>
                <w:highlight w:val="none"/>
                <w:lang w:val="en-US" w:eastAsia="zh-CN"/>
              </w:rPr>
              <w:t>，简要描述、但不够全面的</w:t>
            </w:r>
            <w:r>
              <w:rPr>
                <w:rFonts w:hint="eastAsia" w:cs="Times New Roman" w:asciiTheme="minorEastAsia" w:hAnsiTheme="minorEastAsia" w:eastAsiaTheme="minorEastAsia"/>
                <w:color w:val="auto"/>
                <w:highlight w:val="none"/>
                <w:lang w:val="en-US" w:eastAsia="zh-CN"/>
              </w:rPr>
              <w:t>得</w:t>
            </w:r>
            <w:r>
              <w:rPr>
                <w:rFonts w:hint="eastAsia" w:cs="Times New Roman"/>
                <w:color w:val="auto"/>
                <w:highlight w:val="none"/>
                <w:lang w:val="en-US" w:eastAsia="zh-CN"/>
              </w:rPr>
              <w:t>2</w:t>
            </w:r>
            <w:r>
              <w:rPr>
                <w:rFonts w:hint="eastAsia" w:cs="Times New Roman" w:asciiTheme="minorEastAsia" w:hAnsiTheme="minorEastAsia" w:eastAsiaTheme="minorEastAsia"/>
                <w:color w:val="auto"/>
                <w:highlight w:val="none"/>
                <w:lang w:val="en-US" w:eastAsia="zh-CN"/>
              </w:rPr>
              <w:t>分，</w:t>
            </w:r>
            <w:r>
              <w:rPr>
                <w:rFonts w:hint="eastAsia" w:cs="Times New Roman"/>
                <w:color w:val="auto"/>
                <w:highlight w:val="none"/>
                <w:lang w:val="en-US" w:eastAsia="zh-CN"/>
              </w:rPr>
              <w:t>基本可行但欠缺的得1分，</w:t>
            </w:r>
            <w:r>
              <w:rPr>
                <w:rFonts w:hint="eastAsia" w:cs="Times New Roman" w:asciiTheme="minorEastAsia" w:hAnsiTheme="minorEastAsia" w:eastAsiaTheme="minorEastAsia"/>
                <w:color w:val="auto"/>
                <w:highlight w:val="none"/>
                <w:lang w:val="en-US" w:eastAsia="zh-CN"/>
              </w:rPr>
              <w:t>未描述的得0分</w:t>
            </w:r>
          </w:p>
        </w:tc>
        <w:tc>
          <w:tcPr>
            <w:tcW w:w="850" w:type="dxa"/>
            <w:vAlign w:val="center"/>
          </w:tcPr>
          <w:p w14:paraId="454E80CA">
            <w:pPr>
              <w:pStyle w:val="99"/>
              <w:spacing w:line="360" w:lineRule="auto"/>
              <w:jc w:val="center"/>
              <w:rPr>
                <w:rFonts w:hint="eastAsia"/>
                <w:color w:val="auto"/>
                <w:highlight w:val="none"/>
              </w:rPr>
            </w:pPr>
            <w:r>
              <w:rPr>
                <w:rFonts w:hint="eastAsia" w:asciiTheme="minorEastAsia" w:hAnsiTheme="minorEastAsia" w:eastAsiaTheme="minorEastAsia"/>
                <w:color w:val="auto"/>
                <w:highlight w:val="none"/>
                <w:lang w:eastAsia="zh-CN"/>
              </w:rPr>
              <w:t>0-</w:t>
            </w:r>
            <w:r>
              <w:rPr>
                <w:rFonts w:hint="eastAsia"/>
                <w:color w:val="auto"/>
                <w:highlight w:val="none"/>
                <w:lang w:val="en-US" w:eastAsia="zh-CN"/>
              </w:rPr>
              <w:t>5</w:t>
            </w:r>
            <w:r>
              <w:rPr>
                <w:rFonts w:hint="eastAsia" w:asciiTheme="minorEastAsia" w:hAnsiTheme="minorEastAsia" w:eastAsiaTheme="minorEastAsia"/>
                <w:color w:val="auto"/>
                <w:highlight w:val="none"/>
              </w:rPr>
              <w:t>分</w:t>
            </w:r>
          </w:p>
        </w:tc>
        <w:tc>
          <w:tcPr>
            <w:tcW w:w="913" w:type="dxa"/>
            <w:vAlign w:val="center"/>
          </w:tcPr>
          <w:p w14:paraId="2EBB4DD5">
            <w:pPr>
              <w:pStyle w:val="99"/>
              <w:spacing w:line="360" w:lineRule="auto"/>
              <w:rPr>
                <w:rFonts w:hint="eastAsia"/>
                <w:color w:val="auto"/>
                <w:highlight w:val="none"/>
              </w:rPr>
            </w:pPr>
            <w:r>
              <w:rPr>
                <w:rFonts w:hint="eastAsia" w:asciiTheme="minorEastAsia" w:hAnsiTheme="minorEastAsia" w:eastAsiaTheme="minorEastAsia"/>
                <w:color w:val="auto"/>
                <w:highlight w:val="none"/>
                <w:lang w:val="en-US" w:eastAsia="zh-CN"/>
              </w:rPr>
              <w:t>主观分</w:t>
            </w:r>
          </w:p>
        </w:tc>
      </w:tr>
      <w:tr w14:paraId="1FB9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A343DDC">
            <w:pPr>
              <w:pStyle w:val="99"/>
              <w:rPr>
                <w:rFonts w:hint="default"/>
                <w:color w:val="auto"/>
                <w:highlight w:val="none"/>
                <w:lang w:val="en-US" w:eastAsia="zh-CN"/>
              </w:rPr>
            </w:pPr>
            <w:r>
              <w:rPr>
                <w:rFonts w:hint="eastAsia"/>
                <w:color w:val="auto"/>
                <w:highlight w:val="none"/>
                <w:lang w:val="en-US" w:eastAsia="zh-CN"/>
              </w:rPr>
              <w:t>17</w:t>
            </w:r>
          </w:p>
        </w:tc>
        <w:tc>
          <w:tcPr>
            <w:tcW w:w="1486" w:type="dxa"/>
            <w:vMerge w:val="continue"/>
            <w:vAlign w:val="center"/>
          </w:tcPr>
          <w:p w14:paraId="24BCF48B">
            <w:pPr>
              <w:pStyle w:val="99"/>
              <w:rPr>
                <w:color w:val="auto"/>
                <w:highlight w:val="none"/>
              </w:rPr>
            </w:pPr>
          </w:p>
        </w:tc>
        <w:tc>
          <w:tcPr>
            <w:tcW w:w="5062" w:type="dxa"/>
            <w:vAlign w:val="center"/>
          </w:tcPr>
          <w:p w14:paraId="61B56278">
            <w:pPr>
              <w:pStyle w:val="99"/>
              <w:spacing w:line="360" w:lineRule="auto"/>
              <w:rPr>
                <w:rFonts w:hint="eastAsia" w:asciiTheme="minorEastAsia" w:hAnsiTheme="minorEastAsia" w:eastAsiaTheme="minorEastAsia"/>
                <w:color w:val="auto"/>
                <w:szCs w:val="21"/>
                <w:highlight w:val="none"/>
                <w:lang w:val="en-US" w:eastAsia="zh-CN"/>
              </w:rPr>
            </w:pPr>
            <w:r>
              <w:rPr>
                <w:rFonts w:hint="eastAsia" w:ascii="宋体" w:hAnsi="宋体" w:eastAsia="宋体" w:cs="宋体"/>
                <w:bCs/>
                <w:color w:val="auto"/>
                <w:sz w:val="21"/>
                <w:szCs w:val="21"/>
                <w:highlight w:val="none"/>
                <w:lang w:val="en-US" w:eastAsia="zh-CN"/>
              </w:rPr>
              <w:t>投标人的</w:t>
            </w:r>
            <w:r>
              <w:rPr>
                <w:rFonts w:hint="eastAsia" w:ascii="宋体" w:hAnsi="宋体" w:eastAsia="宋体" w:cs="宋体"/>
                <w:bCs/>
                <w:color w:val="auto"/>
                <w:sz w:val="21"/>
                <w:szCs w:val="21"/>
                <w:highlight w:val="none"/>
              </w:rPr>
              <w:t>的工作</w:t>
            </w:r>
            <w:r>
              <w:rPr>
                <w:rFonts w:hint="eastAsia" w:ascii="宋体" w:hAnsi="宋体" w:eastAsia="宋体" w:cs="宋体"/>
                <w:bCs/>
                <w:color w:val="auto"/>
                <w:sz w:val="21"/>
                <w:szCs w:val="21"/>
                <w:highlight w:val="none"/>
                <w:lang w:val="en-US" w:eastAsia="zh-CN"/>
              </w:rPr>
              <w:t>廉政措施</w:t>
            </w:r>
            <w:r>
              <w:rPr>
                <w:rFonts w:hint="eastAsia" w:ascii="宋体" w:hAnsi="宋体" w:eastAsia="宋体" w:cs="宋体"/>
                <w:bCs/>
                <w:color w:val="auto"/>
                <w:sz w:val="21"/>
                <w:szCs w:val="21"/>
                <w:highlight w:val="none"/>
              </w:rPr>
              <w:t>（如何控制项目组成员廉政工作、企业廉政保障制度）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内控制度</w:t>
            </w:r>
            <w:r>
              <w:rPr>
                <w:rFonts w:hint="eastAsia" w:ascii="宋体" w:hAnsi="宋体" w:eastAsia="宋体" w:cs="Times New Roman"/>
                <w:color w:val="auto"/>
                <w:kern w:val="2"/>
                <w:sz w:val="21"/>
                <w:szCs w:val="21"/>
                <w:highlight w:val="none"/>
                <w:lang w:val="en-US" w:eastAsia="zh-CN" w:bidi="ar-SA"/>
              </w:rPr>
              <w:t>，制度完整周密全面、措施有效、承诺责任落实且合理可行、符合采购人实际、完全满足且合理可行的得</w:t>
            </w:r>
            <w:r>
              <w:rPr>
                <w:rFonts w:hint="eastAsia" w:ascii="宋体" w:hAnsi="宋体" w:cs="Times New Roman"/>
                <w:color w:val="auto"/>
                <w:kern w:val="2"/>
                <w:sz w:val="21"/>
                <w:szCs w:val="21"/>
                <w:highlight w:val="none"/>
                <w:lang w:val="en-US" w:eastAsia="zh-CN" w:bidi="ar-SA"/>
              </w:rPr>
              <w:t>5</w:t>
            </w:r>
            <w:r>
              <w:rPr>
                <w:rFonts w:hint="eastAsia" w:ascii="宋体" w:hAnsi="宋体" w:eastAsia="宋体" w:cs="Times New Roman"/>
                <w:color w:val="auto"/>
                <w:kern w:val="2"/>
                <w:sz w:val="21"/>
                <w:szCs w:val="21"/>
                <w:highlight w:val="none"/>
                <w:lang w:val="en-US" w:eastAsia="zh-CN" w:bidi="ar-SA"/>
              </w:rPr>
              <w:t>分；制度及措施有欠缺但基本合理可行的得</w:t>
            </w:r>
            <w:r>
              <w:rPr>
                <w:rFonts w:hint="eastAsia" w:ascii="宋体" w:hAnsi="宋体" w:cs="Times New Roman"/>
                <w:color w:val="auto"/>
                <w:kern w:val="2"/>
                <w:sz w:val="21"/>
                <w:szCs w:val="21"/>
                <w:highlight w:val="none"/>
                <w:lang w:val="en-US" w:eastAsia="zh-CN" w:bidi="ar-SA"/>
              </w:rPr>
              <w:t>4</w:t>
            </w:r>
            <w:r>
              <w:rPr>
                <w:rFonts w:hint="eastAsia" w:ascii="宋体" w:hAnsi="宋体" w:eastAsia="宋体" w:cs="Times New Roman"/>
                <w:color w:val="auto"/>
                <w:kern w:val="2"/>
                <w:sz w:val="21"/>
                <w:szCs w:val="21"/>
                <w:highlight w:val="none"/>
                <w:lang w:val="en-US" w:eastAsia="zh-CN" w:bidi="ar-SA"/>
              </w:rPr>
              <w:t>分；制度及措施不够全面或合理可行性有所欠缺的得</w:t>
            </w: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分；制度及措施不全面或合理可行性欠缺的，有泄密风险的得</w:t>
            </w: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分；</w:t>
            </w:r>
            <w:r>
              <w:rPr>
                <w:rFonts w:hint="eastAsia" w:ascii="宋体" w:hAnsi="宋体" w:cs="Times New Roman"/>
                <w:color w:val="auto"/>
                <w:kern w:val="2"/>
                <w:sz w:val="21"/>
                <w:szCs w:val="21"/>
                <w:highlight w:val="none"/>
                <w:lang w:val="en-US" w:eastAsia="zh-CN" w:bidi="ar-SA"/>
              </w:rPr>
              <w:t>简要描述但漏洞较大的得1分；</w:t>
            </w:r>
            <w:r>
              <w:rPr>
                <w:rFonts w:hint="eastAsia" w:ascii="宋体" w:hAnsi="宋体" w:eastAsia="宋体" w:cs="Times New Roman"/>
                <w:color w:val="auto"/>
                <w:kern w:val="2"/>
                <w:sz w:val="21"/>
                <w:szCs w:val="21"/>
                <w:highlight w:val="none"/>
                <w:lang w:val="en-US" w:eastAsia="zh-CN" w:bidi="ar-SA"/>
              </w:rPr>
              <w:t>不满足或未提供的，不得分。</w:t>
            </w:r>
          </w:p>
        </w:tc>
        <w:tc>
          <w:tcPr>
            <w:tcW w:w="850" w:type="dxa"/>
            <w:vAlign w:val="center"/>
          </w:tcPr>
          <w:p w14:paraId="48433A2B">
            <w:pPr>
              <w:pStyle w:val="99"/>
              <w:spacing w:line="360" w:lineRule="auto"/>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0-</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分</w:t>
            </w:r>
          </w:p>
        </w:tc>
        <w:tc>
          <w:tcPr>
            <w:tcW w:w="913" w:type="dxa"/>
            <w:vAlign w:val="center"/>
          </w:tcPr>
          <w:p w14:paraId="47AD7C1C">
            <w:pPr>
              <w:pStyle w:val="99"/>
              <w:spacing w:line="360" w:lineRule="auto"/>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主观分</w:t>
            </w:r>
          </w:p>
        </w:tc>
      </w:tr>
      <w:tr w14:paraId="6C33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7EACC4D">
            <w:pPr>
              <w:pStyle w:val="99"/>
              <w:rPr>
                <w:rFonts w:hint="default" w:eastAsiaTheme="minorEastAsia"/>
                <w:color w:val="auto"/>
                <w:highlight w:val="none"/>
                <w:lang w:val="en-US" w:eastAsia="zh-CN"/>
              </w:rPr>
            </w:pPr>
            <w:r>
              <w:rPr>
                <w:rFonts w:hint="eastAsia"/>
                <w:color w:val="auto"/>
                <w:highlight w:val="none"/>
                <w:lang w:val="en-US" w:eastAsia="zh-CN"/>
              </w:rPr>
              <w:t>18</w:t>
            </w:r>
          </w:p>
        </w:tc>
        <w:tc>
          <w:tcPr>
            <w:tcW w:w="1486" w:type="dxa"/>
            <w:vMerge w:val="continue"/>
            <w:vAlign w:val="center"/>
          </w:tcPr>
          <w:p w14:paraId="5222DD22">
            <w:pPr>
              <w:pStyle w:val="99"/>
              <w:rPr>
                <w:color w:val="auto"/>
                <w:highlight w:val="none"/>
              </w:rPr>
            </w:pPr>
          </w:p>
        </w:tc>
        <w:tc>
          <w:tcPr>
            <w:tcW w:w="5062" w:type="dxa"/>
            <w:vAlign w:val="center"/>
          </w:tcPr>
          <w:p w14:paraId="177D7262">
            <w:pPr>
              <w:pStyle w:val="99"/>
              <w:spacing w:line="360" w:lineRule="auto"/>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培训方案，针对</w:t>
            </w:r>
            <w:r>
              <w:rPr>
                <w:rFonts w:hint="eastAsia"/>
                <w:color w:val="auto"/>
                <w:szCs w:val="21"/>
                <w:highlight w:val="none"/>
                <w:lang w:val="en-US" w:eastAsia="zh-CN"/>
              </w:rPr>
              <w:t>企业及采购人的</w:t>
            </w:r>
            <w:r>
              <w:rPr>
                <w:rFonts w:hint="eastAsia" w:asciiTheme="minorEastAsia" w:hAnsiTheme="minorEastAsia" w:eastAsiaTheme="minorEastAsia"/>
                <w:color w:val="auto"/>
                <w:szCs w:val="21"/>
                <w:highlight w:val="none"/>
                <w:lang w:val="en-US" w:eastAsia="zh-CN"/>
              </w:rPr>
              <w:t>培训方案</w:t>
            </w:r>
            <w:r>
              <w:rPr>
                <w:rFonts w:hint="eastAsia" w:asciiTheme="minorEastAsia" w:hAnsiTheme="minorEastAsia" w:eastAsiaTheme="minorEastAsia"/>
                <w:color w:val="auto"/>
                <w:highlight w:val="none"/>
                <w:lang w:val="en-US" w:eastAsia="zh-CN"/>
              </w:rPr>
              <w:t>，方案合理、可实施、贴合实际的得5分，方案基本合理、基本可实施、部分贴合实际的得4分，方案基本合理、部分可实施、部分贴合实际的得3分，方案部分合理、部分可实施、部分贴合实际的得2分，方案简要描述的得1分，未提供的不得分</w:t>
            </w:r>
          </w:p>
        </w:tc>
        <w:tc>
          <w:tcPr>
            <w:tcW w:w="850" w:type="dxa"/>
            <w:vAlign w:val="center"/>
          </w:tcPr>
          <w:p w14:paraId="2EA3840A">
            <w:pPr>
              <w:pStyle w:val="99"/>
              <w:spacing w:line="360" w:lineRule="auto"/>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0-</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分</w:t>
            </w:r>
          </w:p>
        </w:tc>
        <w:tc>
          <w:tcPr>
            <w:tcW w:w="913" w:type="dxa"/>
            <w:vAlign w:val="center"/>
          </w:tcPr>
          <w:p w14:paraId="21740B0D">
            <w:pPr>
              <w:pStyle w:val="99"/>
              <w:spacing w:line="360" w:lineRule="auto"/>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主观分</w:t>
            </w:r>
          </w:p>
        </w:tc>
      </w:tr>
      <w:tr w14:paraId="1850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6BBD138">
            <w:pPr>
              <w:pStyle w:val="99"/>
              <w:rPr>
                <w:rFonts w:hint="default"/>
                <w:color w:val="auto"/>
                <w:highlight w:val="none"/>
                <w:lang w:val="en-US" w:eastAsia="zh-CN"/>
              </w:rPr>
            </w:pPr>
            <w:r>
              <w:rPr>
                <w:rFonts w:hint="eastAsia"/>
                <w:color w:val="auto"/>
                <w:highlight w:val="none"/>
                <w:lang w:val="en-US" w:eastAsia="zh-CN"/>
              </w:rPr>
              <w:t>19</w:t>
            </w:r>
          </w:p>
        </w:tc>
        <w:tc>
          <w:tcPr>
            <w:tcW w:w="1486" w:type="dxa"/>
            <w:shd w:val="clear" w:color="auto" w:fill="auto"/>
            <w:vAlign w:val="center"/>
          </w:tcPr>
          <w:p w14:paraId="6552B8A6">
            <w:pPr>
              <w:pStyle w:val="99"/>
              <w:spacing w:line="360" w:lineRule="auto"/>
              <w:rPr>
                <w:rFonts w:cs="Times New Roman" w:asciiTheme="minorEastAsia" w:hAnsiTheme="minorEastAsia" w:eastAsiaTheme="minorEastAsia"/>
                <w:b/>
                <w:bCs/>
                <w:color w:val="auto"/>
                <w:kern w:val="2"/>
                <w:sz w:val="21"/>
                <w:szCs w:val="22"/>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后续延伸服务（</w:t>
            </w:r>
            <w:r>
              <w:rPr>
                <w:rFonts w:hint="eastAsia" w:ascii="宋体" w:hAnsi="宋体" w:cs="Times New Roman"/>
                <w:b/>
                <w:bCs/>
                <w:color w:val="auto"/>
                <w:kern w:val="2"/>
                <w:sz w:val="21"/>
                <w:szCs w:val="21"/>
                <w:highlight w:val="none"/>
                <w:lang w:val="en-US" w:eastAsia="zh-CN" w:bidi="ar-SA"/>
              </w:rPr>
              <w:t>4</w:t>
            </w:r>
            <w:r>
              <w:rPr>
                <w:rFonts w:hint="eastAsia" w:ascii="宋体" w:hAnsi="宋体" w:eastAsia="宋体" w:cs="Times New Roman"/>
                <w:b/>
                <w:bCs/>
                <w:color w:val="auto"/>
                <w:kern w:val="2"/>
                <w:sz w:val="21"/>
                <w:szCs w:val="21"/>
                <w:highlight w:val="none"/>
                <w:lang w:val="en-US" w:eastAsia="zh-CN" w:bidi="ar-SA"/>
              </w:rPr>
              <w:t>分）</w:t>
            </w:r>
          </w:p>
        </w:tc>
        <w:tc>
          <w:tcPr>
            <w:tcW w:w="5062" w:type="dxa"/>
            <w:shd w:val="clear" w:color="auto" w:fill="auto"/>
            <w:vAlign w:val="center"/>
          </w:tcPr>
          <w:p w14:paraId="3D999CEE">
            <w:pPr>
              <w:pStyle w:val="99"/>
              <w:spacing w:line="360" w:lineRule="auto"/>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 </w:t>
            </w:r>
            <w:bookmarkStart w:id="394" w:name="_GoBack"/>
            <w:r>
              <w:rPr>
                <w:rFonts w:hint="eastAsia" w:ascii="宋体" w:hAnsi="宋体" w:eastAsia="宋体" w:cs="Times New Roman"/>
                <w:color w:val="auto"/>
                <w:kern w:val="2"/>
                <w:sz w:val="21"/>
                <w:szCs w:val="21"/>
                <w:highlight w:val="none"/>
                <w:lang w:val="en-US" w:eastAsia="zh-CN" w:bidi="ar-SA"/>
              </w:rPr>
              <w:t>完成本项目后提供后续延伸服务，明确服务内容、服务频次（包括但不限于政策咨询、技术支持等），延伸服务切合实际、有利于本项目</w:t>
            </w:r>
            <w:r>
              <w:rPr>
                <w:rFonts w:hint="eastAsia" w:ascii="宋体" w:hAnsi="宋体" w:cs="Times New Roman"/>
                <w:color w:val="auto"/>
                <w:kern w:val="2"/>
                <w:sz w:val="21"/>
                <w:szCs w:val="21"/>
                <w:highlight w:val="none"/>
                <w:lang w:val="en-US" w:eastAsia="zh-CN" w:bidi="ar-SA"/>
              </w:rPr>
              <w:t>免费</w:t>
            </w:r>
            <w:r>
              <w:rPr>
                <w:rFonts w:hint="eastAsia" w:ascii="宋体" w:hAnsi="宋体" w:eastAsia="宋体" w:cs="Times New Roman"/>
                <w:color w:val="auto"/>
                <w:kern w:val="2"/>
                <w:sz w:val="21"/>
                <w:szCs w:val="21"/>
                <w:highlight w:val="none"/>
                <w:lang w:val="en-US" w:eastAsia="zh-CN" w:bidi="ar-SA"/>
              </w:rPr>
              <w:t>后续发展的得</w:t>
            </w:r>
            <w:r>
              <w:rPr>
                <w:rFonts w:hint="eastAsia" w:ascii="宋体" w:hAnsi="宋体" w:cs="Times New Roman"/>
                <w:color w:val="auto"/>
                <w:kern w:val="2"/>
                <w:sz w:val="21"/>
                <w:szCs w:val="21"/>
                <w:highlight w:val="none"/>
                <w:lang w:val="en-US" w:eastAsia="zh-CN" w:bidi="ar-SA"/>
              </w:rPr>
              <w:t>4</w:t>
            </w:r>
            <w:r>
              <w:rPr>
                <w:rFonts w:hint="eastAsia" w:ascii="宋体" w:hAnsi="宋体" w:eastAsia="宋体" w:cs="Times New Roman"/>
                <w:color w:val="auto"/>
                <w:kern w:val="2"/>
                <w:sz w:val="21"/>
                <w:szCs w:val="21"/>
                <w:highlight w:val="none"/>
                <w:lang w:val="en-US" w:eastAsia="zh-CN" w:bidi="ar-SA"/>
              </w:rPr>
              <w:t>分；提供后续服务，基本可行的得</w:t>
            </w: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分，提供</w:t>
            </w:r>
            <w:r>
              <w:rPr>
                <w:rFonts w:hint="eastAsia" w:ascii="宋体" w:hAnsi="宋体" w:cs="Times New Roman"/>
                <w:color w:val="auto"/>
                <w:kern w:val="2"/>
                <w:sz w:val="21"/>
                <w:szCs w:val="21"/>
                <w:highlight w:val="none"/>
                <w:lang w:val="en-US" w:eastAsia="zh-CN" w:bidi="ar-SA"/>
              </w:rPr>
              <w:t>免费</w:t>
            </w:r>
            <w:r>
              <w:rPr>
                <w:rFonts w:hint="eastAsia" w:ascii="宋体" w:hAnsi="宋体" w:eastAsia="宋体" w:cs="Times New Roman"/>
                <w:color w:val="auto"/>
                <w:kern w:val="2"/>
                <w:sz w:val="21"/>
                <w:szCs w:val="21"/>
                <w:highlight w:val="none"/>
                <w:lang w:val="en-US" w:eastAsia="zh-CN" w:bidi="ar-SA"/>
              </w:rPr>
              <w:t>后续服务但部分内容与本项目后续发展不匹配的得</w:t>
            </w: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分；</w:t>
            </w:r>
            <w:r>
              <w:rPr>
                <w:rFonts w:hint="eastAsia" w:ascii="宋体" w:hAnsi="宋体" w:cs="Times New Roman"/>
                <w:color w:val="auto"/>
                <w:kern w:val="2"/>
                <w:sz w:val="21"/>
                <w:szCs w:val="21"/>
                <w:highlight w:val="none"/>
                <w:lang w:val="en-US" w:eastAsia="zh-CN" w:bidi="ar-SA"/>
              </w:rPr>
              <w:t>承诺提供收费形式的后续服务的得1分；</w:t>
            </w:r>
            <w:r>
              <w:rPr>
                <w:rFonts w:hint="eastAsia" w:ascii="宋体" w:hAnsi="宋体" w:eastAsia="宋体" w:cs="Times New Roman"/>
                <w:color w:val="auto"/>
                <w:kern w:val="2"/>
                <w:sz w:val="21"/>
                <w:szCs w:val="21"/>
                <w:highlight w:val="none"/>
                <w:lang w:val="en-US" w:eastAsia="zh-CN" w:bidi="ar-SA"/>
              </w:rPr>
              <w:t>不满足或未提供的，不得分。</w:t>
            </w:r>
            <w:bookmarkEnd w:id="394"/>
          </w:p>
        </w:tc>
        <w:tc>
          <w:tcPr>
            <w:tcW w:w="850" w:type="dxa"/>
            <w:shd w:val="clear" w:color="auto" w:fill="auto"/>
            <w:vAlign w:val="top"/>
          </w:tcPr>
          <w:p w14:paraId="3E191EEF">
            <w:pPr>
              <w:pStyle w:val="99"/>
              <w:spacing w:line="360" w:lineRule="auto"/>
              <w:rPr>
                <w:rFonts w:hint="eastAsia" w:ascii="宋体" w:hAnsi="宋体" w:eastAsia="宋体" w:cs="Times New Roman"/>
                <w:color w:val="auto"/>
                <w:kern w:val="2"/>
                <w:sz w:val="21"/>
                <w:szCs w:val="21"/>
                <w:highlight w:val="none"/>
                <w:lang w:val="en-US" w:eastAsia="zh-CN" w:bidi="ar-SA"/>
              </w:rPr>
            </w:pPr>
          </w:p>
          <w:p w14:paraId="484BC710">
            <w:pPr>
              <w:pStyle w:val="99"/>
              <w:spacing w:line="360" w:lineRule="auto"/>
              <w:rPr>
                <w:rFonts w:hint="eastAsia" w:ascii="宋体" w:hAnsi="宋体" w:eastAsia="宋体" w:cs="Times New Roman"/>
                <w:color w:val="auto"/>
                <w:kern w:val="2"/>
                <w:sz w:val="21"/>
                <w:szCs w:val="21"/>
                <w:highlight w:val="none"/>
                <w:lang w:val="en-US" w:eastAsia="zh-CN" w:bidi="ar-SA"/>
              </w:rPr>
            </w:pPr>
          </w:p>
          <w:p w14:paraId="4FCD74BF">
            <w:pPr>
              <w:pStyle w:val="99"/>
              <w:spacing w:line="360" w:lineRule="auto"/>
              <w:rPr>
                <w:rFonts w:hint="eastAsia" w:ascii="宋体" w:hAnsi="宋体" w:eastAsia="宋体" w:cs="Times New Roman"/>
                <w:color w:val="auto"/>
                <w:kern w:val="2"/>
                <w:sz w:val="21"/>
                <w:szCs w:val="21"/>
                <w:highlight w:val="none"/>
                <w:lang w:val="en-US" w:eastAsia="zh-CN" w:bidi="ar-SA"/>
              </w:rPr>
            </w:pPr>
          </w:p>
          <w:p w14:paraId="26373761">
            <w:pPr>
              <w:pStyle w:val="99"/>
              <w:spacing w:line="360" w:lineRule="auto"/>
              <w:rPr>
                <w:rFonts w:hint="eastAsia" w:ascii="宋体" w:hAnsi="宋体" w:eastAsia="宋体" w:cs="Times New Roman"/>
                <w:color w:val="auto"/>
                <w:kern w:val="2"/>
                <w:sz w:val="21"/>
                <w:szCs w:val="21"/>
                <w:highlight w:val="none"/>
                <w:lang w:val="en-US" w:eastAsia="zh-CN" w:bidi="ar-SA"/>
              </w:rPr>
            </w:pPr>
          </w:p>
          <w:p w14:paraId="3B079491">
            <w:pPr>
              <w:pStyle w:val="99"/>
              <w:spacing w:line="360" w:lineRule="auto"/>
              <w:rPr>
                <w:rFonts w:hint="eastAsia" w:cs="Times New Roman" w:asciiTheme="minorEastAsia" w:hAnsiTheme="minorEastAsia" w:eastAsiaTheme="minorEastAsia"/>
                <w:color w:val="auto"/>
                <w:kern w:val="2"/>
                <w:sz w:val="21"/>
                <w:szCs w:val="22"/>
                <w:highlight w:val="none"/>
                <w:lang w:val="en-US" w:eastAsia="zh-CN" w:bidi="ar-SA"/>
              </w:rPr>
            </w:pPr>
            <w:r>
              <w:rPr>
                <w:rFonts w:hint="eastAsia" w:ascii="宋体" w:hAnsi="宋体" w:eastAsia="宋体" w:cs="Times New Roman"/>
                <w:color w:val="auto"/>
                <w:kern w:val="2"/>
                <w:sz w:val="21"/>
                <w:szCs w:val="21"/>
                <w:highlight w:val="none"/>
                <w:lang w:val="en-US" w:eastAsia="zh-CN" w:bidi="ar-SA"/>
              </w:rPr>
              <w:t>0-</w:t>
            </w:r>
            <w:r>
              <w:rPr>
                <w:rFonts w:hint="eastAsia" w:ascii="宋体" w:hAnsi="宋体" w:cs="Times New Roman"/>
                <w:color w:val="auto"/>
                <w:kern w:val="2"/>
                <w:sz w:val="21"/>
                <w:szCs w:val="21"/>
                <w:highlight w:val="none"/>
                <w:lang w:val="en-US" w:eastAsia="zh-CN" w:bidi="ar-SA"/>
              </w:rPr>
              <w:t>4</w:t>
            </w:r>
            <w:r>
              <w:rPr>
                <w:rFonts w:hint="eastAsia" w:ascii="宋体" w:hAnsi="宋体" w:eastAsia="宋体" w:cs="Times New Roman"/>
                <w:color w:val="auto"/>
                <w:kern w:val="2"/>
                <w:sz w:val="21"/>
                <w:szCs w:val="21"/>
                <w:highlight w:val="none"/>
                <w:lang w:val="en-US" w:eastAsia="zh-CN" w:bidi="ar-SA"/>
              </w:rPr>
              <w:t>分</w:t>
            </w:r>
          </w:p>
        </w:tc>
        <w:tc>
          <w:tcPr>
            <w:tcW w:w="913" w:type="dxa"/>
            <w:shd w:val="clear" w:color="auto" w:fill="auto"/>
            <w:vAlign w:val="top"/>
          </w:tcPr>
          <w:p w14:paraId="11771398">
            <w:pPr>
              <w:pStyle w:val="99"/>
              <w:spacing w:line="360" w:lineRule="auto"/>
              <w:rPr>
                <w:rFonts w:hint="eastAsia" w:ascii="宋体" w:hAnsi="宋体" w:eastAsia="宋体" w:cs="Times New Roman"/>
                <w:color w:val="auto"/>
                <w:kern w:val="2"/>
                <w:sz w:val="21"/>
                <w:szCs w:val="21"/>
                <w:highlight w:val="none"/>
                <w:lang w:val="en-US" w:eastAsia="zh-CN" w:bidi="ar-SA"/>
              </w:rPr>
            </w:pPr>
          </w:p>
          <w:p w14:paraId="5DCFD67D">
            <w:pPr>
              <w:pStyle w:val="99"/>
              <w:spacing w:line="360" w:lineRule="auto"/>
              <w:rPr>
                <w:rFonts w:hint="eastAsia" w:ascii="宋体" w:hAnsi="宋体" w:eastAsia="宋体" w:cs="Times New Roman"/>
                <w:color w:val="auto"/>
                <w:kern w:val="2"/>
                <w:sz w:val="21"/>
                <w:szCs w:val="21"/>
                <w:highlight w:val="none"/>
                <w:lang w:val="en-US" w:eastAsia="zh-CN" w:bidi="ar-SA"/>
              </w:rPr>
            </w:pPr>
          </w:p>
          <w:p w14:paraId="715A42B6">
            <w:pPr>
              <w:pStyle w:val="99"/>
              <w:spacing w:line="360" w:lineRule="auto"/>
              <w:rPr>
                <w:rFonts w:hint="eastAsia" w:ascii="宋体" w:hAnsi="宋体" w:eastAsia="宋体" w:cs="Times New Roman"/>
                <w:color w:val="auto"/>
                <w:kern w:val="2"/>
                <w:sz w:val="21"/>
                <w:szCs w:val="21"/>
                <w:highlight w:val="none"/>
                <w:lang w:val="en-US" w:eastAsia="zh-CN" w:bidi="ar-SA"/>
              </w:rPr>
            </w:pPr>
          </w:p>
          <w:p w14:paraId="2FFF2B03">
            <w:pPr>
              <w:pStyle w:val="99"/>
              <w:spacing w:line="360" w:lineRule="auto"/>
              <w:rPr>
                <w:rFonts w:hint="eastAsia" w:ascii="宋体" w:hAnsi="宋体" w:eastAsia="宋体" w:cs="Times New Roman"/>
                <w:color w:val="auto"/>
                <w:kern w:val="2"/>
                <w:sz w:val="21"/>
                <w:szCs w:val="21"/>
                <w:highlight w:val="none"/>
                <w:lang w:val="en-US" w:eastAsia="zh-CN" w:bidi="ar-SA"/>
              </w:rPr>
            </w:pPr>
          </w:p>
          <w:p w14:paraId="71963E10">
            <w:pPr>
              <w:pStyle w:val="99"/>
              <w:spacing w:line="360" w:lineRule="auto"/>
              <w:rPr>
                <w:rFonts w:hint="eastAsia" w:cs="Times New Roman" w:asciiTheme="minorEastAsia" w:hAnsiTheme="minorEastAsia" w:eastAsiaTheme="minorEastAsia"/>
                <w:color w:val="auto"/>
                <w:kern w:val="2"/>
                <w:sz w:val="21"/>
                <w:szCs w:val="22"/>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主观分</w:t>
            </w:r>
          </w:p>
        </w:tc>
      </w:tr>
    </w:tbl>
    <w:p w14:paraId="75B44E9E">
      <w:pPr>
        <w:pStyle w:val="99"/>
        <w:rPr>
          <w:color w:val="auto"/>
          <w:highlight w:val="none"/>
        </w:rPr>
      </w:pPr>
      <w:r>
        <w:rPr>
          <w:rFonts w:hint="eastAsia"/>
          <w:color w:val="auto"/>
          <w:highlight w:val="none"/>
        </w:rPr>
        <w:t>注：评标委员会独立打分，保留小数点后2位小数，所有有效评分的平均分作为对应投标人的技术资信得分。</w:t>
      </w:r>
      <w:r>
        <w:rPr>
          <w:rFonts w:hint="eastAsia" w:hAnsi="宋体"/>
          <w:bCs/>
          <w:color w:val="auto"/>
          <w:szCs w:val="21"/>
          <w:highlight w:val="none"/>
        </w:rPr>
        <w:t>建议在制作投标书时，在目录后附一个评分索引表，方便查找。</w:t>
      </w:r>
    </w:p>
    <w:p w14:paraId="1E9CAF2E">
      <w:pPr>
        <w:pStyle w:val="99"/>
        <w:rPr>
          <w:color w:val="auto"/>
          <w:highlight w:val="none"/>
        </w:rPr>
      </w:pPr>
    </w:p>
    <w:p w14:paraId="3B0E2B3C">
      <w:pPr>
        <w:pStyle w:val="162"/>
        <w:ind w:right="42" w:rightChars="20"/>
        <w:rPr>
          <w:rFonts w:asciiTheme="minorEastAsia" w:hAnsiTheme="minorEastAsia" w:eastAsiaTheme="minorEastAsia"/>
          <w:color w:val="auto"/>
          <w:highlight w:val="none"/>
        </w:rPr>
      </w:pPr>
      <w:r>
        <w:rPr>
          <w:rStyle w:val="68"/>
          <w:rFonts w:hint="eastAsia" w:cs="微软雅黑" w:asciiTheme="minorEastAsia" w:hAnsiTheme="minorEastAsia" w:eastAsiaTheme="minorEastAsia"/>
          <w:b w:val="0"/>
          <w:color w:val="auto"/>
          <w:highlight w:val="none"/>
        </w:rPr>
        <w:t>第五章  政府采购合同</w:t>
      </w:r>
      <w:bookmarkEnd w:id="286"/>
      <w:bookmarkEnd w:id="287"/>
      <w:bookmarkEnd w:id="288"/>
      <w:bookmarkEnd w:id="289"/>
    </w:p>
    <w:p w14:paraId="5CEAD6BF">
      <w:pPr>
        <w:pStyle w:val="40"/>
        <w:spacing w:before="0" w:after="0" w:line="360" w:lineRule="auto"/>
        <w:ind w:right="42" w:rightChars="20" w:firstLine="422" w:firstLineChars="200"/>
        <w:outlineLvl w:val="0"/>
        <w:rPr>
          <w:rFonts w:asciiTheme="minorEastAsia" w:hAnsiTheme="minorEastAsia" w:eastAsiaTheme="minorEastAsia"/>
          <w:color w:val="auto"/>
          <w:sz w:val="21"/>
          <w:szCs w:val="21"/>
          <w:highlight w:val="none"/>
        </w:rPr>
      </w:pPr>
      <w:bookmarkStart w:id="301" w:name="_Toc427915780"/>
      <w:bookmarkStart w:id="302" w:name="_Toc493511827"/>
      <w:bookmarkStart w:id="303" w:name="_Toc416422801"/>
      <w:bookmarkStart w:id="304" w:name="_Toc24052"/>
      <w:bookmarkStart w:id="305" w:name="_Toc417992897"/>
      <w:bookmarkStart w:id="306" w:name="_Toc50012906"/>
      <w:bookmarkStart w:id="307" w:name="_Toc416422466"/>
      <w:r>
        <w:rPr>
          <w:rFonts w:hint="eastAsia" w:asciiTheme="minorEastAsia" w:hAnsiTheme="minorEastAsia" w:eastAsiaTheme="minorEastAsia"/>
          <w:color w:val="auto"/>
          <w:sz w:val="21"/>
          <w:szCs w:val="21"/>
          <w:highlight w:val="none"/>
        </w:rPr>
        <w:t>政府采购合同</w:t>
      </w:r>
      <w:bookmarkEnd w:id="301"/>
      <w:bookmarkEnd w:id="302"/>
      <w:bookmarkEnd w:id="303"/>
      <w:bookmarkEnd w:id="304"/>
      <w:bookmarkEnd w:id="305"/>
      <w:bookmarkEnd w:id="306"/>
      <w:bookmarkEnd w:id="307"/>
    </w:p>
    <w:p w14:paraId="489A79D7">
      <w:pPr>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一、通用必备条款部份</w:t>
      </w:r>
    </w:p>
    <w:p w14:paraId="63606979">
      <w:pPr>
        <w:pStyle w:val="30"/>
        <w:snapToGrid w:val="0"/>
        <w:spacing w:line="360" w:lineRule="auto"/>
        <w:ind w:right="42" w:rightChars="20" w:firstLine="422"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
          <w:color w:val="auto"/>
          <w:szCs w:val="21"/>
          <w:highlight w:val="none"/>
        </w:rPr>
        <w:t>合同</w:t>
      </w:r>
      <w:r>
        <w:rPr>
          <w:rFonts w:asciiTheme="minorEastAsia" w:hAnsiTheme="minorEastAsia" w:eastAsiaTheme="minorEastAsia"/>
          <w:b/>
          <w:color w:val="auto"/>
          <w:szCs w:val="21"/>
          <w:highlight w:val="none"/>
        </w:rPr>
        <w:t>编号：</w:t>
      </w:r>
    </w:p>
    <w:p w14:paraId="20B6B061">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政府采购计划（预算）确认号：  </w:t>
      </w:r>
    </w:p>
    <w:p w14:paraId="15B32C9F">
      <w:pPr>
        <w:pStyle w:val="30"/>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预算金额</w:t>
      </w:r>
      <w:r>
        <w:rPr>
          <w:rFonts w:hint="eastAsia" w:asciiTheme="minorEastAsia" w:hAnsiTheme="minorEastAsia" w:eastAsiaTheme="minorEastAsia"/>
          <w:color w:val="auto"/>
          <w:szCs w:val="21"/>
          <w:highlight w:val="none"/>
        </w:rPr>
        <w:t xml:space="preserve">： </w:t>
      </w:r>
    </w:p>
    <w:p w14:paraId="1D7194CE">
      <w:pPr>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采购人（以下称甲方）：</w:t>
      </w:r>
    </w:p>
    <w:p w14:paraId="3EB7BB62">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投标人（以下称乙方）：</w:t>
      </w:r>
    </w:p>
    <w:p w14:paraId="1C052166">
      <w:pPr>
        <w:pStyle w:val="30"/>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采购代理机构：</w:t>
      </w:r>
    </w:p>
    <w:p w14:paraId="754533C7">
      <w:pPr>
        <w:pStyle w:val="30"/>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采购方式：</w:t>
      </w:r>
      <w:r>
        <w:rPr>
          <w:rFonts w:hint="eastAsia" w:asciiTheme="minorEastAsia" w:hAnsiTheme="minorEastAsia" w:eastAsiaTheme="minorEastAsia"/>
          <w:color w:val="auto"/>
          <w:szCs w:val="21"/>
          <w:highlight w:val="none"/>
        </w:rPr>
        <w:t>公开招标</w:t>
      </w:r>
    </w:p>
    <w:p w14:paraId="77CD69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根据《中华人民共和国政府采购法》、《中华人民共和国民法典》等法律法规的规定，甲、乙双方按照</w:t>
      </w:r>
      <w:r>
        <w:rPr>
          <w:rFonts w:hint="eastAsia" w:cs="Tahoma" w:asciiTheme="minorEastAsia" w:hAnsiTheme="minorEastAsia" w:eastAsiaTheme="minorEastAsia"/>
          <w:bCs/>
          <w:color w:val="auto"/>
          <w:kern w:val="36"/>
          <w:szCs w:val="21"/>
          <w:highlight w:val="none"/>
        </w:rPr>
        <w:t>项目</w:t>
      </w:r>
      <w:r>
        <w:rPr>
          <w:rFonts w:hint="eastAsia" w:asciiTheme="minorEastAsia" w:hAnsiTheme="minorEastAsia" w:eastAsiaTheme="minorEastAsia"/>
          <w:color w:val="auto"/>
          <w:szCs w:val="21"/>
          <w:highlight w:val="none"/>
        </w:rPr>
        <w:t>采购结果签订本合同。</w:t>
      </w:r>
    </w:p>
    <w:p w14:paraId="34C9212E">
      <w:pPr>
        <w:shd w:val="clear" w:color="auto" w:fill="FFFFFF"/>
        <w:tabs>
          <w:tab w:val="left" w:pos="916"/>
          <w:tab w:val="left" w:pos="1832"/>
          <w:tab w:val="left" w:pos="2748"/>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第一条 合同组成</w:t>
      </w:r>
      <w:r>
        <w:rPr>
          <w:rFonts w:asciiTheme="minorEastAsia" w:hAnsiTheme="minorEastAsia" w:eastAsiaTheme="minorEastAsia"/>
          <w:b/>
          <w:color w:val="auto"/>
          <w:szCs w:val="21"/>
          <w:highlight w:val="none"/>
        </w:rPr>
        <w:tab/>
      </w:r>
    </w:p>
    <w:p w14:paraId="67488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本次政府采购活动的相关文件为本合同的组成部分，这些文件包括但不限于：</w:t>
      </w:r>
    </w:p>
    <w:p w14:paraId="6EF63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1、本合同文本；</w:t>
      </w:r>
    </w:p>
    <w:p w14:paraId="175B0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2、采购文件与采购投标文件；</w:t>
      </w:r>
    </w:p>
    <w:p w14:paraId="1A66CC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3、中标或成交通知书；</w:t>
      </w:r>
    </w:p>
    <w:p w14:paraId="3DDE43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组成本合同的所有文件必须为书面形式。政府采购合同备案时，须提供以上1、3两项，如由社会中介机构代理，须提供代理协议，合同如有变更的，须提供变更协议。</w:t>
      </w:r>
    </w:p>
    <w:p w14:paraId="13189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第二条 合同标的与相关属性</w:t>
      </w:r>
    </w:p>
    <w:p w14:paraId="4B628D4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1、本次采购的是</w:t>
      </w:r>
      <w:r>
        <w:rPr>
          <w:rFonts w:hint="eastAsia" w:asciiTheme="minorEastAsia" w:hAnsiTheme="minorEastAsia" w:eastAsiaTheme="minorEastAsia"/>
          <w:color w:val="auto"/>
          <w:szCs w:val="21"/>
          <w:highlight w:val="none"/>
          <w:u w:val="single"/>
        </w:rPr>
        <w:t xml:space="preserve">                    </w:t>
      </w:r>
      <w:r>
        <w:rPr>
          <w:rFonts w:hint="eastAsia" w:cs="Tahoma" w:asciiTheme="minorEastAsia" w:hAnsiTheme="minorEastAsia" w:eastAsiaTheme="minorEastAsia"/>
          <w:bCs/>
          <w:color w:val="auto"/>
          <w:kern w:val="36"/>
          <w:szCs w:val="21"/>
          <w:highlight w:val="none"/>
        </w:rPr>
        <w:t>项目</w:t>
      </w:r>
    </w:p>
    <w:p w14:paraId="7D0AD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2、乙方是否属于中小微企业：□是□否</w:t>
      </w:r>
    </w:p>
    <w:p w14:paraId="59754B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3、本合同项下产品属于（可多选）：□环保产品；□节能产品；□进口产品</w:t>
      </w:r>
    </w:p>
    <w:p w14:paraId="385E7C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第三条 合同价款</w:t>
      </w:r>
    </w:p>
    <w:p w14:paraId="760823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1、本合同项下总价款为（大写）</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人民币，分项价款见“价格清单”（如有）”。</w:t>
      </w:r>
    </w:p>
    <w:p w14:paraId="3A9BE93F">
      <w:pPr>
        <w:widowControl/>
        <w:spacing w:line="460" w:lineRule="exact"/>
        <w:ind w:right="42" w:rightChars="20"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2、本合同总价款含所有 (</w:t>
      </w:r>
      <w:r>
        <w:rPr>
          <w:rFonts w:hint="eastAsia" w:asciiTheme="minorEastAsia" w:hAnsiTheme="minorEastAsia" w:eastAsiaTheme="minorEastAsia"/>
          <w:b/>
          <w:color w:val="auto"/>
          <w:szCs w:val="21"/>
          <w:highlight w:val="none"/>
        </w:rPr>
        <w:t>必须包括提供项目服务所需的一切人员费用（人员工资、奖金、各种加班费、各种社会保险（基本养老保险、基本医疗保险、工伤保险、失业保险、公积金等）、专家评审费、考察费、调研费、食宿与交通、高温补偿费）、会务费用、管理费用（意外保险、车辆、培训、税费、利润等完成合同所需的一切本身和不可或缺的所有工作开支、政策性文件规定及合同包含的所有风险、责任等各项全部费用并承担一切风险责任。</w:t>
      </w:r>
      <w:r>
        <w:rPr>
          <w:rFonts w:hint="eastAsia" w:asciiTheme="minorEastAsia" w:hAnsiTheme="minorEastAsia" w:eastAsiaTheme="minorEastAsia"/>
          <w:color w:val="auto"/>
          <w:szCs w:val="21"/>
          <w:highlight w:val="none"/>
        </w:rPr>
        <w:t>)</w:t>
      </w:r>
    </w:p>
    <w:p w14:paraId="5D0F7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3、本合同付款方式为以下第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项：</w:t>
      </w:r>
    </w:p>
    <w:p w14:paraId="5BC11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（1）本合同项下的采购资金系甲方自行支付，付款程序为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40F0A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（2）本合同项下的采购资金须财政直接支付，付款程序为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0DC9FE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（3）其他方式：</w:t>
      </w:r>
      <w:r>
        <w:rPr>
          <w:rFonts w:hint="eastAsia" w:asciiTheme="minorEastAsia" w:hAnsiTheme="minorEastAsia" w:eastAsiaTheme="minorEastAsia"/>
          <w:color w:val="auto"/>
          <w:szCs w:val="21"/>
          <w:highlight w:val="none"/>
          <w:u w:val="single"/>
        </w:rPr>
        <w:t xml:space="preserve">                    </w:t>
      </w:r>
    </w:p>
    <w:p w14:paraId="07F51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4、本合同项下的采购资金付款进度按招投标文件规定，未规定时按以下第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项支付：</w:t>
      </w:r>
    </w:p>
    <w:p w14:paraId="153CF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（1）一次性付款：乙方合同履行达到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（条件）时，一次性付款；</w:t>
      </w:r>
    </w:p>
    <w:p w14:paraId="35DE8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（2）分期付款</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时支付</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时支付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时支付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p>
    <w:p w14:paraId="01E0A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若收取了履约保证金，则不应重复设置尾款支付条件。</w:t>
      </w:r>
    </w:p>
    <w:p w14:paraId="566B7E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第四条 履约保证金</w:t>
      </w:r>
    </w:p>
    <w:p w14:paraId="69D919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按以下第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项处理：</w:t>
      </w:r>
    </w:p>
    <w:p w14:paraId="503B6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1、本项目设置履约保证金，乙方应于</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（时间）向甲方提交履约保证金</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元（不得高于本合同金额的1%）。履约保证金在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（时间）退还乙方。</w:t>
      </w:r>
    </w:p>
    <w:p w14:paraId="5CF58E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2、本项目不设置履约保证金</w:t>
      </w:r>
    </w:p>
    <w:p w14:paraId="7F136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第五条 合同的变更和终止</w:t>
      </w:r>
    </w:p>
    <w:p w14:paraId="0B2F0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14:paraId="79ACF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第六条 合同的转让与分包</w:t>
      </w:r>
    </w:p>
    <w:p w14:paraId="4FCFF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乙方不得擅自部分或全部转让其应履行的合同义务。乙方分包的，应经过甲方书面同意。</w:t>
      </w:r>
    </w:p>
    <w:p w14:paraId="7488B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第七条 争议的解决</w:t>
      </w:r>
    </w:p>
    <w:p w14:paraId="341233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1、因履行本合同引起的或与本合同有关的争议，甲、乙双方应首先通过友好协商解决，如果协商不能解决争议，则采取以下第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种方式解决争议：</w:t>
      </w:r>
    </w:p>
    <w:p w14:paraId="40A982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（1）向甲方所在地有管辖权的人民法院提起诉讼；</w:t>
      </w:r>
    </w:p>
    <w:p w14:paraId="49EDC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（2）向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仲裁委员申请仲裁。</w:t>
      </w:r>
    </w:p>
    <w:p w14:paraId="3D1F2B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第八条 合同备案及其他</w:t>
      </w:r>
    </w:p>
    <w:p w14:paraId="38E113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本合同一式五份，甲乙双方各执二份，一份送招标代理机构存档。</w:t>
      </w:r>
    </w:p>
    <w:p w14:paraId="1FE44B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二、特殊专用条款部份</w:t>
      </w:r>
    </w:p>
    <w:p w14:paraId="29B1B7C6">
      <w:pPr>
        <w:numPr>
          <w:ilvl w:val="0"/>
          <w:numId w:val="7"/>
        </w:numPr>
        <w:autoSpaceDE w:val="0"/>
        <w:autoSpaceDN w:val="0"/>
        <w:adjustRightInd w:val="0"/>
        <w:spacing w:line="360" w:lineRule="auto"/>
        <w:ind w:left="0" w:right="42" w:rightChars="20" w:firstLine="422" w:firstLineChars="200"/>
        <w:jc w:val="left"/>
        <w:rPr>
          <w:rFonts w:asciiTheme="minorEastAsia" w:hAnsiTheme="minorEastAsia" w:eastAsiaTheme="minorEastAsia"/>
          <w:b/>
          <w:color w:val="auto"/>
          <w:kern w:val="36"/>
          <w:szCs w:val="21"/>
          <w:highlight w:val="none"/>
        </w:rPr>
      </w:pPr>
      <w:r>
        <w:rPr>
          <w:rFonts w:hint="eastAsia" w:asciiTheme="minorEastAsia" w:hAnsiTheme="minorEastAsia" w:eastAsiaTheme="minorEastAsia"/>
          <w:b/>
          <w:color w:val="auto"/>
          <w:kern w:val="36"/>
          <w:szCs w:val="21"/>
          <w:highlight w:val="none"/>
        </w:rPr>
        <w:t>服务内容</w:t>
      </w:r>
    </w:p>
    <w:p w14:paraId="3EAB1804">
      <w:pPr>
        <w:autoSpaceDE w:val="0"/>
        <w:autoSpaceDN w:val="0"/>
        <w:adjustRightInd w:val="0"/>
        <w:spacing w:line="360" w:lineRule="auto"/>
        <w:ind w:right="42" w:rightChars="20" w:firstLine="422" w:firstLineChars="200"/>
        <w:jc w:val="left"/>
        <w:rPr>
          <w:rFonts w:asciiTheme="minorEastAsia" w:hAnsiTheme="minorEastAsia" w:eastAsiaTheme="minorEastAsia"/>
          <w:b/>
          <w:color w:val="auto"/>
          <w:kern w:val="36"/>
          <w:szCs w:val="21"/>
          <w:highlight w:val="none"/>
        </w:rPr>
      </w:pPr>
      <w:r>
        <w:rPr>
          <w:rFonts w:asciiTheme="minorEastAsia" w:hAnsiTheme="minorEastAsia" w:eastAsiaTheme="minorEastAsia"/>
          <w:b/>
          <w:color w:val="auto"/>
          <w:kern w:val="36"/>
          <w:szCs w:val="21"/>
          <w:highlight w:val="none"/>
        </w:rPr>
        <w:t>……</w:t>
      </w:r>
    </w:p>
    <w:p w14:paraId="3C843203">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第二条 </w:t>
      </w:r>
      <w:r>
        <w:rPr>
          <w:rFonts w:asciiTheme="minorEastAsia" w:hAnsiTheme="minorEastAsia" w:eastAsiaTheme="minorEastAsia"/>
          <w:b/>
          <w:color w:val="auto"/>
          <w:szCs w:val="21"/>
          <w:highlight w:val="none"/>
        </w:rPr>
        <w:t>合同履行时间、履行方式及履行地点</w:t>
      </w:r>
    </w:p>
    <w:p w14:paraId="2131EBE2">
      <w:pPr>
        <w:pStyle w:val="30"/>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w:t>
      </w:r>
      <w:r>
        <w:rPr>
          <w:rFonts w:hint="eastAsia" w:asciiTheme="minorEastAsia" w:hAnsiTheme="minorEastAsia" w:eastAsiaTheme="minorEastAsia"/>
          <w:bCs/>
          <w:color w:val="auto"/>
          <w:szCs w:val="21"/>
          <w:highlight w:val="none"/>
        </w:rPr>
        <w:t>、</w:t>
      </w:r>
      <w:r>
        <w:rPr>
          <w:rFonts w:asciiTheme="minorEastAsia" w:hAnsiTheme="minorEastAsia" w:eastAsiaTheme="minorEastAsia"/>
          <w:color w:val="auto"/>
          <w:szCs w:val="21"/>
          <w:highlight w:val="none"/>
        </w:rPr>
        <w:t>履行时间</w:t>
      </w:r>
      <w:r>
        <w:rPr>
          <w:rFonts w:asciiTheme="minorEastAsia" w:hAnsiTheme="minorEastAsia" w:eastAsiaTheme="minorEastAsia"/>
          <w:bCs/>
          <w:color w:val="auto"/>
          <w:szCs w:val="21"/>
          <w:highlight w:val="none"/>
        </w:rPr>
        <w:t>：</w:t>
      </w:r>
    </w:p>
    <w:p w14:paraId="3EDB870C">
      <w:pPr>
        <w:pStyle w:val="30"/>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2</w:t>
      </w:r>
      <w:r>
        <w:rPr>
          <w:rFonts w:hint="eastAsia" w:asciiTheme="minorEastAsia" w:hAnsiTheme="minorEastAsia" w:eastAsiaTheme="minorEastAsia"/>
          <w:bCs/>
          <w:color w:val="auto"/>
          <w:szCs w:val="21"/>
          <w:highlight w:val="none"/>
        </w:rPr>
        <w:t>、</w:t>
      </w:r>
      <w:r>
        <w:rPr>
          <w:rFonts w:asciiTheme="minorEastAsia" w:hAnsiTheme="minorEastAsia" w:eastAsiaTheme="minorEastAsia"/>
          <w:color w:val="auto"/>
          <w:szCs w:val="21"/>
          <w:highlight w:val="none"/>
        </w:rPr>
        <w:t>履行方式</w:t>
      </w:r>
      <w:r>
        <w:rPr>
          <w:rFonts w:asciiTheme="minorEastAsia" w:hAnsiTheme="minorEastAsia" w:eastAsiaTheme="minorEastAsia"/>
          <w:bCs/>
          <w:color w:val="auto"/>
          <w:szCs w:val="21"/>
          <w:highlight w:val="none"/>
        </w:rPr>
        <w:t>：</w:t>
      </w:r>
    </w:p>
    <w:p w14:paraId="3C3DC348">
      <w:pPr>
        <w:pStyle w:val="30"/>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3</w:t>
      </w:r>
      <w:r>
        <w:rPr>
          <w:rFonts w:hint="eastAsia" w:asciiTheme="minorEastAsia" w:hAnsiTheme="minorEastAsia" w:eastAsiaTheme="minorEastAsia"/>
          <w:bCs/>
          <w:color w:val="auto"/>
          <w:szCs w:val="21"/>
          <w:highlight w:val="none"/>
        </w:rPr>
        <w:t>、</w:t>
      </w:r>
      <w:r>
        <w:rPr>
          <w:rFonts w:asciiTheme="minorEastAsia" w:hAnsiTheme="minorEastAsia" w:eastAsiaTheme="minorEastAsia"/>
          <w:color w:val="auto"/>
          <w:szCs w:val="21"/>
          <w:highlight w:val="none"/>
        </w:rPr>
        <w:t>履行地点</w:t>
      </w:r>
      <w:r>
        <w:rPr>
          <w:rFonts w:asciiTheme="minorEastAsia" w:hAnsiTheme="minorEastAsia" w:eastAsiaTheme="minorEastAsia"/>
          <w:bCs/>
          <w:color w:val="auto"/>
          <w:szCs w:val="21"/>
          <w:highlight w:val="none"/>
        </w:rPr>
        <w:t>：</w:t>
      </w:r>
    </w:p>
    <w:p w14:paraId="4110549D">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w:t>
      </w:r>
      <w:r>
        <w:rPr>
          <w:rFonts w:asciiTheme="minorEastAsia" w:hAnsiTheme="minorEastAsia" w:eastAsiaTheme="minorEastAsia"/>
          <w:b/>
          <w:color w:val="auto"/>
          <w:szCs w:val="21"/>
          <w:highlight w:val="none"/>
        </w:rPr>
        <w:t>三</w:t>
      </w:r>
      <w:r>
        <w:rPr>
          <w:rFonts w:hint="eastAsia" w:asciiTheme="minorEastAsia" w:hAnsiTheme="minorEastAsia" w:eastAsiaTheme="minorEastAsia"/>
          <w:b/>
          <w:color w:val="auto"/>
          <w:szCs w:val="21"/>
          <w:highlight w:val="none"/>
        </w:rPr>
        <w:t xml:space="preserve">条 </w:t>
      </w:r>
      <w:r>
        <w:rPr>
          <w:rFonts w:asciiTheme="minorEastAsia" w:hAnsiTheme="minorEastAsia" w:eastAsiaTheme="minorEastAsia"/>
          <w:b/>
          <w:color w:val="auto"/>
          <w:szCs w:val="21"/>
          <w:highlight w:val="none"/>
        </w:rPr>
        <w:t>技术资料</w:t>
      </w:r>
    </w:p>
    <w:p w14:paraId="57FF0947">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乙方应按招标文件规定的时间向甲方提供有关技术资料。</w:t>
      </w:r>
    </w:p>
    <w:p w14:paraId="746AAF62">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ABC0161">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w:t>
      </w:r>
      <w:r>
        <w:rPr>
          <w:rFonts w:asciiTheme="minorEastAsia" w:hAnsiTheme="minorEastAsia" w:eastAsiaTheme="minorEastAsia"/>
          <w:b/>
          <w:color w:val="auto"/>
          <w:szCs w:val="21"/>
          <w:highlight w:val="none"/>
        </w:rPr>
        <w:t>四</w:t>
      </w:r>
      <w:r>
        <w:rPr>
          <w:rFonts w:hint="eastAsia" w:asciiTheme="minorEastAsia" w:hAnsiTheme="minorEastAsia" w:eastAsiaTheme="minorEastAsia"/>
          <w:b/>
          <w:color w:val="auto"/>
          <w:szCs w:val="21"/>
          <w:highlight w:val="none"/>
        </w:rPr>
        <w:t xml:space="preserve">条 </w:t>
      </w:r>
      <w:r>
        <w:rPr>
          <w:rFonts w:asciiTheme="minorEastAsia" w:hAnsiTheme="minorEastAsia" w:eastAsiaTheme="minorEastAsia"/>
          <w:b/>
          <w:color w:val="auto"/>
          <w:szCs w:val="21"/>
          <w:highlight w:val="none"/>
        </w:rPr>
        <w:t>知识产权</w:t>
      </w:r>
    </w:p>
    <w:p w14:paraId="63B78E24">
      <w:pPr>
        <w:pStyle w:val="30"/>
        <w:snapToGrid w:val="0"/>
        <w:spacing w:line="360" w:lineRule="auto"/>
        <w:ind w:right="42" w:rightChars="20" w:firstLine="420"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color w:val="auto"/>
          <w:szCs w:val="21"/>
          <w:highlight w:val="none"/>
        </w:rPr>
        <w:t>乙方应保证提供服务过程中不会侵犯任何第三方的</w:t>
      </w:r>
      <w:r>
        <w:rPr>
          <w:rFonts w:asciiTheme="minorEastAsia" w:hAnsiTheme="minorEastAsia" w:eastAsiaTheme="minorEastAsia"/>
          <w:b/>
          <w:color w:val="auto"/>
          <w:szCs w:val="21"/>
          <w:highlight w:val="none"/>
        </w:rPr>
        <w:t>知识产权</w:t>
      </w:r>
      <w:r>
        <w:rPr>
          <w:rFonts w:asciiTheme="minorEastAsia" w:hAnsiTheme="minorEastAsia" w:eastAsiaTheme="minorEastAsia"/>
          <w:b/>
          <w:bCs/>
          <w:color w:val="auto"/>
          <w:szCs w:val="21"/>
          <w:highlight w:val="none"/>
        </w:rPr>
        <w:t>。</w:t>
      </w:r>
    </w:p>
    <w:p w14:paraId="6327E3D9">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第五条 </w:t>
      </w:r>
      <w:r>
        <w:rPr>
          <w:rFonts w:asciiTheme="minorEastAsia" w:hAnsiTheme="minorEastAsia" w:eastAsiaTheme="minorEastAsia"/>
          <w:b/>
          <w:color w:val="auto"/>
          <w:szCs w:val="21"/>
          <w:highlight w:val="none"/>
        </w:rPr>
        <w:t>履约保证金</w:t>
      </w:r>
    </w:p>
    <w:p w14:paraId="7F1A79FB">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乙方交纳人民币</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元作为本合同的履约保证金。</w:t>
      </w:r>
    </w:p>
    <w:p w14:paraId="4EA11A99">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第六条 税费</w:t>
      </w:r>
    </w:p>
    <w:p w14:paraId="7C6D44E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本合同执行中相关的一切税费均由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方负担。</w:t>
      </w:r>
    </w:p>
    <w:p w14:paraId="57D590FE">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第七条 </w:t>
      </w:r>
      <w:r>
        <w:rPr>
          <w:rFonts w:asciiTheme="minorEastAsia" w:hAnsiTheme="minorEastAsia" w:eastAsiaTheme="minorEastAsia"/>
          <w:b/>
          <w:color w:val="auto"/>
          <w:szCs w:val="21"/>
          <w:highlight w:val="none"/>
        </w:rPr>
        <w:t>违约责任</w:t>
      </w:r>
    </w:p>
    <w:p w14:paraId="1B9D98E8">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甲方无正当理由拒收接受服务的，甲方向乙方偿付合同款项百分之五作为违约金。</w:t>
      </w:r>
    </w:p>
    <w:p w14:paraId="4467D779">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甲方无故逾期验收和办理款项支付手续的,甲方应按逾期付款总额每日万分之五向乙方支付违约金。</w:t>
      </w:r>
    </w:p>
    <w:p w14:paraId="39EB44BF">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w:t>
      </w:r>
      <w:r>
        <w:rPr>
          <w:rFonts w:hint="eastAsia" w:asciiTheme="minorEastAsia" w:hAnsiTheme="minorEastAsia" w:eastAsiaTheme="minorEastAsia"/>
          <w:color w:val="auto"/>
          <w:szCs w:val="21"/>
          <w:highlight w:val="none"/>
        </w:rPr>
        <w:t>未能如</w:t>
      </w:r>
      <w:r>
        <w:rPr>
          <w:rFonts w:asciiTheme="minorEastAsia" w:hAnsiTheme="minorEastAsia" w:eastAsiaTheme="minorEastAsia"/>
          <w:color w:val="auto"/>
          <w:szCs w:val="21"/>
          <w:highlight w:val="none"/>
        </w:rPr>
        <w:t>期提供服务的，每日向甲方支付</w:t>
      </w:r>
      <w:r>
        <w:rPr>
          <w:rFonts w:hint="eastAsia" w:asciiTheme="minorEastAsia" w:hAnsiTheme="minorEastAsia" w:eastAsiaTheme="minorEastAsia"/>
          <w:color w:val="auto"/>
          <w:szCs w:val="21"/>
          <w:highlight w:val="none"/>
        </w:rPr>
        <w:t>合同款项的</w:t>
      </w:r>
      <w:r>
        <w:rPr>
          <w:rFonts w:asciiTheme="minorEastAsia" w:hAnsiTheme="minorEastAsia" w:eastAsiaTheme="minorEastAsia"/>
          <w:color w:val="auto"/>
          <w:szCs w:val="21"/>
          <w:highlight w:val="none"/>
        </w:rPr>
        <w:t>千分之六</w:t>
      </w:r>
      <w:r>
        <w:rPr>
          <w:rFonts w:hint="eastAsia" w:asciiTheme="minorEastAsia" w:hAnsiTheme="minorEastAsia" w:eastAsiaTheme="minorEastAsia"/>
          <w:color w:val="auto"/>
          <w:szCs w:val="21"/>
          <w:highlight w:val="none"/>
        </w:rPr>
        <w:t>作为</w:t>
      </w:r>
      <w:r>
        <w:rPr>
          <w:rFonts w:asciiTheme="minorEastAsia" w:hAnsiTheme="minorEastAsia" w:eastAsiaTheme="minorEastAsia"/>
          <w:color w:val="auto"/>
          <w:szCs w:val="21"/>
          <w:highlight w:val="none"/>
        </w:rPr>
        <w:t>违约金。乙方超过约定日期10个工作日</w:t>
      </w:r>
      <w:r>
        <w:rPr>
          <w:rFonts w:hint="eastAsia" w:asciiTheme="minorEastAsia" w:hAnsiTheme="minorEastAsia" w:eastAsiaTheme="minorEastAsia"/>
          <w:color w:val="auto"/>
          <w:szCs w:val="21"/>
          <w:highlight w:val="none"/>
        </w:rPr>
        <w:t>仍</w:t>
      </w:r>
      <w:r>
        <w:rPr>
          <w:rFonts w:asciiTheme="minorEastAsia" w:hAnsiTheme="minorEastAsia" w:eastAsiaTheme="minorEastAsia"/>
          <w:color w:val="auto"/>
          <w:szCs w:val="21"/>
          <w:highlight w:val="none"/>
        </w:rPr>
        <w:t>不能</w:t>
      </w:r>
      <w:r>
        <w:rPr>
          <w:rFonts w:hint="eastAsia" w:asciiTheme="minorEastAsia" w:hAnsiTheme="minorEastAsia" w:eastAsiaTheme="minorEastAsia"/>
          <w:color w:val="auto"/>
          <w:szCs w:val="21"/>
          <w:highlight w:val="none"/>
        </w:rPr>
        <w:t>提供服务</w:t>
      </w:r>
      <w:r>
        <w:rPr>
          <w:rFonts w:asciiTheme="minorEastAsia" w:hAnsiTheme="minorEastAsia" w:eastAsiaTheme="minorEastAsia"/>
          <w:color w:val="auto"/>
          <w:szCs w:val="21"/>
          <w:highlight w:val="none"/>
        </w:rPr>
        <w:t>的，甲方可解除本合同。乙方因</w:t>
      </w:r>
      <w:r>
        <w:rPr>
          <w:rFonts w:hint="eastAsia" w:asciiTheme="minorEastAsia" w:hAnsiTheme="minorEastAsia" w:eastAsiaTheme="minorEastAsia"/>
          <w:color w:val="auto"/>
          <w:szCs w:val="21"/>
          <w:highlight w:val="none"/>
        </w:rPr>
        <w:t>未能如</w:t>
      </w:r>
      <w:r>
        <w:rPr>
          <w:rFonts w:asciiTheme="minorEastAsia" w:hAnsiTheme="minorEastAsia" w:eastAsiaTheme="minorEastAsia"/>
          <w:color w:val="auto"/>
          <w:szCs w:val="21"/>
          <w:highlight w:val="none"/>
        </w:rPr>
        <w:t xml:space="preserve">期提供服务或因其他违约行为导致甲方解除合同的，乙方应向甲方支付合同总值5%的违约金，如造成甲方损失超过违约金的，超出部分由乙方继续承担赔偿责任。 </w:t>
      </w:r>
    </w:p>
    <w:p w14:paraId="1225292E">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第八条 </w:t>
      </w:r>
      <w:r>
        <w:rPr>
          <w:rFonts w:asciiTheme="minorEastAsia" w:hAnsiTheme="minorEastAsia" w:eastAsiaTheme="minorEastAsia"/>
          <w:b/>
          <w:color w:val="auto"/>
          <w:szCs w:val="21"/>
          <w:highlight w:val="none"/>
        </w:rPr>
        <w:t>不可抗力事件处理</w:t>
      </w:r>
    </w:p>
    <w:p w14:paraId="3E537300">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在合同有效期内，任何一方因不可抗力事件导致不能履行合同，则合同履行期可延长，其延长期与不可抗力影响期相同。</w:t>
      </w:r>
    </w:p>
    <w:p w14:paraId="6DB435F6">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、不</w:t>
      </w:r>
      <w:r>
        <w:rPr>
          <w:rFonts w:asciiTheme="minorEastAsia" w:hAnsiTheme="minorEastAsia" w:eastAsiaTheme="minorEastAsia"/>
          <w:color w:val="auto"/>
          <w:szCs w:val="21"/>
          <w:highlight w:val="none"/>
        </w:rPr>
        <w:t>可抗力事件发生后，应立即通知对方，并寄送有关权威机构出具的证明。</w:t>
      </w:r>
    </w:p>
    <w:p w14:paraId="42A16212">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不可抗力事件延续120天以上，双方应通过友好协商，确定是否继续履行合同。</w:t>
      </w:r>
    </w:p>
    <w:p w14:paraId="1A7D22E6">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第九条 </w:t>
      </w:r>
      <w:r>
        <w:rPr>
          <w:rFonts w:asciiTheme="minorEastAsia" w:hAnsiTheme="minorEastAsia" w:eastAsiaTheme="minorEastAsia"/>
          <w:b/>
          <w:color w:val="auto"/>
          <w:szCs w:val="21"/>
          <w:highlight w:val="none"/>
        </w:rPr>
        <w:t>诉讼</w:t>
      </w:r>
    </w:p>
    <w:p w14:paraId="6782F388">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双方在执行合同中所发生的一切争议，应通过协商解决。如协商不成，可向</w:t>
      </w:r>
      <w:r>
        <w:rPr>
          <w:rFonts w:hint="eastAsia" w:asciiTheme="minorEastAsia" w:hAnsiTheme="minorEastAsia" w:eastAsiaTheme="minorEastAsia"/>
          <w:color w:val="auto"/>
          <w:szCs w:val="21"/>
          <w:highlight w:val="none"/>
        </w:rPr>
        <w:t>甲方所在</w:t>
      </w:r>
      <w:r>
        <w:rPr>
          <w:rFonts w:asciiTheme="minorEastAsia" w:hAnsiTheme="minorEastAsia" w:eastAsiaTheme="minorEastAsia"/>
          <w:color w:val="auto"/>
          <w:szCs w:val="21"/>
          <w:highlight w:val="none"/>
        </w:rPr>
        <w:t>地法院起诉。</w:t>
      </w:r>
    </w:p>
    <w:p w14:paraId="3D10F855">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第十条 </w:t>
      </w:r>
      <w:r>
        <w:rPr>
          <w:rFonts w:asciiTheme="minorEastAsia" w:hAnsiTheme="minorEastAsia" w:eastAsiaTheme="minorEastAsia"/>
          <w:b/>
          <w:color w:val="auto"/>
          <w:szCs w:val="21"/>
          <w:highlight w:val="none"/>
        </w:rPr>
        <w:t>合同生效及其它</w:t>
      </w:r>
    </w:p>
    <w:p w14:paraId="4AEEAECB">
      <w:pPr>
        <w:autoSpaceDE w:val="0"/>
        <w:autoSpaceDN w:val="0"/>
        <w:adjustRightIn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合同经双方法定代表人或授权委托代理人签字并加盖单位公章后生效。</w:t>
      </w:r>
    </w:p>
    <w:p w14:paraId="21C6F2F3">
      <w:pPr>
        <w:autoSpaceDE w:val="0"/>
        <w:autoSpaceDN w:val="0"/>
        <w:adjustRightIn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本合同未尽事宜，遵照《</w:t>
      </w:r>
      <w:r>
        <w:rPr>
          <w:rFonts w:asciiTheme="minorEastAsia" w:hAnsiTheme="minorEastAsia" w:eastAsiaTheme="minorEastAsia"/>
          <w:color w:val="auto"/>
          <w:kern w:val="0"/>
          <w:szCs w:val="21"/>
          <w:highlight w:val="none"/>
        </w:rPr>
        <w:t>中华人民共和国</w:t>
      </w:r>
      <w:r>
        <w:rPr>
          <w:rFonts w:hint="eastAsia" w:asciiTheme="minorEastAsia" w:hAnsiTheme="minorEastAsia" w:eastAsiaTheme="minorEastAsia"/>
          <w:color w:val="auto"/>
          <w:kern w:val="0"/>
          <w:szCs w:val="21"/>
          <w:highlight w:val="none"/>
        </w:rPr>
        <w:t>民法典</w:t>
      </w:r>
      <w:r>
        <w:rPr>
          <w:rFonts w:asciiTheme="minorEastAsia" w:hAnsiTheme="minorEastAsia" w:eastAsiaTheme="minorEastAsia"/>
          <w:color w:val="auto"/>
          <w:szCs w:val="21"/>
          <w:highlight w:val="none"/>
        </w:rPr>
        <w:t>》有关条文执行。</w:t>
      </w:r>
    </w:p>
    <w:p w14:paraId="7C22D563">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39C43D73">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141057A5">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甲方：           </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rPr>
        <w:t xml:space="preserve">  乙方： </w:t>
      </w:r>
    </w:p>
    <w:p w14:paraId="78399F7B">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地址：          </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rPr>
        <w:t xml:space="preserve"> 地址： </w:t>
      </w:r>
    </w:p>
    <w:p w14:paraId="2A30824D">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法定</w:t>
      </w:r>
      <w:r>
        <w:rPr>
          <w:rFonts w:hint="eastAsia" w:asciiTheme="minorEastAsia" w:hAnsiTheme="minorEastAsia" w:eastAsiaTheme="minorEastAsia"/>
          <w:color w:val="auto"/>
          <w:szCs w:val="21"/>
          <w:highlight w:val="none"/>
        </w:rPr>
        <w:t>（授权）</w:t>
      </w:r>
      <w:r>
        <w:rPr>
          <w:rFonts w:asciiTheme="minorEastAsia" w:hAnsiTheme="minorEastAsia" w:eastAsiaTheme="minorEastAsia"/>
          <w:color w:val="auto"/>
          <w:szCs w:val="21"/>
          <w:highlight w:val="none"/>
        </w:rPr>
        <w:t>代表人：               法定</w:t>
      </w:r>
      <w:r>
        <w:rPr>
          <w:rFonts w:hint="eastAsia" w:asciiTheme="minorEastAsia" w:hAnsiTheme="minorEastAsia" w:eastAsiaTheme="minorEastAsia"/>
          <w:color w:val="auto"/>
          <w:szCs w:val="21"/>
          <w:highlight w:val="none"/>
        </w:rPr>
        <w:t>（授权）</w:t>
      </w:r>
      <w:r>
        <w:rPr>
          <w:rFonts w:asciiTheme="minorEastAsia" w:hAnsiTheme="minorEastAsia" w:eastAsiaTheme="minorEastAsia"/>
          <w:color w:val="auto"/>
          <w:szCs w:val="21"/>
          <w:highlight w:val="none"/>
        </w:rPr>
        <w:t>代表人：</w:t>
      </w:r>
    </w:p>
    <w:p w14:paraId="2C27D7A2">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联系电话：</w:t>
      </w:r>
    </w:p>
    <w:p w14:paraId="6916DD7A">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开户银行：</w:t>
      </w:r>
    </w:p>
    <w:p w14:paraId="61AD0104">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银行账号：</w:t>
      </w:r>
    </w:p>
    <w:p w14:paraId="2E62814B">
      <w:pPr>
        <w:pStyle w:val="30"/>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签</w:t>
      </w:r>
      <w:r>
        <w:rPr>
          <w:rFonts w:hint="eastAsia" w:asciiTheme="minorEastAsia" w:hAnsiTheme="minorEastAsia" w:eastAsiaTheme="minorEastAsia"/>
          <w:color w:val="auto"/>
          <w:szCs w:val="21"/>
          <w:highlight w:val="none"/>
        </w:rPr>
        <w:t>字日期</w:t>
      </w:r>
      <w:r>
        <w:rPr>
          <w:rFonts w:asciiTheme="minorEastAsia" w:hAnsiTheme="minorEastAsia" w:eastAsiaTheme="minorEastAsia"/>
          <w:color w:val="auto"/>
          <w:szCs w:val="21"/>
          <w:highlight w:val="none"/>
        </w:rPr>
        <w:t xml:space="preserve">：    年  月  日 </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rPr>
        <w:t>签</w:t>
      </w:r>
      <w:r>
        <w:rPr>
          <w:rFonts w:hint="eastAsia" w:asciiTheme="minorEastAsia" w:hAnsiTheme="minorEastAsia" w:eastAsiaTheme="minorEastAsia"/>
          <w:color w:val="auto"/>
          <w:szCs w:val="21"/>
          <w:highlight w:val="none"/>
        </w:rPr>
        <w:t>字</w:t>
      </w:r>
      <w:r>
        <w:rPr>
          <w:rFonts w:asciiTheme="minorEastAsia" w:hAnsiTheme="minorEastAsia" w:eastAsiaTheme="minorEastAsia"/>
          <w:color w:val="auto"/>
          <w:szCs w:val="21"/>
          <w:highlight w:val="none"/>
        </w:rPr>
        <w:t>日期：   年  月  日</w:t>
      </w:r>
    </w:p>
    <w:p w14:paraId="09BD4DEE">
      <w:pPr>
        <w:pStyle w:val="162"/>
        <w:ind w:right="42" w:rightChars="20"/>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End w:id="285"/>
      <w:bookmarkStart w:id="308" w:name="_Toc493511828"/>
    </w:p>
    <w:p w14:paraId="7B7D09D9">
      <w:pPr>
        <w:pStyle w:val="5"/>
        <w:ind w:right="42" w:rightChars="20"/>
        <w:rPr>
          <w:rFonts w:cs="微软雅黑" w:asciiTheme="minorEastAsia" w:hAnsiTheme="minorEastAsia" w:eastAsiaTheme="minorEastAsia"/>
          <w:color w:val="auto"/>
          <w:highlight w:val="none"/>
        </w:rPr>
      </w:pPr>
      <w:bookmarkStart w:id="309" w:name="_Toc5531"/>
      <w:r>
        <w:rPr>
          <w:rFonts w:hint="eastAsia" w:cs="微软雅黑" w:asciiTheme="minorEastAsia" w:hAnsiTheme="minorEastAsia" w:eastAsiaTheme="minorEastAsia"/>
          <w:color w:val="auto"/>
          <w:highlight w:val="none"/>
        </w:rPr>
        <w:t>第六章　投标文件相关格式</w:t>
      </w:r>
      <w:bookmarkEnd w:id="308"/>
      <w:bookmarkEnd w:id="309"/>
    </w:p>
    <w:p w14:paraId="5B038BE0">
      <w:pPr>
        <w:spacing w:line="360" w:lineRule="auto"/>
        <w:ind w:right="42" w:rightChars="20" w:firstLine="420" w:firstLineChars="200"/>
        <w:jc w:val="left"/>
        <w:rPr>
          <w:rFonts w:asciiTheme="minorEastAsia" w:hAnsiTheme="minorEastAsia" w:eastAsiaTheme="minorEastAsia"/>
          <w:color w:val="auto"/>
          <w:szCs w:val="21"/>
          <w:highlight w:val="none"/>
        </w:rPr>
      </w:pPr>
    </w:p>
    <w:p w14:paraId="7A53AF25">
      <w:pPr>
        <w:spacing w:line="360" w:lineRule="auto"/>
        <w:ind w:right="42" w:rightChars="20"/>
        <w:jc w:val="center"/>
        <w:rPr>
          <w:rFonts w:hint="eastAsia" w:asciiTheme="minorEastAsia" w:hAnsiTheme="minorEastAsia" w:eastAsiaTheme="minorEastAsia"/>
          <w:b/>
          <w:color w:val="auto"/>
          <w:highlight w:val="none"/>
          <w:lang w:eastAsia="zh-CN"/>
        </w:rPr>
      </w:pPr>
      <w:bookmarkStart w:id="310" w:name="_Toc50012909"/>
      <w:bookmarkStart w:id="311" w:name="_Toc430786287"/>
      <w:r>
        <w:rPr>
          <w:rFonts w:hint="eastAsia" w:asciiTheme="minorEastAsia" w:hAnsiTheme="minorEastAsia" w:eastAsiaTheme="minorEastAsia"/>
          <w:b/>
          <w:color w:val="auto"/>
          <w:highlight w:val="none"/>
          <w:lang w:eastAsia="zh-CN"/>
        </w:rPr>
        <w:t>2025年排污许可和自行监测技术服务项目</w:t>
      </w:r>
    </w:p>
    <w:p w14:paraId="72F31AE4">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资格投标文件/商务技术文件/报价文件</w:t>
      </w:r>
      <w:bookmarkEnd w:id="310"/>
    </w:p>
    <w:p w14:paraId="661E5555">
      <w:pPr>
        <w:spacing w:line="360" w:lineRule="auto"/>
        <w:ind w:right="42" w:rightChars="20"/>
        <w:jc w:val="center"/>
        <w:rPr>
          <w:rFonts w:asciiTheme="minorEastAsia" w:hAnsiTheme="minorEastAsia" w:eastAsiaTheme="minorEastAsia"/>
          <w:b/>
          <w:color w:val="auto"/>
          <w:szCs w:val="21"/>
          <w:highlight w:val="none"/>
        </w:rPr>
      </w:pPr>
      <w:bookmarkStart w:id="312" w:name="_Toc50012910"/>
      <w:r>
        <w:rPr>
          <w:rFonts w:hint="eastAsia" w:asciiTheme="minorEastAsia" w:hAnsiTheme="minorEastAsia" w:eastAsiaTheme="minorEastAsia"/>
          <w:b/>
          <w:color w:val="auto"/>
          <w:szCs w:val="21"/>
          <w:highlight w:val="none"/>
        </w:rPr>
        <w:t>项目编号：</w:t>
      </w:r>
      <w:bookmarkEnd w:id="312"/>
    </w:p>
    <w:p w14:paraId="0A6CAE88">
      <w:pPr>
        <w:spacing w:line="360" w:lineRule="auto"/>
        <w:ind w:right="42" w:rightChars="20"/>
        <w:jc w:val="center"/>
        <w:rPr>
          <w:rFonts w:asciiTheme="minorEastAsia" w:hAnsiTheme="minorEastAsia" w:eastAsiaTheme="minorEastAsia"/>
          <w:b/>
          <w:color w:val="auto"/>
          <w:szCs w:val="21"/>
          <w:highlight w:val="none"/>
        </w:rPr>
      </w:pPr>
    </w:p>
    <w:p w14:paraId="6495ADA7">
      <w:pPr>
        <w:spacing w:line="360" w:lineRule="auto"/>
        <w:ind w:right="42" w:rightChars="20"/>
        <w:jc w:val="center"/>
        <w:rPr>
          <w:rFonts w:asciiTheme="minorEastAsia" w:hAnsiTheme="minorEastAsia" w:eastAsiaTheme="minorEastAsia"/>
          <w:b/>
          <w:color w:val="auto"/>
          <w:szCs w:val="21"/>
          <w:highlight w:val="none"/>
        </w:rPr>
      </w:pPr>
    </w:p>
    <w:p w14:paraId="7CC7182F">
      <w:pPr>
        <w:spacing w:line="360" w:lineRule="auto"/>
        <w:ind w:right="42" w:rightChars="20"/>
        <w:jc w:val="center"/>
        <w:rPr>
          <w:rFonts w:asciiTheme="minorEastAsia" w:hAnsiTheme="minorEastAsia" w:eastAsiaTheme="minorEastAsia"/>
          <w:b/>
          <w:color w:val="auto"/>
          <w:szCs w:val="21"/>
          <w:highlight w:val="none"/>
        </w:rPr>
      </w:pPr>
      <w:bookmarkStart w:id="313" w:name="_Toc50012911"/>
      <w:r>
        <w:rPr>
          <w:rFonts w:hint="eastAsia" w:asciiTheme="minorEastAsia" w:hAnsiTheme="minorEastAsia" w:eastAsiaTheme="minorEastAsia"/>
          <w:b/>
          <w:color w:val="auto"/>
          <w:szCs w:val="21"/>
          <w:highlight w:val="none"/>
        </w:rPr>
        <w:t>投</w:t>
      </w:r>
      <w:bookmarkEnd w:id="313"/>
    </w:p>
    <w:p w14:paraId="4D164803">
      <w:pPr>
        <w:spacing w:line="360" w:lineRule="auto"/>
        <w:ind w:right="42" w:rightChars="20"/>
        <w:jc w:val="center"/>
        <w:rPr>
          <w:rFonts w:asciiTheme="minorEastAsia" w:hAnsiTheme="minorEastAsia" w:eastAsiaTheme="minorEastAsia"/>
          <w:b/>
          <w:color w:val="auto"/>
          <w:szCs w:val="21"/>
          <w:highlight w:val="none"/>
        </w:rPr>
      </w:pPr>
      <w:bookmarkStart w:id="314" w:name="_Toc50012912"/>
      <w:r>
        <w:rPr>
          <w:rFonts w:hint="eastAsia" w:asciiTheme="minorEastAsia" w:hAnsiTheme="minorEastAsia" w:eastAsiaTheme="minorEastAsia"/>
          <w:b/>
          <w:color w:val="auto"/>
          <w:szCs w:val="21"/>
          <w:highlight w:val="none"/>
        </w:rPr>
        <w:t>标</w:t>
      </w:r>
      <w:bookmarkEnd w:id="314"/>
    </w:p>
    <w:p w14:paraId="4EA4AEC6">
      <w:pPr>
        <w:spacing w:line="360" w:lineRule="auto"/>
        <w:ind w:right="42" w:rightChars="20"/>
        <w:jc w:val="center"/>
        <w:rPr>
          <w:rFonts w:asciiTheme="minorEastAsia" w:hAnsiTheme="minorEastAsia" w:eastAsiaTheme="minorEastAsia"/>
          <w:b/>
          <w:color w:val="auto"/>
          <w:szCs w:val="21"/>
          <w:highlight w:val="none"/>
        </w:rPr>
      </w:pPr>
      <w:bookmarkStart w:id="315" w:name="_Toc50012913"/>
      <w:r>
        <w:rPr>
          <w:rFonts w:hint="eastAsia" w:asciiTheme="minorEastAsia" w:hAnsiTheme="minorEastAsia" w:eastAsiaTheme="minorEastAsia"/>
          <w:b/>
          <w:color w:val="auto"/>
          <w:szCs w:val="21"/>
          <w:highlight w:val="none"/>
        </w:rPr>
        <w:t>文</w:t>
      </w:r>
      <w:bookmarkEnd w:id="315"/>
    </w:p>
    <w:p w14:paraId="43CB96B2">
      <w:pPr>
        <w:spacing w:line="360" w:lineRule="auto"/>
        <w:ind w:right="42" w:rightChars="20"/>
        <w:jc w:val="center"/>
        <w:rPr>
          <w:rFonts w:asciiTheme="minorEastAsia" w:hAnsiTheme="minorEastAsia" w:eastAsiaTheme="minorEastAsia"/>
          <w:b/>
          <w:color w:val="auto"/>
          <w:szCs w:val="21"/>
          <w:highlight w:val="none"/>
        </w:rPr>
      </w:pPr>
      <w:bookmarkStart w:id="316" w:name="_Toc50012914"/>
      <w:r>
        <w:rPr>
          <w:rFonts w:hint="eastAsia" w:asciiTheme="minorEastAsia" w:hAnsiTheme="minorEastAsia" w:eastAsiaTheme="minorEastAsia"/>
          <w:b/>
          <w:color w:val="auto"/>
          <w:szCs w:val="21"/>
          <w:highlight w:val="none"/>
        </w:rPr>
        <w:t>件</w:t>
      </w:r>
      <w:bookmarkEnd w:id="316"/>
    </w:p>
    <w:p w14:paraId="108282D5">
      <w:pPr>
        <w:spacing w:line="360" w:lineRule="auto"/>
        <w:ind w:right="42" w:rightChars="20"/>
        <w:rPr>
          <w:rFonts w:asciiTheme="minorEastAsia" w:hAnsiTheme="minorEastAsia" w:eastAsiaTheme="minorEastAsia"/>
          <w:b/>
          <w:color w:val="auto"/>
          <w:szCs w:val="21"/>
          <w:highlight w:val="none"/>
        </w:rPr>
      </w:pPr>
    </w:p>
    <w:p w14:paraId="4BF89059">
      <w:pPr>
        <w:spacing w:line="360" w:lineRule="auto"/>
        <w:ind w:right="42" w:rightChars="20"/>
        <w:rPr>
          <w:rFonts w:asciiTheme="minorEastAsia" w:hAnsiTheme="minorEastAsia" w:eastAsiaTheme="minorEastAsia"/>
          <w:b/>
          <w:color w:val="auto"/>
          <w:szCs w:val="21"/>
          <w:highlight w:val="none"/>
        </w:rPr>
      </w:pPr>
    </w:p>
    <w:p w14:paraId="6005E684">
      <w:pPr>
        <w:spacing w:line="360" w:lineRule="auto"/>
        <w:ind w:right="42" w:rightChars="20"/>
        <w:rPr>
          <w:rFonts w:asciiTheme="minorEastAsia" w:hAnsiTheme="minorEastAsia" w:eastAsiaTheme="minorEastAsia"/>
          <w:b/>
          <w:color w:val="auto"/>
          <w:szCs w:val="21"/>
          <w:highlight w:val="none"/>
        </w:rPr>
      </w:pPr>
    </w:p>
    <w:p w14:paraId="746AF76D">
      <w:pPr>
        <w:spacing w:line="360" w:lineRule="auto"/>
        <w:ind w:right="42" w:rightChars="20" w:firstLine="2319" w:firstLineChars="1100"/>
        <w:rPr>
          <w:rFonts w:asciiTheme="minorEastAsia" w:hAnsiTheme="minorEastAsia" w:eastAsiaTheme="minorEastAsia"/>
          <w:b/>
          <w:color w:val="auto"/>
          <w:szCs w:val="21"/>
          <w:highlight w:val="none"/>
        </w:rPr>
      </w:pPr>
      <w:bookmarkStart w:id="317" w:name="_Toc50012915"/>
      <w:r>
        <w:rPr>
          <w:rFonts w:hint="eastAsia" w:asciiTheme="minorEastAsia" w:hAnsiTheme="minorEastAsia" w:eastAsiaTheme="minorEastAsia"/>
          <w:b/>
          <w:color w:val="auto"/>
          <w:szCs w:val="21"/>
          <w:highlight w:val="none"/>
        </w:rPr>
        <w:t>投标人全称：（加盖单位公章）</w:t>
      </w:r>
      <w:bookmarkEnd w:id="317"/>
    </w:p>
    <w:p w14:paraId="0FF0F672">
      <w:pPr>
        <w:spacing w:line="360" w:lineRule="auto"/>
        <w:ind w:right="42" w:rightChars="20"/>
        <w:rPr>
          <w:rFonts w:asciiTheme="minorEastAsia" w:hAnsiTheme="minorEastAsia" w:eastAsiaTheme="minorEastAsia"/>
          <w:b/>
          <w:color w:val="auto"/>
          <w:szCs w:val="21"/>
          <w:highlight w:val="none"/>
        </w:rPr>
      </w:pPr>
    </w:p>
    <w:p w14:paraId="6461C181">
      <w:pPr>
        <w:spacing w:line="360" w:lineRule="auto"/>
        <w:ind w:right="42" w:rightChars="20"/>
        <w:jc w:val="center"/>
        <w:rPr>
          <w:rFonts w:asciiTheme="minorEastAsia" w:hAnsiTheme="minorEastAsia" w:eastAsiaTheme="minorEastAsia"/>
          <w:b/>
          <w:color w:val="auto"/>
          <w:szCs w:val="21"/>
          <w:highlight w:val="none"/>
        </w:rPr>
      </w:pPr>
      <w:bookmarkStart w:id="318" w:name="_Toc50012916"/>
      <w:r>
        <w:rPr>
          <w:rFonts w:hint="eastAsia" w:asciiTheme="minorEastAsia" w:hAnsiTheme="minorEastAsia" w:eastAsiaTheme="minorEastAsia"/>
          <w:b/>
          <w:color w:val="auto"/>
          <w:szCs w:val="21"/>
          <w:highlight w:val="none"/>
        </w:rPr>
        <w:t>年   月   日</w:t>
      </w:r>
      <w:bookmarkEnd w:id="318"/>
    </w:p>
    <w:bookmarkEnd w:id="311"/>
    <w:p w14:paraId="42114F9B">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03DCA0A2">
      <w:pPr>
        <w:snapToGrid w:val="0"/>
        <w:spacing w:line="360" w:lineRule="auto"/>
        <w:ind w:right="42" w:rightChars="20" w:firstLine="422" w:firstLineChars="200"/>
        <w:jc w:val="center"/>
        <w:rPr>
          <w:rFonts w:cs="方正小标宋简体" w:asciiTheme="minorEastAsia" w:hAnsiTheme="minorEastAsia" w:eastAsiaTheme="minorEastAsia"/>
          <w:b/>
          <w:color w:val="auto"/>
          <w:szCs w:val="21"/>
          <w:highlight w:val="none"/>
        </w:rPr>
      </w:pPr>
      <w:r>
        <w:rPr>
          <w:rFonts w:hint="eastAsia" w:cs="方正小标宋简体" w:asciiTheme="minorEastAsia" w:hAnsiTheme="minorEastAsia" w:eastAsiaTheme="minorEastAsia"/>
          <w:b/>
          <w:color w:val="auto"/>
          <w:szCs w:val="21"/>
          <w:highlight w:val="none"/>
        </w:rPr>
        <w:t>政府</w:t>
      </w:r>
      <w:r>
        <w:rPr>
          <w:rFonts w:cs="方正小标宋简体" w:asciiTheme="minorEastAsia" w:hAnsiTheme="minorEastAsia" w:eastAsiaTheme="minorEastAsia"/>
          <w:b/>
          <w:color w:val="auto"/>
          <w:szCs w:val="21"/>
          <w:highlight w:val="none"/>
        </w:rPr>
        <w:t>采购活动现场确认声明书</w:t>
      </w:r>
    </w:p>
    <w:p w14:paraId="6D3F29C7">
      <w:pPr>
        <w:pStyle w:val="166"/>
        <w:snapToGrid w:val="0"/>
        <w:spacing w:line="360" w:lineRule="auto"/>
        <w:ind w:right="42" w:rightChars="20" w:firstLine="422" w:firstLineChars="200"/>
        <w:jc w:val="left"/>
        <w:rPr>
          <w:rFonts w:cs="宋体" w:asciiTheme="minorEastAsia" w:hAnsiTheme="minorEastAsia" w:eastAsiaTheme="minorEastAsia"/>
          <w:b/>
          <w:color w:val="auto"/>
          <w:sz w:val="21"/>
          <w:szCs w:val="21"/>
          <w:highlight w:val="none"/>
        </w:rPr>
      </w:pPr>
    </w:p>
    <w:p w14:paraId="15A83757">
      <w:pPr>
        <w:pStyle w:val="166"/>
        <w:snapToGrid w:val="0"/>
        <w:spacing w:line="360" w:lineRule="auto"/>
        <w:ind w:right="42" w:rightChars="20" w:firstLine="422" w:firstLineChars="200"/>
        <w:jc w:val="left"/>
        <w:rPr>
          <w:rFonts w:cs="宋体" w:asciiTheme="minorEastAsia" w:hAnsiTheme="minorEastAsia" w:eastAsiaTheme="minorEastAsia"/>
          <w:b/>
          <w:color w:val="auto"/>
          <w:sz w:val="21"/>
          <w:szCs w:val="21"/>
          <w:highlight w:val="none"/>
        </w:rPr>
      </w:pPr>
      <w:r>
        <w:rPr>
          <w:rFonts w:cs="宋体" w:asciiTheme="minorEastAsia" w:hAnsiTheme="minorEastAsia" w:eastAsiaTheme="minorEastAsia"/>
          <w:b/>
          <w:color w:val="auto"/>
          <w:sz w:val="21"/>
          <w:szCs w:val="21"/>
          <w:highlight w:val="none"/>
        </w:rPr>
        <w:t>（要求</w:t>
      </w:r>
      <w:r>
        <w:rPr>
          <w:rFonts w:hint="eastAsia" w:cs="宋体" w:asciiTheme="minorEastAsia" w:hAnsiTheme="minorEastAsia" w:eastAsiaTheme="minorEastAsia"/>
          <w:b/>
          <w:color w:val="auto"/>
          <w:sz w:val="21"/>
          <w:szCs w:val="21"/>
          <w:highlight w:val="none"/>
        </w:rPr>
        <w:t>在电子投标文件解密后，代理公司会向系统中投标人的联系电话发送钉钉申请，请投标人在开标前自行下载钉钉程序，开标后接受钉钉好友申请并将以下表格填写完成后，在通过钉钉将照片传给代理公司</w:t>
      </w:r>
      <w:r>
        <w:rPr>
          <w:rFonts w:cs="宋体" w:asciiTheme="minorEastAsia" w:hAnsiTheme="minorEastAsia" w:eastAsiaTheme="minorEastAsia"/>
          <w:b/>
          <w:color w:val="auto"/>
          <w:sz w:val="21"/>
          <w:szCs w:val="21"/>
          <w:highlight w:val="none"/>
        </w:rPr>
        <w:t>，不要封存于投标文件里）</w:t>
      </w:r>
    </w:p>
    <w:p w14:paraId="4CF4D641">
      <w:pPr>
        <w:pStyle w:val="166"/>
        <w:snapToGrid w:val="0"/>
        <w:spacing w:line="360" w:lineRule="auto"/>
        <w:ind w:right="42" w:rightChars="20"/>
        <w:jc w:val="left"/>
        <w:rPr>
          <w:rFonts w:asciiTheme="minorEastAsia" w:hAnsiTheme="minorEastAsia" w:eastAsiaTheme="minorEastAsia"/>
          <w:b/>
          <w:color w:val="auto"/>
          <w:sz w:val="21"/>
          <w:szCs w:val="21"/>
          <w:highlight w:val="none"/>
        </w:rPr>
      </w:pPr>
      <w:r>
        <w:rPr>
          <w:rFonts w:hint="eastAsia" w:cs="Arial" w:asciiTheme="minorEastAsia" w:hAnsiTheme="minorEastAsia" w:eastAsiaTheme="minorEastAsia"/>
          <w:b/>
          <w:color w:val="auto"/>
          <w:kern w:val="0"/>
          <w:sz w:val="21"/>
          <w:szCs w:val="21"/>
          <w:highlight w:val="none"/>
          <w:u w:val="single"/>
        </w:rPr>
        <w:t xml:space="preserve">嘉兴市生态环境局秀洲分局  </w:t>
      </w:r>
      <w:r>
        <w:rPr>
          <w:rFonts w:asciiTheme="minorEastAsia" w:hAnsiTheme="minorEastAsia" w:eastAsiaTheme="minorEastAsia"/>
          <w:color w:val="auto"/>
          <w:kern w:val="0"/>
          <w:sz w:val="21"/>
          <w:szCs w:val="21"/>
          <w:highlight w:val="none"/>
        </w:rPr>
        <w:t>：</w:t>
      </w:r>
    </w:p>
    <w:p w14:paraId="4DCD85C6">
      <w:pPr>
        <w:pStyle w:val="166"/>
        <w:snapToGrid w:val="0"/>
        <w:spacing w:line="360" w:lineRule="auto"/>
        <w:ind w:right="42" w:rightChars="20" w:firstLine="444" w:firstLineChars="200"/>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spacing w:val="6"/>
          <w:sz w:val="21"/>
          <w:szCs w:val="21"/>
          <w:highlight w:val="none"/>
        </w:rPr>
        <w:t>本人经由</w:t>
      </w:r>
      <w:r>
        <w:rPr>
          <w:rFonts w:asciiTheme="minorEastAsia" w:hAnsiTheme="minorEastAsia" w:eastAsiaTheme="minorEastAsia"/>
          <w:color w:val="auto"/>
          <w:spacing w:val="6"/>
          <w:sz w:val="21"/>
          <w:szCs w:val="21"/>
          <w:highlight w:val="none"/>
          <w:u w:val="single"/>
        </w:rPr>
        <w:t xml:space="preserve">                  （单位）</w:t>
      </w:r>
      <w:r>
        <w:rPr>
          <w:rFonts w:asciiTheme="minorEastAsia" w:hAnsiTheme="minorEastAsia" w:eastAsiaTheme="minorEastAsia"/>
          <w:color w:val="auto"/>
          <w:spacing w:val="6"/>
          <w:sz w:val="21"/>
          <w:szCs w:val="21"/>
          <w:highlight w:val="none"/>
        </w:rPr>
        <w:t>负责人</w:t>
      </w:r>
      <w:r>
        <w:rPr>
          <w:rFonts w:asciiTheme="minorEastAsia" w:hAnsiTheme="minorEastAsia" w:eastAsiaTheme="minorEastAsia"/>
          <w:color w:val="auto"/>
          <w:spacing w:val="6"/>
          <w:sz w:val="21"/>
          <w:szCs w:val="21"/>
          <w:highlight w:val="none"/>
          <w:u w:val="single"/>
        </w:rPr>
        <w:t xml:space="preserve">        （姓名）</w:t>
      </w:r>
      <w:r>
        <w:rPr>
          <w:rFonts w:asciiTheme="minorEastAsia" w:hAnsiTheme="minorEastAsia" w:eastAsiaTheme="minorEastAsia"/>
          <w:color w:val="auto"/>
          <w:spacing w:val="6"/>
          <w:sz w:val="21"/>
          <w:szCs w:val="21"/>
          <w:highlight w:val="none"/>
        </w:rPr>
        <w:t>合法授权参加</w:t>
      </w:r>
      <w:r>
        <w:rPr>
          <w:rFonts w:hint="eastAsia" w:asciiTheme="minorEastAsia" w:hAnsiTheme="minorEastAsia" w:eastAsiaTheme="minorEastAsia"/>
          <w:b/>
          <w:color w:val="auto"/>
          <w:spacing w:val="6"/>
          <w:sz w:val="21"/>
          <w:szCs w:val="21"/>
          <w:highlight w:val="none"/>
          <w:u w:val="single"/>
          <w:lang w:eastAsia="zh-CN"/>
        </w:rPr>
        <w:t>2025年排污许可和自行监测技术服务项目</w:t>
      </w:r>
      <w:r>
        <w:rPr>
          <w:rFonts w:asciiTheme="minorEastAsia" w:hAnsiTheme="minorEastAsia" w:eastAsiaTheme="minorEastAsia"/>
          <w:color w:val="auto"/>
          <w:spacing w:val="6"/>
          <w:sz w:val="21"/>
          <w:szCs w:val="21"/>
          <w:highlight w:val="none"/>
        </w:rPr>
        <w:t>（编号：</w:t>
      </w:r>
      <w:r>
        <w:rPr>
          <w:rFonts w:hint="eastAsia" w:asciiTheme="minorEastAsia" w:hAnsiTheme="minorEastAsia" w:eastAsiaTheme="minorEastAsia"/>
          <w:color w:val="auto"/>
          <w:spacing w:val="6"/>
          <w:sz w:val="21"/>
          <w:szCs w:val="21"/>
          <w:highlight w:val="none"/>
          <w:u w:val="single"/>
          <w:lang w:eastAsia="zh-CN"/>
        </w:rPr>
        <w:t>大地-DDZX-JX（2025）第5号</w:t>
      </w:r>
      <w:r>
        <w:rPr>
          <w:rFonts w:asciiTheme="minorEastAsia" w:hAnsiTheme="minorEastAsia" w:eastAsiaTheme="minorEastAsia"/>
          <w:color w:val="auto"/>
          <w:spacing w:val="6"/>
          <w:sz w:val="21"/>
          <w:szCs w:val="21"/>
          <w:highlight w:val="none"/>
        </w:rPr>
        <w:t xml:space="preserve">）政府采购活动，经与本单位法人代表（负责人）联系确认，现就有关公平竞争事项郑重声明如下： </w:t>
      </w:r>
    </w:p>
    <w:p w14:paraId="743A7924">
      <w:pPr>
        <w:pStyle w:val="160"/>
        <w:widowControl/>
        <w:numPr>
          <w:ilvl w:val="0"/>
          <w:numId w:val="8"/>
        </w:numPr>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本单位与采购人之间 </w:t>
      </w:r>
      <w:r>
        <w:rPr>
          <w:rFonts w:cs="宋体"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 xml:space="preserve">不存在利害关系 </w:t>
      </w:r>
      <w:r>
        <w:rPr>
          <w:rFonts w:cs="宋体"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存在下列利害关系：</w:t>
      </w:r>
    </w:p>
    <w:p w14:paraId="085AD272">
      <w:pPr>
        <w:pStyle w:val="160"/>
        <w:widowControl/>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A.投资关系    B.行政隶属关系    C.业务指导关系</w:t>
      </w:r>
    </w:p>
    <w:p w14:paraId="03143910">
      <w:pPr>
        <w:pStyle w:val="160"/>
        <w:widowControl/>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D.其他可能</w:t>
      </w:r>
      <w:r>
        <w:rPr>
          <w:rFonts w:asciiTheme="minorEastAsia" w:hAnsiTheme="minorEastAsia" w:eastAsiaTheme="minorEastAsia"/>
          <w:color w:val="auto"/>
          <w:szCs w:val="21"/>
          <w:highlight w:val="none"/>
        </w:rPr>
        <w:t>影响采购公正的</w:t>
      </w:r>
      <w:r>
        <w:rPr>
          <w:rFonts w:asciiTheme="minorEastAsia" w:hAnsiTheme="minorEastAsia" w:eastAsiaTheme="minorEastAsia"/>
          <w:color w:val="auto"/>
          <w:kern w:val="0"/>
          <w:szCs w:val="21"/>
          <w:highlight w:val="none"/>
        </w:rPr>
        <w:t>利害关系</w:t>
      </w:r>
      <w:r>
        <w:rPr>
          <w:rFonts w:asciiTheme="minorEastAsia" w:hAnsiTheme="minorEastAsia" w:eastAsiaTheme="minorEastAsia"/>
          <w:color w:val="auto"/>
          <w:kern w:val="0"/>
          <w:szCs w:val="21"/>
          <w:highlight w:val="none"/>
          <w:u w:val="single"/>
        </w:rPr>
        <w:t xml:space="preserve">（如有，请如实说明）                 </w:t>
      </w:r>
      <w:r>
        <w:rPr>
          <w:rFonts w:asciiTheme="minorEastAsia" w:hAnsiTheme="minorEastAsia" w:eastAsiaTheme="minorEastAsia"/>
          <w:color w:val="auto"/>
          <w:kern w:val="0"/>
          <w:szCs w:val="21"/>
          <w:highlight w:val="none"/>
        </w:rPr>
        <w:t>。</w:t>
      </w:r>
    </w:p>
    <w:p w14:paraId="2BACB6A6">
      <w:pPr>
        <w:pStyle w:val="160"/>
        <w:widowControl/>
        <w:snapToGrid w:val="0"/>
        <w:spacing w:line="360" w:lineRule="auto"/>
        <w:ind w:right="42" w:rightChars="20" w:firstLine="444"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spacing w:val="6"/>
          <w:szCs w:val="21"/>
          <w:highlight w:val="none"/>
        </w:rPr>
        <w:t xml:space="preserve">  二、</w:t>
      </w:r>
      <w:r>
        <w:rPr>
          <w:rFonts w:asciiTheme="minorEastAsia" w:hAnsiTheme="minorEastAsia" w:eastAsiaTheme="minorEastAsia"/>
          <w:color w:val="auto"/>
          <w:kern w:val="0"/>
          <w:szCs w:val="21"/>
          <w:highlight w:val="none"/>
        </w:rPr>
        <w:t xml:space="preserve">现已清楚知道参加本项目采购活动的其他所有投标人名称，本单位 </w:t>
      </w:r>
      <w:r>
        <w:rPr>
          <w:rFonts w:cs="宋体" w:asciiTheme="minorEastAsia" w:hAnsiTheme="minorEastAsia" w:eastAsiaTheme="minorEastAsia"/>
          <w:color w:val="auto"/>
          <w:kern w:val="0"/>
          <w:szCs w:val="21"/>
          <w:highlight w:val="none"/>
        </w:rPr>
        <w:t>□与其他所有投标人之间均</w:t>
      </w:r>
      <w:r>
        <w:rPr>
          <w:rFonts w:asciiTheme="minorEastAsia" w:hAnsiTheme="minorEastAsia" w:eastAsiaTheme="minorEastAsia"/>
          <w:color w:val="auto"/>
          <w:kern w:val="0"/>
          <w:szCs w:val="21"/>
          <w:highlight w:val="none"/>
        </w:rPr>
        <w:t xml:space="preserve">不存在利害关系 </w:t>
      </w:r>
      <w:r>
        <w:rPr>
          <w:rFonts w:cs="宋体" w:asciiTheme="minorEastAsia" w:hAnsiTheme="minorEastAsia" w:eastAsiaTheme="minorEastAsia"/>
          <w:color w:val="auto"/>
          <w:kern w:val="0"/>
          <w:szCs w:val="21"/>
          <w:highlight w:val="none"/>
        </w:rPr>
        <w:t>□与</w:t>
      </w:r>
      <w:r>
        <w:rPr>
          <w:rFonts w:cs="宋体" w:asciiTheme="minorEastAsia" w:hAnsiTheme="minorEastAsia" w:eastAsiaTheme="minorEastAsia"/>
          <w:color w:val="auto"/>
          <w:kern w:val="0"/>
          <w:szCs w:val="21"/>
          <w:highlight w:val="none"/>
          <w:u w:val="single"/>
        </w:rPr>
        <w:t xml:space="preserve">           （投标人名称）</w:t>
      </w:r>
      <w:r>
        <w:rPr>
          <w:rFonts w:cs="宋体" w:asciiTheme="minorEastAsia" w:hAnsiTheme="minorEastAsia" w:eastAsiaTheme="minorEastAsia"/>
          <w:color w:val="auto"/>
          <w:kern w:val="0"/>
          <w:szCs w:val="21"/>
          <w:highlight w:val="none"/>
        </w:rPr>
        <w:t>之间</w:t>
      </w:r>
      <w:r>
        <w:rPr>
          <w:rFonts w:asciiTheme="minorEastAsia" w:hAnsiTheme="minorEastAsia" w:eastAsiaTheme="minorEastAsia"/>
          <w:color w:val="auto"/>
          <w:kern w:val="0"/>
          <w:szCs w:val="21"/>
          <w:highlight w:val="none"/>
        </w:rPr>
        <w:t>存在下列利害关系：</w:t>
      </w:r>
    </w:p>
    <w:p w14:paraId="6EA2FCA4">
      <w:pPr>
        <w:pStyle w:val="166"/>
        <w:snapToGrid w:val="0"/>
        <w:spacing w:line="360" w:lineRule="auto"/>
        <w:ind w:right="42" w:rightChars="20" w:firstLine="420" w:firstLineChars="200"/>
        <w:jc w:val="left"/>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 xml:space="preserve">  A.法定代表人或负责人或实际控制人是同一人</w:t>
      </w:r>
    </w:p>
    <w:p w14:paraId="4DF05E52">
      <w:pPr>
        <w:pStyle w:val="166"/>
        <w:snapToGrid w:val="0"/>
        <w:spacing w:line="360" w:lineRule="auto"/>
        <w:ind w:right="42" w:rightChars="20" w:firstLine="420" w:firstLineChars="200"/>
        <w:jc w:val="left"/>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kern w:val="0"/>
          <w:sz w:val="21"/>
          <w:szCs w:val="21"/>
          <w:highlight w:val="none"/>
        </w:rPr>
        <w:t xml:space="preserve">  B.法定代表人或负责人或实际控制人是夫妻关系</w:t>
      </w:r>
    </w:p>
    <w:p w14:paraId="2FF3C1C1">
      <w:pPr>
        <w:pStyle w:val="166"/>
        <w:snapToGrid w:val="0"/>
        <w:spacing w:line="360" w:lineRule="auto"/>
        <w:ind w:right="42" w:rightChars="20" w:firstLine="420" w:firstLineChars="200"/>
        <w:jc w:val="left"/>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kern w:val="0"/>
          <w:sz w:val="21"/>
          <w:szCs w:val="21"/>
          <w:highlight w:val="none"/>
        </w:rPr>
        <w:t xml:space="preserve">  C.法定代表人或负责人或实际控制人是直系血亲关系</w:t>
      </w:r>
    </w:p>
    <w:p w14:paraId="4E4CF328">
      <w:pPr>
        <w:pStyle w:val="166"/>
        <w:snapToGrid w:val="0"/>
        <w:spacing w:line="360" w:lineRule="auto"/>
        <w:ind w:right="42" w:rightChars="20" w:firstLine="420" w:firstLineChars="200"/>
        <w:jc w:val="left"/>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kern w:val="0"/>
          <w:sz w:val="21"/>
          <w:szCs w:val="21"/>
          <w:highlight w:val="none"/>
        </w:rPr>
        <w:t xml:space="preserve">  D.法定代表人或负责人或实际控制人存在三代以内旁系血亲关系</w:t>
      </w:r>
    </w:p>
    <w:p w14:paraId="3651A345">
      <w:pPr>
        <w:pStyle w:val="166"/>
        <w:snapToGrid w:val="0"/>
        <w:spacing w:line="360" w:lineRule="auto"/>
        <w:ind w:right="42" w:rightChars="20" w:firstLine="420" w:firstLineChars="200"/>
        <w:jc w:val="left"/>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 xml:space="preserve">  E.法定代表人或负责人或实际控制人存在近姻亲关系</w:t>
      </w:r>
    </w:p>
    <w:p w14:paraId="43B1194A">
      <w:pPr>
        <w:pStyle w:val="166"/>
        <w:snapToGrid w:val="0"/>
        <w:spacing w:line="360" w:lineRule="auto"/>
        <w:ind w:right="42" w:rightChars="20" w:firstLine="420" w:firstLineChars="200"/>
        <w:jc w:val="left"/>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 xml:space="preserve">  F.法定代表人或负责人或实际控制人存在股份控制或实际控制关系</w:t>
      </w:r>
    </w:p>
    <w:p w14:paraId="45A4663B">
      <w:pPr>
        <w:pStyle w:val="166"/>
        <w:snapToGrid w:val="0"/>
        <w:spacing w:line="360" w:lineRule="auto"/>
        <w:ind w:right="42" w:rightChars="20" w:firstLine="420" w:firstLineChars="200"/>
        <w:jc w:val="left"/>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 xml:space="preserve">  G.存在共同直接或间接投资设立子公司、联营企业和合营企业情况</w:t>
      </w:r>
    </w:p>
    <w:p w14:paraId="5116964B">
      <w:pPr>
        <w:pStyle w:val="166"/>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kern w:val="0"/>
          <w:sz w:val="21"/>
          <w:szCs w:val="21"/>
          <w:highlight w:val="none"/>
        </w:rPr>
        <w:t xml:space="preserve">  H.存在分级代理或代销关系、同一生产制造商关系、</w:t>
      </w:r>
      <w:r>
        <w:rPr>
          <w:rFonts w:asciiTheme="minorEastAsia" w:hAnsiTheme="minorEastAsia" w:eastAsiaTheme="minorEastAsia"/>
          <w:color w:val="auto"/>
          <w:sz w:val="21"/>
          <w:szCs w:val="21"/>
          <w:highlight w:val="none"/>
        </w:rPr>
        <w:t>管理关系、重要业务（占主营业务收入50%以上）或重要财务往来关系（如融资）等其他实质性控制关系</w:t>
      </w:r>
    </w:p>
    <w:p w14:paraId="6393C850">
      <w:pPr>
        <w:pStyle w:val="166"/>
        <w:snapToGrid w:val="0"/>
        <w:spacing w:line="360" w:lineRule="auto"/>
        <w:ind w:right="42" w:rightChars="20" w:firstLine="420" w:firstLineChars="200"/>
        <w:jc w:val="left"/>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sz w:val="21"/>
          <w:szCs w:val="21"/>
          <w:highlight w:val="none"/>
        </w:rPr>
        <w:t xml:space="preserve">    I</w:t>
      </w:r>
      <w:r>
        <w:rPr>
          <w:rFonts w:asciiTheme="minorEastAsia" w:hAnsiTheme="minorEastAsia" w:eastAsiaTheme="minorEastAsia"/>
          <w:color w:val="auto"/>
          <w:kern w:val="0"/>
          <w:sz w:val="21"/>
          <w:szCs w:val="21"/>
          <w:highlight w:val="none"/>
        </w:rPr>
        <w:t>.</w:t>
      </w:r>
      <w:r>
        <w:rPr>
          <w:rFonts w:asciiTheme="minorEastAsia" w:hAnsiTheme="minorEastAsia" w:eastAsiaTheme="minorEastAsia"/>
          <w:color w:val="auto"/>
          <w:sz w:val="21"/>
          <w:szCs w:val="21"/>
          <w:highlight w:val="none"/>
        </w:rPr>
        <w:t>其他利害关系情况</w:t>
      </w:r>
      <w:r>
        <w:rPr>
          <w:rFonts w:asciiTheme="minorEastAsia" w:hAnsiTheme="minorEastAsia" w:eastAsiaTheme="minorEastAsia"/>
          <w:color w:val="auto"/>
          <w:kern w:val="0"/>
          <w:sz w:val="21"/>
          <w:szCs w:val="21"/>
          <w:highlight w:val="none"/>
        </w:rPr>
        <w:t>。</w:t>
      </w:r>
    </w:p>
    <w:p w14:paraId="36BAF4DA">
      <w:pPr>
        <w:pStyle w:val="160"/>
        <w:widowControl/>
        <w:numPr>
          <w:ilvl w:val="0"/>
          <w:numId w:val="9"/>
        </w:numPr>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szCs w:val="21"/>
          <w:highlight w:val="none"/>
        </w:rPr>
        <w:t>现已清楚知道并</w:t>
      </w:r>
      <w:r>
        <w:rPr>
          <w:rFonts w:asciiTheme="minorEastAsia" w:hAnsiTheme="minorEastAsia" w:eastAsiaTheme="minorEastAsia"/>
          <w:color w:val="auto"/>
          <w:kern w:val="0"/>
          <w:szCs w:val="21"/>
          <w:highlight w:val="none"/>
        </w:rPr>
        <w:t>严格遵守政府采购法律法规和现场纪律。</w:t>
      </w:r>
    </w:p>
    <w:p w14:paraId="50FF8FFF">
      <w:pPr>
        <w:pStyle w:val="160"/>
        <w:widowControl/>
        <w:numPr>
          <w:ilvl w:val="0"/>
          <w:numId w:val="9"/>
        </w:numPr>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我发现投标人之间存在或可能存在上述第二条第项利害关系。</w:t>
      </w:r>
    </w:p>
    <w:p w14:paraId="0D762B9F">
      <w:pPr>
        <w:pStyle w:val="166"/>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p>
    <w:p w14:paraId="71B189C6">
      <w:pPr>
        <w:pStyle w:val="166"/>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p>
    <w:p w14:paraId="7187624F">
      <w:pPr>
        <w:pStyle w:val="166"/>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14:paraId="5719BFD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年  月  日</w:t>
      </w:r>
    </w:p>
    <w:p w14:paraId="018B022C">
      <w:pPr>
        <w:pStyle w:val="17"/>
        <w:rPr>
          <w:color w:val="auto"/>
          <w:highlight w:val="none"/>
        </w:rPr>
      </w:pPr>
    </w:p>
    <w:p w14:paraId="7F6638C4">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r>
        <w:rPr>
          <w:rFonts w:hint="eastAsia" w:asciiTheme="minorEastAsia" w:hAnsiTheme="minorEastAsia" w:eastAsiaTheme="minorEastAsia"/>
          <w:b/>
          <w:color w:val="auto"/>
          <w:szCs w:val="21"/>
          <w:highlight w:val="none"/>
        </w:rPr>
        <w:t>投标声明书格式：</w:t>
      </w:r>
    </w:p>
    <w:p w14:paraId="068D197B">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投标声明书</w:t>
      </w:r>
    </w:p>
    <w:p w14:paraId="1457ABA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cs="Arial" w:asciiTheme="minorEastAsia" w:hAnsiTheme="minorEastAsia" w:eastAsiaTheme="minorEastAsia"/>
          <w:color w:val="auto"/>
          <w:kern w:val="0"/>
          <w:szCs w:val="21"/>
          <w:highlight w:val="none"/>
          <w:u w:val="single"/>
        </w:rPr>
        <w:t xml:space="preserve">嘉兴市生态环境局秀洲分局  </w:t>
      </w:r>
      <w:r>
        <w:rPr>
          <w:rFonts w:hint="eastAsia" w:asciiTheme="minorEastAsia" w:hAnsiTheme="minorEastAsia" w:eastAsiaTheme="minorEastAsia"/>
          <w:color w:val="auto"/>
          <w:szCs w:val="21"/>
          <w:highlight w:val="none"/>
        </w:rPr>
        <w:t>（招标采购单位名称）：</w:t>
      </w:r>
    </w:p>
    <w:p w14:paraId="5BEE2F1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（投标人名称）</w:t>
      </w:r>
      <w:r>
        <w:rPr>
          <w:rFonts w:hint="eastAsia" w:asciiTheme="minorEastAsia" w:hAnsiTheme="minorEastAsia" w:eastAsiaTheme="minorEastAsia"/>
          <w:color w:val="auto"/>
          <w:szCs w:val="21"/>
          <w:highlight w:val="none"/>
        </w:rPr>
        <w:t>系中华人民共和国合法企业，经营地址</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7D907FA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w:t>
      </w:r>
      <w:r>
        <w:rPr>
          <w:rFonts w:hint="eastAsia" w:asciiTheme="minorEastAsia" w:hAnsiTheme="minorEastAsia" w:eastAsiaTheme="minorEastAsia"/>
          <w:color w:val="auto"/>
          <w:szCs w:val="21"/>
          <w:highlight w:val="none"/>
          <w:u w:val="single"/>
        </w:rPr>
        <w:t>（姓名）</w:t>
      </w: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（投标人名称）</w:t>
      </w:r>
      <w:r>
        <w:rPr>
          <w:rFonts w:hint="eastAsia" w:asciiTheme="minorEastAsia" w:hAnsiTheme="minorEastAsia" w:eastAsiaTheme="minorEastAsia"/>
          <w:color w:val="auto"/>
          <w:szCs w:val="21"/>
          <w:highlight w:val="none"/>
        </w:rPr>
        <w:t>的法定代表人，我方愿意参加贵方组织的项目的投标，为便于贵方公正、择优地确定中标人及其投标产品和服务，我方就本次投标有关事项郑重声明如下：</w:t>
      </w:r>
    </w:p>
    <w:p w14:paraId="4CC3661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我方向贵方提交的所有投标文件、资料都是准确的和真实的</w:t>
      </w:r>
      <w:r>
        <w:rPr>
          <w:rFonts w:hint="eastAsia" w:asciiTheme="minorEastAsia" w:hAnsiTheme="minorEastAsia" w:eastAsiaTheme="minorEastAsia"/>
          <w:color w:val="auto"/>
          <w:szCs w:val="21"/>
          <w:highlight w:val="none"/>
        </w:rPr>
        <w:t>。</w:t>
      </w:r>
    </w:p>
    <w:p w14:paraId="106FAC5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我方不是采购人的附属机构；在获知本项目采购信息后，与采购人聘请的为此项目提供咨询服务的公司及其附属机构没有任何联系。</w:t>
      </w:r>
    </w:p>
    <w:p w14:paraId="06D46067">
      <w:pPr>
        <w:snapToGrid w:val="0"/>
        <w:spacing w:line="360" w:lineRule="auto"/>
        <w:ind w:right="42" w:rightChars="20" w:firstLine="48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pacing w:val="15"/>
          <w:kern w:val="0"/>
          <w:szCs w:val="21"/>
          <w:highlight w:val="none"/>
        </w:rPr>
        <w:t>3</w:t>
      </w:r>
      <w:r>
        <w:rPr>
          <w:rFonts w:hint="eastAsia" w:asciiTheme="minorEastAsia" w:hAnsiTheme="minorEastAsia" w:eastAsiaTheme="minorEastAsia"/>
          <w:color w:val="auto"/>
          <w:spacing w:val="15"/>
          <w:kern w:val="0"/>
          <w:szCs w:val="21"/>
          <w:highlight w:val="none"/>
        </w:rPr>
        <w:t>、</w:t>
      </w:r>
      <w:r>
        <w:rPr>
          <w:rFonts w:asciiTheme="minorEastAsia" w:hAnsiTheme="minorEastAsia" w:eastAsiaTheme="minorEastAsia"/>
          <w:color w:val="auto"/>
          <w:spacing w:val="15"/>
          <w:kern w:val="0"/>
          <w:szCs w:val="21"/>
          <w:highlight w:val="none"/>
        </w:rPr>
        <w:t>我方此次向贵方提供的</w:t>
      </w:r>
      <w:r>
        <w:rPr>
          <w:rFonts w:hint="eastAsia" w:asciiTheme="minorEastAsia" w:hAnsiTheme="minorEastAsia" w:eastAsiaTheme="minorEastAsia"/>
          <w:color w:val="auto"/>
          <w:spacing w:val="15"/>
          <w:kern w:val="0"/>
          <w:szCs w:val="21"/>
          <w:highlight w:val="none"/>
        </w:rPr>
        <w:t>服务内容为</w:t>
      </w:r>
      <w:r>
        <w:rPr>
          <w:rFonts w:hint="eastAsia" w:asciiTheme="minorEastAsia" w:hAnsiTheme="minorEastAsia" w:eastAsiaTheme="minorEastAsia"/>
          <w:color w:val="auto"/>
          <w:szCs w:val="21"/>
          <w:highlight w:val="none"/>
        </w:rPr>
        <w:t>。</w:t>
      </w:r>
    </w:p>
    <w:p w14:paraId="4437AF7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我方诚意提请贵方关注：</w:t>
      </w:r>
      <w:r>
        <w:rPr>
          <w:rFonts w:hint="eastAsia" w:asciiTheme="minorEastAsia" w:hAnsiTheme="minorEastAsia" w:eastAsiaTheme="minorEastAsia"/>
          <w:color w:val="auto"/>
          <w:szCs w:val="21"/>
          <w:highlight w:val="none"/>
        </w:rPr>
        <w:t>近期</w:t>
      </w:r>
      <w:r>
        <w:rPr>
          <w:rFonts w:asciiTheme="minorEastAsia" w:hAnsiTheme="minorEastAsia" w:eastAsiaTheme="minorEastAsia"/>
          <w:color w:val="auto"/>
          <w:szCs w:val="21"/>
          <w:highlight w:val="none"/>
        </w:rPr>
        <w:t>有关</w:t>
      </w:r>
      <w:r>
        <w:rPr>
          <w:rFonts w:hint="eastAsia" w:asciiTheme="minorEastAsia" w:hAnsiTheme="minorEastAsia" w:eastAsiaTheme="minorEastAsia"/>
          <w:color w:val="auto"/>
          <w:szCs w:val="21"/>
          <w:highlight w:val="none"/>
        </w:rPr>
        <w:t>项目的售后服务等方面的重大决策和事项有：</w:t>
      </w:r>
    </w:p>
    <w:p w14:paraId="3E4F1FB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w:t>
      </w:r>
    </w:p>
    <w:p w14:paraId="423C947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、我方及由本人担任法定代表人的其他机构</w:t>
      </w:r>
      <w:r>
        <w:rPr>
          <w:rFonts w:asciiTheme="minorEastAsia" w:hAnsiTheme="minorEastAsia" w:eastAsiaTheme="minorEastAsia"/>
          <w:color w:val="auto"/>
          <w:szCs w:val="21"/>
          <w:highlight w:val="none"/>
        </w:rPr>
        <w:t>最近三年内被</w:t>
      </w:r>
      <w:r>
        <w:rPr>
          <w:rFonts w:hint="eastAsia" w:asciiTheme="minorEastAsia" w:hAnsiTheme="minorEastAsia" w:eastAsiaTheme="minorEastAsia"/>
          <w:color w:val="auto"/>
          <w:szCs w:val="21"/>
          <w:highlight w:val="none"/>
        </w:rPr>
        <w:t>通报或者被处罚的</w:t>
      </w:r>
      <w:r>
        <w:rPr>
          <w:rFonts w:asciiTheme="minorEastAsia" w:hAnsiTheme="minorEastAsia" w:eastAsiaTheme="minorEastAsia"/>
          <w:color w:val="auto"/>
          <w:szCs w:val="21"/>
          <w:highlight w:val="none"/>
        </w:rPr>
        <w:t>违法行为有：</w:t>
      </w:r>
    </w:p>
    <w:p w14:paraId="649EC410">
      <w:pPr>
        <w:snapToGrid w:val="0"/>
        <w:spacing w:line="360" w:lineRule="auto"/>
        <w:ind w:right="42" w:rightChars="20" w:firstLine="420" w:firstLineChars="200"/>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　　　　　　　　　　　　　　　　　　　　　　　　　　　</w:t>
      </w:r>
    </w:p>
    <w:p w14:paraId="0E93A6E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6、以上事项如有虚假或隐瞒，我方愿意承担一切后果，并不再寻求任何旨在减轻或免除法律责任的辩解。</w:t>
      </w:r>
    </w:p>
    <w:p w14:paraId="398621A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5B2DF02D">
      <w:pPr>
        <w:pStyle w:val="166"/>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14:paraId="6F587269">
      <w:pPr>
        <w:snapToGrid w:val="0"/>
        <w:spacing w:line="360" w:lineRule="auto"/>
        <w:ind w:right="42" w:rightChars="20" w:firstLine="420" w:firstLineChars="200"/>
        <w:jc w:val="left"/>
        <w:rPr>
          <w:rFonts w:asciiTheme="minorEastAsia" w:hAnsiTheme="minorEastAsia" w:eastAsiaTheme="minorEastAsia"/>
          <w:color w:val="auto"/>
          <w:szCs w:val="21"/>
          <w:highlight w:val="none"/>
          <w:u w:val="single"/>
        </w:rPr>
      </w:pPr>
    </w:p>
    <w:p w14:paraId="0F96CDE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shd w:val="clear" w:color="auto" w:fill="FFFFFF"/>
        </w:rPr>
        <w:t>投标人名称：（CA签章）</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年    月    日</w:t>
      </w:r>
    </w:p>
    <w:p w14:paraId="6283F280">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r>
        <w:rPr>
          <w:rFonts w:hint="eastAsia" w:asciiTheme="minorEastAsia" w:hAnsiTheme="minorEastAsia" w:eastAsiaTheme="minorEastAsia"/>
          <w:b/>
          <w:color w:val="auto"/>
          <w:szCs w:val="21"/>
          <w:highlight w:val="none"/>
        </w:rPr>
        <w:t>法定代表人授权委托书格式：</w:t>
      </w:r>
    </w:p>
    <w:p w14:paraId="1ABC5D3A">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法定代表人授权委托书</w:t>
      </w:r>
    </w:p>
    <w:p w14:paraId="7A31C73B">
      <w:pPr>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p>
    <w:p w14:paraId="6B42FC81">
      <w:pPr>
        <w:snapToGrid w:val="0"/>
        <w:spacing w:line="360" w:lineRule="auto"/>
        <w:ind w:right="42" w:rightChars="20" w:firstLine="420"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Cs/>
          <w:color w:val="auto"/>
          <w:szCs w:val="21"/>
          <w:highlight w:val="none"/>
        </w:rPr>
        <w:t>致：</w:t>
      </w:r>
      <w:r>
        <w:rPr>
          <w:rFonts w:hint="eastAsia" w:cs="Arial" w:asciiTheme="minorEastAsia" w:hAnsiTheme="minorEastAsia" w:eastAsiaTheme="minorEastAsia"/>
          <w:color w:val="auto"/>
          <w:kern w:val="0"/>
          <w:szCs w:val="21"/>
          <w:highlight w:val="none"/>
          <w:u w:val="single"/>
        </w:rPr>
        <w:t xml:space="preserve">嘉兴市生态环境局秀洲分局  </w:t>
      </w:r>
      <w:r>
        <w:rPr>
          <w:rFonts w:hint="eastAsia" w:asciiTheme="minorEastAsia" w:hAnsiTheme="minorEastAsia" w:eastAsiaTheme="minorEastAsia"/>
          <w:color w:val="auto"/>
          <w:szCs w:val="21"/>
          <w:highlight w:val="none"/>
        </w:rPr>
        <w:t>（招标采购单位名称）：</w:t>
      </w:r>
    </w:p>
    <w:p w14:paraId="735CD9E8">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val="zh-CN"/>
        </w:rPr>
        <w:t xml:space="preserve"> 兹委派我公司</w:t>
      </w:r>
      <w:r>
        <w:rPr>
          <w:rFonts w:hint="eastAsia" w:cs="宋体" w:asciiTheme="minorEastAsia" w:hAnsiTheme="minorEastAsia" w:eastAsiaTheme="minorEastAsia"/>
          <w:color w:val="auto"/>
          <w:kern w:val="0"/>
          <w:szCs w:val="21"/>
          <w:highlight w:val="none"/>
          <w:u w:val="single"/>
          <w:lang w:val="zh-CN"/>
        </w:rPr>
        <w:t>先生/女士</w:t>
      </w:r>
      <w:r>
        <w:rPr>
          <w:rFonts w:hint="eastAsia" w:cs="宋体" w:asciiTheme="minorEastAsia" w:hAnsiTheme="minorEastAsia" w:eastAsiaTheme="minorEastAsia"/>
          <w:color w:val="auto"/>
          <w:kern w:val="0"/>
          <w:szCs w:val="21"/>
          <w:highlight w:val="none"/>
          <w:lang w:val="zh-CN"/>
        </w:rPr>
        <w:t>(其在本公司的职务是：</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lang w:val="zh-CN"/>
        </w:rPr>
        <w:t>，联系电话：</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lang w:val="zh-CN"/>
        </w:rPr>
        <w:t>手机：</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lang w:val="zh-CN"/>
        </w:rPr>
        <w:t>传真：</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lang w:val="zh-CN"/>
        </w:rPr>
        <w:t>)，代表我公司全权处理</w:t>
      </w:r>
      <w:r>
        <w:rPr>
          <w:rFonts w:hint="eastAsia" w:asciiTheme="minorEastAsia" w:hAnsiTheme="minorEastAsia" w:eastAsiaTheme="minorEastAsia"/>
          <w:b/>
          <w:bCs/>
          <w:color w:val="auto"/>
          <w:szCs w:val="21"/>
          <w:highlight w:val="none"/>
          <w:u w:val="single"/>
          <w:lang w:val="zh-CN"/>
        </w:rPr>
        <w:t>2025年排污许可和自行监测技术服务项目</w:t>
      </w:r>
      <w:r>
        <w:rPr>
          <w:rFonts w:hint="eastAsia" w:cs="宋体" w:asciiTheme="minorEastAsia" w:hAnsiTheme="minorEastAsia" w:eastAsiaTheme="minorEastAsia"/>
          <w:color w:val="auto"/>
          <w:szCs w:val="21"/>
          <w:highlight w:val="none"/>
        </w:rPr>
        <w:t>(编号：</w:t>
      </w:r>
      <w:r>
        <w:rPr>
          <w:rFonts w:hint="eastAsia" w:cs="宋体" w:asciiTheme="minorEastAsia" w:hAnsiTheme="minorEastAsia" w:eastAsiaTheme="minorEastAsia"/>
          <w:color w:val="auto"/>
          <w:szCs w:val="21"/>
          <w:highlight w:val="none"/>
          <w:lang w:eastAsia="zh-CN"/>
        </w:rPr>
        <w:t>大地-DDZX-JX（2025）第5号</w:t>
      </w:r>
      <w:r>
        <w:rPr>
          <w:rFonts w:hint="eastAsia" w:cs="宋体" w:asciiTheme="minorEastAsia" w:hAnsiTheme="minorEastAsia" w:eastAsiaTheme="minorEastAsia"/>
          <w:color w:val="auto"/>
          <w:szCs w:val="21"/>
          <w:highlight w:val="none"/>
        </w:rPr>
        <w:t>)政府采购投标的一切事项</w:t>
      </w:r>
      <w:r>
        <w:rPr>
          <w:rFonts w:hint="eastAsia" w:cs="宋体" w:asciiTheme="minorEastAsia" w:hAnsiTheme="minorEastAsia" w:eastAsiaTheme="minorEastAsia"/>
          <w:color w:val="auto"/>
          <w:kern w:val="0"/>
          <w:szCs w:val="21"/>
          <w:highlight w:val="none"/>
          <w:lang w:val="zh-CN"/>
        </w:rPr>
        <w:t>。</w:t>
      </w:r>
    </w:p>
    <w:p w14:paraId="5EE1DD28">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lang w:val="zh-CN"/>
        </w:rPr>
        <w:t xml:space="preserve">    特此告知。</w:t>
      </w:r>
    </w:p>
    <w:p w14:paraId="68B3EE62">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p>
    <w:p w14:paraId="5BE317CD">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lang w:val="zh-CN"/>
        </w:rPr>
      </w:pPr>
    </w:p>
    <w:p w14:paraId="2846E51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7444671A">
      <w:pPr>
        <w:snapToGrid w:val="0"/>
        <w:spacing w:line="360" w:lineRule="auto"/>
        <w:ind w:right="42" w:rightChars="20" w:firstLine="420" w:firstLineChars="200"/>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被授权人签字（或盖章）：法定代表人签字（或盖章）：</w:t>
      </w:r>
    </w:p>
    <w:p w14:paraId="5E30B36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职务：职务：</w:t>
      </w:r>
    </w:p>
    <w:p w14:paraId="7477216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被授权人身份证号码：</w:t>
      </w:r>
    </w:p>
    <w:p w14:paraId="027467F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0054B1F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shd w:val="clear" w:color="auto" w:fill="FFFFFF"/>
        </w:rPr>
        <w:t>投标人名称：（CA签章）</w:t>
      </w:r>
    </w:p>
    <w:p w14:paraId="6A451DD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年月日</w:t>
      </w:r>
    </w:p>
    <w:p w14:paraId="30A5BD6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255B9C77">
      <w:pPr>
        <w:pStyle w:val="23"/>
        <w:rPr>
          <w:rFonts w:asciiTheme="minorEastAsia" w:hAnsiTheme="minorEastAsia" w:eastAsiaTheme="minorEastAsia"/>
          <w:color w:val="auto"/>
          <w:szCs w:val="21"/>
          <w:highlight w:val="none"/>
        </w:rPr>
      </w:pPr>
    </w:p>
    <w:p w14:paraId="409339CA">
      <w:pPr>
        <w:pStyle w:val="24"/>
        <w:ind w:firstLine="210"/>
        <w:rPr>
          <w:rFonts w:asciiTheme="minorEastAsia" w:hAnsiTheme="minorEastAsia" w:eastAsiaTheme="minorEastAsia"/>
          <w:color w:val="auto"/>
          <w:szCs w:val="21"/>
          <w:highlight w:val="none"/>
        </w:rPr>
      </w:pPr>
    </w:p>
    <w:p w14:paraId="6E3A0840">
      <w:pPr>
        <w:rPr>
          <w:rFonts w:asciiTheme="minorEastAsia" w:hAnsiTheme="minorEastAsia" w:eastAsiaTheme="minorEastAsia"/>
          <w:color w:val="auto"/>
          <w:szCs w:val="21"/>
          <w:highlight w:val="none"/>
        </w:rPr>
      </w:pPr>
    </w:p>
    <w:p w14:paraId="30D00CCE">
      <w:pPr>
        <w:pStyle w:val="23"/>
        <w:rPr>
          <w:rFonts w:asciiTheme="minorEastAsia" w:hAnsiTheme="minorEastAsia" w:eastAsiaTheme="minorEastAsia"/>
          <w:color w:val="auto"/>
          <w:szCs w:val="21"/>
          <w:highlight w:val="none"/>
        </w:rPr>
      </w:pPr>
    </w:p>
    <w:p w14:paraId="6C7D6D9E">
      <w:pPr>
        <w:pStyle w:val="24"/>
        <w:ind w:firstLine="210"/>
        <w:rPr>
          <w:rFonts w:asciiTheme="minorEastAsia" w:hAnsiTheme="minorEastAsia" w:eastAsiaTheme="minorEastAsia"/>
          <w:color w:val="auto"/>
          <w:szCs w:val="21"/>
          <w:highlight w:val="none"/>
        </w:rPr>
      </w:pPr>
    </w:p>
    <w:p w14:paraId="19689E34">
      <w:pPr>
        <w:rPr>
          <w:rFonts w:asciiTheme="minorEastAsia" w:hAnsiTheme="minorEastAsia" w:eastAsiaTheme="minorEastAsia"/>
          <w:color w:val="auto"/>
          <w:szCs w:val="21"/>
          <w:highlight w:val="none"/>
        </w:rPr>
      </w:pPr>
    </w:p>
    <w:p w14:paraId="6FB833E1">
      <w:pPr>
        <w:pStyle w:val="23"/>
        <w:rPr>
          <w:rFonts w:asciiTheme="minorEastAsia" w:hAnsiTheme="minorEastAsia" w:eastAsiaTheme="minorEastAsia"/>
          <w:color w:val="auto"/>
          <w:szCs w:val="21"/>
          <w:highlight w:val="none"/>
        </w:rPr>
      </w:pPr>
    </w:p>
    <w:p w14:paraId="35E3E33C">
      <w:pPr>
        <w:pStyle w:val="24"/>
        <w:ind w:firstLine="210"/>
        <w:rPr>
          <w:rFonts w:asciiTheme="minorEastAsia" w:hAnsiTheme="minorEastAsia" w:eastAsiaTheme="minorEastAsia"/>
          <w:color w:val="auto"/>
          <w:szCs w:val="21"/>
          <w:highlight w:val="none"/>
        </w:rPr>
      </w:pPr>
    </w:p>
    <w:p w14:paraId="2F49FCCF">
      <w:pPr>
        <w:rPr>
          <w:rFonts w:asciiTheme="minorEastAsia" w:hAnsiTheme="minorEastAsia" w:eastAsiaTheme="minorEastAsia"/>
          <w:color w:val="auto"/>
          <w:szCs w:val="21"/>
          <w:highlight w:val="none"/>
        </w:rPr>
      </w:pPr>
    </w:p>
    <w:p w14:paraId="03501486">
      <w:pPr>
        <w:pStyle w:val="23"/>
        <w:rPr>
          <w:rFonts w:asciiTheme="minorEastAsia" w:hAnsiTheme="minorEastAsia" w:eastAsiaTheme="minorEastAsia"/>
          <w:color w:val="auto"/>
          <w:szCs w:val="21"/>
          <w:highlight w:val="none"/>
        </w:rPr>
      </w:pPr>
    </w:p>
    <w:p w14:paraId="398C4D99">
      <w:pPr>
        <w:pStyle w:val="24"/>
        <w:ind w:firstLine="210"/>
        <w:rPr>
          <w:rFonts w:asciiTheme="minorEastAsia" w:hAnsiTheme="minorEastAsia" w:eastAsiaTheme="minorEastAsia"/>
          <w:color w:val="auto"/>
          <w:szCs w:val="21"/>
          <w:highlight w:val="none"/>
        </w:rPr>
      </w:pPr>
    </w:p>
    <w:p w14:paraId="0D088620">
      <w:pPr>
        <w:rPr>
          <w:rFonts w:asciiTheme="minorEastAsia" w:hAnsiTheme="minorEastAsia" w:eastAsiaTheme="minorEastAsia"/>
          <w:color w:val="auto"/>
          <w:szCs w:val="21"/>
          <w:highlight w:val="none"/>
        </w:rPr>
      </w:pPr>
    </w:p>
    <w:p w14:paraId="1F387F82">
      <w:pPr>
        <w:pStyle w:val="23"/>
        <w:rPr>
          <w:rFonts w:asciiTheme="minorEastAsia" w:hAnsiTheme="minorEastAsia" w:eastAsiaTheme="minorEastAsia"/>
          <w:color w:val="auto"/>
          <w:szCs w:val="21"/>
          <w:highlight w:val="none"/>
        </w:rPr>
      </w:pPr>
    </w:p>
    <w:p w14:paraId="4BFD4900">
      <w:pPr>
        <w:pStyle w:val="24"/>
        <w:ind w:firstLine="210"/>
        <w:rPr>
          <w:rFonts w:asciiTheme="minorEastAsia" w:hAnsiTheme="minorEastAsia" w:eastAsiaTheme="minorEastAsia"/>
          <w:color w:val="auto"/>
          <w:szCs w:val="21"/>
          <w:highlight w:val="none"/>
        </w:rPr>
      </w:pPr>
    </w:p>
    <w:p w14:paraId="54DB13D1">
      <w:pPr>
        <w:rPr>
          <w:rFonts w:asciiTheme="minorEastAsia" w:hAnsiTheme="minorEastAsia" w:eastAsiaTheme="minorEastAsia"/>
          <w:color w:val="auto"/>
          <w:szCs w:val="21"/>
          <w:highlight w:val="none"/>
        </w:rPr>
      </w:pPr>
    </w:p>
    <w:p w14:paraId="7115BF96">
      <w:pPr>
        <w:pStyle w:val="23"/>
        <w:rPr>
          <w:rFonts w:asciiTheme="minorEastAsia" w:hAnsiTheme="minorEastAsia" w:eastAsiaTheme="minorEastAsia"/>
          <w:color w:val="auto"/>
          <w:szCs w:val="21"/>
          <w:highlight w:val="none"/>
        </w:rPr>
      </w:pPr>
    </w:p>
    <w:p w14:paraId="3CD0EE4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4764A700">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14:paraId="0D837649">
      <w:pPr>
        <w:spacing w:line="360" w:lineRule="auto"/>
        <w:rPr>
          <w:rFonts w:ascii="仿宋" w:hAnsi="仿宋" w:eastAsia="仿宋" w:cs="仿宋"/>
          <w:color w:val="auto"/>
          <w:highlight w:val="none"/>
        </w:rPr>
      </w:pPr>
    </w:p>
    <w:p w14:paraId="1DF56E78">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9CD627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2C476C4">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93488EE">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B31DCA5">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730100C">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F65404B">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1EBE774D">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52DB39DE">
      <w:pPr>
        <w:pageBreakBefore w:val="0"/>
        <w:kinsoku/>
        <w:overflowPunct/>
        <w:topLinePunct w:val="0"/>
        <w:bidi w:val="0"/>
        <w:spacing w:line="360" w:lineRule="auto"/>
        <w:ind w:firstLine="310" w:firstLineChars="147"/>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从业人员、营业收入、资产总额填报上一年度数据，无上一年度数据的新成立企业可不填报。</w:t>
      </w:r>
    </w:p>
    <w:p w14:paraId="06E2D4D3">
      <w:pPr>
        <w:pageBreakBefore w:val="0"/>
        <w:kinsoku/>
        <w:overflowPunct/>
        <w:topLinePunct w:val="0"/>
        <w:bidi w:val="0"/>
        <w:spacing w:line="360" w:lineRule="auto"/>
        <w:ind w:right="420"/>
        <w:rPr>
          <w:rFonts w:hint="eastAsia" w:ascii="宋体" w:hAnsi="宋体" w:eastAsia="宋体" w:cs="宋体"/>
          <w:color w:val="auto"/>
          <w:sz w:val="21"/>
          <w:szCs w:val="21"/>
          <w:highlight w:val="none"/>
        </w:rPr>
      </w:pPr>
    </w:p>
    <w:p w14:paraId="43498FF6">
      <w:pPr>
        <w:pageBreakBefore w:val="0"/>
        <w:kinsoku/>
        <w:overflowPunct/>
        <w:topLinePunct w:val="0"/>
        <w:bidi w:val="0"/>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w:t>
      </w:r>
    </w:p>
    <w:p w14:paraId="6836A28F">
      <w:pPr>
        <w:pageBreakBefore w:val="0"/>
        <w:kinsoku/>
        <w:overflowPunct/>
        <w:topLinePunct w:val="0"/>
        <w:bidi w:val="0"/>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要求：①“标的名称”、“采购文件中明确的所属行业”依据招标文件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7DB61F">
      <w:pPr>
        <w:pageBreakBefore w:val="0"/>
        <w:kinsoku/>
        <w:overflowPunct/>
        <w:topLinePunct w:val="0"/>
        <w:bidi w:val="0"/>
        <w:spacing w:line="360" w:lineRule="auto"/>
        <w:ind w:right="420"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7FD32B">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71077CB8">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7AE552C0">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56BB6D05">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4EF7A39C">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3AC41FAE">
      <w:pPr>
        <w:pStyle w:val="30"/>
        <w:snapToGrid w:val="0"/>
        <w:ind w:firstLine="420"/>
        <w:rPr>
          <w:rFonts w:ascii="微软雅黑" w:hAnsi="微软雅黑"/>
          <w:b/>
          <w:color w:val="auto"/>
          <w:szCs w:val="21"/>
          <w:highlight w:val="none"/>
        </w:rPr>
      </w:pPr>
      <w:r>
        <w:rPr>
          <w:rFonts w:hint="eastAsia" w:ascii="微软雅黑" w:hAnsi="微软雅黑"/>
          <w:b/>
          <w:color w:val="auto"/>
          <w:szCs w:val="21"/>
          <w:highlight w:val="none"/>
        </w:rPr>
        <w:t>残疾人福利性单位声明函</w:t>
      </w:r>
    </w:p>
    <w:p w14:paraId="297E29C1">
      <w:pPr>
        <w:widowControl/>
        <w:ind w:firstLine="420"/>
        <w:rPr>
          <w:rFonts w:ascii="微软雅黑" w:hAnsi="微软雅黑"/>
          <w:b/>
          <w:color w:val="auto"/>
          <w:szCs w:val="21"/>
          <w:highlight w:val="none"/>
        </w:rPr>
      </w:pPr>
    </w:p>
    <w:p w14:paraId="7E2020CD">
      <w:pPr>
        <w:widowControl/>
        <w:ind w:firstLine="420"/>
        <w:jc w:val="center"/>
        <w:rPr>
          <w:rFonts w:ascii="微软雅黑" w:hAnsi="微软雅黑"/>
          <w:b/>
          <w:color w:val="auto"/>
          <w:szCs w:val="21"/>
          <w:highlight w:val="none"/>
        </w:rPr>
      </w:pPr>
      <w:r>
        <w:rPr>
          <w:rFonts w:hint="eastAsia" w:ascii="微软雅黑" w:hAnsi="微软雅黑"/>
          <w:b/>
          <w:color w:val="auto"/>
          <w:szCs w:val="21"/>
          <w:highlight w:val="none"/>
        </w:rPr>
        <w:t>残疾人福利性单位声明函</w:t>
      </w:r>
    </w:p>
    <w:p w14:paraId="5FE6C34E">
      <w:pPr>
        <w:widowControl/>
        <w:ind w:firstLine="420"/>
        <w:rPr>
          <w:rFonts w:ascii="微软雅黑" w:hAnsi="微软雅黑"/>
          <w:color w:val="auto"/>
          <w:szCs w:val="21"/>
          <w:highlight w:val="none"/>
        </w:rPr>
      </w:pPr>
      <w:r>
        <w:rPr>
          <w:rFonts w:hint="eastAsia" w:ascii="微软雅黑" w:hAnsi="微软雅黑"/>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BAC7C6">
      <w:pPr>
        <w:widowControl/>
        <w:ind w:firstLine="420"/>
        <w:rPr>
          <w:rFonts w:ascii="微软雅黑" w:hAnsi="微软雅黑"/>
          <w:color w:val="auto"/>
          <w:szCs w:val="21"/>
          <w:highlight w:val="none"/>
        </w:rPr>
      </w:pPr>
      <w:r>
        <w:rPr>
          <w:rFonts w:hint="eastAsia" w:ascii="微软雅黑" w:hAnsi="微软雅黑"/>
          <w:color w:val="auto"/>
          <w:szCs w:val="21"/>
          <w:highlight w:val="none"/>
        </w:rPr>
        <w:t xml:space="preserve">  本单位对上述声明的真实性负责。如有虚假，将依法承担相应责任。</w:t>
      </w:r>
    </w:p>
    <w:p w14:paraId="661B60E7">
      <w:pPr>
        <w:widowControl/>
        <w:ind w:firstLine="420"/>
        <w:rPr>
          <w:rFonts w:ascii="微软雅黑" w:hAnsi="微软雅黑"/>
          <w:color w:val="auto"/>
          <w:szCs w:val="21"/>
          <w:highlight w:val="none"/>
        </w:rPr>
      </w:pPr>
      <w:r>
        <w:rPr>
          <w:rFonts w:hint="eastAsia" w:ascii="微软雅黑" w:hAnsi="微软雅黑"/>
          <w:color w:val="auto"/>
          <w:szCs w:val="21"/>
          <w:highlight w:val="none"/>
        </w:rPr>
        <w:t xml:space="preserve">          </w:t>
      </w:r>
      <w:r>
        <w:rPr>
          <w:rFonts w:hint="eastAsia" w:ascii="宋体" w:hAnsi="宋体"/>
          <w:color w:val="auto"/>
          <w:szCs w:val="21"/>
          <w:highlight w:val="none"/>
        </w:rPr>
        <w:t>供应商（CA签章）</w:t>
      </w:r>
      <w:r>
        <w:rPr>
          <w:rFonts w:ascii="宋体" w:hAnsi="宋体"/>
          <w:color w:val="auto"/>
          <w:szCs w:val="21"/>
          <w:highlight w:val="none"/>
        </w:rPr>
        <w:t>：</w:t>
      </w:r>
    </w:p>
    <w:p w14:paraId="353BC601">
      <w:pPr>
        <w:widowControl/>
        <w:ind w:firstLine="420"/>
        <w:rPr>
          <w:rFonts w:ascii="微软雅黑" w:hAnsi="微软雅黑"/>
          <w:color w:val="auto"/>
          <w:szCs w:val="21"/>
          <w:highlight w:val="none"/>
        </w:rPr>
      </w:pPr>
      <w:r>
        <w:rPr>
          <w:rFonts w:hint="eastAsia" w:ascii="微软雅黑" w:hAnsi="微软雅黑"/>
          <w:color w:val="auto"/>
          <w:szCs w:val="21"/>
          <w:highlight w:val="none"/>
        </w:rPr>
        <w:t xml:space="preserve">                  日 期：</w:t>
      </w:r>
    </w:p>
    <w:p w14:paraId="5F46461A">
      <w:pPr>
        <w:ind w:firstLine="420"/>
        <w:rPr>
          <w:color w:val="auto"/>
          <w:highlight w:val="none"/>
        </w:rPr>
        <w:sectPr>
          <w:pgSz w:w="11905" w:h="16838"/>
          <w:pgMar w:top="1440" w:right="1803" w:bottom="1440" w:left="1803" w:header="851" w:footer="992" w:gutter="0"/>
          <w:cols w:space="0" w:num="1"/>
          <w:docGrid w:type="lines" w:linePitch="319" w:charSpace="0"/>
        </w:sectPr>
      </w:pPr>
    </w:p>
    <w:p w14:paraId="58389EB6">
      <w:pPr>
        <w:ind w:firstLine="420"/>
        <w:rPr>
          <w:color w:val="auto"/>
          <w:highlight w:val="none"/>
        </w:rPr>
      </w:pPr>
      <w:r>
        <w:rPr>
          <w:rFonts w:hint="eastAsia"/>
          <w:color w:val="auto"/>
          <w:highlight w:val="none"/>
        </w:rPr>
        <w:t>监狱企业证明文件</w:t>
      </w:r>
    </w:p>
    <w:p w14:paraId="649AFB29">
      <w:pPr>
        <w:ind w:firstLine="420"/>
        <w:jc w:val="center"/>
        <w:rPr>
          <w:rFonts w:ascii="微软雅黑" w:hAnsi="微软雅黑"/>
          <w:b/>
          <w:color w:val="auto"/>
          <w:szCs w:val="21"/>
          <w:highlight w:val="none"/>
        </w:rPr>
      </w:pPr>
      <w:r>
        <w:rPr>
          <w:rFonts w:hint="eastAsia" w:ascii="微软雅黑" w:hAnsi="微软雅黑"/>
          <w:b/>
          <w:color w:val="auto"/>
          <w:szCs w:val="21"/>
          <w:highlight w:val="none"/>
        </w:rPr>
        <w:t>监狱企业证明文件</w:t>
      </w:r>
    </w:p>
    <w:tbl>
      <w:tblPr>
        <w:tblStyle w:val="54"/>
        <w:tblW w:w="7533"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7533"/>
      </w:tblGrid>
      <w:tr w14:paraId="32BFC7D7">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7533" w:type="dxa"/>
            <w:vAlign w:val="center"/>
          </w:tcPr>
          <w:p w14:paraId="2BFEB477">
            <w:pPr>
              <w:ind w:firstLine="420"/>
              <w:jc w:val="center"/>
              <w:rPr>
                <w:rFonts w:ascii="微软雅黑" w:hAnsi="微软雅黑"/>
                <w:b/>
                <w:color w:val="auto"/>
                <w:szCs w:val="21"/>
                <w:highlight w:val="none"/>
              </w:rPr>
            </w:pPr>
            <w:r>
              <w:rPr>
                <w:rFonts w:hint="eastAsia" w:ascii="微软雅黑" w:hAnsi="微软雅黑"/>
                <w:b/>
                <w:color w:val="auto"/>
                <w:szCs w:val="21"/>
                <w:highlight w:val="none"/>
              </w:rPr>
              <w:t>相关部门出具的监狱企业证明文件</w:t>
            </w:r>
          </w:p>
          <w:p w14:paraId="4845F409">
            <w:pPr>
              <w:ind w:firstLine="420"/>
              <w:jc w:val="center"/>
              <w:rPr>
                <w:rFonts w:ascii="微软雅黑" w:hAnsi="微软雅黑" w:cs="Arial"/>
                <w:b/>
                <w:i/>
                <w:color w:val="auto"/>
                <w:kern w:val="0"/>
                <w:szCs w:val="21"/>
                <w:highlight w:val="none"/>
              </w:rPr>
            </w:pPr>
            <w:r>
              <w:rPr>
                <w:rFonts w:hint="eastAsia" w:ascii="微软雅黑" w:hAnsi="微软雅黑"/>
                <w:color w:val="auto"/>
                <w:szCs w:val="21"/>
                <w:highlight w:val="none"/>
              </w:rPr>
              <w:t>（如是，提供</w:t>
            </w:r>
            <w:r>
              <w:rPr>
                <w:rFonts w:hint="eastAsia" w:ascii="微软雅黑" w:hAnsi="微软雅黑" w:cs="Arial"/>
                <w:color w:val="auto"/>
                <w:kern w:val="0"/>
                <w:szCs w:val="21"/>
                <w:highlight w:val="none"/>
              </w:rPr>
              <w:t>复印件加盖投标供应商公章）</w:t>
            </w:r>
          </w:p>
        </w:tc>
      </w:tr>
    </w:tbl>
    <w:p w14:paraId="1AF1C908">
      <w:pPr>
        <w:ind w:firstLine="420"/>
        <w:rPr>
          <w:rFonts w:ascii="微软雅黑" w:hAnsi="微软雅黑" w:cs="Arial"/>
          <w:i/>
          <w:color w:val="auto"/>
          <w:szCs w:val="21"/>
          <w:highlight w:val="none"/>
        </w:rPr>
      </w:pPr>
    </w:p>
    <w:p w14:paraId="71B0D58C">
      <w:pPr>
        <w:snapToGrid w:val="0"/>
        <w:rPr>
          <w:rFonts w:ascii="微软雅黑" w:hAnsi="微软雅黑"/>
          <w:color w:val="auto"/>
          <w:szCs w:val="21"/>
          <w:highlight w:val="none"/>
          <w:u w:val="single"/>
        </w:rPr>
      </w:pPr>
      <w:r>
        <w:rPr>
          <w:rFonts w:hint="eastAsia" w:ascii="宋体" w:hAnsi="宋体"/>
          <w:color w:val="auto"/>
          <w:szCs w:val="21"/>
          <w:highlight w:val="none"/>
        </w:rPr>
        <w:t>供应商（CA签章）</w:t>
      </w:r>
      <w:r>
        <w:rPr>
          <w:rFonts w:hint="eastAsia" w:ascii="微软雅黑" w:hAnsi="微软雅黑"/>
          <w:color w:val="auto"/>
          <w:szCs w:val="21"/>
          <w:highlight w:val="none"/>
          <w:shd w:val="clear" w:color="auto" w:fill="FFFFFF"/>
        </w:rPr>
        <w:t>：</w:t>
      </w:r>
      <w:r>
        <w:rPr>
          <w:rFonts w:hint="eastAsia" w:ascii="微软雅黑" w:hAnsi="微软雅黑"/>
          <w:color w:val="auto"/>
          <w:szCs w:val="21"/>
          <w:highlight w:val="none"/>
        </w:rPr>
        <w:br w:type="textWrapping"/>
      </w:r>
      <w:r>
        <w:rPr>
          <w:rFonts w:hint="eastAsia" w:ascii="微软雅黑" w:hAnsi="微软雅黑"/>
          <w:color w:val="auto"/>
          <w:szCs w:val="21"/>
          <w:highlight w:val="none"/>
          <w:shd w:val="clear" w:color="auto" w:fill="FFFFFF"/>
        </w:rPr>
        <w:t>投标日期： 年 月 日</w:t>
      </w:r>
    </w:p>
    <w:p w14:paraId="4B90A1D0">
      <w:pPr>
        <w:pStyle w:val="99"/>
        <w:rPr>
          <w:color w:val="auto"/>
          <w:highlight w:val="none"/>
        </w:rPr>
      </w:pPr>
    </w:p>
    <w:p w14:paraId="6F212BB7">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1053754C">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4FE60047">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37819E48">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7F8C572B">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0B062686">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5AC5784B">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0DCA41EA">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2FE35CCE">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52D41491">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7A09B7DE">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2FFABE66">
      <w:pPr>
        <w:pStyle w:val="30"/>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0036D720">
      <w:pPr>
        <w:spacing w:line="360" w:lineRule="auto"/>
        <w:ind w:right="42" w:rightChars="20" w:firstLine="422" w:firstLineChars="200"/>
        <w:jc w:val="left"/>
        <w:rPr>
          <w:rFonts w:asciiTheme="minorEastAsia" w:hAnsiTheme="minorEastAsia" w:eastAsiaTheme="minorEastAsia"/>
          <w:b/>
          <w:color w:val="auto"/>
          <w:szCs w:val="21"/>
          <w:highlight w:val="none"/>
        </w:rPr>
      </w:pPr>
    </w:p>
    <w:p w14:paraId="41F49DD0">
      <w:pPr>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承诺函</w:t>
      </w:r>
    </w:p>
    <w:p w14:paraId="64AC565D">
      <w:pPr>
        <w:spacing w:line="360" w:lineRule="auto"/>
        <w:ind w:right="42" w:rightChars="20"/>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b/>
          <w:color w:val="auto"/>
          <w:kern w:val="0"/>
          <w:szCs w:val="21"/>
          <w:highlight w:val="none"/>
          <w:u w:val="single"/>
        </w:rPr>
        <w:t xml:space="preserve">嘉兴市生态环境局秀洲分局  </w:t>
      </w:r>
      <w:r>
        <w:rPr>
          <w:rFonts w:hint="eastAsia" w:asciiTheme="minorEastAsia" w:hAnsiTheme="minorEastAsia" w:eastAsiaTheme="minorEastAsia"/>
          <w:color w:val="auto"/>
          <w:szCs w:val="21"/>
          <w:highlight w:val="none"/>
        </w:rPr>
        <w:t>：</w:t>
      </w:r>
    </w:p>
    <w:p w14:paraId="6F8FAB67">
      <w:pPr>
        <w:snapToGrid w:val="0"/>
        <w:spacing w:line="360" w:lineRule="auto"/>
        <w:ind w:right="42" w:rightChars="20" w:firstLine="420" w:firstLineChars="200"/>
        <w:jc w:val="left"/>
        <w:rPr>
          <w:rFonts w:asciiTheme="minorEastAsia" w:hAnsiTheme="minorEastAsia" w:eastAsiaTheme="minorEastAsia"/>
          <w:color w:val="auto"/>
          <w:szCs w:val="21"/>
          <w:highlight w:val="none"/>
          <w:shd w:val="clear" w:color="auto" w:fill="FFFFFF"/>
        </w:rPr>
      </w:pPr>
    </w:p>
    <w:p w14:paraId="2B7E2665">
      <w:pPr>
        <w:snapToGrid w:val="0"/>
        <w:spacing w:line="360" w:lineRule="auto"/>
        <w:ind w:right="42" w:rightChars="20"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shd w:val="clear" w:color="auto" w:fill="FFFFFF"/>
        </w:rPr>
        <w:t>本公司（公司名称）参加</w:t>
      </w:r>
      <w:r>
        <w:rPr>
          <w:rFonts w:hint="eastAsia" w:asciiTheme="minorEastAsia" w:hAnsiTheme="minorEastAsia" w:eastAsiaTheme="minorEastAsia"/>
          <w:b/>
          <w:color w:val="auto"/>
          <w:highlight w:val="none"/>
          <w:lang w:eastAsia="zh-CN"/>
        </w:rPr>
        <w:t>2025年排污许可和自行监测技术服务项目</w:t>
      </w:r>
      <w:r>
        <w:rPr>
          <w:rFonts w:hint="eastAsia" w:asciiTheme="minorEastAsia" w:hAnsiTheme="minorEastAsia" w:eastAsiaTheme="minorEastAsia"/>
          <w:color w:val="auto"/>
          <w:szCs w:val="21"/>
          <w:highlight w:val="none"/>
          <w:shd w:val="clear" w:color="auto" w:fill="FFFFFF"/>
        </w:rPr>
        <w:t>投标活动，现承诺如下：</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（1）提供具有独立承担民事责任的能力；</w:t>
      </w:r>
    </w:p>
    <w:p w14:paraId="33746D9B">
      <w:pPr>
        <w:snapToGrid w:val="0"/>
        <w:spacing w:line="360" w:lineRule="auto"/>
        <w:ind w:right="42" w:rightChars="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（2）具有良好的商业信誉和健全的财务会计制度；</w:t>
      </w:r>
    </w:p>
    <w:p w14:paraId="13A12788">
      <w:pPr>
        <w:snapToGrid w:val="0"/>
        <w:spacing w:line="360" w:lineRule="auto"/>
        <w:ind w:right="42" w:rightChars="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（3）具有履行合同所必需的设备和专业技术能力；</w:t>
      </w:r>
    </w:p>
    <w:p w14:paraId="21C13047">
      <w:pPr>
        <w:snapToGrid w:val="0"/>
        <w:spacing w:line="360" w:lineRule="auto"/>
        <w:ind w:right="42" w:rightChars="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（4）有依法缴纳税收和社会保障资金的良好记录；</w:t>
      </w:r>
    </w:p>
    <w:p w14:paraId="60939E73">
      <w:pPr>
        <w:snapToGrid w:val="0"/>
        <w:spacing w:line="360" w:lineRule="auto"/>
        <w:ind w:right="42" w:rightChars="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（5）参加政府采购活动前三年，在经营活动中没有重大违法记录、自招标公告发布之日起至投标截止日内任意时间的“信用中国”网站（www.creditchina.gov.cn）（未被信用中国网站</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highlight w:val="none"/>
        </w:rPr>
        <w:t>列入失信被执行人、重大税收违法案件当事人名单</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、中国政府采购网（www.ccgp.gov.cn）（未被中国政府采购网</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highlight w:val="none"/>
        </w:rPr>
        <w:t>列入政府采购严重违法失信行为记录名单</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）也没有因违反《浙江省政府采购投标人注册及诚信管理暂行办法》被列入“黑名单”，正在处罚有效期；</w:t>
      </w:r>
    </w:p>
    <w:p w14:paraId="1AF68A98">
      <w:pPr>
        <w:pStyle w:val="23"/>
        <w:rPr>
          <w:color w:val="auto"/>
          <w:highlight w:val="none"/>
        </w:rPr>
      </w:pPr>
      <w:r>
        <w:rPr>
          <w:rFonts w:hint="eastAsia" w:asciiTheme="minorEastAsia" w:hAnsiTheme="minorEastAsia" w:eastAsiaTheme="minorEastAsia"/>
          <w:color w:val="auto"/>
          <w:szCs w:val="21"/>
          <w:highlight w:val="none"/>
        </w:rPr>
        <w:t>（6）</w:t>
      </w:r>
      <w:r>
        <w:rPr>
          <w:rFonts w:hint="eastAsia" w:ascii="宋体" w:hAnsi="宋体" w:cs="宋体"/>
          <w:color w:val="auto"/>
          <w:szCs w:val="21"/>
          <w:highlight w:val="none"/>
          <w:lang w:bidi="ar"/>
        </w:rPr>
        <w:t>若中标后无法满足▲项的视为虚假应标并自愿赔偿采购人相关损失，采购人有权上报财政部门。</w:t>
      </w:r>
    </w:p>
    <w:p w14:paraId="47462674">
      <w:pPr>
        <w:snapToGrid w:val="0"/>
        <w:spacing w:line="360" w:lineRule="auto"/>
        <w:ind w:right="42" w:rightChars="20" w:firstLine="420" w:firstLineChars="200"/>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shd w:val="clear" w:color="auto" w:fill="FFFFFF"/>
        </w:rPr>
        <w:t>如违反以上承诺，本公司愿承担一切法律责任。</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shd w:val="clear" w:color="auto" w:fill="FFFFFF"/>
        </w:rPr>
        <w:t>投标人名称：（CA签章）</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法定代表人或其授权代表签字（或盖章）</w:t>
      </w:r>
      <w:r>
        <w:rPr>
          <w:rFonts w:hint="eastAsia"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shd w:val="clear" w:color="auto" w:fill="FFFFFF"/>
        </w:rPr>
        <w:t>投标日期： 年 月 日</w:t>
      </w:r>
    </w:p>
    <w:p w14:paraId="5FA4FE6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14F7D0F6">
      <w:pPr>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asciiTheme="minorEastAsia" w:hAnsiTheme="minorEastAsia" w:eastAsiaTheme="minorEastAsia"/>
          <w:b/>
          <w:color w:val="auto"/>
          <w:szCs w:val="21"/>
          <w:highlight w:val="none"/>
        </w:rPr>
        <w:br w:type="page"/>
      </w:r>
    </w:p>
    <w:p w14:paraId="6390DF86">
      <w:pPr>
        <w:snapToGrid w:val="0"/>
        <w:ind w:right="42" w:rightChars="20" w:firstLine="420" w:firstLineChars="200"/>
        <w:jc w:val="left"/>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廉政承诺书格式：</w:t>
      </w:r>
    </w:p>
    <w:p w14:paraId="69FCB51C">
      <w:pPr>
        <w:pStyle w:val="5"/>
        <w:ind w:right="42" w:rightChars="2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廉政承诺书</w:t>
      </w:r>
    </w:p>
    <w:p w14:paraId="393E6083">
      <w:pPr>
        <w:autoSpaceDE w:val="0"/>
        <w:autoSpaceDN w:val="0"/>
        <w:adjustRightInd w:val="0"/>
        <w:spacing w:line="360" w:lineRule="auto"/>
        <w:ind w:right="42" w:rightChars="20"/>
        <w:contextualSpacing/>
        <w:rPr>
          <w:rFonts w:ascii="宋体" w:hAnsi="宋体" w:cs="宋体"/>
          <w:color w:val="auto"/>
          <w:kern w:val="0"/>
          <w:szCs w:val="21"/>
          <w:highlight w:val="none"/>
          <w:lang w:val="zh-CN"/>
        </w:rPr>
      </w:pPr>
      <w:r>
        <w:rPr>
          <w:rFonts w:hint="eastAsia" w:ascii="宋体" w:hAnsi="宋体" w:cs="宋体"/>
          <w:color w:val="auto"/>
          <w:szCs w:val="21"/>
          <w:highlight w:val="none"/>
        </w:rPr>
        <w:t>致：（招标采购单位名称）</w:t>
      </w:r>
    </w:p>
    <w:p w14:paraId="6945EE2C">
      <w:pPr>
        <w:autoSpaceDE w:val="0"/>
        <w:autoSpaceDN w:val="0"/>
        <w:adjustRightInd w:val="0"/>
        <w:spacing w:line="360" w:lineRule="auto"/>
        <w:ind w:right="42" w:rightChars="20"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lang w:val="zh-CN"/>
        </w:rPr>
        <w:t>我单位响应项目采购要求参加投标。在这次投标过程中和中标后，我们将严格遵守国家法律法规的要求，并郑重承诺：</w:t>
      </w:r>
    </w:p>
    <w:p w14:paraId="42DE141C">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一、不向项目有关人员及部门赠送礼金礼物、有价证券、回扣以及中介费、介绍费、咨询费等好处费；    </w:t>
      </w:r>
    </w:p>
    <w:p w14:paraId="73086147">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二、不为项目有关人员及部门报销应由你方单位或个人支付的费用；    </w:t>
      </w:r>
    </w:p>
    <w:p w14:paraId="0EE3E4F2">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三、不向项目有关人员及部门提供有可能影响公正的宴请和健身娱乐等活动；    </w:t>
      </w:r>
    </w:p>
    <w:p w14:paraId="503E1685">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四、不为项目有关人员及部门出国（境）、旅游等提供方便；    </w:t>
      </w:r>
    </w:p>
    <w:p w14:paraId="0D92F8EC">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五、不为项目有关人员个人装修住房、婚丧嫁娶、配偶子女工作安排等提供好处；    </w:t>
      </w:r>
    </w:p>
    <w:p w14:paraId="63208A50">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六、严格遵守政府采购法、招标投标法、合同法等法律，诚实守信，合法经营，坚决抵制各种违法违纪行为。</w:t>
      </w:r>
    </w:p>
    <w:p w14:paraId="5B8D83BF">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如违反上述承诺，你单位有权立即取消我单位投标、中标或在建项目的建设资格，有权拒绝我单位在一定时期内进入你单位进行项目建设或其他经营活动，并通报政府采购监督管理部门。由此引起的相应损失均由我单位承担。</w:t>
      </w:r>
    </w:p>
    <w:p w14:paraId="5249EA43">
      <w:pPr>
        <w:tabs>
          <w:tab w:val="left" w:pos="1418"/>
        </w:tabs>
        <w:spacing w:line="360" w:lineRule="auto"/>
        <w:ind w:right="42" w:rightChars="20"/>
        <w:contextualSpacing/>
        <w:rPr>
          <w:rFonts w:ascii="宋体" w:hAnsi="宋体"/>
          <w:color w:val="auto"/>
          <w:szCs w:val="21"/>
          <w:highlight w:val="none"/>
        </w:rPr>
      </w:pPr>
    </w:p>
    <w:p w14:paraId="49E8873F">
      <w:pPr>
        <w:pStyle w:val="166"/>
        <w:snapToGrid w:val="0"/>
        <w:spacing w:line="360" w:lineRule="auto"/>
        <w:ind w:right="42" w:rightChars="2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14:paraId="6E5B9C51">
      <w:pPr>
        <w:tabs>
          <w:tab w:val="left" w:pos="1418"/>
        </w:tabs>
        <w:spacing w:line="360" w:lineRule="auto"/>
        <w:ind w:right="42" w:rightChars="20"/>
        <w:contextualSpacing/>
        <w:rPr>
          <w:rFonts w:ascii="宋体" w:hAnsi="宋体"/>
          <w:color w:val="auto"/>
          <w:szCs w:val="21"/>
          <w:highlight w:val="none"/>
        </w:rPr>
      </w:pPr>
    </w:p>
    <w:p w14:paraId="6692A8ED">
      <w:pPr>
        <w:tabs>
          <w:tab w:val="left" w:pos="1418"/>
        </w:tabs>
        <w:spacing w:line="360" w:lineRule="auto"/>
        <w:ind w:right="42" w:rightChars="20"/>
        <w:contextualSpacing/>
        <w:rPr>
          <w:rFonts w:ascii="宋体" w:hAnsi="宋体"/>
          <w:color w:val="auto"/>
          <w:szCs w:val="21"/>
          <w:highlight w:val="none"/>
        </w:rPr>
      </w:pPr>
      <w:r>
        <w:rPr>
          <w:rFonts w:hint="eastAsia" w:ascii="宋体" w:hAnsi="宋体"/>
          <w:color w:val="auto"/>
          <w:szCs w:val="21"/>
          <w:highlight w:val="none"/>
        </w:rPr>
        <w:t>投 标 人（</w:t>
      </w:r>
      <w:r>
        <w:rPr>
          <w:rFonts w:hint="eastAsia" w:asciiTheme="minorEastAsia" w:hAnsiTheme="minorEastAsia" w:eastAsiaTheme="minorEastAsia"/>
          <w:color w:val="auto"/>
          <w:szCs w:val="21"/>
          <w:highlight w:val="none"/>
          <w:shd w:val="clear" w:color="auto" w:fill="FFFFFF"/>
        </w:rPr>
        <w:t>CA签章</w:t>
      </w:r>
      <w:r>
        <w:rPr>
          <w:rFonts w:hint="eastAsia" w:ascii="宋体" w:hAnsi="宋体"/>
          <w:color w:val="auto"/>
          <w:szCs w:val="21"/>
          <w:highlight w:val="none"/>
        </w:rPr>
        <w:t xml:space="preserve">）：                            </w:t>
      </w:r>
    </w:p>
    <w:p w14:paraId="3C97C532">
      <w:pPr>
        <w:tabs>
          <w:tab w:val="left" w:pos="1418"/>
        </w:tabs>
        <w:spacing w:line="360" w:lineRule="auto"/>
        <w:ind w:right="42" w:rightChars="20"/>
        <w:contextualSpacing/>
        <w:rPr>
          <w:rFonts w:ascii="宋体" w:hAnsi="宋体" w:cs="宋体"/>
          <w:bCs/>
          <w:color w:val="auto"/>
          <w:szCs w:val="21"/>
          <w:highlight w:val="none"/>
        </w:rPr>
      </w:pPr>
    </w:p>
    <w:p w14:paraId="20C7146C">
      <w:pPr>
        <w:tabs>
          <w:tab w:val="left" w:pos="1418"/>
        </w:tabs>
        <w:spacing w:line="360" w:lineRule="auto"/>
        <w:ind w:right="42" w:rightChars="20"/>
        <w:contextualSpacing/>
        <w:jc w:val="right"/>
        <w:rPr>
          <w:rFonts w:ascii="宋体" w:hAnsi="宋体" w:cs="宋体"/>
          <w:b/>
          <w:bCs/>
          <w:color w:val="auto"/>
          <w:szCs w:val="21"/>
          <w:highlight w:val="none"/>
        </w:rPr>
      </w:pPr>
      <w:r>
        <w:rPr>
          <w:rFonts w:hint="eastAsia" w:ascii="宋体" w:hAnsi="宋体" w:cs="宋体"/>
          <w:bCs/>
          <w:color w:val="auto"/>
          <w:szCs w:val="21"/>
          <w:highlight w:val="none"/>
        </w:rPr>
        <w:t xml:space="preserve">  年  月  日</w:t>
      </w:r>
    </w:p>
    <w:p w14:paraId="632FA703">
      <w:pPr>
        <w:pStyle w:val="4"/>
        <w:spacing w:line="360" w:lineRule="auto"/>
        <w:ind w:right="42" w:rightChars="20"/>
        <w:contextualSpacing/>
        <w:rPr>
          <w:color w:val="auto"/>
          <w:highlight w:val="none"/>
        </w:rPr>
        <w:sectPr>
          <w:headerReference r:id="rId4" w:type="default"/>
          <w:pgSz w:w="11905" w:h="16838"/>
          <w:pgMar w:top="1440" w:right="1803" w:bottom="1440" w:left="1803" w:header="851" w:footer="992" w:gutter="0"/>
          <w:cols w:space="0" w:num="1"/>
          <w:docGrid w:type="lines" w:linePitch="319" w:charSpace="0"/>
        </w:sectPr>
      </w:pPr>
    </w:p>
    <w:p w14:paraId="635515F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投标人的类似成功案例的业绩证明文件：</w:t>
      </w:r>
    </w:p>
    <w:p w14:paraId="1E3861CA">
      <w:pPr>
        <w:pStyle w:val="41"/>
        <w:snapToGrid w:val="0"/>
        <w:spacing w:line="360" w:lineRule="auto"/>
        <w:ind w:left="0"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投标人同类项目实施情况一览表格式：（投标人同类项目合同复印件）</w:t>
      </w:r>
    </w:p>
    <w:tbl>
      <w:tblPr>
        <w:tblStyle w:val="54"/>
        <w:tblpPr w:leftFromText="180" w:rightFromText="180" w:vertAnchor="text" w:horzAnchor="page" w:tblpX="1937" w:tblpY="958"/>
        <w:tblOverlap w:val="never"/>
        <w:tblW w:w="84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6"/>
        <w:gridCol w:w="1296"/>
        <w:gridCol w:w="941"/>
        <w:gridCol w:w="968"/>
        <w:gridCol w:w="1173"/>
        <w:gridCol w:w="1268"/>
        <w:gridCol w:w="1323"/>
      </w:tblGrid>
      <w:tr w14:paraId="5FFB6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71" w:hRule="atLeast"/>
        </w:trPr>
        <w:tc>
          <w:tcPr>
            <w:tcW w:w="1486" w:type="dxa"/>
            <w:tcBorders>
              <w:top w:val="single" w:color="auto" w:sz="4" w:space="0"/>
              <w:left w:val="single" w:color="auto" w:sz="4" w:space="0"/>
              <w:bottom w:val="single" w:color="auto" w:sz="4" w:space="0"/>
              <w:right w:val="single" w:color="auto" w:sz="4" w:space="0"/>
            </w:tcBorders>
            <w:vAlign w:val="center"/>
          </w:tcPr>
          <w:p w14:paraId="38302BD3">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采购单位名称</w:t>
            </w:r>
          </w:p>
        </w:tc>
        <w:tc>
          <w:tcPr>
            <w:tcW w:w="1296" w:type="dxa"/>
            <w:tcBorders>
              <w:top w:val="single" w:color="auto" w:sz="4" w:space="0"/>
              <w:left w:val="single" w:color="auto" w:sz="4" w:space="0"/>
              <w:bottom w:val="single" w:color="auto" w:sz="4" w:space="0"/>
              <w:right w:val="single" w:color="auto" w:sz="4" w:space="0"/>
            </w:tcBorders>
            <w:vAlign w:val="center"/>
          </w:tcPr>
          <w:p w14:paraId="3FD511AD">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设备或项目名称</w:t>
            </w:r>
          </w:p>
        </w:tc>
        <w:tc>
          <w:tcPr>
            <w:tcW w:w="941" w:type="dxa"/>
            <w:tcBorders>
              <w:top w:val="single" w:color="auto" w:sz="4" w:space="0"/>
              <w:left w:val="single" w:color="auto" w:sz="4" w:space="0"/>
              <w:bottom w:val="single" w:color="auto" w:sz="4" w:space="0"/>
              <w:right w:val="single" w:color="auto" w:sz="4" w:space="0"/>
            </w:tcBorders>
            <w:vAlign w:val="center"/>
          </w:tcPr>
          <w:p w14:paraId="078B9378">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w:t>
            </w:r>
          </w:p>
          <w:p w14:paraId="3E8A30A1">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968" w:type="dxa"/>
            <w:tcBorders>
              <w:top w:val="single" w:color="auto" w:sz="4" w:space="0"/>
              <w:left w:val="single" w:color="auto" w:sz="4" w:space="0"/>
              <w:bottom w:val="single" w:color="auto" w:sz="4" w:space="0"/>
              <w:right w:val="single" w:color="auto" w:sz="4" w:space="0"/>
            </w:tcBorders>
            <w:vAlign w:val="center"/>
          </w:tcPr>
          <w:p w14:paraId="1E170896">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单价</w:t>
            </w:r>
          </w:p>
        </w:tc>
        <w:tc>
          <w:tcPr>
            <w:tcW w:w="1173" w:type="dxa"/>
            <w:tcBorders>
              <w:top w:val="single" w:color="auto" w:sz="4" w:space="0"/>
              <w:left w:val="single" w:color="auto" w:sz="4" w:space="0"/>
              <w:bottom w:val="single" w:color="auto" w:sz="4" w:space="0"/>
              <w:right w:val="single" w:color="auto" w:sz="4" w:space="0"/>
            </w:tcBorders>
            <w:vAlign w:val="center"/>
          </w:tcPr>
          <w:p w14:paraId="71EE724B">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合同金额</w:t>
            </w:r>
          </w:p>
          <w:p w14:paraId="12FF899A">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（万元）</w:t>
            </w:r>
          </w:p>
        </w:tc>
        <w:tc>
          <w:tcPr>
            <w:tcW w:w="1268" w:type="dxa"/>
            <w:tcBorders>
              <w:top w:val="single" w:color="auto" w:sz="4" w:space="0"/>
              <w:left w:val="single" w:color="auto" w:sz="4" w:space="0"/>
              <w:right w:val="single" w:color="auto" w:sz="4" w:space="0"/>
            </w:tcBorders>
            <w:vAlign w:val="center"/>
          </w:tcPr>
          <w:p w14:paraId="5CFD7A43">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附件页码</w:t>
            </w:r>
          </w:p>
          <w:p w14:paraId="0CBD212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AD418E9">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采购单位联系人及</w:t>
            </w:r>
          </w:p>
          <w:p w14:paraId="4749AD9E">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w:t>
            </w:r>
          </w:p>
        </w:tc>
      </w:tr>
      <w:tr w14:paraId="63E8E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486" w:type="dxa"/>
            <w:tcBorders>
              <w:top w:val="single" w:color="auto" w:sz="4" w:space="0"/>
              <w:left w:val="single" w:color="auto" w:sz="4" w:space="0"/>
              <w:bottom w:val="single" w:color="auto" w:sz="4" w:space="0"/>
              <w:right w:val="single" w:color="auto" w:sz="4" w:space="0"/>
            </w:tcBorders>
          </w:tcPr>
          <w:p w14:paraId="53996B3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2F81B5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41" w:type="dxa"/>
            <w:tcBorders>
              <w:top w:val="single" w:color="auto" w:sz="4" w:space="0"/>
              <w:left w:val="single" w:color="auto" w:sz="4" w:space="0"/>
              <w:bottom w:val="single" w:color="auto" w:sz="4" w:space="0"/>
              <w:right w:val="single" w:color="auto" w:sz="4" w:space="0"/>
            </w:tcBorders>
          </w:tcPr>
          <w:p w14:paraId="15EEB88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tcPr>
          <w:p w14:paraId="2864C79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tcPr>
          <w:p w14:paraId="47A124E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14:paraId="6DFE1B4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tcPr>
          <w:p w14:paraId="3F4875F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3B6F6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86" w:type="dxa"/>
            <w:tcBorders>
              <w:top w:val="single" w:color="auto" w:sz="4" w:space="0"/>
              <w:left w:val="single" w:color="auto" w:sz="4" w:space="0"/>
              <w:bottom w:val="single" w:color="auto" w:sz="4" w:space="0"/>
              <w:right w:val="single" w:color="auto" w:sz="4" w:space="0"/>
            </w:tcBorders>
          </w:tcPr>
          <w:p w14:paraId="56B7BD2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41EF613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41" w:type="dxa"/>
            <w:tcBorders>
              <w:top w:val="single" w:color="auto" w:sz="4" w:space="0"/>
              <w:left w:val="single" w:color="auto" w:sz="4" w:space="0"/>
              <w:bottom w:val="single" w:color="auto" w:sz="4" w:space="0"/>
              <w:right w:val="single" w:color="auto" w:sz="4" w:space="0"/>
            </w:tcBorders>
          </w:tcPr>
          <w:p w14:paraId="24B5182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tcPr>
          <w:p w14:paraId="24E7F94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tcPr>
          <w:p w14:paraId="4CC379D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14:paraId="6F8EFA1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tcPr>
          <w:p w14:paraId="3A46480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272E9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486" w:type="dxa"/>
            <w:tcBorders>
              <w:top w:val="single" w:color="auto" w:sz="4" w:space="0"/>
              <w:left w:val="single" w:color="auto" w:sz="4" w:space="0"/>
              <w:bottom w:val="single" w:color="auto" w:sz="4" w:space="0"/>
              <w:right w:val="single" w:color="auto" w:sz="4" w:space="0"/>
            </w:tcBorders>
          </w:tcPr>
          <w:p w14:paraId="1DF672E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4A841B3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41" w:type="dxa"/>
            <w:tcBorders>
              <w:top w:val="single" w:color="auto" w:sz="4" w:space="0"/>
              <w:left w:val="single" w:color="auto" w:sz="4" w:space="0"/>
              <w:bottom w:val="single" w:color="auto" w:sz="4" w:space="0"/>
              <w:right w:val="single" w:color="auto" w:sz="4" w:space="0"/>
            </w:tcBorders>
          </w:tcPr>
          <w:p w14:paraId="0AF7BA5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tcPr>
          <w:p w14:paraId="4A23E7B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tcPr>
          <w:p w14:paraId="6593ACD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14:paraId="141C460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tcPr>
          <w:p w14:paraId="1D78C7A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50C34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86" w:type="dxa"/>
            <w:tcBorders>
              <w:top w:val="single" w:color="auto" w:sz="4" w:space="0"/>
              <w:left w:val="single" w:color="auto" w:sz="4" w:space="0"/>
              <w:bottom w:val="single" w:color="auto" w:sz="4" w:space="0"/>
              <w:right w:val="single" w:color="auto" w:sz="4" w:space="0"/>
            </w:tcBorders>
          </w:tcPr>
          <w:p w14:paraId="659ACB7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7FE402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41" w:type="dxa"/>
            <w:tcBorders>
              <w:top w:val="single" w:color="auto" w:sz="4" w:space="0"/>
              <w:left w:val="single" w:color="auto" w:sz="4" w:space="0"/>
              <w:bottom w:val="single" w:color="auto" w:sz="4" w:space="0"/>
              <w:right w:val="single" w:color="auto" w:sz="4" w:space="0"/>
            </w:tcBorders>
          </w:tcPr>
          <w:p w14:paraId="0410501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tcPr>
          <w:p w14:paraId="77AD9EB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tcPr>
          <w:p w14:paraId="2A3FA07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14:paraId="388887C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tcPr>
          <w:p w14:paraId="462FEAC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1FAAA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86" w:type="dxa"/>
            <w:tcBorders>
              <w:top w:val="single" w:color="auto" w:sz="4" w:space="0"/>
              <w:left w:val="single" w:color="auto" w:sz="4" w:space="0"/>
              <w:bottom w:val="single" w:color="auto" w:sz="4" w:space="0"/>
              <w:right w:val="single" w:color="auto" w:sz="4" w:space="0"/>
            </w:tcBorders>
          </w:tcPr>
          <w:p w14:paraId="40305CA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2651C9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41" w:type="dxa"/>
            <w:tcBorders>
              <w:top w:val="single" w:color="auto" w:sz="4" w:space="0"/>
              <w:left w:val="single" w:color="auto" w:sz="4" w:space="0"/>
              <w:bottom w:val="single" w:color="auto" w:sz="4" w:space="0"/>
              <w:right w:val="single" w:color="auto" w:sz="4" w:space="0"/>
            </w:tcBorders>
          </w:tcPr>
          <w:p w14:paraId="58CAF24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tcPr>
          <w:p w14:paraId="446F159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tcPr>
          <w:p w14:paraId="0032F48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14:paraId="3DAE800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tcPr>
          <w:p w14:paraId="00F6ABD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bl>
    <w:p w14:paraId="2A2AC35F">
      <w:pPr>
        <w:pStyle w:val="19"/>
        <w:snapToGrid w:val="0"/>
        <w:spacing w:before="0" w:after="0" w:line="360" w:lineRule="auto"/>
        <w:ind w:right="42" w:rightChars="20" w:firstLine="420" w:firstLineChars="200"/>
        <w:jc w:val="left"/>
        <w:rPr>
          <w:rFonts w:asciiTheme="minorEastAsia" w:hAnsiTheme="minorEastAsia" w:eastAsiaTheme="minorEastAsia"/>
          <w:color w:val="auto"/>
          <w:sz w:val="21"/>
          <w:szCs w:val="21"/>
          <w:highlight w:val="none"/>
        </w:rPr>
      </w:pPr>
    </w:p>
    <w:p w14:paraId="207BFCF7">
      <w:pPr>
        <w:rPr>
          <w:rFonts w:asciiTheme="minorEastAsia" w:hAnsiTheme="minorEastAsia" w:eastAsiaTheme="minorEastAsia"/>
          <w:color w:val="auto"/>
          <w:szCs w:val="21"/>
          <w:highlight w:val="none"/>
        </w:rPr>
      </w:pPr>
    </w:p>
    <w:p w14:paraId="32E4CEF6">
      <w:pPr>
        <w:pStyle w:val="17"/>
        <w:rPr>
          <w:rFonts w:asciiTheme="minorEastAsia" w:hAnsiTheme="minorEastAsia" w:eastAsiaTheme="minorEastAsia"/>
          <w:color w:val="auto"/>
          <w:szCs w:val="21"/>
          <w:highlight w:val="none"/>
        </w:rPr>
      </w:pPr>
    </w:p>
    <w:p w14:paraId="75313025">
      <w:pPr>
        <w:pStyle w:val="18"/>
        <w:rPr>
          <w:rFonts w:asciiTheme="minorEastAsia" w:hAnsiTheme="minorEastAsia" w:eastAsiaTheme="minorEastAsia"/>
          <w:color w:val="auto"/>
          <w:sz w:val="21"/>
          <w:szCs w:val="21"/>
          <w:highlight w:val="none"/>
        </w:rPr>
      </w:pPr>
    </w:p>
    <w:p w14:paraId="305D9CDA">
      <w:pPr>
        <w:pStyle w:val="17"/>
        <w:rPr>
          <w:rFonts w:asciiTheme="minorEastAsia" w:hAnsiTheme="minorEastAsia" w:eastAsiaTheme="minorEastAsia"/>
          <w:color w:val="auto"/>
          <w:szCs w:val="21"/>
          <w:highlight w:val="none"/>
        </w:rPr>
      </w:pPr>
    </w:p>
    <w:p w14:paraId="23F6F640">
      <w:pPr>
        <w:pStyle w:val="17"/>
        <w:rPr>
          <w:rFonts w:asciiTheme="minorEastAsia" w:hAnsiTheme="minorEastAsia" w:eastAsiaTheme="minorEastAsia"/>
          <w:color w:val="auto"/>
          <w:szCs w:val="21"/>
          <w:highlight w:val="none"/>
        </w:rPr>
      </w:pPr>
    </w:p>
    <w:p w14:paraId="50F82766">
      <w:pPr>
        <w:pStyle w:val="18"/>
        <w:rPr>
          <w:rFonts w:asciiTheme="minorEastAsia" w:hAnsiTheme="minorEastAsia" w:eastAsiaTheme="minorEastAsia"/>
          <w:color w:val="auto"/>
          <w:sz w:val="21"/>
          <w:szCs w:val="21"/>
          <w:highlight w:val="none"/>
        </w:rPr>
      </w:pPr>
    </w:p>
    <w:p w14:paraId="4D569978">
      <w:pPr>
        <w:pStyle w:val="17"/>
        <w:rPr>
          <w:rFonts w:asciiTheme="minorEastAsia" w:hAnsiTheme="minorEastAsia" w:eastAsiaTheme="minorEastAsia"/>
          <w:color w:val="auto"/>
          <w:szCs w:val="21"/>
          <w:highlight w:val="none"/>
        </w:rPr>
      </w:pPr>
    </w:p>
    <w:p w14:paraId="125D2295">
      <w:pPr>
        <w:pStyle w:val="18"/>
        <w:rPr>
          <w:rFonts w:asciiTheme="minorEastAsia" w:hAnsiTheme="minorEastAsia" w:eastAsiaTheme="minorEastAsia"/>
          <w:color w:val="auto"/>
          <w:sz w:val="21"/>
          <w:szCs w:val="21"/>
          <w:highlight w:val="none"/>
        </w:rPr>
      </w:pPr>
    </w:p>
    <w:p w14:paraId="2C6A9D87">
      <w:pPr>
        <w:pStyle w:val="17"/>
        <w:rPr>
          <w:rFonts w:asciiTheme="minorEastAsia" w:hAnsiTheme="minorEastAsia" w:eastAsiaTheme="minorEastAsia"/>
          <w:color w:val="auto"/>
          <w:szCs w:val="21"/>
          <w:highlight w:val="none"/>
        </w:rPr>
      </w:pPr>
    </w:p>
    <w:p w14:paraId="54343426">
      <w:pPr>
        <w:pStyle w:val="18"/>
        <w:rPr>
          <w:color w:val="auto"/>
          <w:highlight w:val="none"/>
        </w:rPr>
      </w:pPr>
    </w:p>
    <w:p w14:paraId="74F6C4FB">
      <w:pPr>
        <w:pStyle w:val="166"/>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14:paraId="7E7AE926">
      <w:pPr>
        <w:pStyle w:val="19"/>
        <w:snapToGrid w:val="0"/>
        <w:spacing w:before="0" w:after="0" w:line="360" w:lineRule="auto"/>
        <w:ind w:right="42" w:rightChars="20" w:firstLine="420" w:firstLineChars="200"/>
        <w:jc w:val="left"/>
        <w:rPr>
          <w:rFonts w:asciiTheme="minorEastAsia" w:hAnsiTheme="minorEastAsia" w:eastAsiaTheme="minorEastAsia"/>
          <w:color w:val="auto"/>
          <w:sz w:val="21"/>
          <w:szCs w:val="21"/>
          <w:highlight w:val="none"/>
          <w:u w:val="single"/>
        </w:rPr>
      </w:pPr>
    </w:p>
    <w:p w14:paraId="37617A1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shd w:val="clear" w:color="auto" w:fill="FFFFFF"/>
        </w:rPr>
        <w:t>CA签章</w:t>
      </w:r>
      <w:r>
        <w:rPr>
          <w:rFonts w:hint="eastAsia" w:asciiTheme="minorEastAsia" w:hAnsiTheme="minorEastAsia" w:eastAsiaTheme="minorEastAsia"/>
          <w:color w:val="auto"/>
          <w:szCs w:val="21"/>
          <w:highlight w:val="none"/>
        </w:rPr>
        <w:t>）：年月日</w:t>
      </w:r>
    </w:p>
    <w:p w14:paraId="36891BC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0E3F34A2">
      <w:pPr>
        <w:snapToGrid w:val="0"/>
        <w:spacing w:line="360" w:lineRule="auto"/>
        <w:ind w:right="42" w:rightChars="20" w:firstLine="420" w:firstLineChars="200"/>
        <w:jc w:val="left"/>
        <w:rPr>
          <w:rFonts w:asciiTheme="minorEastAsia" w:hAnsiTheme="minorEastAsia" w:eastAsiaTheme="minorEastAsia"/>
          <w:color w:val="auto"/>
          <w:szCs w:val="21"/>
          <w:highlight w:val="none"/>
        </w:rPr>
        <w:sectPr>
          <w:pgSz w:w="11905" w:h="16838"/>
          <w:pgMar w:top="1440" w:right="1803" w:bottom="1440" w:left="1803" w:header="851" w:footer="992" w:gutter="0"/>
          <w:cols w:space="0" w:num="1"/>
          <w:docGrid w:type="lines" w:linePitch="319" w:charSpace="0"/>
        </w:sectPr>
      </w:pPr>
    </w:p>
    <w:p w14:paraId="3BC5DDA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商务响应表格式：</w:t>
      </w:r>
    </w:p>
    <w:tbl>
      <w:tblPr>
        <w:tblStyle w:val="54"/>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6"/>
        <w:gridCol w:w="1891"/>
        <w:gridCol w:w="1653"/>
        <w:gridCol w:w="2645"/>
      </w:tblGrid>
      <w:tr w14:paraId="07FC9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376" w:type="dxa"/>
            <w:tcBorders>
              <w:top w:val="single" w:color="auto" w:sz="4" w:space="0"/>
              <w:left w:val="single" w:color="auto" w:sz="4" w:space="0"/>
              <w:bottom w:val="single" w:color="auto" w:sz="4" w:space="0"/>
              <w:right w:val="single" w:color="auto" w:sz="4" w:space="0"/>
            </w:tcBorders>
          </w:tcPr>
          <w:p w14:paraId="3C896DFF">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tc>
        <w:tc>
          <w:tcPr>
            <w:tcW w:w="1891" w:type="dxa"/>
            <w:tcBorders>
              <w:top w:val="single" w:color="auto" w:sz="4" w:space="0"/>
              <w:left w:val="single" w:color="auto" w:sz="4" w:space="0"/>
              <w:bottom w:val="single" w:color="auto" w:sz="4" w:space="0"/>
              <w:right w:val="single" w:color="auto" w:sz="4" w:space="0"/>
            </w:tcBorders>
          </w:tcPr>
          <w:p w14:paraId="0EC21360">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招标文件要求</w:t>
            </w:r>
          </w:p>
        </w:tc>
        <w:tc>
          <w:tcPr>
            <w:tcW w:w="1653" w:type="dxa"/>
            <w:tcBorders>
              <w:top w:val="single" w:color="auto" w:sz="4" w:space="0"/>
              <w:left w:val="single" w:color="auto" w:sz="4" w:space="0"/>
              <w:bottom w:val="single" w:color="auto" w:sz="4" w:space="0"/>
              <w:right w:val="single" w:color="auto" w:sz="4" w:space="0"/>
            </w:tcBorders>
          </w:tcPr>
          <w:p w14:paraId="57E4040B">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是否响应</w:t>
            </w:r>
          </w:p>
        </w:tc>
        <w:tc>
          <w:tcPr>
            <w:tcW w:w="2645" w:type="dxa"/>
            <w:tcBorders>
              <w:top w:val="single" w:color="auto" w:sz="4" w:space="0"/>
              <w:left w:val="single" w:color="auto" w:sz="4" w:space="0"/>
              <w:bottom w:val="single" w:color="auto" w:sz="4" w:space="0"/>
              <w:right w:val="single" w:color="auto" w:sz="4" w:space="0"/>
            </w:tcBorders>
          </w:tcPr>
          <w:p w14:paraId="455AB8EE">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投标人的承诺或说明</w:t>
            </w:r>
          </w:p>
        </w:tc>
      </w:tr>
      <w:tr w14:paraId="7E964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376" w:type="dxa"/>
            <w:tcBorders>
              <w:top w:val="single" w:color="auto" w:sz="4" w:space="0"/>
              <w:left w:val="single" w:color="auto" w:sz="4" w:space="0"/>
              <w:bottom w:val="single" w:color="auto" w:sz="4" w:space="0"/>
              <w:right w:val="single" w:color="auto" w:sz="4" w:space="0"/>
            </w:tcBorders>
            <w:vAlign w:val="center"/>
          </w:tcPr>
          <w:p w14:paraId="6AFD2340">
            <w:pPr>
              <w:widowControl/>
              <w:overflowPunct w:val="0"/>
              <w:autoSpaceDE w:val="0"/>
              <w:autoSpaceDN w:val="0"/>
              <w:adjustRightInd w:val="0"/>
              <w:spacing w:line="360" w:lineRule="auto"/>
              <w:ind w:right="42" w:rightChars="20"/>
              <w:jc w:val="center"/>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91" w:type="dxa"/>
            <w:tcBorders>
              <w:top w:val="single" w:color="auto" w:sz="4" w:space="0"/>
              <w:left w:val="single" w:color="auto" w:sz="4" w:space="0"/>
              <w:bottom w:val="single" w:color="auto" w:sz="4" w:space="0"/>
              <w:right w:val="single" w:color="auto" w:sz="4" w:space="0"/>
            </w:tcBorders>
          </w:tcPr>
          <w:p w14:paraId="533A823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14:paraId="257C2F6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02B5E79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50457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76" w:type="dxa"/>
            <w:tcBorders>
              <w:top w:val="single" w:color="auto" w:sz="4" w:space="0"/>
              <w:left w:val="single" w:color="auto" w:sz="4" w:space="0"/>
              <w:bottom w:val="single" w:color="auto" w:sz="4" w:space="0"/>
              <w:right w:val="single" w:color="auto" w:sz="4" w:space="0"/>
            </w:tcBorders>
            <w:vAlign w:val="center"/>
          </w:tcPr>
          <w:p w14:paraId="4B3D2281">
            <w:pPr>
              <w:widowControl/>
              <w:overflowPunct w:val="0"/>
              <w:autoSpaceDE w:val="0"/>
              <w:autoSpaceDN w:val="0"/>
              <w:adjustRightInd w:val="0"/>
              <w:spacing w:line="360" w:lineRule="auto"/>
              <w:ind w:right="42" w:rightChars="20"/>
              <w:jc w:val="center"/>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91" w:type="dxa"/>
            <w:tcBorders>
              <w:top w:val="single" w:color="auto" w:sz="4" w:space="0"/>
              <w:left w:val="single" w:color="auto" w:sz="4" w:space="0"/>
              <w:bottom w:val="single" w:color="auto" w:sz="4" w:space="0"/>
              <w:right w:val="single" w:color="auto" w:sz="4" w:space="0"/>
            </w:tcBorders>
          </w:tcPr>
          <w:p w14:paraId="186B9C8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14:paraId="6EEA0FE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58E4AEF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17011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76" w:type="dxa"/>
            <w:tcBorders>
              <w:top w:val="single" w:color="auto" w:sz="4" w:space="0"/>
              <w:left w:val="single" w:color="auto" w:sz="4" w:space="0"/>
              <w:bottom w:val="single" w:color="auto" w:sz="4" w:space="0"/>
              <w:right w:val="single" w:color="auto" w:sz="4" w:space="0"/>
            </w:tcBorders>
            <w:vAlign w:val="center"/>
          </w:tcPr>
          <w:p w14:paraId="5EDCA273">
            <w:pPr>
              <w:widowControl/>
              <w:overflowPunct w:val="0"/>
              <w:autoSpaceDE w:val="0"/>
              <w:autoSpaceDN w:val="0"/>
              <w:adjustRightInd w:val="0"/>
              <w:spacing w:line="360" w:lineRule="auto"/>
              <w:ind w:right="42" w:rightChars="20"/>
              <w:jc w:val="center"/>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91" w:type="dxa"/>
            <w:tcBorders>
              <w:top w:val="single" w:color="auto" w:sz="4" w:space="0"/>
              <w:left w:val="single" w:color="auto" w:sz="4" w:space="0"/>
              <w:bottom w:val="single" w:color="auto" w:sz="4" w:space="0"/>
              <w:right w:val="single" w:color="auto" w:sz="4" w:space="0"/>
            </w:tcBorders>
          </w:tcPr>
          <w:p w14:paraId="7A16296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14:paraId="0259AE3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68A14BF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390FF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76" w:type="dxa"/>
            <w:tcBorders>
              <w:top w:val="single" w:color="auto" w:sz="4" w:space="0"/>
              <w:left w:val="single" w:color="auto" w:sz="4" w:space="0"/>
              <w:bottom w:val="single" w:color="auto" w:sz="4" w:space="0"/>
              <w:right w:val="single" w:color="auto" w:sz="4" w:space="0"/>
            </w:tcBorders>
            <w:vAlign w:val="center"/>
          </w:tcPr>
          <w:p w14:paraId="6A720688">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91" w:type="dxa"/>
            <w:tcBorders>
              <w:top w:val="single" w:color="auto" w:sz="4" w:space="0"/>
              <w:left w:val="single" w:color="auto" w:sz="4" w:space="0"/>
              <w:bottom w:val="single" w:color="auto" w:sz="4" w:space="0"/>
              <w:right w:val="single" w:color="auto" w:sz="4" w:space="0"/>
            </w:tcBorders>
          </w:tcPr>
          <w:p w14:paraId="4829826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14:paraId="58AE352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0A3D86E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bl>
    <w:p w14:paraId="78E453B2">
      <w:pPr>
        <w:pStyle w:val="30"/>
        <w:spacing w:line="360" w:lineRule="auto"/>
        <w:ind w:right="42" w:rightChars="20" w:firstLine="420" w:firstLineChars="200"/>
        <w:jc w:val="left"/>
        <w:rPr>
          <w:rFonts w:asciiTheme="minorEastAsia" w:hAnsiTheme="minorEastAsia" w:eastAsiaTheme="minorEastAsia"/>
          <w:color w:val="auto"/>
          <w:szCs w:val="21"/>
          <w:highlight w:val="none"/>
        </w:rPr>
      </w:pPr>
    </w:p>
    <w:p w14:paraId="6C021080">
      <w:pPr>
        <w:pStyle w:val="3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注：本表不允许负偏离；</w:t>
      </w:r>
    </w:p>
    <w:p w14:paraId="528978D0">
      <w:pPr>
        <w:pStyle w:val="3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▲不提供本表视为完全响应招标文件要求。</w:t>
      </w:r>
    </w:p>
    <w:p w14:paraId="4FF11413">
      <w:pPr>
        <w:pStyle w:val="166"/>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14:paraId="168715B5">
      <w:pPr>
        <w:pStyle w:val="3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shd w:val="clear" w:color="auto" w:fill="FFFFFF"/>
        </w:rPr>
        <w:t>CA签章</w:t>
      </w:r>
      <w:r>
        <w:rPr>
          <w:rFonts w:hint="eastAsia" w:asciiTheme="minorEastAsia" w:hAnsiTheme="minorEastAsia" w:eastAsiaTheme="minorEastAsia"/>
          <w:color w:val="auto"/>
          <w:szCs w:val="21"/>
          <w:highlight w:val="none"/>
        </w:rPr>
        <w:t>）</w:t>
      </w:r>
    </w:p>
    <w:p w14:paraId="4BAC950B">
      <w:pPr>
        <w:pStyle w:val="3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日期：年月  日</w:t>
      </w:r>
    </w:p>
    <w:p w14:paraId="56714003">
      <w:pPr>
        <w:snapToGrid w:val="0"/>
        <w:spacing w:before="50" w:after="159" w:afterLines="50"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技术响应表格式</w:t>
      </w:r>
    </w:p>
    <w:tbl>
      <w:tblPr>
        <w:tblStyle w:val="54"/>
        <w:tblW w:w="89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7"/>
        <w:gridCol w:w="2475"/>
        <w:gridCol w:w="1583"/>
        <w:gridCol w:w="1849"/>
        <w:gridCol w:w="1456"/>
      </w:tblGrid>
      <w:tr w14:paraId="7CC7B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4052" w:type="dxa"/>
            <w:gridSpan w:val="2"/>
            <w:tcBorders>
              <w:top w:val="single" w:color="auto" w:sz="4" w:space="0"/>
              <w:left w:val="single" w:color="auto" w:sz="4" w:space="0"/>
              <w:bottom w:val="single" w:color="auto" w:sz="4" w:space="0"/>
              <w:right w:val="single" w:color="auto" w:sz="4" w:space="0"/>
            </w:tcBorders>
          </w:tcPr>
          <w:p w14:paraId="4BF8B4A9">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19" w:name="_Toc377028057"/>
            <w:bookmarkStart w:id="320" w:name="_Toc406403001"/>
            <w:bookmarkStart w:id="321" w:name="_Toc385854156"/>
            <w:bookmarkStart w:id="322" w:name="_Toc402963095"/>
            <w:bookmarkStart w:id="323" w:name="_Toc402963128"/>
            <w:bookmarkStart w:id="324" w:name="_Toc62745298"/>
            <w:bookmarkStart w:id="325" w:name="_Toc401570314"/>
            <w:bookmarkStart w:id="326" w:name="_Toc401570290"/>
            <w:bookmarkStart w:id="327" w:name="_Toc381081903"/>
            <w:bookmarkStart w:id="328" w:name="_Toc385854110"/>
            <w:bookmarkStart w:id="329" w:name="_Toc382928118"/>
            <w:bookmarkStart w:id="330" w:name="_Toc377653976"/>
            <w:bookmarkStart w:id="331" w:name="_Toc377028119"/>
            <w:bookmarkStart w:id="332" w:name="_Toc406402957"/>
            <w:bookmarkStart w:id="333" w:name="_Toc382928236"/>
            <w:r>
              <w:rPr>
                <w:rFonts w:hint="eastAsia" w:asciiTheme="minorEastAsia" w:hAnsiTheme="minorEastAsia" w:eastAsiaTheme="minorEastAsia"/>
                <w:color w:val="auto"/>
                <w:szCs w:val="21"/>
                <w:highlight w:val="none"/>
              </w:rPr>
              <w:t>招标文件要求</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tc>
        <w:tc>
          <w:tcPr>
            <w:tcW w:w="3432" w:type="dxa"/>
            <w:gridSpan w:val="2"/>
            <w:tcBorders>
              <w:top w:val="single" w:color="auto" w:sz="4" w:space="0"/>
              <w:left w:val="single" w:color="auto" w:sz="4" w:space="0"/>
              <w:bottom w:val="single" w:color="auto" w:sz="4" w:space="0"/>
              <w:right w:val="single" w:color="auto" w:sz="4" w:space="0"/>
            </w:tcBorders>
          </w:tcPr>
          <w:p w14:paraId="647C5490">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34" w:name="_Toc381081904"/>
            <w:bookmarkStart w:id="335" w:name="_Toc382928237"/>
            <w:bookmarkStart w:id="336" w:name="_Toc62745299"/>
            <w:bookmarkStart w:id="337" w:name="_Toc406402958"/>
            <w:bookmarkStart w:id="338" w:name="_Toc401570315"/>
            <w:bookmarkStart w:id="339" w:name="_Toc377653977"/>
            <w:bookmarkStart w:id="340" w:name="_Toc402963129"/>
            <w:bookmarkStart w:id="341" w:name="_Toc385854111"/>
            <w:bookmarkStart w:id="342" w:name="_Toc402963096"/>
            <w:bookmarkStart w:id="343" w:name="_Toc377028058"/>
            <w:bookmarkStart w:id="344" w:name="_Toc377028120"/>
            <w:bookmarkStart w:id="345" w:name="_Toc406403002"/>
            <w:bookmarkStart w:id="346" w:name="_Toc382928119"/>
            <w:bookmarkStart w:id="347" w:name="_Toc385854157"/>
            <w:bookmarkStart w:id="348" w:name="_Toc401570291"/>
            <w:r>
              <w:rPr>
                <w:rFonts w:hint="eastAsia" w:asciiTheme="minorEastAsia" w:hAnsiTheme="minorEastAsia" w:eastAsiaTheme="minorEastAsia"/>
                <w:color w:val="auto"/>
                <w:szCs w:val="21"/>
                <w:highlight w:val="none"/>
              </w:rPr>
              <w:t>投标文件响应</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tc>
        <w:tc>
          <w:tcPr>
            <w:tcW w:w="1456" w:type="dxa"/>
            <w:vMerge w:val="restart"/>
            <w:tcBorders>
              <w:top w:val="single" w:color="auto" w:sz="4" w:space="0"/>
              <w:left w:val="single" w:color="auto" w:sz="4" w:space="0"/>
              <w:bottom w:val="single" w:color="auto" w:sz="4" w:space="0"/>
              <w:right w:val="single" w:color="auto" w:sz="4" w:space="0"/>
            </w:tcBorders>
            <w:vAlign w:val="center"/>
          </w:tcPr>
          <w:p w14:paraId="4397EF92">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49" w:name="_Toc377653978"/>
            <w:bookmarkStart w:id="350" w:name="_Toc377028059"/>
            <w:bookmarkStart w:id="351" w:name="_Toc382928238"/>
            <w:bookmarkStart w:id="352" w:name="_Toc406403003"/>
            <w:bookmarkStart w:id="353" w:name="_Toc377028121"/>
            <w:bookmarkStart w:id="354" w:name="_Toc382928120"/>
            <w:bookmarkStart w:id="355" w:name="_Toc401570316"/>
            <w:bookmarkStart w:id="356" w:name="_Toc385854112"/>
            <w:bookmarkStart w:id="357" w:name="_Toc406402959"/>
            <w:bookmarkStart w:id="358" w:name="_Toc402963130"/>
            <w:bookmarkStart w:id="359" w:name="_Toc402963097"/>
            <w:bookmarkStart w:id="360" w:name="_Toc385854158"/>
            <w:bookmarkStart w:id="361" w:name="_Toc381081905"/>
            <w:bookmarkStart w:id="362" w:name="_Toc401570292"/>
            <w:bookmarkStart w:id="363" w:name="_Toc62745300"/>
            <w:r>
              <w:rPr>
                <w:rFonts w:hint="eastAsia" w:asciiTheme="minorEastAsia" w:hAnsiTheme="minorEastAsia" w:eastAsiaTheme="minorEastAsia"/>
                <w:color w:val="auto"/>
                <w:szCs w:val="21"/>
                <w:highlight w:val="none"/>
              </w:rPr>
              <w:t>偏离情况</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tc>
      </w:tr>
      <w:tr w14:paraId="42C62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1577" w:type="dxa"/>
            <w:tcBorders>
              <w:top w:val="single" w:color="auto" w:sz="4" w:space="0"/>
              <w:left w:val="single" w:color="auto" w:sz="4" w:space="0"/>
              <w:bottom w:val="single" w:color="auto" w:sz="4" w:space="0"/>
              <w:right w:val="single" w:color="auto" w:sz="4" w:space="0"/>
            </w:tcBorders>
          </w:tcPr>
          <w:p w14:paraId="732D2951">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64" w:name="_Toc402963131"/>
            <w:bookmarkStart w:id="365" w:name="_Toc402963098"/>
            <w:bookmarkStart w:id="366" w:name="_Toc377653979"/>
            <w:bookmarkStart w:id="367" w:name="_Toc385854113"/>
            <w:bookmarkStart w:id="368" w:name="_Toc401570293"/>
            <w:bookmarkStart w:id="369" w:name="_Toc401570317"/>
            <w:bookmarkStart w:id="370" w:name="_Toc382928239"/>
            <w:bookmarkStart w:id="371" w:name="_Toc382928121"/>
            <w:bookmarkStart w:id="372" w:name="_Toc377028122"/>
            <w:bookmarkStart w:id="373" w:name="_Toc381081906"/>
            <w:bookmarkStart w:id="374" w:name="_Toc377028060"/>
            <w:bookmarkStart w:id="375" w:name="_Toc406402960"/>
            <w:bookmarkStart w:id="376" w:name="_Toc62745301"/>
            <w:bookmarkStart w:id="377" w:name="_Toc406403004"/>
            <w:bookmarkStart w:id="378" w:name="_Toc385854159"/>
            <w:r>
              <w:rPr>
                <w:rFonts w:hint="eastAsia" w:asciiTheme="minorEastAsia" w:hAnsiTheme="minorEastAsia" w:eastAsiaTheme="minorEastAsia"/>
                <w:color w:val="auto"/>
                <w:szCs w:val="21"/>
                <w:highlight w:val="none"/>
              </w:rPr>
              <w:t>项目</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tc>
        <w:tc>
          <w:tcPr>
            <w:tcW w:w="2475" w:type="dxa"/>
            <w:tcBorders>
              <w:top w:val="single" w:color="auto" w:sz="4" w:space="0"/>
              <w:left w:val="single" w:color="auto" w:sz="4" w:space="0"/>
              <w:bottom w:val="single" w:color="auto" w:sz="4" w:space="0"/>
              <w:right w:val="single" w:color="auto" w:sz="4" w:space="0"/>
            </w:tcBorders>
          </w:tcPr>
          <w:p w14:paraId="2BC09ED9">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79" w:name="_Toc401570294"/>
            <w:bookmarkStart w:id="380" w:name="_Toc385854114"/>
            <w:bookmarkStart w:id="381" w:name="_Toc402963132"/>
            <w:bookmarkStart w:id="382" w:name="_Toc382928240"/>
            <w:bookmarkStart w:id="383" w:name="_Toc401570318"/>
            <w:bookmarkStart w:id="384" w:name="_Toc62745302"/>
            <w:bookmarkStart w:id="385" w:name="_Toc377028123"/>
            <w:bookmarkStart w:id="386" w:name="_Toc377653980"/>
            <w:bookmarkStart w:id="387" w:name="_Toc381081907"/>
            <w:bookmarkStart w:id="388" w:name="_Toc406403005"/>
            <w:bookmarkStart w:id="389" w:name="_Toc406402961"/>
            <w:bookmarkStart w:id="390" w:name="_Toc402963099"/>
            <w:bookmarkStart w:id="391" w:name="_Toc382928122"/>
            <w:bookmarkStart w:id="392" w:name="_Toc377028061"/>
            <w:bookmarkStart w:id="393" w:name="_Toc385854160"/>
            <w:r>
              <w:rPr>
                <w:rFonts w:hint="eastAsia" w:asciiTheme="minorEastAsia" w:hAnsiTheme="minorEastAsia" w:eastAsiaTheme="minorEastAsia"/>
                <w:color w:val="auto"/>
                <w:szCs w:val="21"/>
                <w:highlight w:val="none"/>
              </w:rPr>
              <w:t>要求</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tc>
        <w:tc>
          <w:tcPr>
            <w:tcW w:w="1583" w:type="dxa"/>
            <w:tcBorders>
              <w:top w:val="single" w:color="auto" w:sz="4" w:space="0"/>
              <w:left w:val="single" w:color="auto" w:sz="4" w:space="0"/>
              <w:bottom w:val="single" w:color="auto" w:sz="4" w:space="0"/>
              <w:right w:val="single" w:color="auto" w:sz="4" w:space="0"/>
            </w:tcBorders>
          </w:tcPr>
          <w:p w14:paraId="0FBF2660">
            <w:pPr>
              <w:snapToGrid w:val="0"/>
              <w:spacing w:line="360" w:lineRule="auto"/>
              <w:ind w:right="42" w:rightChars="20"/>
              <w:jc w:val="center"/>
              <w:outlineLvl w:val="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tc>
        <w:tc>
          <w:tcPr>
            <w:tcW w:w="1849" w:type="dxa"/>
            <w:tcBorders>
              <w:top w:val="single" w:color="auto" w:sz="4" w:space="0"/>
              <w:left w:val="single" w:color="auto" w:sz="4" w:space="0"/>
              <w:bottom w:val="single" w:color="auto" w:sz="4" w:space="0"/>
              <w:right w:val="single" w:color="auto" w:sz="4" w:space="0"/>
            </w:tcBorders>
          </w:tcPr>
          <w:p w14:paraId="6AAD4A1B">
            <w:pPr>
              <w:snapToGrid w:val="0"/>
              <w:spacing w:line="360" w:lineRule="auto"/>
              <w:ind w:right="42" w:rightChars="20"/>
              <w:jc w:val="center"/>
              <w:outlineLvl w:val="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响应情况</w:t>
            </w:r>
          </w:p>
        </w:tc>
        <w:tc>
          <w:tcPr>
            <w:tcW w:w="1456" w:type="dxa"/>
            <w:vMerge w:val="continue"/>
            <w:tcBorders>
              <w:top w:val="single" w:color="auto" w:sz="4" w:space="0"/>
              <w:left w:val="single" w:color="auto" w:sz="4" w:space="0"/>
              <w:bottom w:val="single" w:color="auto" w:sz="4" w:space="0"/>
              <w:right w:val="single" w:color="auto" w:sz="4" w:space="0"/>
            </w:tcBorders>
            <w:vAlign w:val="center"/>
          </w:tcPr>
          <w:p w14:paraId="1E62B5C8">
            <w:pPr>
              <w:widowControl/>
              <w:spacing w:line="360" w:lineRule="auto"/>
              <w:ind w:right="42" w:rightChars="20"/>
              <w:jc w:val="left"/>
              <w:rPr>
                <w:rFonts w:asciiTheme="minorEastAsia" w:hAnsiTheme="minorEastAsia" w:eastAsiaTheme="minorEastAsia"/>
                <w:color w:val="auto"/>
                <w:szCs w:val="21"/>
                <w:highlight w:val="none"/>
              </w:rPr>
            </w:pPr>
          </w:p>
        </w:tc>
      </w:tr>
      <w:tr w14:paraId="1FF8D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5D46D788">
            <w:pPr>
              <w:snapToGrid w:val="0"/>
              <w:spacing w:before="159" w:beforeLines="50" w:after="159" w:afterLines="50" w:line="360" w:lineRule="auto"/>
              <w:ind w:right="42" w:rightChars="20"/>
              <w:outlineLvl w:val="0"/>
              <w:rPr>
                <w:rFonts w:asciiTheme="minorEastAsia" w:hAnsiTheme="minorEastAsia" w:eastAsiaTheme="minorEastAsia"/>
                <w:color w:val="auto"/>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14:paraId="73D86900">
            <w:pPr>
              <w:snapToGrid w:val="0"/>
              <w:spacing w:line="360" w:lineRule="auto"/>
              <w:ind w:right="42" w:rightChars="20"/>
              <w:outlineLvl w:val="0"/>
              <w:rPr>
                <w:rFonts w:asciiTheme="minorEastAsia" w:hAnsiTheme="minorEastAsia" w:eastAsiaTheme="minorEastAsia"/>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14:paraId="32B8DF86">
            <w:pPr>
              <w:snapToGrid w:val="0"/>
              <w:spacing w:line="360" w:lineRule="auto"/>
              <w:ind w:right="42" w:rightChars="20"/>
              <w:outlineLvl w:val="0"/>
              <w:rPr>
                <w:rFonts w:asciiTheme="minorEastAsia" w:hAnsiTheme="minorEastAsia" w:eastAsiaTheme="minorEastAsia"/>
                <w:color w:val="auto"/>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14:paraId="0CF80004">
            <w:pPr>
              <w:snapToGrid w:val="0"/>
              <w:spacing w:line="360" w:lineRule="auto"/>
              <w:ind w:right="42" w:rightChars="20"/>
              <w:outlineLvl w:val="0"/>
              <w:rPr>
                <w:rFonts w:asciiTheme="minorEastAsia" w:hAnsiTheme="minorEastAsia" w:eastAsia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14:paraId="6DB7EC59">
            <w:pPr>
              <w:snapToGrid w:val="0"/>
              <w:spacing w:line="360" w:lineRule="auto"/>
              <w:ind w:right="42" w:rightChars="20"/>
              <w:outlineLvl w:val="0"/>
              <w:rPr>
                <w:rFonts w:asciiTheme="minorEastAsia" w:hAnsiTheme="minorEastAsia" w:eastAsiaTheme="minorEastAsia"/>
                <w:color w:val="auto"/>
                <w:szCs w:val="21"/>
                <w:highlight w:val="none"/>
              </w:rPr>
            </w:pPr>
          </w:p>
        </w:tc>
      </w:tr>
      <w:tr w14:paraId="4585E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0F15CE0C">
            <w:pPr>
              <w:widowControl/>
              <w:spacing w:line="360" w:lineRule="auto"/>
              <w:ind w:right="42" w:rightChars="20"/>
              <w:rPr>
                <w:rFonts w:asciiTheme="minorEastAsia" w:hAnsiTheme="minorEastAsia" w:eastAsiaTheme="minorEastAsia"/>
                <w:color w:val="auto"/>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14:paraId="42E4B90A">
            <w:pPr>
              <w:snapToGrid w:val="0"/>
              <w:spacing w:line="360" w:lineRule="auto"/>
              <w:ind w:right="42" w:rightChars="20"/>
              <w:outlineLvl w:val="0"/>
              <w:rPr>
                <w:rFonts w:asciiTheme="minorEastAsia" w:hAnsiTheme="minorEastAsia" w:eastAsiaTheme="minorEastAsia"/>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14:paraId="633C38DD">
            <w:pPr>
              <w:snapToGrid w:val="0"/>
              <w:spacing w:line="360" w:lineRule="auto"/>
              <w:ind w:right="42" w:rightChars="20"/>
              <w:outlineLvl w:val="0"/>
              <w:rPr>
                <w:rFonts w:asciiTheme="minorEastAsia" w:hAnsiTheme="minorEastAsia" w:eastAsiaTheme="minorEastAsia"/>
                <w:color w:val="auto"/>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14:paraId="608061C9">
            <w:pPr>
              <w:snapToGrid w:val="0"/>
              <w:spacing w:line="360" w:lineRule="auto"/>
              <w:ind w:right="42" w:rightChars="20"/>
              <w:outlineLvl w:val="0"/>
              <w:rPr>
                <w:rFonts w:asciiTheme="minorEastAsia" w:hAnsiTheme="minorEastAsia" w:eastAsia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14:paraId="045312A3">
            <w:pPr>
              <w:snapToGrid w:val="0"/>
              <w:spacing w:line="360" w:lineRule="auto"/>
              <w:ind w:right="42" w:rightChars="20"/>
              <w:outlineLvl w:val="0"/>
              <w:rPr>
                <w:rFonts w:asciiTheme="minorEastAsia" w:hAnsiTheme="minorEastAsia" w:eastAsiaTheme="minorEastAsia"/>
                <w:color w:val="auto"/>
                <w:szCs w:val="21"/>
                <w:highlight w:val="none"/>
              </w:rPr>
            </w:pPr>
          </w:p>
        </w:tc>
      </w:tr>
      <w:tr w14:paraId="146E1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32D0EA24">
            <w:pPr>
              <w:snapToGrid w:val="0"/>
              <w:spacing w:before="159" w:beforeLines="50" w:after="159" w:afterLines="50" w:line="360" w:lineRule="auto"/>
              <w:ind w:right="42" w:rightChars="20"/>
              <w:outlineLvl w:val="0"/>
              <w:rPr>
                <w:rFonts w:asciiTheme="minorEastAsia" w:hAnsiTheme="minorEastAsia" w:eastAsiaTheme="minorEastAsia"/>
                <w:color w:val="auto"/>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14:paraId="4CB4CF61">
            <w:pPr>
              <w:snapToGrid w:val="0"/>
              <w:spacing w:line="360" w:lineRule="auto"/>
              <w:ind w:right="42" w:rightChars="20"/>
              <w:outlineLvl w:val="0"/>
              <w:rPr>
                <w:rFonts w:asciiTheme="minorEastAsia" w:hAnsiTheme="minorEastAsia" w:eastAsiaTheme="minorEastAsia"/>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14:paraId="0C6B5A19">
            <w:pPr>
              <w:snapToGrid w:val="0"/>
              <w:spacing w:line="360" w:lineRule="auto"/>
              <w:ind w:right="42" w:rightChars="20"/>
              <w:outlineLvl w:val="0"/>
              <w:rPr>
                <w:rFonts w:asciiTheme="minorEastAsia" w:hAnsiTheme="minorEastAsia" w:eastAsiaTheme="minorEastAsia"/>
                <w:color w:val="auto"/>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14:paraId="24BF211A">
            <w:pPr>
              <w:snapToGrid w:val="0"/>
              <w:spacing w:line="360" w:lineRule="auto"/>
              <w:ind w:right="42" w:rightChars="20"/>
              <w:outlineLvl w:val="0"/>
              <w:rPr>
                <w:rFonts w:asciiTheme="minorEastAsia" w:hAnsiTheme="minorEastAsia" w:eastAsia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14:paraId="2F36813F">
            <w:pPr>
              <w:snapToGrid w:val="0"/>
              <w:spacing w:line="360" w:lineRule="auto"/>
              <w:ind w:right="42" w:rightChars="20"/>
              <w:outlineLvl w:val="0"/>
              <w:rPr>
                <w:rFonts w:asciiTheme="minorEastAsia" w:hAnsiTheme="minorEastAsia" w:eastAsiaTheme="minorEastAsia"/>
                <w:color w:val="auto"/>
                <w:szCs w:val="21"/>
                <w:highlight w:val="none"/>
              </w:rPr>
            </w:pPr>
          </w:p>
        </w:tc>
      </w:tr>
      <w:tr w14:paraId="2A9D6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240ADAFE">
            <w:pPr>
              <w:snapToGrid w:val="0"/>
              <w:spacing w:before="159" w:beforeLines="50" w:after="159" w:afterLines="50" w:line="360" w:lineRule="auto"/>
              <w:ind w:right="42" w:rightChars="20"/>
              <w:outlineLvl w:val="0"/>
              <w:rPr>
                <w:rFonts w:asciiTheme="minorEastAsia" w:hAnsiTheme="minorEastAsia" w:eastAsiaTheme="minorEastAsia"/>
                <w:color w:val="auto"/>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14:paraId="247A10B9">
            <w:pPr>
              <w:snapToGrid w:val="0"/>
              <w:spacing w:line="360" w:lineRule="auto"/>
              <w:ind w:right="42" w:rightChars="20"/>
              <w:outlineLvl w:val="0"/>
              <w:rPr>
                <w:rFonts w:asciiTheme="minorEastAsia" w:hAnsiTheme="minorEastAsia" w:eastAsiaTheme="minorEastAsia"/>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14:paraId="088A9FF7">
            <w:pPr>
              <w:snapToGrid w:val="0"/>
              <w:spacing w:line="360" w:lineRule="auto"/>
              <w:ind w:right="42" w:rightChars="20"/>
              <w:outlineLvl w:val="0"/>
              <w:rPr>
                <w:rFonts w:asciiTheme="minorEastAsia" w:hAnsiTheme="minorEastAsia" w:eastAsiaTheme="minorEastAsia"/>
                <w:color w:val="auto"/>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14:paraId="0CCAE12B">
            <w:pPr>
              <w:snapToGrid w:val="0"/>
              <w:spacing w:line="360" w:lineRule="auto"/>
              <w:ind w:right="42" w:rightChars="20"/>
              <w:outlineLvl w:val="0"/>
              <w:rPr>
                <w:rFonts w:asciiTheme="minorEastAsia" w:hAnsiTheme="minorEastAsia" w:eastAsia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14:paraId="30D869EF">
            <w:pPr>
              <w:snapToGrid w:val="0"/>
              <w:spacing w:line="360" w:lineRule="auto"/>
              <w:ind w:right="42" w:rightChars="20"/>
              <w:outlineLvl w:val="0"/>
              <w:rPr>
                <w:rFonts w:asciiTheme="minorEastAsia" w:hAnsiTheme="minorEastAsia" w:eastAsiaTheme="minorEastAsia"/>
                <w:color w:val="auto"/>
                <w:szCs w:val="21"/>
                <w:highlight w:val="none"/>
              </w:rPr>
            </w:pPr>
          </w:p>
        </w:tc>
      </w:tr>
    </w:tbl>
    <w:p w14:paraId="1F6087FE">
      <w:pPr>
        <w:pStyle w:val="22"/>
        <w:spacing w:line="360" w:lineRule="auto"/>
        <w:ind w:right="42" w:rightChars="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注：</w:t>
      </w:r>
      <w:r>
        <w:rPr>
          <w:rFonts w:hint="eastAsia" w:asciiTheme="minorEastAsia" w:hAnsiTheme="minorEastAsia" w:eastAsiaTheme="minorEastAsia"/>
          <w:color w:val="auto"/>
          <w:sz w:val="21"/>
          <w:szCs w:val="21"/>
          <w:highlight w:val="none"/>
        </w:rPr>
        <w:t>1.</w:t>
      </w:r>
      <w:r>
        <w:rPr>
          <w:rFonts w:asciiTheme="minorEastAsia" w:hAnsiTheme="minorEastAsia" w:eastAsiaTheme="minorEastAsia"/>
          <w:color w:val="auto"/>
          <w:sz w:val="21"/>
          <w:szCs w:val="21"/>
          <w:highlight w:val="none"/>
        </w:rPr>
        <w:t>投标人应根据</w:t>
      </w:r>
      <w:r>
        <w:rPr>
          <w:rFonts w:hint="eastAsia" w:asciiTheme="minorEastAsia" w:hAnsiTheme="minorEastAsia" w:eastAsiaTheme="minorEastAsia"/>
          <w:color w:val="auto"/>
          <w:sz w:val="21"/>
          <w:szCs w:val="21"/>
          <w:highlight w:val="none"/>
        </w:rPr>
        <w:t>投标产品</w:t>
      </w:r>
      <w:r>
        <w:rPr>
          <w:rFonts w:asciiTheme="minorEastAsia" w:hAnsiTheme="minorEastAsia" w:eastAsiaTheme="minorEastAsia"/>
          <w:color w:val="auto"/>
          <w:sz w:val="21"/>
          <w:szCs w:val="21"/>
          <w:highlight w:val="none"/>
        </w:rPr>
        <w:t>的性能指标、对照招标文件要求在“偏离情况”栏注明“正偏离”、“负偏离”或“无偏离”。</w:t>
      </w:r>
    </w:p>
    <w:p w14:paraId="4F9058D2">
      <w:pPr>
        <w:pStyle w:val="22"/>
        <w:spacing w:line="360" w:lineRule="auto"/>
        <w:ind w:right="42" w:rightChars="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2.投标人需对上述偏离情况负责，不得虚假应标。</w:t>
      </w:r>
    </w:p>
    <w:p w14:paraId="3DD086E1">
      <w:pPr>
        <w:pStyle w:val="166"/>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14:paraId="3552D1FD">
      <w:pPr>
        <w:adjustRightInd w:val="0"/>
        <w:spacing w:line="360" w:lineRule="auto"/>
        <w:ind w:right="42" w:rightChars="20"/>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shd w:val="clear" w:color="auto" w:fill="FFFFFF"/>
        </w:rPr>
        <w:t>CA签章</w:t>
      </w:r>
      <w:r>
        <w:rPr>
          <w:rFonts w:hint="eastAsia" w:asciiTheme="minorEastAsia" w:hAnsiTheme="minorEastAsia" w:eastAsiaTheme="minorEastAsia"/>
          <w:color w:val="auto"/>
          <w:szCs w:val="21"/>
          <w:highlight w:val="none"/>
        </w:rPr>
        <w:t>）： 年  月  日</w:t>
      </w:r>
    </w:p>
    <w:p w14:paraId="3F2FC4D0">
      <w:pPr>
        <w:pStyle w:val="99"/>
        <w:rPr>
          <w:color w:val="auto"/>
          <w:highlight w:val="none"/>
        </w:rPr>
        <w:sectPr>
          <w:pgSz w:w="11905" w:h="16838"/>
          <w:pgMar w:top="1440" w:right="1803" w:bottom="1440" w:left="1803" w:header="851" w:footer="992" w:gutter="0"/>
          <w:cols w:space="0" w:num="1"/>
          <w:docGrid w:type="lines" w:linePitch="319" w:charSpace="0"/>
        </w:sectPr>
      </w:pPr>
    </w:p>
    <w:p w14:paraId="0F2D7C8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项目实施人员一览表</w:t>
      </w:r>
    </w:p>
    <w:p w14:paraId="241A5DC3">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项目实施人员（主要从业人员及其技术资格）一览表</w:t>
      </w:r>
    </w:p>
    <w:tbl>
      <w:tblPr>
        <w:tblStyle w:val="54"/>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7E336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271B144C">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83CEC9A">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35426AA">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0E9BF0E7">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0FEF37C1">
            <w:pPr>
              <w:snapToGrid w:val="0"/>
              <w:spacing w:line="360" w:lineRule="auto"/>
              <w:ind w:right="42" w:rightChars="20"/>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1F933B8A">
            <w:pPr>
              <w:snapToGrid w:val="0"/>
              <w:spacing w:line="360" w:lineRule="auto"/>
              <w:ind w:right="42" w:rightChars="20"/>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本项目中工作职责</w:t>
            </w:r>
          </w:p>
        </w:tc>
      </w:tr>
      <w:tr w14:paraId="57009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250F4431">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739804E1">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712C9E7C">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70F62F">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C3470D7">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0BDD07EB">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项目负责人</w:t>
            </w:r>
          </w:p>
        </w:tc>
      </w:tr>
      <w:tr w14:paraId="3EA64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7A02026">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323C7501">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10A52F36">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62F754E">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792972B">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7DDD1607">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1D023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258E9AD0">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1C05C53C">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178D0A63">
            <w:pPr>
              <w:pStyle w:val="33"/>
              <w:snapToGrid w:val="0"/>
              <w:spacing w:line="360" w:lineRule="auto"/>
              <w:ind w:leftChars="0" w:right="42" w:rightChars="20" w:firstLine="420" w:firstLineChars="200"/>
              <w:jc w:val="center"/>
              <w:rPr>
                <w:rFonts w:asciiTheme="minorEastAsia" w:hAnsiTheme="minorEastAsia" w:eastAsiaTheme="minorEastAsia"/>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86F4D8">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C2ACF02">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592EFC82">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30057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70E57483">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04F033F9">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0E2DD5E7">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93EFC9">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3BCF57F">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341C80CE">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3704A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5E9D2BD">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3CFC0EE3">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3088FAF0">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1B43B3">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8780AC4">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6CEABE88">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5912C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EA02A7C">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2C20D0E5">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170B1980">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08A7A8">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0B2B453">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45CE1555">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29C9E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A7B2DD2">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7FC16F02">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5A0C8125">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17ACF0">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83F0A39">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57852537">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01D22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592CE01">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3A494224">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1C2A32AC">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3FDB98">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2DB8C80">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46888F45">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15C38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2176E79">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1D8C9AF4">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6A5D0CB8">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4B2826">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566C0D3">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2C65F3D2">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bl>
    <w:p w14:paraId="753EBB8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注：在填写时，如本表格不适合投标单位的实际情况，可根据本表格式自行划表填写。</w:t>
      </w:r>
    </w:p>
    <w:p w14:paraId="55E0F06C">
      <w:pPr>
        <w:snapToGrid w:val="0"/>
        <w:spacing w:line="360" w:lineRule="auto"/>
        <w:ind w:right="42" w:rightChars="20" w:firstLine="420" w:firstLineChars="200"/>
        <w:jc w:val="lef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zCs w:val="21"/>
          <w:highlight w:val="none"/>
        </w:rPr>
        <w:t>法定代表人或其委托代理人签名（或盖章）</w:t>
      </w:r>
      <w:r>
        <w:rPr>
          <w:rFonts w:hint="eastAsia" w:asciiTheme="minorEastAsia" w:hAnsiTheme="minorEastAsia" w:eastAsiaTheme="minorEastAsia"/>
          <w:color w:val="auto"/>
          <w:spacing w:val="20"/>
          <w:szCs w:val="21"/>
          <w:highlight w:val="none"/>
        </w:rPr>
        <w:t>：</w:t>
      </w:r>
    </w:p>
    <w:p w14:paraId="31409C32">
      <w:pPr>
        <w:snapToGrid w:val="0"/>
        <w:spacing w:line="360" w:lineRule="auto"/>
        <w:ind w:right="42" w:rightChars="20" w:firstLine="500" w:firstLineChars="200"/>
        <w:jc w:val="left"/>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投标人（</w:t>
      </w:r>
      <w:r>
        <w:rPr>
          <w:rFonts w:hint="eastAsia" w:asciiTheme="minorEastAsia" w:hAnsiTheme="minorEastAsia" w:eastAsiaTheme="minorEastAsia"/>
          <w:color w:val="auto"/>
          <w:szCs w:val="21"/>
          <w:highlight w:val="none"/>
          <w:shd w:val="clear" w:color="auto" w:fill="FFFFFF"/>
        </w:rPr>
        <w:t>CA签章</w:t>
      </w:r>
      <w:r>
        <w:rPr>
          <w:rFonts w:hint="eastAsia" w:asciiTheme="minorEastAsia" w:hAnsiTheme="minorEastAsia" w:eastAsiaTheme="minorEastAsia"/>
          <w:color w:val="auto"/>
          <w:spacing w:val="20"/>
          <w:szCs w:val="21"/>
          <w:highlight w:val="none"/>
        </w:rPr>
        <w:t>）：</w:t>
      </w:r>
    </w:p>
    <w:p w14:paraId="14918287">
      <w:pPr>
        <w:snapToGrid w:val="0"/>
        <w:spacing w:line="360" w:lineRule="auto"/>
        <w:ind w:right="42" w:rightChars="20" w:firstLine="500" w:firstLineChars="200"/>
        <w:jc w:val="lef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日期：</w:t>
      </w:r>
    </w:p>
    <w:p w14:paraId="09339FD8">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14:paraId="3738281C">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14:paraId="287680D2">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14:paraId="02F31AA8">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14:paraId="03C46E6D">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14:paraId="740D373F">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14:paraId="3647FB27">
      <w:pPr>
        <w:pStyle w:val="17"/>
        <w:rPr>
          <w:rFonts w:cs="微软雅黑" w:asciiTheme="minorEastAsia" w:hAnsiTheme="minorEastAsia" w:eastAsiaTheme="minorEastAsia"/>
          <w:b/>
          <w:color w:val="auto"/>
          <w:szCs w:val="21"/>
          <w:highlight w:val="none"/>
        </w:rPr>
      </w:pPr>
    </w:p>
    <w:p w14:paraId="3AE2C947">
      <w:pPr>
        <w:pStyle w:val="18"/>
        <w:rPr>
          <w:rFonts w:cs="微软雅黑" w:asciiTheme="minorEastAsia" w:hAnsiTheme="minorEastAsia" w:eastAsiaTheme="minorEastAsia"/>
          <w:b/>
          <w:color w:val="auto"/>
          <w:szCs w:val="21"/>
          <w:highlight w:val="none"/>
        </w:rPr>
      </w:pPr>
    </w:p>
    <w:p w14:paraId="0C9C9418">
      <w:pPr>
        <w:pStyle w:val="17"/>
        <w:rPr>
          <w:rFonts w:cs="微软雅黑" w:asciiTheme="minorEastAsia" w:hAnsiTheme="minorEastAsia" w:eastAsiaTheme="minorEastAsia"/>
          <w:b/>
          <w:color w:val="auto"/>
          <w:szCs w:val="21"/>
          <w:highlight w:val="none"/>
        </w:rPr>
      </w:pPr>
    </w:p>
    <w:p w14:paraId="718E8AC9">
      <w:pPr>
        <w:pStyle w:val="18"/>
        <w:rPr>
          <w:rFonts w:cs="微软雅黑" w:asciiTheme="minorEastAsia" w:hAnsiTheme="minorEastAsia" w:eastAsiaTheme="minorEastAsia"/>
          <w:b/>
          <w:color w:val="auto"/>
          <w:szCs w:val="21"/>
          <w:highlight w:val="none"/>
        </w:rPr>
      </w:pPr>
    </w:p>
    <w:p w14:paraId="4CE2FCAE">
      <w:pPr>
        <w:pStyle w:val="17"/>
        <w:rPr>
          <w:rFonts w:cs="微软雅黑" w:asciiTheme="minorEastAsia" w:hAnsiTheme="minorEastAsia" w:eastAsiaTheme="minorEastAsia"/>
          <w:b/>
          <w:color w:val="auto"/>
          <w:szCs w:val="21"/>
          <w:highlight w:val="none"/>
        </w:rPr>
      </w:pPr>
    </w:p>
    <w:p w14:paraId="331601B3">
      <w:pPr>
        <w:pStyle w:val="18"/>
        <w:rPr>
          <w:rFonts w:cs="微软雅黑" w:asciiTheme="minorEastAsia" w:hAnsiTheme="minorEastAsia" w:eastAsiaTheme="minorEastAsia"/>
          <w:b/>
          <w:color w:val="auto"/>
          <w:szCs w:val="21"/>
          <w:highlight w:val="none"/>
        </w:rPr>
      </w:pPr>
    </w:p>
    <w:p w14:paraId="0234F6F1">
      <w:pPr>
        <w:pStyle w:val="17"/>
        <w:rPr>
          <w:rFonts w:cs="微软雅黑" w:asciiTheme="minorEastAsia" w:hAnsiTheme="minorEastAsia" w:eastAsiaTheme="minorEastAsia"/>
          <w:b/>
          <w:color w:val="auto"/>
          <w:szCs w:val="21"/>
          <w:highlight w:val="none"/>
        </w:rPr>
      </w:pPr>
    </w:p>
    <w:p w14:paraId="50AB9EF5">
      <w:pPr>
        <w:pStyle w:val="18"/>
        <w:rPr>
          <w:rFonts w:cs="微软雅黑" w:asciiTheme="minorEastAsia" w:hAnsiTheme="minorEastAsia" w:eastAsiaTheme="minorEastAsia"/>
          <w:b/>
          <w:color w:val="auto"/>
          <w:szCs w:val="21"/>
          <w:highlight w:val="none"/>
        </w:rPr>
      </w:pPr>
    </w:p>
    <w:p w14:paraId="6F170A4A">
      <w:pPr>
        <w:pStyle w:val="17"/>
        <w:rPr>
          <w:rFonts w:cs="微软雅黑" w:asciiTheme="minorEastAsia" w:hAnsiTheme="minorEastAsia" w:eastAsiaTheme="minorEastAsia"/>
          <w:b/>
          <w:color w:val="auto"/>
          <w:szCs w:val="21"/>
          <w:highlight w:val="none"/>
        </w:rPr>
      </w:pPr>
    </w:p>
    <w:p w14:paraId="1ECFB7B8">
      <w:pPr>
        <w:pStyle w:val="18"/>
        <w:rPr>
          <w:rFonts w:cs="微软雅黑" w:asciiTheme="minorEastAsia" w:hAnsiTheme="minorEastAsia" w:eastAsiaTheme="minorEastAsia"/>
          <w:b/>
          <w:color w:val="auto"/>
          <w:szCs w:val="21"/>
          <w:highlight w:val="none"/>
        </w:rPr>
      </w:pPr>
    </w:p>
    <w:p w14:paraId="05EEF20D">
      <w:pPr>
        <w:pStyle w:val="17"/>
        <w:rPr>
          <w:rFonts w:cs="微软雅黑" w:asciiTheme="minorEastAsia" w:hAnsiTheme="minorEastAsia" w:eastAsiaTheme="minorEastAsia"/>
          <w:b/>
          <w:color w:val="auto"/>
          <w:szCs w:val="21"/>
          <w:highlight w:val="none"/>
        </w:rPr>
      </w:pPr>
    </w:p>
    <w:p w14:paraId="615BD14D">
      <w:pPr>
        <w:pStyle w:val="18"/>
        <w:rPr>
          <w:rFonts w:cs="微软雅黑" w:asciiTheme="minorEastAsia" w:hAnsiTheme="minorEastAsia" w:eastAsiaTheme="minorEastAsia"/>
          <w:b/>
          <w:color w:val="auto"/>
          <w:szCs w:val="21"/>
          <w:highlight w:val="none"/>
        </w:rPr>
      </w:pPr>
    </w:p>
    <w:p w14:paraId="2760D737">
      <w:pPr>
        <w:pStyle w:val="17"/>
        <w:rPr>
          <w:rFonts w:cs="微软雅黑" w:asciiTheme="minorEastAsia" w:hAnsiTheme="minorEastAsia" w:eastAsiaTheme="minorEastAsia"/>
          <w:b/>
          <w:color w:val="auto"/>
          <w:szCs w:val="21"/>
          <w:highlight w:val="none"/>
        </w:rPr>
      </w:pPr>
    </w:p>
    <w:p w14:paraId="665DADCF">
      <w:pPr>
        <w:pStyle w:val="18"/>
        <w:rPr>
          <w:rFonts w:cs="微软雅黑" w:asciiTheme="minorEastAsia" w:hAnsiTheme="minorEastAsia" w:eastAsiaTheme="minorEastAsia"/>
          <w:b/>
          <w:color w:val="auto"/>
          <w:szCs w:val="21"/>
          <w:highlight w:val="none"/>
        </w:rPr>
      </w:pPr>
    </w:p>
    <w:p w14:paraId="20209174">
      <w:pPr>
        <w:pStyle w:val="17"/>
        <w:rPr>
          <w:rFonts w:cs="微软雅黑" w:asciiTheme="minorEastAsia" w:hAnsiTheme="minorEastAsia" w:eastAsiaTheme="minorEastAsia"/>
          <w:b/>
          <w:color w:val="auto"/>
          <w:szCs w:val="21"/>
          <w:highlight w:val="none"/>
        </w:rPr>
      </w:pPr>
    </w:p>
    <w:p w14:paraId="36D64461">
      <w:pPr>
        <w:pStyle w:val="18"/>
        <w:rPr>
          <w:rFonts w:cs="微软雅黑" w:asciiTheme="minorEastAsia" w:hAnsiTheme="minorEastAsia" w:eastAsiaTheme="minorEastAsia"/>
          <w:b/>
          <w:color w:val="auto"/>
          <w:szCs w:val="21"/>
          <w:highlight w:val="none"/>
        </w:rPr>
      </w:pPr>
    </w:p>
    <w:p w14:paraId="479B885A">
      <w:pPr>
        <w:pStyle w:val="17"/>
        <w:rPr>
          <w:rFonts w:cs="微软雅黑" w:asciiTheme="minorEastAsia" w:hAnsiTheme="minorEastAsia" w:eastAsiaTheme="minorEastAsia"/>
          <w:b/>
          <w:color w:val="auto"/>
          <w:szCs w:val="21"/>
          <w:highlight w:val="none"/>
        </w:rPr>
      </w:pPr>
    </w:p>
    <w:p w14:paraId="5A9ACC3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投标函格式：</w:t>
      </w:r>
    </w:p>
    <w:p w14:paraId="5C7DB608">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投标函</w:t>
      </w:r>
    </w:p>
    <w:p w14:paraId="14B3B64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u w:val="single"/>
        </w:rPr>
        <w:t>（招标采购单位名称）</w:t>
      </w:r>
      <w:r>
        <w:rPr>
          <w:rFonts w:hint="eastAsia" w:asciiTheme="minorEastAsia" w:hAnsiTheme="minorEastAsia" w:eastAsiaTheme="minorEastAsia"/>
          <w:color w:val="auto"/>
          <w:szCs w:val="21"/>
          <w:highlight w:val="none"/>
        </w:rPr>
        <w:t>：</w:t>
      </w:r>
    </w:p>
    <w:p w14:paraId="52DF85A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根据贵方为</w:t>
      </w:r>
      <w:r>
        <w:rPr>
          <w:rFonts w:asciiTheme="minorEastAsia" w:hAnsiTheme="minorEastAsia" w:eastAsiaTheme="minorEastAsia"/>
          <w:color w:val="auto"/>
          <w:szCs w:val="21"/>
          <w:highlight w:val="none"/>
        </w:rPr>
        <w:t>____________________</w:t>
      </w:r>
      <w:r>
        <w:rPr>
          <w:rFonts w:hint="eastAsia" w:asciiTheme="minorEastAsia" w:hAnsiTheme="minorEastAsia" w:eastAsiaTheme="minorEastAsia"/>
          <w:color w:val="auto"/>
          <w:szCs w:val="21"/>
          <w:highlight w:val="none"/>
        </w:rPr>
        <w:t>项目的招标公告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投标邀请书（项目编号：</w:t>
      </w:r>
      <w:r>
        <w:rPr>
          <w:rFonts w:asciiTheme="minorEastAsia" w:hAnsiTheme="minorEastAsia" w:eastAsiaTheme="minorEastAsia"/>
          <w:color w:val="auto"/>
          <w:szCs w:val="21"/>
          <w:highlight w:val="none"/>
        </w:rPr>
        <w:t>_____</w:t>
      </w:r>
      <w:r>
        <w:rPr>
          <w:rFonts w:hint="eastAsia" w:asciiTheme="minorEastAsia" w:hAnsiTheme="minorEastAsia" w:eastAsiaTheme="minorEastAsia"/>
          <w:color w:val="auto"/>
          <w:szCs w:val="21"/>
          <w:highlight w:val="none"/>
        </w:rPr>
        <w:t>），签字代表</w:t>
      </w:r>
      <w:r>
        <w:rPr>
          <w:rFonts w:hint="eastAsia" w:asciiTheme="minorEastAsia" w:hAnsiTheme="minorEastAsia" w:eastAsiaTheme="minorEastAsia"/>
          <w:color w:val="auto"/>
          <w:szCs w:val="21"/>
          <w:highlight w:val="none"/>
          <w:u w:val="single"/>
        </w:rPr>
        <w:t>（全名）</w:t>
      </w:r>
      <w:r>
        <w:rPr>
          <w:rFonts w:hint="eastAsia" w:asciiTheme="minorEastAsia" w:hAnsiTheme="minorEastAsia" w:eastAsiaTheme="minorEastAsia"/>
          <w:color w:val="auto"/>
          <w:szCs w:val="21"/>
          <w:highlight w:val="none"/>
        </w:rPr>
        <w:t>经正式授权并代表投标人</w:t>
      </w:r>
      <w:r>
        <w:rPr>
          <w:rFonts w:hint="eastAsia" w:asciiTheme="minorEastAsia" w:hAnsiTheme="minorEastAsia" w:eastAsiaTheme="minorEastAsia"/>
          <w:color w:val="auto"/>
          <w:szCs w:val="21"/>
          <w:highlight w:val="none"/>
          <w:u w:val="single"/>
        </w:rPr>
        <w:t>（投标人名称）</w:t>
      </w:r>
      <w:r>
        <w:rPr>
          <w:rFonts w:hint="eastAsia" w:asciiTheme="minorEastAsia" w:hAnsiTheme="minorEastAsia" w:eastAsiaTheme="minorEastAsia"/>
          <w:color w:val="auto"/>
          <w:szCs w:val="21"/>
          <w:highlight w:val="none"/>
        </w:rPr>
        <w:t>提交资信商务文件、技术文件及投标报价文件电子投标各一份。</w:t>
      </w:r>
    </w:p>
    <w:p w14:paraId="1AC2509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据此函，签字代表宣布同意如下：</w:t>
      </w:r>
    </w:p>
    <w:p w14:paraId="2FBE899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4F98A63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、投标人在投标之前已经与贵方进行了充分的沟通，完全理解并接受招标文件的各项规定和要求，对招标文件的合理性、合法性不再有异议。</w:t>
      </w:r>
    </w:p>
    <w:p w14:paraId="39768C3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、本投标有效期自开标日起</w:t>
      </w:r>
      <w:r>
        <w:rPr>
          <w:rFonts w:asciiTheme="minorEastAsia" w:hAnsiTheme="minorEastAsia" w:eastAsiaTheme="minorEastAsia"/>
          <w:color w:val="auto"/>
          <w:szCs w:val="21"/>
          <w:highlight w:val="none"/>
        </w:rPr>
        <w:t xml:space="preserve"> ______</w:t>
      </w:r>
      <w:r>
        <w:rPr>
          <w:rFonts w:hint="eastAsia" w:asciiTheme="minorEastAsia" w:hAnsiTheme="minorEastAsia" w:eastAsiaTheme="minorEastAsia"/>
          <w:color w:val="auto"/>
          <w:szCs w:val="21"/>
          <w:highlight w:val="none"/>
        </w:rPr>
        <w:t>个日。</w:t>
      </w:r>
    </w:p>
    <w:p w14:paraId="3B7C467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、如中标，本投标文件至本项目合同履行完毕止均保持有效，本投标人将按“招标文件”及政府采购法律、法规的规定履行合同责任和义务。</w:t>
      </w:r>
    </w:p>
    <w:p w14:paraId="4ED12A1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、投标人同意按照贵方要求提供与投标有关的一切数据或资料。</w:t>
      </w:r>
    </w:p>
    <w:p w14:paraId="029B901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、与本投标有关的一切正式往来信函请寄：</w:t>
      </w:r>
    </w:p>
    <w:p w14:paraId="7159402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2B2A287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邮编：</w:t>
      </w:r>
      <w:r>
        <w:rPr>
          <w:rFonts w:asciiTheme="minorEastAsia" w:hAnsiTheme="minorEastAsia" w:eastAsiaTheme="minorEastAsia"/>
          <w:color w:val="auto"/>
          <w:szCs w:val="21"/>
          <w:highlight w:val="none"/>
        </w:rPr>
        <w:t xml:space="preserve">__________   </w:t>
      </w:r>
      <w:r>
        <w:rPr>
          <w:rFonts w:hint="eastAsia" w:asciiTheme="minorEastAsia" w:hAnsiTheme="minorEastAsia" w:eastAsiaTheme="minorEastAsia"/>
          <w:color w:val="auto"/>
          <w:szCs w:val="21"/>
          <w:highlight w:val="none"/>
        </w:rPr>
        <w:t>电话：</w:t>
      </w:r>
      <w:r>
        <w:rPr>
          <w:rFonts w:asciiTheme="minorEastAsia" w:hAnsiTheme="minorEastAsia" w:eastAsiaTheme="minorEastAsia"/>
          <w:color w:val="auto"/>
          <w:szCs w:val="21"/>
          <w:highlight w:val="none"/>
        </w:rPr>
        <w:t>______________</w:t>
      </w:r>
    </w:p>
    <w:p w14:paraId="375754D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传真：</w:t>
      </w:r>
      <w:r>
        <w:rPr>
          <w:rFonts w:asciiTheme="minorEastAsia" w:hAnsiTheme="minorEastAsia" w:eastAsiaTheme="minorEastAsia"/>
          <w:color w:val="auto"/>
          <w:szCs w:val="21"/>
          <w:highlight w:val="none"/>
        </w:rPr>
        <w:t>______________</w:t>
      </w:r>
      <w:r>
        <w:rPr>
          <w:rFonts w:hint="eastAsia" w:asciiTheme="minorEastAsia" w:hAnsiTheme="minorEastAsia" w:eastAsiaTheme="minorEastAsia"/>
          <w:color w:val="auto"/>
          <w:szCs w:val="21"/>
          <w:highlight w:val="none"/>
        </w:rPr>
        <w:t>投标人代表姓名</w:t>
      </w:r>
      <w:r>
        <w:rPr>
          <w:rFonts w:asciiTheme="minorEastAsia" w:hAnsiTheme="minorEastAsia" w:eastAsiaTheme="minorEastAsia"/>
          <w:color w:val="auto"/>
          <w:szCs w:val="21"/>
          <w:highlight w:val="none"/>
        </w:rPr>
        <w:t xml:space="preserve"> ___________  </w:t>
      </w:r>
      <w:r>
        <w:rPr>
          <w:rFonts w:hint="eastAsia" w:asciiTheme="minorEastAsia" w:hAnsiTheme="minorEastAsia" w:eastAsiaTheme="minorEastAsia"/>
          <w:color w:val="auto"/>
          <w:szCs w:val="21"/>
          <w:highlight w:val="none"/>
        </w:rPr>
        <w:t>职务：</w:t>
      </w:r>
      <w:r>
        <w:rPr>
          <w:rFonts w:asciiTheme="minorEastAsia" w:hAnsiTheme="minorEastAsia" w:eastAsiaTheme="minorEastAsia"/>
          <w:color w:val="auto"/>
          <w:szCs w:val="21"/>
          <w:highlight w:val="none"/>
        </w:rPr>
        <w:t>_____________</w:t>
      </w:r>
    </w:p>
    <w:p w14:paraId="77129D2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shd w:val="clear" w:color="auto" w:fill="FFFFFF"/>
        </w:rPr>
        <w:t>CA签章</w:t>
      </w:r>
      <w:r>
        <w:rPr>
          <w:rFonts w:asciiTheme="minorEastAsia" w:hAnsiTheme="minorEastAsia" w:eastAsiaTheme="minorEastAsia"/>
          <w:color w:val="auto"/>
          <w:szCs w:val="21"/>
          <w:highlight w:val="none"/>
        </w:rPr>
        <w:t>): _____________</w:t>
      </w:r>
    </w:p>
    <w:p w14:paraId="0A177E4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开户银行：银行帐号：</w:t>
      </w:r>
    </w:p>
    <w:p w14:paraId="4F0C913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法定代表人或其委托代理人签名（或盖章）</w:t>
      </w:r>
      <w:r>
        <w:rPr>
          <w:rFonts w:asciiTheme="minorEastAsia" w:hAnsiTheme="minorEastAsia" w:eastAsiaTheme="minorEastAsia"/>
          <w:color w:val="auto"/>
          <w:szCs w:val="21"/>
          <w:highlight w:val="none"/>
        </w:rPr>
        <w:t xml:space="preserve">:___________                      </w:t>
      </w:r>
    </w:p>
    <w:p w14:paraId="4D1FF47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r>
        <w:rPr>
          <w:rFonts w:asciiTheme="minorEastAsia" w:hAnsiTheme="minorEastAsia" w:eastAsiaTheme="minorEastAsia"/>
          <w:color w:val="auto"/>
          <w:szCs w:val="21"/>
          <w:highlight w:val="none"/>
        </w:rPr>
        <w:t>:_____</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rPr>
        <w:t>___</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rPr>
        <w:t>___</w:t>
      </w:r>
      <w:r>
        <w:rPr>
          <w:rFonts w:hint="eastAsia" w:asciiTheme="minorEastAsia" w:hAnsiTheme="minorEastAsia" w:eastAsiaTheme="minorEastAsia"/>
          <w:color w:val="auto"/>
          <w:szCs w:val="21"/>
          <w:highlight w:val="none"/>
        </w:rPr>
        <w:t>日</w:t>
      </w:r>
    </w:p>
    <w:p w14:paraId="076D61C1">
      <w:pPr>
        <w:pStyle w:val="52"/>
        <w:ind w:right="42" w:rightChars="20" w:firstLine="464"/>
        <w:rPr>
          <w:rFonts w:asciiTheme="minorEastAsia" w:hAnsiTheme="minorEastAsia" w:eastAsiaTheme="minorEastAsia"/>
          <w:color w:val="auto"/>
          <w:szCs w:val="21"/>
          <w:highlight w:val="none"/>
        </w:rPr>
      </w:pPr>
    </w:p>
    <w:p w14:paraId="30968A98">
      <w:pPr>
        <w:pStyle w:val="52"/>
        <w:ind w:right="42" w:rightChars="20" w:firstLine="464"/>
        <w:rPr>
          <w:rFonts w:asciiTheme="minorEastAsia" w:hAnsiTheme="minorEastAsia" w:eastAsiaTheme="minorEastAsia"/>
          <w:color w:val="auto"/>
          <w:szCs w:val="21"/>
          <w:highlight w:val="none"/>
        </w:rPr>
      </w:pPr>
    </w:p>
    <w:p w14:paraId="09AE1C39">
      <w:pPr>
        <w:pStyle w:val="52"/>
        <w:ind w:right="42" w:rightChars="20" w:firstLine="464"/>
        <w:rPr>
          <w:rFonts w:asciiTheme="minorEastAsia" w:hAnsiTheme="minorEastAsia" w:eastAsiaTheme="minorEastAsia"/>
          <w:color w:val="auto"/>
          <w:szCs w:val="21"/>
          <w:highlight w:val="none"/>
        </w:rPr>
      </w:pPr>
    </w:p>
    <w:p w14:paraId="7A79B4F7">
      <w:pPr>
        <w:pStyle w:val="52"/>
        <w:ind w:right="42" w:rightChars="20" w:firstLine="464"/>
        <w:rPr>
          <w:rFonts w:asciiTheme="minorEastAsia" w:hAnsiTheme="minorEastAsia" w:eastAsiaTheme="minorEastAsia"/>
          <w:color w:val="auto"/>
          <w:szCs w:val="21"/>
          <w:highlight w:val="none"/>
        </w:rPr>
      </w:pPr>
    </w:p>
    <w:p w14:paraId="793D83AF">
      <w:pPr>
        <w:pStyle w:val="52"/>
        <w:ind w:right="42" w:rightChars="20" w:firstLine="464"/>
        <w:rPr>
          <w:rFonts w:asciiTheme="minorEastAsia" w:hAnsiTheme="minorEastAsia" w:eastAsiaTheme="minorEastAsia"/>
          <w:color w:val="auto"/>
          <w:szCs w:val="21"/>
          <w:highlight w:val="none"/>
        </w:rPr>
      </w:pPr>
    </w:p>
    <w:p w14:paraId="27D708C1">
      <w:pPr>
        <w:pStyle w:val="52"/>
        <w:ind w:right="42" w:rightChars="20" w:firstLine="464"/>
        <w:rPr>
          <w:rFonts w:asciiTheme="minorEastAsia" w:hAnsiTheme="minorEastAsia" w:eastAsiaTheme="minorEastAsia"/>
          <w:color w:val="auto"/>
          <w:szCs w:val="21"/>
          <w:highlight w:val="none"/>
        </w:rPr>
      </w:pPr>
    </w:p>
    <w:p w14:paraId="1D155A6B">
      <w:pPr>
        <w:snapToGrid w:val="0"/>
        <w:spacing w:line="360" w:lineRule="auto"/>
        <w:ind w:right="42" w:rightChars="20"/>
        <w:rPr>
          <w:rFonts w:asciiTheme="minorEastAsia" w:hAnsiTheme="minorEastAsia" w:eastAsiaTheme="minorEastAsia"/>
          <w:color w:val="auto"/>
          <w:szCs w:val="21"/>
          <w:highlight w:val="none"/>
        </w:rPr>
      </w:pPr>
    </w:p>
    <w:p w14:paraId="4FA60A6F">
      <w:pPr>
        <w:snapToGrid w:val="0"/>
        <w:spacing w:line="360" w:lineRule="auto"/>
        <w:ind w:right="42" w:rightChars="20" w:firstLine="422" w:firstLineChars="200"/>
        <w:jc w:val="center"/>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开标一览表</w:t>
      </w:r>
    </w:p>
    <w:p w14:paraId="7AB418D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6B7F80A7">
      <w:pPr>
        <w:snapToGrid w:val="0"/>
        <w:spacing w:line="360" w:lineRule="auto"/>
        <w:ind w:right="42" w:rightChars="2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招标编号： 投标人名称：</w:t>
      </w:r>
    </w:p>
    <w:tbl>
      <w:tblPr>
        <w:tblStyle w:val="54"/>
        <w:tblW w:w="7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527"/>
        <w:gridCol w:w="4087"/>
      </w:tblGrid>
      <w:tr w14:paraId="72D7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180" w:type="dxa"/>
            <w:vAlign w:val="center"/>
          </w:tcPr>
          <w:p w14:paraId="35EB4C5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1527" w:type="dxa"/>
            <w:vAlign w:val="center"/>
          </w:tcPr>
          <w:p w14:paraId="09CC9DF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 xml:space="preserve">数量 </w:t>
            </w:r>
          </w:p>
        </w:tc>
        <w:tc>
          <w:tcPr>
            <w:tcW w:w="4087" w:type="dxa"/>
            <w:vAlign w:val="center"/>
          </w:tcPr>
          <w:p w14:paraId="1A06E5FC">
            <w:pPr>
              <w:snapToGrid w:val="0"/>
              <w:spacing w:line="360" w:lineRule="auto"/>
              <w:jc w:val="center"/>
              <w:rPr>
                <w:rFonts w:ascii="宋体" w:hAnsi="宋体"/>
                <w:color w:val="auto"/>
                <w:szCs w:val="21"/>
                <w:highlight w:val="none"/>
              </w:rPr>
            </w:pPr>
            <w:r>
              <w:rPr>
                <w:rFonts w:hint="eastAsia" w:ascii="宋体" w:hAnsi="宋体"/>
                <w:color w:val="auto"/>
                <w:szCs w:val="21"/>
                <w:highlight w:val="none"/>
                <w:shd w:val="clear" w:color="auto" w:fill="FFFFFF"/>
              </w:rPr>
              <w:t>投标报总价</w:t>
            </w:r>
          </w:p>
        </w:tc>
      </w:tr>
      <w:tr w14:paraId="54B1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2180" w:type="dxa"/>
            <w:vAlign w:val="center"/>
          </w:tcPr>
          <w:p w14:paraId="489A184E">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2025年排污许可和自行监测技术服务项目</w:t>
            </w:r>
          </w:p>
        </w:tc>
        <w:tc>
          <w:tcPr>
            <w:tcW w:w="1527" w:type="dxa"/>
            <w:vAlign w:val="center"/>
          </w:tcPr>
          <w:p w14:paraId="34CBB83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1项</w:t>
            </w:r>
          </w:p>
        </w:tc>
        <w:tc>
          <w:tcPr>
            <w:tcW w:w="4087" w:type="dxa"/>
            <w:vAlign w:val="center"/>
          </w:tcPr>
          <w:p w14:paraId="5793FF9E">
            <w:pPr>
              <w:adjustRightInd w:val="0"/>
              <w:spacing w:line="440" w:lineRule="exact"/>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大写（人民币）：</w:t>
            </w:r>
            <w:r>
              <w:rPr>
                <w:rFonts w:hint="eastAsia" w:ascii="宋体" w:hAnsi="宋体"/>
                <w:color w:val="auto"/>
                <w:szCs w:val="21"/>
                <w:highlight w:val="none"/>
                <w:u w:val="single"/>
                <w:shd w:val="clear" w:color="auto" w:fill="FFFFFF"/>
              </w:rPr>
              <w:t xml:space="preserve">            </w:t>
            </w:r>
          </w:p>
          <w:p w14:paraId="34FABA90">
            <w:pPr>
              <w:snapToGrid w:val="0"/>
              <w:spacing w:line="360" w:lineRule="auto"/>
              <w:jc w:val="left"/>
              <w:rPr>
                <w:rFonts w:ascii="宋体" w:hAnsi="宋体"/>
                <w:color w:val="auto"/>
                <w:szCs w:val="21"/>
                <w:highlight w:val="none"/>
              </w:rPr>
            </w:pPr>
            <w:r>
              <w:rPr>
                <w:rFonts w:hint="eastAsia" w:ascii="宋体" w:hAnsi="宋体"/>
                <w:color w:val="auto"/>
                <w:szCs w:val="21"/>
                <w:highlight w:val="none"/>
                <w:shd w:val="clear" w:color="auto" w:fill="FFFFFF"/>
              </w:rPr>
              <w:t>小写：¥</w:t>
            </w:r>
            <w:r>
              <w:rPr>
                <w:rFonts w:hint="eastAsia" w:ascii="宋体" w:hAnsi="宋体"/>
                <w:color w:val="auto"/>
                <w:szCs w:val="21"/>
                <w:highlight w:val="none"/>
                <w:u w:val="single"/>
                <w:shd w:val="clear" w:color="auto" w:fill="FFFFFF"/>
              </w:rPr>
              <w:t xml:space="preserve">                    </w:t>
            </w:r>
          </w:p>
        </w:tc>
      </w:tr>
      <w:tr w14:paraId="3544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2180" w:type="dxa"/>
            <w:vAlign w:val="center"/>
          </w:tcPr>
          <w:p w14:paraId="50B7F07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服务期</w:t>
            </w:r>
          </w:p>
        </w:tc>
        <w:tc>
          <w:tcPr>
            <w:tcW w:w="5614" w:type="dxa"/>
            <w:gridSpan w:val="2"/>
            <w:vAlign w:val="center"/>
          </w:tcPr>
          <w:p w14:paraId="47B69C24">
            <w:pPr>
              <w:snapToGrid w:val="0"/>
              <w:spacing w:line="360" w:lineRule="auto"/>
              <w:jc w:val="left"/>
              <w:rPr>
                <w:rFonts w:ascii="宋体" w:hAnsi="宋体"/>
                <w:color w:val="auto"/>
                <w:szCs w:val="21"/>
                <w:highlight w:val="none"/>
                <w:shd w:val="clear" w:color="auto" w:fill="FFFFFF"/>
              </w:rPr>
            </w:pPr>
          </w:p>
        </w:tc>
      </w:tr>
      <w:tr w14:paraId="580E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2180" w:type="dxa"/>
            <w:vAlign w:val="center"/>
          </w:tcPr>
          <w:p w14:paraId="41931F8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5614" w:type="dxa"/>
            <w:gridSpan w:val="2"/>
            <w:vAlign w:val="center"/>
          </w:tcPr>
          <w:p w14:paraId="3F685582">
            <w:pPr>
              <w:snapToGrid w:val="0"/>
              <w:spacing w:line="360" w:lineRule="auto"/>
              <w:jc w:val="left"/>
              <w:rPr>
                <w:rFonts w:ascii="宋体" w:hAnsi="宋体"/>
                <w:color w:val="auto"/>
                <w:szCs w:val="21"/>
                <w:highlight w:val="none"/>
                <w:shd w:val="clear" w:color="auto" w:fill="FFFFFF"/>
              </w:rPr>
            </w:pPr>
          </w:p>
        </w:tc>
      </w:tr>
    </w:tbl>
    <w:p w14:paraId="115FB91C">
      <w:pPr>
        <w:snapToGrid w:val="0"/>
        <w:spacing w:line="360" w:lineRule="auto"/>
        <w:ind w:right="42" w:rightChars="20"/>
        <w:rPr>
          <w:rFonts w:asciiTheme="minorEastAsia" w:hAnsiTheme="minorEastAsia" w:eastAsiaTheme="minorEastAsia"/>
          <w:color w:val="auto"/>
          <w:szCs w:val="21"/>
          <w:highlight w:val="none"/>
        </w:rPr>
      </w:pPr>
    </w:p>
    <w:p w14:paraId="704CE286">
      <w:pPr>
        <w:pStyle w:val="30"/>
        <w:snapToGrid w:val="0"/>
        <w:spacing w:line="360" w:lineRule="auto"/>
        <w:ind w:left="420" w:right="42" w:rightChars="20" w:hanging="42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注: 1、报价一经涂改，应在涂改处加盖单位公章或者由法定代表人或授权委托人签字或盖章，否则其投标作无效标处理。</w:t>
      </w:r>
    </w:p>
    <w:p w14:paraId="49C15CE3">
      <w:pPr>
        <w:spacing w:line="360" w:lineRule="auto"/>
        <w:ind w:firstLine="420" w:firstLineChars="200"/>
        <w:contextualSpacing/>
        <w:rPr>
          <w:rFonts w:asciiTheme="minorEastAsia" w:hAnsiTheme="minorEastAsia" w:eastAsiaTheme="minorEastAsia"/>
          <w:b/>
          <w:bCs/>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b/>
          <w:bCs/>
          <w:color w:val="auto"/>
          <w:szCs w:val="21"/>
          <w:highlight w:val="none"/>
        </w:rPr>
        <w:t>预算价</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eastAsia="zh-CN"/>
        </w:rPr>
        <w:t>400000</w:t>
      </w:r>
      <w:r>
        <w:rPr>
          <w:rFonts w:hint="eastAsia" w:asciiTheme="minorEastAsia" w:hAnsiTheme="minorEastAsia" w:eastAsiaTheme="minorEastAsia"/>
          <w:b/>
          <w:bCs/>
          <w:color w:val="auto"/>
          <w:szCs w:val="21"/>
          <w:highlight w:val="none"/>
        </w:rPr>
        <w:t>元</w:t>
      </w:r>
      <w:r>
        <w:rPr>
          <w:rFonts w:hint="eastAsia" w:asciiTheme="minorEastAsia" w:hAnsiTheme="minorEastAsia" w:eastAsiaTheme="minorEastAsia"/>
          <w:b/>
          <w:bCs/>
          <w:color w:val="auto"/>
          <w:szCs w:val="21"/>
          <w:highlight w:val="none"/>
        </w:rPr>
        <w:t>，投标报价超过预算价的作无效标处理。</w:t>
      </w:r>
    </w:p>
    <w:p w14:paraId="75696FFE">
      <w:pPr>
        <w:spacing w:line="360" w:lineRule="auto"/>
        <w:ind w:firstLine="422" w:firstLineChars="200"/>
        <w:contextualSpacing/>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 xml:space="preserve"> 3、必须包括提供项目服务所需的一切人员费用（人员工资、奖金、各种加班费、各种社会保险（基本养老保险、基本医疗保险、工伤保险、失业保险、公积金等）、专家评审费、考察费、调研费、食宿与交通、高温补偿费）、会务费用、管理费用（意外保险、车辆、培训、税费、利润等完成合同所需的一切本身和不可或缺的所有工作开支、政策性文件规定及合同包含的所有风险、责任等各项全部费用并承担一切风险责任。</w:t>
      </w:r>
    </w:p>
    <w:p w14:paraId="2E917C99">
      <w:pPr>
        <w:widowControl/>
        <w:spacing w:line="460" w:lineRule="exact"/>
        <w:ind w:right="42" w:rightChars="20" w:firstLine="480"/>
        <w:rPr>
          <w:rFonts w:asciiTheme="minorEastAsia" w:hAnsiTheme="minorEastAsia" w:eastAsiaTheme="minorEastAsia"/>
          <w:b/>
          <w:color w:val="auto"/>
          <w:szCs w:val="21"/>
          <w:highlight w:val="none"/>
        </w:rPr>
      </w:pPr>
    </w:p>
    <w:p w14:paraId="36EE97B2">
      <w:pPr>
        <w:pStyle w:val="30"/>
        <w:snapToGrid w:val="0"/>
        <w:spacing w:line="360" w:lineRule="auto"/>
        <w:ind w:right="42" w:rightChars="20"/>
        <w:rPr>
          <w:rFonts w:asciiTheme="minorEastAsia" w:hAnsiTheme="minorEastAsia" w:eastAsiaTheme="minorEastAsia"/>
          <w:color w:val="auto"/>
          <w:szCs w:val="21"/>
          <w:highlight w:val="none"/>
        </w:rPr>
      </w:pPr>
    </w:p>
    <w:p w14:paraId="4AE81EBD">
      <w:pPr>
        <w:pStyle w:val="30"/>
        <w:snapToGrid w:val="0"/>
        <w:spacing w:line="360" w:lineRule="auto"/>
        <w:ind w:right="42" w:rightChars="20"/>
        <w:rPr>
          <w:rFonts w:asciiTheme="minorEastAsia" w:hAnsiTheme="minorEastAsia" w:eastAsiaTheme="minorEastAsia"/>
          <w:color w:val="auto"/>
          <w:szCs w:val="21"/>
          <w:highlight w:val="none"/>
        </w:rPr>
      </w:pPr>
    </w:p>
    <w:p w14:paraId="3C4EA185">
      <w:pPr>
        <w:pStyle w:val="30"/>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asciiTheme="minorEastAsia" w:hAnsiTheme="minorEastAsia" w:eastAsiaTheme="minorEastAsia"/>
          <w:color w:val="auto"/>
          <w:szCs w:val="21"/>
          <w:highlight w:val="none"/>
          <w:shd w:val="clear" w:color="auto" w:fill="FFFFFF"/>
        </w:rPr>
        <w:t xml:space="preserve">法定代表人或授权代表（签字或盖章）： </w:t>
      </w:r>
    </w:p>
    <w:p w14:paraId="55D8E714">
      <w:pPr>
        <w:pStyle w:val="30"/>
        <w:snapToGrid w:val="0"/>
        <w:spacing w:line="360" w:lineRule="auto"/>
        <w:ind w:right="42" w:rightChars="20"/>
        <w:rPr>
          <w:rFonts w:asciiTheme="minorEastAsia" w:hAnsiTheme="minorEastAsia" w:eastAsiaTheme="minorEastAsia"/>
          <w:color w:val="auto"/>
          <w:szCs w:val="21"/>
          <w:highlight w:val="none"/>
          <w:shd w:val="clear" w:color="auto" w:fill="FFFFFF"/>
        </w:rPr>
      </w:pPr>
    </w:p>
    <w:p w14:paraId="23110373">
      <w:pPr>
        <w:pStyle w:val="30"/>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投标人名称（CA签章）</w:t>
      </w:r>
      <w:r>
        <w:rPr>
          <w:rFonts w:asciiTheme="minorEastAsia" w:hAnsiTheme="minorEastAsia" w:eastAsiaTheme="minorEastAsia"/>
          <w:color w:val="auto"/>
          <w:szCs w:val="21"/>
          <w:highlight w:val="none"/>
          <w:shd w:val="clear" w:color="auto" w:fill="FFFFFF"/>
        </w:rPr>
        <w:t>：</w:t>
      </w:r>
    </w:p>
    <w:p w14:paraId="450A13CD">
      <w:pPr>
        <w:pStyle w:val="30"/>
        <w:snapToGrid w:val="0"/>
        <w:spacing w:line="360" w:lineRule="auto"/>
        <w:ind w:right="42" w:rightChars="20"/>
        <w:rPr>
          <w:rFonts w:asciiTheme="minorEastAsia" w:hAnsiTheme="minorEastAsia" w:eastAsiaTheme="minorEastAsia"/>
          <w:color w:val="auto"/>
          <w:szCs w:val="21"/>
          <w:highlight w:val="none"/>
        </w:rPr>
      </w:pPr>
    </w:p>
    <w:p w14:paraId="05F69A39">
      <w:pPr>
        <w:pStyle w:val="30"/>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日期：</w:t>
      </w:r>
    </w:p>
    <w:p w14:paraId="6B9D1FD3">
      <w:pPr>
        <w:spacing w:line="360" w:lineRule="auto"/>
        <w:ind w:right="42" w:rightChars="2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分项报价明细表</w:t>
      </w:r>
    </w:p>
    <w:tbl>
      <w:tblPr>
        <w:tblStyle w:val="54"/>
        <w:tblW w:w="89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274"/>
        <w:gridCol w:w="1010"/>
        <w:gridCol w:w="1008"/>
        <w:gridCol w:w="2640"/>
      </w:tblGrid>
      <w:tr w14:paraId="478C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1008" w:type="dxa"/>
            <w:vAlign w:val="center"/>
          </w:tcPr>
          <w:p w14:paraId="0DEDA8B1">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bCs/>
                <w:color w:val="auto"/>
                <w:szCs w:val="21"/>
                <w:highlight w:val="none"/>
              </w:rPr>
              <w:t>序号</w:t>
            </w:r>
          </w:p>
        </w:tc>
        <w:tc>
          <w:tcPr>
            <w:tcW w:w="3274" w:type="dxa"/>
            <w:vAlign w:val="center"/>
          </w:tcPr>
          <w:p w14:paraId="0BF1BF0D">
            <w:pPr>
              <w:spacing w:line="360" w:lineRule="auto"/>
              <w:ind w:left="102"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分项内容（包括人员、设备、场地等）</w:t>
            </w:r>
          </w:p>
        </w:tc>
        <w:tc>
          <w:tcPr>
            <w:tcW w:w="1010" w:type="dxa"/>
            <w:vAlign w:val="center"/>
          </w:tcPr>
          <w:p w14:paraId="19F4F1B7">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单位</w:t>
            </w:r>
          </w:p>
        </w:tc>
        <w:tc>
          <w:tcPr>
            <w:tcW w:w="1008" w:type="dxa"/>
            <w:vAlign w:val="center"/>
          </w:tcPr>
          <w:p w14:paraId="62A34910">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2640" w:type="dxa"/>
            <w:vAlign w:val="center"/>
          </w:tcPr>
          <w:p w14:paraId="0A488416">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投标报价</w:t>
            </w:r>
          </w:p>
        </w:tc>
      </w:tr>
      <w:tr w14:paraId="787A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14:paraId="162F53CF">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3274" w:type="dxa"/>
            <w:vAlign w:val="center"/>
          </w:tcPr>
          <w:p w14:paraId="6145D3BD">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14:paraId="2D6BEF8A">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14:paraId="623E399F">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14:paraId="4DAE7D4B">
            <w:pPr>
              <w:spacing w:line="360" w:lineRule="auto"/>
              <w:ind w:right="42" w:rightChars="20"/>
              <w:jc w:val="center"/>
              <w:rPr>
                <w:rFonts w:asciiTheme="minorEastAsia" w:hAnsiTheme="minorEastAsia" w:eastAsiaTheme="minorEastAsia"/>
                <w:color w:val="auto"/>
                <w:szCs w:val="21"/>
                <w:highlight w:val="none"/>
              </w:rPr>
            </w:pPr>
          </w:p>
        </w:tc>
      </w:tr>
      <w:tr w14:paraId="3247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14:paraId="4FA5DC69">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3274" w:type="dxa"/>
            <w:vAlign w:val="center"/>
          </w:tcPr>
          <w:p w14:paraId="77130ADC">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14:paraId="204D882B">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14:paraId="304FAE28">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14:paraId="0D15DB51">
            <w:pPr>
              <w:spacing w:line="360" w:lineRule="auto"/>
              <w:ind w:right="42" w:rightChars="20"/>
              <w:jc w:val="center"/>
              <w:rPr>
                <w:rFonts w:asciiTheme="minorEastAsia" w:hAnsiTheme="minorEastAsia" w:eastAsiaTheme="minorEastAsia"/>
                <w:color w:val="auto"/>
                <w:szCs w:val="21"/>
                <w:highlight w:val="none"/>
              </w:rPr>
            </w:pPr>
          </w:p>
        </w:tc>
      </w:tr>
      <w:tr w14:paraId="63BA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14:paraId="76E747DC">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3274" w:type="dxa"/>
            <w:vAlign w:val="center"/>
          </w:tcPr>
          <w:p w14:paraId="4ED9BA19">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14:paraId="43F4F4A0">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14:paraId="4D3675C3">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14:paraId="38F0C5AD">
            <w:pPr>
              <w:spacing w:line="360" w:lineRule="auto"/>
              <w:ind w:right="42" w:rightChars="20"/>
              <w:jc w:val="center"/>
              <w:rPr>
                <w:rFonts w:asciiTheme="minorEastAsia" w:hAnsiTheme="minorEastAsia" w:eastAsiaTheme="minorEastAsia"/>
                <w:color w:val="auto"/>
                <w:szCs w:val="21"/>
                <w:highlight w:val="none"/>
              </w:rPr>
            </w:pPr>
          </w:p>
        </w:tc>
      </w:tr>
      <w:tr w14:paraId="1804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14:paraId="02B0B5CC">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3274" w:type="dxa"/>
            <w:vAlign w:val="center"/>
          </w:tcPr>
          <w:p w14:paraId="17FC90B3">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14:paraId="471C7CFF">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14:paraId="53578A66">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14:paraId="44CAD17C">
            <w:pPr>
              <w:spacing w:line="360" w:lineRule="auto"/>
              <w:ind w:right="42" w:rightChars="20"/>
              <w:jc w:val="center"/>
              <w:rPr>
                <w:rFonts w:asciiTheme="minorEastAsia" w:hAnsiTheme="minorEastAsia" w:eastAsiaTheme="minorEastAsia"/>
                <w:color w:val="auto"/>
                <w:szCs w:val="21"/>
                <w:highlight w:val="none"/>
              </w:rPr>
            </w:pPr>
          </w:p>
        </w:tc>
      </w:tr>
      <w:tr w14:paraId="1385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14:paraId="2AD41FE4">
            <w:pPr>
              <w:spacing w:line="360" w:lineRule="auto"/>
              <w:ind w:right="42" w:rightChars="2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p>
        </w:tc>
        <w:tc>
          <w:tcPr>
            <w:tcW w:w="3274" w:type="dxa"/>
            <w:vAlign w:val="center"/>
          </w:tcPr>
          <w:p w14:paraId="325A7307">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14:paraId="08EA0F37">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14:paraId="0596A7CE">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14:paraId="4CFA40FF">
            <w:pPr>
              <w:spacing w:line="360" w:lineRule="auto"/>
              <w:ind w:right="42" w:rightChars="20"/>
              <w:jc w:val="center"/>
              <w:rPr>
                <w:rFonts w:asciiTheme="minorEastAsia" w:hAnsiTheme="minorEastAsia" w:eastAsiaTheme="minorEastAsia"/>
                <w:color w:val="auto"/>
                <w:szCs w:val="21"/>
                <w:highlight w:val="none"/>
              </w:rPr>
            </w:pPr>
          </w:p>
        </w:tc>
      </w:tr>
      <w:tr w14:paraId="6471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14:paraId="5C892752">
            <w:pPr>
              <w:spacing w:line="360" w:lineRule="auto"/>
              <w:ind w:right="42" w:rightChars="20"/>
              <w:jc w:val="center"/>
              <w:rPr>
                <w:rFonts w:asciiTheme="minorEastAsia" w:hAnsiTheme="minorEastAsia" w:eastAsiaTheme="minorEastAsia"/>
                <w:color w:val="auto"/>
                <w:szCs w:val="21"/>
                <w:highlight w:val="none"/>
              </w:rPr>
            </w:pPr>
          </w:p>
        </w:tc>
        <w:tc>
          <w:tcPr>
            <w:tcW w:w="5292" w:type="dxa"/>
            <w:gridSpan w:val="3"/>
            <w:vAlign w:val="center"/>
          </w:tcPr>
          <w:p w14:paraId="778A5C4D">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合计总价</w:t>
            </w:r>
          </w:p>
        </w:tc>
        <w:tc>
          <w:tcPr>
            <w:tcW w:w="2640" w:type="dxa"/>
            <w:vAlign w:val="center"/>
          </w:tcPr>
          <w:p w14:paraId="63B345CB">
            <w:pPr>
              <w:spacing w:line="360" w:lineRule="auto"/>
              <w:ind w:right="42" w:rightChars="20"/>
              <w:jc w:val="center"/>
              <w:rPr>
                <w:rFonts w:asciiTheme="minorEastAsia" w:hAnsiTheme="minorEastAsia" w:eastAsiaTheme="minorEastAsia"/>
                <w:color w:val="auto"/>
                <w:szCs w:val="21"/>
                <w:highlight w:val="none"/>
              </w:rPr>
            </w:pPr>
          </w:p>
        </w:tc>
      </w:tr>
    </w:tbl>
    <w:p w14:paraId="3559F41B">
      <w:pPr>
        <w:pStyle w:val="99"/>
        <w:rPr>
          <w:color w:val="auto"/>
          <w:highlight w:val="none"/>
        </w:rPr>
      </w:pPr>
    </w:p>
    <w:p w14:paraId="0C57B849">
      <w:pPr>
        <w:tabs>
          <w:tab w:val="left" w:pos="540"/>
        </w:tabs>
        <w:autoSpaceDE w:val="0"/>
        <w:autoSpaceDN w:val="0"/>
        <w:adjustRightInd w:val="0"/>
        <w:spacing w:line="360" w:lineRule="auto"/>
        <w:ind w:right="42" w:rightChars="20" w:firstLine="411" w:firstLineChars="196"/>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 1、以上表格中各项可进一步细分，栏数不够可自加，要求服务内容细分项目及报价。本投标文件及其所附文件涵盖了我方要约的全部内容。</w:t>
      </w:r>
    </w:p>
    <w:p w14:paraId="4AE619B3">
      <w:pPr>
        <w:spacing w:line="360" w:lineRule="auto"/>
        <w:ind w:left="-2" w:leftChars="-1" w:right="42" w:rightChars="20" w:firstLine="945" w:firstLineChars="45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2、本明细清单合计总价应与投标（开标）一览表报价保持一致。</w:t>
      </w:r>
    </w:p>
    <w:p w14:paraId="2DAF97F0">
      <w:pPr>
        <w:snapToGrid w:val="0"/>
        <w:spacing w:before="50" w:after="50" w:line="360" w:lineRule="auto"/>
        <w:ind w:right="42" w:rightChars="20"/>
        <w:rPr>
          <w:rFonts w:asciiTheme="minorEastAsia" w:hAnsiTheme="minorEastAsia" w:eastAsiaTheme="minorEastAsia"/>
          <w:color w:val="auto"/>
          <w:spacing w:val="20"/>
          <w:sz w:val="22"/>
          <w:szCs w:val="22"/>
          <w:highlight w:val="none"/>
        </w:rPr>
      </w:pPr>
    </w:p>
    <w:p w14:paraId="5D92D001">
      <w:pPr>
        <w:snapToGrid w:val="0"/>
        <w:spacing w:before="50" w:after="50" w:line="360" w:lineRule="auto"/>
        <w:ind w:right="42" w:rightChars="20"/>
        <w:rPr>
          <w:rFonts w:asciiTheme="minorEastAsia" w:hAnsiTheme="minorEastAsia" w:eastAsiaTheme="minorEastAsia"/>
          <w:color w:val="auto"/>
          <w:spacing w:val="20"/>
          <w:sz w:val="22"/>
          <w:szCs w:val="22"/>
          <w:highlight w:val="none"/>
        </w:rPr>
      </w:pPr>
    </w:p>
    <w:p w14:paraId="6A0E4304">
      <w:pPr>
        <w:snapToGrid w:val="0"/>
        <w:spacing w:before="50" w:after="50" w:line="360" w:lineRule="auto"/>
        <w:ind w:right="42" w:rightChars="20"/>
        <w:rPr>
          <w:rFonts w:asciiTheme="minorEastAsia" w:hAnsiTheme="minorEastAsia" w:eastAsiaTheme="minorEastAsia"/>
          <w:color w:val="auto"/>
          <w:spacing w:val="20"/>
          <w:sz w:val="22"/>
          <w:szCs w:val="22"/>
          <w:highlight w:val="none"/>
        </w:rPr>
      </w:pPr>
    </w:p>
    <w:p w14:paraId="14D31A44">
      <w:pPr>
        <w:pStyle w:val="30"/>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asciiTheme="minorEastAsia" w:hAnsiTheme="minorEastAsia" w:eastAsiaTheme="minorEastAsia"/>
          <w:color w:val="auto"/>
          <w:szCs w:val="21"/>
          <w:highlight w:val="none"/>
          <w:shd w:val="clear" w:color="auto" w:fill="FFFFFF"/>
        </w:rPr>
        <w:t xml:space="preserve">法定代表人或授权代表（签字或盖章）： </w:t>
      </w:r>
    </w:p>
    <w:p w14:paraId="19749CA1">
      <w:pPr>
        <w:pStyle w:val="30"/>
        <w:snapToGrid w:val="0"/>
        <w:spacing w:line="360" w:lineRule="auto"/>
        <w:ind w:right="42" w:rightChars="20"/>
        <w:rPr>
          <w:rFonts w:asciiTheme="minorEastAsia" w:hAnsiTheme="minorEastAsia" w:eastAsiaTheme="minorEastAsia"/>
          <w:color w:val="auto"/>
          <w:szCs w:val="21"/>
          <w:highlight w:val="none"/>
          <w:shd w:val="clear" w:color="auto" w:fill="FFFFFF"/>
        </w:rPr>
      </w:pPr>
    </w:p>
    <w:p w14:paraId="5B13C3B2">
      <w:pPr>
        <w:pStyle w:val="30"/>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投标人名称（CA签章）</w:t>
      </w:r>
      <w:r>
        <w:rPr>
          <w:rFonts w:asciiTheme="minorEastAsia" w:hAnsiTheme="minorEastAsia" w:eastAsiaTheme="minorEastAsia"/>
          <w:color w:val="auto"/>
          <w:szCs w:val="21"/>
          <w:highlight w:val="none"/>
          <w:shd w:val="clear" w:color="auto" w:fill="FFFFFF"/>
        </w:rPr>
        <w:t>：</w:t>
      </w:r>
    </w:p>
    <w:p w14:paraId="0E7358F7">
      <w:pPr>
        <w:pStyle w:val="30"/>
        <w:snapToGrid w:val="0"/>
        <w:spacing w:line="360" w:lineRule="auto"/>
        <w:ind w:right="42" w:rightChars="20"/>
        <w:rPr>
          <w:rFonts w:asciiTheme="minorEastAsia" w:hAnsiTheme="minorEastAsia" w:eastAsiaTheme="minorEastAsia"/>
          <w:color w:val="auto"/>
          <w:szCs w:val="21"/>
          <w:highlight w:val="none"/>
          <w:shd w:val="clear" w:color="auto" w:fill="FFFFFF"/>
        </w:rPr>
      </w:pPr>
    </w:p>
    <w:p w14:paraId="134AEB56">
      <w:pPr>
        <w:pStyle w:val="30"/>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日期：</w:t>
      </w:r>
    </w:p>
    <w:p w14:paraId="7E6FBFCA">
      <w:pPr>
        <w:pStyle w:val="99"/>
        <w:rPr>
          <w:color w:val="auto"/>
          <w:highlight w:val="none"/>
        </w:rPr>
      </w:pPr>
    </w:p>
    <w:sectPr>
      <w:pgSz w:w="11907" w:h="16839"/>
      <w:pgMar w:top="1440" w:right="1842"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Noto Sans Mono">
    <w:altName w:val="AmdtSymbols"/>
    <w:panose1 w:val="020B0509040504020204"/>
    <w:charset w:val="00"/>
    <w:family w:val="auto"/>
    <w:pitch w:val="default"/>
    <w:sig w:usb0="00000000" w:usb1="00000000" w:usb2="08000039" w:usb3="00100000" w:csb0="0000019F" w:csb1="DFD7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DejaVu Sans">
    <w:altName w:val="Segoe Print"/>
    <w:panose1 w:val="020B0603030804020204"/>
    <w:charset w:val="00"/>
    <w:family w:val="auto"/>
    <w:pitch w:val="default"/>
    <w:sig w:usb0="00000000" w:usb1="00000000" w:usb2="0A246029" w:usb3="0400200C" w:csb0="600001FF" w:csb1="DFFF0000"/>
  </w:font>
  <w:font w:name="MingLiU">
    <w:panose1 w:val="02020509000000000000"/>
    <w:charset w:val="88"/>
    <w:family w:val="moder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方正小标宋简体">
    <w:altName w:val="Arial Unicode MS"/>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AmdtSymbols">
    <w:panose1 w:val="02000500000000020004"/>
    <w:charset w:val="00"/>
    <w:family w:val="auto"/>
    <w:pitch w:val="default"/>
    <w:sig w:usb0="00000001"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66517"/>
    </w:sdtPr>
    <w:sdtContent>
      <w:p w14:paraId="0238AB27">
        <w:pPr>
          <w:pStyle w:val="36"/>
          <w:jc w:val="center"/>
        </w:pPr>
        <w:r>
          <w:fldChar w:fldCharType="begin"/>
        </w:r>
        <w:r>
          <w:instrText xml:space="preserve"> PAGE   \* MERGEFORMAT </w:instrText>
        </w:r>
        <w:r>
          <w:fldChar w:fldCharType="separate"/>
        </w:r>
        <w:r>
          <w:rPr>
            <w:lang w:val="zh-CN"/>
          </w:rPr>
          <w:t>12</w:t>
        </w:r>
        <w:r>
          <w:rPr>
            <w:lang w:val="zh-CN"/>
          </w:rPr>
          <w:fldChar w:fldCharType="end"/>
        </w:r>
      </w:p>
    </w:sdtContent>
  </w:sdt>
  <w:p w14:paraId="24C16648">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4B98F">
    <w:pPr>
      <w:pStyle w:val="37"/>
      <w:jc w:val="right"/>
      <w:rPr>
        <w:rFonts w:ascii="微软雅黑" w:hAnsi="微软雅黑"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1F112"/>
    <w:multiLevelType w:val="singleLevel"/>
    <w:tmpl w:val="9C71F112"/>
    <w:lvl w:ilvl="0" w:tentative="0">
      <w:start w:val="1"/>
      <w:numFmt w:val="chineseCounting"/>
      <w:suff w:val="nothing"/>
      <w:lvlText w:val="%1、"/>
      <w:lvlJc w:val="left"/>
      <w:rPr>
        <w:rFonts w:hint="eastAsia"/>
      </w:rPr>
    </w:lvl>
  </w:abstractNum>
  <w:abstractNum w:abstractNumId="1">
    <w:nsid w:val="E4BA4627"/>
    <w:multiLevelType w:val="singleLevel"/>
    <w:tmpl w:val="E4BA4627"/>
    <w:lvl w:ilvl="0" w:tentative="0">
      <w:start w:val="2"/>
      <w:numFmt w:val="chineseCounting"/>
      <w:suff w:val="nothing"/>
      <w:lvlText w:val="%1、"/>
      <w:lvlJc w:val="left"/>
      <w:rPr>
        <w:rFonts w:hint="eastAsia"/>
      </w:rPr>
    </w:lvl>
  </w:abstractNum>
  <w:abstractNum w:abstractNumId="2">
    <w:nsid w:val="319DA420"/>
    <w:multiLevelType w:val="singleLevel"/>
    <w:tmpl w:val="319DA420"/>
    <w:lvl w:ilvl="0" w:tentative="0">
      <w:start w:val="2"/>
      <w:numFmt w:val="chineseCounting"/>
      <w:suff w:val="space"/>
      <w:lvlText w:val="第%1章"/>
      <w:lvlJc w:val="left"/>
      <w:rPr>
        <w:rFonts w:hint="eastAsia"/>
      </w:rPr>
    </w:lvl>
  </w:abstractNum>
  <w:abstractNum w:abstractNumId="3">
    <w:nsid w:val="4036637C"/>
    <w:multiLevelType w:val="singleLevel"/>
    <w:tmpl w:val="4036637C"/>
    <w:lvl w:ilvl="0" w:tentative="0">
      <w:start w:val="2"/>
      <w:numFmt w:val="chineseCounting"/>
      <w:suff w:val="nothing"/>
      <w:lvlText w:val="（%1）"/>
      <w:lvlJc w:val="left"/>
      <w:rPr>
        <w:rFonts w:hint="eastAsia"/>
      </w:rPr>
    </w:lvl>
  </w:abstractNum>
  <w:abstractNum w:abstractNumId="4">
    <w:nsid w:val="48ECD156"/>
    <w:multiLevelType w:val="singleLevel"/>
    <w:tmpl w:val="48ECD156"/>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1E3405"/>
    <w:multiLevelType w:val="multilevel"/>
    <w:tmpl w:val="551E3405"/>
    <w:lvl w:ilvl="0" w:tentative="0">
      <w:start w:val="1"/>
      <w:numFmt w:val="decimal"/>
      <w:lvlText w:val="%1、"/>
      <w:lvlJc w:val="left"/>
      <w:pPr>
        <w:ind w:left="1198"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4"/>
  </w:num>
  <w:num w:numId="2">
    <w:abstractNumId w:val="0"/>
  </w:num>
  <w:num w:numId="3">
    <w:abstractNumId w:val="2"/>
  </w:num>
  <w:num w:numId="4">
    <w:abstractNumId w:val="1"/>
  </w:num>
  <w:num w:numId="5">
    <w:abstractNumId w:val="6"/>
  </w:num>
  <w:num w:numId="6">
    <w:abstractNumId w:val="3"/>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NjEwMTJlYmM2ODk2NDkwNDFjNjAzMTYxODUxOGMifQ=="/>
  </w:docVars>
  <w:rsids>
    <w:rsidRoot w:val="00C67595"/>
    <w:rsid w:val="00000868"/>
    <w:rsid w:val="000012E1"/>
    <w:rsid w:val="00002FF3"/>
    <w:rsid w:val="00003C3C"/>
    <w:rsid w:val="000044F4"/>
    <w:rsid w:val="000050D6"/>
    <w:rsid w:val="0000517F"/>
    <w:rsid w:val="00005B6A"/>
    <w:rsid w:val="0000613F"/>
    <w:rsid w:val="00006676"/>
    <w:rsid w:val="00007A59"/>
    <w:rsid w:val="000101D3"/>
    <w:rsid w:val="00010B34"/>
    <w:rsid w:val="00010C43"/>
    <w:rsid w:val="000112E4"/>
    <w:rsid w:val="00011499"/>
    <w:rsid w:val="00011EDD"/>
    <w:rsid w:val="00012415"/>
    <w:rsid w:val="00014435"/>
    <w:rsid w:val="00015B12"/>
    <w:rsid w:val="00015C8C"/>
    <w:rsid w:val="00015EBA"/>
    <w:rsid w:val="00016F84"/>
    <w:rsid w:val="00017123"/>
    <w:rsid w:val="0001712E"/>
    <w:rsid w:val="0001791B"/>
    <w:rsid w:val="00020A3B"/>
    <w:rsid w:val="00022181"/>
    <w:rsid w:val="000234B2"/>
    <w:rsid w:val="00023EA6"/>
    <w:rsid w:val="00023F05"/>
    <w:rsid w:val="000249F2"/>
    <w:rsid w:val="00024B81"/>
    <w:rsid w:val="00026C81"/>
    <w:rsid w:val="0003103E"/>
    <w:rsid w:val="0003146C"/>
    <w:rsid w:val="00031953"/>
    <w:rsid w:val="0003293E"/>
    <w:rsid w:val="00034BAB"/>
    <w:rsid w:val="00034D4D"/>
    <w:rsid w:val="00035725"/>
    <w:rsid w:val="000370C9"/>
    <w:rsid w:val="0003713E"/>
    <w:rsid w:val="00037CD8"/>
    <w:rsid w:val="0004008C"/>
    <w:rsid w:val="000401D5"/>
    <w:rsid w:val="00041805"/>
    <w:rsid w:val="000420D3"/>
    <w:rsid w:val="00042977"/>
    <w:rsid w:val="00042AFD"/>
    <w:rsid w:val="00043120"/>
    <w:rsid w:val="00043142"/>
    <w:rsid w:val="000441CD"/>
    <w:rsid w:val="000462B4"/>
    <w:rsid w:val="0004692F"/>
    <w:rsid w:val="00046CEF"/>
    <w:rsid w:val="00047395"/>
    <w:rsid w:val="00047D1E"/>
    <w:rsid w:val="00047EDB"/>
    <w:rsid w:val="0005070C"/>
    <w:rsid w:val="000510C6"/>
    <w:rsid w:val="000518B8"/>
    <w:rsid w:val="00051FC1"/>
    <w:rsid w:val="00052067"/>
    <w:rsid w:val="00052F01"/>
    <w:rsid w:val="00052FA7"/>
    <w:rsid w:val="00055784"/>
    <w:rsid w:val="00055D20"/>
    <w:rsid w:val="00056CBF"/>
    <w:rsid w:val="000573EF"/>
    <w:rsid w:val="00057835"/>
    <w:rsid w:val="00060047"/>
    <w:rsid w:val="000623FD"/>
    <w:rsid w:val="00062990"/>
    <w:rsid w:val="00063364"/>
    <w:rsid w:val="00064222"/>
    <w:rsid w:val="00064829"/>
    <w:rsid w:val="00064E74"/>
    <w:rsid w:val="00065016"/>
    <w:rsid w:val="000651F4"/>
    <w:rsid w:val="00065E41"/>
    <w:rsid w:val="000662AD"/>
    <w:rsid w:val="00066842"/>
    <w:rsid w:val="00066EC4"/>
    <w:rsid w:val="00070876"/>
    <w:rsid w:val="00070891"/>
    <w:rsid w:val="000709B0"/>
    <w:rsid w:val="000718A7"/>
    <w:rsid w:val="00072638"/>
    <w:rsid w:val="000736C9"/>
    <w:rsid w:val="00073C4C"/>
    <w:rsid w:val="00074E55"/>
    <w:rsid w:val="00074FC4"/>
    <w:rsid w:val="00075771"/>
    <w:rsid w:val="00076500"/>
    <w:rsid w:val="00076C16"/>
    <w:rsid w:val="0007718F"/>
    <w:rsid w:val="0007759B"/>
    <w:rsid w:val="00080288"/>
    <w:rsid w:val="000806AE"/>
    <w:rsid w:val="0008113B"/>
    <w:rsid w:val="00081912"/>
    <w:rsid w:val="00083567"/>
    <w:rsid w:val="000845F6"/>
    <w:rsid w:val="00085D08"/>
    <w:rsid w:val="00086159"/>
    <w:rsid w:val="0008643D"/>
    <w:rsid w:val="000871CB"/>
    <w:rsid w:val="00087869"/>
    <w:rsid w:val="00087F2C"/>
    <w:rsid w:val="000901E0"/>
    <w:rsid w:val="00091F55"/>
    <w:rsid w:val="00092DE6"/>
    <w:rsid w:val="000932B2"/>
    <w:rsid w:val="00093B7D"/>
    <w:rsid w:val="00093EB5"/>
    <w:rsid w:val="000941A5"/>
    <w:rsid w:val="00095712"/>
    <w:rsid w:val="00096C1B"/>
    <w:rsid w:val="0009734B"/>
    <w:rsid w:val="000A0027"/>
    <w:rsid w:val="000A137F"/>
    <w:rsid w:val="000A24D3"/>
    <w:rsid w:val="000A29D9"/>
    <w:rsid w:val="000A4FF5"/>
    <w:rsid w:val="000A62A6"/>
    <w:rsid w:val="000A6697"/>
    <w:rsid w:val="000A69C1"/>
    <w:rsid w:val="000B09AE"/>
    <w:rsid w:val="000B1A3D"/>
    <w:rsid w:val="000B2508"/>
    <w:rsid w:val="000B2E80"/>
    <w:rsid w:val="000B39C4"/>
    <w:rsid w:val="000B4EDA"/>
    <w:rsid w:val="000B5BDD"/>
    <w:rsid w:val="000B60F2"/>
    <w:rsid w:val="000C0619"/>
    <w:rsid w:val="000C1788"/>
    <w:rsid w:val="000C1952"/>
    <w:rsid w:val="000C2260"/>
    <w:rsid w:val="000C2450"/>
    <w:rsid w:val="000C34D1"/>
    <w:rsid w:val="000C3A73"/>
    <w:rsid w:val="000C3CB6"/>
    <w:rsid w:val="000C400E"/>
    <w:rsid w:val="000C4636"/>
    <w:rsid w:val="000C4E12"/>
    <w:rsid w:val="000C5121"/>
    <w:rsid w:val="000C51F1"/>
    <w:rsid w:val="000C52F4"/>
    <w:rsid w:val="000C63D2"/>
    <w:rsid w:val="000C743A"/>
    <w:rsid w:val="000D00D5"/>
    <w:rsid w:val="000D0A89"/>
    <w:rsid w:val="000D0CCE"/>
    <w:rsid w:val="000D1BEF"/>
    <w:rsid w:val="000D270C"/>
    <w:rsid w:val="000D2959"/>
    <w:rsid w:val="000D3375"/>
    <w:rsid w:val="000D3BD8"/>
    <w:rsid w:val="000D3CA8"/>
    <w:rsid w:val="000D3DBC"/>
    <w:rsid w:val="000D3E83"/>
    <w:rsid w:val="000D4E06"/>
    <w:rsid w:val="000D51BB"/>
    <w:rsid w:val="000D5879"/>
    <w:rsid w:val="000D73FD"/>
    <w:rsid w:val="000E0758"/>
    <w:rsid w:val="000E0C03"/>
    <w:rsid w:val="000E1631"/>
    <w:rsid w:val="000E1EB6"/>
    <w:rsid w:val="000E2A99"/>
    <w:rsid w:val="000E4833"/>
    <w:rsid w:val="000E5B07"/>
    <w:rsid w:val="000E5B86"/>
    <w:rsid w:val="000E5BED"/>
    <w:rsid w:val="000E63B3"/>
    <w:rsid w:val="000F00C6"/>
    <w:rsid w:val="000F03BE"/>
    <w:rsid w:val="000F1174"/>
    <w:rsid w:val="000F200A"/>
    <w:rsid w:val="000F2A44"/>
    <w:rsid w:val="000F2E02"/>
    <w:rsid w:val="000F37FB"/>
    <w:rsid w:val="000F41DC"/>
    <w:rsid w:val="000F68B4"/>
    <w:rsid w:val="000F79F2"/>
    <w:rsid w:val="000F7AE1"/>
    <w:rsid w:val="000F7BE1"/>
    <w:rsid w:val="001001E6"/>
    <w:rsid w:val="00100BEF"/>
    <w:rsid w:val="00102032"/>
    <w:rsid w:val="00102946"/>
    <w:rsid w:val="001029B5"/>
    <w:rsid w:val="00104A23"/>
    <w:rsid w:val="00104E7B"/>
    <w:rsid w:val="001056B0"/>
    <w:rsid w:val="00106261"/>
    <w:rsid w:val="00106CA0"/>
    <w:rsid w:val="00111AC6"/>
    <w:rsid w:val="00111C03"/>
    <w:rsid w:val="00112C9C"/>
    <w:rsid w:val="001136F2"/>
    <w:rsid w:val="0011453D"/>
    <w:rsid w:val="001157FF"/>
    <w:rsid w:val="00115C70"/>
    <w:rsid w:val="00117042"/>
    <w:rsid w:val="0012000F"/>
    <w:rsid w:val="001204E0"/>
    <w:rsid w:val="00122DA4"/>
    <w:rsid w:val="001241CC"/>
    <w:rsid w:val="0012571C"/>
    <w:rsid w:val="00131164"/>
    <w:rsid w:val="0013190C"/>
    <w:rsid w:val="00131EB3"/>
    <w:rsid w:val="0013300D"/>
    <w:rsid w:val="001331D8"/>
    <w:rsid w:val="00136E52"/>
    <w:rsid w:val="001411A8"/>
    <w:rsid w:val="0014296B"/>
    <w:rsid w:val="0014548E"/>
    <w:rsid w:val="00145D66"/>
    <w:rsid w:val="00150C59"/>
    <w:rsid w:val="001512EB"/>
    <w:rsid w:val="00152126"/>
    <w:rsid w:val="00152CF7"/>
    <w:rsid w:val="001545E7"/>
    <w:rsid w:val="00155885"/>
    <w:rsid w:val="0015627F"/>
    <w:rsid w:val="0015639E"/>
    <w:rsid w:val="00157136"/>
    <w:rsid w:val="001608DD"/>
    <w:rsid w:val="00160CB6"/>
    <w:rsid w:val="00162430"/>
    <w:rsid w:val="00162AB9"/>
    <w:rsid w:val="001663C1"/>
    <w:rsid w:val="001670E7"/>
    <w:rsid w:val="00171130"/>
    <w:rsid w:val="001733E7"/>
    <w:rsid w:val="001737B3"/>
    <w:rsid w:val="00174657"/>
    <w:rsid w:val="001749E9"/>
    <w:rsid w:val="001749EA"/>
    <w:rsid w:val="00175ACF"/>
    <w:rsid w:val="00175FF0"/>
    <w:rsid w:val="00180135"/>
    <w:rsid w:val="001807AC"/>
    <w:rsid w:val="0018080D"/>
    <w:rsid w:val="00180B6C"/>
    <w:rsid w:val="00183A3B"/>
    <w:rsid w:val="00183E56"/>
    <w:rsid w:val="00184A25"/>
    <w:rsid w:val="00185BE6"/>
    <w:rsid w:val="00186C73"/>
    <w:rsid w:val="00190584"/>
    <w:rsid w:val="00190A51"/>
    <w:rsid w:val="00191C4B"/>
    <w:rsid w:val="001930F4"/>
    <w:rsid w:val="00193B68"/>
    <w:rsid w:val="001951A6"/>
    <w:rsid w:val="001952FF"/>
    <w:rsid w:val="001961BA"/>
    <w:rsid w:val="001963C7"/>
    <w:rsid w:val="00196943"/>
    <w:rsid w:val="00196E8A"/>
    <w:rsid w:val="001A1210"/>
    <w:rsid w:val="001A3799"/>
    <w:rsid w:val="001A385B"/>
    <w:rsid w:val="001A3D66"/>
    <w:rsid w:val="001A45C5"/>
    <w:rsid w:val="001A4752"/>
    <w:rsid w:val="001A5907"/>
    <w:rsid w:val="001A6FF0"/>
    <w:rsid w:val="001A7535"/>
    <w:rsid w:val="001A78E7"/>
    <w:rsid w:val="001B024B"/>
    <w:rsid w:val="001B0ECC"/>
    <w:rsid w:val="001B1149"/>
    <w:rsid w:val="001B31E0"/>
    <w:rsid w:val="001B333B"/>
    <w:rsid w:val="001B444A"/>
    <w:rsid w:val="001B4756"/>
    <w:rsid w:val="001B4BD3"/>
    <w:rsid w:val="001B52C5"/>
    <w:rsid w:val="001B598A"/>
    <w:rsid w:val="001B6161"/>
    <w:rsid w:val="001B6DF8"/>
    <w:rsid w:val="001B7633"/>
    <w:rsid w:val="001B7C02"/>
    <w:rsid w:val="001C01C4"/>
    <w:rsid w:val="001C1990"/>
    <w:rsid w:val="001C2AE0"/>
    <w:rsid w:val="001C2C06"/>
    <w:rsid w:val="001C2E1A"/>
    <w:rsid w:val="001C2F33"/>
    <w:rsid w:val="001C531A"/>
    <w:rsid w:val="001C585A"/>
    <w:rsid w:val="001C5F4C"/>
    <w:rsid w:val="001C70F2"/>
    <w:rsid w:val="001D0E96"/>
    <w:rsid w:val="001D15FA"/>
    <w:rsid w:val="001D2391"/>
    <w:rsid w:val="001D3D2D"/>
    <w:rsid w:val="001D6C3A"/>
    <w:rsid w:val="001D7FC4"/>
    <w:rsid w:val="001E0DAD"/>
    <w:rsid w:val="001E0ED4"/>
    <w:rsid w:val="001E14EA"/>
    <w:rsid w:val="001E23F2"/>
    <w:rsid w:val="001E2F45"/>
    <w:rsid w:val="001E31F8"/>
    <w:rsid w:val="001E3427"/>
    <w:rsid w:val="001E3FCE"/>
    <w:rsid w:val="001E4776"/>
    <w:rsid w:val="001E4978"/>
    <w:rsid w:val="001E5308"/>
    <w:rsid w:val="001E550F"/>
    <w:rsid w:val="001E7513"/>
    <w:rsid w:val="001F020B"/>
    <w:rsid w:val="001F02A5"/>
    <w:rsid w:val="001F2692"/>
    <w:rsid w:val="001F305F"/>
    <w:rsid w:val="001F32E4"/>
    <w:rsid w:val="001F3957"/>
    <w:rsid w:val="001F45BF"/>
    <w:rsid w:val="001F6A15"/>
    <w:rsid w:val="001F7159"/>
    <w:rsid w:val="001F7336"/>
    <w:rsid w:val="001F7D98"/>
    <w:rsid w:val="002001BC"/>
    <w:rsid w:val="002004C0"/>
    <w:rsid w:val="00200E8E"/>
    <w:rsid w:val="002012BC"/>
    <w:rsid w:val="00201E99"/>
    <w:rsid w:val="002033CF"/>
    <w:rsid w:val="00203654"/>
    <w:rsid w:val="00203D55"/>
    <w:rsid w:val="00204712"/>
    <w:rsid w:val="00204AFB"/>
    <w:rsid w:val="00205048"/>
    <w:rsid w:val="0020630C"/>
    <w:rsid w:val="002069E8"/>
    <w:rsid w:val="00206B06"/>
    <w:rsid w:val="00206FEC"/>
    <w:rsid w:val="00210A6D"/>
    <w:rsid w:val="002115EE"/>
    <w:rsid w:val="00211B35"/>
    <w:rsid w:val="00212194"/>
    <w:rsid w:val="002122A4"/>
    <w:rsid w:val="00214014"/>
    <w:rsid w:val="0021426B"/>
    <w:rsid w:val="00214F3B"/>
    <w:rsid w:val="00215167"/>
    <w:rsid w:val="00215261"/>
    <w:rsid w:val="0021582A"/>
    <w:rsid w:val="00216455"/>
    <w:rsid w:val="00216784"/>
    <w:rsid w:val="00216AF8"/>
    <w:rsid w:val="002172A3"/>
    <w:rsid w:val="002202C1"/>
    <w:rsid w:val="00221406"/>
    <w:rsid w:val="002214C3"/>
    <w:rsid w:val="00221609"/>
    <w:rsid w:val="00221DE0"/>
    <w:rsid w:val="00222725"/>
    <w:rsid w:val="0022501A"/>
    <w:rsid w:val="00225680"/>
    <w:rsid w:val="00225B70"/>
    <w:rsid w:val="0022638E"/>
    <w:rsid w:val="002266AF"/>
    <w:rsid w:val="00226F31"/>
    <w:rsid w:val="00227079"/>
    <w:rsid w:val="002272CC"/>
    <w:rsid w:val="0022764B"/>
    <w:rsid w:val="00230B44"/>
    <w:rsid w:val="002310E4"/>
    <w:rsid w:val="00231165"/>
    <w:rsid w:val="002321B2"/>
    <w:rsid w:val="00232532"/>
    <w:rsid w:val="002331D8"/>
    <w:rsid w:val="0023367C"/>
    <w:rsid w:val="0023556C"/>
    <w:rsid w:val="0023594C"/>
    <w:rsid w:val="0023766E"/>
    <w:rsid w:val="00241365"/>
    <w:rsid w:val="002450E8"/>
    <w:rsid w:val="00245739"/>
    <w:rsid w:val="0024712C"/>
    <w:rsid w:val="0024757D"/>
    <w:rsid w:val="00250561"/>
    <w:rsid w:val="0025074F"/>
    <w:rsid w:val="00250FF3"/>
    <w:rsid w:val="00251D1B"/>
    <w:rsid w:val="00251DDD"/>
    <w:rsid w:val="0025315C"/>
    <w:rsid w:val="00254D47"/>
    <w:rsid w:val="00255D0F"/>
    <w:rsid w:val="0025630A"/>
    <w:rsid w:val="0025717D"/>
    <w:rsid w:val="00257251"/>
    <w:rsid w:val="002576F9"/>
    <w:rsid w:val="00260090"/>
    <w:rsid w:val="00260141"/>
    <w:rsid w:val="00261255"/>
    <w:rsid w:val="00261B17"/>
    <w:rsid w:val="0026292E"/>
    <w:rsid w:val="00263428"/>
    <w:rsid w:val="00264367"/>
    <w:rsid w:val="00266055"/>
    <w:rsid w:val="0026746C"/>
    <w:rsid w:val="00270335"/>
    <w:rsid w:val="002705BE"/>
    <w:rsid w:val="00270CF7"/>
    <w:rsid w:val="00270F20"/>
    <w:rsid w:val="00272EC3"/>
    <w:rsid w:val="00273015"/>
    <w:rsid w:val="0027308B"/>
    <w:rsid w:val="0027337F"/>
    <w:rsid w:val="00274258"/>
    <w:rsid w:val="0027449C"/>
    <w:rsid w:val="00274F22"/>
    <w:rsid w:val="002754FB"/>
    <w:rsid w:val="00275E3B"/>
    <w:rsid w:val="00276170"/>
    <w:rsid w:val="00276513"/>
    <w:rsid w:val="002800F9"/>
    <w:rsid w:val="002801AF"/>
    <w:rsid w:val="00283B35"/>
    <w:rsid w:val="0028553D"/>
    <w:rsid w:val="0028590F"/>
    <w:rsid w:val="0028632D"/>
    <w:rsid w:val="002864B8"/>
    <w:rsid w:val="00286F4E"/>
    <w:rsid w:val="0029034A"/>
    <w:rsid w:val="00290975"/>
    <w:rsid w:val="0029223C"/>
    <w:rsid w:val="00293D33"/>
    <w:rsid w:val="0029485F"/>
    <w:rsid w:val="00294FC5"/>
    <w:rsid w:val="0029609E"/>
    <w:rsid w:val="00297229"/>
    <w:rsid w:val="002A0E86"/>
    <w:rsid w:val="002A3638"/>
    <w:rsid w:val="002A4614"/>
    <w:rsid w:val="002A5215"/>
    <w:rsid w:val="002A62CD"/>
    <w:rsid w:val="002A6348"/>
    <w:rsid w:val="002A673A"/>
    <w:rsid w:val="002A67D8"/>
    <w:rsid w:val="002B09B7"/>
    <w:rsid w:val="002B0D8A"/>
    <w:rsid w:val="002B4339"/>
    <w:rsid w:val="002B48C1"/>
    <w:rsid w:val="002B52C7"/>
    <w:rsid w:val="002B5598"/>
    <w:rsid w:val="002B5C0A"/>
    <w:rsid w:val="002B73C5"/>
    <w:rsid w:val="002B7CC9"/>
    <w:rsid w:val="002C2BFF"/>
    <w:rsid w:val="002C2C79"/>
    <w:rsid w:val="002C2D68"/>
    <w:rsid w:val="002C30B4"/>
    <w:rsid w:val="002C3195"/>
    <w:rsid w:val="002C3490"/>
    <w:rsid w:val="002C4048"/>
    <w:rsid w:val="002C4195"/>
    <w:rsid w:val="002C49C2"/>
    <w:rsid w:val="002C4CA1"/>
    <w:rsid w:val="002C518C"/>
    <w:rsid w:val="002C5920"/>
    <w:rsid w:val="002C5F4F"/>
    <w:rsid w:val="002C60A9"/>
    <w:rsid w:val="002C695B"/>
    <w:rsid w:val="002C7739"/>
    <w:rsid w:val="002C7D6C"/>
    <w:rsid w:val="002D0334"/>
    <w:rsid w:val="002D1096"/>
    <w:rsid w:val="002D1656"/>
    <w:rsid w:val="002D30D0"/>
    <w:rsid w:val="002D3A29"/>
    <w:rsid w:val="002D3DE7"/>
    <w:rsid w:val="002D40B4"/>
    <w:rsid w:val="002D4599"/>
    <w:rsid w:val="002D501A"/>
    <w:rsid w:val="002D6047"/>
    <w:rsid w:val="002D6ED5"/>
    <w:rsid w:val="002D7D1D"/>
    <w:rsid w:val="002D7E86"/>
    <w:rsid w:val="002E0380"/>
    <w:rsid w:val="002E3DB0"/>
    <w:rsid w:val="002E4582"/>
    <w:rsid w:val="002E608E"/>
    <w:rsid w:val="002E6D16"/>
    <w:rsid w:val="002E6D2B"/>
    <w:rsid w:val="002E78E6"/>
    <w:rsid w:val="002E7AFC"/>
    <w:rsid w:val="002E7CFC"/>
    <w:rsid w:val="002E7E1D"/>
    <w:rsid w:val="002F0064"/>
    <w:rsid w:val="002F0B10"/>
    <w:rsid w:val="002F176C"/>
    <w:rsid w:val="002F22D6"/>
    <w:rsid w:val="002F46AD"/>
    <w:rsid w:val="002F4F9C"/>
    <w:rsid w:val="002F52A4"/>
    <w:rsid w:val="002F6AA7"/>
    <w:rsid w:val="002F6D21"/>
    <w:rsid w:val="002F6FCC"/>
    <w:rsid w:val="003034C4"/>
    <w:rsid w:val="00303B30"/>
    <w:rsid w:val="00303CB3"/>
    <w:rsid w:val="003070E6"/>
    <w:rsid w:val="00312FB3"/>
    <w:rsid w:val="00313617"/>
    <w:rsid w:val="003146C2"/>
    <w:rsid w:val="00314A13"/>
    <w:rsid w:val="00314F8A"/>
    <w:rsid w:val="00315A4D"/>
    <w:rsid w:val="003163D4"/>
    <w:rsid w:val="00316CBA"/>
    <w:rsid w:val="00317ECF"/>
    <w:rsid w:val="00320024"/>
    <w:rsid w:val="003235A5"/>
    <w:rsid w:val="00323E19"/>
    <w:rsid w:val="0032517A"/>
    <w:rsid w:val="00326214"/>
    <w:rsid w:val="003262E3"/>
    <w:rsid w:val="0032659B"/>
    <w:rsid w:val="00326C39"/>
    <w:rsid w:val="00326F34"/>
    <w:rsid w:val="00327B44"/>
    <w:rsid w:val="00330637"/>
    <w:rsid w:val="00330B38"/>
    <w:rsid w:val="00331439"/>
    <w:rsid w:val="003314C8"/>
    <w:rsid w:val="0033382F"/>
    <w:rsid w:val="003339BF"/>
    <w:rsid w:val="0033557B"/>
    <w:rsid w:val="00337ABB"/>
    <w:rsid w:val="00340753"/>
    <w:rsid w:val="00340DCE"/>
    <w:rsid w:val="00340EF0"/>
    <w:rsid w:val="0034120C"/>
    <w:rsid w:val="00341BA6"/>
    <w:rsid w:val="0034299D"/>
    <w:rsid w:val="003446A7"/>
    <w:rsid w:val="0034565D"/>
    <w:rsid w:val="00345E93"/>
    <w:rsid w:val="003462B2"/>
    <w:rsid w:val="003471ED"/>
    <w:rsid w:val="00347CE9"/>
    <w:rsid w:val="00350320"/>
    <w:rsid w:val="00351958"/>
    <w:rsid w:val="0035270B"/>
    <w:rsid w:val="0035270E"/>
    <w:rsid w:val="00353D48"/>
    <w:rsid w:val="00353D4B"/>
    <w:rsid w:val="00357213"/>
    <w:rsid w:val="00360259"/>
    <w:rsid w:val="00360275"/>
    <w:rsid w:val="00360278"/>
    <w:rsid w:val="00361B16"/>
    <w:rsid w:val="00361F22"/>
    <w:rsid w:val="00363E2C"/>
    <w:rsid w:val="00364900"/>
    <w:rsid w:val="00367043"/>
    <w:rsid w:val="00367868"/>
    <w:rsid w:val="00367E68"/>
    <w:rsid w:val="003702DB"/>
    <w:rsid w:val="003726C9"/>
    <w:rsid w:val="00372EFB"/>
    <w:rsid w:val="00374661"/>
    <w:rsid w:val="00374AFA"/>
    <w:rsid w:val="00375F2E"/>
    <w:rsid w:val="0037623E"/>
    <w:rsid w:val="0037688E"/>
    <w:rsid w:val="00376CC4"/>
    <w:rsid w:val="00377A30"/>
    <w:rsid w:val="00377D87"/>
    <w:rsid w:val="00380F76"/>
    <w:rsid w:val="00381553"/>
    <w:rsid w:val="00381601"/>
    <w:rsid w:val="00381DC5"/>
    <w:rsid w:val="003827C0"/>
    <w:rsid w:val="00382D2E"/>
    <w:rsid w:val="003831B5"/>
    <w:rsid w:val="003833E2"/>
    <w:rsid w:val="003857B1"/>
    <w:rsid w:val="0038631D"/>
    <w:rsid w:val="00387D85"/>
    <w:rsid w:val="00391146"/>
    <w:rsid w:val="003913CC"/>
    <w:rsid w:val="0039180D"/>
    <w:rsid w:val="00392C38"/>
    <w:rsid w:val="00393B51"/>
    <w:rsid w:val="003940A9"/>
    <w:rsid w:val="00394485"/>
    <w:rsid w:val="003945FE"/>
    <w:rsid w:val="00394AE3"/>
    <w:rsid w:val="00395629"/>
    <w:rsid w:val="00396529"/>
    <w:rsid w:val="00397033"/>
    <w:rsid w:val="00397632"/>
    <w:rsid w:val="00397A22"/>
    <w:rsid w:val="003A08B8"/>
    <w:rsid w:val="003A0ACF"/>
    <w:rsid w:val="003A35DE"/>
    <w:rsid w:val="003A368B"/>
    <w:rsid w:val="003A3F1A"/>
    <w:rsid w:val="003A48E3"/>
    <w:rsid w:val="003A55E2"/>
    <w:rsid w:val="003A65FE"/>
    <w:rsid w:val="003A6EB4"/>
    <w:rsid w:val="003A7F12"/>
    <w:rsid w:val="003B2868"/>
    <w:rsid w:val="003B296C"/>
    <w:rsid w:val="003B6222"/>
    <w:rsid w:val="003C1488"/>
    <w:rsid w:val="003C17B9"/>
    <w:rsid w:val="003C2847"/>
    <w:rsid w:val="003C4C6A"/>
    <w:rsid w:val="003C542B"/>
    <w:rsid w:val="003C5CA6"/>
    <w:rsid w:val="003C6088"/>
    <w:rsid w:val="003C6925"/>
    <w:rsid w:val="003C6A7D"/>
    <w:rsid w:val="003C704B"/>
    <w:rsid w:val="003C7C88"/>
    <w:rsid w:val="003D1D29"/>
    <w:rsid w:val="003D1E74"/>
    <w:rsid w:val="003D38BD"/>
    <w:rsid w:val="003D3F8F"/>
    <w:rsid w:val="003D44ED"/>
    <w:rsid w:val="003D5BE8"/>
    <w:rsid w:val="003D6D0F"/>
    <w:rsid w:val="003D7B96"/>
    <w:rsid w:val="003E25C9"/>
    <w:rsid w:val="003E3291"/>
    <w:rsid w:val="003E4A05"/>
    <w:rsid w:val="003E4F44"/>
    <w:rsid w:val="003E62A6"/>
    <w:rsid w:val="003E6BD1"/>
    <w:rsid w:val="003E7580"/>
    <w:rsid w:val="003F00F1"/>
    <w:rsid w:val="003F08DD"/>
    <w:rsid w:val="003F095C"/>
    <w:rsid w:val="003F32EA"/>
    <w:rsid w:val="003F3578"/>
    <w:rsid w:val="003F361B"/>
    <w:rsid w:val="003F47CC"/>
    <w:rsid w:val="003F7A70"/>
    <w:rsid w:val="00400A18"/>
    <w:rsid w:val="00401095"/>
    <w:rsid w:val="00401627"/>
    <w:rsid w:val="00401A1A"/>
    <w:rsid w:val="00404445"/>
    <w:rsid w:val="00404C20"/>
    <w:rsid w:val="00405C98"/>
    <w:rsid w:val="00407E08"/>
    <w:rsid w:val="00407ED7"/>
    <w:rsid w:val="00410A0F"/>
    <w:rsid w:val="00410FAF"/>
    <w:rsid w:val="004114AA"/>
    <w:rsid w:val="0041237D"/>
    <w:rsid w:val="0041238F"/>
    <w:rsid w:val="00412CBD"/>
    <w:rsid w:val="00412CD1"/>
    <w:rsid w:val="004139D5"/>
    <w:rsid w:val="00413F4C"/>
    <w:rsid w:val="00415698"/>
    <w:rsid w:val="004156B5"/>
    <w:rsid w:val="00415CD0"/>
    <w:rsid w:val="00417BE9"/>
    <w:rsid w:val="00420F8D"/>
    <w:rsid w:val="004214B5"/>
    <w:rsid w:val="004225B5"/>
    <w:rsid w:val="0042297C"/>
    <w:rsid w:val="00423F7F"/>
    <w:rsid w:val="004250BA"/>
    <w:rsid w:val="004256E8"/>
    <w:rsid w:val="00425B57"/>
    <w:rsid w:val="004267A0"/>
    <w:rsid w:val="00426EEF"/>
    <w:rsid w:val="00430924"/>
    <w:rsid w:val="004317C7"/>
    <w:rsid w:val="00431C25"/>
    <w:rsid w:val="00431CF0"/>
    <w:rsid w:val="0043214E"/>
    <w:rsid w:val="00432879"/>
    <w:rsid w:val="00434060"/>
    <w:rsid w:val="004368EC"/>
    <w:rsid w:val="00437762"/>
    <w:rsid w:val="00440432"/>
    <w:rsid w:val="00440709"/>
    <w:rsid w:val="004409B0"/>
    <w:rsid w:val="004410F2"/>
    <w:rsid w:val="0044176C"/>
    <w:rsid w:val="004426D3"/>
    <w:rsid w:val="004432C4"/>
    <w:rsid w:val="00444BDC"/>
    <w:rsid w:val="00444E81"/>
    <w:rsid w:val="004461E1"/>
    <w:rsid w:val="0044624A"/>
    <w:rsid w:val="004466ED"/>
    <w:rsid w:val="00451372"/>
    <w:rsid w:val="00451D14"/>
    <w:rsid w:val="00453177"/>
    <w:rsid w:val="0045398A"/>
    <w:rsid w:val="004548E3"/>
    <w:rsid w:val="00454A5E"/>
    <w:rsid w:val="00454CAC"/>
    <w:rsid w:val="00454FEF"/>
    <w:rsid w:val="00455983"/>
    <w:rsid w:val="00455FB6"/>
    <w:rsid w:val="00456AB9"/>
    <w:rsid w:val="00456B40"/>
    <w:rsid w:val="00457A35"/>
    <w:rsid w:val="004621BB"/>
    <w:rsid w:val="00463AE4"/>
    <w:rsid w:val="00464141"/>
    <w:rsid w:val="00465CE3"/>
    <w:rsid w:val="00466865"/>
    <w:rsid w:val="0047000B"/>
    <w:rsid w:val="00470411"/>
    <w:rsid w:val="00470989"/>
    <w:rsid w:val="00472A6B"/>
    <w:rsid w:val="004730CD"/>
    <w:rsid w:val="00474463"/>
    <w:rsid w:val="004753EA"/>
    <w:rsid w:val="004756E5"/>
    <w:rsid w:val="00476950"/>
    <w:rsid w:val="00477067"/>
    <w:rsid w:val="0047747E"/>
    <w:rsid w:val="0047764D"/>
    <w:rsid w:val="00480837"/>
    <w:rsid w:val="00482362"/>
    <w:rsid w:val="00482D87"/>
    <w:rsid w:val="004837DF"/>
    <w:rsid w:val="00483A8C"/>
    <w:rsid w:val="00483AF6"/>
    <w:rsid w:val="004845BA"/>
    <w:rsid w:val="00485E36"/>
    <w:rsid w:val="00486130"/>
    <w:rsid w:val="00487EA8"/>
    <w:rsid w:val="00491467"/>
    <w:rsid w:val="00491686"/>
    <w:rsid w:val="00491C3D"/>
    <w:rsid w:val="00491CE5"/>
    <w:rsid w:val="00492C3D"/>
    <w:rsid w:val="004935E2"/>
    <w:rsid w:val="004935F5"/>
    <w:rsid w:val="00493D52"/>
    <w:rsid w:val="00494311"/>
    <w:rsid w:val="00494E09"/>
    <w:rsid w:val="00495508"/>
    <w:rsid w:val="00496347"/>
    <w:rsid w:val="0049757D"/>
    <w:rsid w:val="004A074A"/>
    <w:rsid w:val="004A081C"/>
    <w:rsid w:val="004A193D"/>
    <w:rsid w:val="004A29C6"/>
    <w:rsid w:val="004A339A"/>
    <w:rsid w:val="004A33C5"/>
    <w:rsid w:val="004A3408"/>
    <w:rsid w:val="004A3427"/>
    <w:rsid w:val="004A35EC"/>
    <w:rsid w:val="004A3D67"/>
    <w:rsid w:val="004A5FE4"/>
    <w:rsid w:val="004A63AD"/>
    <w:rsid w:val="004A664D"/>
    <w:rsid w:val="004A6CD4"/>
    <w:rsid w:val="004A763F"/>
    <w:rsid w:val="004A7686"/>
    <w:rsid w:val="004B1146"/>
    <w:rsid w:val="004B1B25"/>
    <w:rsid w:val="004B3872"/>
    <w:rsid w:val="004B5BDD"/>
    <w:rsid w:val="004B64CA"/>
    <w:rsid w:val="004B6D4D"/>
    <w:rsid w:val="004B7634"/>
    <w:rsid w:val="004B76FA"/>
    <w:rsid w:val="004C024F"/>
    <w:rsid w:val="004C08D1"/>
    <w:rsid w:val="004C09A2"/>
    <w:rsid w:val="004C2CFD"/>
    <w:rsid w:val="004C30F4"/>
    <w:rsid w:val="004C34B1"/>
    <w:rsid w:val="004C48CD"/>
    <w:rsid w:val="004C4F9B"/>
    <w:rsid w:val="004C6A4F"/>
    <w:rsid w:val="004D0473"/>
    <w:rsid w:val="004D07AC"/>
    <w:rsid w:val="004D3047"/>
    <w:rsid w:val="004D3105"/>
    <w:rsid w:val="004D39A3"/>
    <w:rsid w:val="004D46B5"/>
    <w:rsid w:val="004D4F09"/>
    <w:rsid w:val="004D5556"/>
    <w:rsid w:val="004D5665"/>
    <w:rsid w:val="004D688A"/>
    <w:rsid w:val="004D7812"/>
    <w:rsid w:val="004D7E27"/>
    <w:rsid w:val="004E0F43"/>
    <w:rsid w:val="004E180E"/>
    <w:rsid w:val="004E3AAC"/>
    <w:rsid w:val="004E3F53"/>
    <w:rsid w:val="004E443A"/>
    <w:rsid w:val="004E49CF"/>
    <w:rsid w:val="004E6C19"/>
    <w:rsid w:val="004E7946"/>
    <w:rsid w:val="004F054E"/>
    <w:rsid w:val="004F14AA"/>
    <w:rsid w:val="004F28FF"/>
    <w:rsid w:val="004F49C9"/>
    <w:rsid w:val="004F5EEB"/>
    <w:rsid w:val="004F6AAA"/>
    <w:rsid w:val="004F773C"/>
    <w:rsid w:val="004F7EA8"/>
    <w:rsid w:val="00500A89"/>
    <w:rsid w:val="00501FF8"/>
    <w:rsid w:val="005032B5"/>
    <w:rsid w:val="00503847"/>
    <w:rsid w:val="00504332"/>
    <w:rsid w:val="00504E3A"/>
    <w:rsid w:val="00505174"/>
    <w:rsid w:val="00507566"/>
    <w:rsid w:val="005101D0"/>
    <w:rsid w:val="00510670"/>
    <w:rsid w:val="0051205B"/>
    <w:rsid w:val="0051264D"/>
    <w:rsid w:val="00512C76"/>
    <w:rsid w:val="00512DE6"/>
    <w:rsid w:val="00513119"/>
    <w:rsid w:val="00513791"/>
    <w:rsid w:val="00513EE1"/>
    <w:rsid w:val="0051455D"/>
    <w:rsid w:val="00515FA8"/>
    <w:rsid w:val="005163A0"/>
    <w:rsid w:val="005167B7"/>
    <w:rsid w:val="005205BE"/>
    <w:rsid w:val="00520BD0"/>
    <w:rsid w:val="00520EB6"/>
    <w:rsid w:val="00521558"/>
    <w:rsid w:val="00521858"/>
    <w:rsid w:val="00521C5E"/>
    <w:rsid w:val="00521FA8"/>
    <w:rsid w:val="00521FF6"/>
    <w:rsid w:val="00523056"/>
    <w:rsid w:val="0052346E"/>
    <w:rsid w:val="005235A4"/>
    <w:rsid w:val="00525BDD"/>
    <w:rsid w:val="0052684A"/>
    <w:rsid w:val="00526FB9"/>
    <w:rsid w:val="00527687"/>
    <w:rsid w:val="005309B4"/>
    <w:rsid w:val="00531101"/>
    <w:rsid w:val="005312BB"/>
    <w:rsid w:val="00532778"/>
    <w:rsid w:val="00532B2C"/>
    <w:rsid w:val="00532F3A"/>
    <w:rsid w:val="00533812"/>
    <w:rsid w:val="00534342"/>
    <w:rsid w:val="00535AFE"/>
    <w:rsid w:val="00535CA4"/>
    <w:rsid w:val="00535F25"/>
    <w:rsid w:val="005363AD"/>
    <w:rsid w:val="00536684"/>
    <w:rsid w:val="00536B9E"/>
    <w:rsid w:val="00536EDE"/>
    <w:rsid w:val="00536FC0"/>
    <w:rsid w:val="00537646"/>
    <w:rsid w:val="00537B4B"/>
    <w:rsid w:val="00540F92"/>
    <w:rsid w:val="005432E2"/>
    <w:rsid w:val="0054336E"/>
    <w:rsid w:val="005445EF"/>
    <w:rsid w:val="00545D29"/>
    <w:rsid w:val="0054671E"/>
    <w:rsid w:val="00546ADF"/>
    <w:rsid w:val="00546C74"/>
    <w:rsid w:val="00547404"/>
    <w:rsid w:val="005474F2"/>
    <w:rsid w:val="00551A9F"/>
    <w:rsid w:val="00551FAE"/>
    <w:rsid w:val="005520FF"/>
    <w:rsid w:val="00553EF5"/>
    <w:rsid w:val="005574A3"/>
    <w:rsid w:val="005577EC"/>
    <w:rsid w:val="005579A1"/>
    <w:rsid w:val="00557B69"/>
    <w:rsid w:val="005608EF"/>
    <w:rsid w:val="00562FE2"/>
    <w:rsid w:val="00563341"/>
    <w:rsid w:val="00563D15"/>
    <w:rsid w:val="00564533"/>
    <w:rsid w:val="00566FF8"/>
    <w:rsid w:val="0056771B"/>
    <w:rsid w:val="0056780F"/>
    <w:rsid w:val="00567FD0"/>
    <w:rsid w:val="0057024F"/>
    <w:rsid w:val="005719F3"/>
    <w:rsid w:val="00571C2F"/>
    <w:rsid w:val="00572072"/>
    <w:rsid w:val="00572649"/>
    <w:rsid w:val="00573C43"/>
    <w:rsid w:val="005769D3"/>
    <w:rsid w:val="00576E0E"/>
    <w:rsid w:val="00576F27"/>
    <w:rsid w:val="005774DA"/>
    <w:rsid w:val="00577C05"/>
    <w:rsid w:val="00580329"/>
    <w:rsid w:val="00583887"/>
    <w:rsid w:val="00583E2C"/>
    <w:rsid w:val="005844A7"/>
    <w:rsid w:val="00584C25"/>
    <w:rsid w:val="00585467"/>
    <w:rsid w:val="0058575C"/>
    <w:rsid w:val="00585FD8"/>
    <w:rsid w:val="0059061B"/>
    <w:rsid w:val="005907E4"/>
    <w:rsid w:val="00591922"/>
    <w:rsid w:val="00591C01"/>
    <w:rsid w:val="005930F4"/>
    <w:rsid w:val="005955B8"/>
    <w:rsid w:val="00595BD6"/>
    <w:rsid w:val="005969CE"/>
    <w:rsid w:val="00596EB2"/>
    <w:rsid w:val="00597102"/>
    <w:rsid w:val="005976A0"/>
    <w:rsid w:val="00597843"/>
    <w:rsid w:val="005979E9"/>
    <w:rsid w:val="00597A7A"/>
    <w:rsid w:val="005A102D"/>
    <w:rsid w:val="005A182D"/>
    <w:rsid w:val="005A1858"/>
    <w:rsid w:val="005A2A66"/>
    <w:rsid w:val="005A422B"/>
    <w:rsid w:val="005A452F"/>
    <w:rsid w:val="005A4EA4"/>
    <w:rsid w:val="005A5D0F"/>
    <w:rsid w:val="005A74B8"/>
    <w:rsid w:val="005A76B0"/>
    <w:rsid w:val="005A78CB"/>
    <w:rsid w:val="005B067A"/>
    <w:rsid w:val="005B10FC"/>
    <w:rsid w:val="005B11F4"/>
    <w:rsid w:val="005B26C5"/>
    <w:rsid w:val="005B3970"/>
    <w:rsid w:val="005B6616"/>
    <w:rsid w:val="005B67AE"/>
    <w:rsid w:val="005B7C00"/>
    <w:rsid w:val="005B7EC3"/>
    <w:rsid w:val="005B7F47"/>
    <w:rsid w:val="005C020F"/>
    <w:rsid w:val="005C0785"/>
    <w:rsid w:val="005C0E52"/>
    <w:rsid w:val="005C1C87"/>
    <w:rsid w:val="005C25DD"/>
    <w:rsid w:val="005C34B9"/>
    <w:rsid w:val="005C35FC"/>
    <w:rsid w:val="005C3A36"/>
    <w:rsid w:val="005C4C43"/>
    <w:rsid w:val="005C5C63"/>
    <w:rsid w:val="005C6DB7"/>
    <w:rsid w:val="005C75FA"/>
    <w:rsid w:val="005D146E"/>
    <w:rsid w:val="005D2086"/>
    <w:rsid w:val="005D2694"/>
    <w:rsid w:val="005D2A4D"/>
    <w:rsid w:val="005D2A91"/>
    <w:rsid w:val="005D3740"/>
    <w:rsid w:val="005D46E1"/>
    <w:rsid w:val="005D4DE6"/>
    <w:rsid w:val="005D547F"/>
    <w:rsid w:val="005D5F44"/>
    <w:rsid w:val="005D6F33"/>
    <w:rsid w:val="005E250B"/>
    <w:rsid w:val="005E30E2"/>
    <w:rsid w:val="005E3AEC"/>
    <w:rsid w:val="005E60BB"/>
    <w:rsid w:val="005E7161"/>
    <w:rsid w:val="005E7ACC"/>
    <w:rsid w:val="005F05EE"/>
    <w:rsid w:val="005F0F42"/>
    <w:rsid w:val="005F1237"/>
    <w:rsid w:val="005F14C0"/>
    <w:rsid w:val="005F1A43"/>
    <w:rsid w:val="005F22D0"/>
    <w:rsid w:val="005F27D0"/>
    <w:rsid w:val="005F3F1A"/>
    <w:rsid w:val="005F51B4"/>
    <w:rsid w:val="005F5253"/>
    <w:rsid w:val="005F55D0"/>
    <w:rsid w:val="005F5636"/>
    <w:rsid w:val="005F6215"/>
    <w:rsid w:val="005F6F6C"/>
    <w:rsid w:val="005F6F8E"/>
    <w:rsid w:val="005F7B25"/>
    <w:rsid w:val="006003FA"/>
    <w:rsid w:val="00600451"/>
    <w:rsid w:val="006010E8"/>
    <w:rsid w:val="006016E9"/>
    <w:rsid w:val="00601FAB"/>
    <w:rsid w:val="006034DD"/>
    <w:rsid w:val="00603938"/>
    <w:rsid w:val="006061EE"/>
    <w:rsid w:val="00610BBA"/>
    <w:rsid w:val="006122BB"/>
    <w:rsid w:val="006127E7"/>
    <w:rsid w:val="006134C2"/>
    <w:rsid w:val="0061389F"/>
    <w:rsid w:val="00613CE4"/>
    <w:rsid w:val="00614DF0"/>
    <w:rsid w:val="00616792"/>
    <w:rsid w:val="00617CB5"/>
    <w:rsid w:val="00617E39"/>
    <w:rsid w:val="006212FF"/>
    <w:rsid w:val="006216C7"/>
    <w:rsid w:val="006239D2"/>
    <w:rsid w:val="0062434B"/>
    <w:rsid w:val="00625664"/>
    <w:rsid w:val="00626086"/>
    <w:rsid w:val="00627A20"/>
    <w:rsid w:val="00627BB3"/>
    <w:rsid w:val="00630160"/>
    <w:rsid w:val="00631638"/>
    <w:rsid w:val="0063192E"/>
    <w:rsid w:val="00632B93"/>
    <w:rsid w:val="00633F6D"/>
    <w:rsid w:val="006343E9"/>
    <w:rsid w:val="0063463C"/>
    <w:rsid w:val="006361F8"/>
    <w:rsid w:val="00636968"/>
    <w:rsid w:val="00636BB2"/>
    <w:rsid w:val="00637470"/>
    <w:rsid w:val="006374F5"/>
    <w:rsid w:val="00640596"/>
    <w:rsid w:val="0064089E"/>
    <w:rsid w:val="00640D1D"/>
    <w:rsid w:val="00643083"/>
    <w:rsid w:val="00643DDB"/>
    <w:rsid w:val="006450AA"/>
    <w:rsid w:val="0064553A"/>
    <w:rsid w:val="00647897"/>
    <w:rsid w:val="0065028A"/>
    <w:rsid w:val="00650D71"/>
    <w:rsid w:val="00650E2E"/>
    <w:rsid w:val="0065164A"/>
    <w:rsid w:val="00652459"/>
    <w:rsid w:val="006526B4"/>
    <w:rsid w:val="0065272A"/>
    <w:rsid w:val="00656DA8"/>
    <w:rsid w:val="00660207"/>
    <w:rsid w:val="0066034E"/>
    <w:rsid w:val="00660B7E"/>
    <w:rsid w:val="00660EF8"/>
    <w:rsid w:val="00661A0B"/>
    <w:rsid w:val="00662379"/>
    <w:rsid w:val="006625F1"/>
    <w:rsid w:val="006626E8"/>
    <w:rsid w:val="00662D47"/>
    <w:rsid w:val="00663202"/>
    <w:rsid w:val="0066420F"/>
    <w:rsid w:val="00665BF6"/>
    <w:rsid w:val="00665C33"/>
    <w:rsid w:val="00665D9C"/>
    <w:rsid w:val="00665EA4"/>
    <w:rsid w:val="0066619B"/>
    <w:rsid w:val="006674FA"/>
    <w:rsid w:val="006708E4"/>
    <w:rsid w:val="00670985"/>
    <w:rsid w:val="00670FB1"/>
    <w:rsid w:val="00672FAE"/>
    <w:rsid w:val="0067304C"/>
    <w:rsid w:val="006731F3"/>
    <w:rsid w:val="0067332C"/>
    <w:rsid w:val="006733E5"/>
    <w:rsid w:val="00673758"/>
    <w:rsid w:val="006756B6"/>
    <w:rsid w:val="00676B76"/>
    <w:rsid w:val="006779C7"/>
    <w:rsid w:val="00680D84"/>
    <w:rsid w:val="00683635"/>
    <w:rsid w:val="0068600C"/>
    <w:rsid w:val="006867FE"/>
    <w:rsid w:val="00686DEF"/>
    <w:rsid w:val="0069003B"/>
    <w:rsid w:val="00690265"/>
    <w:rsid w:val="006908CB"/>
    <w:rsid w:val="00693547"/>
    <w:rsid w:val="00693761"/>
    <w:rsid w:val="00693B4B"/>
    <w:rsid w:val="00694C0A"/>
    <w:rsid w:val="00695059"/>
    <w:rsid w:val="006951B6"/>
    <w:rsid w:val="00695242"/>
    <w:rsid w:val="00696549"/>
    <w:rsid w:val="0069692F"/>
    <w:rsid w:val="00696C84"/>
    <w:rsid w:val="0069719C"/>
    <w:rsid w:val="006973C0"/>
    <w:rsid w:val="0069768D"/>
    <w:rsid w:val="006A0193"/>
    <w:rsid w:val="006A0516"/>
    <w:rsid w:val="006A09E2"/>
    <w:rsid w:val="006A20B4"/>
    <w:rsid w:val="006A2CF4"/>
    <w:rsid w:val="006A506E"/>
    <w:rsid w:val="006A56B8"/>
    <w:rsid w:val="006A731A"/>
    <w:rsid w:val="006A73C5"/>
    <w:rsid w:val="006B2869"/>
    <w:rsid w:val="006B3051"/>
    <w:rsid w:val="006B429A"/>
    <w:rsid w:val="006B453A"/>
    <w:rsid w:val="006B4904"/>
    <w:rsid w:val="006B526A"/>
    <w:rsid w:val="006B5A6C"/>
    <w:rsid w:val="006B687A"/>
    <w:rsid w:val="006B7799"/>
    <w:rsid w:val="006C029A"/>
    <w:rsid w:val="006C0ED1"/>
    <w:rsid w:val="006C119A"/>
    <w:rsid w:val="006C2E01"/>
    <w:rsid w:val="006C3040"/>
    <w:rsid w:val="006C37A6"/>
    <w:rsid w:val="006C4979"/>
    <w:rsid w:val="006C4CD4"/>
    <w:rsid w:val="006C51AB"/>
    <w:rsid w:val="006C574A"/>
    <w:rsid w:val="006C6554"/>
    <w:rsid w:val="006C7114"/>
    <w:rsid w:val="006C7366"/>
    <w:rsid w:val="006C769A"/>
    <w:rsid w:val="006C7F22"/>
    <w:rsid w:val="006D0625"/>
    <w:rsid w:val="006D0E7E"/>
    <w:rsid w:val="006D1AB5"/>
    <w:rsid w:val="006D1C10"/>
    <w:rsid w:val="006D3EC2"/>
    <w:rsid w:val="006D41C9"/>
    <w:rsid w:val="006D48EB"/>
    <w:rsid w:val="006D4B04"/>
    <w:rsid w:val="006D4D8B"/>
    <w:rsid w:val="006D5C07"/>
    <w:rsid w:val="006D6571"/>
    <w:rsid w:val="006D7AA7"/>
    <w:rsid w:val="006E0134"/>
    <w:rsid w:val="006E0DFA"/>
    <w:rsid w:val="006E0FD3"/>
    <w:rsid w:val="006E1BA5"/>
    <w:rsid w:val="006E1C93"/>
    <w:rsid w:val="006E1D94"/>
    <w:rsid w:val="006E20B4"/>
    <w:rsid w:val="006E23C2"/>
    <w:rsid w:val="006E2473"/>
    <w:rsid w:val="006E33F0"/>
    <w:rsid w:val="006E3C08"/>
    <w:rsid w:val="006E46D1"/>
    <w:rsid w:val="006E4C23"/>
    <w:rsid w:val="006E5365"/>
    <w:rsid w:val="006E6113"/>
    <w:rsid w:val="006E6D37"/>
    <w:rsid w:val="006F1882"/>
    <w:rsid w:val="006F2296"/>
    <w:rsid w:val="006F271C"/>
    <w:rsid w:val="006F4BE4"/>
    <w:rsid w:val="006F5118"/>
    <w:rsid w:val="006F55BF"/>
    <w:rsid w:val="006F5954"/>
    <w:rsid w:val="00700127"/>
    <w:rsid w:val="007003DE"/>
    <w:rsid w:val="007006A7"/>
    <w:rsid w:val="00701B3B"/>
    <w:rsid w:val="007035AF"/>
    <w:rsid w:val="007046EF"/>
    <w:rsid w:val="007047D4"/>
    <w:rsid w:val="00704C7E"/>
    <w:rsid w:val="00704DB1"/>
    <w:rsid w:val="007107C9"/>
    <w:rsid w:val="00711632"/>
    <w:rsid w:val="007116D7"/>
    <w:rsid w:val="007122C6"/>
    <w:rsid w:val="00712E9E"/>
    <w:rsid w:val="00714040"/>
    <w:rsid w:val="00714D00"/>
    <w:rsid w:val="0071596C"/>
    <w:rsid w:val="00715C18"/>
    <w:rsid w:val="00715F64"/>
    <w:rsid w:val="00717FBC"/>
    <w:rsid w:val="00720042"/>
    <w:rsid w:val="00720D68"/>
    <w:rsid w:val="00721233"/>
    <w:rsid w:val="0072159D"/>
    <w:rsid w:val="007224ED"/>
    <w:rsid w:val="007227A5"/>
    <w:rsid w:val="00724F17"/>
    <w:rsid w:val="007267BA"/>
    <w:rsid w:val="00726FB9"/>
    <w:rsid w:val="00727D8A"/>
    <w:rsid w:val="00730833"/>
    <w:rsid w:val="00731A35"/>
    <w:rsid w:val="007325C3"/>
    <w:rsid w:val="0073287D"/>
    <w:rsid w:val="00732BBD"/>
    <w:rsid w:val="00733274"/>
    <w:rsid w:val="00734C56"/>
    <w:rsid w:val="00734F91"/>
    <w:rsid w:val="007354DB"/>
    <w:rsid w:val="007355FD"/>
    <w:rsid w:val="007365F1"/>
    <w:rsid w:val="0073703D"/>
    <w:rsid w:val="00737E26"/>
    <w:rsid w:val="00740E34"/>
    <w:rsid w:val="00741443"/>
    <w:rsid w:val="007428E1"/>
    <w:rsid w:val="0074472E"/>
    <w:rsid w:val="007477CD"/>
    <w:rsid w:val="0075085C"/>
    <w:rsid w:val="00750C53"/>
    <w:rsid w:val="00750F5D"/>
    <w:rsid w:val="00751F77"/>
    <w:rsid w:val="0075486D"/>
    <w:rsid w:val="0075542C"/>
    <w:rsid w:val="00755509"/>
    <w:rsid w:val="007556A3"/>
    <w:rsid w:val="00755EDC"/>
    <w:rsid w:val="0075681F"/>
    <w:rsid w:val="007602DE"/>
    <w:rsid w:val="00760565"/>
    <w:rsid w:val="00760AE5"/>
    <w:rsid w:val="0076277F"/>
    <w:rsid w:val="007641DC"/>
    <w:rsid w:val="0076501F"/>
    <w:rsid w:val="00765390"/>
    <w:rsid w:val="0076602C"/>
    <w:rsid w:val="007674A5"/>
    <w:rsid w:val="007674BE"/>
    <w:rsid w:val="007677DB"/>
    <w:rsid w:val="00771333"/>
    <w:rsid w:val="0077177C"/>
    <w:rsid w:val="00773806"/>
    <w:rsid w:val="007776CA"/>
    <w:rsid w:val="0078038B"/>
    <w:rsid w:val="00780D1C"/>
    <w:rsid w:val="007824BC"/>
    <w:rsid w:val="00782FEF"/>
    <w:rsid w:val="00783049"/>
    <w:rsid w:val="007831A0"/>
    <w:rsid w:val="00783A8A"/>
    <w:rsid w:val="0078417B"/>
    <w:rsid w:val="00786222"/>
    <w:rsid w:val="00786753"/>
    <w:rsid w:val="00787045"/>
    <w:rsid w:val="0079078D"/>
    <w:rsid w:val="00790F1A"/>
    <w:rsid w:val="00791058"/>
    <w:rsid w:val="007918EB"/>
    <w:rsid w:val="00792754"/>
    <w:rsid w:val="00792D5E"/>
    <w:rsid w:val="0079305E"/>
    <w:rsid w:val="00793CD6"/>
    <w:rsid w:val="007973CE"/>
    <w:rsid w:val="007A0048"/>
    <w:rsid w:val="007A1211"/>
    <w:rsid w:val="007A166C"/>
    <w:rsid w:val="007A1A85"/>
    <w:rsid w:val="007A2813"/>
    <w:rsid w:val="007A2979"/>
    <w:rsid w:val="007A29E6"/>
    <w:rsid w:val="007A39FD"/>
    <w:rsid w:val="007A523F"/>
    <w:rsid w:val="007A68F9"/>
    <w:rsid w:val="007A6FB4"/>
    <w:rsid w:val="007A7604"/>
    <w:rsid w:val="007B125D"/>
    <w:rsid w:val="007B158D"/>
    <w:rsid w:val="007B2033"/>
    <w:rsid w:val="007B2975"/>
    <w:rsid w:val="007B33D2"/>
    <w:rsid w:val="007B3A1C"/>
    <w:rsid w:val="007B4571"/>
    <w:rsid w:val="007B4BB8"/>
    <w:rsid w:val="007B4DC3"/>
    <w:rsid w:val="007B5F6E"/>
    <w:rsid w:val="007B6DE8"/>
    <w:rsid w:val="007B6E79"/>
    <w:rsid w:val="007B7AE9"/>
    <w:rsid w:val="007C0BC3"/>
    <w:rsid w:val="007C28D0"/>
    <w:rsid w:val="007C2BCC"/>
    <w:rsid w:val="007C3BD3"/>
    <w:rsid w:val="007C3D13"/>
    <w:rsid w:val="007C4DD4"/>
    <w:rsid w:val="007C7003"/>
    <w:rsid w:val="007C712C"/>
    <w:rsid w:val="007D04E8"/>
    <w:rsid w:val="007D0507"/>
    <w:rsid w:val="007D0D1C"/>
    <w:rsid w:val="007D149F"/>
    <w:rsid w:val="007D17C7"/>
    <w:rsid w:val="007D1D68"/>
    <w:rsid w:val="007D1DD1"/>
    <w:rsid w:val="007D1E3D"/>
    <w:rsid w:val="007D4CC7"/>
    <w:rsid w:val="007D4E6E"/>
    <w:rsid w:val="007D51DD"/>
    <w:rsid w:val="007D6377"/>
    <w:rsid w:val="007D69E1"/>
    <w:rsid w:val="007D6A5D"/>
    <w:rsid w:val="007D725A"/>
    <w:rsid w:val="007D72DD"/>
    <w:rsid w:val="007D78AF"/>
    <w:rsid w:val="007D799A"/>
    <w:rsid w:val="007E0CDD"/>
    <w:rsid w:val="007E1BEB"/>
    <w:rsid w:val="007E59D4"/>
    <w:rsid w:val="007E6EAB"/>
    <w:rsid w:val="007E7296"/>
    <w:rsid w:val="007E72D9"/>
    <w:rsid w:val="007F0274"/>
    <w:rsid w:val="007F12CD"/>
    <w:rsid w:val="007F1C24"/>
    <w:rsid w:val="007F3380"/>
    <w:rsid w:val="007F3C74"/>
    <w:rsid w:val="007F49DD"/>
    <w:rsid w:val="007F5EE7"/>
    <w:rsid w:val="007F707D"/>
    <w:rsid w:val="007F757C"/>
    <w:rsid w:val="007F75BA"/>
    <w:rsid w:val="00801661"/>
    <w:rsid w:val="0080173B"/>
    <w:rsid w:val="00802B0C"/>
    <w:rsid w:val="00803D5B"/>
    <w:rsid w:val="00804AC8"/>
    <w:rsid w:val="00805DB5"/>
    <w:rsid w:val="008062BD"/>
    <w:rsid w:val="008068D1"/>
    <w:rsid w:val="00807320"/>
    <w:rsid w:val="00807935"/>
    <w:rsid w:val="00807F93"/>
    <w:rsid w:val="008108E2"/>
    <w:rsid w:val="008109AF"/>
    <w:rsid w:val="00810B53"/>
    <w:rsid w:val="0081145A"/>
    <w:rsid w:val="00812DA6"/>
    <w:rsid w:val="00814678"/>
    <w:rsid w:val="0081505A"/>
    <w:rsid w:val="00815B82"/>
    <w:rsid w:val="00815E7F"/>
    <w:rsid w:val="00817109"/>
    <w:rsid w:val="008233B0"/>
    <w:rsid w:val="0082379B"/>
    <w:rsid w:val="008242DB"/>
    <w:rsid w:val="00824615"/>
    <w:rsid w:val="00824E78"/>
    <w:rsid w:val="00826EDE"/>
    <w:rsid w:val="00826F90"/>
    <w:rsid w:val="00827283"/>
    <w:rsid w:val="0083230F"/>
    <w:rsid w:val="00832A0B"/>
    <w:rsid w:val="00834221"/>
    <w:rsid w:val="0083477D"/>
    <w:rsid w:val="00837D28"/>
    <w:rsid w:val="008400FE"/>
    <w:rsid w:val="00840E53"/>
    <w:rsid w:val="0084100B"/>
    <w:rsid w:val="0084161D"/>
    <w:rsid w:val="00841E45"/>
    <w:rsid w:val="0084223A"/>
    <w:rsid w:val="0084364A"/>
    <w:rsid w:val="00844133"/>
    <w:rsid w:val="0084589A"/>
    <w:rsid w:val="0085149F"/>
    <w:rsid w:val="00852726"/>
    <w:rsid w:val="008529C4"/>
    <w:rsid w:val="00852AD5"/>
    <w:rsid w:val="00852D3F"/>
    <w:rsid w:val="00853144"/>
    <w:rsid w:val="00856156"/>
    <w:rsid w:val="00857444"/>
    <w:rsid w:val="00857E65"/>
    <w:rsid w:val="00861FE8"/>
    <w:rsid w:val="00862183"/>
    <w:rsid w:val="00863C21"/>
    <w:rsid w:val="00863EA8"/>
    <w:rsid w:val="00864368"/>
    <w:rsid w:val="00865389"/>
    <w:rsid w:val="00865BD0"/>
    <w:rsid w:val="008660BF"/>
    <w:rsid w:val="008670C0"/>
    <w:rsid w:val="0086763B"/>
    <w:rsid w:val="00867695"/>
    <w:rsid w:val="00867DB1"/>
    <w:rsid w:val="00870E9F"/>
    <w:rsid w:val="008715E2"/>
    <w:rsid w:val="0087228F"/>
    <w:rsid w:val="00873771"/>
    <w:rsid w:val="00874C34"/>
    <w:rsid w:val="00875CB0"/>
    <w:rsid w:val="008771EE"/>
    <w:rsid w:val="0087768F"/>
    <w:rsid w:val="0088024B"/>
    <w:rsid w:val="008802C1"/>
    <w:rsid w:val="00880ED4"/>
    <w:rsid w:val="00883807"/>
    <w:rsid w:val="00885117"/>
    <w:rsid w:val="00885F21"/>
    <w:rsid w:val="00886208"/>
    <w:rsid w:val="00887326"/>
    <w:rsid w:val="0088742D"/>
    <w:rsid w:val="008874B0"/>
    <w:rsid w:val="008879CF"/>
    <w:rsid w:val="0089028E"/>
    <w:rsid w:val="00890A34"/>
    <w:rsid w:val="008911FC"/>
    <w:rsid w:val="00891708"/>
    <w:rsid w:val="00891A03"/>
    <w:rsid w:val="00892213"/>
    <w:rsid w:val="0089268E"/>
    <w:rsid w:val="00892F9F"/>
    <w:rsid w:val="008934C7"/>
    <w:rsid w:val="00895693"/>
    <w:rsid w:val="0089600B"/>
    <w:rsid w:val="008A13C0"/>
    <w:rsid w:val="008A1501"/>
    <w:rsid w:val="008A1A66"/>
    <w:rsid w:val="008A263A"/>
    <w:rsid w:val="008A2D62"/>
    <w:rsid w:val="008A3428"/>
    <w:rsid w:val="008A3834"/>
    <w:rsid w:val="008A3F5A"/>
    <w:rsid w:val="008A7414"/>
    <w:rsid w:val="008B039E"/>
    <w:rsid w:val="008B1F00"/>
    <w:rsid w:val="008B2239"/>
    <w:rsid w:val="008B2446"/>
    <w:rsid w:val="008B333D"/>
    <w:rsid w:val="008B351C"/>
    <w:rsid w:val="008B47ED"/>
    <w:rsid w:val="008B6EDB"/>
    <w:rsid w:val="008C1649"/>
    <w:rsid w:val="008C1B09"/>
    <w:rsid w:val="008C2E7B"/>
    <w:rsid w:val="008C3389"/>
    <w:rsid w:val="008C35F5"/>
    <w:rsid w:val="008C3B3E"/>
    <w:rsid w:val="008C462C"/>
    <w:rsid w:val="008C4831"/>
    <w:rsid w:val="008C486C"/>
    <w:rsid w:val="008C5778"/>
    <w:rsid w:val="008D094C"/>
    <w:rsid w:val="008D0AD6"/>
    <w:rsid w:val="008D288A"/>
    <w:rsid w:val="008D3C76"/>
    <w:rsid w:val="008D40FE"/>
    <w:rsid w:val="008D44A6"/>
    <w:rsid w:val="008D5502"/>
    <w:rsid w:val="008D6764"/>
    <w:rsid w:val="008D6AE9"/>
    <w:rsid w:val="008D792D"/>
    <w:rsid w:val="008E13D5"/>
    <w:rsid w:val="008E3C9E"/>
    <w:rsid w:val="008E4205"/>
    <w:rsid w:val="008E4365"/>
    <w:rsid w:val="008E440F"/>
    <w:rsid w:val="008E459D"/>
    <w:rsid w:val="008E605F"/>
    <w:rsid w:val="008E7754"/>
    <w:rsid w:val="008F019A"/>
    <w:rsid w:val="008F3F27"/>
    <w:rsid w:val="008F425C"/>
    <w:rsid w:val="008F516B"/>
    <w:rsid w:val="008F5D87"/>
    <w:rsid w:val="008F6541"/>
    <w:rsid w:val="008F669A"/>
    <w:rsid w:val="008F6AFA"/>
    <w:rsid w:val="008F7C92"/>
    <w:rsid w:val="008F7D1A"/>
    <w:rsid w:val="009002CF"/>
    <w:rsid w:val="009019EB"/>
    <w:rsid w:val="00902056"/>
    <w:rsid w:val="00902097"/>
    <w:rsid w:val="00903445"/>
    <w:rsid w:val="009035A2"/>
    <w:rsid w:val="00903CAD"/>
    <w:rsid w:val="00904F2D"/>
    <w:rsid w:val="009063E7"/>
    <w:rsid w:val="00907B36"/>
    <w:rsid w:val="00911E6D"/>
    <w:rsid w:val="00911EC2"/>
    <w:rsid w:val="0091372B"/>
    <w:rsid w:val="00913AFB"/>
    <w:rsid w:val="009172A2"/>
    <w:rsid w:val="00917857"/>
    <w:rsid w:val="00917F98"/>
    <w:rsid w:val="009219BC"/>
    <w:rsid w:val="00922280"/>
    <w:rsid w:val="009232BB"/>
    <w:rsid w:val="00923DFD"/>
    <w:rsid w:val="00924527"/>
    <w:rsid w:val="00924F37"/>
    <w:rsid w:val="0092562D"/>
    <w:rsid w:val="00926352"/>
    <w:rsid w:val="00931AE8"/>
    <w:rsid w:val="00931ED7"/>
    <w:rsid w:val="00933D0C"/>
    <w:rsid w:val="00933EA0"/>
    <w:rsid w:val="00934086"/>
    <w:rsid w:val="0093431C"/>
    <w:rsid w:val="009356E6"/>
    <w:rsid w:val="0093634D"/>
    <w:rsid w:val="00937C7C"/>
    <w:rsid w:val="00940426"/>
    <w:rsid w:val="0094096B"/>
    <w:rsid w:val="0094184E"/>
    <w:rsid w:val="00942355"/>
    <w:rsid w:val="00942C97"/>
    <w:rsid w:val="00943512"/>
    <w:rsid w:val="00943B3E"/>
    <w:rsid w:val="00944743"/>
    <w:rsid w:val="00944AD4"/>
    <w:rsid w:val="00944E03"/>
    <w:rsid w:val="009455C7"/>
    <w:rsid w:val="00945A5A"/>
    <w:rsid w:val="00945D37"/>
    <w:rsid w:val="00950968"/>
    <w:rsid w:val="0095401B"/>
    <w:rsid w:val="009546FA"/>
    <w:rsid w:val="00954CC7"/>
    <w:rsid w:val="009550FB"/>
    <w:rsid w:val="00960F09"/>
    <w:rsid w:val="00961025"/>
    <w:rsid w:val="00961C89"/>
    <w:rsid w:val="00963B98"/>
    <w:rsid w:val="00963E8A"/>
    <w:rsid w:val="0096408B"/>
    <w:rsid w:val="00964E39"/>
    <w:rsid w:val="0096523F"/>
    <w:rsid w:val="0096541D"/>
    <w:rsid w:val="0096577B"/>
    <w:rsid w:val="0096586A"/>
    <w:rsid w:val="00967065"/>
    <w:rsid w:val="0096772B"/>
    <w:rsid w:val="009707D3"/>
    <w:rsid w:val="0097147D"/>
    <w:rsid w:val="009716D7"/>
    <w:rsid w:val="009717DC"/>
    <w:rsid w:val="00971C84"/>
    <w:rsid w:val="0097408E"/>
    <w:rsid w:val="0097581E"/>
    <w:rsid w:val="00976756"/>
    <w:rsid w:val="00977B42"/>
    <w:rsid w:val="009805B6"/>
    <w:rsid w:val="00980884"/>
    <w:rsid w:val="009812FB"/>
    <w:rsid w:val="00982CA1"/>
    <w:rsid w:val="00983BD8"/>
    <w:rsid w:val="00983EB7"/>
    <w:rsid w:val="0098421F"/>
    <w:rsid w:val="009851CF"/>
    <w:rsid w:val="00987241"/>
    <w:rsid w:val="00987B72"/>
    <w:rsid w:val="00990ACE"/>
    <w:rsid w:val="00991C50"/>
    <w:rsid w:val="009932FD"/>
    <w:rsid w:val="009953DA"/>
    <w:rsid w:val="00996A6A"/>
    <w:rsid w:val="0099730A"/>
    <w:rsid w:val="009A01A1"/>
    <w:rsid w:val="009A05B4"/>
    <w:rsid w:val="009A1026"/>
    <w:rsid w:val="009A1635"/>
    <w:rsid w:val="009A1B68"/>
    <w:rsid w:val="009A26DA"/>
    <w:rsid w:val="009A2F73"/>
    <w:rsid w:val="009A3D54"/>
    <w:rsid w:val="009A5858"/>
    <w:rsid w:val="009A5B9F"/>
    <w:rsid w:val="009A63DE"/>
    <w:rsid w:val="009B0745"/>
    <w:rsid w:val="009B1D19"/>
    <w:rsid w:val="009B2B19"/>
    <w:rsid w:val="009B44FE"/>
    <w:rsid w:val="009B4821"/>
    <w:rsid w:val="009B65FF"/>
    <w:rsid w:val="009B6700"/>
    <w:rsid w:val="009C1A76"/>
    <w:rsid w:val="009C1CD0"/>
    <w:rsid w:val="009C2218"/>
    <w:rsid w:val="009C317F"/>
    <w:rsid w:val="009C76CB"/>
    <w:rsid w:val="009D0F9C"/>
    <w:rsid w:val="009D12F8"/>
    <w:rsid w:val="009D15FF"/>
    <w:rsid w:val="009D2660"/>
    <w:rsid w:val="009D2C63"/>
    <w:rsid w:val="009D3830"/>
    <w:rsid w:val="009D39F5"/>
    <w:rsid w:val="009D3AEF"/>
    <w:rsid w:val="009D454F"/>
    <w:rsid w:val="009D47FF"/>
    <w:rsid w:val="009E034E"/>
    <w:rsid w:val="009E0A7A"/>
    <w:rsid w:val="009E24CB"/>
    <w:rsid w:val="009E422F"/>
    <w:rsid w:val="009E6421"/>
    <w:rsid w:val="009E6815"/>
    <w:rsid w:val="009E7148"/>
    <w:rsid w:val="009E7514"/>
    <w:rsid w:val="009F04B9"/>
    <w:rsid w:val="009F168F"/>
    <w:rsid w:val="009F19C3"/>
    <w:rsid w:val="009F2DC9"/>
    <w:rsid w:val="009F4180"/>
    <w:rsid w:val="009F4487"/>
    <w:rsid w:val="009F4AF1"/>
    <w:rsid w:val="009F5B28"/>
    <w:rsid w:val="009F5C2E"/>
    <w:rsid w:val="009F6DBF"/>
    <w:rsid w:val="009F757B"/>
    <w:rsid w:val="009F7948"/>
    <w:rsid w:val="00A009F7"/>
    <w:rsid w:val="00A01DFD"/>
    <w:rsid w:val="00A022AC"/>
    <w:rsid w:val="00A0423C"/>
    <w:rsid w:val="00A04CB9"/>
    <w:rsid w:val="00A0505C"/>
    <w:rsid w:val="00A067B2"/>
    <w:rsid w:val="00A06856"/>
    <w:rsid w:val="00A06AC4"/>
    <w:rsid w:val="00A0776D"/>
    <w:rsid w:val="00A07E6E"/>
    <w:rsid w:val="00A110CB"/>
    <w:rsid w:val="00A1297B"/>
    <w:rsid w:val="00A1304B"/>
    <w:rsid w:val="00A135C1"/>
    <w:rsid w:val="00A139BE"/>
    <w:rsid w:val="00A13EE0"/>
    <w:rsid w:val="00A140FC"/>
    <w:rsid w:val="00A14D57"/>
    <w:rsid w:val="00A14EBE"/>
    <w:rsid w:val="00A17DAF"/>
    <w:rsid w:val="00A206E5"/>
    <w:rsid w:val="00A20D42"/>
    <w:rsid w:val="00A20E15"/>
    <w:rsid w:val="00A217C0"/>
    <w:rsid w:val="00A22B19"/>
    <w:rsid w:val="00A22EDD"/>
    <w:rsid w:val="00A23CD6"/>
    <w:rsid w:val="00A24EE6"/>
    <w:rsid w:val="00A27898"/>
    <w:rsid w:val="00A30301"/>
    <w:rsid w:val="00A31827"/>
    <w:rsid w:val="00A34B44"/>
    <w:rsid w:val="00A35282"/>
    <w:rsid w:val="00A35A0B"/>
    <w:rsid w:val="00A40F71"/>
    <w:rsid w:val="00A415F5"/>
    <w:rsid w:val="00A41BCB"/>
    <w:rsid w:val="00A41E16"/>
    <w:rsid w:val="00A43625"/>
    <w:rsid w:val="00A43832"/>
    <w:rsid w:val="00A43DC1"/>
    <w:rsid w:val="00A4581F"/>
    <w:rsid w:val="00A4595F"/>
    <w:rsid w:val="00A46CF7"/>
    <w:rsid w:val="00A477EC"/>
    <w:rsid w:val="00A50701"/>
    <w:rsid w:val="00A50AE8"/>
    <w:rsid w:val="00A50FD4"/>
    <w:rsid w:val="00A5175B"/>
    <w:rsid w:val="00A522E7"/>
    <w:rsid w:val="00A53356"/>
    <w:rsid w:val="00A540FA"/>
    <w:rsid w:val="00A553B3"/>
    <w:rsid w:val="00A5586F"/>
    <w:rsid w:val="00A55C89"/>
    <w:rsid w:val="00A560B4"/>
    <w:rsid w:val="00A5672A"/>
    <w:rsid w:val="00A57653"/>
    <w:rsid w:val="00A57AA2"/>
    <w:rsid w:val="00A60679"/>
    <w:rsid w:val="00A622E4"/>
    <w:rsid w:val="00A62591"/>
    <w:rsid w:val="00A6391F"/>
    <w:rsid w:val="00A639F6"/>
    <w:rsid w:val="00A640C6"/>
    <w:rsid w:val="00A66BE6"/>
    <w:rsid w:val="00A672D9"/>
    <w:rsid w:val="00A67BF2"/>
    <w:rsid w:val="00A67DE3"/>
    <w:rsid w:val="00A70002"/>
    <w:rsid w:val="00A700DC"/>
    <w:rsid w:val="00A70891"/>
    <w:rsid w:val="00A72156"/>
    <w:rsid w:val="00A72211"/>
    <w:rsid w:val="00A73EE2"/>
    <w:rsid w:val="00A740FB"/>
    <w:rsid w:val="00A74173"/>
    <w:rsid w:val="00A746A3"/>
    <w:rsid w:val="00A74B20"/>
    <w:rsid w:val="00A74C43"/>
    <w:rsid w:val="00A74D3D"/>
    <w:rsid w:val="00A74F9C"/>
    <w:rsid w:val="00A771A3"/>
    <w:rsid w:val="00A778D0"/>
    <w:rsid w:val="00A80F72"/>
    <w:rsid w:val="00A81798"/>
    <w:rsid w:val="00A83A12"/>
    <w:rsid w:val="00A83B7A"/>
    <w:rsid w:val="00A83F83"/>
    <w:rsid w:val="00A84669"/>
    <w:rsid w:val="00A846A9"/>
    <w:rsid w:val="00A850BE"/>
    <w:rsid w:val="00A856C5"/>
    <w:rsid w:val="00A863DD"/>
    <w:rsid w:val="00A9096F"/>
    <w:rsid w:val="00A90B18"/>
    <w:rsid w:val="00A921F2"/>
    <w:rsid w:val="00A92E4A"/>
    <w:rsid w:val="00A944D2"/>
    <w:rsid w:val="00A947D5"/>
    <w:rsid w:val="00A95969"/>
    <w:rsid w:val="00A96260"/>
    <w:rsid w:val="00A96EE8"/>
    <w:rsid w:val="00A9703C"/>
    <w:rsid w:val="00AA030E"/>
    <w:rsid w:val="00AA3143"/>
    <w:rsid w:val="00AA37B0"/>
    <w:rsid w:val="00AA3C98"/>
    <w:rsid w:val="00AA3F9B"/>
    <w:rsid w:val="00AA42C7"/>
    <w:rsid w:val="00AA49CC"/>
    <w:rsid w:val="00AA5C83"/>
    <w:rsid w:val="00AA66B6"/>
    <w:rsid w:val="00AA6A0B"/>
    <w:rsid w:val="00AA7670"/>
    <w:rsid w:val="00AB00D5"/>
    <w:rsid w:val="00AB052B"/>
    <w:rsid w:val="00AB3B96"/>
    <w:rsid w:val="00AB5926"/>
    <w:rsid w:val="00AB758B"/>
    <w:rsid w:val="00AC0D28"/>
    <w:rsid w:val="00AC1327"/>
    <w:rsid w:val="00AC153F"/>
    <w:rsid w:val="00AC1A60"/>
    <w:rsid w:val="00AC2340"/>
    <w:rsid w:val="00AC3FD1"/>
    <w:rsid w:val="00AC424A"/>
    <w:rsid w:val="00AC5810"/>
    <w:rsid w:val="00AC5FFB"/>
    <w:rsid w:val="00AC695E"/>
    <w:rsid w:val="00AD0933"/>
    <w:rsid w:val="00AD210E"/>
    <w:rsid w:val="00AD2370"/>
    <w:rsid w:val="00AD28B6"/>
    <w:rsid w:val="00AD303A"/>
    <w:rsid w:val="00AD3E5A"/>
    <w:rsid w:val="00AD441C"/>
    <w:rsid w:val="00AD4FDE"/>
    <w:rsid w:val="00AD6904"/>
    <w:rsid w:val="00AD694B"/>
    <w:rsid w:val="00AE2548"/>
    <w:rsid w:val="00AE3B00"/>
    <w:rsid w:val="00AE42D3"/>
    <w:rsid w:val="00AE46C1"/>
    <w:rsid w:val="00AE5870"/>
    <w:rsid w:val="00AE5CBA"/>
    <w:rsid w:val="00AE630A"/>
    <w:rsid w:val="00AE672E"/>
    <w:rsid w:val="00AE6B42"/>
    <w:rsid w:val="00AE782E"/>
    <w:rsid w:val="00AE7BC9"/>
    <w:rsid w:val="00AF0C03"/>
    <w:rsid w:val="00AF0CED"/>
    <w:rsid w:val="00AF1358"/>
    <w:rsid w:val="00AF31BD"/>
    <w:rsid w:val="00AF3C70"/>
    <w:rsid w:val="00AF3D89"/>
    <w:rsid w:val="00AF5A26"/>
    <w:rsid w:val="00AF6438"/>
    <w:rsid w:val="00AF6972"/>
    <w:rsid w:val="00AF79AE"/>
    <w:rsid w:val="00B0131C"/>
    <w:rsid w:val="00B01F1C"/>
    <w:rsid w:val="00B02D24"/>
    <w:rsid w:val="00B02EA7"/>
    <w:rsid w:val="00B031CB"/>
    <w:rsid w:val="00B0495D"/>
    <w:rsid w:val="00B058B5"/>
    <w:rsid w:val="00B059B1"/>
    <w:rsid w:val="00B07171"/>
    <w:rsid w:val="00B073BC"/>
    <w:rsid w:val="00B07739"/>
    <w:rsid w:val="00B07C8A"/>
    <w:rsid w:val="00B10013"/>
    <w:rsid w:val="00B10322"/>
    <w:rsid w:val="00B10E1E"/>
    <w:rsid w:val="00B11E3E"/>
    <w:rsid w:val="00B11F0D"/>
    <w:rsid w:val="00B11FF9"/>
    <w:rsid w:val="00B1217E"/>
    <w:rsid w:val="00B12333"/>
    <w:rsid w:val="00B13A91"/>
    <w:rsid w:val="00B1419C"/>
    <w:rsid w:val="00B1687F"/>
    <w:rsid w:val="00B20276"/>
    <w:rsid w:val="00B20963"/>
    <w:rsid w:val="00B212CC"/>
    <w:rsid w:val="00B22C33"/>
    <w:rsid w:val="00B24110"/>
    <w:rsid w:val="00B2434A"/>
    <w:rsid w:val="00B24C1A"/>
    <w:rsid w:val="00B2508D"/>
    <w:rsid w:val="00B25528"/>
    <w:rsid w:val="00B258C4"/>
    <w:rsid w:val="00B267B0"/>
    <w:rsid w:val="00B2782D"/>
    <w:rsid w:val="00B30AD4"/>
    <w:rsid w:val="00B30FF4"/>
    <w:rsid w:val="00B3190F"/>
    <w:rsid w:val="00B31AF4"/>
    <w:rsid w:val="00B31EC3"/>
    <w:rsid w:val="00B3265D"/>
    <w:rsid w:val="00B33198"/>
    <w:rsid w:val="00B333F3"/>
    <w:rsid w:val="00B3381D"/>
    <w:rsid w:val="00B345E0"/>
    <w:rsid w:val="00B34FF6"/>
    <w:rsid w:val="00B354FD"/>
    <w:rsid w:val="00B400C5"/>
    <w:rsid w:val="00B4010B"/>
    <w:rsid w:val="00B41CCB"/>
    <w:rsid w:val="00B43B34"/>
    <w:rsid w:val="00B44E02"/>
    <w:rsid w:val="00B450DE"/>
    <w:rsid w:val="00B46ADF"/>
    <w:rsid w:val="00B46B89"/>
    <w:rsid w:val="00B50697"/>
    <w:rsid w:val="00B50A8B"/>
    <w:rsid w:val="00B51BFB"/>
    <w:rsid w:val="00B52619"/>
    <w:rsid w:val="00B531F8"/>
    <w:rsid w:val="00B53DC3"/>
    <w:rsid w:val="00B54B48"/>
    <w:rsid w:val="00B564FD"/>
    <w:rsid w:val="00B56C2B"/>
    <w:rsid w:val="00B56E20"/>
    <w:rsid w:val="00B57BD7"/>
    <w:rsid w:val="00B61D63"/>
    <w:rsid w:val="00B63CA4"/>
    <w:rsid w:val="00B644CE"/>
    <w:rsid w:val="00B6478F"/>
    <w:rsid w:val="00B64E75"/>
    <w:rsid w:val="00B66126"/>
    <w:rsid w:val="00B67C85"/>
    <w:rsid w:val="00B67FCB"/>
    <w:rsid w:val="00B705B5"/>
    <w:rsid w:val="00B70714"/>
    <w:rsid w:val="00B70C75"/>
    <w:rsid w:val="00B717DC"/>
    <w:rsid w:val="00B720E3"/>
    <w:rsid w:val="00B727EA"/>
    <w:rsid w:val="00B73403"/>
    <w:rsid w:val="00B739A7"/>
    <w:rsid w:val="00B73E0B"/>
    <w:rsid w:val="00B767D1"/>
    <w:rsid w:val="00B77287"/>
    <w:rsid w:val="00B833F4"/>
    <w:rsid w:val="00B8363B"/>
    <w:rsid w:val="00B84CA9"/>
    <w:rsid w:val="00B85EF8"/>
    <w:rsid w:val="00B8668D"/>
    <w:rsid w:val="00B8687E"/>
    <w:rsid w:val="00B86D63"/>
    <w:rsid w:val="00B877E8"/>
    <w:rsid w:val="00B87822"/>
    <w:rsid w:val="00B902DB"/>
    <w:rsid w:val="00B90445"/>
    <w:rsid w:val="00B90CE7"/>
    <w:rsid w:val="00B951D3"/>
    <w:rsid w:val="00B95669"/>
    <w:rsid w:val="00B95A0E"/>
    <w:rsid w:val="00B95D82"/>
    <w:rsid w:val="00B96341"/>
    <w:rsid w:val="00B96AD3"/>
    <w:rsid w:val="00B97977"/>
    <w:rsid w:val="00B97F02"/>
    <w:rsid w:val="00BA148F"/>
    <w:rsid w:val="00BA252C"/>
    <w:rsid w:val="00BA36F9"/>
    <w:rsid w:val="00BA45F4"/>
    <w:rsid w:val="00BA4DE2"/>
    <w:rsid w:val="00BA57C2"/>
    <w:rsid w:val="00BA6A79"/>
    <w:rsid w:val="00BA6D65"/>
    <w:rsid w:val="00BA7C9F"/>
    <w:rsid w:val="00BB0ACD"/>
    <w:rsid w:val="00BB1514"/>
    <w:rsid w:val="00BB1A45"/>
    <w:rsid w:val="00BB241A"/>
    <w:rsid w:val="00BB27C8"/>
    <w:rsid w:val="00BB377E"/>
    <w:rsid w:val="00BB3868"/>
    <w:rsid w:val="00BB449E"/>
    <w:rsid w:val="00BB5155"/>
    <w:rsid w:val="00BB5419"/>
    <w:rsid w:val="00BB578C"/>
    <w:rsid w:val="00BB6398"/>
    <w:rsid w:val="00BB72E5"/>
    <w:rsid w:val="00BB77C6"/>
    <w:rsid w:val="00BB7AA9"/>
    <w:rsid w:val="00BB7CD1"/>
    <w:rsid w:val="00BC206C"/>
    <w:rsid w:val="00BC2C8E"/>
    <w:rsid w:val="00BC3AEC"/>
    <w:rsid w:val="00BC3B06"/>
    <w:rsid w:val="00BC4506"/>
    <w:rsid w:val="00BC4F53"/>
    <w:rsid w:val="00BC55AE"/>
    <w:rsid w:val="00BC6B41"/>
    <w:rsid w:val="00BC7726"/>
    <w:rsid w:val="00BC784D"/>
    <w:rsid w:val="00BD00F3"/>
    <w:rsid w:val="00BD049D"/>
    <w:rsid w:val="00BD04F0"/>
    <w:rsid w:val="00BD068D"/>
    <w:rsid w:val="00BD11D3"/>
    <w:rsid w:val="00BD2170"/>
    <w:rsid w:val="00BD25B3"/>
    <w:rsid w:val="00BD3BC3"/>
    <w:rsid w:val="00BD438B"/>
    <w:rsid w:val="00BD4C0D"/>
    <w:rsid w:val="00BD638A"/>
    <w:rsid w:val="00BD6483"/>
    <w:rsid w:val="00BE067C"/>
    <w:rsid w:val="00BE07A0"/>
    <w:rsid w:val="00BE19AE"/>
    <w:rsid w:val="00BE20E2"/>
    <w:rsid w:val="00BE2A7B"/>
    <w:rsid w:val="00BE405F"/>
    <w:rsid w:val="00BE4129"/>
    <w:rsid w:val="00BE44E8"/>
    <w:rsid w:val="00BE471E"/>
    <w:rsid w:val="00BE4FD6"/>
    <w:rsid w:val="00BE5314"/>
    <w:rsid w:val="00BE5F2B"/>
    <w:rsid w:val="00BE66CD"/>
    <w:rsid w:val="00BE76E2"/>
    <w:rsid w:val="00BF0819"/>
    <w:rsid w:val="00BF0C84"/>
    <w:rsid w:val="00BF1F84"/>
    <w:rsid w:val="00BF2121"/>
    <w:rsid w:val="00BF3222"/>
    <w:rsid w:val="00BF3325"/>
    <w:rsid w:val="00BF3445"/>
    <w:rsid w:val="00BF3821"/>
    <w:rsid w:val="00BF60AE"/>
    <w:rsid w:val="00BF6496"/>
    <w:rsid w:val="00BF6DA5"/>
    <w:rsid w:val="00BF6E09"/>
    <w:rsid w:val="00C00750"/>
    <w:rsid w:val="00C03817"/>
    <w:rsid w:val="00C03ED8"/>
    <w:rsid w:val="00C040B6"/>
    <w:rsid w:val="00C04C8F"/>
    <w:rsid w:val="00C06CCC"/>
    <w:rsid w:val="00C07536"/>
    <w:rsid w:val="00C07842"/>
    <w:rsid w:val="00C07925"/>
    <w:rsid w:val="00C07934"/>
    <w:rsid w:val="00C101CD"/>
    <w:rsid w:val="00C1205B"/>
    <w:rsid w:val="00C1212A"/>
    <w:rsid w:val="00C12356"/>
    <w:rsid w:val="00C130E4"/>
    <w:rsid w:val="00C13EF5"/>
    <w:rsid w:val="00C1583D"/>
    <w:rsid w:val="00C17027"/>
    <w:rsid w:val="00C1740C"/>
    <w:rsid w:val="00C17609"/>
    <w:rsid w:val="00C17F41"/>
    <w:rsid w:val="00C20367"/>
    <w:rsid w:val="00C20D08"/>
    <w:rsid w:val="00C232BC"/>
    <w:rsid w:val="00C24074"/>
    <w:rsid w:val="00C2493B"/>
    <w:rsid w:val="00C25ADA"/>
    <w:rsid w:val="00C26995"/>
    <w:rsid w:val="00C27678"/>
    <w:rsid w:val="00C30504"/>
    <w:rsid w:val="00C308B6"/>
    <w:rsid w:val="00C31177"/>
    <w:rsid w:val="00C31346"/>
    <w:rsid w:val="00C31DC1"/>
    <w:rsid w:val="00C33162"/>
    <w:rsid w:val="00C34216"/>
    <w:rsid w:val="00C3460D"/>
    <w:rsid w:val="00C349E0"/>
    <w:rsid w:val="00C356A9"/>
    <w:rsid w:val="00C36950"/>
    <w:rsid w:val="00C41797"/>
    <w:rsid w:val="00C4452D"/>
    <w:rsid w:val="00C47DC3"/>
    <w:rsid w:val="00C5109A"/>
    <w:rsid w:val="00C51755"/>
    <w:rsid w:val="00C51E13"/>
    <w:rsid w:val="00C52765"/>
    <w:rsid w:val="00C52A6B"/>
    <w:rsid w:val="00C53DB6"/>
    <w:rsid w:val="00C54167"/>
    <w:rsid w:val="00C541FB"/>
    <w:rsid w:val="00C54B89"/>
    <w:rsid w:val="00C54EB8"/>
    <w:rsid w:val="00C57E71"/>
    <w:rsid w:val="00C60816"/>
    <w:rsid w:val="00C60F04"/>
    <w:rsid w:val="00C614C2"/>
    <w:rsid w:val="00C61B31"/>
    <w:rsid w:val="00C61F0D"/>
    <w:rsid w:val="00C62285"/>
    <w:rsid w:val="00C635D2"/>
    <w:rsid w:val="00C63C49"/>
    <w:rsid w:val="00C63D09"/>
    <w:rsid w:val="00C6407F"/>
    <w:rsid w:val="00C64172"/>
    <w:rsid w:val="00C652DC"/>
    <w:rsid w:val="00C65F2F"/>
    <w:rsid w:val="00C662A5"/>
    <w:rsid w:val="00C67595"/>
    <w:rsid w:val="00C677E7"/>
    <w:rsid w:val="00C720E4"/>
    <w:rsid w:val="00C74A70"/>
    <w:rsid w:val="00C758F9"/>
    <w:rsid w:val="00C76EBA"/>
    <w:rsid w:val="00C77E32"/>
    <w:rsid w:val="00C803CE"/>
    <w:rsid w:val="00C8084B"/>
    <w:rsid w:val="00C819F9"/>
    <w:rsid w:val="00C81F22"/>
    <w:rsid w:val="00C82BC8"/>
    <w:rsid w:val="00C85AA3"/>
    <w:rsid w:val="00C85E77"/>
    <w:rsid w:val="00C86B5C"/>
    <w:rsid w:val="00C86E6D"/>
    <w:rsid w:val="00C9092A"/>
    <w:rsid w:val="00C911D4"/>
    <w:rsid w:val="00C91287"/>
    <w:rsid w:val="00C93521"/>
    <w:rsid w:val="00C93888"/>
    <w:rsid w:val="00C93BB4"/>
    <w:rsid w:val="00C94090"/>
    <w:rsid w:val="00C947AD"/>
    <w:rsid w:val="00C94D3F"/>
    <w:rsid w:val="00C96459"/>
    <w:rsid w:val="00C96E38"/>
    <w:rsid w:val="00C9731B"/>
    <w:rsid w:val="00C97C92"/>
    <w:rsid w:val="00CA0401"/>
    <w:rsid w:val="00CA0A89"/>
    <w:rsid w:val="00CA0B59"/>
    <w:rsid w:val="00CA1375"/>
    <w:rsid w:val="00CA179C"/>
    <w:rsid w:val="00CA48F1"/>
    <w:rsid w:val="00CA4C9C"/>
    <w:rsid w:val="00CA55D0"/>
    <w:rsid w:val="00CA5B1E"/>
    <w:rsid w:val="00CA6289"/>
    <w:rsid w:val="00CA7C4D"/>
    <w:rsid w:val="00CB04EB"/>
    <w:rsid w:val="00CB2777"/>
    <w:rsid w:val="00CB333C"/>
    <w:rsid w:val="00CB478B"/>
    <w:rsid w:val="00CB54C8"/>
    <w:rsid w:val="00CB6525"/>
    <w:rsid w:val="00CB728B"/>
    <w:rsid w:val="00CC027E"/>
    <w:rsid w:val="00CC2027"/>
    <w:rsid w:val="00CC26F5"/>
    <w:rsid w:val="00CC2C1B"/>
    <w:rsid w:val="00CC3B42"/>
    <w:rsid w:val="00CC42AB"/>
    <w:rsid w:val="00CC44F4"/>
    <w:rsid w:val="00CC66B9"/>
    <w:rsid w:val="00CC6847"/>
    <w:rsid w:val="00CC6D78"/>
    <w:rsid w:val="00CC7F58"/>
    <w:rsid w:val="00CD01CF"/>
    <w:rsid w:val="00CD088F"/>
    <w:rsid w:val="00CD186C"/>
    <w:rsid w:val="00CD1FC9"/>
    <w:rsid w:val="00CD1FE4"/>
    <w:rsid w:val="00CD2E19"/>
    <w:rsid w:val="00CD2FC2"/>
    <w:rsid w:val="00CD3717"/>
    <w:rsid w:val="00CD3A53"/>
    <w:rsid w:val="00CD3B17"/>
    <w:rsid w:val="00CD3BC9"/>
    <w:rsid w:val="00CD4DF8"/>
    <w:rsid w:val="00CE0432"/>
    <w:rsid w:val="00CE0C86"/>
    <w:rsid w:val="00CE14CE"/>
    <w:rsid w:val="00CE1C4C"/>
    <w:rsid w:val="00CE3A57"/>
    <w:rsid w:val="00CE3C06"/>
    <w:rsid w:val="00CE6F12"/>
    <w:rsid w:val="00CE743A"/>
    <w:rsid w:val="00CE7812"/>
    <w:rsid w:val="00CF08D3"/>
    <w:rsid w:val="00CF0EA2"/>
    <w:rsid w:val="00CF1299"/>
    <w:rsid w:val="00CF29E3"/>
    <w:rsid w:val="00CF34B8"/>
    <w:rsid w:val="00CF3ABC"/>
    <w:rsid w:val="00CF4957"/>
    <w:rsid w:val="00CF6FCE"/>
    <w:rsid w:val="00CF7043"/>
    <w:rsid w:val="00CF727C"/>
    <w:rsid w:val="00CF754D"/>
    <w:rsid w:val="00CF77E7"/>
    <w:rsid w:val="00D02675"/>
    <w:rsid w:val="00D02DFC"/>
    <w:rsid w:val="00D02EE4"/>
    <w:rsid w:val="00D04651"/>
    <w:rsid w:val="00D04E21"/>
    <w:rsid w:val="00D0655D"/>
    <w:rsid w:val="00D073F3"/>
    <w:rsid w:val="00D077B7"/>
    <w:rsid w:val="00D10427"/>
    <w:rsid w:val="00D1066A"/>
    <w:rsid w:val="00D10A35"/>
    <w:rsid w:val="00D10A83"/>
    <w:rsid w:val="00D10ED1"/>
    <w:rsid w:val="00D11DA0"/>
    <w:rsid w:val="00D1209F"/>
    <w:rsid w:val="00D12713"/>
    <w:rsid w:val="00D12EC1"/>
    <w:rsid w:val="00D138E6"/>
    <w:rsid w:val="00D1431C"/>
    <w:rsid w:val="00D16327"/>
    <w:rsid w:val="00D166EA"/>
    <w:rsid w:val="00D16CFB"/>
    <w:rsid w:val="00D16DE6"/>
    <w:rsid w:val="00D17BA4"/>
    <w:rsid w:val="00D208A6"/>
    <w:rsid w:val="00D20EAC"/>
    <w:rsid w:val="00D213E6"/>
    <w:rsid w:val="00D213F4"/>
    <w:rsid w:val="00D22F77"/>
    <w:rsid w:val="00D243A2"/>
    <w:rsid w:val="00D25DF2"/>
    <w:rsid w:val="00D26BAA"/>
    <w:rsid w:val="00D2720E"/>
    <w:rsid w:val="00D2788C"/>
    <w:rsid w:val="00D30090"/>
    <w:rsid w:val="00D31123"/>
    <w:rsid w:val="00D31A9C"/>
    <w:rsid w:val="00D31B8D"/>
    <w:rsid w:val="00D3309D"/>
    <w:rsid w:val="00D34708"/>
    <w:rsid w:val="00D351A2"/>
    <w:rsid w:val="00D36209"/>
    <w:rsid w:val="00D36496"/>
    <w:rsid w:val="00D370DD"/>
    <w:rsid w:val="00D37D21"/>
    <w:rsid w:val="00D40186"/>
    <w:rsid w:val="00D40A92"/>
    <w:rsid w:val="00D460AC"/>
    <w:rsid w:val="00D460E5"/>
    <w:rsid w:val="00D46CD3"/>
    <w:rsid w:val="00D46D80"/>
    <w:rsid w:val="00D476CE"/>
    <w:rsid w:val="00D479A4"/>
    <w:rsid w:val="00D506E1"/>
    <w:rsid w:val="00D50CFD"/>
    <w:rsid w:val="00D510E0"/>
    <w:rsid w:val="00D52F53"/>
    <w:rsid w:val="00D534E2"/>
    <w:rsid w:val="00D5534B"/>
    <w:rsid w:val="00D56B2D"/>
    <w:rsid w:val="00D56E13"/>
    <w:rsid w:val="00D570F4"/>
    <w:rsid w:val="00D607C2"/>
    <w:rsid w:val="00D60B78"/>
    <w:rsid w:val="00D61068"/>
    <w:rsid w:val="00D61199"/>
    <w:rsid w:val="00D61F40"/>
    <w:rsid w:val="00D62259"/>
    <w:rsid w:val="00D622EC"/>
    <w:rsid w:val="00D623AF"/>
    <w:rsid w:val="00D64982"/>
    <w:rsid w:val="00D65953"/>
    <w:rsid w:val="00D65A78"/>
    <w:rsid w:val="00D71C7E"/>
    <w:rsid w:val="00D71E3A"/>
    <w:rsid w:val="00D73444"/>
    <w:rsid w:val="00D73633"/>
    <w:rsid w:val="00D73FDF"/>
    <w:rsid w:val="00D75813"/>
    <w:rsid w:val="00D76018"/>
    <w:rsid w:val="00D76083"/>
    <w:rsid w:val="00D76A87"/>
    <w:rsid w:val="00D76F54"/>
    <w:rsid w:val="00D7779A"/>
    <w:rsid w:val="00D8040E"/>
    <w:rsid w:val="00D808AE"/>
    <w:rsid w:val="00D82051"/>
    <w:rsid w:val="00D83251"/>
    <w:rsid w:val="00D85744"/>
    <w:rsid w:val="00D863F8"/>
    <w:rsid w:val="00D90682"/>
    <w:rsid w:val="00D90FDA"/>
    <w:rsid w:val="00D92D20"/>
    <w:rsid w:val="00D92FAC"/>
    <w:rsid w:val="00D943A3"/>
    <w:rsid w:val="00D968C5"/>
    <w:rsid w:val="00D96D49"/>
    <w:rsid w:val="00D97408"/>
    <w:rsid w:val="00D9761B"/>
    <w:rsid w:val="00D9780E"/>
    <w:rsid w:val="00DA049C"/>
    <w:rsid w:val="00DA1430"/>
    <w:rsid w:val="00DA2F03"/>
    <w:rsid w:val="00DA4AB1"/>
    <w:rsid w:val="00DA4E28"/>
    <w:rsid w:val="00DA657E"/>
    <w:rsid w:val="00DA68F6"/>
    <w:rsid w:val="00DA6D2D"/>
    <w:rsid w:val="00DA6F72"/>
    <w:rsid w:val="00DB03D9"/>
    <w:rsid w:val="00DB0ED2"/>
    <w:rsid w:val="00DB1159"/>
    <w:rsid w:val="00DB3587"/>
    <w:rsid w:val="00DB4DC9"/>
    <w:rsid w:val="00DB52EA"/>
    <w:rsid w:val="00DB5427"/>
    <w:rsid w:val="00DB5510"/>
    <w:rsid w:val="00DB7330"/>
    <w:rsid w:val="00DB7BD6"/>
    <w:rsid w:val="00DC01CF"/>
    <w:rsid w:val="00DC0304"/>
    <w:rsid w:val="00DC05AA"/>
    <w:rsid w:val="00DC05C9"/>
    <w:rsid w:val="00DC07E6"/>
    <w:rsid w:val="00DC1625"/>
    <w:rsid w:val="00DC2245"/>
    <w:rsid w:val="00DC3292"/>
    <w:rsid w:val="00DC34CA"/>
    <w:rsid w:val="00DC3758"/>
    <w:rsid w:val="00DC5EF3"/>
    <w:rsid w:val="00DC7EE0"/>
    <w:rsid w:val="00DD1CB4"/>
    <w:rsid w:val="00DD1D88"/>
    <w:rsid w:val="00DD1DFE"/>
    <w:rsid w:val="00DD22A5"/>
    <w:rsid w:val="00DD25AF"/>
    <w:rsid w:val="00DD4618"/>
    <w:rsid w:val="00DD4911"/>
    <w:rsid w:val="00DD4FA5"/>
    <w:rsid w:val="00DD6099"/>
    <w:rsid w:val="00DD63EA"/>
    <w:rsid w:val="00DD708E"/>
    <w:rsid w:val="00DD7942"/>
    <w:rsid w:val="00DE0C29"/>
    <w:rsid w:val="00DE0F91"/>
    <w:rsid w:val="00DE1EB2"/>
    <w:rsid w:val="00DE260A"/>
    <w:rsid w:val="00DE3126"/>
    <w:rsid w:val="00DE3142"/>
    <w:rsid w:val="00DE3271"/>
    <w:rsid w:val="00DE4301"/>
    <w:rsid w:val="00DE4336"/>
    <w:rsid w:val="00DE4F7E"/>
    <w:rsid w:val="00DE51AF"/>
    <w:rsid w:val="00DE54A2"/>
    <w:rsid w:val="00DE54E1"/>
    <w:rsid w:val="00DE60D8"/>
    <w:rsid w:val="00DE6415"/>
    <w:rsid w:val="00DE6BFE"/>
    <w:rsid w:val="00DE75CE"/>
    <w:rsid w:val="00DF02CF"/>
    <w:rsid w:val="00DF054C"/>
    <w:rsid w:val="00DF0696"/>
    <w:rsid w:val="00DF10DE"/>
    <w:rsid w:val="00DF18EA"/>
    <w:rsid w:val="00DF2554"/>
    <w:rsid w:val="00DF42F2"/>
    <w:rsid w:val="00DF4BFB"/>
    <w:rsid w:val="00DF51F1"/>
    <w:rsid w:val="00DF5223"/>
    <w:rsid w:val="00DF5E5E"/>
    <w:rsid w:val="00DF665C"/>
    <w:rsid w:val="00DF7250"/>
    <w:rsid w:val="00DF72A5"/>
    <w:rsid w:val="00DF7367"/>
    <w:rsid w:val="00E00549"/>
    <w:rsid w:val="00E00BCE"/>
    <w:rsid w:val="00E0154C"/>
    <w:rsid w:val="00E031E4"/>
    <w:rsid w:val="00E04341"/>
    <w:rsid w:val="00E04D37"/>
    <w:rsid w:val="00E04F98"/>
    <w:rsid w:val="00E05BBE"/>
    <w:rsid w:val="00E05C5C"/>
    <w:rsid w:val="00E060D6"/>
    <w:rsid w:val="00E06342"/>
    <w:rsid w:val="00E06AB9"/>
    <w:rsid w:val="00E07ED7"/>
    <w:rsid w:val="00E100B6"/>
    <w:rsid w:val="00E10188"/>
    <w:rsid w:val="00E10C8D"/>
    <w:rsid w:val="00E1153C"/>
    <w:rsid w:val="00E11A31"/>
    <w:rsid w:val="00E11B4B"/>
    <w:rsid w:val="00E13035"/>
    <w:rsid w:val="00E134B3"/>
    <w:rsid w:val="00E1363E"/>
    <w:rsid w:val="00E140C7"/>
    <w:rsid w:val="00E143C7"/>
    <w:rsid w:val="00E15207"/>
    <w:rsid w:val="00E1529C"/>
    <w:rsid w:val="00E1579C"/>
    <w:rsid w:val="00E15D47"/>
    <w:rsid w:val="00E16995"/>
    <w:rsid w:val="00E16DDA"/>
    <w:rsid w:val="00E16FE8"/>
    <w:rsid w:val="00E20949"/>
    <w:rsid w:val="00E21088"/>
    <w:rsid w:val="00E21B5B"/>
    <w:rsid w:val="00E22095"/>
    <w:rsid w:val="00E22184"/>
    <w:rsid w:val="00E230CE"/>
    <w:rsid w:val="00E24F6E"/>
    <w:rsid w:val="00E25417"/>
    <w:rsid w:val="00E26FF4"/>
    <w:rsid w:val="00E271C1"/>
    <w:rsid w:val="00E2760F"/>
    <w:rsid w:val="00E27C67"/>
    <w:rsid w:val="00E3064D"/>
    <w:rsid w:val="00E329D2"/>
    <w:rsid w:val="00E33458"/>
    <w:rsid w:val="00E33AFA"/>
    <w:rsid w:val="00E34041"/>
    <w:rsid w:val="00E34D99"/>
    <w:rsid w:val="00E352DF"/>
    <w:rsid w:val="00E36CA0"/>
    <w:rsid w:val="00E37057"/>
    <w:rsid w:val="00E40836"/>
    <w:rsid w:val="00E41464"/>
    <w:rsid w:val="00E4185F"/>
    <w:rsid w:val="00E418A7"/>
    <w:rsid w:val="00E41E7D"/>
    <w:rsid w:val="00E430C1"/>
    <w:rsid w:val="00E4395B"/>
    <w:rsid w:val="00E44086"/>
    <w:rsid w:val="00E4417C"/>
    <w:rsid w:val="00E45518"/>
    <w:rsid w:val="00E45D67"/>
    <w:rsid w:val="00E50D22"/>
    <w:rsid w:val="00E51237"/>
    <w:rsid w:val="00E514E1"/>
    <w:rsid w:val="00E51D03"/>
    <w:rsid w:val="00E52070"/>
    <w:rsid w:val="00E55CD7"/>
    <w:rsid w:val="00E56118"/>
    <w:rsid w:val="00E56C65"/>
    <w:rsid w:val="00E60023"/>
    <w:rsid w:val="00E600D6"/>
    <w:rsid w:val="00E605AE"/>
    <w:rsid w:val="00E609BB"/>
    <w:rsid w:val="00E61031"/>
    <w:rsid w:val="00E613A0"/>
    <w:rsid w:val="00E6235E"/>
    <w:rsid w:val="00E636C0"/>
    <w:rsid w:val="00E64383"/>
    <w:rsid w:val="00E66C45"/>
    <w:rsid w:val="00E674E5"/>
    <w:rsid w:val="00E675D0"/>
    <w:rsid w:val="00E702C4"/>
    <w:rsid w:val="00E70B8C"/>
    <w:rsid w:val="00E71EFD"/>
    <w:rsid w:val="00E741D5"/>
    <w:rsid w:val="00E74412"/>
    <w:rsid w:val="00E74EEC"/>
    <w:rsid w:val="00E74FFA"/>
    <w:rsid w:val="00E76683"/>
    <w:rsid w:val="00E767D2"/>
    <w:rsid w:val="00E81AB3"/>
    <w:rsid w:val="00E83F56"/>
    <w:rsid w:val="00E841DE"/>
    <w:rsid w:val="00E8455F"/>
    <w:rsid w:val="00E85A3B"/>
    <w:rsid w:val="00E874B4"/>
    <w:rsid w:val="00E90301"/>
    <w:rsid w:val="00E90F8A"/>
    <w:rsid w:val="00E9259D"/>
    <w:rsid w:val="00E92B74"/>
    <w:rsid w:val="00E93101"/>
    <w:rsid w:val="00E9313E"/>
    <w:rsid w:val="00E93761"/>
    <w:rsid w:val="00E948A5"/>
    <w:rsid w:val="00E95067"/>
    <w:rsid w:val="00E95E3E"/>
    <w:rsid w:val="00E95E76"/>
    <w:rsid w:val="00E962F2"/>
    <w:rsid w:val="00E970CA"/>
    <w:rsid w:val="00E973D5"/>
    <w:rsid w:val="00EA010D"/>
    <w:rsid w:val="00EA0ED1"/>
    <w:rsid w:val="00EA12B5"/>
    <w:rsid w:val="00EA1523"/>
    <w:rsid w:val="00EA279A"/>
    <w:rsid w:val="00EA2F8B"/>
    <w:rsid w:val="00EA3A1D"/>
    <w:rsid w:val="00EA57D0"/>
    <w:rsid w:val="00EA6445"/>
    <w:rsid w:val="00EA6973"/>
    <w:rsid w:val="00EA70CB"/>
    <w:rsid w:val="00EA7D98"/>
    <w:rsid w:val="00EB2483"/>
    <w:rsid w:val="00EB2F51"/>
    <w:rsid w:val="00EB41DA"/>
    <w:rsid w:val="00EB4759"/>
    <w:rsid w:val="00EB5B14"/>
    <w:rsid w:val="00EB683C"/>
    <w:rsid w:val="00EB734F"/>
    <w:rsid w:val="00EB75C2"/>
    <w:rsid w:val="00EC0019"/>
    <w:rsid w:val="00EC02A2"/>
    <w:rsid w:val="00EC0520"/>
    <w:rsid w:val="00EC070C"/>
    <w:rsid w:val="00EC0E05"/>
    <w:rsid w:val="00EC17B5"/>
    <w:rsid w:val="00EC23BF"/>
    <w:rsid w:val="00EC2428"/>
    <w:rsid w:val="00EC3BFD"/>
    <w:rsid w:val="00EC3E45"/>
    <w:rsid w:val="00EC439B"/>
    <w:rsid w:val="00EC5E5E"/>
    <w:rsid w:val="00EC7FDD"/>
    <w:rsid w:val="00ED0996"/>
    <w:rsid w:val="00ED1312"/>
    <w:rsid w:val="00ED1A64"/>
    <w:rsid w:val="00ED3E13"/>
    <w:rsid w:val="00ED5F31"/>
    <w:rsid w:val="00ED64EE"/>
    <w:rsid w:val="00EE0049"/>
    <w:rsid w:val="00EE01D0"/>
    <w:rsid w:val="00EE055B"/>
    <w:rsid w:val="00EE05B8"/>
    <w:rsid w:val="00EE0E63"/>
    <w:rsid w:val="00EE10A5"/>
    <w:rsid w:val="00EE1BA6"/>
    <w:rsid w:val="00EE2AC6"/>
    <w:rsid w:val="00EE2EBF"/>
    <w:rsid w:val="00EE5274"/>
    <w:rsid w:val="00EE55CB"/>
    <w:rsid w:val="00EE6081"/>
    <w:rsid w:val="00EE6375"/>
    <w:rsid w:val="00EE6A96"/>
    <w:rsid w:val="00EE71C2"/>
    <w:rsid w:val="00EF05FD"/>
    <w:rsid w:val="00EF1219"/>
    <w:rsid w:val="00EF1B3B"/>
    <w:rsid w:val="00EF231F"/>
    <w:rsid w:val="00EF3C22"/>
    <w:rsid w:val="00EF4657"/>
    <w:rsid w:val="00EF4C37"/>
    <w:rsid w:val="00EF4F0B"/>
    <w:rsid w:val="00EF5217"/>
    <w:rsid w:val="00EF5378"/>
    <w:rsid w:val="00EF54AC"/>
    <w:rsid w:val="00EF59F0"/>
    <w:rsid w:val="00EF5EF3"/>
    <w:rsid w:val="00EF6F47"/>
    <w:rsid w:val="00F007BC"/>
    <w:rsid w:val="00F01733"/>
    <w:rsid w:val="00F02EA7"/>
    <w:rsid w:val="00F033F2"/>
    <w:rsid w:val="00F045F2"/>
    <w:rsid w:val="00F051A2"/>
    <w:rsid w:val="00F055FE"/>
    <w:rsid w:val="00F05AF4"/>
    <w:rsid w:val="00F05C68"/>
    <w:rsid w:val="00F05FD8"/>
    <w:rsid w:val="00F10B41"/>
    <w:rsid w:val="00F10CB6"/>
    <w:rsid w:val="00F113B5"/>
    <w:rsid w:val="00F1154F"/>
    <w:rsid w:val="00F11DDD"/>
    <w:rsid w:val="00F12106"/>
    <w:rsid w:val="00F13231"/>
    <w:rsid w:val="00F15101"/>
    <w:rsid w:val="00F15307"/>
    <w:rsid w:val="00F15AB4"/>
    <w:rsid w:val="00F15D05"/>
    <w:rsid w:val="00F15ED8"/>
    <w:rsid w:val="00F164E6"/>
    <w:rsid w:val="00F16DC2"/>
    <w:rsid w:val="00F16E89"/>
    <w:rsid w:val="00F178C8"/>
    <w:rsid w:val="00F17B63"/>
    <w:rsid w:val="00F20B5D"/>
    <w:rsid w:val="00F21756"/>
    <w:rsid w:val="00F2296F"/>
    <w:rsid w:val="00F22DC4"/>
    <w:rsid w:val="00F24D45"/>
    <w:rsid w:val="00F252E5"/>
    <w:rsid w:val="00F26AA1"/>
    <w:rsid w:val="00F30CF8"/>
    <w:rsid w:val="00F31F04"/>
    <w:rsid w:val="00F34292"/>
    <w:rsid w:val="00F35F54"/>
    <w:rsid w:val="00F362B5"/>
    <w:rsid w:val="00F40A99"/>
    <w:rsid w:val="00F42FEF"/>
    <w:rsid w:val="00F46E21"/>
    <w:rsid w:val="00F4723C"/>
    <w:rsid w:val="00F47F3F"/>
    <w:rsid w:val="00F50D7A"/>
    <w:rsid w:val="00F520A9"/>
    <w:rsid w:val="00F52F66"/>
    <w:rsid w:val="00F53AA0"/>
    <w:rsid w:val="00F54B7A"/>
    <w:rsid w:val="00F5519F"/>
    <w:rsid w:val="00F553B1"/>
    <w:rsid w:val="00F55B94"/>
    <w:rsid w:val="00F5716E"/>
    <w:rsid w:val="00F57471"/>
    <w:rsid w:val="00F57672"/>
    <w:rsid w:val="00F57978"/>
    <w:rsid w:val="00F60260"/>
    <w:rsid w:val="00F608E2"/>
    <w:rsid w:val="00F612B1"/>
    <w:rsid w:val="00F61A41"/>
    <w:rsid w:val="00F61E95"/>
    <w:rsid w:val="00F63934"/>
    <w:rsid w:val="00F64BE6"/>
    <w:rsid w:val="00F64DD5"/>
    <w:rsid w:val="00F64F8E"/>
    <w:rsid w:val="00F65ED9"/>
    <w:rsid w:val="00F66501"/>
    <w:rsid w:val="00F7014A"/>
    <w:rsid w:val="00F715BA"/>
    <w:rsid w:val="00F72CAC"/>
    <w:rsid w:val="00F74C4E"/>
    <w:rsid w:val="00F750A2"/>
    <w:rsid w:val="00F76109"/>
    <w:rsid w:val="00F76B24"/>
    <w:rsid w:val="00F76B4C"/>
    <w:rsid w:val="00F7719C"/>
    <w:rsid w:val="00F777F3"/>
    <w:rsid w:val="00F80155"/>
    <w:rsid w:val="00F804F9"/>
    <w:rsid w:val="00F8118E"/>
    <w:rsid w:val="00F84C34"/>
    <w:rsid w:val="00F8609A"/>
    <w:rsid w:val="00F86B1B"/>
    <w:rsid w:val="00F873D2"/>
    <w:rsid w:val="00F8764E"/>
    <w:rsid w:val="00F877ED"/>
    <w:rsid w:val="00F878A5"/>
    <w:rsid w:val="00F87F71"/>
    <w:rsid w:val="00F90589"/>
    <w:rsid w:val="00F90A8F"/>
    <w:rsid w:val="00F91D2F"/>
    <w:rsid w:val="00F923DE"/>
    <w:rsid w:val="00F9332C"/>
    <w:rsid w:val="00F95529"/>
    <w:rsid w:val="00F966D4"/>
    <w:rsid w:val="00F96CC1"/>
    <w:rsid w:val="00F977F7"/>
    <w:rsid w:val="00FA108E"/>
    <w:rsid w:val="00FA2C7A"/>
    <w:rsid w:val="00FA2F73"/>
    <w:rsid w:val="00FA3EB0"/>
    <w:rsid w:val="00FA49D9"/>
    <w:rsid w:val="00FA4A08"/>
    <w:rsid w:val="00FA4CAB"/>
    <w:rsid w:val="00FA4DB9"/>
    <w:rsid w:val="00FA59B4"/>
    <w:rsid w:val="00FA60BF"/>
    <w:rsid w:val="00FA67E6"/>
    <w:rsid w:val="00FA7D6D"/>
    <w:rsid w:val="00FB06AC"/>
    <w:rsid w:val="00FB13C0"/>
    <w:rsid w:val="00FB204D"/>
    <w:rsid w:val="00FB25FB"/>
    <w:rsid w:val="00FB2AE1"/>
    <w:rsid w:val="00FB36F3"/>
    <w:rsid w:val="00FB4486"/>
    <w:rsid w:val="00FB4BAB"/>
    <w:rsid w:val="00FB4C7F"/>
    <w:rsid w:val="00FB4DFC"/>
    <w:rsid w:val="00FB4E8D"/>
    <w:rsid w:val="00FB6606"/>
    <w:rsid w:val="00FB6C2C"/>
    <w:rsid w:val="00FB6F40"/>
    <w:rsid w:val="00FB6FB1"/>
    <w:rsid w:val="00FB7CD5"/>
    <w:rsid w:val="00FC057E"/>
    <w:rsid w:val="00FC09B6"/>
    <w:rsid w:val="00FC1ED9"/>
    <w:rsid w:val="00FC23EF"/>
    <w:rsid w:val="00FC55B3"/>
    <w:rsid w:val="00FC5B0E"/>
    <w:rsid w:val="00FC5F72"/>
    <w:rsid w:val="00FC692E"/>
    <w:rsid w:val="00FC6A64"/>
    <w:rsid w:val="00FD00AF"/>
    <w:rsid w:val="00FD0635"/>
    <w:rsid w:val="00FD1E0C"/>
    <w:rsid w:val="00FD2604"/>
    <w:rsid w:val="00FD2728"/>
    <w:rsid w:val="00FD2A1B"/>
    <w:rsid w:val="00FD326B"/>
    <w:rsid w:val="00FD5416"/>
    <w:rsid w:val="00FD6FA6"/>
    <w:rsid w:val="00FD7CE2"/>
    <w:rsid w:val="00FE0090"/>
    <w:rsid w:val="00FE0490"/>
    <w:rsid w:val="00FE14CB"/>
    <w:rsid w:val="00FE21E3"/>
    <w:rsid w:val="00FE25D0"/>
    <w:rsid w:val="00FE3C8C"/>
    <w:rsid w:val="00FE571D"/>
    <w:rsid w:val="00FE585E"/>
    <w:rsid w:val="00FE5999"/>
    <w:rsid w:val="00FE5A74"/>
    <w:rsid w:val="00FE5EF4"/>
    <w:rsid w:val="00FE6508"/>
    <w:rsid w:val="00FE6905"/>
    <w:rsid w:val="00FE7EE4"/>
    <w:rsid w:val="00FF13A4"/>
    <w:rsid w:val="00FF1496"/>
    <w:rsid w:val="00FF32A1"/>
    <w:rsid w:val="00FF37E9"/>
    <w:rsid w:val="00FF3FA1"/>
    <w:rsid w:val="00FF5D23"/>
    <w:rsid w:val="00FF615D"/>
    <w:rsid w:val="00FF6511"/>
    <w:rsid w:val="00FF6D98"/>
    <w:rsid w:val="00FF7475"/>
    <w:rsid w:val="00FF7D2B"/>
    <w:rsid w:val="01A71776"/>
    <w:rsid w:val="01E274E0"/>
    <w:rsid w:val="021F2E8D"/>
    <w:rsid w:val="02AA5B7D"/>
    <w:rsid w:val="02E23B82"/>
    <w:rsid w:val="03433A15"/>
    <w:rsid w:val="03554F68"/>
    <w:rsid w:val="03DE7AE9"/>
    <w:rsid w:val="040F3D70"/>
    <w:rsid w:val="04B66128"/>
    <w:rsid w:val="04CF716A"/>
    <w:rsid w:val="05B970E0"/>
    <w:rsid w:val="06311428"/>
    <w:rsid w:val="064B660F"/>
    <w:rsid w:val="064C3F14"/>
    <w:rsid w:val="06D1098D"/>
    <w:rsid w:val="07344756"/>
    <w:rsid w:val="080D768A"/>
    <w:rsid w:val="083D4F1A"/>
    <w:rsid w:val="089321E6"/>
    <w:rsid w:val="08AB601E"/>
    <w:rsid w:val="0A6E1588"/>
    <w:rsid w:val="0B657B94"/>
    <w:rsid w:val="0BBB6595"/>
    <w:rsid w:val="0BC52A4B"/>
    <w:rsid w:val="0C471254"/>
    <w:rsid w:val="0C6726D1"/>
    <w:rsid w:val="0C857FD9"/>
    <w:rsid w:val="0CDA4765"/>
    <w:rsid w:val="0CE17F47"/>
    <w:rsid w:val="0CFF716D"/>
    <w:rsid w:val="0D011B3A"/>
    <w:rsid w:val="0D1E1C95"/>
    <w:rsid w:val="0E697D19"/>
    <w:rsid w:val="0E950C63"/>
    <w:rsid w:val="0EBF3E76"/>
    <w:rsid w:val="0EF67745"/>
    <w:rsid w:val="0F3747BA"/>
    <w:rsid w:val="0F6B0B59"/>
    <w:rsid w:val="0FB02CFE"/>
    <w:rsid w:val="0FC5251F"/>
    <w:rsid w:val="10666255"/>
    <w:rsid w:val="10C62872"/>
    <w:rsid w:val="10FB6B90"/>
    <w:rsid w:val="113960BC"/>
    <w:rsid w:val="130E5924"/>
    <w:rsid w:val="132B2B4B"/>
    <w:rsid w:val="13A638EA"/>
    <w:rsid w:val="13AC6670"/>
    <w:rsid w:val="13BE0704"/>
    <w:rsid w:val="13EC7465"/>
    <w:rsid w:val="14457A7C"/>
    <w:rsid w:val="1464040F"/>
    <w:rsid w:val="146411B3"/>
    <w:rsid w:val="14770F16"/>
    <w:rsid w:val="14F52FE5"/>
    <w:rsid w:val="150A0CB5"/>
    <w:rsid w:val="151D606A"/>
    <w:rsid w:val="156E4926"/>
    <w:rsid w:val="16285816"/>
    <w:rsid w:val="16927D0C"/>
    <w:rsid w:val="17420DF1"/>
    <w:rsid w:val="175672E8"/>
    <w:rsid w:val="17E55AD7"/>
    <w:rsid w:val="182E2909"/>
    <w:rsid w:val="185C1FA2"/>
    <w:rsid w:val="18D25C6E"/>
    <w:rsid w:val="19695702"/>
    <w:rsid w:val="199C547A"/>
    <w:rsid w:val="1A21343D"/>
    <w:rsid w:val="1A3732E0"/>
    <w:rsid w:val="1A7333D4"/>
    <w:rsid w:val="1B176618"/>
    <w:rsid w:val="1B311555"/>
    <w:rsid w:val="1BDE2731"/>
    <w:rsid w:val="1C6D67B6"/>
    <w:rsid w:val="1C6E114D"/>
    <w:rsid w:val="1CB6273E"/>
    <w:rsid w:val="1D3B2AD1"/>
    <w:rsid w:val="1D9E3913"/>
    <w:rsid w:val="1D9F75EB"/>
    <w:rsid w:val="1DAB2D6B"/>
    <w:rsid w:val="1E457FA5"/>
    <w:rsid w:val="1E703E8C"/>
    <w:rsid w:val="1E8577B5"/>
    <w:rsid w:val="1EEB72DF"/>
    <w:rsid w:val="1F25374F"/>
    <w:rsid w:val="1FB45B75"/>
    <w:rsid w:val="1FD00E3E"/>
    <w:rsid w:val="1FE1254C"/>
    <w:rsid w:val="20960049"/>
    <w:rsid w:val="213327DD"/>
    <w:rsid w:val="213837AC"/>
    <w:rsid w:val="21444B65"/>
    <w:rsid w:val="22525555"/>
    <w:rsid w:val="22954160"/>
    <w:rsid w:val="23346271"/>
    <w:rsid w:val="23864454"/>
    <w:rsid w:val="23A871EB"/>
    <w:rsid w:val="24085B1D"/>
    <w:rsid w:val="24AB2CF8"/>
    <w:rsid w:val="25801E28"/>
    <w:rsid w:val="25B368EF"/>
    <w:rsid w:val="25DD2D5E"/>
    <w:rsid w:val="26112049"/>
    <w:rsid w:val="26A45B8A"/>
    <w:rsid w:val="276D0CBA"/>
    <w:rsid w:val="278F43F8"/>
    <w:rsid w:val="2799320E"/>
    <w:rsid w:val="28A112BE"/>
    <w:rsid w:val="29055E8C"/>
    <w:rsid w:val="29591F3F"/>
    <w:rsid w:val="297C4317"/>
    <w:rsid w:val="2A8D33C0"/>
    <w:rsid w:val="2A905451"/>
    <w:rsid w:val="2AB772D9"/>
    <w:rsid w:val="2B0A01F9"/>
    <w:rsid w:val="2B733F06"/>
    <w:rsid w:val="2BC060EA"/>
    <w:rsid w:val="2BCA663C"/>
    <w:rsid w:val="2C4172EA"/>
    <w:rsid w:val="2CED25AE"/>
    <w:rsid w:val="2CFC6971"/>
    <w:rsid w:val="2E204B94"/>
    <w:rsid w:val="2ED222DD"/>
    <w:rsid w:val="2EF759D2"/>
    <w:rsid w:val="2F2E13E3"/>
    <w:rsid w:val="2FC14016"/>
    <w:rsid w:val="3121636C"/>
    <w:rsid w:val="313B5858"/>
    <w:rsid w:val="31A35157"/>
    <w:rsid w:val="31CF708E"/>
    <w:rsid w:val="32A57649"/>
    <w:rsid w:val="32E86094"/>
    <w:rsid w:val="33125515"/>
    <w:rsid w:val="332778E6"/>
    <w:rsid w:val="33351062"/>
    <w:rsid w:val="341E7787"/>
    <w:rsid w:val="35254AE9"/>
    <w:rsid w:val="357E6C66"/>
    <w:rsid w:val="36075561"/>
    <w:rsid w:val="36161B60"/>
    <w:rsid w:val="36541C94"/>
    <w:rsid w:val="368C0D3F"/>
    <w:rsid w:val="36D32766"/>
    <w:rsid w:val="37340B1D"/>
    <w:rsid w:val="373F8D98"/>
    <w:rsid w:val="37631917"/>
    <w:rsid w:val="37AD46B1"/>
    <w:rsid w:val="37C74D9D"/>
    <w:rsid w:val="37F401F0"/>
    <w:rsid w:val="38893E4C"/>
    <w:rsid w:val="38A17ABD"/>
    <w:rsid w:val="38BC79E1"/>
    <w:rsid w:val="39017DC5"/>
    <w:rsid w:val="39375943"/>
    <w:rsid w:val="394C24B0"/>
    <w:rsid w:val="39505E8F"/>
    <w:rsid w:val="395D00CC"/>
    <w:rsid w:val="39C75948"/>
    <w:rsid w:val="3A8D3E1B"/>
    <w:rsid w:val="3AF670DF"/>
    <w:rsid w:val="3B0C300B"/>
    <w:rsid w:val="3B491927"/>
    <w:rsid w:val="3B494567"/>
    <w:rsid w:val="3B6002E9"/>
    <w:rsid w:val="3BA74DCA"/>
    <w:rsid w:val="3C66681A"/>
    <w:rsid w:val="3C7B7C45"/>
    <w:rsid w:val="3D215DC0"/>
    <w:rsid w:val="3E07382C"/>
    <w:rsid w:val="3E931DC5"/>
    <w:rsid w:val="3F377165"/>
    <w:rsid w:val="3F7C70EB"/>
    <w:rsid w:val="3F7D014F"/>
    <w:rsid w:val="3FD04097"/>
    <w:rsid w:val="402406BD"/>
    <w:rsid w:val="409449B1"/>
    <w:rsid w:val="40F168FB"/>
    <w:rsid w:val="41581837"/>
    <w:rsid w:val="418BAFB4"/>
    <w:rsid w:val="418D1537"/>
    <w:rsid w:val="42606FB0"/>
    <w:rsid w:val="42DD0C8B"/>
    <w:rsid w:val="432C46F2"/>
    <w:rsid w:val="433F07FF"/>
    <w:rsid w:val="435B690C"/>
    <w:rsid w:val="43772C44"/>
    <w:rsid w:val="43DD305D"/>
    <w:rsid w:val="43EE444C"/>
    <w:rsid w:val="44127401"/>
    <w:rsid w:val="4481511F"/>
    <w:rsid w:val="449A36F7"/>
    <w:rsid w:val="44AB4F09"/>
    <w:rsid w:val="44C1345F"/>
    <w:rsid w:val="450338D7"/>
    <w:rsid w:val="45235D66"/>
    <w:rsid w:val="454A3D0E"/>
    <w:rsid w:val="456E5F95"/>
    <w:rsid w:val="45954D08"/>
    <w:rsid w:val="459C373C"/>
    <w:rsid w:val="467731D4"/>
    <w:rsid w:val="46897320"/>
    <w:rsid w:val="46D85EA2"/>
    <w:rsid w:val="47075239"/>
    <w:rsid w:val="479D2A2E"/>
    <w:rsid w:val="48223734"/>
    <w:rsid w:val="482C7B89"/>
    <w:rsid w:val="48A65D93"/>
    <w:rsid w:val="49555AFB"/>
    <w:rsid w:val="498C237F"/>
    <w:rsid w:val="49911941"/>
    <w:rsid w:val="49AF10F0"/>
    <w:rsid w:val="49BD39F5"/>
    <w:rsid w:val="4A2603A5"/>
    <w:rsid w:val="4AC8574D"/>
    <w:rsid w:val="4B3B30DB"/>
    <w:rsid w:val="4B421DA5"/>
    <w:rsid w:val="4C1435A8"/>
    <w:rsid w:val="4C267596"/>
    <w:rsid w:val="4C913325"/>
    <w:rsid w:val="4CA14F0B"/>
    <w:rsid w:val="4CAB57D4"/>
    <w:rsid w:val="4CB62598"/>
    <w:rsid w:val="4CED2FB9"/>
    <w:rsid w:val="4D16390E"/>
    <w:rsid w:val="4D8345DA"/>
    <w:rsid w:val="4D893F5F"/>
    <w:rsid w:val="4D8945CB"/>
    <w:rsid w:val="4E2B70BB"/>
    <w:rsid w:val="4E3E325D"/>
    <w:rsid w:val="4E710ABB"/>
    <w:rsid w:val="4E7858DA"/>
    <w:rsid w:val="4F132E30"/>
    <w:rsid w:val="4FA727D4"/>
    <w:rsid w:val="4FDD5D43"/>
    <w:rsid w:val="50944385"/>
    <w:rsid w:val="50DD7F4B"/>
    <w:rsid w:val="511F7529"/>
    <w:rsid w:val="518C2659"/>
    <w:rsid w:val="51F67C28"/>
    <w:rsid w:val="5412063E"/>
    <w:rsid w:val="54150E83"/>
    <w:rsid w:val="54E11E02"/>
    <w:rsid w:val="54E95CD8"/>
    <w:rsid w:val="5508216F"/>
    <w:rsid w:val="55186680"/>
    <w:rsid w:val="551F6180"/>
    <w:rsid w:val="56312EDB"/>
    <w:rsid w:val="56564561"/>
    <w:rsid w:val="567A0087"/>
    <w:rsid w:val="587E56DD"/>
    <w:rsid w:val="58E171CF"/>
    <w:rsid w:val="58ED5BCE"/>
    <w:rsid w:val="59AB2C3C"/>
    <w:rsid w:val="5B8D0B13"/>
    <w:rsid w:val="5BFF1155"/>
    <w:rsid w:val="5D27015D"/>
    <w:rsid w:val="5D5B5065"/>
    <w:rsid w:val="5DED9D75"/>
    <w:rsid w:val="5E7104C8"/>
    <w:rsid w:val="5EA467FA"/>
    <w:rsid w:val="5EA65DEF"/>
    <w:rsid w:val="5EB80508"/>
    <w:rsid w:val="5FF612D7"/>
    <w:rsid w:val="603B19B4"/>
    <w:rsid w:val="60724208"/>
    <w:rsid w:val="60DF56E6"/>
    <w:rsid w:val="60F229B9"/>
    <w:rsid w:val="61092A40"/>
    <w:rsid w:val="61BE21CF"/>
    <w:rsid w:val="61C82338"/>
    <w:rsid w:val="622B131D"/>
    <w:rsid w:val="62320BDE"/>
    <w:rsid w:val="626D134A"/>
    <w:rsid w:val="62700640"/>
    <w:rsid w:val="627D1683"/>
    <w:rsid w:val="628559C8"/>
    <w:rsid w:val="62C90385"/>
    <w:rsid w:val="62E72A4C"/>
    <w:rsid w:val="63D61797"/>
    <w:rsid w:val="644C495D"/>
    <w:rsid w:val="648B25EF"/>
    <w:rsid w:val="64EC1E5C"/>
    <w:rsid w:val="65FA31A1"/>
    <w:rsid w:val="66B27B10"/>
    <w:rsid w:val="66F41243"/>
    <w:rsid w:val="679436C4"/>
    <w:rsid w:val="683A03FE"/>
    <w:rsid w:val="68C46AF0"/>
    <w:rsid w:val="68F230AD"/>
    <w:rsid w:val="6942338E"/>
    <w:rsid w:val="69CB780F"/>
    <w:rsid w:val="69FFE423"/>
    <w:rsid w:val="6A1F5CD0"/>
    <w:rsid w:val="6ACC4E6D"/>
    <w:rsid w:val="6AF9611F"/>
    <w:rsid w:val="6BFD9042"/>
    <w:rsid w:val="6C520652"/>
    <w:rsid w:val="6C574D88"/>
    <w:rsid w:val="6D304694"/>
    <w:rsid w:val="6D7C5FAF"/>
    <w:rsid w:val="6E6A23B4"/>
    <w:rsid w:val="6EF6637F"/>
    <w:rsid w:val="6F0C1E15"/>
    <w:rsid w:val="6F5F0A02"/>
    <w:rsid w:val="6F9208F0"/>
    <w:rsid w:val="6FBF9E51"/>
    <w:rsid w:val="6FD46890"/>
    <w:rsid w:val="6FD64A60"/>
    <w:rsid w:val="70173F03"/>
    <w:rsid w:val="70650505"/>
    <w:rsid w:val="70651D96"/>
    <w:rsid w:val="70D1630B"/>
    <w:rsid w:val="71772B56"/>
    <w:rsid w:val="722F3441"/>
    <w:rsid w:val="7231586C"/>
    <w:rsid w:val="72696558"/>
    <w:rsid w:val="72B01C6E"/>
    <w:rsid w:val="72F247EE"/>
    <w:rsid w:val="734D3F2E"/>
    <w:rsid w:val="73AF4C17"/>
    <w:rsid w:val="748E78D8"/>
    <w:rsid w:val="74D51DF0"/>
    <w:rsid w:val="74DB07F0"/>
    <w:rsid w:val="74E12E70"/>
    <w:rsid w:val="750151C3"/>
    <w:rsid w:val="750E0484"/>
    <w:rsid w:val="755F9275"/>
    <w:rsid w:val="76966FA4"/>
    <w:rsid w:val="76F601A6"/>
    <w:rsid w:val="77396964"/>
    <w:rsid w:val="773B2023"/>
    <w:rsid w:val="775E6DD8"/>
    <w:rsid w:val="776D5A49"/>
    <w:rsid w:val="777C7500"/>
    <w:rsid w:val="77C600FB"/>
    <w:rsid w:val="77FA9F67"/>
    <w:rsid w:val="78717D6C"/>
    <w:rsid w:val="796B4919"/>
    <w:rsid w:val="7A560E98"/>
    <w:rsid w:val="7ADD4B45"/>
    <w:rsid w:val="7B7A34C4"/>
    <w:rsid w:val="7BBF8BBD"/>
    <w:rsid w:val="7BFF1ADD"/>
    <w:rsid w:val="7C1242B5"/>
    <w:rsid w:val="7C30041C"/>
    <w:rsid w:val="7C9018CA"/>
    <w:rsid w:val="7CA41DB2"/>
    <w:rsid w:val="7CAB43D5"/>
    <w:rsid w:val="7D6350C7"/>
    <w:rsid w:val="7D8B4F86"/>
    <w:rsid w:val="7D9B5DFB"/>
    <w:rsid w:val="7DBD129F"/>
    <w:rsid w:val="7DC31F48"/>
    <w:rsid w:val="7DEB177B"/>
    <w:rsid w:val="7E100532"/>
    <w:rsid w:val="7E133FBA"/>
    <w:rsid w:val="7E483DBE"/>
    <w:rsid w:val="7E53034C"/>
    <w:rsid w:val="7E560A5B"/>
    <w:rsid w:val="7E600616"/>
    <w:rsid w:val="7E696E35"/>
    <w:rsid w:val="7F782745"/>
    <w:rsid w:val="7F7B7293"/>
    <w:rsid w:val="7FE82341"/>
    <w:rsid w:val="7FF71420"/>
    <w:rsid w:val="97B7F146"/>
    <w:rsid w:val="9FDD883A"/>
    <w:rsid w:val="AEB57F23"/>
    <w:rsid w:val="BEFABBA9"/>
    <w:rsid w:val="D7EF3E91"/>
    <w:rsid w:val="DD49EFF9"/>
    <w:rsid w:val="DFFEE67B"/>
    <w:rsid w:val="ECF7940A"/>
    <w:rsid w:val="EFEB1FB6"/>
    <w:rsid w:val="EFFBB699"/>
    <w:rsid w:val="F66E7ED0"/>
    <w:rsid w:val="F7AE5A29"/>
    <w:rsid w:val="FD7F0B55"/>
    <w:rsid w:val="FDFF6057"/>
    <w:rsid w:val="FE7EB95D"/>
    <w:rsid w:val="FEFF210D"/>
    <w:rsid w:val="FF5F7A3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9"/>
    <w:qFormat/>
    <w:uiPriority w:val="0"/>
    <w:pPr>
      <w:keepNext/>
      <w:keepLines/>
      <w:spacing w:before="340" w:after="330" w:line="578" w:lineRule="auto"/>
      <w:outlineLvl w:val="0"/>
    </w:pPr>
    <w:rPr>
      <w:b/>
      <w:bCs/>
      <w:kern w:val="44"/>
      <w:sz w:val="44"/>
      <w:szCs w:val="44"/>
    </w:rPr>
  </w:style>
  <w:style w:type="paragraph" w:styleId="5">
    <w:name w:val="heading 2"/>
    <w:basedOn w:val="1"/>
    <w:next w:val="6"/>
    <w:link w:val="68"/>
    <w:qFormat/>
    <w:uiPriority w:val="9"/>
    <w:pPr>
      <w:keepNext/>
      <w:adjustRightInd w:val="0"/>
      <w:snapToGrid w:val="0"/>
      <w:spacing w:before="120" w:after="120" w:line="360" w:lineRule="auto"/>
      <w:jc w:val="center"/>
      <w:textAlignment w:val="baseline"/>
      <w:outlineLvl w:val="1"/>
    </w:pPr>
    <w:rPr>
      <w:rFonts w:ascii="仿宋_GB2312" w:eastAsia="仿宋_GB2312"/>
      <w:kern w:val="0"/>
      <w:sz w:val="36"/>
      <w:szCs w:val="20"/>
    </w:rPr>
  </w:style>
  <w:style w:type="paragraph" w:styleId="7">
    <w:name w:val="heading 3"/>
    <w:basedOn w:val="1"/>
    <w:next w:val="1"/>
    <w:link w:val="71"/>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8">
    <w:name w:val="heading 4"/>
    <w:basedOn w:val="1"/>
    <w:next w:val="1"/>
    <w:link w:val="72"/>
    <w:qFormat/>
    <w:uiPriority w:val="9"/>
    <w:pPr>
      <w:keepNext/>
      <w:keepLines/>
      <w:spacing w:before="280" w:after="290" w:line="376" w:lineRule="auto"/>
      <w:outlineLvl w:val="3"/>
    </w:pPr>
    <w:rPr>
      <w:rFonts w:ascii="Cambria" w:hAnsi="Cambria"/>
      <w:b/>
      <w:bCs/>
      <w:sz w:val="28"/>
      <w:szCs w:val="28"/>
    </w:rPr>
  </w:style>
  <w:style w:type="paragraph" w:styleId="9">
    <w:name w:val="heading 5"/>
    <w:basedOn w:val="1"/>
    <w:next w:val="1"/>
    <w:link w:val="73"/>
    <w:qFormat/>
    <w:uiPriority w:val="0"/>
    <w:pPr>
      <w:keepNext/>
      <w:keepLines/>
      <w:spacing w:beforeLines="100" w:afterLines="100" w:line="360" w:lineRule="auto"/>
      <w:outlineLvl w:val="4"/>
    </w:pPr>
    <w:rPr>
      <w:b/>
      <w:bCs/>
      <w:sz w:val="28"/>
      <w:szCs w:val="28"/>
    </w:rPr>
  </w:style>
  <w:style w:type="paragraph" w:styleId="10">
    <w:name w:val="heading 6"/>
    <w:basedOn w:val="1"/>
    <w:next w:val="1"/>
    <w:link w:val="74"/>
    <w:qFormat/>
    <w:uiPriority w:val="9"/>
    <w:pPr>
      <w:keepNext/>
      <w:keepLines/>
      <w:spacing w:beforeLines="100" w:afterLines="100" w:line="360" w:lineRule="auto"/>
      <w:outlineLvl w:val="5"/>
    </w:pPr>
    <w:rPr>
      <w:rFonts w:ascii="Cambria" w:hAnsi="Cambria"/>
      <w:b/>
      <w:bCs/>
      <w:sz w:val="24"/>
    </w:rPr>
  </w:style>
  <w:style w:type="paragraph" w:styleId="11">
    <w:name w:val="heading 7"/>
    <w:basedOn w:val="1"/>
    <w:next w:val="1"/>
    <w:link w:val="75"/>
    <w:qFormat/>
    <w:uiPriority w:val="0"/>
    <w:pPr>
      <w:keepNext/>
      <w:keepLines/>
      <w:spacing w:beforeLines="100" w:afterLines="100" w:line="360" w:lineRule="auto"/>
      <w:outlineLvl w:val="6"/>
    </w:pPr>
    <w:rPr>
      <w:b/>
      <w:bCs/>
      <w:sz w:val="24"/>
    </w:rPr>
  </w:style>
  <w:style w:type="paragraph" w:styleId="12">
    <w:name w:val="heading 8"/>
    <w:basedOn w:val="1"/>
    <w:next w:val="1"/>
    <w:link w:val="76"/>
    <w:qFormat/>
    <w:uiPriority w:val="0"/>
    <w:pPr>
      <w:keepNext/>
      <w:keepLines/>
      <w:spacing w:beforeLines="100" w:afterLines="100" w:line="360" w:lineRule="auto"/>
      <w:outlineLvl w:val="7"/>
    </w:pPr>
    <w:rPr>
      <w:rFonts w:ascii="Cambria" w:hAnsi="Cambria"/>
      <w:b/>
      <w:sz w:val="24"/>
    </w:rPr>
  </w:style>
  <w:style w:type="paragraph" w:styleId="13">
    <w:name w:val="heading 9"/>
    <w:basedOn w:val="1"/>
    <w:next w:val="1"/>
    <w:link w:val="77"/>
    <w:qFormat/>
    <w:uiPriority w:val="0"/>
    <w:pPr>
      <w:keepNext/>
      <w:keepLines/>
      <w:spacing w:beforeLines="100" w:afterLines="100" w:line="360" w:lineRule="auto"/>
      <w:outlineLvl w:val="8"/>
    </w:pPr>
    <w:rPr>
      <w:rFonts w:ascii="Cambria" w:hAnsi="Cambria"/>
      <w:b/>
      <w:sz w:val="24"/>
      <w:szCs w:val="21"/>
    </w:rPr>
  </w:style>
  <w:style w:type="character" w:default="1" w:styleId="57">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styleId="3">
    <w:name w:val="index 5"/>
    <w:basedOn w:val="1"/>
    <w:next w:val="1"/>
    <w:qFormat/>
    <w:uiPriority w:val="0"/>
    <w:pPr>
      <w:ind w:left="1680"/>
    </w:pPr>
  </w:style>
  <w:style w:type="paragraph" w:customStyle="1" w:styleId="6">
    <w:name w:val="标准正文"/>
    <w:basedOn w:val="1"/>
    <w:qFormat/>
    <w:uiPriority w:val="0"/>
    <w:pPr>
      <w:spacing w:line="360" w:lineRule="auto"/>
      <w:ind w:firstLine="200" w:firstLineChars="200"/>
    </w:pPr>
    <w:rPr>
      <w:sz w:val="24"/>
      <w:szCs w:val="20"/>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table of authorities"/>
    <w:basedOn w:val="1"/>
    <w:next w:val="1"/>
    <w:qFormat/>
    <w:uiPriority w:val="0"/>
    <w:pPr>
      <w:spacing w:line="440" w:lineRule="exact"/>
      <w:ind w:left="420" w:leftChars="200" w:firstLine="883" w:firstLineChars="200"/>
    </w:pPr>
    <w:rPr>
      <w:sz w:val="28"/>
    </w:rPr>
  </w:style>
  <w:style w:type="paragraph" w:styleId="16">
    <w:name w:val="List Number"/>
    <w:basedOn w:val="1"/>
    <w:qFormat/>
    <w:uiPriority w:val="0"/>
    <w:pPr>
      <w:widowControl/>
      <w:tabs>
        <w:tab w:val="left" w:pos="454"/>
        <w:tab w:val="left" w:pos="720"/>
      </w:tabs>
      <w:spacing w:afterLines="50"/>
      <w:ind w:left="720" w:hanging="720"/>
      <w:jc w:val="left"/>
    </w:pPr>
    <w:rPr>
      <w:kern w:val="0"/>
      <w:sz w:val="24"/>
      <w:szCs w:val="20"/>
    </w:rPr>
  </w:style>
  <w:style w:type="paragraph" w:styleId="17">
    <w:name w:val="Normal Indent"/>
    <w:basedOn w:val="1"/>
    <w:next w:val="18"/>
    <w:link w:val="70"/>
    <w:qFormat/>
    <w:uiPriority w:val="0"/>
    <w:pPr>
      <w:ind w:firstLine="420"/>
    </w:pPr>
    <w:rPr>
      <w:szCs w:val="20"/>
    </w:rPr>
  </w:style>
  <w:style w:type="paragraph" w:styleId="18">
    <w:name w:val="Body Text Indent"/>
    <w:basedOn w:val="1"/>
    <w:next w:val="1"/>
    <w:link w:val="83"/>
    <w:qFormat/>
    <w:uiPriority w:val="0"/>
    <w:pPr>
      <w:spacing w:line="200" w:lineRule="exact"/>
      <w:ind w:firstLine="301"/>
    </w:pPr>
    <w:rPr>
      <w:rFonts w:ascii="宋体" w:hAnsi="Courier New"/>
      <w:spacing w:val="-4"/>
      <w:sz w:val="18"/>
      <w:szCs w:val="20"/>
    </w:rPr>
  </w:style>
  <w:style w:type="paragraph" w:styleId="19">
    <w:name w:val="caption"/>
    <w:basedOn w:val="1"/>
    <w:next w:val="1"/>
    <w:link w:val="78"/>
    <w:qFormat/>
    <w:uiPriority w:val="0"/>
    <w:pPr>
      <w:spacing w:before="152" w:after="160"/>
    </w:pPr>
    <w:rPr>
      <w:rFonts w:ascii="Arial" w:hAnsi="Arial" w:eastAsia="黑体"/>
      <w:sz w:val="20"/>
      <w:szCs w:val="20"/>
    </w:rPr>
  </w:style>
  <w:style w:type="paragraph" w:styleId="20">
    <w:name w:val="Document Map"/>
    <w:basedOn w:val="1"/>
    <w:link w:val="79"/>
    <w:semiHidden/>
    <w:qFormat/>
    <w:uiPriority w:val="0"/>
    <w:pPr>
      <w:shd w:val="clear" w:color="auto" w:fill="000080"/>
    </w:pPr>
  </w:style>
  <w:style w:type="paragraph" w:styleId="21">
    <w:name w:val="annotation text"/>
    <w:basedOn w:val="1"/>
    <w:link w:val="80"/>
    <w:qFormat/>
    <w:uiPriority w:val="0"/>
    <w:pPr>
      <w:jc w:val="left"/>
    </w:pPr>
  </w:style>
  <w:style w:type="paragraph" w:styleId="22">
    <w:name w:val="Body Text 3"/>
    <w:basedOn w:val="1"/>
    <w:link w:val="81"/>
    <w:qFormat/>
    <w:uiPriority w:val="0"/>
    <w:pPr>
      <w:spacing w:after="120"/>
    </w:pPr>
    <w:rPr>
      <w:sz w:val="16"/>
      <w:szCs w:val="16"/>
    </w:rPr>
  </w:style>
  <w:style w:type="paragraph" w:styleId="23">
    <w:name w:val="Body Text"/>
    <w:basedOn w:val="1"/>
    <w:next w:val="24"/>
    <w:link w:val="82"/>
    <w:qFormat/>
    <w:uiPriority w:val="0"/>
    <w:pPr>
      <w:spacing w:after="120"/>
    </w:pPr>
  </w:style>
  <w:style w:type="paragraph" w:styleId="24">
    <w:name w:val="Body Text First Indent"/>
    <w:basedOn w:val="23"/>
    <w:link w:val="97"/>
    <w:qFormat/>
    <w:uiPriority w:val="0"/>
    <w:pPr>
      <w:ind w:firstLine="420" w:firstLineChars="100"/>
    </w:pPr>
  </w:style>
  <w:style w:type="paragraph" w:styleId="25">
    <w:name w:val="List Number 3"/>
    <w:basedOn w:val="1"/>
    <w:qFormat/>
    <w:uiPriority w:val="0"/>
    <w:pPr>
      <w:tabs>
        <w:tab w:val="left" w:pos="1200"/>
      </w:tabs>
      <w:ind w:left="1200" w:hanging="360"/>
    </w:pPr>
  </w:style>
  <w:style w:type="paragraph" w:styleId="26">
    <w:name w:val="List 2"/>
    <w:basedOn w:val="1"/>
    <w:qFormat/>
    <w:uiPriority w:val="0"/>
    <w:pPr>
      <w:ind w:left="566" w:hanging="283"/>
      <w:contextualSpacing/>
    </w:pPr>
  </w:style>
  <w:style w:type="paragraph" w:styleId="27">
    <w:name w:val="List Bullet 2"/>
    <w:basedOn w:val="1"/>
    <w:semiHidden/>
    <w:unhideWhenUsed/>
    <w:qFormat/>
    <w:uiPriority w:val="0"/>
    <w:pPr>
      <w:numPr>
        <w:ilvl w:val="0"/>
        <w:numId w:val="1"/>
      </w:numPr>
    </w:pPr>
  </w:style>
  <w:style w:type="paragraph" w:styleId="28">
    <w:name w:val="toc 5"/>
    <w:basedOn w:val="1"/>
    <w:next w:val="1"/>
    <w:unhideWhenUsed/>
    <w:qFormat/>
    <w:uiPriority w:val="39"/>
    <w:pPr>
      <w:ind w:left="1680" w:leftChars="800"/>
    </w:pPr>
    <w:rPr>
      <w:rFonts w:ascii="Calibri" w:hAnsi="Calibri"/>
      <w:szCs w:val="22"/>
    </w:rPr>
  </w:style>
  <w:style w:type="paragraph" w:styleId="29">
    <w:name w:val="toc 3"/>
    <w:basedOn w:val="1"/>
    <w:next w:val="1"/>
    <w:qFormat/>
    <w:uiPriority w:val="39"/>
    <w:pPr>
      <w:ind w:left="840" w:leftChars="400"/>
    </w:pPr>
  </w:style>
  <w:style w:type="paragraph" w:styleId="30">
    <w:name w:val="Plain Text"/>
    <w:basedOn w:val="1"/>
    <w:next w:val="31"/>
    <w:link w:val="84"/>
    <w:qFormat/>
    <w:uiPriority w:val="0"/>
    <w:rPr>
      <w:rFonts w:ascii="宋体" w:hAnsi="Courier New"/>
      <w:szCs w:val="20"/>
    </w:rPr>
  </w:style>
  <w:style w:type="paragraph" w:styleId="31">
    <w:name w:val="toc 2"/>
    <w:basedOn w:val="1"/>
    <w:next w:val="1"/>
    <w:qFormat/>
    <w:uiPriority w:val="39"/>
    <w:pPr>
      <w:ind w:left="420" w:leftChars="200"/>
    </w:pPr>
  </w:style>
  <w:style w:type="paragraph" w:styleId="32">
    <w:name w:val="toc 8"/>
    <w:basedOn w:val="1"/>
    <w:next w:val="1"/>
    <w:unhideWhenUsed/>
    <w:qFormat/>
    <w:uiPriority w:val="39"/>
    <w:pPr>
      <w:ind w:left="2940" w:leftChars="1400"/>
    </w:pPr>
    <w:rPr>
      <w:rFonts w:ascii="Calibri" w:hAnsi="Calibri"/>
      <w:szCs w:val="22"/>
    </w:rPr>
  </w:style>
  <w:style w:type="paragraph" w:styleId="33">
    <w:name w:val="Date"/>
    <w:basedOn w:val="1"/>
    <w:next w:val="1"/>
    <w:link w:val="85"/>
    <w:qFormat/>
    <w:uiPriority w:val="0"/>
    <w:pPr>
      <w:ind w:left="2500" w:leftChars="2500"/>
    </w:pPr>
    <w:rPr>
      <w:rFonts w:eastAsia="楷体_GB2312"/>
      <w:sz w:val="32"/>
      <w:szCs w:val="20"/>
    </w:rPr>
  </w:style>
  <w:style w:type="paragraph" w:styleId="34">
    <w:name w:val="Body Text Indent 2"/>
    <w:basedOn w:val="1"/>
    <w:link w:val="86"/>
    <w:qFormat/>
    <w:uiPriority w:val="0"/>
    <w:pPr>
      <w:snapToGrid w:val="0"/>
      <w:ind w:firstLine="542" w:firstLineChars="225"/>
    </w:pPr>
    <w:rPr>
      <w:rFonts w:ascii="仿宋_GB2312" w:hAnsi="宋体"/>
      <w:b/>
      <w:bCs/>
      <w:color w:val="000000"/>
      <w:sz w:val="24"/>
    </w:rPr>
  </w:style>
  <w:style w:type="paragraph" w:styleId="35">
    <w:name w:val="Balloon Text"/>
    <w:basedOn w:val="1"/>
    <w:link w:val="87"/>
    <w:qFormat/>
    <w:uiPriority w:val="0"/>
    <w:rPr>
      <w:sz w:val="18"/>
      <w:szCs w:val="18"/>
    </w:rPr>
  </w:style>
  <w:style w:type="paragraph" w:styleId="36">
    <w:name w:val="footer"/>
    <w:basedOn w:val="1"/>
    <w:link w:val="88"/>
    <w:qFormat/>
    <w:uiPriority w:val="99"/>
    <w:pPr>
      <w:tabs>
        <w:tab w:val="center" w:pos="4153"/>
        <w:tab w:val="right" w:pos="8306"/>
      </w:tabs>
      <w:snapToGrid w:val="0"/>
      <w:jc w:val="left"/>
    </w:pPr>
    <w:rPr>
      <w:sz w:val="18"/>
      <w:szCs w:val="18"/>
    </w:rPr>
  </w:style>
  <w:style w:type="paragraph" w:styleId="37">
    <w:name w:val="header"/>
    <w:basedOn w:val="1"/>
    <w:link w:val="89"/>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style>
  <w:style w:type="paragraph" w:styleId="39">
    <w:name w:val="toc 4"/>
    <w:basedOn w:val="1"/>
    <w:next w:val="1"/>
    <w:unhideWhenUsed/>
    <w:qFormat/>
    <w:uiPriority w:val="39"/>
    <w:pPr>
      <w:ind w:left="1260" w:leftChars="600"/>
    </w:pPr>
    <w:rPr>
      <w:rFonts w:ascii="Calibri" w:hAnsi="Calibri"/>
      <w:szCs w:val="22"/>
    </w:rPr>
  </w:style>
  <w:style w:type="paragraph" w:styleId="40">
    <w:name w:val="Subtitle"/>
    <w:basedOn w:val="1"/>
    <w:next w:val="1"/>
    <w:link w:val="90"/>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ind w:left="283" w:hanging="283"/>
      <w:contextualSpacing/>
    </w:pPr>
  </w:style>
  <w:style w:type="paragraph" w:styleId="42">
    <w:name w:val="footnote text"/>
    <w:basedOn w:val="1"/>
    <w:link w:val="91"/>
    <w:qFormat/>
    <w:uiPriority w:val="99"/>
    <w:pPr>
      <w:jc w:val="left"/>
    </w:pPr>
    <w:rPr>
      <w:kern w:val="1"/>
      <w:sz w:val="18"/>
      <w:szCs w:val="18"/>
    </w:rPr>
  </w:style>
  <w:style w:type="paragraph" w:styleId="43">
    <w:name w:val="toc 6"/>
    <w:basedOn w:val="1"/>
    <w:next w:val="1"/>
    <w:unhideWhenUsed/>
    <w:qFormat/>
    <w:uiPriority w:val="39"/>
    <w:pPr>
      <w:ind w:left="2100" w:leftChars="1000"/>
    </w:pPr>
    <w:rPr>
      <w:rFonts w:ascii="Calibri" w:hAnsi="Calibri"/>
      <w:szCs w:val="22"/>
    </w:rPr>
  </w:style>
  <w:style w:type="paragraph" w:styleId="44">
    <w:name w:val="Body Text Indent 3"/>
    <w:basedOn w:val="1"/>
    <w:link w:val="92"/>
    <w:qFormat/>
    <w:uiPriority w:val="0"/>
    <w:pPr>
      <w:snapToGrid w:val="0"/>
      <w:ind w:firstLine="480" w:firstLineChars="200"/>
      <w:jc w:val="left"/>
    </w:pPr>
    <w:rPr>
      <w:rFonts w:ascii="仿宋_GB2312" w:hAnsi="宋体" w:eastAsia="仿宋_GB2312"/>
      <w:color w:val="000000"/>
      <w:sz w:val="24"/>
    </w:rPr>
  </w:style>
  <w:style w:type="paragraph" w:styleId="45">
    <w:name w:val="table of figures"/>
    <w:basedOn w:val="1"/>
    <w:next w:val="1"/>
    <w:qFormat/>
    <w:uiPriority w:val="99"/>
    <w:pPr>
      <w:widowControl/>
      <w:tabs>
        <w:tab w:val="left" w:pos="1270"/>
      </w:tabs>
      <w:spacing w:line="360" w:lineRule="auto"/>
      <w:ind w:left="1270" w:hanging="420"/>
      <w:jc w:val="left"/>
    </w:pPr>
    <w:rPr>
      <w:rFonts w:ascii="宋体" w:hAnsi="宋体" w:cs="宋体"/>
      <w:smallCaps/>
      <w:kern w:val="0"/>
      <w:sz w:val="20"/>
      <w:szCs w:val="20"/>
    </w:rPr>
  </w:style>
  <w:style w:type="paragraph" w:styleId="46">
    <w:name w:val="toc 9"/>
    <w:basedOn w:val="1"/>
    <w:next w:val="1"/>
    <w:unhideWhenUsed/>
    <w:qFormat/>
    <w:uiPriority w:val="39"/>
    <w:pPr>
      <w:ind w:left="3360" w:leftChars="1600"/>
    </w:pPr>
    <w:rPr>
      <w:rFonts w:ascii="Calibri" w:hAnsi="Calibri"/>
      <w:szCs w:val="22"/>
    </w:rPr>
  </w:style>
  <w:style w:type="paragraph" w:styleId="47">
    <w:name w:val="Body Text 2"/>
    <w:basedOn w:val="1"/>
    <w:link w:val="93"/>
    <w:qFormat/>
    <w:uiPriority w:val="0"/>
    <w:pPr>
      <w:widowControl/>
      <w:snapToGrid w:val="0"/>
      <w:spacing w:before="50" w:afterLines="50" w:line="400" w:lineRule="exact"/>
      <w:jc w:val="left"/>
    </w:pPr>
    <w:rPr>
      <w:rFonts w:ascii="宋体" w:hAnsi="宋体"/>
      <w:color w:val="000000"/>
      <w:sz w:val="24"/>
    </w:rPr>
  </w:style>
  <w:style w:type="paragraph" w:styleId="4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9">
    <w:name w:val="Normal (Web)"/>
    <w:basedOn w:val="1"/>
    <w:link w:val="94"/>
    <w:qFormat/>
    <w:uiPriority w:val="99"/>
    <w:pPr>
      <w:widowControl/>
      <w:spacing w:before="100" w:beforeAutospacing="1" w:after="100" w:afterAutospacing="1"/>
      <w:jc w:val="left"/>
    </w:pPr>
    <w:rPr>
      <w:rFonts w:ascii="宋体" w:hAnsi="宋体"/>
      <w:kern w:val="0"/>
      <w:sz w:val="24"/>
    </w:rPr>
  </w:style>
  <w:style w:type="paragraph" w:styleId="50">
    <w:name w:val="Title"/>
    <w:basedOn w:val="1"/>
    <w:next w:val="1"/>
    <w:link w:val="95"/>
    <w:qFormat/>
    <w:uiPriority w:val="0"/>
    <w:pPr>
      <w:spacing w:before="240" w:after="60"/>
      <w:jc w:val="center"/>
      <w:outlineLvl w:val="0"/>
    </w:pPr>
    <w:rPr>
      <w:rFonts w:ascii="Cambria" w:hAnsi="Cambria"/>
      <w:b/>
      <w:bCs/>
      <w:sz w:val="32"/>
      <w:szCs w:val="32"/>
    </w:rPr>
  </w:style>
  <w:style w:type="paragraph" w:styleId="51">
    <w:name w:val="annotation subject"/>
    <w:basedOn w:val="21"/>
    <w:next w:val="21"/>
    <w:link w:val="96"/>
    <w:qFormat/>
    <w:uiPriority w:val="99"/>
    <w:rPr>
      <w:b/>
      <w:bCs/>
    </w:rPr>
  </w:style>
  <w:style w:type="paragraph" w:styleId="52">
    <w:name w:val="Body Text First Indent 2"/>
    <w:basedOn w:val="18"/>
    <w:next w:val="53"/>
    <w:link w:val="98"/>
    <w:unhideWhenUsed/>
    <w:qFormat/>
    <w:uiPriority w:val="0"/>
    <w:pPr>
      <w:spacing w:after="120" w:line="360" w:lineRule="auto"/>
      <w:ind w:left="420" w:leftChars="200" w:firstLine="420" w:firstLineChars="200"/>
    </w:pPr>
    <w:rPr>
      <w:sz w:val="24"/>
    </w:rPr>
  </w:style>
  <w:style w:type="paragraph" w:customStyle="1" w:styleId="53">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table" w:styleId="55">
    <w:name w:val="Table Grid"/>
    <w:basedOn w:val="5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6">
    <w:name w:val="Table Grid 8"/>
    <w:basedOn w:val="54"/>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8">
    <w:name w:val="Strong"/>
    <w:qFormat/>
    <w:uiPriority w:val="22"/>
    <w:rPr>
      <w:b/>
      <w:bCs/>
    </w:rPr>
  </w:style>
  <w:style w:type="character" w:styleId="59">
    <w:name w:val="page number"/>
    <w:basedOn w:val="57"/>
    <w:qFormat/>
    <w:uiPriority w:val="0"/>
  </w:style>
  <w:style w:type="character" w:styleId="60">
    <w:name w:val="FollowedHyperlink"/>
    <w:qFormat/>
    <w:uiPriority w:val="99"/>
    <w:rPr>
      <w:color w:val="800080"/>
      <w:u w:val="single"/>
    </w:rPr>
  </w:style>
  <w:style w:type="character" w:styleId="61">
    <w:name w:val="Hyperlink"/>
    <w:qFormat/>
    <w:uiPriority w:val="99"/>
    <w:rPr>
      <w:color w:val="0000FF"/>
      <w:u w:val="single"/>
    </w:rPr>
  </w:style>
  <w:style w:type="character" w:styleId="62">
    <w:name w:val="annotation reference"/>
    <w:qFormat/>
    <w:uiPriority w:val="99"/>
    <w:rPr>
      <w:sz w:val="21"/>
      <w:szCs w:val="21"/>
    </w:rPr>
  </w:style>
  <w:style w:type="character" w:styleId="63">
    <w:name w:val="footnote reference"/>
    <w:qFormat/>
    <w:uiPriority w:val="99"/>
    <w:rPr>
      <w:position w:val="-2"/>
      <w:vertAlign w:val="superscript"/>
    </w:rPr>
  </w:style>
  <w:style w:type="character" w:styleId="64">
    <w:name w:val="HTML Sample"/>
    <w:basedOn w:val="57"/>
    <w:semiHidden/>
    <w:unhideWhenUsed/>
    <w:qFormat/>
    <w:uiPriority w:val="0"/>
    <w:rPr>
      <w:rFonts w:ascii="Courier New" w:hAnsi="Courier New"/>
    </w:rPr>
  </w:style>
  <w:style w:type="paragraph" w:customStyle="1" w:styleId="65">
    <w:name w:val="表格文字"/>
    <w:basedOn w:val="66"/>
    <w:next w:val="23"/>
    <w:link w:val="194"/>
    <w:qFormat/>
    <w:uiPriority w:val="0"/>
    <w:pPr>
      <w:jc w:val="left"/>
      <w:textAlignment w:val="top"/>
    </w:pPr>
    <w:rPr>
      <w:sz w:val="18"/>
    </w:rPr>
  </w:style>
  <w:style w:type="paragraph" w:customStyle="1" w:styleId="66">
    <w:name w:val="表格文字（两侧对齐）"/>
    <w:basedOn w:val="1"/>
    <w:qFormat/>
    <w:uiPriority w:val="0"/>
    <w:pPr>
      <w:snapToGrid w:val="0"/>
    </w:pPr>
    <w:rPr>
      <w:sz w:val="20"/>
    </w:rPr>
  </w:style>
  <w:style w:type="paragraph" w:customStyle="1" w:styleId="67">
    <w:name w:val="一级标题"/>
    <w:basedOn w:val="1"/>
    <w:next w:val="23"/>
    <w:qFormat/>
    <w:uiPriority w:val="0"/>
    <w:pPr>
      <w:outlineLvl w:val="0"/>
    </w:pPr>
    <w:rPr>
      <w:b/>
      <w:bCs/>
      <w:sz w:val="32"/>
    </w:rPr>
  </w:style>
  <w:style w:type="character" w:customStyle="1" w:styleId="68">
    <w:name w:val="标题 2 字符"/>
    <w:link w:val="5"/>
    <w:qFormat/>
    <w:uiPriority w:val="9"/>
    <w:rPr>
      <w:rFonts w:ascii="仿宋_GB2312" w:eastAsia="仿宋_GB2312"/>
      <w:b/>
      <w:sz w:val="36"/>
    </w:rPr>
  </w:style>
  <w:style w:type="character" w:customStyle="1" w:styleId="69">
    <w:name w:val="标题 1 字符"/>
    <w:link w:val="4"/>
    <w:qFormat/>
    <w:uiPriority w:val="9"/>
    <w:rPr>
      <w:b/>
      <w:bCs/>
      <w:kern w:val="44"/>
      <w:sz w:val="44"/>
      <w:szCs w:val="44"/>
    </w:rPr>
  </w:style>
  <w:style w:type="character" w:customStyle="1" w:styleId="70">
    <w:name w:val="正文缩进 字符"/>
    <w:link w:val="17"/>
    <w:qFormat/>
    <w:uiPriority w:val="0"/>
    <w:rPr>
      <w:kern w:val="2"/>
      <w:sz w:val="21"/>
    </w:rPr>
  </w:style>
  <w:style w:type="character" w:customStyle="1" w:styleId="71">
    <w:name w:val="标题 3 字符"/>
    <w:link w:val="7"/>
    <w:qFormat/>
    <w:uiPriority w:val="9"/>
    <w:rPr>
      <w:rFonts w:ascii="仿宋_GB2312" w:eastAsia="仿宋_GB2312"/>
      <w:b/>
      <w:bCs/>
      <w:kern w:val="2"/>
      <w:sz w:val="30"/>
    </w:rPr>
  </w:style>
  <w:style w:type="character" w:customStyle="1" w:styleId="72">
    <w:name w:val="标题 4 字符"/>
    <w:link w:val="8"/>
    <w:qFormat/>
    <w:uiPriority w:val="9"/>
    <w:rPr>
      <w:rFonts w:ascii="Cambria" w:hAnsi="Cambria" w:eastAsia="宋体" w:cs="Times New Roman"/>
      <w:b/>
      <w:bCs/>
      <w:kern w:val="2"/>
      <w:sz w:val="28"/>
      <w:szCs w:val="28"/>
    </w:rPr>
  </w:style>
  <w:style w:type="character" w:customStyle="1" w:styleId="73">
    <w:name w:val="标题 5 字符"/>
    <w:link w:val="9"/>
    <w:qFormat/>
    <w:uiPriority w:val="9"/>
    <w:rPr>
      <w:rFonts w:eastAsia="宋体"/>
      <w:b/>
      <w:bCs/>
      <w:kern w:val="2"/>
      <w:sz w:val="28"/>
      <w:szCs w:val="28"/>
    </w:rPr>
  </w:style>
  <w:style w:type="character" w:customStyle="1" w:styleId="74">
    <w:name w:val="标题 6 字符"/>
    <w:link w:val="10"/>
    <w:qFormat/>
    <w:uiPriority w:val="9"/>
    <w:rPr>
      <w:rFonts w:ascii="Cambria" w:hAnsi="Cambria" w:eastAsia="宋体" w:cs="Times New Roman"/>
      <w:b/>
      <w:bCs/>
      <w:kern w:val="2"/>
      <w:sz w:val="24"/>
      <w:szCs w:val="24"/>
    </w:rPr>
  </w:style>
  <w:style w:type="character" w:customStyle="1" w:styleId="75">
    <w:name w:val="标题 7 字符"/>
    <w:link w:val="11"/>
    <w:qFormat/>
    <w:uiPriority w:val="0"/>
    <w:rPr>
      <w:rFonts w:eastAsia="宋体"/>
      <w:b/>
      <w:bCs/>
      <w:kern w:val="2"/>
      <w:sz w:val="24"/>
      <w:szCs w:val="24"/>
    </w:rPr>
  </w:style>
  <w:style w:type="character" w:customStyle="1" w:styleId="76">
    <w:name w:val="标题 8 字符"/>
    <w:link w:val="12"/>
    <w:qFormat/>
    <w:uiPriority w:val="0"/>
    <w:rPr>
      <w:rFonts w:ascii="Cambria" w:hAnsi="Cambria" w:eastAsia="宋体" w:cs="Times New Roman"/>
      <w:b/>
      <w:kern w:val="2"/>
      <w:sz w:val="24"/>
      <w:szCs w:val="24"/>
    </w:rPr>
  </w:style>
  <w:style w:type="character" w:customStyle="1" w:styleId="77">
    <w:name w:val="标题 9 字符"/>
    <w:link w:val="13"/>
    <w:qFormat/>
    <w:uiPriority w:val="0"/>
    <w:rPr>
      <w:rFonts w:ascii="Cambria" w:hAnsi="Cambria" w:eastAsia="宋体" w:cs="Times New Roman"/>
      <w:b/>
      <w:kern w:val="2"/>
      <w:sz w:val="24"/>
      <w:szCs w:val="21"/>
    </w:rPr>
  </w:style>
  <w:style w:type="character" w:customStyle="1" w:styleId="78">
    <w:name w:val="题注 字符"/>
    <w:link w:val="19"/>
    <w:qFormat/>
    <w:locked/>
    <w:uiPriority w:val="0"/>
    <w:rPr>
      <w:rFonts w:ascii="Arial" w:hAnsi="Arial" w:eastAsia="黑体" w:cs="Arial"/>
      <w:kern w:val="2"/>
    </w:rPr>
  </w:style>
  <w:style w:type="character" w:customStyle="1" w:styleId="79">
    <w:name w:val="文档结构图 字符"/>
    <w:link w:val="20"/>
    <w:semiHidden/>
    <w:qFormat/>
    <w:uiPriority w:val="0"/>
    <w:rPr>
      <w:kern w:val="2"/>
      <w:sz w:val="21"/>
      <w:szCs w:val="24"/>
      <w:shd w:val="clear" w:color="auto" w:fill="000080"/>
    </w:rPr>
  </w:style>
  <w:style w:type="character" w:customStyle="1" w:styleId="80">
    <w:name w:val="批注文字 字符"/>
    <w:link w:val="21"/>
    <w:qFormat/>
    <w:uiPriority w:val="0"/>
    <w:rPr>
      <w:kern w:val="2"/>
      <w:sz w:val="21"/>
      <w:szCs w:val="24"/>
    </w:rPr>
  </w:style>
  <w:style w:type="character" w:customStyle="1" w:styleId="81">
    <w:name w:val="正文文本 3 字符"/>
    <w:link w:val="22"/>
    <w:qFormat/>
    <w:uiPriority w:val="0"/>
    <w:rPr>
      <w:kern w:val="2"/>
      <w:sz w:val="16"/>
      <w:szCs w:val="16"/>
    </w:rPr>
  </w:style>
  <w:style w:type="character" w:customStyle="1" w:styleId="82">
    <w:name w:val="正文文本 字符"/>
    <w:link w:val="23"/>
    <w:qFormat/>
    <w:uiPriority w:val="0"/>
    <w:rPr>
      <w:kern w:val="2"/>
      <w:sz w:val="21"/>
      <w:szCs w:val="24"/>
    </w:rPr>
  </w:style>
  <w:style w:type="character" w:customStyle="1" w:styleId="83">
    <w:name w:val="正文文本缩进 字符"/>
    <w:link w:val="18"/>
    <w:qFormat/>
    <w:uiPriority w:val="0"/>
    <w:rPr>
      <w:rFonts w:ascii="宋体" w:hAnsi="Courier New"/>
      <w:spacing w:val="-4"/>
      <w:kern w:val="2"/>
      <w:sz w:val="18"/>
    </w:rPr>
  </w:style>
  <w:style w:type="character" w:customStyle="1" w:styleId="84">
    <w:name w:val="纯文本 字符1"/>
    <w:link w:val="30"/>
    <w:qFormat/>
    <w:uiPriority w:val="0"/>
    <w:rPr>
      <w:rFonts w:ascii="宋体" w:hAnsi="Courier New"/>
      <w:kern w:val="2"/>
      <w:sz w:val="21"/>
    </w:rPr>
  </w:style>
  <w:style w:type="character" w:customStyle="1" w:styleId="85">
    <w:name w:val="日期 字符"/>
    <w:link w:val="33"/>
    <w:qFormat/>
    <w:uiPriority w:val="0"/>
    <w:rPr>
      <w:rFonts w:eastAsia="楷体_GB2312"/>
      <w:kern w:val="2"/>
      <w:sz w:val="32"/>
    </w:rPr>
  </w:style>
  <w:style w:type="character" w:customStyle="1" w:styleId="86">
    <w:name w:val="正文文本缩进 2 字符"/>
    <w:link w:val="34"/>
    <w:qFormat/>
    <w:uiPriority w:val="0"/>
    <w:rPr>
      <w:rFonts w:ascii="仿宋_GB2312" w:hAnsi="宋体" w:cs="Arial"/>
      <w:b/>
      <w:bCs/>
      <w:color w:val="000000"/>
      <w:kern w:val="2"/>
      <w:sz w:val="24"/>
      <w:szCs w:val="24"/>
    </w:rPr>
  </w:style>
  <w:style w:type="character" w:customStyle="1" w:styleId="87">
    <w:name w:val="批注框文本 字符"/>
    <w:link w:val="35"/>
    <w:qFormat/>
    <w:uiPriority w:val="0"/>
    <w:rPr>
      <w:kern w:val="2"/>
      <w:sz w:val="18"/>
      <w:szCs w:val="18"/>
    </w:rPr>
  </w:style>
  <w:style w:type="character" w:customStyle="1" w:styleId="88">
    <w:name w:val="页脚 字符"/>
    <w:link w:val="36"/>
    <w:qFormat/>
    <w:locked/>
    <w:uiPriority w:val="99"/>
    <w:rPr>
      <w:kern w:val="2"/>
      <w:sz w:val="18"/>
      <w:szCs w:val="18"/>
    </w:rPr>
  </w:style>
  <w:style w:type="character" w:customStyle="1" w:styleId="89">
    <w:name w:val="页眉 字符"/>
    <w:link w:val="37"/>
    <w:qFormat/>
    <w:uiPriority w:val="99"/>
    <w:rPr>
      <w:rFonts w:eastAsia="宋体"/>
      <w:kern w:val="2"/>
      <w:sz w:val="18"/>
      <w:szCs w:val="18"/>
      <w:lang w:val="en-US" w:eastAsia="zh-CN" w:bidi="ar-SA"/>
    </w:rPr>
  </w:style>
  <w:style w:type="character" w:customStyle="1" w:styleId="90">
    <w:name w:val="副标题 字符"/>
    <w:link w:val="40"/>
    <w:qFormat/>
    <w:uiPriority w:val="0"/>
    <w:rPr>
      <w:rFonts w:ascii="Cambria" w:hAnsi="Cambria"/>
      <w:b/>
      <w:bCs/>
      <w:kern w:val="28"/>
      <w:sz w:val="32"/>
      <w:szCs w:val="32"/>
    </w:rPr>
  </w:style>
  <w:style w:type="character" w:customStyle="1" w:styleId="91">
    <w:name w:val="脚注文本 字符"/>
    <w:basedOn w:val="57"/>
    <w:link w:val="42"/>
    <w:qFormat/>
    <w:uiPriority w:val="99"/>
    <w:rPr>
      <w:kern w:val="1"/>
      <w:sz w:val="18"/>
      <w:szCs w:val="18"/>
    </w:rPr>
  </w:style>
  <w:style w:type="character" w:customStyle="1" w:styleId="92">
    <w:name w:val="正文文本缩进 3 字符"/>
    <w:link w:val="44"/>
    <w:qFormat/>
    <w:uiPriority w:val="0"/>
    <w:rPr>
      <w:rFonts w:ascii="仿宋_GB2312" w:hAnsi="宋体" w:eastAsia="仿宋_GB2312"/>
      <w:color w:val="000000"/>
      <w:kern w:val="2"/>
      <w:sz w:val="24"/>
      <w:szCs w:val="24"/>
    </w:rPr>
  </w:style>
  <w:style w:type="character" w:customStyle="1" w:styleId="93">
    <w:name w:val="正文文本 2 字符"/>
    <w:link w:val="47"/>
    <w:qFormat/>
    <w:uiPriority w:val="0"/>
    <w:rPr>
      <w:rFonts w:ascii="宋体" w:hAnsi="宋体"/>
      <w:color w:val="000000"/>
      <w:kern w:val="2"/>
      <w:sz w:val="24"/>
      <w:szCs w:val="24"/>
    </w:rPr>
  </w:style>
  <w:style w:type="character" w:customStyle="1" w:styleId="94">
    <w:name w:val="普通(网站) 字符"/>
    <w:link w:val="49"/>
    <w:qFormat/>
    <w:locked/>
    <w:uiPriority w:val="0"/>
    <w:rPr>
      <w:rFonts w:ascii="宋体" w:hAnsi="宋体" w:cs="宋体"/>
      <w:sz w:val="24"/>
      <w:szCs w:val="24"/>
    </w:rPr>
  </w:style>
  <w:style w:type="character" w:customStyle="1" w:styleId="95">
    <w:name w:val="标题 字符"/>
    <w:link w:val="50"/>
    <w:qFormat/>
    <w:uiPriority w:val="0"/>
    <w:rPr>
      <w:rFonts w:ascii="Cambria" w:hAnsi="Cambria"/>
      <w:b/>
      <w:bCs/>
      <w:kern w:val="2"/>
      <w:sz w:val="32"/>
      <w:szCs w:val="32"/>
    </w:rPr>
  </w:style>
  <w:style w:type="character" w:customStyle="1" w:styleId="96">
    <w:name w:val="批注主题 字符"/>
    <w:link w:val="51"/>
    <w:qFormat/>
    <w:uiPriority w:val="99"/>
    <w:rPr>
      <w:b/>
      <w:bCs/>
      <w:kern w:val="2"/>
      <w:sz w:val="21"/>
      <w:szCs w:val="24"/>
    </w:rPr>
  </w:style>
  <w:style w:type="character" w:customStyle="1" w:styleId="97">
    <w:name w:val="正文文本首行缩进 字符"/>
    <w:basedOn w:val="82"/>
    <w:link w:val="24"/>
    <w:qFormat/>
    <w:uiPriority w:val="0"/>
    <w:rPr>
      <w:kern w:val="2"/>
      <w:sz w:val="21"/>
      <w:szCs w:val="24"/>
    </w:rPr>
  </w:style>
  <w:style w:type="character" w:customStyle="1" w:styleId="98">
    <w:name w:val="正文文本首行缩进 2 字符"/>
    <w:link w:val="52"/>
    <w:qFormat/>
    <w:uiPriority w:val="0"/>
    <w:rPr>
      <w:rFonts w:ascii="宋体" w:hAnsi="Courier New"/>
      <w:spacing w:val="-4"/>
      <w:kern w:val="2"/>
      <w:sz w:val="24"/>
    </w:rPr>
  </w:style>
  <w:style w:type="paragraph" w:customStyle="1" w:styleId="99">
    <w:name w:val="_Style 3"/>
    <w:qFormat/>
    <w:uiPriority w:val="1"/>
    <w:pPr>
      <w:widowControl w:val="0"/>
      <w:spacing w:line="360" w:lineRule="auto"/>
      <w:jc w:val="both"/>
    </w:pPr>
    <w:rPr>
      <w:rFonts w:cs="Times New Roman" w:asciiTheme="minorEastAsia" w:hAnsiTheme="minorEastAsia" w:eastAsiaTheme="minorEastAsia"/>
      <w:kern w:val="2"/>
      <w:sz w:val="21"/>
      <w:szCs w:val="22"/>
      <w:lang w:val="en-US" w:eastAsia="zh-CN" w:bidi="ar-SA"/>
    </w:rPr>
  </w:style>
  <w:style w:type="character" w:customStyle="1" w:styleId="100">
    <w:name w:val="页眉 Char1"/>
    <w:qFormat/>
    <w:uiPriority w:val="0"/>
    <w:rPr>
      <w:kern w:val="2"/>
      <w:sz w:val="18"/>
      <w:szCs w:val="18"/>
    </w:rPr>
  </w:style>
  <w:style w:type="character" w:customStyle="1" w:styleId="101">
    <w:name w:val="hover"/>
    <w:qFormat/>
    <w:uiPriority w:val="0"/>
    <w:rPr>
      <w:color w:val="4178BE"/>
    </w:rPr>
  </w:style>
  <w:style w:type="character" w:customStyle="1" w:styleId="102">
    <w:name w:val="页眉 字符1"/>
    <w:qFormat/>
    <w:uiPriority w:val="99"/>
    <w:rPr>
      <w:rFonts w:eastAsia="宋体"/>
      <w:sz w:val="18"/>
      <w:szCs w:val="18"/>
    </w:rPr>
  </w:style>
  <w:style w:type="character" w:customStyle="1" w:styleId="103">
    <w:name w:val="font111"/>
    <w:qFormat/>
    <w:uiPriority w:val="0"/>
    <w:rPr>
      <w:rFonts w:ascii="宋体" w:hAnsi="宋体" w:eastAsia="宋体" w:cs="宋体"/>
      <w:color w:val="FF0000"/>
      <w:sz w:val="18"/>
      <w:szCs w:val="18"/>
      <w:u w:val="none"/>
    </w:rPr>
  </w:style>
  <w:style w:type="character" w:customStyle="1" w:styleId="104">
    <w:name w:val="页脚 字符1"/>
    <w:qFormat/>
    <w:locked/>
    <w:uiPriority w:val="99"/>
    <w:rPr>
      <w:sz w:val="18"/>
      <w:szCs w:val="18"/>
    </w:rPr>
  </w:style>
  <w:style w:type="character" w:customStyle="1" w:styleId="105">
    <w:name w:val="font21"/>
    <w:basedOn w:val="57"/>
    <w:qFormat/>
    <w:uiPriority w:val="0"/>
    <w:rPr>
      <w:rFonts w:hint="eastAsia" w:ascii="微软雅黑" w:hAnsi="微软雅黑" w:eastAsia="微软雅黑" w:cs="微软雅黑"/>
      <w:color w:val="000000"/>
      <w:sz w:val="18"/>
      <w:szCs w:val="18"/>
      <w:u w:val="none"/>
    </w:rPr>
  </w:style>
  <w:style w:type="character" w:customStyle="1" w:styleId="106">
    <w:name w:val="样式一"/>
    <w:qFormat/>
    <w:uiPriority w:val="0"/>
    <w:rPr>
      <w:rFonts w:ascii="宋体" w:hAnsi="宋体"/>
      <w:b/>
      <w:bCs/>
      <w:color w:val="000000"/>
      <w:sz w:val="36"/>
    </w:rPr>
  </w:style>
  <w:style w:type="character" w:customStyle="1" w:styleId="107">
    <w:name w:val="optnmoresets"/>
    <w:qFormat/>
    <w:uiPriority w:val="0"/>
    <w:rPr>
      <w:color w:val="5596E6"/>
    </w:rPr>
  </w:style>
  <w:style w:type="character" w:customStyle="1" w:styleId="108">
    <w:name w:val="ca-92"/>
    <w:basedOn w:val="57"/>
    <w:qFormat/>
    <w:uiPriority w:val="0"/>
  </w:style>
  <w:style w:type="character" w:customStyle="1" w:styleId="109">
    <w:name w:val="font91"/>
    <w:qFormat/>
    <w:uiPriority w:val="0"/>
    <w:rPr>
      <w:rFonts w:ascii="宋体" w:hAnsi="宋体" w:eastAsia="宋体" w:cs="宋体"/>
      <w:color w:val="auto"/>
      <w:sz w:val="18"/>
      <w:szCs w:val="18"/>
      <w:u w:val="none"/>
    </w:rPr>
  </w:style>
  <w:style w:type="character" w:customStyle="1" w:styleId="110">
    <w:name w:val="纯文本 Char3"/>
    <w:qFormat/>
    <w:uiPriority w:val="0"/>
    <w:rPr>
      <w:rFonts w:ascii="宋体" w:hAnsi="Courier New" w:eastAsia="宋体"/>
      <w:kern w:val="2"/>
      <w:sz w:val="24"/>
      <w:szCs w:val="24"/>
      <w:lang w:val="en-US" w:eastAsia="zh-CN" w:bidi="ar-SA"/>
    </w:rPr>
  </w:style>
  <w:style w:type="character" w:customStyle="1" w:styleId="111">
    <w:name w:val="列出段落 Char1"/>
    <w:qFormat/>
    <w:uiPriority w:val="34"/>
    <w:rPr>
      <w:sz w:val="24"/>
    </w:rPr>
  </w:style>
  <w:style w:type="character" w:customStyle="1" w:styleId="112">
    <w:name w:val="标题字符1"/>
    <w:qFormat/>
    <w:uiPriority w:val="0"/>
    <w:rPr>
      <w:rFonts w:ascii="Cambria" w:hAnsi="Cambria" w:cs="Times New Roman"/>
      <w:b/>
      <w:bCs/>
      <w:snapToGrid w:val="0"/>
      <w:sz w:val="32"/>
      <w:szCs w:val="32"/>
    </w:rPr>
  </w:style>
  <w:style w:type="character" w:customStyle="1" w:styleId="113">
    <w:name w:val="sub"/>
    <w:basedOn w:val="57"/>
    <w:qFormat/>
    <w:uiPriority w:val="0"/>
  </w:style>
  <w:style w:type="character" w:customStyle="1" w:styleId="114">
    <w:name w:val="lotusbtndisabled2"/>
    <w:basedOn w:val="57"/>
    <w:qFormat/>
    <w:uiPriority w:val="0"/>
  </w:style>
  <w:style w:type="character" w:customStyle="1" w:styleId="115">
    <w:name w:val="列出段落 Char"/>
    <w:qFormat/>
    <w:uiPriority w:val="34"/>
    <w:rPr>
      <w:kern w:val="2"/>
      <w:sz w:val="21"/>
      <w:szCs w:val="22"/>
    </w:rPr>
  </w:style>
  <w:style w:type="character" w:customStyle="1" w:styleId="116">
    <w:name w:val="dijitarrowbuttoninner"/>
    <w:qFormat/>
    <w:uiPriority w:val="0"/>
    <w:rPr>
      <w:vanish/>
    </w:rPr>
  </w:style>
  <w:style w:type="character" w:customStyle="1" w:styleId="117">
    <w:name w:val="hover21"/>
    <w:qFormat/>
    <w:uiPriority w:val="0"/>
    <w:rPr>
      <w:color w:val="4178BE"/>
    </w:rPr>
  </w:style>
  <w:style w:type="character" w:customStyle="1" w:styleId="118">
    <w:name w:val="普通文字 Char Char2"/>
    <w:qFormat/>
    <w:uiPriority w:val="0"/>
    <w:rPr>
      <w:rFonts w:ascii="宋体" w:hAnsi="Courier New" w:eastAsia="宋体"/>
      <w:kern w:val="2"/>
      <w:sz w:val="24"/>
      <w:szCs w:val="24"/>
      <w:lang w:val="en-US" w:eastAsia="zh-CN" w:bidi="ar-SA"/>
    </w:rPr>
  </w:style>
  <w:style w:type="character" w:customStyle="1" w:styleId="119">
    <w:name w:val="font11"/>
    <w:qFormat/>
    <w:uiPriority w:val="0"/>
    <w:rPr>
      <w:rFonts w:hint="eastAsia" w:ascii="微软雅黑" w:hAnsi="微软雅黑" w:eastAsia="微软雅黑" w:cs="微软雅黑"/>
      <w:color w:val="FF0000"/>
      <w:sz w:val="18"/>
      <w:szCs w:val="18"/>
      <w:u w:val="none"/>
    </w:rPr>
  </w:style>
  <w:style w:type="character" w:customStyle="1" w:styleId="120">
    <w:name w:val="纯文本 Char1"/>
    <w:qFormat/>
    <w:uiPriority w:val="99"/>
    <w:rPr>
      <w:rFonts w:ascii="宋体" w:hAnsi="Courier New" w:eastAsia="宋体" w:cs="Times New Roman"/>
      <w:sz w:val="24"/>
      <w:szCs w:val="24"/>
    </w:rPr>
  </w:style>
  <w:style w:type="character" w:customStyle="1" w:styleId="121">
    <w:name w:val="lotusalttext10"/>
    <w:basedOn w:val="57"/>
    <w:qFormat/>
    <w:uiPriority w:val="0"/>
  </w:style>
  <w:style w:type="character" w:customStyle="1" w:styleId="122">
    <w:name w:val="纯文本 字符"/>
    <w:qFormat/>
    <w:uiPriority w:val="0"/>
    <w:rPr>
      <w:rFonts w:ascii="宋体" w:hAnsi="Courier New" w:eastAsia="宋体" w:cs="Courier New"/>
      <w:kern w:val="2"/>
      <w:sz w:val="21"/>
      <w:szCs w:val="24"/>
    </w:rPr>
  </w:style>
  <w:style w:type="character" w:customStyle="1" w:styleId="123">
    <w:name w:val="*正文 Char"/>
    <w:link w:val="124"/>
    <w:qFormat/>
    <w:uiPriority w:val="99"/>
    <w:rPr>
      <w:rFonts w:ascii="宋体" w:hAnsi="宋体"/>
      <w:sz w:val="24"/>
    </w:rPr>
  </w:style>
  <w:style w:type="paragraph" w:customStyle="1" w:styleId="124">
    <w:name w:val="*正文"/>
    <w:basedOn w:val="1"/>
    <w:link w:val="123"/>
    <w:qFormat/>
    <w:uiPriority w:val="99"/>
    <w:pPr>
      <w:spacing w:line="360" w:lineRule="auto"/>
      <w:ind w:firstLine="482"/>
    </w:pPr>
    <w:rPr>
      <w:rFonts w:ascii="宋体" w:hAnsi="宋体"/>
      <w:kern w:val="0"/>
      <w:sz w:val="24"/>
      <w:szCs w:val="20"/>
    </w:rPr>
  </w:style>
  <w:style w:type="character" w:customStyle="1" w:styleId="125">
    <w:name w:val="before"/>
    <w:basedOn w:val="57"/>
    <w:qFormat/>
    <w:uiPriority w:val="0"/>
  </w:style>
  <w:style w:type="character" w:customStyle="1" w:styleId="126">
    <w:name w:val="font101"/>
    <w:qFormat/>
    <w:uiPriority w:val="0"/>
    <w:rPr>
      <w:rFonts w:ascii="Times New Roman" w:hAnsi="Times New Roman" w:cs="Times New Roman"/>
      <w:color w:val="auto"/>
      <w:sz w:val="24"/>
      <w:szCs w:val="24"/>
      <w:u w:val="none"/>
    </w:rPr>
  </w:style>
  <w:style w:type="character" w:customStyle="1" w:styleId="127">
    <w:name w:val="font81"/>
    <w:qFormat/>
    <w:uiPriority w:val="0"/>
    <w:rPr>
      <w:rFonts w:ascii="Times New Roman" w:hAnsi="Times New Roman" w:cs="Times New Roman"/>
      <w:color w:val="FF0000"/>
      <w:sz w:val="18"/>
      <w:szCs w:val="18"/>
      <w:u w:val="none"/>
    </w:rPr>
  </w:style>
  <w:style w:type="character" w:customStyle="1" w:styleId="128">
    <w:name w:val="正文文本缩进字符1"/>
    <w:semiHidden/>
    <w:qFormat/>
    <w:uiPriority w:val="0"/>
    <w:rPr>
      <w:snapToGrid w:val="0"/>
      <w:sz w:val="21"/>
      <w:szCs w:val="21"/>
    </w:rPr>
  </w:style>
  <w:style w:type="character" w:customStyle="1" w:styleId="129">
    <w:name w:val="before1"/>
    <w:qFormat/>
    <w:uiPriority w:val="0"/>
    <w:rPr>
      <w:shd w:val="clear" w:color="auto" w:fill="4178BE"/>
    </w:rPr>
  </w:style>
  <w:style w:type="character" w:customStyle="1" w:styleId="130">
    <w:name w:val="font51"/>
    <w:qFormat/>
    <w:uiPriority w:val="0"/>
    <w:rPr>
      <w:rFonts w:hint="eastAsia" w:ascii="微软雅黑" w:hAnsi="微软雅黑" w:eastAsia="微软雅黑" w:cs="微软雅黑"/>
      <w:i/>
      <w:color w:val="FF0000"/>
      <w:sz w:val="18"/>
      <w:szCs w:val="18"/>
      <w:u w:val="none"/>
    </w:rPr>
  </w:style>
  <w:style w:type="character" w:customStyle="1" w:styleId="131">
    <w:name w:val="optnless"/>
    <w:qFormat/>
    <w:uiPriority w:val="0"/>
    <w:rPr>
      <w:color w:val="5596E6"/>
    </w:rPr>
  </w:style>
  <w:style w:type="character" w:customStyle="1" w:styleId="132">
    <w:name w:val="font01"/>
    <w:qFormat/>
    <w:uiPriority w:val="0"/>
    <w:rPr>
      <w:rFonts w:hint="eastAsia" w:ascii="微软雅黑" w:hAnsi="微软雅黑" w:eastAsia="微软雅黑" w:cs="微软雅黑"/>
      <w:color w:val="000000"/>
      <w:sz w:val="18"/>
      <w:szCs w:val="18"/>
      <w:u w:val="none"/>
    </w:rPr>
  </w:style>
  <w:style w:type="character" w:customStyle="1" w:styleId="133">
    <w:name w:val="列表段落 字符"/>
    <w:link w:val="134"/>
    <w:qFormat/>
    <w:uiPriority w:val="34"/>
    <w:rPr>
      <w:kern w:val="2"/>
      <w:sz w:val="21"/>
      <w:szCs w:val="22"/>
    </w:rPr>
  </w:style>
  <w:style w:type="paragraph" w:styleId="134">
    <w:name w:val="List Paragraph"/>
    <w:basedOn w:val="1"/>
    <w:link w:val="133"/>
    <w:qFormat/>
    <w:uiPriority w:val="34"/>
    <w:pPr>
      <w:ind w:firstLine="420" w:firstLineChars="200"/>
    </w:pPr>
    <w:rPr>
      <w:szCs w:val="22"/>
    </w:rPr>
  </w:style>
  <w:style w:type="character" w:customStyle="1" w:styleId="135">
    <w:name w:val="bookmark-item"/>
    <w:basedOn w:val="57"/>
    <w:qFormat/>
    <w:uiPriority w:val="0"/>
  </w:style>
  <w:style w:type="character" w:customStyle="1" w:styleId="136">
    <w:name w:val="lotusalttext"/>
    <w:basedOn w:val="57"/>
    <w:qFormat/>
    <w:uiPriority w:val="0"/>
  </w:style>
  <w:style w:type="character" w:customStyle="1" w:styleId="137">
    <w:name w:val="optnmore"/>
    <w:qFormat/>
    <w:uiPriority w:val="0"/>
    <w:rPr>
      <w:color w:val="5596E6"/>
    </w:rPr>
  </w:style>
  <w:style w:type="character" w:customStyle="1" w:styleId="138">
    <w:name w:val="纯文本字符1"/>
    <w:semiHidden/>
    <w:qFormat/>
    <w:uiPriority w:val="0"/>
    <w:rPr>
      <w:rFonts w:ascii="宋体" w:hAnsi="Courier"/>
      <w:snapToGrid w:val="0"/>
      <w:sz w:val="24"/>
      <w:szCs w:val="24"/>
    </w:rPr>
  </w:style>
  <w:style w:type="character" w:customStyle="1" w:styleId="139">
    <w:name w:val="GW-正文 Char"/>
    <w:link w:val="140"/>
    <w:qFormat/>
    <w:uiPriority w:val="0"/>
    <w:rPr>
      <w:rFonts w:eastAsia="仿宋_GB2312"/>
      <w:sz w:val="24"/>
      <w:szCs w:val="24"/>
      <w:lang w:val="en-US" w:eastAsia="zh-CN" w:bidi="ar-SA"/>
    </w:rPr>
  </w:style>
  <w:style w:type="paragraph" w:customStyle="1" w:styleId="140">
    <w:name w:val="GW-正文"/>
    <w:link w:val="139"/>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character" w:customStyle="1" w:styleId="141">
    <w:name w:val="optnsets"/>
    <w:qFormat/>
    <w:uiPriority w:val="0"/>
    <w:rPr>
      <w:color w:val="5596E6"/>
    </w:rPr>
  </w:style>
  <w:style w:type="character" w:customStyle="1" w:styleId="142">
    <w:name w:val="批注文字 Char"/>
    <w:qFormat/>
    <w:uiPriority w:val="99"/>
    <w:rPr>
      <w:kern w:val="2"/>
      <w:sz w:val="21"/>
      <w:szCs w:val="24"/>
    </w:rPr>
  </w:style>
  <w:style w:type="character" w:customStyle="1" w:styleId="143">
    <w:name w:val="标题 Char3"/>
    <w:qFormat/>
    <w:uiPriority w:val="0"/>
    <w:rPr>
      <w:rFonts w:ascii="Calibri Light" w:hAnsi="Calibri Light"/>
      <w:b/>
      <w:bCs/>
      <w:kern w:val="2"/>
      <w:sz w:val="32"/>
      <w:szCs w:val="32"/>
    </w:rPr>
  </w:style>
  <w:style w:type="character" w:customStyle="1" w:styleId="144">
    <w:name w:val="样式二"/>
    <w:basedOn w:val="106"/>
    <w:qFormat/>
    <w:uiPriority w:val="0"/>
    <w:rPr>
      <w:rFonts w:ascii="宋体" w:hAnsi="宋体"/>
      <w:color w:val="000000"/>
      <w:sz w:val="36"/>
    </w:rPr>
  </w:style>
  <w:style w:type="character" w:customStyle="1" w:styleId="145">
    <w:name w:val="after1"/>
    <w:basedOn w:val="57"/>
    <w:qFormat/>
    <w:uiPriority w:val="0"/>
  </w:style>
  <w:style w:type="character" w:customStyle="1" w:styleId="146">
    <w:name w:val="after"/>
    <w:qFormat/>
    <w:uiPriority w:val="0"/>
    <w:rPr>
      <w:shd w:val="clear" w:color="auto" w:fill="008571"/>
    </w:rPr>
  </w:style>
  <w:style w:type="paragraph" w:customStyle="1" w:styleId="147">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8">
    <w:name w:val="表头文本"/>
    <w:qFormat/>
    <w:uiPriority w:val="0"/>
    <w:pPr>
      <w:jc w:val="center"/>
    </w:pPr>
    <w:rPr>
      <w:rFonts w:ascii="Arial" w:hAnsi="Arial" w:eastAsia="宋体" w:cs="Times New Roman"/>
      <w:b/>
      <w:sz w:val="21"/>
      <w:szCs w:val="21"/>
      <w:lang w:val="en-US" w:eastAsia="zh-CN" w:bidi="ar-SA"/>
    </w:rPr>
  </w:style>
  <w:style w:type="paragraph" w:customStyle="1" w:styleId="149">
    <w:name w:val="节"/>
    <w:basedOn w:val="5"/>
    <w:qFormat/>
    <w:uiPriority w:val="99"/>
    <w:pPr>
      <w:keepLines/>
      <w:tabs>
        <w:tab w:val="left" w:pos="432"/>
        <w:tab w:val="left" w:pos="576"/>
      </w:tabs>
      <w:adjustRightInd/>
      <w:snapToGrid/>
      <w:spacing w:beforeLines="100" w:afterLines="100" w:line="240" w:lineRule="auto"/>
      <w:ind w:left="576" w:hanging="576"/>
      <w:jc w:val="both"/>
      <w:textAlignment w:val="auto"/>
    </w:pPr>
    <w:rPr>
      <w:rFonts w:ascii="黑体" w:hAnsi="Arial" w:eastAsia="黑体"/>
      <w:kern w:val="2"/>
      <w:sz w:val="28"/>
      <w:szCs w:val="28"/>
      <w:lang w:val="zh-CN"/>
    </w:rPr>
  </w:style>
  <w:style w:type="paragraph" w:customStyle="1" w:styleId="150">
    <w:name w:val="正文段"/>
    <w:basedOn w:val="1"/>
    <w:qFormat/>
    <w:uiPriority w:val="0"/>
    <w:pPr>
      <w:widowControl/>
      <w:snapToGrid w:val="0"/>
      <w:spacing w:afterLines="50"/>
      <w:ind w:firstLine="200" w:firstLineChars="200"/>
    </w:pPr>
    <w:rPr>
      <w:kern w:val="0"/>
      <w:sz w:val="24"/>
      <w:szCs w:val="20"/>
    </w:rPr>
  </w:style>
  <w:style w:type="paragraph" w:customStyle="1" w:styleId="151">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152">
    <w:name w:val="Char Char Char Char Char Char Char"/>
    <w:basedOn w:val="1"/>
    <w:qFormat/>
    <w:uiPriority w:val="0"/>
    <w:rPr>
      <w:szCs w:val="21"/>
    </w:rPr>
  </w:style>
  <w:style w:type="paragraph" w:customStyle="1" w:styleId="153">
    <w:name w:val="_Style 2"/>
    <w:basedOn w:val="1"/>
    <w:qFormat/>
    <w:uiPriority w:val="0"/>
    <w:pPr>
      <w:adjustRightInd w:val="0"/>
      <w:snapToGrid w:val="0"/>
      <w:spacing w:line="360" w:lineRule="auto"/>
      <w:ind w:firstLine="200" w:firstLineChars="200"/>
      <w:jc w:val="center"/>
    </w:pPr>
    <w:rPr>
      <w:rFonts w:ascii="Calibri" w:hAnsi="Calibri" w:eastAsia="微软雅黑"/>
      <w:sz w:val="30"/>
    </w:rPr>
  </w:style>
  <w:style w:type="paragraph" w:customStyle="1" w:styleId="154">
    <w:name w:val="【正文】"/>
    <w:basedOn w:val="1"/>
    <w:qFormat/>
    <w:uiPriority w:val="0"/>
    <w:pPr>
      <w:spacing w:beforeAutospacing="1" w:afterAutospacing="1" w:line="360" w:lineRule="auto"/>
      <w:ind w:firstLine="200" w:firstLineChars="200"/>
      <w:contextualSpacing/>
    </w:pPr>
    <w:rPr>
      <w:rFonts w:ascii="Calibri" w:hAnsi="Calibri" w:cs="黑体"/>
      <w:sz w:val="24"/>
      <w:szCs w:val="22"/>
    </w:rPr>
  </w:style>
  <w:style w:type="paragraph" w:customStyle="1" w:styleId="155">
    <w:name w:val="样式 正文1 + 段前: 0.1 行"/>
    <w:basedOn w:val="1"/>
    <w:qFormat/>
    <w:uiPriority w:val="0"/>
    <w:pPr>
      <w:snapToGrid w:val="0"/>
      <w:spacing w:beforeLines="10" w:line="440" w:lineRule="atLeast"/>
      <w:ind w:firstLine="510"/>
    </w:pPr>
    <w:rPr>
      <w:sz w:val="24"/>
    </w:rPr>
  </w:style>
  <w:style w:type="paragraph" w:customStyle="1" w:styleId="156">
    <w:name w:val="图样式"/>
    <w:basedOn w:val="1"/>
    <w:qFormat/>
    <w:uiPriority w:val="0"/>
    <w:pPr>
      <w:keepNext/>
      <w:widowControl/>
      <w:autoSpaceDE w:val="0"/>
      <w:autoSpaceDN w:val="0"/>
      <w:adjustRightInd w:val="0"/>
      <w:spacing w:before="80" w:after="80" w:line="360" w:lineRule="auto"/>
      <w:jc w:val="center"/>
    </w:pPr>
    <w:rPr>
      <w:snapToGrid w:val="0"/>
      <w:kern w:val="0"/>
      <w:sz w:val="24"/>
      <w:szCs w:val="21"/>
    </w:rPr>
  </w:style>
  <w:style w:type="paragraph" w:customStyle="1" w:styleId="157">
    <w:name w:val="正文2"/>
    <w:basedOn w:val="1"/>
    <w:qFormat/>
    <w:uiPriority w:val="0"/>
    <w:pPr>
      <w:spacing w:before="156" w:line="360" w:lineRule="auto"/>
      <w:ind w:firstLine="510" w:firstLineChars="200"/>
    </w:pPr>
    <w:rPr>
      <w:sz w:val="24"/>
      <w:szCs w:val="20"/>
    </w:rPr>
  </w:style>
  <w:style w:type="paragraph" w:customStyle="1" w:styleId="158">
    <w:name w:val="列出段落1"/>
    <w:basedOn w:val="1"/>
    <w:qFormat/>
    <w:uiPriority w:val="0"/>
    <w:pPr>
      <w:ind w:firstLine="420" w:firstLineChars="200"/>
    </w:pPr>
    <w:rPr>
      <w:szCs w:val="21"/>
    </w:rPr>
  </w:style>
  <w:style w:type="paragraph" w:customStyle="1" w:styleId="159">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6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61">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162">
    <w:name w:val="6级标题"/>
    <w:basedOn w:val="1"/>
    <w:qFormat/>
    <w:uiPriority w:val="0"/>
    <w:pPr>
      <w:keepNext/>
      <w:spacing w:line="360" w:lineRule="auto"/>
      <w:ind w:left="1151" w:hanging="431"/>
      <w:jc w:val="center"/>
      <w:outlineLvl w:val="5"/>
    </w:pPr>
    <w:rPr>
      <w:rFonts w:ascii="黑体" w:hAnsi="宋体" w:eastAsia="微软雅黑"/>
      <w:b/>
      <w:bCs/>
      <w:sz w:val="24"/>
      <w:szCs w:val="52"/>
    </w:rPr>
  </w:style>
  <w:style w:type="paragraph" w:customStyle="1" w:styleId="16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4">
    <w:name w:val="_Style 58"/>
    <w:basedOn w:val="1"/>
    <w:next w:val="134"/>
    <w:qFormat/>
    <w:uiPriority w:val="0"/>
    <w:pPr>
      <w:ind w:firstLine="420" w:firstLineChars="200"/>
    </w:pPr>
    <w:rPr>
      <w:rFonts w:ascii="Calibri" w:hAnsi="Calibri"/>
      <w:szCs w:val="22"/>
    </w:rPr>
  </w:style>
  <w:style w:type="paragraph" w:customStyle="1" w:styleId="165">
    <w:name w:val="Body text|1"/>
    <w:basedOn w:val="1"/>
    <w:qFormat/>
    <w:uiPriority w:val="0"/>
    <w:pPr>
      <w:autoSpaceDE w:val="0"/>
      <w:autoSpaceDN w:val="0"/>
      <w:adjustRightInd w:val="0"/>
      <w:spacing w:after="200" w:line="314" w:lineRule="auto"/>
      <w:jc w:val="left"/>
    </w:pPr>
    <w:rPr>
      <w:rFonts w:ascii="MingLiU" w:hAnsi="MingLiU" w:eastAsia="MingLiU" w:cs="MingLiU"/>
      <w:snapToGrid w:val="0"/>
      <w:color w:val="000963"/>
      <w:kern w:val="0"/>
      <w:sz w:val="19"/>
      <w:szCs w:val="19"/>
      <w:lang w:val="zh-TW" w:eastAsia="zh-TW" w:bidi="zh-TW"/>
    </w:rPr>
  </w:style>
  <w:style w:type="paragraph" w:customStyle="1" w:styleId="166">
    <w:name w:val="纯文本1"/>
    <w:basedOn w:val="1"/>
    <w:qFormat/>
    <w:uiPriority w:val="0"/>
    <w:pPr>
      <w:adjustRightInd w:val="0"/>
      <w:textAlignment w:val="baseline"/>
    </w:pPr>
    <w:rPr>
      <w:rFonts w:ascii="宋体" w:hAnsi="Courier New" w:eastAsia="楷体_GB2312"/>
      <w:sz w:val="26"/>
      <w:szCs w:val="20"/>
    </w:rPr>
  </w:style>
  <w:style w:type="paragraph" w:customStyle="1" w:styleId="167">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 w:val="24"/>
      <w:szCs w:val="21"/>
    </w:rPr>
  </w:style>
  <w:style w:type="paragraph" w:customStyle="1" w:styleId="168">
    <w:name w:val="CM11"/>
    <w:basedOn w:val="2"/>
    <w:next w:val="2"/>
    <w:unhideWhenUsed/>
    <w:qFormat/>
    <w:uiPriority w:val="99"/>
    <w:pPr>
      <w:spacing w:line="520" w:lineRule="atLeast"/>
    </w:pPr>
  </w:style>
  <w:style w:type="paragraph" w:customStyle="1" w:styleId="169">
    <w:name w:val="正文11"/>
    <w:basedOn w:val="1"/>
    <w:next w:val="1"/>
    <w:qFormat/>
    <w:uiPriority w:val="0"/>
    <w:pPr>
      <w:spacing w:before="120" w:line="360" w:lineRule="auto"/>
      <w:ind w:left="420" w:firstLine="527"/>
    </w:pPr>
    <w:rPr>
      <w:rFonts w:ascii="宋体" w:hAnsi="宋体"/>
    </w:rPr>
  </w:style>
  <w:style w:type="paragraph" w:customStyle="1" w:styleId="170">
    <w:name w:val="_Style 54"/>
    <w:basedOn w:val="1"/>
    <w:qFormat/>
    <w:uiPriority w:val="0"/>
    <w:pPr>
      <w:adjustRightInd w:val="0"/>
      <w:snapToGrid w:val="0"/>
      <w:spacing w:line="360" w:lineRule="auto"/>
      <w:ind w:firstLine="420" w:firstLineChars="200"/>
    </w:pPr>
    <w:rPr>
      <w:rFonts w:ascii="Calibri" w:hAnsi="Calibri"/>
      <w:sz w:val="24"/>
    </w:rPr>
  </w:style>
  <w:style w:type="paragraph" w:customStyle="1" w:styleId="171">
    <w:name w:val="注示头"/>
    <w:basedOn w:val="1"/>
    <w:qFormat/>
    <w:uiPriority w:val="0"/>
    <w:pPr>
      <w:pBdr>
        <w:top w:val="single" w:color="000000" w:sz="4" w:space="1"/>
      </w:pBdr>
      <w:autoSpaceDE w:val="0"/>
      <w:autoSpaceDN w:val="0"/>
      <w:adjustRightInd w:val="0"/>
      <w:spacing w:line="360" w:lineRule="auto"/>
    </w:pPr>
    <w:rPr>
      <w:rFonts w:ascii="Arial" w:hAnsi="Arial" w:eastAsia="黑体"/>
      <w:snapToGrid w:val="0"/>
      <w:kern w:val="0"/>
      <w:sz w:val="18"/>
      <w:szCs w:val="21"/>
    </w:rPr>
  </w:style>
  <w:style w:type="paragraph" w:customStyle="1" w:styleId="172">
    <w:name w:val="5级标题"/>
    <w:basedOn w:val="1"/>
    <w:qFormat/>
    <w:uiPriority w:val="0"/>
    <w:pPr>
      <w:keepNext/>
      <w:ind w:left="148" w:leftChars="-52" w:right="-7" w:rightChars="-7" w:hanging="200" w:hangingChars="200"/>
      <w:jc w:val="left"/>
      <w:outlineLvl w:val="4"/>
    </w:pPr>
    <w:rPr>
      <w:rFonts w:ascii="宋体" w:hAnsi="宋体"/>
      <w:bCs/>
      <w:sz w:val="24"/>
      <w:szCs w:val="30"/>
    </w:rPr>
  </w:style>
  <w:style w:type="paragraph" w:customStyle="1" w:styleId="173">
    <w:name w:val="表内文字"/>
    <w:basedOn w:val="1"/>
    <w:qFormat/>
    <w:uiPriority w:val="0"/>
    <w:pPr>
      <w:jc w:val="center"/>
    </w:pPr>
    <w:rPr>
      <w:rFonts w:ascii="仿宋_GB2312" w:eastAsia="仿宋_GB2312"/>
      <w:sz w:val="24"/>
    </w:rPr>
  </w:style>
  <w:style w:type="paragraph" w:customStyle="1" w:styleId="174">
    <w:name w:val="Char Char9 Char Char"/>
    <w:basedOn w:val="1"/>
    <w:qFormat/>
    <w:uiPriority w:val="0"/>
    <w:pPr>
      <w:tabs>
        <w:tab w:val="left" w:pos="360"/>
      </w:tabs>
    </w:pPr>
  </w:style>
  <w:style w:type="paragraph" w:customStyle="1" w:styleId="175">
    <w:name w:val="纯文本11"/>
    <w:basedOn w:val="1"/>
    <w:qFormat/>
    <w:uiPriority w:val="0"/>
    <w:pPr>
      <w:adjustRightInd w:val="0"/>
      <w:textAlignment w:val="baseline"/>
    </w:pPr>
    <w:rPr>
      <w:rFonts w:ascii="宋体" w:hAnsi="Courier New" w:eastAsia="楷体_GB2312"/>
      <w:sz w:val="26"/>
      <w:szCs w:val="20"/>
    </w:rPr>
  </w:style>
  <w:style w:type="paragraph" w:customStyle="1" w:styleId="176">
    <w:name w:val="正文（首行不缩进）"/>
    <w:basedOn w:val="1"/>
    <w:qFormat/>
    <w:uiPriority w:val="0"/>
    <w:pPr>
      <w:autoSpaceDE w:val="0"/>
      <w:autoSpaceDN w:val="0"/>
      <w:adjustRightInd w:val="0"/>
      <w:spacing w:line="360" w:lineRule="auto"/>
      <w:jc w:val="left"/>
    </w:pPr>
    <w:rPr>
      <w:snapToGrid w:val="0"/>
      <w:kern w:val="0"/>
      <w:sz w:val="24"/>
      <w:szCs w:val="21"/>
    </w:rPr>
  </w:style>
  <w:style w:type="paragraph" w:customStyle="1" w:styleId="177">
    <w:name w:val="封面标题"/>
    <w:qFormat/>
    <w:uiPriority w:val="0"/>
    <w:pPr>
      <w:spacing w:beforeLines="500" w:afterLines="300"/>
      <w:jc w:val="center"/>
    </w:pPr>
    <w:rPr>
      <w:rFonts w:ascii="Times New Roman" w:hAnsi="Times New Roman" w:eastAsia="黑体" w:cs="Times New Roman"/>
      <w:b/>
      <w:kern w:val="2"/>
      <w:sz w:val="52"/>
      <w:szCs w:val="22"/>
      <w:lang w:val="en-US" w:eastAsia="zh-CN" w:bidi="ar-SA"/>
    </w:rPr>
  </w:style>
  <w:style w:type="paragraph" w:customStyle="1" w:styleId="178">
    <w:name w:val="列出段落11"/>
    <w:basedOn w:val="1"/>
    <w:qFormat/>
    <w:uiPriority w:val="0"/>
    <w:pPr>
      <w:ind w:firstLine="420" w:firstLineChars="200"/>
    </w:pPr>
    <w:rPr>
      <w:rFonts w:ascii="Calibri" w:hAnsi="Calibri"/>
      <w:szCs w:val="20"/>
    </w:rPr>
  </w:style>
  <w:style w:type="paragraph" w:customStyle="1" w:styleId="179">
    <w:name w:val="FBY-表格文字"/>
    <w:basedOn w:val="1"/>
    <w:qFormat/>
    <w:uiPriority w:val="99"/>
    <w:pPr>
      <w:adjustRightInd w:val="0"/>
      <w:jc w:val="left"/>
      <w:textAlignment w:val="top"/>
    </w:pPr>
    <w:rPr>
      <w:szCs w:val="20"/>
    </w:rPr>
  </w:style>
  <w:style w:type="paragraph" w:customStyle="1" w:styleId="180">
    <w:name w:val="默认段落字体 Para Char Char Char Char Char Char Char Char Char1 Char Char Char Char"/>
    <w:basedOn w:val="1"/>
    <w:qFormat/>
    <w:uiPriority w:val="0"/>
    <w:rPr>
      <w:rFonts w:ascii="Tahoma" w:hAnsi="Tahoma"/>
      <w:sz w:val="24"/>
      <w:szCs w:val="20"/>
    </w:rPr>
  </w:style>
  <w:style w:type="paragraph" w:customStyle="1" w:styleId="181">
    <w:name w:val="文档标题"/>
    <w:basedOn w:val="1"/>
    <w:qFormat/>
    <w:uiPriority w:val="0"/>
    <w:pPr>
      <w:tabs>
        <w:tab w:val="left" w:pos="0"/>
      </w:tabs>
      <w:autoSpaceDE w:val="0"/>
      <w:autoSpaceDN w:val="0"/>
      <w:adjustRightInd w:val="0"/>
      <w:spacing w:before="300" w:after="300" w:line="360" w:lineRule="auto"/>
      <w:jc w:val="center"/>
    </w:pPr>
    <w:rPr>
      <w:rFonts w:ascii="Arial" w:hAnsi="Arial" w:eastAsia="黑体"/>
      <w:snapToGrid w:val="0"/>
      <w:kern w:val="0"/>
      <w:sz w:val="36"/>
      <w:szCs w:val="36"/>
    </w:rPr>
  </w:style>
  <w:style w:type="paragraph" w:customStyle="1" w:styleId="182">
    <w:name w:val="1 Char Char Char Char"/>
    <w:basedOn w:val="1"/>
    <w:qFormat/>
    <w:uiPriority w:val="0"/>
    <w:rPr>
      <w:rFonts w:ascii="Tahoma" w:hAnsi="Tahoma"/>
      <w:sz w:val="24"/>
      <w:szCs w:val="20"/>
    </w:rPr>
  </w:style>
  <w:style w:type="paragraph" w:customStyle="1" w:styleId="183">
    <w:name w:val="默认段落字体 Para Char Char Char Char"/>
    <w:basedOn w:val="1"/>
    <w:qFormat/>
    <w:uiPriority w:val="0"/>
    <w:rPr>
      <w:rFonts w:ascii="Arial" w:hAnsi="Arial" w:cs="Arial"/>
      <w:szCs w:val="21"/>
    </w:rPr>
  </w:style>
  <w:style w:type="paragraph" w:customStyle="1" w:styleId="184">
    <w:name w:val="注示文本"/>
    <w:basedOn w:val="1"/>
    <w:qFormat/>
    <w:uiPriority w:val="0"/>
    <w:pPr>
      <w:pBdr>
        <w:bottom w:val="single" w:color="000000" w:sz="4" w:space="1"/>
      </w:pBdr>
      <w:autoSpaceDE w:val="0"/>
      <w:autoSpaceDN w:val="0"/>
      <w:adjustRightInd w:val="0"/>
      <w:spacing w:line="360" w:lineRule="auto"/>
      <w:ind w:firstLine="360"/>
    </w:pPr>
    <w:rPr>
      <w:rFonts w:ascii="Arial" w:hAnsi="Arial" w:eastAsia="楷体_GB2312"/>
      <w:snapToGrid w:val="0"/>
      <w:kern w:val="0"/>
      <w:sz w:val="18"/>
      <w:szCs w:val="18"/>
    </w:rPr>
  </w:style>
  <w:style w:type="paragraph" w:customStyle="1" w:styleId="185">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186">
    <w:name w:val="TOC 标题11"/>
    <w:basedOn w:val="4"/>
    <w:next w:val="1"/>
    <w:unhideWhenUsed/>
    <w:qFormat/>
    <w:uiPriority w:val="39"/>
    <w:pPr>
      <w:widowControl/>
      <w:spacing w:beforeLines="100" w:afterLines="100" w:line="259" w:lineRule="auto"/>
      <w:jc w:val="left"/>
      <w:outlineLvl w:val="9"/>
    </w:pPr>
    <w:rPr>
      <w:rFonts w:ascii="Cambria" w:hAnsi="Cambria"/>
      <w:b w:val="0"/>
      <w:bCs w:val="0"/>
      <w:color w:val="365F91"/>
      <w:kern w:val="0"/>
      <w:sz w:val="32"/>
      <w:szCs w:val="32"/>
    </w:rPr>
  </w:style>
  <w:style w:type="paragraph" w:customStyle="1" w:styleId="187">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table" w:customStyle="1" w:styleId="188">
    <w:name w:val="表样式"/>
    <w:basedOn w:val="54"/>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89">
    <w:name w:val="浅色列表1"/>
    <w:basedOn w:val="54"/>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90">
    <w:name w:val="Table Normal"/>
    <w:qFormat/>
    <w:uiPriority w:val="0"/>
    <w:tblPr>
      <w:tblCellMar>
        <w:top w:w="0" w:type="dxa"/>
        <w:left w:w="0" w:type="dxa"/>
        <w:bottom w:w="0" w:type="dxa"/>
        <w:right w:w="0" w:type="dxa"/>
      </w:tblCellMar>
    </w:tblPr>
  </w:style>
  <w:style w:type="paragraph" w:customStyle="1" w:styleId="191">
    <w:name w:val="122222222"/>
    <w:basedOn w:val="17"/>
    <w:qFormat/>
    <w:uiPriority w:val="0"/>
    <w:pPr>
      <w:autoSpaceDE w:val="0"/>
      <w:autoSpaceDN w:val="0"/>
      <w:adjustRightInd w:val="0"/>
      <w:spacing w:line="360" w:lineRule="auto"/>
      <w:ind w:firstLine="552" w:firstLineChars="197"/>
      <w:textAlignment w:val="baseline"/>
    </w:pPr>
    <w:rPr>
      <w:rFonts w:ascii="Calibri" w:hAnsi="Calibri"/>
      <w:color w:val="000000"/>
    </w:rPr>
  </w:style>
  <w:style w:type="character" w:customStyle="1" w:styleId="192">
    <w:name w:val="无间隔 字符"/>
    <w:link w:val="193"/>
    <w:qFormat/>
    <w:uiPriority w:val="1"/>
    <w:rPr>
      <w:kern w:val="2"/>
      <w:sz w:val="21"/>
      <w:szCs w:val="22"/>
    </w:rPr>
  </w:style>
  <w:style w:type="paragraph" w:styleId="193">
    <w:name w:val="No Spacing"/>
    <w:link w:val="192"/>
    <w:qFormat/>
    <w:uiPriority w:val="1"/>
    <w:pPr>
      <w:widowControl w:val="0"/>
    </w:pPr>
    <w:rPr>
      <w:rFonts w:ascii="Times New Roman" w:hAnsi="Times New Roman" w:eastAsia="宋体" w:cs="Times New Roman"/>
      <w:kern w:val="2"/>
      <w:sz w:val="21"/>
      <w:szCs w:val="22"/>
      <w:lang w:val="en-US" w:eastAsia="zh-CN" w:bidi="ar-SA"/>
    </w:rPr>
  </w:style>
  <w:style w:type="character" w:customStyle="1" w:styleId="194">
    <w:name w:val="表格文字 Char"/>
    <w:link w:val="65"/>
    <w:qFormat/>
    <w:uiPriority w:val="0"/>
    <w:rPr>
      <w:kern w:val="2"/>
      <w:sz w:val="18"/>
      <w:szCs w:val="24"/>
    </w:rPr>
  </w:style>
  <w:style w:type="paragraph" w:customStyle="1" w:styleId="195">
    <w:name w:val="样式1"/>
    <w:basedOn w:val="4"/>
    <w:next w:val="1"/>
    <w:link w:val="196"/>
    <w:qFormat/>
    <w:uiPriority w:val="0"/>
    <w:pPr>
      <w:spacing w:line="240" w:lineRule="auto"/>
    </w:pPr>
    <w:rPr>
      <w:rFonts w:ascii="宋体" w:hAnsi="宋体" w:cstheme="minorBidi"/>
      <w:sz w:val="24"/>
    </w:rPr>
  </w:style>
  <w:style w:type="character" w:customStyle="1" w:styleId="196">
    <w:name w:val="样式1 字符"/>
    <w:basedOn w:val="69"/>
    <w:link w:val="195"/>
    <w:qFormat/>
    <w:uiPriority w:val="0"/>
    <w:rPr>
      <w:rFonts w:ascii="宋体" w:hAnsi="宋体" w:cstheme="minorBidi"/>
      <w:kern w:val="44"/>
      <w:sz w:val="24"/>
      <w:szCs w:val="44"/>
    </w:rPr>
  </w:style>
  <w:style w:type="paragraph" w:customStyle="1" w:styleId="197">
    <w:name w:val="样式2"/>
    <w:basedOn w:val="5"/>
    <w:next w:val="1"/>
    <w:link w:val="198"/>
    <w:qFormat/>
    <w:uiPriority w:val="0"/>
    <w:pPr>
      <w:keepLines/>
      <w:adjustRightInd/>
      <w:snapToGrid/>
      <w:spacing w:before="260" w:after="260" w:line="240" w:lineRule="auto"/>
      <w:jc w:val="both"/>
      <w:textAlignment w:val="auto"/>
    </w:pPr>
    <w:rPr>
      <w:rFonts w:eastAsia="宋体" w:asciiTheme="majorHAnsi" w:hAnsiTheme="majorHAnsi" w:cstheme="majorBidi"/>
      <w:kern w:val="2"/>
      <w:sz w:val="24"/>
      <w:szCs w:val="32"/>
    </w:rPr>
  </w:style>
  <w:style w:type="character" w:customStyle="1" w:styleId="198">
    <w:name w:val="样式2 字符"/>
    <w:basedOn w:val="68"/>
    <w:link w:val="197"/>
    <w:qFormat/>
    <w:uiPriority w:val="0"/>
    <w:rPr>
      <w:rFonts w:eastAsia="仿宋_GB2312" w:asciiTheme="majorHAnsi" w:hAnsiTheme="majorHAnsi" w:cstheme="majorBidi"/>
      <w:bCs/>
      <w:kern w:val="2"/>
      <w:sz w:val="24"/>
      <w:szCs w:val="32"/>
    </w:rPr>
  </w:style>
  <w:style w:type="paragraph" w:customStyle="1" w:styleId="199">
    <w:name w:val="样式3"/>
    <w:basedOn w:val="7"/>
    <w:next w:val="1"/>
    <w:link w:val="200"/>
    <w:qFormat/>
    <w:uiPriority w:val="0"/>
    <w:pPr>
      <w:spacing w:line="240" w:lineRule="auto"/>
      <w:ind w:firstLine="0" w:firstLineChars="0"/>
    </w:pPr>
    <w:rPr>
      <w:rFonts w:ascii="宋体" w:hAnsi="宋体" w:eastAsia="宋体" w:cstheme="minorBidi"/>
      <w:sz w:val="24"/>
      <w:szCs w:val="32"/>
    </w:rPr>
  </w:style>
  <w:style w:type="character" w:customStyle="1" w:styleId="200">
    <w:name w:val="样式3 字符"/>
    <w:basedOn w:val="71"/>
    <w:link w:val="199"/>
    <w:qFormat/>
    <w:uiPriority w:val="0"/>
    <w:rPr>
      <w:rFonts w:ascii="宋体" w:hAnsi="宋体" w:eastAsia="仿宋_GB2312" w:cstheme="minorBidi"/>
      <w:kern w:val="2"/>
      <w:sz w:val="24"/>
      <w:szCs w:val="32"/>
    </w:rPr>
  </w:style>
  <w:style w:type="paragraph" w:customStyle="1" w:styleId="20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正文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3">
    <w:name w:val="正文缩进2格"/>
    <w:basedOn w:val="1"/>
    <w:qFormat/>
    <w:uiPriority w:val="0"/>
    <w:pPr>
      <w:widowControl/>
      <w:spacing w:line="600" w:lineRule="exact"/>
      <w:ind w:firstLine="639" w:firstLineChars="206"/>
      <w:jc w:val="left"/>
    </w:pPr>
    <w:rPr>
      <w:rFonts w:ascii="仿宋_GB2312" w:hAnsi="宋体" w:eastAsia="仿宋_GB2312"/>
      <w:kern w:val="0"/>
      <w:sz w:val="31"/>
      <w:szCs w:val="28"/>
    </w:rPr>
  </w:style>
  <w:style w:type="character" w:customStyle="1" w:styleId="204">
    <w:name w:val="日期 Char3"/>
    <w:qFormat/>
    <w:uiPriority w:val="0"/>
    <w:rPr>
      <w:rFonts w:eastAsia="仿宋_GB2312" w:cs="Times New Roman"/>
      <w:kern w:val="2"/>
      <w:sz w:val="28"/>
      <w:lang w:val="en-US" w:eastAsia="zh-CN" w:bidi="ar-SA"/>
    </w:rPr>
  </w:style>
  <w:style w:type="character" w:customStyle="1" w:styleId="205">
    <w:name w:val="纯文本 Char2"/>
    <w:qFormat/>
    <w:locked/>
    <w:uiPriority w:val="0"/>
    <w:rPr>
      <w:rFonts w:ascii="宋体" w:hAnsi="Courier New" w:cs="Courier New"/>
      <w:szCs w:val="21"/>
    </w:rPr>
  </w:style>
  <w:style w:type="paragraph" w:customStyle="1" w:styleId="206">
    <w:name w:val="Char Char Char Char"/>
    <w:basedOn w:val="1"/>
    <w:qFormat/>
    <w:uiPriority w:val="99"/>
    <w:pPr>
      <w:widowControl/>
      <w:jc w:val="left"/>
    </w:pPr>
    <w:rPr>
      <w:rFonts w:ascii="Calibri" w:hAnsi="Calibri" w:cs="宋体"/>
      <w:kern w:val="0"/>
      <w:sz w:val="24"/>
    </w:rPr>
  </w:style>
  <w:style w:type="character" w:customStyle="1" w:styleId="207">
    <w:name w:val="NormalCharacter"/>
    <w:qFormat/>
    <w:uiPriority w:val="0"/>
    <w:rPr>
      <w:rFonts w:ascii="Calibri" w:hAnsi="Calibri" w:eastAsia="宋体"/>
    </w:rPr>
  </w:style>
  <w:style w:type="paragraph" w:customStyle="1" w:styleId="20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09">
    <w:name w:val="Table Paragraph"/>
    <w:basedOn w:val="1"/>
    <w:qFormat/>
    <w:uiPriority w:val="1"/>
    <w:rPr>
      <w:rFonts w:ascii="宋体" w:hAnsi="宋体" w:cs="宋体"/>
      <w:sz w:val="24"/>
      <w:lang w:val="zh-CN" w:bidi="zh-CN"/>
    </w:rPr>
  </w:style>
  <w:style w:type="paragraph" w:customStyle="1" w:styleId="210">
    <w:name w:val="CM13"/>
    <w:basedOn w:val="2"/>
    <w:next w:val="2"/>
    <w:unhideWhenUsed/>
    <w:qFormat/>
    <w:uiPriority w:val="99"/>
    <w:pPr>
      <w:spacing w:line="520" w:lineRule="atLeast"/>
    </w:pPr>
  </w:style>
  <w:style w:type="paragraph" w:customStyle="1" w:styleId="211">
    <w:name w:val="msolistparagraph"/>
    <w:basedOn w:val="1"/>
    <w:qFormat/>
    <w:uiPriority w:val="0"/>
    <w:pPr>
      <w:ind w:firstLine="420" w:firstLineChars="200"/>
    </w:pPr>
  </w:style>
  <w:style w:type="character" w:customStyle="1" w:styleId="212">
    <w:name w:val="font71"/>
    <w:basedOn w:val="57"/>
    <w:qFormat/>
    <w:uiPriority w:val="0"/>
    <w:rPr>
      <w:rFonts w:hint="eastAsia" w:ascii="宋体" w:hAnsi="宋体" w:eastAsia="宋体" w:cs="宋体"/>
      <w:color w:val="000000"/>
      <w:sz w:val="18"/>
      <w:szCs w:val="18"/>
      <w:u w:val="none"/>
    </w:rPr>
  </w:style>
  <w:style w:type="character" w:customStyle="1" w:styleId="213">
    <w:name w:val="font31"/>
    <w:basedOn w:val="57"/>
    <w:qFormat/>
    <w:uiPriority w:val="0"/>
    <w:rPr>
      <w:rFonts w:hint="default" w:ascii="Helvetica" w:hAnsi="Helvetica" w:eastAsia="Helvetica" w:cs="Helvetica"/>
      <w:b/>
      <w:bCs/>
      <w:color w:val="000000"/>
      <w:sz w:val="18"/>
      <w:szCs w:val="18"/>
      <w:u w:val="none"/>
    </w:rPr>
  </w:style>
  <w:style w:type="character" w:customStyle="1" w:styleId="214">
    <w:name w:val="font41"/>
    <w:basedOn w:val="57"/>
    <w:qFormat/>
    <w:uiPriority w:val="0"/>
    <w:rPr>
      <w:rFonts w:hint="eastAsia" w:ascii="宋体" w:hAnsi="宋体" w:eastAsia="宋体" w:cs="宋体"/>
      <w:b/>
      <w:bCs/>
      <w:color w:val="000000"/>
      <w:sz w:val="18"/>
      <w:szCs w:val="18"/>
      <w:u w:val="none"/>
    </w:rPr>
  </w:style>
  <w:style w:type="paragraph" w:customStyle="1" w:styleId="215">
    <w:name w:val="纯文本_0"/>
    <w:basedOn w:val="1"/>
    <w:qFormat/>
    <w:uiPriority w:val="0"/>
    <w:pPr>
      <w:spacing w:before="50" w:after="50"/>
    </w:pPr>
    <w:rPr>
      <w:rFonts w:ascii="宋体" w:hAnsi="Courier New"/>
      <w:kern w:val="0"/>
      <w:sz w:val="20"/>
      <w:szCs w:val="20"/>
    </w:rPr>
  </w:style>
  <w:style w:type="paragraph" w:customStyle="1" w:styleId="216">
    <w:name w:val="BodyText1I2"/>
    <w:basedOn w:val="217"/>
    <w:qFormat/>
    <w:uiPriority w:val="0"/>
    <w:pPr>
      <w:ind w:firstLine="420" w:firstLineChars="200"/>
    </w:pPr>
    <w:rPr>
      <w:rFonts w:ascii="仿宋_GB2312"/>
    </w:rPr>
  </w:style>
  <w:style w:type="paragraph" w:customStyle="1" w:styleId="217">
    <w:name w:val="BodyTextIndent"/>
    <w:basedOn w:val="1"/>
    <w:qFormat/>
    <w:uiPriority w:val="0"/>
    <w:pPr>
      <w:ind w:firstLine="645"/>
      <w:textAlignment w:val="baseline"/>
    </w:pPr>
  </w:style>
  <w:style w:type="paragraph" w:customStyle="1" w:styleId="218">
    <w:name w:val="样式 仿宋_GB2312 四号 居中"/>
    <w:basedOn w:val="1"/>
    <w:qFormat/>
    <w:uiPriority w:val="0"/>
    <w:pPr>
      <w:jc w:val="center"/>
    </w:pPr>
    <w:rPr>
      <w:rFonts w:ascii="仿宋_GB2312" w:hAnsi="仿宋_GB2312" w:eastAsia="Times New Roman"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49</Pages>
  <Words>10654</Words>
  <Characters>11413</Characters>
  <Lines>240</Lines>
  <Paragraphs>67</Paragraphs>
  <TotalTime>28</TotalTime>
  <ScaleCrop>false</ScaleCrop>
  <LinksUpToDate>false</LinksUpToDate>
  <CharactersWithSpaces>12093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2022-06-19T11:02:00Z</dcterms:created>
  <dc:creator>微软用户</dc:creator>
  <cp:lastModifiedBy>Administrator</cp:lastModifiedBy>
  <cp:lastPrinted>2022-10-02T16:29:00Z</cp:lastPrinted>
  <dcterms:modified xsi:type="dcterms:W3CDTF">2025-02-26T13:40:37Z</dcterms:modified>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FD2C09504DC34CF38C59A8D4F1FF35FB_13</vt:lpwstr>
  </property>
  <property fmtid="{D5CDD505-2E9C-101B-9397-08002B2CF9AE}" pid="4" name="KSOTemplateDocerSaveRecord">
    <vt:lpwstr>eyJoZGlkIjoiN2FlYzc4YjczMTA2OWMxNmY4OWQ4ODFmOGFhZTU5ZDAifQ==</vt:lpwstr>
  </property>
</Properties>
</file>