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87F35">
      <w:pPr>
        <w:spacing w:line="360" w:lineRule="auto"/>
        <w:ind w:right="42" w:rightChars="20"/>
        <w:jc w:val="center"/>
        <w:rPr>
          <w:rFonts w:asciiTheme="minorEastAsia" w:hAnsiTheme="minorEastAsia" w:eastAsiaTheme="minorEastAsia"/>
          <w:b/>
          <w:bCs/>
          <w:color w:val="auto"/>
          <w:sz w:val="36"/>
          <w:szCs w:val="36"/>
          <w:highlight w:val="none"/>
        </w:rPr>
      </w:pPr>
    </w:p>
    <w:p w14:paraId="0C7C45D0">
      <w:pPr>
        <w:spacing w:line="360" w:lineRule="auto"/>
        <w:ind w:right="42" w:rightChars="20"/>
        <w:jc w:val="center"/>
        <w:rPr>
          <w:rFonts w:asciiTheme="minorEastAsia" w:hAnsiTheme="minorEastAsia" w:eastAsiaTheme="minorEastAsia"/>
          <w:b/>
          <w:bCs/>
          <w:color w:val="auto"/>
          <w:sz w:val="36"/>
          <w:szCs w:val="36"/>
          <w:highlight w:val="none"/>
        </w:rPr>
      </w:pPr>
      <w:r>
        <w:rPr>
          <w:rFonts w:hint="eastAsia" w:asciiTheme="minorEastAsia" w:hAnsiTheme="minorEastAsia" w:eastAsiaTheme="minorEastAsia"/>
          <w:b/>
          <w:bCs/>
          <w:color w:val="auto"/>
          <w:sz w:val="36"/>
          <w:szCs w:val="36"/>
          <w:highlight w:val="none"/>
        </w:rPr>
        <w:t>秀洲区宁静小区建设项目</w:t>
      </w:r>
    </w:p>
    <w:p w14:paraId="22AE7D4E">
      <w:pPr>
        <w:spacing w:line="360" w:lineRule="auto"/>
        <w:ind w:right="42" w:rightChars="20"/>
        <w:jc w:val="center"/>
        <w:rPr>
          <w:rFonts w:asciiTheme="minorEastAsia" w:hAnsiTheme="minorEastAsia" w:eastAsiaTheme="minorEastAsia"/>
          <w:color w:val="auto"/>
          <w:sz w:val="36"/>
          <w:szCs w:val="36"/>
          <w:highlight w:val="none"/>
        </w:rPr>
      </w:pPr>
      <w:r>
        <w:rPr>
          <w:rFonts w:hint="eastAsia" w:asciiTheme="minorEastAsia" w:hAnsiTheme="minorEastAsia" w:eastAsiaTheme="minorEastAsia"/>
          <w:b/>
          <w:bCs/>
          <w:color w:val="auto"/>
          <w:sz w:val="36"/>
          <w:szCs w:val="36"/>
          <w:highlight w:val="none"/>
        </w:rPr>
        <w:t>（线上电子招投标）</w:t>
      </w:r>
    </w:p>
    <w:p w14:paraId="29850664">
      <w:pPr>
        <w:pStyle w:val="96"/>
        <w:rPr>
          <w:color w:val="auto"/>
          <w:highlight w:val="none"/>
        </w:rPr>
      </w:pPr>
    </w:p>
    <w:p w14:paraId="603A0513">
      <w:pPr>
        <w:spacing w:line="360" w:lineRule="auto"/>
        <w:ind w:right="42" w:rightChars="20"/>
        <w:jc w:val="center"/>
        <w:rPr>
          <w:rFonts w:asciiTheme="minorEastAsia" w:hAnsiTheme="minorEastAsia" w:eastAsiaTheme="minorEastAsia"/>
          <w:b/>
          <w:color w:val="auto"/>
          <w:sz w:val="52"/>
          <w:szCs w:val="52"/>
          <w:highlight w:val="none"/>
        </w:rPr>
      </w:pPr>
      <w:r>
        <w:rPr>
          <w:rFonts w:hint="eastAsia" w:asciiTheme="minorEastAsia" w:hAnsiTheme="minorEastAsia" w:eastAsiaTheme="minorEastAsia"/>
          <w:b/>
          <w:color w:val="auto"/>
          <w:sz w:val="52"/>
          <w:szCs w:val="52"/>
          <w:highlight w:val="none"/>
        </w:rPr>
        <w:t>公</w:t>
      </w:r>
    </w:p>
    <w:p w14:paraId="061A2DF2">
      <w:pPr>
        <w:spacing w:line="360" w:lineRule="auto"/>
        <w:ind w:right="42" w:rightChars="20"/>
        <w:jc w:val="center"/>
        <w:rPr>
          <w:rFonts w:asciiTheme="minorEastAsia" w:hAnsiTheme="minorEastAsia" w:eastAsiaTheme="minorEastAsia"/>
          <w:b/>
          <w:color w:val="auto"/>
          <w:sz w:val="52"/>
          <w:szCs w:val="52"/>
          <w:highlight w:val="none"/>
        </w:rPr>
      </w:pPr>
      <w:r>
        <w:rPr>
          <w:rFonts w:hint="eastAsia" w:asciiTheme="minorEastAsia" w:hAnsiTheme="minorEastAsia" w:eastAsiaTheme="minorEastAsia"/>
          <w:b/>
          <w:color w:val="auto"/>
          <w:sz w:val="52"/>
          <w:szCs w:val="52"/>
          <w:highlight w:val="none"/>
        </w:rPr>
        <w:t>开</w:t>
      </w:r>
    </w:p>
    <w:p w14:paraId="26181F54">
      <w:pPr>
        <w:spacing w:line="360" w:lineRule="auto"/>
        <w:ind w:right="42" w:rightChars="20"/>
        <w:jc w:val="center"/>
        <w:rPr>
          <w:rFonts w:asciiTheme="minorEastAsia" w:hAnsiTheme="minorEastAsia" w:eastAsiaTheme="minorEastAsia"/>
          <w:b/>
          <w:color w:val="auto"/>
          <w:sz w:val="52"/>
          <w:szCs w:val="52"/>
          <w:highlight w:val="none"/>
        </w:rPr>
      </w:pPr>
      <w:r>
        <w:rPr>
          <w:rFonts w:hint="eastAsia" w:asciiTheme="minorEastAsia" w:hAnsiTheme="minorEastAsia" w:eastAsiaTheme="minorEastAsia"/>
          <w:b/>
          <w:color w:val="auto"/>
          <w:sz w:val="52"/>
          <w:szCs w:val="52"/>
          <w:highlight w:val="none"/>
        </w:rPr>
        <w:t>招</w:t>
      </w:r>
    </w:p>
    <w:p w14:paraId="1E0D210A">
      <w:pPr>
        <w:spacing w:line="360" w:lineRule="auto"/>
        <w:ind w:right="42" w:rightChars="20"/>
        <w:jc w:val="center"/>
        <w:rPr>
          <w:rFonts w:asciiTheme="minorEastAsia" w:hAnsiTheme="minorEastAsia" w:eastAsiaTheme="minorEastAsia"/>
          <w:b/>
          <w:color w:val="auto"/>
          <w:sz w:val="52"/>
          <w:szCs w:val="52"/>
          <w:highlight w:val="none"/>
        </w:rPr>
      </w:pPr>
      <w:r>
        <w:rPr>
          <w:rFonts w:hint="eastAsia" w:asciiTheme="minorEastAsia" w:hAnsiTheme="minorEastAsia" w:eastAsiaTheme="minorEastAsia"/>
          <w:b/>
          <w:color w:val="auto"/>
          <w:sz w:val="52"/>
          <w:szCs w:val="52"/>
          <w:highlight w:val="none"/>
        </w:rPr>
        <w:t>标</w:t>
      </w:r>
    </w:p>
    <w:p w14:paraId="4853CCD0">
      <w:pPr>
        <w:spacing w:line="360" w:lineRule="auto"/>
        <w:ind w:right="42" w:rightChars="20"/>
        <w:jc w:val="center"/>
        <w:rPr>
          <w:rFonts w:asciiTheme="minorEastAsia" w:hAnsiTheme="minorEastAsia" w:eastAsiaTheme="minorEastAsia"/>
          <w:b/>
          <w:color w:val="auto"/>
          <w:sz w:val="52"/>
          <w:szCs w:val="52"/>
          <w:highlight w:val="none"/>
        </w:rPr>
      </w:pPr>
      <w:r>
        <w:rPr>
          <w:rFonts w:hint="eastAsia" w:asciiTheme="minorEastAsia" w:hAnsiTheme="minorEastAsia" w:eastAsiaTheme="minorEastAsia"/>
          <w:b/>
          <w:color w:val="auto"/>
          <w:sz w:val="52"/>
          <w:szCs w:val="52"/>
          <w:highlight w:val="none"/>
        </w:rPr>
        <w:t>文</w:t>
      </w:r>
    </w:p>
    <w:p w14:paraId="7786D3CC">
      <w:pPr>
        <w:spacing w:line="360" w:lineRule="auto"/>
        <w:ind w:right="42" w:rightChars="20"/>
        <w:jc w:val="center"/>
        <w:rPr>
          <w:rFonts w:asciiTheme="minorEastAsia" w:hAnsiTheme="minorEastAsia" w:eastAsiaTheme="minorEastAsia"/>
          <w:b/>
          <w:color w:val="auto"/>
          <w:sz w:val="52"/>
          <w:szCs w:val="52"/>
          <w:highlight w:val="none"/>
        </w:rPr>
      </w:pPr>
      <w:r>
        <w:rPr>
          <w:rFonts w:hint="eastAsia" w:asciiTheme="minorEastAsia" w:hAnsiTheme="minorEastAsia" w:eastAsiaTheme="minorEastAsia"/>
          <w:b/>
          <w:color w:val="auto"/>
          <w:sz w:val="52"/>
          <w:szCs w:val="52"/>
          <w:highlight w:val="none"/>
        </w:rPr>
        <w:t>件</w:t>
      </w:r>
    </w:p>
    <w:p w14:paraId="2538292D">
      <w:pPr>
        <w:pStyle w:val="96"/>
        <w:rPr>
          <w:color w:val="auto"/>
          <w:highlight w:val="none"/>
        </w:rPr>
      </w:pPr>
    </w:p>
    <w:p w14:paraId="4E2438D9">
      <w:pPr>
        <w:pStyle w:val="4"/>
        <w:spacing w:after="0" w:line="360" w:lineRule="auto"/>
        <w:ind w:right="42" w:rightChars="20"/>
        <w:rPr>
          <w:rFonts w:asciiTheme="minorEastAsia" w:hAnsiTheme="minorEastAsia" w:eastAsiaTheme="minorEastAsia"/>
          <w:color w:val="auto"/>
          <w:sz w:val="28"/>
          <w:szCs w:val="28"/>
          <w:highlight w:val="none"/>
        </w:rPr>
      </w:pPr>
    </w:p>
    <w:p w14:paraId="6178BBC8">
      <w:pPr>
        <w:pStyle w:val="29"/>
        <w:spacing w:line="360" w:lineRule="auto"/>
        <w:ind w:right="42" w:rightChars="20" w:firstLine="1068" w:firstLineChars="400"/>
        <w:jc w:val="left"/>
        <w:rPr>
          <w:rFonts w:asciiTheme="minorEastAsia" w:hAnsiTheme="minorEastAsia" w:eastAsiaTheme="minorEastAsia"/>
          <w:b/>
          <w:bCs/>
          <w:color w:val="auto"/>
          <w:w w:val="95"/>
          <w:sz w:val="28"/>
          <w:szCs w:val="28"/>
          <w:highlight w:val="none"/>
        </w:rPr>
      </w:pPr>
      <w:r>
        <w:rPr>
          <w:rFonts w:hint="eastAsia" w:asciiTheme="minorEastAsia" w:hAnsiTheme="minorEastAsia" w:eastAsiaTheme="minorEastAsia"/>
          <w:b/>
          <w:bCs/>
          <w:color w:val="auto"/>
          <w:w w:val="95"/>
          <w:sz w:val="28"/>
          <w:szCs w:val="28"/>
          <w:highlight w:val="none"/>
        </w:rPr>
        <w:t>招标编号：</w:t>
      </w:r>
      <w:r>
        <w:rPr>
          <w:rFonts w:hint="eastAsia" w:asciiTheme="minorEastAsia" w:hAnsiTheme="minorEastAsia" w:eastAsiaTheme="minorEastAsia"/>
          <w:b/>
          <w:color w:val="auto"/>
          <w:sz w:val="28"/>
          <w:szCs w:val="28"/>
          <w:highlight w:val="none"/>
        </w:rPr>
        <w:t>大地-DDZX-JX（2024）第63号</w:t>
      </w:r>
    </w:p>
    <w:p w14:paraId="0BC4B0C2">
      <w:pPr>
        <w:pStyle w:val="29"/>
        <w:spacing w:line="360" w:lineRule="auto"/>
        <w:ind w:right="42" w:rightChars="20" w:firstLine="1068" w:firstLineChars="400"/>
        <w:jc w:val="left"/>
        <w:rPr>
          <w:rFonts w:asciiTheme="minorEastAsia" w:hAnsiTheme="minorEastAsia" w:eastAsiaTheme="minorEastAsia"/>
          <w:b/>
          <w:bCs/>
          <w:color w:val="auto"/>
          <w:w w:val="95"/>
          <w:sz w:val="28"/>
          <w:szCs w:val="28"/>
          <w:highlight w:val="none"/>
        </w:rPr>
      </w:pPr>
      <w:r>
        <w:rPr>
          <w:rFonts w:hint="eastAsia" w:asciiTheme="minorEastAsia" w:hAnsiTheme="minorEastAsia" w:eastAsiaTheme="minorEastAsia"/>
          <w:b/>
          <w:bCs/>
          <w:color w:val="auto"/>
          <w:w w:val="95"/>
          <w:sz w:val="28"/>
          <w:szCs w:val="28"/>
          <w:highlight w:val="none"/>
        </w:rPr>
        <w:t>采购单位：</w:t>
      </w:r>
      <w:r>
        <w:rPr>
          <w:rFonts w:hint="eastAsia" w:asciiTheme="minorEastAsia" w:hAnsiTheme="minorEastAsia" w:eastAsiaTheme="minorEastAsia"/>
          <w:b/>
          <w:color w:val="auto"/>
          <w:sz w:val="28"/>
          <w:szCs w:val="28"/>
          <w:highlight w:val="none"/>
        </w:rPr>
        <w:t xml:space="preserve">嘉兴市生态环境局秀洲分局  </w:t>
      </w:r>
    </w:p>
    <w:p w14:paraId="1D2FE686">
      <w:pPr>
        <w:pStyle w:val="29"/>
        <w:spacing w:line="360" w:lineRule="auto"/>
        <w:ind w:right="42" w:rightChars="20" w:firstLine="1068" w:firstLineChars="400"/>
        <w:jc w:val="left"/>
        <w:rPr>
          <w:rFonts w:asciiTheme="minorEastAsia" w:hAnsiTheme="minorEastAsia" w:eastAsiaTheme="minorEastAsia"/>
          <w:b/>
          <w:bCs/>
          <w:color w:val="auto"/>
          <w:w w:val="95"/>
          <w:sz w:val="28"/>
          <w:szCs w:val="28"/>
          <w:highlight w:val="none"/>
        </w:rPr>
      </w:pPr>
      <w:r>
        <w:rPr>
          <w:rFonts w:hint="eastAsia" w:asciiTheme="minorEastAsia" w:hAnsiTheme="minorEastAsia" w:eastAsiaTheme="minorEastAsia"/>
          <w:b/>
          <w:bCs/>
          <w:color w:val="auto"/>
          <w:w w:val="95"/>
          <w:sz w:val="28"/>
          <w:szCs w:val="28"/>
          <w:highlight w:val="none"/>
        </w:rPr>
        <w:t>代理机构：大地工程咨询有限公司</w:t>
      </w:r>
    </w:p>
    <w:p w14:paraId="76B0E493">
      <w:pPr>
        <w:pStyle w:val="29"/>
        <w:spacing w:line="360" w:lineRule="auto"/>
        <w:ind w:right="42" w:rightChars="20" w:firstLine="1068" w:firstLineChars="400"/>
        <w:jc w:val="left"/>
        <w:rPr>
          <w:rFonts w:asciiTheme="minorEastAsia" w:hAnsiTheme="minorEastAsia" w:eastAsiaTheme="minorEastAsia"/>
          <w:b/>
          <w:bCs/>
          <w:color w:val="auto"/>
          <w:w w:val="95"/>
          <w:sz w:val="28"/>
          <w:szCs w:val="28"/>
          <w:highlight w:val="none"/>
        </w:rPr>
      </w:pPr>
      <w:r>
        <w:rPr>
          <w:rFonts w:hint="eastAsia" w:asciiTheme="minorEastAsia" w:hAnsiTheme="minorEastAsia" w:eastAsiaTheme="minorEastAsia"/>
          <w:b/>
          <w:bCs/>
          <w:color w:val="auto"/>
          <w:w w:val="95"/>
          <w:sz w:val="28"/>
          <w:szCs w:val="28"/>
          <w:highlight w:val="none"/>
        </w:rPr>
        <w:t>备案单位：嘉兴市秀洲区财政局</w:t>
      </w:r>
    </w:p>
    <w:p w14:paraId="30963FC4">
      <w:pPr>
        <w:pStyle w:val="29"/>
        <w:spacing w:line="360" w:lineRule="auto"/>
        <w:ind w:right="42" w:rightChars="20" w:firstLine="1068" w:firstLineChars="400"/>
        <w:jc w:val="left"/>
        <w:rPr>
          <w:rFonts w:asciiTheme="minorEastAsia" w:hAnsiTheme="minorEastAsia" w:eastAsiaTheme="minorEastAsia"/>
          <w:b/>
          <w:bCs/>
          <w:color w:val="auto"/>
          <w:w w:val="95"/>
          <w:sz w:val="28"/>
          <w:szCs w:val="28"/>
          <w:highlight w:val="none"/>
        </w:rPr>
      </w:pPr>
    </w:p>
    <w:p w14:paraId="3473612E">
      <w:pPr>
        <w:spacing w:line="360" w:lineRule="auto"/>
        <w:ind w:right="42" w:rightChars="20" w:firstLine="534" w:firstLineChars="200"/>
        <w:jc w:val="center"/>
        <w:rPr>
          <w:rFonts w:asciiTheme="minorEastAsia" w:hAnsiTheme="minorEastAsia" w:eastAsiaTheme="minorEastAsia"/>
          <w:b/>
          <w:bCs/>
          <w:color w:val="auto"/>
          <w:w w:val="95"/>
          <w:sz w:val="28"/>
          <w:szCs w:val="28"/>
          <w:highlight w:val="none"/>
        </w:rPr>
      </w:pPr>
      <w:bookmarkStart w:id="0" w:name="_Toc50012812"/>
      <w:bookmarkStart w:id="1" w:name="_Toc493511539"/>
      <w:bookmarkStart w:id="2" w:name="_Toc427915753"/>
      <w:r>
        <w:rPr>
          <w:rFonts w:hint="eastAsia" w:asciiTheme="minorEastAsia" w:hAnsiTheme="minorEastAsia" w:eastAsiaTheme="minorEastAsia"/>
          <w:b/>
          <w:bCs/>
          <w:color w:val="auto"/>
          <w:w w:val="95"/>
          <w:sz w:val="28"/>
          <w:szCs w:val="28"/>
          <w:highlight w:val="none"/>
        </w:rPr>
        <w:t>2024年</w:t>
      </w:r>
      <w:bookmarkEnd w:id="0"/>
      <w:bookmarkEnd w:id="1"/>
      <w:bookmarkEnd w:id="2"/>
      <w:r>
        <w:rPr>
          <w:rFonts w:hint="eastAsia" w:asciiTheme="minorEastAsia" w:hAnsiTheme="minorEastAsia" w:eastAsiaTheme="minorEastAsia"/>
          <w:b/>
          <w:bCs/>
          <w:color w:val="auto"/>
          <w:w w:val="95"/>
          <w:sz w:val="28"/>
          <w:szCs w:val="28"/>
          <w:highlight w:val="none"/>
        </w:rPr>
        <w:t>9月</w:t>
      </w:r>
    </w:p>
    <w:p w14:paraId="0A2BF22F">
      <w:pPr>
        <w:pStyle w:val="7"/>
        <w:rPr>
          <w:color w:val="auto"/>
          <w:highlight w:val="none"/>
        </w:rPr>
      </w:pPr>
    </w:p>
    <w:p w14:paraId="6016CA49">
      <w:pPr>
        <w:pStyle w:val="144"/>
        <w:spacing w:before="0" w:line="360" w:lineRule="auto"/>
        <w:ind w:right="42" w:rightChars="20" w:firstLine="422" w:firstLineChars="200"/>
        <w:rPr>
          <w:rFonts w:asciiTheme="minorEastAsia" w:hAnsiTheme="minorEastAsia" w:eastAsiaTheme="minorEastAsia"/>
          <w:color w:val="auto"/>
          <w:sz w:val="21"/>
          <w:szCs w:val="21"/>
          <w:highlight w:val="none"/>
          <w:lang w:val="zh-CN"/>
        </w:rPr>
        <w:sectPr>
          <w:footerReference r:id="rId3" w:type="default"/>
          <w:pgSz w:w="11906" w:h="16838"/>
          <w:pgMar w:top="1474" w:right="1842" w:bottom="1247" w:left="1797" w:header="851" w:footer="851" w:gutter="0"/>
          <w:cols w:space="720" w:num="1"/>
          <w:docGrid w:linePitch="312" w:charSpace="0"/>
        </w:sectPr>
      </w:pPr>
    </w:p>
    <w:p w14:paraId="4DB71409">
      <w:pPr>
        <w:spacing w:line="360" w:lineRule="auto"/>
        <w:ind w:right="42" w:rightChars="20"/>
        <w:rPr>
          <w:rFonts w:asciiTheme="minorEastAsia" w:hAnsiTheme="minorEastAsia" w:eastAsiaTheme="minorEastAsia"/>
          <w:color w:val="auto"/>
          <w:highlight w:val="none"/>
        </w:rPr>
      </w:pPr>
    </w:p>
    <w:p w14:paraId="111625F0">
      <w:pPr>
        <w:pStyle w:val="144"/>
        <w:spacing w:before="0" w:line="360" w:lineRule="auto"/>
        <w:ind w:right="42" w:rightChars="20" w:firstLine="422" w:firstLineChars="200"/>
        <w:jc w:val="center"/>
        <w:rPr>
          <w:rFonts w:asciiTheme="minorEastAsia" w:hAnsiTheme="minorEastAsia" w:eastAsiaTheme="minorEastAsia"/>
          <w:color w:val="auto"/>
          <w:sz w:val="21"/>
          <w:szCs w:val="21"/>
          <w:highlight w:val="none"/>
        </w:rPr>
      </w:pPr>
      <w:bookmarkStart w:id="3" w:name="_Toc28810"/>
      <w:r>
        <w:rPr>
          <w:rFonts w:asciiTheme="minorEastAsia" w:hAnsiTheme="minorEastAsia" w:eastAsiaTheme="minorEastAsia"/>
          <w:color w:val="auto"/>
          <w:sz w:val="21"/>
          <w:szCs w:val="21"/>
          <w:highlight w:val="none"/>
          <w:lang w:val="zh-CN"/>
        </w:rPr>
        <w:t>目录</w:t>
      </w:r>
      <w:bookmarkEnd w:id="3"/>
    </w:p>
    <w:p w14:paraId="65BEF590">
      <w:pPr>
        <w:pStyle w:val="37"/>
        <w:tabs>
          <w:tab w:val="right" w:leader="dot" w:pos="8312"/>
        </w:tabs>
        <w:spacing w:line="360" w:lineRule="auto"/>
        <w:ind w:right="42" w:rightChars="20"/>
        <w:rPr>
          <w:rFonts w:cs="微软雅黑" w:asciiTheme="minorEastAsia" w:hAnsiTheme="minorEastAsia" w:eastAsiaTheme="minorEastAsia"/>
          <w:color w:val="auto"/>
          <w:highlight w:val="none"/>
        </w:rPr>
      </w:pPr>
      <w:r>
        <w:rPr>
          <w:rFonts w:hint="eastAsia" w:cs="微软雅黑" w:asciiTheme="minorEastAsia" w:hAnsiTheme="minorEastAsia" w:eastAsiaTheme="minorEastAsia"/>
          <w:color w:val="auto"/>
          <w:szCs w:val="21"/>
          <w:highlight w:val="none"/>
        </w:rPr>
        <w:fldChar w:fldCharType="begin"/>
      </w:r>
      <w:r>
        <w:rPr>
          <w:rFonts w:hint="eastAsia" w:cs="微软雅黑" w:asciiTheme="minorEastAsia" w:hAnsiTheme="minorEastAsia" w:eastAsiaTheme="minorEastAsia"/>
          <w:color w:val="auto"/>
          <w:szCs w:val="21"/>
          <w:highlight w:val="none"/>
        </w:rPr>
        <w:instrText xml:space="preserve"> TOC \o "1-3" \h \z \u </w:instrText>
      </w:r>
      <w:r>
        <w:rPr>
          <w:rFonts w:hint="eastAsia" w:cs="微软雅黑" w:asciiTheme="minorEastAsia" w:hAnsiTheme="minorEastAsia" w:eastAsiaTheme="minorEastAsia"/>
          <w:color w:val="auto"/>
          <w:szCs w:val="21"/>
          <w:highlight w:val="none"/>
        </w:rPr>
        <w:fldChar w:fldCharType="separate"/>
      </w:r>
    </w:p>
    <w:p w14:paraId="01304F67">
      <w:pPr>
        <w:pStyle w:val="30"/>
        <w:tabs>
          <w:tab w:val="right" w:leader="dot" w:pos="8312"/>
        </w:tabs>
        <w:spacing w:line="360" w:lineRule="auto"/>
        <w:ind w:right="42" w:rightChars="20"/>
        <w:rPr>
          <w:rFonts w:cs="微软雅黑"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"_Toc3494" </w:instrText>
      </w:r>
      <w:r>
        <w:rPr>
          <w:color w:val="auto"/>
          <w:highlight w:val="none"/>
        </w:rPr>
        <w:fldChar w:fldCharType="separate"/>
      </w:r>
      <w:r>
        <w:rPr>
          <w:rFonts w:hint="eastAsia" w:cs="微软雅黑" w:asciiTheme="minorEastAsia" w:hAnsiTheme="minorEastAsia" w:eastAsiaTheme="minorEastAsia"/>
          <w:color w:val="auto"/>
          <w:highlight w:val="none"/>
        </w:rPr>
        <w:t>第一章  公开招标采购公告</w:t>
      </w:r>
      <w:r>
        <w:rPr>
          <w:rFonts w:hint="eastAsia" w:cs="微软雅黑" w:asciiTheme="minorEastAsia" w:hAnsiTheme="minorEastAsia" w:eastAsiaTheme="minorEastAsia"/>
          <w:color w:val="auto"/>
          <w:highlight w:val="none"/>
        </w:rPr>
        <w:tab/>
      </w:r>
      <w:r>
        <w:rPr>
          <w:rFonts w:hint="eastAsia" w:cs="微软雅黑" w:asciiTheme="minorEastAsia" w:hAnsiTheme="minorEastAsia" w:eastAsiaTheme="minorEastAsia"/>
          <w:color w:val="auto"/>
          <w:highlight w:val="none"/>
        </w:rPr>
        <w:fldChar w:fldCharType="begin"/>
      </w:r>
      <w:r>
        <w:rPr>
          <w:rFonts w:hint="eastAsia" w:cs="微软雅黑" w:asciiTheme="minorEastAsia" w:hAnsiTheme="minorEastAsia" w:eastAsiaTheme="minorEastAsia"/>
          <w:color w:val="auto"/>
          <w:highlight w:val="none"/>
        </w:rPr>
        <w:instrText xml:space="preserve"> PAGEREF _Toc3494 </w:instrText>
      </w:r>
      <w:r>
        <w:rPr>
          <w:rFonts w:hint="eastAsia" w:cs="微软雅黑" w:asciiTheme="minorEastAsia" w:hAnsiTheme="minorEastAsia" w:eastAsiaTheme="minorEastAsia"/>
          <w:color w:val="auto"/>
          <w:highlight w:val="none"/>
        </w:rPr>
        <w:fldChar w:fldCharType="separate"/>
      </w:r>
      <w:r>
        <w:rPr>
          <w:rFonts w:hint="eastAsia" w:cs="微软雅黑" w:asciiTheme="minorEastAsia" w:hAnsiTheme="minorEastAsia" w:eastAsiaTheme="minorEastAsia"/>
          <w:color w:val="auto"/>
          <w:highlight w:val="none"/>
        </w:rPr>
        <w:t>3</w:t>
      </w:r>
      <w:r>
        <w:rPr>
          <w:rFonts w:hint="eastAsia" w:cs="微软雅黑" w:asciiTheme="minorEastAsia" w:hAnsiTheme="minorEastAsia" w:eastAsiaTheme="minorEastAsia"/>
          <w:color w:val="auto"/>
          <w:highlight w:val="none"/>
        </w:rPr>
        <w:fldChar w:fldCharType="end"/>
      </w:r>
      <w:r>
        <w:rPr>
          <w:rFonts w:hint="eastAsia" w:cs="微软雅黑" w:asciiTheme="minorEastAsia" w:hAnsiTheme="minorEastAsia" w:eastAsiaTheme="minorEastAsia"/>
          <w:color w:val="auto"/>
          <w:highlight w:val="none"/>
        </w:rPr>
        <w:fldChar w:fldCharType="end"/>
      </w:r>
    </w:p>
    <w:p w14:paraId="75BCABF6">
      <w:pPr>
        <w:pStyle w:val="30"/>
        <w:tabs>
          <w:tab w:val="right" w:leader="dot" w:pos="8312"/>
        </w:tabs>
        <w:spacing w:line="360" w:lineRule="auto"/>
        <w:ind w:right="42" w:rightChars="20"/>
        <w:rPr>
          <w:rFonts w:cs="微软雅黑"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"_Toc3892" </w:instrText>
      </w:r>
      <w:r>
        <w:rPr>
          <w:color w:val="auto"/>
          <w:highlight w:val="none"/>
        </w:rPr>
        <w:fldChar w:fldCharType="separate"/>
      </w:r>
      <w:r>
        <w:rPr>
          <w:rFonts w:hint="eastAsia" w:cs="微软雅黑" w:asciiTheme="minorEastAsia" w:hAnsiTheme="minorEastAsia" w:eastAsiaTheme="minorEastAsia"/>
          <w:color w:val="auto"/>
          <w:highlight w:val="none"/>
        </w:rPr>
        <w:t>第二章  采购需求</w:t>
      </w:r>
      <w:r>
        <w:rPr>
          <w:rFonts w:hint="eastAsia" w:cs="微软雅黑" w:asciiTheme="minorEastAsia" w:hAnsiTheme="minorEastAsia" w:eastAsiaTheme="minorEastAsia"/>
          <w:color w:val="auto"/>
          <w:highlight w:val="none"/>
        </w:rPr>
        <w:tab/>
      </w:r>
      <w:r>
        <w:rPr>
          <w:rFonts w:hint="eastAsia" w:cs="微软雅黑" w:asciiTheme="minorEastAsia" w:hAnsiTheme="minorEastAsia" w:eastAsiaTheme="minorEastAsia"/>
          <w:color w:val="auto"/>
          <w:highlight w:val="none"/>
        </w:rPr>
        <w:fldChar w:fldCharType="begin"/>
      </w:r>
      <w:r>
        <w:rPr>
          <w:rFonts w:hint="eastAsia" w:cs="微软雅黑" w:asciiTheme="minorEastAsia" w:hAnsiTheme="minorEastAsia" w:eastAsiaTheme="minorEastAsia"/>
          <w:color w:val="auto"/>
          <w:highlight w:val="none"/>
        </w:rPr>
        <w:instrText xml:space="preserve"> PAGEREF _Toc3892 </w:instrText>
      </w:r>
      <w:r>
        <w:rPr>
          <w:rFonts w:hint="eastAsia" w:cs="微软雅黑" w:asciiTheme="minorEastAsia" w:hAnsiTheme="minorEastAsia" w:eastAsiaTheme="minorEastAsia"/>
          <w:color w:val="auto"/>
          <w:highlight w:val="none"/>
        </w:rPr>
        <w:fldChar w:fldCharType="separate"/>
      </w:r>
      <w:r>
        <w:rPr>
          <w:rFonts w:hint="eastAsia" w:cs="微软雅黑" w:asciiTheme="minorEastAsia" w:hAnsiTheme="minorEastAsia" w:eastAsiaTheme="minorEastAsia"/>
          <w:color w:val="auto"/>
          <w:highlight w:val="none"/>
        </w:rPr>
        <w:t>3</w:t>
      </w:r>
      <w:r>
        <w:rPr>
          <w:rFonts w:hint="eastAsia" w:cs="微软雅黑" w:asciiTheme="minorEastAsia" w:hAnsiTheme="minorEastAsia" w:eastAsiaTheme="minorEastAsia"/>
          <w:color w:val="auto"/>
          <w:highlight w:val="none"/>
        </w:rPr>
        <w:fldChar w:fldCharType="end"/>
      </w:r>
      <w:r>
        <w:rPr>
          <w:rFonts w:hint="eastAsia" w:cs="微软雅黑" w:asciiTheme="minorEastAsia" w:hAnsiTheme="minorEastAsia" w:eastAsiaTheme="minorEastAsia"/>
          <w:color w:val="auto"/>
          <w:highlight w:val="none"/>
        </w:rPr>
        <w:fldChar w:fldCharType="end"/>
      </w:r>
    </w:p>
    <w:p w14:paraId="5A6012F2">
      <w:pPr>
        <w:pStyle w:val="30"/>
        <w:tabs>
          <w:tab w:val="right" w:leader="dot" w:pos="8312"/>
        </w:tabs>
        <w:spacing w:line="360" w:lineRule="auto"/>
        <w:ind w:right="42" w:rightChars="20"/>
        <w:rPr>
          <w:rFonts w:cs="微软雅黑"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"_Toc31093" </w:instrText>
      </w:r>
      <w:r>
        <w:rPr>
          <w:color w:val="auto"/>
          <w:highlight w:val="none"/>
        </w:rPr>
        <w:fldChar w:fldCharType="separate"/>
      </w:r>
      <w:r>
        <w:rPr>
          <w:rFonts w:hint="eastAsia" w:cs="微软雅黑" w:asciiTheme="minorEastAsia" w:hAnsiTheme="minorEastAsia" w:eastAsiaTheme="minorEastAsia"/>
          <w:color w:val="auto"/>
          <w:highlight w:val="none"/>
        </w:rPr>
        <w:t>第三章  投标人须知</w:t>
      </w:r>
      <w:r>
        <w:rPr>
          <w:rFonts w:hint="eastAsia" w:cs="微软雅黑" w:asciiTheme="minorEastAsia" w:hAnsiTheme="minorEastAsia" w:eastAsiaTheme="minorEastAsia"/>
          <w:color w:val="auto"/>
          <w:highlight w:val="none"/>
        </w:rPr>
        <w:tab/>
      </w:r>
      <w:r>
        <w:rPr>
          <w:rFonts w:hint="eastAsia" w:cs="微软雅黑" w:asciiTheme="minorEastAsia" w:hAnsiTheme="minorEastAsia" w:eastAsiaTheme="minorEastAsia"/>
          <w:color w:val="auto"/>
          <w:highlight w:val="none"/>
        </w:rPr>
        <w:fldChar w:fldCharType="begin"/>
      </w:r>
      <w:r>
        <w:rPr>
          <w:rFonts w:hint="eastAsia" w:cs="微软雅黑" w:asciiTheme="minorEastAsia" w:hAnsiTheme="minorEastAsia" w:eastAsiaTheme="minorEastAsia"/>
          <w:color w:val="auto"/>
          <w:highlight w:val="none"/>
        </w:rPr>
        <w:instrText xml:space="preserve"> PAGEREF _Toc31093 </w:instrText>
      </w:r>
      <w:r>
        <w:rPr>
          <w:rFonts w:hint="eastAsia" w:cs="微软雅黑" w:asciiTheme="minorEastAsia" w:hAnsiTheme="minorEastAsia" w:eastAsiaTheme="minorEastAsia"/>
          <w:color w:val="auto"/>
          <w:highlight w:val="none"/>
        </w:rPr>
        <w:fldChar w:fldCharType="separate"/>
      </w:r>
      <w:r>
        <w:rPr>
          <w:rFonts w:hint="eastAsia" w:cs="微软雅黑" w:asciiTheme="minorEastAsia" w:hAnsiTheme="minorEastAsia" w:eastAsiaTheme="minorEastAsia"/>
          <w:color w:val="auto"/>
          <w:highlight w:val="none"/>
        </w:rPr>
        <w:t>8</w:t>
      </w:r>
      <w:r>
        <w:rPr>
          <w:rFonts w:hint="eastAsia" w:cs="微软雅黑" w:asciiTheme="minorEastAsia" w:hAnsiTheme="minorEastAsia" w:eastAsiaTheme="minorEastAsia"/>
          <w:color w:val="auto"/>
          <w:highlight w:val="none"/>
        </w:rPr>
        <w:fldChar w:fldCharType="end"/>
      </w:r>
      <w:r>
        <w:rPr>
          <w:rFonts w:hint="eastAsia" w:cs="微软雅黑" w:asciiTheme="minorEastAsia" w:hAnsiTheme="minorEastAsia" w:eastAsiaTheme="minorEastAsia"/>
          <w:color w:val="auto"/>
          <w:highlight w:val="none"/>
        </w:rPr>
        <w:fldChar w:fldCharType="end"/>
      </w:r>
    </w:p>
    <w:p w14:paraId="75083FE6">
      <w:pPr>
        <w:pStyle w:val="30"/>
        <w:tabs>
          <w:tab w:val="right" w:leader="dot" w:pos="8312"/>
        </w:tabs>
        <w:spacing w:line="360" w:lineRule="auto"/>
        <w:ind w:right="42" w:rightChars="20"/>
        <w:rPr>
          <w:rFonts w:cs="微软雅黑"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"_Toc27157" </w:instrText>
      </w:r>
      <w:r>
        <w:rPr>
          <w:color w:val="auto"/>
          <w:highlight w:val="none"/>
        </w:rPr>
        <w:fldChar w:fldCharType="separate"/>
      </w:r>
      <w:r>
        <w:rPr>
          <w:rFonts w:hint="eastAsia" w:cs="微软雅黑" w:asciiTheme="minorEastAsia" w:hAnsiTheme="minorEastAsia" w:eastAsiaTheme="minorEastAsia"/>
          <w:color w:val="auto"/>
          <w:highlight w:val="none"/>
        </w:rPr>
        <w:t>第四章  评标办法及评</w:t>
      </w:r>
      <w:bookmarkStart w:id="4" w:name="_Hlt58947582"/>
      <w:bookmarkStart w:id="5" w:name="_Hlt58947581"/>
      <w:r>
        <w:rPr>
          <w:rFonts w:hint="eastAsia" w:cs="微软雅黑" w:asciiTheme="minorEastAsia" w:hAnsiTheme="minorEastAsia" w:eastAsiaTheme="minorEastAsia"/>
          <w:color w:val="auto"/>
          <w:highlight w:val="none"/>
        </w:rPr>
        <w:t>分</w:t>
      </w:r>
      <w:bookmarkEnd w:id="4"/>
      <w:bookmarkEnd w:id="5"/>
      <w:r>
        <w:rPr>
          <w:rFonts w:hint="eastAsia" w:cs="微软雅黑" w:asciiTheme="minorEastAsia" w:hAnsiTheme="minorEastAsia" w:eastAsiaTheme="minorEastAsia"/>
          <w:color w:val="auto"/>
          <w:highlight w:val="none"/>
        </w:rPr>
        <w:t>标准</w:t>
      </w:r>
      <w:r>
        <w:rPr>
          <w:rFonts w:hint="eastAsia" w:cs="微软雅黑" w:asciiTheme="minorEastAsia" w:hAnsiTheme="minorEastAsia" w:eastAsiaTheme="minorEastAsia"/>
          <w:color w:val="auto"/>
          <w:highlight w:val="none"/>
        </w:rPr>
        <w:tab/>
      </w:r>
      <w:r>
        <w:rPr>
          <w:rFonts w:hint="eastAsia" w:cs="微软雅黑" w:asciiTheme="minorEastAsia" w:hAnsiTheme="minorEastAsia" w:eastAsiaTheme="minorEastAsia"/>
          <w:color w:val="auto"/>
          <w:highlight w:val="none"/>
        </w:rPr>
        <w:fldChar w:fldCharType="begin"/>
      </w:r>
      <w:r>
        <w:rPr>
          <w:rFonts w:hint="eastAsia" w:cs="微软雅黑" w:asciiTheme="minorEastAsia" w:hAnsiTheme="minorEastAsia" w:eastAsiaTheme="minorEastAsia"/>
          <w:color w:val="auto"/>
          <w:highlight w:val="none"/>
        </w:rPr>
        <w:instrText xml:space="preserve"> PAGEREF _Toc27157 </w:instrText>
      </w:r>
      <w:r>
        <w:rPr>
          <w:rFonts w:hint="eastAsia" w:cs="微软雅黑" w:asciiTheme="minorEastAsia" w:hAnsiTheme="minorEastAsia" w:eastAsiaTheme="minorEastAsia"/>
          <w:color w:val="auto"/>
          <w:highlight w:val="none"/>
        </w:rPr>
        <w:fldChar w:fldCharType="separate"/>
      </w:r>
      <w:r>
        <w:rPr>
          <w:rFonts w:hint="eastAsia" w:cs="微软雅黑" w:asciiTheme="minorEastAsia" w:hAnsiTheme="minorEastAsia" w:eastAsiaTheme="minorEastAsia"/>
          <w:color w:val="auto"/>
          <w:highlight w:val="none"/>
        </w:rPr>
        <w:t>30</w:t>
      </w:r>
      <w:r>
        <w:rPr>
          <w:rFonts w:hint="eastAsia" w:cs="微软雅黑" w:asciiTheme="minorEastAsia" w:hAnsiTheme="minorEastAsia" w:eastAsiaTheme="minorEastAsia"/>
          <w:color w:val="auto"/>
          <w:highlight w:val="none"/>
        </w:rPr>
        <w:fldChar w:fldCharType="end"/>
      </w:r>
      <w:r>
        <w:rPr>
          <w:rFonts w:hint="eastAsia" w:cs="微软雅黑" w:asciiTheme="minorEastAsia" w:hAnsiTheme="minorEastAsia" w:eastAsiaTheme="minorEastAsia"/>
          <w:color w:val="auto"/>
          <w:highlight w:val="none"/>
        </w:rPr>
        <w:fldChar w:fldCharType="end"/>
      </w:r>
    </w:p>
    <w:p w14:paraId="5947B60A">
      <w:pPr>
        <w:pStyle w:val="30"/>
        <w:tabs>
          <w:tab w:val="right" w:leader="dot" w:pos="8312"/>
        </w:tabs>
        <w:spacing w:line="360" w:lineRule="auto"/>
        <w:ind w:right="42" w:rightChars="20"/>
        <w:rPr>
          <w:rFonts w:cs="微软雅黑"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"_Toc28829" </w:instrText>
      </w:r>
      <w:r>
        <w:rPr>
          <w:color w:val="auto"/>
          <w:highlight w:val="none"/>
        </w:rPr>
        <w:fldChar w:fldCharType="separate"/>
      </w:r>
      <w:r>
        <w:rPr>
          <w:rFonts w:hint="eastAsia" w:cs="微软雅黑" w:asciiTheme="minorEastAsia" w:hAnsiTheme="minorEastAsia" w:eastAsiaTheme="minorEastAsia"/>
          <w:color w:val="auto"/>
          <w:highlight w:val="none"/>
        </w:rPr>
        <w:t>第五章  政府采购合同</w:t>
      </w:r>
      <w:r>
        <w:rPr>
          <w:rFonts w:hint="eastAsia" w:cs="微软雅黑" w:asciiTheme="minorEastAsia" w:hAnsiTheme="minorEastAsia" w:eastAsiaTheme="minorEastAsia"/>
          <w:color w:val="auto"/>
          <w:highlight w:val="none"/>
        </w:rPr>
        <w:tab/>
      </w:r>
      <w:r>
        <w:rPr>
          <w:rFonts w:hint="eastAsia" w:cs="微软雅黑" w:asciiTheme="minorEastAsia" w:hAnsiTheme="minorEastAsia" w:eastAsiaTheme="minorEastAsia"/>
          <w:color w:val="auto"/>
          <w:highlight w:val="none"/>
        </w:rPr>
        <w:fldChar w:fldCharType="begin"/>
      </w:r>
      <w:r>
        <w:rPr>
          <w:rFonts w:hint="eastAsia" w:cs="微软雅黑" w:asciiTheme="minorEastAsia" w:hAnsiTheme="minorEastAsia" w:eastAsiaTheme="minorEastAsia"/>
          <w:color w:val="auto"/>
          <w:highlight w:val="none"/>
        </w:rPr>
        <w:instrText xml:space="preserve"> PAGEREF _Toc28829 </w:instrText>
      </w:r>
      <w:r>
        <w:rPr>
          <w:rFonts w:hint="eastAsia" w:cs="微软雅黑" w:asciiTheme="minorEastAsia" w:hAnsiTheme="minorEastAsia" w:eastAsiaTheme="minorEastAsia"/>
          <w:color w:val="auto"/>
          <w:highlight w:val="none"/>
        </w:rPr>
        <w:fldChar w:fldCharType="separate"/>
      </w:r>
      <w:r>
        <w:rPr>
          <w:rFonts w:hint="eastAsia" w:cs="微软雅黑" w:asciiTheme="minorEastAsia" w:hAnsiTheme="minorEastAsia" w:eastAsiaTheme="minorEastAsia"/>
          <w:color w:val="auto"/>
          <w:highlight w:val="none"/>
        </w:rPr>
        <w:t>31</w:t>
      </w:r>
      <w:r>
        <w:rPr>
          <w:rFonts w:hint="eastAsia" w:cs="微软雅黑" w:asciiTheme="minorEastAsia" w:hAnsiTheme="minorEastAsia" w:eastAsiaTheme="minorEastAsia"/>
          <w:color w:val="auto"/>
          <w:highlight w:val="none"/>
        </w:rPr>
        <w:fldChar w:fldCharType="end"/>
      </w:r>
      <w:r>
        <w:rPr>
          <w:rFonts w:hint="eastAsia" w:cs="微软雅黑" w:asciiTheme="minorEastAsia" w:hAnsiTheme="minorEastAsia" w:eastAsiaTheme="minorEastAsia"/>
          <w:color w:val="auto"/>
          <w:highlight w:val="none"/>
        </w:rPr>
        <w:fldChar w:fldCharType="end"/>
      </w:r>
    </w:p>
    <w:p w14:paraId="59BA2D86">
      <w:pPr>
        <w:pStyle w:val="30"/>
        <w:tabs>
          <w:tab w:val="right" w:leader="dot" w:pos="8312"/>
        </w:tabs>
        <w:spacing w:line="360" w:lineRule="auto"/>
        <w:ind w:right="42" w:rightChars="20"/>
        <w:rPr>
          <w:rFonts w:cs="微软雅黑"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"_Toc5531" </w:instrText>
      </w:r>
      <w:r>
        <w:rPr>
          <w:color w:val="auto"/>
          <w:highlight w:val="none"/>
        </w:rPr>
        <w:fldChar w:fldCharType="separate"/>
      </w:r>
      <w:r>
        <w:rPr>
          <w:rFonts w:hint="eastAsia" w:cs="微软雅黑" w:asciiTheme="minorEastAsia" w:hAnsiTheme="minorEastAsia" w:eastAsiaTheme="minorEastAsia"/>
          <w:color w:val="auto"/>
          <w:highlight w:val="none"/>
        </w:rPr>
        <w:t>第六章　投标文件相关格式</w:t>
      </w:r>
      <w:r>
        <w:rPr>
          <w:rFonts w:hint="eastAsia" w:cs="微软雅黑" w:asciiTheme="minorEastAsia" w:hAnsiTheme="minorEastAsia" w:eastAsiaTheme="minorEastAsia"/>
          <w:color w:val="auto"/>
          <w:highlight w:val="none"/>
        </w:rPr>
        <w:tab/>
      </w:r>
      <w:r>
        <w:rPr>
          <w:rFonts w:hint="eastAsia" w:cs="微软雅黑" w:asciiTheme="minorEastAsia" w:hAnsiTheme="minorEastAsia" w:eastAsiaTheme="minorEastAsia"/>
          <w:color w:val="auto"/>
          <w:highlight w:val="none"/>
        </w:rPr>
        <w:fldChar w:fldCharType="begin"/>
      </w:r>
      <w:r>
        <w:rPr>
          <w:rFonts w:hint="eastAsia" w:cs="微软雅黑" w:asciiTheme="minorEastAsia" w:hAnsiTheme="minorEastAsia" w:eastAsiaTheme="minorEastAsia"/>
          <w:color w:val="auto"/>
          <w:highlight w:val="none"/>
        </w:rPr>
        <w:instrText xml:space="preserve"> PAGEREF _Toc5531 </w:instrText>
      </w:r>
      <w:r>
        <w:rPr>
          <w:rFonts w:hint="eastAsia" w:cs="微软雅黑" w:asciiTheme="minorEastAsia" w:hAnsiTheme="minorEastAsia" w:eastAsiaTheme="minorEastAsia"/>
          <w:color w:val="auto"/>
          <w:highlight w:val="none"/>
        </w:rPr>
        <w:fldChar w:fldCharType="separate"/>
      </w:r>
      <w:r>
        <w:rPr>
          <w:rFonts w:hint="eastAsia" w:cs="微软雅黑" w:asciiTheme="minorEastAsia" w:hAnsiTheme="minorEastAsia" w:eastAsiaTheme="minorEastAsia"/>
          <w:color w:val="auto"/>
          <w:highlight w:val="none"/>
        </w:rPr>
        <w:t>38</w:t>
      </w:r>
      <w:r>
        <w:rPr>
          <w:rFonts w:hint="eastAsia" w:cs="微软雅黑" w:asciiTheme="minorEastAsia" w:hAnsiTheme="minorEastAsia" w:eastAsiaTheme="minorEastAsia"/>
          <w:color w:val="auto"/>
          <w:highlight w:val="none"/>
        </w:rPr>
        <w:fldChar w:fldCharType="end"/>
      </w:r>
      <w:r>
        <w:rPr>
          <w:rFonts w:hint="eastAsia" w:cs="微软雅黑" w:asciiTheme="minorEastAsia" w:hAnsiTheme="minorEastAsia" w:eastAsiaTheme="minorEastAsia"/>
          <w:color w:val="auto"/>
          <w:highlight w:val="none"/>
        </w:rPr>
        <w:fldChar w:fldCharType="end"/>
      </w:r>
    </w:p>
    <w:p w14:paraId="1AB792ED">
      <w:pPr>
        <w:spacing w:line="360" w:lineRule="auto"/>
        <w:ind w:right="42" w:rightChars="20" w:firstLine="420" w:firstLineChars="20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fldChar w:fldCharType="end"/>
      </w:r>
    </w:p>
    <w:p w14:paraId="1A4F2BC4">
      <w:pPr>
        <w:spacing w:line="360" w:lineRule="auto"/>
        <w:ind w:right="42" w:rightChars="20" w:firstLine="420" w:firstLineChars="200"/>
        <w:jc w:val="left"/>
        <w:rPr>
          <w:rFonts w:asciiTheme="minorEastAsia" w:hAnsiTheme="minorEastAsia" w:eastAsiaTheme="minorEastAsia"/>
          <w:color w:val="auto"/>
          <w:szCs w:val="21"/>
          <w:highlight w:val="none"/>
        </w:rPr>
      </w:pPr>
    </w:p>
    <w:p w14:paraId="03B00E66">
      <w:pPr>
        <w:pStyle w:val="159"/>
        <w:ind w:right="42" w:rightChars="20"/>
        <w:rPr>
          <w:rFonts w:asciiTheme="minorEastAsia" w:hAnsiTheme="minorEastAsia" w:eastAsiaTheme="minorEastAsia"/>
          <w:b w:val="0"/>
          <w:color w:val="auto"/>
          <w:highlight w:val="none"/>
        </w:rPr>
      </w:pPr>
      <w:bookmarkStart w:id="6" w:name="_Toc493511540"/>
      <w:r>
        <w:rPr>
          <w:rFonts w:hint="eastAsia" w:asciiTheme="minorEastAsia" w:hAnsiTheme="minorEastAsia" w:eastAsiaTheme="minorEastAsia"/>
          <w:color w:val="auto"/>
          <w:highlight w:val="none"/>
        </w:rPr>
        <w:br w:type="page"/>
      </w:r>
      <w:bookmarkStart w:id="7" w:name="_Toc3494"/>
      <w:r>
        <w:rPr>
          <w:rStyle w:val="65"/>
          <w:rFonts w:hint="eastAsia" w:cs="微软雅黑" w:asciiTheme="minorEastAsia" w:hAnsiTheme="minorEastAsia" w:eastAsiaTheme="minorEastAsia"/>
          <w:b/>
          <w:color w:val="auto"/>
          <w:highlight w:val="none"/>
        </w:rPr>
        <w:t>第一章  公开招标采购公告</w:t>
      </w:r>
      <w:bookmarkEnd w:id="6"/>
      <w:bookmarkEnd w:id="7"/>
    </w:p>
    <w:p w14:paraId="33A09D75">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bookmarkStart w:id="8" w:name="_Toc3892"/>
      <w:bookmarkStart w:id="9" w:name="_Toc493511541"/>
      <w:bookmarkStart w:id="10" w:name="_Toc177870534"/>
      <w:r>
        <w:rPr>
          <w:rFonts w:hint="eastAsia" w:cs="宋体" w:asciiTheme="minorEastAsia" w:hAnsiTheme="minorEastAsia" w:eastAsiaTheme="minorEastAsia"/>
          <w:color w:val="auto"/>
          <w:sz w:val="18"/>
          <w:szCs w:val="18"/>
          <w:highlight w:val="none"/>
        </w:rPr>
        <w:t> </w:t>
      </w:r>
      <w:r>
        <w:rPr>
          <w:rFonts w:ascii="仿宋" w:hAnsi="仿宋" w:eastAsia="仿宋" w:cs="仿宋"/>
          <w:color w:val="auto"/>
          <w:sz w:val="27"/>
          <w:szCs w:val="27"/>
          <w:highlight w:val="none"/>
        </w:rPr>
        <w:t>         </w:t>
      </w:r>
      <w:r>
        <w:rPr>
          <w:rFonts w:hint="eastAsia" w:asciiTheme="minorEastAsia" w:hAnsiTheme="minorEastAsia" w:eastAsiaTheme="minorEastAsia" w:cstheme="minorEastAsia"/>
          <w:color w:val="auto"/>
          <w:sz w:val="21"/>
          <w:szCs w:val="21"/>
          <w:highlight w:val="none"/>
        </w:rPr>
        <w:t xml:space="preserve"> </w:t>
      </w:r>
      <w:r>
        <w:rPr>
          <w:rFonts w:ascii="仿宋" w:hAnsi="仿宋" w:eastAsia="仿宋" w:cs="仿宋"/>
          <w:color w:val="auto"/>
          <w:sz w:val="27"/>
          <w:szCs w:val="27"/>
          <w:highlight w:val="none"/>
        </w:rPr>
        <w:t xml:space="preserve">  </w:t>
      </w:r>
      <w:r>
        <w:rPr>
          <w:rFonts w:hint="eastAsia" w:cs="宋体"/>
          <w:color w:val="auto"/>
          <w:sz w:val="21"/>
          <w:szCs w:val="21"/>
          <w:highlight w:val="none"/>
        </w:rPr>
        <w:t xml:space="preserve">  </w:t>
      </w:r>
      <w:r>
        <w:rPr>
          <w:rFonts w:ascii="仿宋" w:hAnsi="仿宋" w:eastAsia="仿宋" w:cs="仿宋"/>
          <w:color w:val="auto"/>
          <w:sz w:val="27"/>
          <w:szCs w:val="27"/>
          <w:highlight w:val="none"/>
        </w:rPr>
        <w:t> </w:t>
      </w:r>
      <w:r>
        <w:rPr>
          <w:rFonts w:hint="eastAsia" w:asciiTheme="minorEastAsia" w:hAnsiTheme="minorEastAsia" w:eastAsiaTheme="minorEastAsia" w:cstheme="minorEastAsia"/>
          <w:color w:val="auto"/>
          <w:sz w:val="21"/>
          <w:szCs w:val="21"/>
          <w:highlight w:val="none"/>
        </w:rPr>
        <w:t xml:space="preserve">  </w:t>
      </w:r>
      <w:r>
        <w:rPr>
          <w:rFonts w:hint="eastAsia" w:ascii="宋体" w:hAnsi="宋体" w:eastAsia="宋体" w:cs="宋体"/>
          <w:sz w:val="21"/>
          <w:szCs w:val="21"/>
        </w:rPr>
        <w:t>    项目概况</w:t>
      </w:r>
    </w:p>
    <w:p w14:paraId="6FB0054C">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w:t>
      </w:r>
    </w:p>
    <w:p w14:paraId="2E5EF9FE">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秀洲区宁静小区建设项目招标项目的潜在投标人应在</w:t>
      </w:r>
      <w:r>
        <w:rPr>
          <w:rFonts w:hint="eastAsia" w:ascii="宋体" w:hAnsi="宋体" w:eastAsia="宋体" w:cs="宋体"/>
          <w:sz w:val="21"/>
          <w:szCs w:val="21"/>
          <w:u w:val="none"/>
        </w:rPr>
        <w:t>政采云平台线上获取</w:t>
      </w:r>
      <w:r>
        <w:rPr>
          <w:rFonts w:hint="eastAsia" w:ascii="宋体" w:hAnsi="宋体" w:eastAsia="宋体" w:cs="宋体"/>
          <w:sz w:val="21"/>
          <w:szCs w:val="21"/>
        </w:rPr>
        <w:t>获取（下载）招标文件，并于 2024年10月15日 14:00（北京时间）前递交（上传）投标文件。                             </w:t>
      </w:r>
    </w:p>
    <w:p w14:paraId="21EA46D1">
      <w:pPr>
        <w:pStyle w:val="48"/>
        <w:keepNext w:val="0"/>
        <w:keepLines w:val="0"/>
        <w:pageBreakBefore w:val="0"/>
        <w:widowControl/>
        <w:numPr>
          <w:ilvl w:val="0"/>
          <w:numId w:val="2"/>
        </w:numPr>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sz w:val="21"/>
          <w:szCs w:val="21"/>
        </w:rPr>
      </w:pPr>
      <w:r>
        <w:rPr>
          <w:rStyle w:val="56"/>
          <w:rFonts w:hint="eastAsia" w:ascii="宋体" w:hAnsi="宋体" w:eastAsia="宋体" w:cs="宋体"/>
          <w:sz w:val="21"/>
          <w:szCs w:val="21"/>
        </w:rPr>
        <w:t>项目基本情况</w:t>
      </w:r>
    </w:p>
    <w:p w14:paraId="3691BAF0">
      <w:pPr>
        <w:pStyle w:val="48"/>
        <w:keepNext w:val="0"/>
        <w:keepLines w:val="0"/>
        <w:pageBreakBefore w:val="0"/>
        <w:widowControl/>
        <w:numPr>
          <w:numId w:val="0"/>
        </w:numPr>
        <w:suppressLineNumbers w:val="0"/>
        <w:kinsoku/>
        <w:wordWrap/>
        <w:overflowPunct/>
        <w:topLinePunct w:val="0"/>
        <w:autoSpaceDE/>
        <w:autoSpaceDN/>
        <w:bidi w:val="0"/>
        <w:adjustRightInd/>
        <w:snapToGrid/>
        <w:spacing w:before="255" w:beforeAutospacing="0" w:after="255" w:afterAutospacing="0" w:line="360" w:lineRule="auto"/>
        <w:ind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                                            </w:t>
      </w:r>
    </w:p>
    <w:p w14:paraId="1FB27941">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项目编号：大地-DDZX-JX（2024）第63号 </w:t>
      </w:r>
    </w:p>
    <w:p w14:paraId="76C56909">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项目名称：秀洲区宁静小区建设项目</w:t>
      </w:r>
    </w:p>
    <w:p w14:paraId="49930F4F">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预算金额（元）：700000  </w:t>
      </w:r>
    </w:p>
    <w:p w14:paraId="6A3575CD">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最高限价（元）：700000 </w:t>
      </w:r>
    </w:p>
    <w:p w14:paraId="2FA2A741">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采购需求：</w:t>
      </w:r>
    </w:p>
    <w:p w14:paraId="429FC4DC">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color w:val="000000"/>
          <w:sz w:val="21"/>
          <w:szCs w:val="21"/>
          <w:shd w:val="clear" w:fill="F7F7F7"/>
        </w:rPr>
        <w:t>    </w:t>
      </w:r>
      <w:r>
        <w:rPr>
          <w:rFonts w:hint="eastAsia" w:ascii="宋体" w:hAnsi="宋体" w:eastAsia="宋体" w:cs="宋体"/>
          <w:color w:val="000000"/>
          <w:sz w:val="21"/>
          <w:szCs w:val="21"/>
          <w:shd w:val="clear" w:fill="F7F7F7"/>
        </w:rPr>
        <w:br w:type="textWrapping"/>
      </w:r>
      <w:r>
        <w:rPr>
          <w:rFonts w:hint="eastAsia" w:ascii="宋体" w:hAnsi="宋体" w:eastAsia="宋体" w:cs="宋体"/>
          <w:color w:val="000000"/>
          <w:sz w:val="21"/>
          <w:szCs w:val="21"/>
          <w:shd w:val="clear" w:fill="F7F7F7"/>
        </w:rPr>
        <w:t>    标项名称: 秀洲区宁静小区建设项目 </w:t>
      </w:r>
      <w:r>
        <w:rPr>
          <w:rFonts w:hint="eastAsia" w:ascii="宋体" w:hAnsi="宋体" w:eastAsia="宋体" w:cs="宋体"/>
          <w:color w:val="000000"/>
          <w:sz w:val="21"/>
          <w:szCs w:val="21"/>
          <w:shd w:val="clear" w:fill="F7F7F7"/>
        </w:rPr>
        <w:br w:type="textWrapping"/>
      </w:r>
      <w:r>
        <w:rPr>
          <w:rFonts w:hint="eastAsia" w:ascii="宋体" w:hAnsi="宋体" w:eastAsia="宋体" w:cs="宋体"/>
          <w:color w:val="000000"/>
          <w:sz w:val="21"/>
          <w:szCs w:val="21"/>
          <w:shd w:val="clear" w:fill="F7F7F7"/>
        </w:rPr>
        <w:t>    数量: 不限  </w:t>
      </w:r>
      <w:r>
        <w:rPr>
          <w:rFonts w:hint="eastAsia" w:ascii="宋体" w:hAnsi="宋体" w:eastAsia="宋体" w:cs="宋体"/>
          <w:color w:val="000000"/>
          <w:sz w:val="21"/>
          <w:szCs w:val="21"/>
          <w:shd w:val="clear" w:fill="F7F7F7"/>
        </w:rPr>
        <w:br w:type="textWrapping"/>
      </w:r>
      <w:r>
        <w:rPr>
          <w:rFonts w:hint="eastAsia" w:ascii="宋体" w:hAnsi="宋体" w:eastAsia="宋体" w:cs="宋体"/>
          <w:color w:val="000000"/>
          <w:sz w:val="21"/>
          <w:szCs w:val="21"/>
          <w:shd w:val="clear" w:fill="F7F7F7"/>
        </w:rPr>
        <w:t>    预算金额（元）: 700000 </w:t>
      </w:r>
      <w:r>
        <w:rPr>
          <w:rFonts w:hint="eastAsia" w:ascii="宋体" w:hAnsi="宋体" w:eastAsia="宋体" w:cs="宋体"/>
          <w:color w:val="000000"/>
          <w:sz w:val="21"/>
          <w:szCs w:val="21"/>
          <w:shd w:val="clear" w:fill="F7F7F7"/>
        </w:rPr>
        <w:br w:type="textWrapping"/>
      </w:r>
      <w:r>
        <w:rPr>
          <w:rFonts w:hint="eastAsia" w:ascii="宋体" w:hAnsi="宋体" w:eastAsia="宋体" w:cs="宋体"/>
          <w:color w:val="000000"/>
          <w:sz w:val="21"/>
          <w:szCs w:val="21"/>
          <w:shd w:val="clear" w:fill="F7F7F7"/>
        </w:rPr>
        <w:t>    简要规格描述或项目基本概况介绍、用途：详见采购文件 </w:t>
      </w:r>
      <w:r>
        <w:rPr>
          <w:rFonts w:hint="eastAsia" w:ascii="宋体" w:hAnsi="宋体" w:eastAsia="宋体" w:cs="宋体"/>
          <w:color w:val="000000"/>
          <w:sz w:val="21"/>
          <w:szCs w:val="21"/>
          <w:shd w:val="clear" w:fill="F7F7F7"/>
        </w:rPr>
        <w:br w:type="textWrapping"/>
      </w:r>
      <w:r>
        <w:rPr>
          <w:rFonts w:hint="eastAsia" w:ascii="宋体" w:hAnsi="宋体" w:eastAsia="宋体" w:cs="宋体"/>
          <w:color w:val="000000"/>
          <w:sz w:val="21"/>
          <w:szCs w:val="21"/>
          <w:shd w:val="clear" w:fill="F7F7F7"/>
        </w:rPr>
        <w:t>    备注： </w:t>
      </w:r>
    </w:p>
    <w:p w14:paraId="128DB846">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合同履约期限：标项 1，详见采购文件</w:t>
      </w:r>
    </w:p>
    <w:p w14:paraId="503BF0BA">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本项目（是）接受联合体投标。</w:t>
      </w:r>
    </w:p>
    <w:p w14:paraId="5937885D">
      <w:pPr>
        <w:pStyle w:val="48"/>
        <w:keepNext w:val="0"/>
        <w:keepLines w:val="0"/>
        <w:pageBreakBefore w:val="0"/>
        <w:widowControl/>
        <w:suppressLineNumbers w:val="0"/>
        <w:kinsoku/>
        <w:wordWrap/>
        <w:overflowPunct/>
        <w:topLinePunct w:val="0"/>
        <w:autoSpaceDE/>
        <w:autoSpaceDN/>
        <w:bidi w:val="0"/>
        <w:adjustRightInd/>
        <w:snapToGrid/>
        <w:spacing w:before="225" w:beforeAutospacing="0" w:after="225" w:afterAutospacing="0" w:line="360" w:lineRule="auto"/>
        <w:ind w:left="0" w:right="0"/>
        <w:textAlignment w:val="auto"/>
        <w:rPr>
          <w:rFonts w:hint="eastAsia" w:ascii="宋体" w:hAnsi="宋体" w:eastAsia="宋体" w:cs="宋体"/>
          <w:sz w:val="21"/>
          <w:szCs w:val="21"/>
        </w:rPr>
      </w:pPr>
      <w:r>
        <w:rPr>
          <w:rStyle w:val="56"/>
          <w:rFonts w:hint="eastAsia" w:ascii="宋体" w:hAnsi="宋体" w:eastAsia="宋体" w:cs="宋体"/>
          <w:sz w:val="21"/>
          <w:szCs w:val="21"/>
        </w:rPr>
        <w:t>二、申请人的资格要求：</w:t>
      </w:r>
    </w:p>
    <w:p w14:paraId="5F587A50">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1.满足《中华人民共和国政府采购法》第二十二条规定；未被“信用中国”（www.creditchina.gov.cn)、中国政府采购网（www.ccgp.gov.cn）列入失信被执行人、重大税收违法案件当事人名单、政府采购严重违法失信行为记录名单。</w:t>
      </w:r>
    </w:p>
    <w:p w14:paraId="5F36827C">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2.落实政府采购政策需满足的资格要求：标项1：本项目专门面向中小企业招标（投标时须提供中小企业声明函）  </w:t>
      </w:r>
    </w:p>
    <w:p w14:paraId="631CAFC6">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3.本项目的特定资格要求：无 </w:t>
      </w:r>
    </w:p>
    <w:p w14:paraId="5FF57368">
      <w:pPr>
        <w:pStyle w:val="48"/>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sz w:val="21"/>
          <w:szCs w:val="21"/>
        </w:rPr>
      </w:pPr>
      <w:r>
        <w:rPr>
          <w:rStyle w:val="56"/>
          <w:rFonts w:hint="eastAsia" w:ascii="宋体" w:hAnsi="宋体" w:eastAsia="宋体" w:cs="宋体"/>
          <w:sz w:val="21"/>
          <w:szCs w:val="21"/>
        </w:rPr>
        <w:t>三、获取招标文件</w:t>
      </w:r>
      <w:r>
        <w:rPr>
          <w:rFonts w:hint="eastAsia" w:ascii="宋体" w:hAnsi="宋体" w:eastAsia="宋体" w:cs="宋体"/>
          <w:sz w:val="21"/>
          <w:szCs w:val="21"/>
        </w:rPr>
        <w:t> </w:t>
      </w:r>
    </w:p>
    <w:p w14:paraId="0A8D9243">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u w:val="none"/>
        </w:rPr>
        <w:t>时间：/至2024年10月15日 ，每天上午00:00至12:00 ，下午12:00至23:59（北京时间，线上获取法定节假日均可，线下获取文件法定节假日除外）</w:t>
      </w:r>
    </w:p>
    <w:p w14:paraId="74EFB425">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地点（网址）：政采云平台线上获取 </w:t>
      </w:r>
    </w:p>
    <w:p w14:paraId="261D996E">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方式：供应商登录政采云平台https://www.zcygov.cn/在线申请获取采购文件（进入“项目采购”应用，在获取采购文件菜单中选择项目，申请获取采购文件） </w:t>
      </w:r>
    </w:p>
    <w:p w14:paraId="2F9CE8CB">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售价（元）：0 </w:t>
      </w:r>
    </w:p>
    <w:p w14:paraId="47D98858">
      <w:pPr>
        <w:pStyle w:val="48"/>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sz w:val="21"/>
          <w:szCs w:val="21"/>
        </w:rPr>
      </w:pPr>
      <w:r>
        <w:rPr>
          <w:rStyle w:val="56"/>
          <w:rFonts w:hint="eastAsia" w:ascii="宋体" w:hAnsi="宋体" w:eastAsia="宋体" w:cs="宋体"/>
          <w:sz w:val="21"/>
          <w:szCs w:val="21"/>
        </w:rPr>
        <w:t>四、提交投标文件截止时间、开标时间和地点</w:t>
      </w:r>
    </w:p>
    <w:p w14:paraId="69BB25D0">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u w:val="none"/>
        </w:rPr>
        <w:t> 提交投标文件截止时间：2024年10月15日 14:00（北京时间）</w:t>
      </w:r>
    </w:p>
    <w:p w14:paraId="646D2C1A">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u w:val="none"/>
        </w:rPr>
        <w:t> 投标地点（网址）：请登录政采云投标客户端投标</w:t>
      </w:r>
      <w:r>
        <w:rPr>
          <w:rFonts w:hint="eastAsia" w:ascii="宋体" w:hAnsi="宋体" w:eastAsia="宋体" w:cs="宋体"/>
          <w:sz w:val="21"/>
          <w:szCs w:val="21"/>
        </w:rPr>
        <w:t> </w:t>
      </w:r>
    </w:p>
    <w:p w14:paraId="386AB62B">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u w:val="none"/>
        </w:rPr>
        <w:t>    开标时间：2024年10月15日 14:00</w:t>
      </w:r>
      <w:r>
        <w:rPr>
          <w:rFonts w:hint="eastAsia" w:ascii="宋体" w:hAnsi="宋体" w:eastAsia="宋体" w:cs="宋体"/>
          <w:sz w:val="21"/>
          <w:szCs w:val="21"/>
        </w:rPr>
        <w:t> </w:t>
      </w:r>
    </w:p>
    <w:p w14:paraId="22040F04">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u w:val="none"/>
        </w:rPr>
        <w:t>    开标地点（网址）：“政采云”平台电子投标（线上）</w:t>
      </w:r>
      <w:r>
        <w:rPr>
          <w:rFonts w:hint="eastAsia" w:ascii="宋体" w:hAnsi="宋体" w:eastAsia="宋体" w:cs="宋体"/>
          <w:sz w:val="21"/>
          <w:szCs w:val="21"/>
        </w:rPr>
        <w:t>  </w:t>
      </w:r>
    </w:p>
    <w:p w14:paraId="2B8FCD00">
      <w:pPr>
        <w:pStyle w:val="48"/>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sz w:val="21"/>
          <w:szCs w:val="21"/>
        </w:rPr>
      </w:pPr>
      <w:r>
        <w:rPr>
          <w:rStyle w:val="56"/>
          <w:rFonts w:hint="eastAsia" w:ascii="宋体" w:hAnsi="宋体" w:eastAsia="宋体" w:cs="宋体"/>
          <w:sz w:val="21"/>
          <w:szCs w:val="21"/>
        </w:rPr>
        <w:t>五、公告期限</w:t>
      </w:r>
      <w:r>
        <w:rPr>
          <w:rFonts w:hint="eastAsia" w:ascii="宋体" w:hAnsi="宋体" w:eastAsia="宋体" w:cs="宋体"/>
          <w:sz w:val="21"/>
          <w:szCs w:val="21"/>
        </w:rPr>
        <w:t> </w:t>
      </w:r>
    </w:p>
    <w:p w14:paraId="19CAD9C6">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自本公告发布之日起5个工作日。</w:t>
      </w:r>
    </w:p>
    <w:p w14:paraId="2BC2584D">
      <w:pPr>
        <w:pStyle w:val="48"/>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sz w:val="21"/>
          <w:szCs w:val="21"/>
        </w:rPr>
      </w:pPr>
      <w:r>
        <w:rPr>
          <w:rStyle w:val="56"/>
          <w:rFonts w:hint="eastAsia" w:ascii="宋体" w:hAnsi="宋体" w:eastAsia="宋体" w:cs="宋体"/>
          <w:sz w:val="21"/>
          <w:szCs w:val="21"/>
        </w:rPr>
        <w:t>六、其他补充事宜</w:t>
      </w:r>
    </w:p>
    <w:p w14:paraId="5C64572D">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1D61F32">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宋体" w:hAnsi="宋体" w:eastAsia="宋体" w:cs="宋体"/>
          <w:sz w:val="21"/>
          <w:szCs w:val="21"/>
        </w:rPr>
        <w:br w:type="textWrapping"/>
      </w:r>
      <w:r>
        <w:rPr>
          <w:rFonts w:hint="eastAsia" w:ascii="宋体" w:hAnsi="宋体" w:eastAsia="宋体" w:cs="宋体"/>
          <w:sz w:val="21"/>
          <w:szCs w:val="21"/>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sz w:val="21"/>
          <w:szCs w:val="21"/>
        </w:rPr>
        <w:br w:type="textWrapping"/>
      </w:r>
      <w:r>
        <w:rPr>
          <w:rFonts w:hint="eastAsia" w:ascii="宋体" w:hAnsi="宋体" w:eastAsia="宋体" w:cs="宋体"/>
          <w:sz w:val="21"/>
          <w:szCs w:val="21"/>
        </w:rPr>
        <w:t>   4.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w:t>
      </w:r>
      <w:r>
        <w:rPr>
          <w:rFonts w:hint="eastAsia" w:ascii="宋体" w:hAnsi="宋体" w:eastAsia="宋体" w:cs="宋体"/>
          <w:sz w:val="21"/>
          <w:szCs w:val="21"/>
        </w:rPr>
        <w:br w:type="textWrapping"/>
      </w:r>
      <w:r>
        <w:rPr>
          <w:rFonts w:hint="eastAsia" w:ascii="宋体" w:hAnsi="宋体" w:eastAsia="宋体" w:cs="宋体"/>
          <w:sz w:val="21"/>
          <w:szCs w:val="21"/>
        </w:rPr>
        <w:t>https://jinrong.zcygov.cn/finance-service/#/home。</w:t>
      </w:r>
    </w:p>
    <w:p w14:paraId="64A617DE">
      <w:pPr>
        <w:pStyle w:val="48"/>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jc w:val="both"/>
        <w:textAlignment w:val="auto"/>
        <w:rPr>
          <w:rFonts w:hint="eastAsia" w:ascii="宋体" w:hAnsi="宋体" w:eastAsia="宋体" w:cs="宋体"/>
          <w:sz w:val="21"/>
          <w:szCs w:val="21"/>
        </w:rPr>
      </w:pPr>
      <w:r>
        <w:rPr>
          <w:rStyle w:val="56"/>
          <w:rFonts w:hint="eastAsia" w:ascii="宋体" w:hAnsi="宋体" w:eastAsia="宋体" w:cs="宋体"/>
          <w:sz w:val="21"/>
          <w:szCs w:val="21"/>
        </w:rPr>
        <w:t>七、对本次采购提出询问、质疑、投诉，请按以下方式联系</w:t>
      </w:r>
    </w:p>
    <w:p w14:paraId="0E8AFB5B">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1.采购人信息</w:t>
      </w:r>
    </w:p>
    <w:p w14:paraId="07B06659">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名    称：嘉兴市生态环境局秀洲分局 </w:t>
      </w:r>
    </w:p>
    <w:p w14:paraId="057F2E9B">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地    址：嘉兴市秀洲区新城街道新秀路351号 </w:t>
      </w:r>
    </w:p>
    <w:p w14:paraId="588E27C5">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传    真：  </w:t>
      </w:r>
    </w:p>
    <w:p w14:paraId="2710ED05">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项目联系人（询问）：杨先生  </w:t>
      </w:r>
    </w:p>
    <w:p w14:paraId="0BB6604B">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项目联系方式（询问）：0573-82721821 </w:t>
      </w:r>
    </w:p>
    <w:p w14:paraId="518438B7">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质疑联系人：王女士    </w:t>
      </w:r>
    </w:p>
    <w:p w14:paraId="07FFC714">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质疑联系方式：0573-82721824 </w:t>
      </w:r>
    </w:p>
    <w:p w14:paraId="0D61F958">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rPr>
        <w:br w:type="textWrapping"/>
      </w:r>
      <w:r>
        <w:rPr>
          <w:rFonts w:hint="eastAsia" w:ascii="宋体" w:hAnsi="宋体" w:eastAsia="宋体" w:cs="宋体"/>
          <w:sz w:val="21"/>
          <w:szCs w:val="21"/>
        </w:rPr>
        <w:t>    2.采购代理机构信息            </w:t>
      </w:r>
    </w:p>
    <w:p w14:paraId="34A00DF9">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名    称：大地工程咨询有限公司             </w:t>
      </w:r>
    </w:p>
    <w:p w14:paraId="747E200D">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地    址：嘉兴市秀洲区洪波路1200号万豪广场12楼1204             </w:t>
      </w:r>
    </w:p>
    <w:p w14:paraId="442758D8">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传    真：             </w:t>
      </w:r>
    </w:p>
    <w:p w14:paraId="600DB248">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项目联系人（询问）：杨丽莉              </w:t>
      </w:r>
    </w:p>
    <w:p w14:paraId="630955F1">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项目联系方式（询问）：0573-82133572 </w:t>
      </w:r>
    </w:p>
    <w:p w14:paraId="2FBA48F7">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质疑联系人：李斌             </w:t>
      </w:r>
    </w:p>
    <w:p w14:paraId="14596C0E">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质疑联系方式：0573-82133572 　　　　　　     </w:t>
      </w:r>
    </w:p>
    <w:p w14:paraId="7263F0EA">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rPr>
        <w:br w:type="textWrapping"/>
      </w:r>
      <w:r>
        <w:rPr>
          <w:rFonts w:hint="eastAsia" w:ascii="宋体" w:hAnsi="宋体" w:eastAsia="宋体" w:cs="宋体"/>
          <w:sz w:val="21"/>
          <w:szCs w:val="21"/>
        </w:rPr>
        <w:t>    3.</w:t>
      </w:r>
      <w:r>
        <w:rPr>
          <w:rStyle w:val="62"/>
          <w:rFonts w:hint="eastAsia" w:ascii="宋体" w:hAnsi="宋体" w:eastAsia="宋体" w:cs="宋体"/>
          <w:sz w:val="21"/>
          <w:szCs w:val="21"/>
        </w:rPr>
        <w:t>同级政府采购监督管理部门</w:t>
      </w:r>
    </w:p>
    <w:p w14:paraId="7F14C692">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名    称：嘉兴市秀洲区财政局</w:t>
      </w:r>
    </w:p>
    <w:p w14:paraId="180079E6">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地    址：</w:t>
      </w:r>
    </w:p>
    <w:p w14:paraId="1CF3C746">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传    真：</w:t>
      </w:r>
    </w:p>
    <w:p w14:paraId="074E9BC8">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联 系 人：宋女生</w:t>
      </w:r>
    </w:p>
    <w:p w14:paraId="003033B5">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监督投诉电话：0573-82720085</w:t>
      </w:r>
    </w:p>
    <w:p w14:paraId="390BEA2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p w14:paraId="1BA9B4BE">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w:t>
      </w:r>
    </w:p>
    <w:p w14:paraId="0B71F69B">
      <w:pPr>
        <w:pStyle w:val="4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sz w:val="21"/>
          <w:szCs w:val="21"/>
        </w:rPr>
      </w:pPr>
    </w:p>
    <w:p w14:paraId="4E572E4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若对项目采购电子交易系统操作有疑问，可登录政采云（https://www.zcygov.cn/），点击右侧咨询小采，获取采小蜜智能服务管家帮助，或拨打政采云服务热线95763获取热线服务帮助。       </w:t>
      </w:r>
    </w:p>
    <w:p w14:paraId="1720869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CA问题联系电话（人工）：汇信CA 400-888-4636；天谷CA 400-087-8198。</w:t>
      </w:r>
    </w:p>
    <w:p w14:paraId="61C36834">
      <w:pPr>
        <w:pStyle w:val="48"/>
        <w:keepNext w:val="0"/>
        <w:keepLines w:val="0"/>
        <w:widowControl/>
        <w:suppressLineNumbers w:val="0"/>
        <w:spacing w:before="75" w:beforeAutospacing="0" w:after="75" w:afterAutospacing="0"/>
        <w:ind w:left="0" w:right="0"/>
      </w:pPr>
    </w:p>
    <w:p w14:paraId="5CFCE48B">
      <w:pPr>
        <w:keepNext w:val="0"/>
        <w:keepLines w:val="0"/>
        <w:widowControl/>
        <w:suppressLineNumbers w:val="0"/>
        <w:jc w:val="left"/>
      </w:pPr>
      <w:r>
        <w:rPr>
          <w:rFonts w:ascii="宋体" w:hAnsi="宋体" w:eastAsia="宋体" w:cs="宋体"/>
          <w:kern w:val="0"/>
          <w:sz w:val="24"/>
          <w:szCs w:val="24"/>
          <w:lang w:val="en-US" w:eastAsia="zh-CN" w:bidi="ar"/>
        </w:rPr>
        <w:t>    </w:t>
      </w:r>
    </w:p>
    <w:p w14:paraId="2D74E5BF">
      <w:pPr>
        <w:pStyle w:val="48"/>
        <w:keepNext w:val="0"/>
        <w:keepLines w:val="0"/>
        <w:widowControl/>
        <w:suppressLineNumbers w:val="0"/>
        <w:spacing w:before="75" w:beforeAutospacing="0" w:after="75" w:afterAutospacing="0"/>
        <w:ind w:left="0" w:right="0"/>
      </w:pPr>
    </w:p>
    <w:p w14:paraId="4C6E273A">
      <w:pPr>
        <w:pStyle w:val="19"/>
        <w:rPr>
          <w:color w:val="auto"/>
          <w:highlight w:val="none"/>
        </w:rPr>
      </w:pPr>
      <w:bookmarkStart w:id="412" w:name="_GoBack"/>
      <w:bookmarkEnd w:id="412"/>
    </w:p>
    <w:p w14:paraId="5A690628">
      <w:pPr>
        <w:pStyle w:val="18"/>
        <w:rPr>
          <w:color w:val="auto"/>
          <w:highlight w:val="none"/>
        </w:rPr>
      </w:pPr>
      <w:r>
        <w:rPr>
          <w:rFonts w:hint="eastAsia"/>
          <w:color w:val="auto"/>
          <w:highlight w:val="none"/>
        </w:rPr>
        <w:t xml:space="preserve">        </w:t>
      </w:r>
    </w:p>
    <w:bookmarkEnd w:id="8"/>
    <w:bookmarkEnd w:id="9"/>
    <w:p w14:paraId="1781A54C">
      <w:pPr>
        <w:pStyle w:val="48"/>
        <w:numPr>
          <w:ilvl w:val="0"/>
          <w:numId w:val="3"/>
        </w:numPr>
        <w:spacing w:before="0" w:beforeAutospacing="0" w:after="0" w:afterAutospacing="0" w:line="360" w:lineRule="auto"/>
        <w:ind w:right="42" w:rightChars="20"/>
        <w:jc w:val="center"/>
        <w:rPr>
          <w:rFonts w:asciiTheme="minorEastAsia" w:hAnsiTheme="minorEastAsia" w:eastAsiaTheme="minorEastAsia"/>
          <w:b/>
          <w:bCs/>
          <w:color w:val="auto"/>
          <w:kern w:val="2"/>
          <w:szCs w:val="52"/>
          <w:highlight w:val="none"/>
        </w:rPr>
      </w:pPr>
      <w:bookmarkStart w:id="11" w:name="_Toc493511542"/>
      <w:bookmarkStart w:id="12" w:name="_Toc31093"/>
      <w:r>
        <w:rPr>
          <w:rFonts w:hint="eastAsia" w:asciiTheme="minorEastAsia" w:hAnsiTheme="minorEastAsia" w:eastAsiaTheme="minorEastAsia"/>
          <w:b/>
          <w:bCs/>
          <w:color w:val="auto"/>
          <w:kern w:val="2"/>
          <w:szCs w:val="52"/>
          <w:highlight w:val="none"/>
        </w:rPr>
        <w:t xml:space="preserve"> 采购需求</w:t>
      </w:r>
    </w:p>
    <w:p w14:paraId="7505141A">
      <w:pPr>
        <w:widowControl/>
        <w:snapToGrid w:val="0"/>
        <w:spacing w:line="520" w:lineRule="exact"/>
        <w:ind w:firstLine="422" w:firstLineChars="200"/>
        <w:jc w:val="left"/>
        <w:rPr>
          <w:rFonts w:ascii="宋体" w:hAnsi="宋体" w:cs="宋体"/>
          <w:b/>
          <w:bCs/>
          <w:color w:val="auto"/>
          <w:kern w:val="0"/>
          <w:highlight w:val="none"/>
        </w:rPr>
      </w:pPr>
      <w:r>
        <w:rPr>
          <w:rFonts w:hint="eastAsia" w:ascii="宋体" w:hAnsi="宋体" w:cs="宋体"/>
          <w:b/>
          <w:bCs/>
          <w:color w:val="auto"/>
          <w:kern w:val="0"/>
          <w:highlight w:val="none"/>
        </w:rPr>
        <w:t>一、项目背景</w:t>
      </w:r>
    </w:p>
    <w:p w14:paraId="4C480EE6">
      <w:pPr>
        <w:widowControl/>
        <w:snapToGrid w:val="0"/>
        <w:spacing w:line="52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根据《中华人民共和国噪声污染防治法》《“十四五”噪声污染防治行动计划》《浙江省噪声污染防治行动计划（2023-2025）》《浙江省宁静小区建设管理办法（试行）》《嘉兴市噪声污染防治行动计划（2</w:t>
      </w:r>
      <w:r>
        <w:rPr>
          <w:rFonts w:ascii="宋体" w:hAnsi="宋体" w:cs="宋体"/>
          <w:color w:val="auto"/>
          <w:kern w:val="0"/>
          <w:highlight w:val="none"/>
        </w:rPr>
        <w:t>024-2025</w:t>
      </w:r>
      <w:r>
        <w:rPr>
          <w:rFonts w:hint="eastAsia" w:ascii="宋体" w:hAnsi="宋体" w:cs="宋体"/>
          <w:color w:val="auto"/>
          <w:kern w:val="0"/>
          <w:highlight w:val="none"/>
        </w:rPr>
        <w:t>）》要求，协助秀洲区完成</w:t>
      </w:r>
      <w:r>
        <w:rPr>
          <w:rFonts w:ascii="宋体" w:hAnsi="宋体" w:cs="宋体"/>
          <w:color w:val="auto"/>
          <w:kern w:val="0"/>
          <w:highlight w:val="none"/>
        </w:rPr>
        <w:t>7</w:t>
      </w:r>
      <w:r>
        <w:rPr>
          <w:rFonts w:hint="eastAsia" w:ascii="宋体" w:hAnsi="宋体" w:cs="宋体"/>
          <w:color w:val="auto"/>
          <w:kern w:val="0"/>
          <w:highlight w:val="none"/>
        </w:rPr>
        <w:t>个“宁静小区”的创建工作。</w:t>
      </w:r>
    </w:p>
    <w:p w14:paraId="464435A1">
      <w:pPr>
        <w:widowControl/>
        <w:snapToGrid w:val="0"/>
        <w:spacing w:line="520" w:lineRule="exact"/>
        <w:ind w:firstLine="422" w:firstLineChars="200"/>
        <w:jc w:val="left"/>
        <w:rPr>
          <w:rFonts w:ascii="宋体" w:hAnsi="宋体" w:cs="宋体"/>
          <w:b/>
          <w:bCs/>
          <w:color w:val="auto"/>
          <w:kern w:val="0"/>
          <w:highlight w:val="none"/>
        </w:rPr>
      </w:pPr>
      <w:r>
        <w:rPr>
          <w:rFonts w:hint="eastAsia" w:ascii="宋体" w:hAnsi="宋体" w:cs="宋体"/>
          <w:b/>
          <w:bCs/>
          <w:color w:val="auto"/>
          <w:kern w:val="0"/>
          <w:highlight w:val="none"/>
        </w:rPr>
        <w:t>二、服务内容</w:t>
      </w:r>
    </w:p>
    <w:p w14:paraId="1F9A8351">
      <w:pPr>
        <w:widowControl/>
        <w:snapToGrid w:val="0"/>
        <w:spacing w:line="52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主要服务内容包括创建小区筛选、小区声环境质量监测、小区噪声源现状调查、小区创建方案编制及落实、小区噪声管理制度建设、配合宁静小区创建宣传及小区申报工作。</w:t>
      </w:r>
    </w:p>
    <w:p w14:paraId="79887A68">
      <w:pPr>
        <w:widowControl/>
        <w:snapToGrid w:val="0"/>
        <w:spacing w:line="520" w:lineRule="exact"/>
        <w:ind w:left="1225" w:hanging="743"/>
        <w:jc w:val="left"/>
        <w:rPr>
          <w:rFonts w:ascii="宋体" w:hAnsi="宋体" w:cs="宋体"/>
          <w:b/>
          <w:bCs/>
          <w:color w:val="auto"/>
          <w:kern w:val="0"/>
          <w:highlight w:val="none"/>
        </w:rPr>
      </w:pPr>
      <w:bookmarkStart w:id="13" w:name="OLE_LINK4"/>
      <w:r>
        <w:rPr>
          <w:rFonts w:ascii="宋体" w:hAnsi="宋体" w:cs="宋体"/>
          <w:b/>
          <w:bCs/>
          <w:color w:val="auto"/>
          <w:kern w:val="0"/>
          <w:highlight w:val="none"/>
        </w:rPr>
        <w:t>（一）</w:t>
      </w:r>
      <w:r>
        <w:rPr>
          <w:rFonts w:hint="eastAsia" w:ascii="宋体" w:hAnsi="宋体" w:cs="宋体"/>
          <w:b/>
          <w:bCs/>
          <w:color w:val="auto"/>
          <w:kern w:val="0"/>
          <w:highlight w:val="none"/>
        </w:rPr>
        <w:t>创建小区筛选</w:t>
      </w:r>
    </w:p>
    <w:p w14:paraId="1AB1BBF2">
      <w:pPr>
        <w:widowControl/>
        <w:snapToGrid w:val="0"/>
        <w:spacing w:line="52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根据嘉兴市生态环境局秀洲分局初筛的小区名单，对名单中的小区周边状况、主要声源、噪声环境质量现状、物业管理情况、投诉情况等进行初步调查，选定</w:t>
      </w:r>
      <w:r>
        <w:rPr>
          <w:rFonts w:ascii="宋体" w:hAnsi="宋体" w:cs="宋体"/>
          <w:color w:val="auto"/>
          <w:kern w:val="0"/>
          <w:highlight w:val="none"/>
        </w:rPr>
        <w:t>7</w:t>
      </w:r>
      <w:r>
        <w:rPr>
          <w:rFonts w:hint="eastAsia" w:ascii="宋体" w:hAnsi="宋体" w:cs="宋体"/>
          <w:color w:val="auto"/>
          <w:kern w:val="0"/>
          <w:highlight w:val="none"/>
        </w:rPr>
        <w:t>个小区开展“宁静小区”创建工作。</w:t>
      </w:r>
    </w:p>
    <w:p w14:paraId="5A4E210A">
      <w:pPr>
        <w:widowControl/>
        <w:snapToGrid w:val="0"/>
        <w:spacing w:line="520" w:lineRule="exact"/>
        <w:ind w:firstLine="422" w:firstLineChars="200"/>
        <w:jc w:val="left"/>
        <w:rPr>
          <w:rFonts w:ascii="宋体" w:hAnsi="宋体" w:cs="宋体"/>
          <w:b/>
          <w:bCs/>
          <w:color w:val="auto"/>
          <w:kern w:val="0"/>
          <w:highlight w:val="none"/>
        </w:rPr>
      </w:pPr>
      <w:r>
        <w:rPr>
          <w:rFonts w:hint="eastAsia" w:ascii="宋体" w:hAnsi="宋体" w:cs="宋体"/>
          <w:b/>
          <w:bCs/>
          <w:color w:val="auto"/>
          <w:kern w:val="0"/>
          <w:highlight w:val="none"/>
        </w:rPr>
        <w:t>（二）小区声环境质量调查</w:t>
      </w:r>
      <w:bookmarkEnd w:id="13"/>
      <w:r>
        <w:rPr>
          <w:rFonts w:hint="eastAsia" w:ascii="宋体" w:hAnsi="宋体" w:cs="宋体"/>
          <w:b/>
          <w:bCs/>
          <w:color w:val="auto"/>
          <w:kern w:val="0"/>
          <w:highlight w:val="none"/>
        </w:rPr>
        <w:t>监测</w:t>
      </w:r>
    </w:p>
    <w:p w14:paraId="5F7EE7BF">
      <w:pPr>
        <w:widowControl/>
        <w:snapToGrid w:val="0"/>
        <w:spacing w:line="52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开展噪声源排查，对装修、公用设施设备、小区营业用房商业活动、垃圾清运噪声等进行排查，结合小区噪声投诉情况，筛选小区内部及周边存在的噪声重点排放源及已采取的噪声管控措施，基本掌握小区声环境状况，每个小区排查次数不少于4次。</w:t>
      </w:r>
    </w:p>
    <w:p w14:paraId="723E8218">
      <w:pPr>
        <w:widowControl/>
        <w:snapToGrid w:val="0"/>
        <w:spacing w:line="52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2、参照《城市声环境常规监测技术规范》(HJ640-2012)，对</w:t>
      </w:r>
      <w:r>
        <w:rPr>
          <w:rFonts w:ascii="宋体" w:hAnsi="宋体" w:cs="宋体"/>
          <w:color w:val="auto"/>
          <w:kern w:val="0"/>
          <w:highlight w:val="none"/>
        </w:rPr>
        <w:t>7</w:t>
      </w:r>
      <w:r>
        <w:rPr>
          <w:rFonts w:hint="eastAsia" w:ascii="宋体" w:hAnsi="宋体" w:cs="宋体"/>
          <w:color w:val="auto"/>
          <w:kern w:val="0"/>
          <w:highlight w:val="none"/>
        </w:rPr>
        <w:t>个小区声环境质量进行24小时连续监测，以全部点位昼、夜间等效声级 Leq 的算术平均值评价小区昼、夜间声环境质量，计入宁静小区建设档案。</w:t>
      </w:r>
    </w:p>
    <w:p w14:paraId="6C175484">
      <w:pPr>
        <w:widowControl/>
        <w:snapToGrid w:val="0"/>
        <w:spacing w:line="520" w:lineRule="exact"/>
        <w:ind w:firstLine="422" w:firstLineChars="200"/>
        <w:jc w:val="left"/>
        <w:rPr>
          <w:rFonts w:ascii="宋体" w:hAnsi="宋体" w:cs="宋体"/>
          <w:b/>
          <w:bCs/>
          <w:color w:val="auto"/>
          <w:kern w:val="0"/>
          <w:highlight w:val="none"/>
        </w:rPr>
      </w:pPr>
      <w:r>
        <w:rPr>
          <w:rFonts w:hint="eastAsia" w:ascii="宋体" w:hAnsi="宋体" w:cs="宋体"/>
          <w:b/>
          <w:bCs/>
          <w:color w:val="auto"/>
          <w:kern w:val="0"/>
          <w:highlight w:val="none"/>
        </w:rPr>
        <w:t>（三）创建方案编制</w:t>
      </w:r>
    </w:p>
    <w:p w14:paraId="30670363">
      <w:pPr>
        <w:widowControl/>
        <w:snapToGrid w:val="0"/>
        <w:spacing w:line="52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根据调研结果和现状监测情况，编制创建方案，建立任务清单和问题清单，明确不足并提出相应对策与整改提升方向，将对策举措具体化，目标、任务、项目与责任清单化。创建方案包含小区基本情况及现有建设条件、建设工作内容、预期成效和时间进度安排等。</w:t>
      </w:r>
    </w:p>
    <w:p w14:paraId="23AB0BE3">
      <w:pPr>
        <w:widowControl/>
        <w:snapToGrid w:val="0"/>
        <w:spacing w:line="520" w:lineRule="exact"/>
        <w:ind w:firstLine="422" w:firstLineChars="200"/>
        <w:jc w:val="left"/>
        <w:rPr>
          <w:rFonts w:ascii="宋体" w:hAnsi="宋体" w:cs="宋体"/>
          <w:b/>
          <w:bCs/>
          <w:color w:val="auto"/>
          <w:kern w:val="0"/>
          <w:highlight w:val="none"/>
        </w:rPr>
      </w:pPr>
      <w:r>
        <w:rPr>
          <w:rFonts w:hint="eastAsia" w:ascii="宋体" w:hAnsi="宋体" w:cs="宋体"/>
          <w:b/>
          <w:bCs/>
          <w:color w:val="auto"/>
          <w:kern w:val="0"/>
          <w:highlight w:val="none"/>
        </w:rPr>
        <w:t>（四）管理制度建设</w:t>
      </w:r>
    </w:p>
    <w:p w14:paraId="1D1F8B81">
      <w:pPr>
        <w:widowControl/>
        <w:snapToGrid w:val="0"/>
        <w:spacing w:line="52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参照《浙江省宁静小区建设评价指标体系》要求，协助制定居民公约，包括噪声扰民劝阻调解流程和装修、娱乐、宠物、垃圾清运、公用设施设备等噪声污染防治制度。建立投诉处理机制，公布噪声投诉电话或即时通讯方式。</w:t>
      </w:r>
    </w:p>
    <w:p w14:paraId="5A4D861F">
      <w:pPr>
        <w:widowControl/>
        <w:snapToGrid w:val="0"/>
        <w:spacing w:line="520" w:lineRule="exact"/>
        <w:ind w:firstLine="422" w:firstLineChars="200"/>
        <w:jc w:val="left"/>
        <w:rPr>
          <w:rFonts w:ascii="宋体" w:hAnsi="宋体" w:cs="宋体"/>
          <w:b/>
          <w:bCs/>
          <w:color w:val="auto"/>
          <w:kern w:val="0"/>
          <w:highlight w:val="none"/>
        </w:rPr>
      </w:pPr>
      <w:r>
        <w:rPr>
          <w:rFonts w:hint="eastAsia" w:ascii="宋体" w:hAnsi="宋体" w:cs="宋体"/>
          <w:b/>
          <w:bCs/>
          <w:color w:val="auto"/>
          <w:kern w:val="0"/>
          <w:highlight w:val="none"/>
        </w:rPr>
        <w:t>（五）宣传</w:t>
      </w:r>
    </w:p>
    <w:p w14:paraId="12053BF0">
      <w:pPr>
        <w:widowControl/>
        <w:snapToGrid w:val="0"/>
        <w:spacing w:line="52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开展小区噪声污染防治宣传，以志愿服务等活动为基础，根据居民公约、文明标语张贴、入户宣传等方式，策划组织2</w:t>
      </w:r>
      <w:r>
        <w:rPr>
          <w:rFonts w:ascii="宋体" w:hAnsi="宋体" w:cs="宋体"/>
          <w:color w:val="auto"/>
          <w:kern w:val="0"/>
          <w:highlight w:val="none"/>
        </w:rPr>
        <w:t>~</w:t>
      </w:r>
      <w:r>
        <w:rPr>
          <w:rFonts w:hint="eastAsia" w:ascii="宋体" w:hAnsi="宋体" w:cs="宋体"/>
          <w:color w:val="auto"/>
          <w:kern w:val="0"/>
          <w:highlight w:val="none"/>
        </w:rPr>
        <w:t>6次专家授课、知识科普、志愿服务等多种形式的噪声污染防治法规知识公众参与和宣传活动。</w:t>
      </w:r>
    </w:p>
    <w:p w14:paraId="001EF18B">
      <w:pPr>
        <w:widowControl/>
        <w:snapToGrid w:val="0"/>
        <w:spacing w:line="520" w:lineRule="exact"/>
        <w:ind w:firstLine="422" w:firstLineChars="200"/>
        <w:jc w:val="left"/>
        <w:rPr>
          <w:rFonts w:ascii="宋体" w:hAnsi="宋体" w:cs="宋体"/>
          <w:b/>
          <w:bCs/>
          <w:color w:val="auto"/>
          <w:kern w:val="0"/>
          <w:highlight w:val="none"/>
        </w:rPr>
      </w:pPr>
      <w:r>
        <w:rPr>
          <w:rFonts w:hint="eastAsia" w:ascii="宋体" w:hAnsi="宋体" w:cs="宋体"/>
          <w:b/>
          <w:bCs/>
          <w:color w:val="auto"/>
          <w:kern w:val="0"/>
          <w:highlight w:val="none"/>
        </w:rPr>
        <w:t>（六）</w:t>
      </w:r>
      <w:r>
        <w:rPr>
          <w:rFonts w:hint="eastAsia" w:ascii="宋体" w:hAnsi="宋体" w:cs="宋体"/>
          <w:color w:val="auto"/>
          <w:kern w:val="0"/>
          <w:highlight w:val="none"/>
        </w:rPr>
        <w:t>提供3年不少于</w:t>
      </w:r>
      <w:r>
        <w:rPr>
          <w:rFonts w:ascii="宋体" w:hAnsi="宋体" w:cs="宋体"/>
          <w:color w:val="auto"/>
          <w:kern w:val="0"/>
          <w:highlight w:val="none"/>
        </w:rPr>
        <w:t>9</w:t>
      </w:r>
      <w:r>
        <w:rPr>
          <w:rFonts w:hint="eastAsia" w:ascii="宋体" w:hAnsi="宋体" w:cs="宋体"/>
          <w:color w:val="auto"/>
          <w:kern w:val="0"/>
          <w:highlight w:val="none"/>
        </w:rPr>
        <w:t>个点位的噪声在线监测数据，配套3年平台数据查询和分析功能，并为每个创建小区配备 1 套手持噪声检测仪。</w:t>
      </w:r>
    </w:p>
    <w:p w14:paraId="46CD63BA">
      <w:pPr>
        <w:widowControl/>
        <w:snapToGrid w:val="0"/>
        <w:spacing w:line="520" w:lineRule="exact"/>
        <w:ind w:firstLine="422" w:firstLineChars="200"/>
        <w:jc w:val="left"/>
        <w:rPr>
          <w:rFonts w:ascii="宋体" w:hAnsi="宋体" w:cs="宋体"/>
          <w:b/>
          <w:bCs/>
          <w:color w:val="auto"/>
          <w:kern w:val="0"/>
          <w:highlight w:val="none"/>
        </w:rPr>
      </w:pPr>
      <w:r>
        <w:rPr>
          <w:rFonts w:hint="eastAsia" w:ascii="宋体" w:hAnsi="宋体" w:cs="宋体"/>
          <w:b/>
          <w:bCs/>
          <w:color w:val="auto"/>
          <w:kern w:val="0"/>
          <w:highlight w:val="none"/>
        </w:rPr>
        <w:t>（七）</w:t>
      </w:r>
      <w:r>
        <w:rPr>
          <w:rFonts w:hint="eastAsia" w:ascii="宋体" w:hAnsi="宋体" w:cs="宋体"/>
          <w:color w:val="auto"/>
          <w:kern w:val="0"/>
          <w:highlight w:val="none"/>
        </w:rPr>
        <w:t>配合完成宁静小区创建台账、宁静小区申报等其他各项工作。</w:t>
      </w:r>
    </w:p>
    <w:p w14:paraId="2E07DED3">
      <w:pPr>
        <w:widowControl/>
        <w:snapToGrid w:val="0"/>
        <w:spacing w:line="520" w:lineRule="exact"/>
        <w:ind w:firstLine="422" w:firstLineChars="200"/>
        <w:jc w:val="left"/>
        <w:rPr>
          <w:rFonts w:hint="eastAsia" w:ascii="宋体" w:hAnsi="宋体" w:eastAsia="宋体" w:cs="宋体"/>
          <w:color w:val="auto"/>
          <w:kern w:val="0"/>
          <w:highlight w:val="none"/>
          <w:lang w:val="en-US" w:eastAsia="zh-CN"/>
        </w:rPr>
      </w:pPr>
      <w:r>
        <w:rPr>
          <w:rFonts w:hint="eastAsia" w:ascii="宋体" w:hAnsi="宋体" w:cs="宋体"/>
          <w:b/>
          <w:bCs/>
          <w:color w:val="auto"/>
          <w:kern w:val="0"/>
          <w:highlight w:val="none"/>
        </w:rPr>
        <w:t>（八）</w:t>
      </w:r>
      <w:r>
        <w:rPr>
          <w:rFonts w:hint="eastAsia" w:ascii="宋体" w:hAnsi="宋体" w:eastAsia="宋体" w:cs="宋体"/>
          <w:color w:val="auto"/>
          <w:kern w:val="0"/>
          <w:highlight w:val="none"/>
          <w:lang w:val="en-US" w:eastAsia="zh-CN"/>
        </w:rPr>
        <w:t>2025年对2024年度未创成</w:t>
      </w:r>
      <w:r>
        <w:rPr>
          <w:rFonts w:hint="eastAsia" w:ascii="宋体" w:hAnsi="宋体" w:eastAsia="宋体" w:cs="宋体"/>
          <w:color w:val="auto"/>
          <w:kern w:val="0"/>
          <w:highlight w:val="none"/>
        </w:rPr>
        <w:t>市级宁静小区</w:t>
      </w:r>
      <w:r>
        <w:rPr>
          <w:rFonts w:hint="eastAsia" w:ascii="宋体" w:hAnsi="宋体" w:eastAsia="宋体" w:cs="宋体"/>
          <w:color w:val="auto"/>
          <w:kern w:val="0"/>
          <w:highlight w:val="none"/>
          <w:lang w:val="en-US" w:eastAsia="zh-CN"/>
        </w:rPr>
        <w:t>的小区开展持续创建。</w:t>
      </w:r>
    </w:p>
    <w:p w14:paraId="32864C92">
      <w:pPr>
        <w:widowControl/>
        <w:snapToGrid w:val="0"/>
        <w:spacing w:line="520" w:lineRule="exact"/>
        <w:ind w:firstLine="422" w:firstLineChars="200"/>
        <w:jc w:val="left"/>
        <w:rPr>
          <w:rFonts w:ascii="宋体" w:hAnsi="宋体" w:cs="宋体"/>
          <w:b/>
          <w:bCs/>
          <w:color w:val="auto"/>
          <w:kern w:val="0"/>
          <w:highlight w:val="none"/>
        </w:rPr>
      </w:pPr>
      <w:r>
        <w:rPr>
          <w:rFonts w:hint="eastAsia" w:ascii="宋体" w:hAnsi="宋体" w:cs="宋体"/>
          <w:b/>
          <w:bCs/>
          <w:color w:val="auto"/>
          <w:kern w:val="0"/>
          <w:highlight w:val="none"/>
        </w:rPr>
        <w:t>（</w:t>
      </w:r>
      <w:r>
        <w:rPr>
          <w:rFonts w:hint="eastAsia" w:ascii="宋体" w:hAnsi="宋体" w:cs="宋体"/>
          <w:b/>
          <w:bCs/>
          <w:color w:val="auto"/>
          <w:kern w:val="0"/>
          <w:highlight w:val="none"/>
          <w:lang w:eastAsia="zh-CN"/>
        </w:rPr>
        <w:t>九</w:t>
      </w:r>
      <w:r>
        <w:rPr>
          <w:rFonts w:hint="eastAsia" w:ascii="宋体" w:hAnsi="宋体" w:cs="宋体"/>
          <w:b/>
          <w:bCs/>
          <w:color w:val="auto"/>
          <w:kern w:val="0"/>
          <w:highlight w:val="none"/>
        </w:rPr>
        <w:t>）</w:t>
      </w:r>
      <w:r>
        <w:rPr>
          <w:rFonts w:hint="eastAsia" w:ascii="宋体" w:hAnsi="宋体" w:eastAsia="宋体" w:cs="宋体"/>
          <w:color w:val="auto"/>
          <w:kern w:val="0"/>
          <w:highlight w:val="none"/>
        </w:rPr>
        <w:t>配合宁静小区创成后的宣传维护工作。</w:t>
      </w:r>
    </w:p>
    <w:p w14:paraId="05E249E9">
      <w:pPr>
        <w:widowControl/>
        <w:snapToGrid w:val="0"/>
        <w:spacing w:line="520" w:lineRule="exact"/>
        <w:ind w:firstLine="422" w:firstLineChars="200"/>
        <w:jc w:val="left"/>
        <w:rPr>
          <w:rFonts w:ascii="宋体" w:hAnsi="宋体" w:cs="宋体"/>
          <w:b/>
          <w:bCs/>
          <w:color w:val="auto"/>
          <w:kern w:val="0"/>
          <w:highlight w:val="none"/>
        </w:rPr>
      </w:pPr>
      <w:r>
        <w:rPr>
          <w:rFonts w:hint="eastAsia" w:ascii="宋体" w:hAnsi="宋体" w:cs="宋体"/>
          <w:b/>
          <w:bCs/>
          <w:color w:val="auto"/>
          <w:kern w:val="0"/>
          <w:highlight w:val="none"/>
        </w:rPr>
        <w:t>三、工作要求</w:t>
      </w:r>
    </w:p>
    <w:p w14:paraId="4360165D">
      <w:pPr>
        <w:widowControl/>
        <w:snapToGrid w:val="0"/>
        <w:spacing w:line="520" w:lineRule="exact"/>
        <w:ind w:firstLine="422" w:firstLineChars="200"/>
        <w:jc w:val="left"/>
        <w:rPr>
          <w:rFonts w:ascii="宋体" w:hAnsi="宋体" w:cs="宋体"/>
          <w:color w:val="auto"/>
          <w:kern w:val="0"/>
          <w:highlight w:val="none"/>
        </w:rPr>
      </w:pPr>
      <w:r>
        <w:rPr>
          <w:rFonts w:hint="eastAsia" w:ascii="宋体" w:hAnsi="宋体" w:cs="宋体"/>
          <w:b/>
          <w:bCs/>
          <w:color w:val="auto"/>
          <w:kern w:val="0"/>
          <w:highlight w:val="none"/>
        </w:rPr>
        <w:t>（一）</w:t>
      </w:r>
      <w:r>
        <w:rPr>
          <w:rFonts w:hint="eastAsia" w:ascii="宋体" w:hAnsi="宋体" w:cs="宋体"/>
          <w:color w:val="auto"/>
          <w:kern w:val="0"/>
          <w:highlight w:val="none"/>
        </w:rPr>
        <w:t>参照《浙江省宁静小区建设评价指标体系》，对</w:t>
      </w:r>
      <w:r>
        <w:rPr>
          <w:rFonts w:ascii="宋体" w:hAnsi="宋体" w:cs="宋体"/>
          <w:color w:val="auto"/>
          <w:kern w:val="0"/>
          <w:highlight w:val="none"/>
        </w:rPr>
        <w:t>7</w:t>
      </w:r>
      <w:r>
        <w:rPr>
          <w:rFonts w:hint="eastAsia" w:ascii="宋体" w:hAnsi="宋体" w:cs="宋体"/>
          <w:color w:val="auto"/>
          <w:kern w:val="0"/>
          <w:highlight w:val="none"/>
        </w:rPr>
        <w:t>个小区开展实地调研并根据实际情况形成宁静小区申请表和创建方案各</w:t>
      </w:r>
      <w:r>
        <w:rPr>
          <w:rFonts w:ascii="宋体" w:hAnsi="宋体" w:cs="宋体"/>
          <w:color w:val="auto"/>
          <w:kern w:val="0"/>
          <w:highlight w:val="none"/>
        </w:rPr>
        <w:t>7</w:t>
      </w:r>
      <w:r>
        <w:rPr>
          <w:rFonts w:hint="eastAsia" w:ascii="宋体" w:hAnsi="宋体" w:cs="宋体"/>
          <w:color w:val="auto"/>
          <w:kern w:val="0"/>
          <w:highlight w:val="none"/>
        </w:rPr>
        <w:t>份；</w:t>
      </w:r>
    </w:p>
    <w:p w14:paraId="02FF9498">
      <w:pPr>
        <w:widowControl/>
        <w:snapToGrid w:val="0"/>
        <w:spacing w:line="520" w:lineRule="exact"/>
        <w:ind w:firstLine="422" w:firstLineChars="200"/>
        <w:jc w:val="left"/>
        <w:rPr>
          <w:rFonts w:ascii="宋体" w:hAnsi="宋体" w:cs="宋体"/>
          <w:color w:val="auto"/>
          <w:kern w:val="0"/>
          <w:highlight w:val="none"/>
        </w:rPr>
      </w:pPr>
      <w:r>
        <w:rPr>
          <w:rFonts w:hint="eastAsia" w:ascii="宋体" w:hAnsi="宋体" w:cs="宋体"/>
          <w:b/>
          <w:bCs/>
          <w:color w:val="auto"/>
          <w:kern w:val="0"/>
          <w:highlight w:val="none"/>
        </w:rPr>
        <w:t>（二）</w:t>
      </w:r>
      <w:r>
        <w:rPr>
          <w:rFonts w:hint="eastAsia" w:ascii="宋体" w:hAnsi="宋体" w:cs="宋体"/>
          <w:color w:val="auto"/>
          <w:kern w:val="0"/>
          <w:highlight w:val="none"/>
        </w:rPr>
        <w:t>协助嘉兴市生态环境局秀洲分局完成宁静小区创建工作总结报告，评估建设效果，整理创建档案材料，建立长效管理机制。</w:t>
      </w:r>
    </w:p>
    <w:p w14:paraId="114FBD27">
      <w:pPr>
        <w:widowControl/>
        <w:snapToGrid w:val="0"/>
        <w:spacing w:line="52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对标《浙江省宁静小区建设评价指标体系》要求，达到85分及以上（含附加分）。</w:t>
      </w:r>
    </w:p>
    <w:p w14:paraId="44532A04">
      <w:pPr>
        <w:pStyle w:val="48"/>
        <w:spacing w:before="75" w:beforeAutospacing="0" w:after="75" w:afterAutospacing="0" w:line="360" w:lineRule="auto"/>
        <w:rPr>
          <w:rFonts w:cs="宋体"/>
          <w:b/>
          <w:bCs/>
          <w:color w:val="auto"/>
          <w:sz w:val="21"/>
          <w:szCs w:val="21"/>
          <w:highlight w:val="none"/>
        </w:rPr>
      </w:pPr>
      <w:r>
        <w:rPr>
          <w:rFonts w:hint="eastAsia" w:cs="宋体"/>
          <w:b/>
          <w:bCs/>
          <w:color w:val="auto"/>
          <w:sz w:val="21"/>
          <w:szCs w:val="21"/>
          <w:highlight w:val="none"/>
        </w:rPr>
        <w:t>四、商务要求表</w:t>
      </w:r>
    </w:p>
    <w:tbl>
      <w:tblPr>
        <w:tblStyle w:val="52"/>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122"/>
      </w:tblGrid>
      <w:tr w14:paraId="3D32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26" w:type="dxa"/>
            <w:vAlign w:val="center"/>
          </w:tcPr>
          <w:p w14:paraId="79B205F2">
            <w:pPr>
              <w:pStyle w:val="48"/>
              <w:spacing w:before="75" w:beforeAutospacing="0" w:after="75" w:afterAutospacing="0" w:line="360" w:lineRule="auto"/>
              <w:rPr>
                <w:rFonts w:cs="宋体"/>
                <w:color w:val="auto"/>
                <w:sz w:val="21"/>
                <w:szCs w:val="21"/>
                <w:highlight w:val="none"/>
              </w:rPr>
            </w:pPr>
            <w:r>
              <w:rPr>
                <w:rFonts w:hint="eastAsia" w:cs="宋体"/>
                <w:color w:val="auto"/>
                <w:sz w:val="21"/>
                <w:szCs w:val="21"/>
                <w:highlight w:val="none"/>
              </w:rPr>
              <w:t>服务期限</w:t>
            </w:r>
          </w:p>
        </w:tc>
        <w:tc>
          <w:tcPr>
            <w:tcW w:w="8122" w:type="dxa"/>
            <w:vAlign w:val="center"/>
          </w:tcPr>
          <w:p w14:paraId="4C60EC59">
            <w:pPr>
              <w:widowControl/>
              <w:snapToGrid w:val="0"/>
              <w:spacing w:line="520" w:lineRule="exact"/>
              <w:jc w:val="left"/>
              <w:rPr>
                <w:rFonts w:ascii="宋体" w:hAnsi="宋体" w:cs="宋体"/>
                <w:color w:val="auto"/>
                <w:szCs w:val="21"/>
                <w:highlight w:val="none"/>
              </w:rPr>
            </w:pPr>
            <w:r>
              <w:rPr>
                <w:rFonts w:hint="eastAsia" w:ascii="宋体" w:hAnsi="宋体" w:cs="宋体"/>
                <w:color w:val="auto"/>
                <w:kern w:val="0"/>
                <w:highlight w:val="none"/>
              </w:rPr>
              <w:t>自合同签订之日起，必须在202</w:t>
            </w:r>
            <w:r>
              <w:rPr>
                <w:rFonts w:ascii="宋体" w:hAnsi="宋体" w:cs="宋体"/>
                <w:color w:val="auto"/>
                <w:kern w:val="0"/>
                <w:highlight w:val="none"/>
              </w:rPr>
              <w:t>4</w:t>
            </w:r>
            <w:r>
              <w:rPr>
                <w:rFonts w:hint="eastAsia" w:ascii="宋体" w:hAnsi="宋体" w:cs="宋体"/>
                <w:color w:val="auto"/>
                <w:kern w:val="0"/>
                <w:highlight w:val="none"/>
              </w:rPr>
              <w:t>年</w:t>
            </w:r>
            <w:r>
              <w:rPr>
                <w:rFonts w:ascii="宋体" w:hAnsi="宋体" w:cs="宋体"/>
                <w:color w:val="auto"/>
                <w:kern w:val="0"/>
                <w:highlight w:val="none"/>
              </w:rPr>
              <w:t>12</w:t>
            </w:r>
            <w:r>
              <w:rPr>
                <w:rFonts w:hint="eastAsia" w:ascii="宋体" w:hAnsi="宋体" w:cs="宋体"/>
                <w:color w:val="auto"/>
                <w:kern w:val="0"/>
                <w:highlight w:val="none"/>
              </w:rPr>
              <w:t>月底前完成本项目中除第（六）（八）（</w:t>
            </w:r>
            <w:r>
              <w:rPr>
                <w:rFonts w:hint="eastAsia" w:ascii="宋体" w:hAnsi="宋体" w:cs="宋体"/>
                <w:color w:val="auto"/>
                <w:kern w:val="0"/>
                <w:highlight w:val="none"/>
                <w:lang w:eastAsia="zh-CN"/>
              </w:rPr>
              <w:t>九</w:t>
            </w:r>
            <w:r>
              <w:rPr>
                <w:rFonts w:hint="eastAsia" w:ascii="宋体" w:hAnsi="宋体" w:cs="宋体"/>
                <w:color w:val="auto"/>
                <w:kern w:val="0"/>
                <w:highlight w:val="none"/>
              </w:rPr>
              <w:t>）项的所有服务内容。</w:t>
            </w:r>
          </w:p>
        </w:tc>
      </w:tr>
      <w:tr w14:paraId="70CD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26" w:type="dxa"/>
            <w:vAlign w:val="center"/>
          </w:tcPr>
          <w:p w14:paraId="6CD714DC">
            <w:pPr>
              <w:pStyle w:val="48"/>
              <w:spacing w:before="75" w:beforeAutospacing="0" w:after="75" w:afterAutospacing="0" w:line="360" w:lineRule="auto"/>
              <w:rPr>
                <w:rFonts w:cs="宋体"/>
                <w:color w:val="auto"/>
                <w:sz w:val="21"/>
                <w:szCs w:val="21"/>
                <w:highlight w:val="none"/>
              </w:rPr>
            </w:pPr>
            <w:r>
              <w:rPr>
                <w:rFonts w:hint="eastAsia" w:cs="宋体"/>
                <w:color w:val="auto"/>
                <w:sz w:val="21"/>
                <w:szCs w:val="21"/>
                <w:highlight w:val="none"/>
              </w:rPr>
              <w:t>付款方式</w:t>
            </w:r>
          </w:p>
        </w:tc>
        <w:tc>
          <w:tcPr>
            <w:tcW w:w="8122" w:type="dxa"/>
            <w:vAlign w:val="center"/>
          </w:tcPr>
          <w:p w14:paraId="1AE30128">
            <w:pPr>
              <w:widowControl/>
              <w:snapToGrid w:val="0"/>
              <w:spacing w:line="520" w:lineRule="exact"/>
              <w:ind w:firstLine="420" w:firstLineChars="200"/>
              <w:jc w:val="left"/>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rPr>
              <w:t>合同签订后7个工作日内采购人向中标人支付合同金额的60%作为预付款；</w:t>
            </w:r>
            <w:r>
              <w:rPr>
                <w:rFonts w:hint="eastAsia" w:ascii="宋体" w:hAnsi="宋体" w:cs="宋体"/>
                <w:color w:val="auto"/>
                <w:kern w:val="0"/>
                <w:highlight w:val="none"/>
                <w:lang w:val="en-US" w:eastAsia="zh-CN"/>
              </w:rPr>
              <w:t>2025年3月前</w:t>
            </w:r>
            <w:r>
              <w:rPr>
                <w:rFonts w:hint="eastAsia" w:ascii="宋体" w:hAnsi="宋体" w:cs="宋体"/>
                <w:color w:val="auto"/>
                <w:kern w:val="0"/>
                <w:highlight w:val="none"/>
              </w:rPr>
              <w:t>按“</w:t>
            </w:r>
            <w:r>
              <w:rPr>
                <w:rFonts w:hint="eastAsia" w:ascii="宋体" w:hAnsi="宋体" w:cs="宋体"/>
                <w:color w:val="auto"/>
                <w:kern w:val="0"/>
                <w:highlight w:val="none"/>
                <w:lang w:val="en-US" w:eastAsia="zh-CN"/>
              </w:rPr>
              <w:t>2024年度</w:t>
            </w:r>
            <w:r>
              <w:rPr>
                <w:rFonts w:hint="eastAsia" w:ascii="宋体" w:hAnsi="宋体" w:cs="宋体"/>
                <w:color w:val="auto"/>
                <w:kern w:val="0"/>
                <w:highlight w:val="none"/>
              </w:rPr>
              <w:t>通过市级宁静小区比例*合同金额*</w:t>
            </w:r>
            <w:r>
              <w:rPr>
                <w:rFonts w:hint="eastAsia" w:ascii="宋体" w:hAnsi="宋体" w:cs="宋体"/>
                <w:color w:val="auto"/>
                <w:kern w:val="0"/>
                <w:highlight w:val="none"/>
                <w:lang w:val="en-US" w:eastAsia="zh-CN"/>
              </w:rPr>
              <w:t>2</w:t>
            </w:r>
            <w:r>
              <w:rPr>
                <w:rFonts w:ascii="宋体" w:hAnsi="宋体" w:cs="宋体"/>
                <w:color w:val="auto"/>
                <w:kern w:val="0"/>
                <w:highlight w:val="none"/>
              </w:rPr>
              <w:t>0%</w:t>
            </w:r>
            <w:r>
              <w:rPr>
                <w:rFonts w:hint="eastAsia" w:ascii="宋体" w:hAnsi="宋体" w:cs="宋体"/>
                <w:color w:val="auto"/>
                <w:kern w:val="0"/>
                <w:highlight w:val="none"/>
              </w:rPr>
              <w:t>”的形式向中标人支付</w:t>
            </w:r>
            <w:r>
              <w:rPr>
                <w:rFonts w:hint="eastAsia" w:ascii="宋体" w:hAnsi="宋体" w:cs="宋体"/>
                <w:color w:val="auto"/>
                <w:kern w:val="0"/>
                <w:highlight w:val="none"/>
                <w:lang w:eastAsia="zh-CN"/>
              </w:rPr>
              <w:t>中期款；</w:t>
            </w:r>
            <w:r>
              <w:rPr>
                <w:rFonts w:hint="eastAsia" w:ascii="宋体" w:hAnsi="宋体" w:cs="宋体"/>
                <w:color w:val="auto"/>
                <w:kern w:val="0"/>
                <w:highlight w:val="none"/>
                <w:lang w:val="en-US" w:eastAsia="zh-CN"/>
              </w:rPr>
              <w:t>2026年3月前，</w:t>
            </w:r>
            <w:r>
              <w:rPr>
                <w:rFonts w:hint="eastAsia" w:ascii="宋体" w:hAnsi="宋体" w:cs="宋体"/>
                <w:color w:val="auto"/>
                <w:kern w:val="0"/>
                <w:highlight w:val="none"/>
              </w:rPr>
              <w:t>按“</w:t>
            </w:r>
            <w:r>
              <w:rPr>
                <w:rFonts w:hint="eastAsia" w:ascii="宋体" w:hAnsi="宋体" w:cs="宋体"/>
                <w:color w:val="auto"/>
                <w:kern w:val="0"/>
                <w:highlight w:val="none"/>
                <w:lang w:val="en-US" w:eastAsia="zh-CN"/>
              </w:rPr>
              <w:t>2025年度</w:t>
            </w:r>
            <w:r>
              <w:rPr>
                <w:rFonts w:hint="eastAsia" w:ascii="宋体" w:hAnsi="宋体" w:cs="宋体"/>
                <w:color w:val="auto"/>
                <w:kern w:val="0"/>
                <w:highlight w:val="none"/>
              </w:rPr>
              <w:t>通过市级宁静小区比例*合同金额*</w:t>
            </w:r>
            <w:r>
              <w:rPr>
                <w:rFonts w:hint="eastAsia" w:ascii="宋体" w:hAnsi="宋体" w:cs="宋体"/>
                <w:color w:val="auto"/>
                <w:kern w:val="0"/>
                <w:highlight w:val="none"/>
                <w:lang w:val="en-US" w:eastAsia="zh-CN"/>
              </w:rPr>
              <w:t>2</w:t>
            </w:r>
            <w:r>
              <w:rPr>
                <w:rFonts w:ascii="宋体" w:hAnsi="宋体" w:cs="宋体"/>
                <w:color w:val="auto"/>
                <w:kern w:val="0"/>
                <w:highlight w:val="none"/>
              </w:rPr>
              <w:t>0%</w:t>
            </w:r>
            <w:r>
              <w:rPr>
                <w:rFonts w:hint="eastAsia" w:ascii="宋体" w:hAnsi="宋体" w:cs="宋体"/>
                <w:color w:val="auto"/>
                <w:kern w:val="0"/>
                <w:highlight w:val="none"/>
              </w:rPr>
              <w:t>”的形式向中标人支付</w:t>
            </w:r>
            <w:r>
              <w:rPr>
                <w:rFonts w:hint="eastAsia" w:ascii="宋体" w:hAnsi="宋体" w:cs="宋体"/>
                <w:color w:val="auto"/>
                <w:kern w:val="0"/>
                <w:highlight w:val="none"/>
                <w:lang w:eastAsia="zh-CN"/>
              </w:rPr>
              <w:t>中期款。</w:t>
            </w:r>
          </w:p>
          <w:p w14:paraId="35130260">
            <w:pPr>
              <w:widowControl/>
              <w:snapToGrid w:val="0"/>
              <w:spacing w:line="520" w:lineRule="exact"/>
              <w:ind w:firstLine="420" w:firstLineChars="200"/>
              <w:jc w:val="left"/>
              <w:rPr>
                <w:rFonts w:ascii="宋体" w:hAnsi="宋体" w:cs="宋体"/>
                <w:color w:val="auto"/>
                <w:szCs w:val="21"/>
                <w:highlight w:val="none"/>
              </w:rPr>
            </w:pPr>
            <w:r>
              <w:rPr>
                <w:rFonts w:hint="eastAsia" w:ascii="宋体" w:hAnsi="宋体" w:cs="宋体"/>
                <w:color w:val="auto"/>
                <w:kern w:val="0"/>
                <w:highlight w:val="none"/>
              </w:rPr>
              <w:t>注：每次付款前中标方必须提供正式发票，因中标人不能及时提供发票导致采购人未能按约定时间付款的，不视为采购人违约，由中标人自行承担相应的法律责任。</w:t>
            </w:r>
          </w:p>
        </w:tc>
      </w:tr>
      <w:tr w14:paraId="6554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08C5CC85">
            <w:pPr>
              <w:pStyle w:val="48"/>
              <w:spacing w:before="75" w:beforeAutospacing="0" w:after="75" w:afterAutospacing="0" w:line="360" w:lineRule="auto"/>
              <w:rPr>
                <w:rFonts w:cs="宋体"/>
                <w:color w:val="auto"/>
                <w:sz w:val="21"/>
                <w:szCs w:val="21"/>
                <w:highlight w:val="none"/>
              </w:rPr>
            </w:pPr>
            <w:r>
              <w:rPr>
                <w:rFonts w:hint="eastAsia" w:cs="宋体"/>
                <w:color w:val="auto"/>
                <w:sz w:val="21"/>
                <w:szCs w:val="21"/>
                <w:highlight w:val="none"/>
              </w:rPr>
              <w:t>投标报价</w:t>
            </w:r>
          </w:p>
        </w:tc>
        <w:tc>
          <w:tcPr>
            <w:tcW w:w="8122" w:type="dxa"/>
            <w:vAlign w:val="center"/>
          </w:tcPr>
          <w:p w14:paraId="53E8D7BF">
            <w:pPr>
              <w:pStyle w:val="48"/>
              <w:spacing w:before="75" w:beforeAutospacing="0" w:after="75" w:afterAutospacing="0" w:line="360" w:lineRule="auto"/>
              <w:rPr>
                <w:rFonts w:cs="宋体"/>
                <w:color w:val="auto"/>
                <w:sz w:val="21"/>
                <w:szCs w:val="21"/>
                <w:highlight w:val="none"/>
              </w:rPr>
            </w:pPr>
            <w:r>
              <w:rPr>
                <w:rFonts w:hint="eastAsia" w:cs="宋体"/>
                <w:color w:val="auto"/>
                <w:sz w:val="21"/>
                <w:szCs w:val="21"/>
                <w:highlight w:val="none"/>
              </w:rPr>
              <w:t>必须包括提供项目服务所需的一切人员费用（人员工资、奖金、各种加班费、各种社会保险（基本养老保险、基本医疗保险、工伤保险、失业保险、公积金等）、专家评审费、考察费、调研费、食宿与交通、高温补偿费）、会务费用、管理费用（意外保险、车辆、培训、税费、利润等完成合同所需的一切本身和不可或缺的所有工作开支、政策性文件规定及合同包含的所有风险、责任等各项全部费用并承担一切风险责任。</w:t>
            </w:r>
          </w:p>
        </w:tc>
      </w:tr>
      <w:tr w14:paraId="319D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26" w:type="dxa"/>
            <w:vAlign w:val="center"/>
          </w:tcPr>
          <w:p w14:paraId="77F76C48">
            <w:pPr>
              <w:pStyle w:val="48"/>
              <w:spacing w:before="75" w:beforeAutospacing="0" w:after="75" w:afterAutospacing="0" w:line="360" w:lineRule="auto"/>
              <w:rPr>
                <w:rFonts w:cs="宋体"/>
                <w:color w:val="auto"/>
                <w:sz w:val="21"/>
                <w:szCs w:val="21"/>
                <w:highlight w:val="none"/>
              </w:rPr>
            </w:pPr>
            <w:r>
              <w:rPr>
                <w:rFonts w:hint="eastAsia" w:cs="宋体"/>
                <w:color w:val="auto"/>
                <w:sz w:val="21"/>
                <w:szCs w:val="21"/>
                <w:highlight w:val="none"/>
              </w:rPr>
              <w:t>安全生产责任</w:t>
            </w:r>
          </w:p>
        </w:tc>
        <w:tc>
          <w:tcPr>
            <w:tcW w:w="8122" w:type="dxa"/>
            <w:vAlign w:val="center"/>
          </w:tcPr>
          <w:p w14:paraId="40969445">
            <w:pPr>
              <w:pStyle w:val="48"/>
              <w:spacing w:before="75" w:beforeAutospacing="0" w:after="75" w:afterAutospacing="0" w:line="360" w:lineRule="auto"/>
              <w:rPr>
                <w:rFonts w:cs="宋体"/>
                <w:color w:val="auto"/>
                <w:sz w:val="21"/>
                <w:szCs w:val="21"/>
                <w:highlight w:val="none"/>
              </w:rPr>
            </w:pPr>
            <w:r>
              <w:rPr>
                <w:rFonts w:hint="eastAsia" w:cs="宋体"/>
                <w:color w:val="auto"/>
                <w:sz w:val="21"/>
                <w:szCs w:val="21"/>
                <w:highlight w:val="none"/>
              </w:rPr>
              <w:t>中标人应自行承担项目实施过程中安全生产责任，采购人任何情况下均不承担因此产生的任何法律责任和经济责任。</w:t>
            </w:r>
          </w:p>
        </w:tc>
      </w:tr>
    </w:tbl>
    <w:p w14:paraId="7D2D360A">
      <w:pPr>
        <w:pStyle w:val="48"/>
        <w:spacing w:before="75" w:beforeAutospacing="0" w:after="75" w:afterAutospacing="0" w:line="360" w:lineRule="auto"/>
        <w:rPr>
          <w:rFonts w:cs="宋体"/>
          <w:color w:val="auto"/>
          <w:sz w:val="21"/>
          <w:szCs w:val="21"/>
          <w:highlight w:val="none"/>
        </w:rPr>
      </w:pPr>
    </w:p>
    <w:p w14:paraId="29CCD6A8">
      <w:pPr>
        <w:pStyle w:val="4"/>
        <w:rPr>
          <w:rFonts w:ascii="宋体" w:hAnsi="宋体" w:cs="宋体"/>
          <w:color w:val="auto"/>
          <w:szCs w:val="21"/>
          <w:highlight w:val="none"/>
          <w:lang w:bidi="ar"/>
        </w:rPr>
      </w:pPr>
    </w:p>
    <w:p w14:paraId="00DCA77A">
      <w:pPr>
        <w:pStyle w:val="31"/>
        <w:rPr>
          <w:rFonts w:ascii="宋体" w:hAnsi="宋体" w:cs="宋体"/>
          <w:color w:val="auto"/>
          <w:szCs w:val="21"/>
          <w:highlight w:val="none"/>
          <w:lang w:bidi="ar"/>
        </w:rPr>
      </w:pPr>
    </w:p>
    <w:p w14:paraId="00EF6F3A">
      <w:pPr>
        <w:rPr>
          <w:rFonts w:ascii="宋体" w:hAnsi="宋体" w:cs="宋体"/>
          <w:color w:val="auto"/>
          <w:szCs w:val="21"/>
          <w:highlight w:val="none"/>
          <w:lang w:bidi="ar"/>
        </w:rPr>
      </w:pPr>
    </w:p>
    <w:p w14:paraId="6811A2E9">
      <w:pPr>
        <w:pStyle w:val="4"/>
        <w:rPr>
          <w:rFonts w:ascii="宋体" w:hAnsi="宋体" w:cs="宋体"/>
          <w:color w:val="auto"/>
          <w:szCs w:val="21"/>
          <w:highlight w:val="none"/>
          <w:lang w:bidi="ar"/>
        </w:rPr>
      </w:pPr>
    </w:p>
    <w:p w14:paraId="2021F9C4">
      <w:pPr>
        <w:pStyle w:val="31"/>
        <w:rPr>
          <w:rFonts w:ascii="宋体" w:hAnsi="宋体" w:cs="宋体"/>
          <w:color w:val="auto"/>
          <w:szCs w:val="21"/>
          <w:highlight w:val="none"/>
          <w:lang w:bidi="ar"/>
        </w:rPr>
      </w:pPr>
    </w:p>
    <w:p w14:paraId="7A01E26A">
      <w:pPr>
        <w:rPr>
          <w:rFonts w:ascii="宋体" w:hAnsi="宋体" w:cs="宋体"/>
          <w:color w:val="auto"/>
          <w:szCs w:val="21"/>
          <w:highlight w:val="none"/>
          <w:lang w:bidi="ar"/>
        </w:rPr>
      </w:pPr>
    </w:p>
    <w:p w14:paraId="75DCFC66">
      <w:pPr>
        <w:pStyle w:val="4"/>
        <w:rPr>
          <w:rFonts w:ascii="宋体" w:hAnsi="宋体" w:cs="宋体"/>
          <w:color w:val="auto"/>
          <w:szCs w:val="21"/>
          <w:highlight w:val="none"/>
          <w:lang w:bidi="ar"/>
        </w:rPr>
      </w:pPr>
    </w:p>
    <w:p w14:paraId="0781A8AF">
      <w:pPr>
        <w:pStyle w:val="31"/>
        <w:rPr>
          <w:rFonts w:ascii="宋体" w:hAnsi="宋体" w:cs="宋体"/>
          <w:color w:val="auto"/>
          <w:szCs w:val="21"/>
          <w:highlight w:val="none"/>
          <w:lang w:bidi="ar"/>
        </w:rPr>
      </w:pPr>
    </w:p>
    <w:p w14:paraId="43666058">
      <w:pPr>
        <w:rPr>
          <w:rFonts w:ascii="宋体" w:hAnsi="宋体" w:cs="宋体"/>
          <w:color w:val="auto"/>
          <w:szCs w:val="21"/>
          <w:highlight w:val="none"/>
          <w:lang w:bidi="ar"/>
        </w:rPr>
      </w:pPr>
    </w:p>
    <w:p w14:paraId="0D1C695F">
      <w:pPr>
        <w:pStyle w:val="4"/>
        <w:rPr>
          <w:rFonts w:ascii="宋体" w:hAnsi="宋体" w:cs="宋体"/>
          <w:color w:val="auto"/>
          <w:szCs w:val="21"/>
          <w:highlight w:val="none"/>
          <w:lang w:bidi="ar"/>
        </w:rPr>
      </w:pPr>
    </w:p>
    <w:p w14:paraId="38268C6F">
      <w:pPr>
        <w:pStyle w:val="31"/>
        <w:rPr>
          <w:rFonts w:ascii="宋体" w:hAnsi="宋体" w:cs="宋体"/>
          <w:color w:val="auto"/>
          <w:szCs w:val="21"/>
          <w:highlight w:val="none"/>
          <w:lang w:bidi="ar"/>
        </w:rPr>
      </w:pPr>
    </w:p>
    <w:p w14:paraId="40B7D018">
      <w:pPr>
        <w:rPr>
          <w:rFonts w:ascii="宋体" w:hAnsi="宋体" w:cs="宋体"/>
          <w:color w:val="auto"/>
          <w:szCs w:val="21"/>
          <w:highlight w:val="none"/>
          <w:lang w:bidi="ar"/>
        </w:rPr>
      </w:pPr>
    </w:p>
    <w:p w14:paraId="15A8F059">
      <w:pPr>
        <w:pStyle w:val="18"/>
        <w:rPr>
          <w:rFonts w:ascii="宋体" w:hAnsi="宋体" w:cs="宋体"/>
          <w:color w:val="auto"/>
          <w:szCs w:val="21"/>
          <w:highlight w:val="none"/>
          <w:lang w:bidi="ar"/>
        </w:rPr>
      </w:pPr>
    </w:p>
    <w:p w14:paraId="6CAB7E44">
      <w:pPr>
        <w:pStyle w:val="19"/>
        <w:rPr>
          <w:rFonts w:hAnsi="宋体" w:cs="宋体"/>
          <w:color w:val="auto"/>
          <w:szCs w:val="21"/>
          <w:highlight w:val="none"/>
          <w:lang w:bidi="ar"/>
        </w:rPr>
      </w:pPr>
    </w:p>
    <w:p w14:paraId="2E54A869">
      <w:pPr>
        <w:pStyle w:val="18"/>
        <w:rPr>
          <w:rFonts w:ascii="宋体" w:hAnsi="宋体" w:cs="宋体"/>
          <w:color w:val="auto"/>
          <w:szCs w:val="21"/>
          <w:highlight w:val="none"/>
          <w:lang w:bidi="ar"/>
        </w:rPr>
      </w:pPr>
    </w:p>
    <w:p w14:paraId="1A10CCA1">
      <w:pPr>
        <w:pStyle w:val="19"/>
        <w:rPr>
          <w:rFonts w:hAnsi="宋体" w:cs="宋体"/>
          <w:color w:val="auto"/>
          <w:szCs w:val="21"/>
          <w:highlight w:val="none"/>
          <w:lang w:bidi="ar"/>
        </w:rPr>
      </w:pPr>
    </w:p>
    <w:p w14:paraId="0C7E1895">
      <w:pPr>
        <w:pStyle w:val="18"/>
        <w:rPr>
          <w:rFonts w:ascii="宋体" w:hAnsi="宋体" w:cs="宋体"/>
          <w:color w:val="auto"/>
          <w:szCs w:val="21"/>
          <w:highlight w:val="none"/>
          <w:lang w:bidi="ar"/>
        </w:rPr>
      </w:pPr>
    </w:p>
    <w:p w14:paraId="4F0020D6">
      <w:pPr>
        <w:pStyle w:val="19"/>
        <w:rPr>
          <w:rFonts w:hAnsi="宋体" w:cs="宋体"/>
          <w:color w:val="auto"/>
          <w:szCs w:val="21"/>
          <w:highlight w:val="none"/>
          <w:lang w:bidi="ar"/>
        </w:rPr>
      </w:pPr>
    </w:p>
    <w:p w14:paraId="514271A3">
      <w:pPr>
        <w:pStyle w:val="18"/>
        <w:rPr>
          <w:rFonts w:ascii="宋体" w:hAnsi="宋体" w:cs="宋体"/>
          <w:color w:val="auto"/>
          <w:szCs w:val="21"/>
          <w:highlight w:val="none"/>
          <w:lang w:bidi="ar"/>
        </w:rPr>
      </w:pPr>
    </w:p>
    <w:p w14:paraId="190B73D0">
      <w:pPr>
        <w:pStyle w:val="19"/>
        <w:rPr>
          <w:rFonts w:hAnsi="宋体" w:cs="宋体"/>
          <w:color w:val="auto"/>
          <w:szCs w:val="21"/>
          <w:highlight w:val="none"/>
          <w:lang w:bidi="ar"/>
        </w:rPr>
      </w:pPr>
    </w:p>
    <w:p w14:paraId="22561325">
      <w:pPr>
        <w:pStyle w:val="18"/>
        <w:rPr>
          <w:rFonts w:ascii="宋体" w:hAnsi="宋体" w:cs="宋体"/>
          <w:color w:val="auto"/>
          <w:szCs w:val="21"/>
          <w:highlight w:val="none"/>
          <w:lang w:bidi="ar"/>
        </w:rPr>
      </w:pPr>
    </w:p>
    <w:p w14:paraId="7C6CED87">
      <w:pPr>
        <w:pStyle w:val="19"/>
        <w:rPr>
          <w:color w:val="auto"/>
          <w:highlight w:val="none"/>
        </w:rPr>
      </w:pPr>
    </w:p>
    <w:p w14:paraId="3FFE1322">
      <w:pPr>
        <w:rPr>
          <w:rFonts w:ascii="宋体" w:hAnsi="宋体" w:cs="宋体"/>
          <w:color w:val="auto"/>
          <w:szCs w:val="21"/>
          <w:highlight w:val="none"/>
          <w:lang w:bidi="ar"/>
        </w:rPr>
      </w:pPr>
    </w:p>
    <w:p w14:paraId="79176CF0">
      <w:pPr>
        <w:pStyle w:val="4"/>
        <w:rPr>
          <w:rFonts w:ascii="宋体" w:hAnsi="宋体" w:cs="宋体"/>
          <w:color w:val="auto"/>
          <w:szCs w:val="21"/>
          <w:highlight w:val="none"/>
          <w:lang w:bidi="ar"/>
        </w:rPr>
      </w:pPr>
    </w:p>
    <w:p w14:paraId="0C7D2B4A">
      <w:pPr>
        <w:pStyle w:val="31"/>
        <w:rPr>
          <w:rFonts w:ascii="宋体" w:hAnsi="宋体" w:cs="宋体"/>
          <w:color w:val="auto"/>
          <w:szCs w:val="21"/>
          <w:highlight w:val="none"/>
          <w:lang w:bidi="ar"/>
        </w:rPr>
      </w:pPr>
    </w:p>
    <w:p w14:paraId="36C9FC68">
      <w:pPr>
        <w:rPr>
          <w:rFonts w:ascii="宋体" w:hAnsi="宋体" w:cs="宋体"/>
          <w:color w:val="auto"/>
          <w:szCs w:val="21"/>
          <w:highlight w:val="none"/>
          <w:lang w:bidi="ar"/>
        </w:rPr>
      </w:pPr>
    </w:p>
    <w:p w14:paraId="1360C922">
      <w:pPr>
        <w:pStyle w:val="16"/>
        <w:ind w:firstLine="560"/>
        <w:rPr>
          <w:rFonts w:ascii="宋体" w:hAnsi="宋体" w:cs="宋体"/>
          <w:color w:val="auto"/>
          <w:szCs w:val="21"/>
          <w:highlight w:val="none"/>
          <w:lang w:bidi="ar"/>
        </w:rPr>
      </w:pPr>
    </w:p>
    <w:p w14:paraId="08D2E54C">
      <w:pPr>
        <w:rPr>
          <w:rFonts w:ascii="宋体" w:hAnsi="宋体" w:cs="宋体"/>
          <w:color w:val="auto"/>
          <w:szCs w:val="21"/>
          <w:highlight w:val="none"/>
          <w:lang w:bidi="ar"/>
        </w:rPr>
      </w:pPr>
    </w:p>
    <w:p w14:paraId="199F7CD6">
      <w:pPr>
        <w:pStyle w:val="16"/>
        <w:ind w:firstLine="560"/>
        <w:rPr>
          <w:rFonts w:ascii="宋体" w:hAnsi="宋体" w:cs="宋体"/>
          <w:color w:val="auto"/>
          <w:szCs w:val="21"/>
          <w:highlight w:val="none"/>
          <w:lang w:bidi="ar"/>
        </w:rPr>
      </w:pPr>
    </w:p>
    <w:p w14:paraId="790D3BA6">
      <w:pPr>
        <w:pStyle w:val="159"/>
        <w:ind w:right="42" w:rightChars="20"/>
        <w:rPr>
          <w:rFonts w:asciiTheme="minorEastAsia" w:hAnsiTheme="minorEastAsia" w:eastAsiaTheme="minorEastAsia"/>
          <w:color w:val="auto"/>
          <w:highlight w:val="none"/>
        </w:rPr>
      </w:pPr>
    </w:p>
    <w:p w14:paraId="348E6DB5">
      <w:pPr>
        <w:pStyle w:val="159"/>
        <w:ind w:right="42" w:rightChars="20"/>
        <w:rPr>
          <w:rFonts w:cs="微软雅黑" w:asciiTheme="minorEastAsia" w:hAnsiTheme="minorEastAsia" w:eastAsiaTheme="minorEastAsia"/>
          <w:color w:val="auto"/>
          <w:sz w:val="36"/>
          <w:highlight w:val="none"/>
        </w:rPr>
      </w:pPr>
      <w:r>
        <w:rPr>
          <w:rFonts w:hint="eastAsia" w:asciiTheme="minorEastAsia" w:hAnsiTheme="minorEastAsia" w:eastAsiaTheme="minorEastAsia"/>
          <w:color w:val="auto"/>
          <w:highlight w:val="none"/>
        </w:rPr>
        <w:t>第三章  投标人须知</w:t>
      </w:r>
      <w:bookmarkEnd w:id="10"/>
      <w:bookmarkEnd w:id="11"/>
      <w:bookmarkEnd w:id="12"/>
    </w:p>
    <w:p w14:paraId="369A74D9">
      <w:pPr>
        <w:spacing w:line="360" w:lineRule="auto"/>
        <w:ind w:right="42" w:rightChars="20" w:firstLine="562" w:firstLineChars="200"/>
        <w:jc w:val="center"/>
        <w:rPr>
          <w:rFonts w:asciiTheme="minorEastAsia" w:hAnsiTheme="minorEastAsia" w:eastAsiaTheme="minorEastAsia"/>
          <w:b/>
          <w:bCs/>
          <w:color w:val="auto"/>
          <w:sz w:val="28"/>
          <w:szCs w:val="28"/>
          <w:highlight w:val="none"/>
        </w:rPr>
      </w:pPr>
      <w:bookmarkStart w:id="14" w:name="_Toc177870535"/>
      <w:bookmarkStart w:id="15" w:name="_Toc493511543"/>
      <w:bookmarkStart w:id="16" w:name="_Toc17413"/>
      <w:bookmarkStart w:id="17" w:name="_Toc50012816"/>
      <w:r>
        <w:rPr>
          <w:rFonts w:hint="eastAsia" w:cs="宋体" w:asciiTheme="minorEastAsia" w:hAnsiTheme="minorEastAsia" w:eastAsiaTheme="minorEastAsia"/>
          <w:b/>
          <w:bCs/>
          <w:color w:val="auto"/>
          <w:sz w:val="28"/>
          <w:szCs w:val="28"/>
          <w:highlight w:val="none"/>
        </w:rPr>
        <w:t>电子交易注意事项</w:t>
      </w:r>
    </w:p>
    <w:p w14:paraId="602CFC02">
      <w:pPr>
        <w:spacing w:line="360" w:lineRule="auto"/>
        <w:ind w:right="42" w:rightChars="20" w:firstLine="210" w:firstLineChars="100"/>
        <w:jc w:val="left"/>
        <w:rPr>
          <w:rFonts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　政府采购项目电子交易活动适用《浙江省政府采购项目电子交易管理暂行办法》，现将相关注意事项告知如下：</w:t>
      </w:r>
    </w:p>
    <w:p w14:paraId="00838DA9">
      <w:pPr>
        <w:spacing w:line="360" w:lineRule="auto"/>
        <w:ind w:right="42" w:rightChars="20" w:firstLine="210" w:firstLineChars="100"/>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1.集中采购机构按照招标文件规定的时间通过电子交易平台组织开标、开启投标文件、开启报价文件，所有投标人均应当准时在线参加，直至评审结束。</w:t>
      </w:r>
    </w:p>
    <w:p w14:paraId="3289FADD">
      <w:pPr>
        <w:pStyle w:val="48"/>
        <w:spacing w:beforeAutospacing="0" w:afterAutospacing="0" w:line="360" w:lineRule="auto"/>
        <w:ind w:right="42" w:rightChars="20" w:firstLine="210" w:firstLineChars="100"/>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　2. 投标文件未按时解密，投标人如提供备份投标文件的，以符合要求的备份投标文件作为依据，否则视为投标文件撤回。投标文件已按时解密的，备份投标文件自动失效。</w:t>
      </w:r>
    </w:p>
    <w:p w14:paraId="0005823B">
      <w:pPr>
        <w:pStyle w:val="48"/>
        <w:spacing w:beforeAutospacing="0" w:afterAutospacing="0" w:line="360" w:lineRule="auto"/>
        <w:ind w:right="42" w:rightChars="20" w:firstLine="210" w:firstLineChars="100"/>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　3. 采购过程中出现以下情形，导致电子交易平台无法正常运行，或者无法保证电子交易的公平、公正和安全时，集中采购机构可中止电子交易活动：</w:t>
      </w:r>
    </w:p>
    <w:p w14:paraId="373F1DA4">
      <w:pPr>
        <w:pStyle w:val="48"/>
        <w:spacing w:beforeAutospacing="0" w:afterAutospacing="0" w:line="360" w:lineRule="auto"/>
        <w:ind w:right="42" w:rightChars="20" w:firstLine="645"/>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（一）电子交易平台发生故障而无法登录访问的； </w:t>
      </w:r>
    </w:p>
    <w:p w14:paraId="2DA8BE37">
      <w:pPr>
        <w:pStyle w:val="48"/>
        <w:spacing w:beforeAutospacing="0" w:afterAutospacing="0" w:line="360" w:lineRule="auto"/>
        <w:ind w:right="42" w:rightChars="20" w:firstLine="645"/>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（二）电子交易平台应用或数据库出现错误，不能进行正常操作的；</w:t>
      </w:r>
    </w:p>
    <w:p w14:paraId="389F9050">
      <w:pPr>
        <w:pStyle w:val="48"/>
        <w:spacing w:beforeAutospacing="0" w:afterAutospacing="0" w:line="360" w:lineRule="auto"/>
        <w:ind w:right="42" w:rightChars="20" w:firstLine="645"/>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（三）电子交易平台发现严重安全漏洞，有潜在泄密危险的；</w:t>
      </w:r>
    </w:p>
    <w:p w14:paraId="0242F2CF">
      <w:pPr>
        <w:pStyle w:val="48"/>
        <w:spacing w:beforeAutospacing="0" w:afterAutospacing="0" w:line="360" w:lineRule="auto"/>
        <w:ind w:right="42" w:rightChars="20" w:firstLine="645"/>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（四）病毒发作导致不能进行正常操作的； </w:t>
      </w:r>
    </w:p>
    <w:p w14:paraId="5B0EA42A">
      <w:pPr>
        <w:pStyle w:val="48"/>
        <w:spacing w:beforeAutospacing="0" w:afterAutospacing="0" w:line="360" w:lineRule="auto"/>
        <w:ind w:right="42" w:rightChars="20" w:firstLine="645"/>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（五）其他无法保证电子交易的公平、公正和安全的情况。</w:t>
      </w:r>
    </w:p>
    <w:p w14:paraId="3750C87C">
      <w:pPr>
        <w:pStyle w:val="48"/>
        <w:spacing w:beforeAutospacing="0" w:afterAutospacing="0" w:line="360" w:lineRule="auto"/>
        <w:ind w:right="42" w:rightChars="20" w:firstLine="210"/>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出现前款规定情形，不影响采购公平、公正性的，集中采购机构可以待上述情形消除后继续组织电子交易活动，也可以决定某些环节以纸质形式进行；影响或可能影响采购公平、公正性的，应当重新采购。</w:t>
      </w:r>
    </w:p>
    <w:p w14:paraId="7C130CD2">
      <w:pPr>
        <w:spacing w:line="360" w:lineRule="auto"/>
        <w:ind w:right="42" w:rightChars="20" w:firstLine="420" w:firstLineChars="200"/>
        <w:jc w:val="left"/>
        <w:outlineLvl w:val="1"/>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4.评审中需要投标人对投标文件作出澄清、说明或者补正的，评审小组和投标人应当通过电子交易平台交换数据电文。投标人需在半小时内提交澄清说明或补正，投标人已经明确表示澄清说明或补正完毕的除外。</w:t>
      </w:r>
    </w:p>
    <w:p w14:paraId="1E74C5FD">
      <w:pPr>
        <w:spacing w:line="360" w:lineRule="auto"/>
        <w:ind w:right="42" w:rightChars="20" w:firstLine="422" w:firstLineChars="200"/>
        <w:jc w:val="left"/>
        <w:outlineLvl w:val="1"/>
        <w:rPr>
          <w:rFonts w:cs="宋体" w:asciiTheme="minorEastAsia" w:hAnsiTheme="minorEastAsia" w:eastAsiaTheme="minorEastAsia"/>
          <w:color w:val="auto"/>
          <w:szCs w:val="21"/>
          <w:highlight w:val="none"/>
          <w:shd w:val="clear" w:color="auto" w:fill="FFFFFF"/>
        </w:rPr>
      </w:pPr>
      <w:r>
        <w:rPr>
          <w:rFonts w:hint="eastAsia" w:ascii="微软雅黑" w:hAnsi="微软雅黑" w:cs="宋体"/>
          <w:b/>
          <w:color w:val="auto"/>
          <w:kern w:val="0"/>
          <w:szCs w:val="21"/>
          <w:highlight w:val="none"/>
          <w:shd w:val="clear" w:color="auto" w:fill="FFFFFF"/>
        </w:rPr>
        <w:t>5.供应商须在代理机构宣布评审结束、产生中标候选人期间时刻关注项目政采云，配合专家组工作，如有询标（澄清、质疑），在30分钟内（具体时间以询标函上规定的时间为准备）通过ＣＡ进行回复。过期不按要求回复，视为默认原投标文件内容。</w:t>
      </w:r>
    </w:p>
    <w:p w14:paraId="310CFA06">
      <w:pPr>
        <w:pStyle w:val="96"/>
        <w:rPr>
          <w:color w:val="auto"/>
          <w:highlight w:val="none"/>
        </w:rPr>
      </w:pPr>
    </w:p>
    <w:p w14:paraId="5B8201FD">
      <w:pPr>
        <w:pStyle w:val="96"/>
        <w:rPr>
          <w:color w:val="auto"/>
          <w:highlight w:val="none"/>
        </w:rPr>
      </w:pPr>
    </w:p>
    <w:p w14:paraId="44162F75">
      <w:pPr>
        <w:spacing w:line="360" w:lineRule="auto"/>
        <w:ind w:right="42" w:rightChars="20" w:firstLine="422" w:firstLineChars="200"/>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前附表</w:t>
      </w:r>
      <w:bookmarkEnd w:id="14"/>
      <w:bookmarkEnd w:id="15"/>
      <w:bookmarkEnd w:id="16"/>
      <w:bookmarkEnd w:id="17"/>
    </w:p>
    <w:tbl>
      <w:tblPr>
        <w:tblStyle w:val="52"/>
        <w:tblW w:w="9288" w:type="dxa"/>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77"/>
        <w:gridCol w:w="8511"/>
      </w:tblGrid>
      <w:tr w14:paraId="76471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777" w:type="dxa"/>
            <w:tcBorders>
              <w:top w:val="single" w:color="auto" w:sz="4" w:space="0"/>
              <w:left w:val="single" w:color="auto" w:sz="4" w:space="0"/>
              <w:bottom w:val="single" w:color="auto" w:sz="4" w:space="0"/>
              <w:right w:val="single" w:color="auto" w:sz="4" w:space="0"/>
            </w:tcBorders>
            <w:vAlign w:val="center"/>
          </w:tcPr>
          <w:p w14:paraId="0993B571">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序号</w:t>
            </w:r>
          </w:p>
        </w:tc>
        <w:tc>
          <w:tcPr>
            <w:tcW w:w="8511" w:type="dxa"/>
            <w:tcBorders>
              <w:top w:val="single" w:color="auto" w:sz="4" w:space="0"/>
              <w:left w:val="single" w:color="auto" w:sz="4" w:space="0"/>
              <w:bottom w:val="single" w:color="auto" w:sz="4" w:space="0"/>
              <w:right w:val="single" w:color="auto" w:sz="4" w:space="0"/>
            </w:tcBorders>
            <w:vAlign w:val="center"/>
          </w:tcPr>
          <w:p w14:paraId="57240FDA">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内容、要求</w:t>
            </w:r>
          </w:p>
        </w:tc>
      </w:tr>
      <w:tr w14:paraId="277D0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777" w:type="dxa"/>
            <w:tcBorders>
              <w:top w:val="single" w:color="auto" w:sz="4" w:space="0"/>
              <w:left w:val="single" w:color="auto" w:sz="4" w:space="0"/>
              <w:bottom w:val="single" w:color="auto" w:sz="4" w:space="0"/>
              <w:right w:val="single" w:color="auto" w:sz="4" w:space="0"/>
            </w:tcBorders>
            <w:vAlign w:val="center"/>
          </w:tcPr>
          <w:p w14:paraId="5ADAB5DA">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w:t>
            </w:r>
          </w:p>
        </w:tc>
        <w:tc>
          <w:tcPr>
            <w:tcW w:w="8511" w:type="dxa"/>
            <w:tcBorders>
              <w:top w:val="single" w:color="auto" w:sz="4" w:space="0"/>
              <w:left w:val="single" w:color="auto" w:sz="4" w:space="0"/>
              <w:bottom w:val="single" w:color="auto" w:sz="4" w:space="0"/>
              <w:right w:val="single" w:color="auto" w:sz="4" w:space="0"/>
            </w:tcBorders>
            <w:vAlign w:val="center"/>
          </w:tcPr>
          <w:p w14:paraId="6C10CC7D">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项目名称：</w:t>
            </w:r>
            <w:r>
              <w:rPr>
                <w:rFonts w:hint="eastAsia" w:cs="微软雅黑" w:asciiTheme="minorEastAsia" w:hAnsiTheme="minorEastAsia" w:eastAsiaTheme="minorEastAsia"/>
                <w:b/>
                <w:color w:val="auto"/>
                <w:szCs w:val="21"/>
                <w:highlight w:val="none"/>
              </w:rPr>
              <w:t>秀洲区宁静小区建设项目</w:t>
            </w:r>
          </w:p>
        </w:tc>
      </w:tr>
      <w:tr w14:paraId="05996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777" w:type="dxa"/>
            <w:tcBorders>
              <w:top w:val="single" w:color="auto" w:sz="4" w:space="0"/>
              <w:left w:val="single" w:color="auto" w:sz="4" w:space="0"/>
              <w:bottom w:val="single" w:color="auto" w:sz="4" w:space="0"/>
              <w:right w:val="single" w:color="auto" w:sz="4" w:space="0"/>
            </w:tcBorders>
            <w:vAlign w:val="center"/>
          </w:tcPr>
          <w:p w14:paraId="785DB9B4">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w:t>
            </w:r>
          </w:p>
        </w:tc>
        <w:tc>
          <w:tcPr>
            <w:tcW w:w="8511" w:type="dxa"/>
            <w:tcBorders>
              <w:top w:val="single" w:color="auto" w:sz="4" w:space="0"/>
              <w:left w:val="single" w:color="auto" w:sz="4" w:space="0"/>
              <w:bottom w:val="single" w:color="auto" w:sz="4" w:space="0"/>
              <w:right w:val="single" w:color="auto" w:sz="4" w:space="0"/>
            </w:tcBorders>
            <w:vAlign w:val="center"/>
          </w:tcPr>
          <w:p w14:paraId="0791766D">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招标编号：大地-DDZX-JX（2024）第63号   采购计划文号：</w:t>
            </w:r>
            <w:r>
              <w:rPr>
                <w:rFonts w:hint="eastAsia" w:cs="微软雅黑" w:asciiTheme="minorEastAsia" w:hAnsiTheme="minorEastAsia" w:eastAsiaTheme="minorEastAsia"/>
                <w:color w:val="auto"/>
                <w:szCs w:val="21"/>
                <w:highlight w:val="none"/>
              </w:rPr>
              <w:fldChar w:fldCharType="begin"/>
            </w:r>
            <w:r>
              <w:rPr>
                <w:rFonts w:hint="eastAsia" w:cs="微软雅黑" w:asciiTheme="minorEastAsia" w:hAnsiTheme="minorEastAsia" w:eastAsiaTheme="minorEastAsia"/>
                <w:color w:val="auto"/>
                <w:szCs w:val="21"/>
                <w:highlight w:val="none"/>
              </w:rPr>
              <w:instrText xml:space="preserve"> HYPERLINK "https://pay.zcygov.cn/purchaseplan_front/" \l "/plan/list/view?id=1000000000014447791&amp;_app_=zcy.procurement" \t "https://www.zcygov.cn/delegation-order/_procurement_/order/_blank" </w:instrText>
            </w:r>
            <w:r>
              <w:rPr>
                <w:rFonts w:hint="eastAsia" w:cs="微软雅黑" w:asciiTheme="minorEastAsia" w:hAnsiTheme="minorEastAsia" w:eastAsiaTheme="minorEastAsia"/>
                <w:color w:val="auto"/>
                <w:szCs w:val="21"/>
                <w:highlight w:val="none"/>
              </w:rPr>
              <w:fldChar w:fldCharType="separate"/>
            </w:r>
            <w:r>
              <w:rPr>
                <w:rFonts w:hint="eastAsia" w:cs="微软雅黑" w:asciiTheme="minorEastAsia" w:hAnsiTheme="minorEastAsia" w:eastAsiaTheme="minorEastAsia"/>
                <w:color w:val="auto"/>
                <w:szCs w:val="21"/>
                <w:highlight w:val="none"/>
              </w:rPr>
              <w:t>临[2024]1462号</w:t>
            </w:r>
            <w:r>
              <w:rPr>
                <w:rFonts w:hint="eastAsia" w:cs="微软雅黑" w:asciiTheme="minorEastAsia" w:hAnsiTheme="minorEastAsia" w:eastAsiaTheme="minorEastAsia"/>
                <w:color w:val="auto"/>
                <w:szCs w:val="21"/>
                <w:highlight w:val="none"/>
              </w:rPr>
              <w:fldChar w:fldCharType="end"/>
            </w:r>
            <w:r>
              <w:rPr>
                <w:rFonts w:hint="eastAsia" w:cs="微软雅黑" w:asciiTheme="minorEastAsia" w:hAnsiTheme="minorEastAsia" w:eastAsiaTheme="minorEastAsia"/>
                <w:color w:val="auto"/>
                <w:szCs w:val="21"/>
                <w:highlight w:val="none"/>
              </w:rPr>
              <w:t xml:space="preserve"> </w:t>
            </w:r>
          </w:p>
        </w:tc>
      </w:tr>
      <w:tr w14:paraId="034BE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77" w:type="dxa"/>
            <w:tcBorders>
              <w:top w:val="single" w:color="auto" w:sz="4" w:space="0"/>
              <w:left w:val="single" w:color="auto" w:sz="4" w:space="0"/>
              <w:bottom w:val="single" w:color="auto" w:sz="4" w:space="0"/>
              <w:right w:val="single" w:color="auto" w:sz="4" w:space="0"/>
            </w:tcBorders>
            <w:vAlign w:val="center"/>
          </w:tcPr>
          <w:p w14:paraId="585115F5">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3</w:t>
            </w:r>
          </w:p>
        </w:tc>
        <w:tc>
          <w:tcPr>
            <w:tcW w:w="8511" w:type="dxa"/>
            <w:tcBorders>
              <w:top w:val="single" w:color="auto" w:sz="4" w:space="0"/>
              <w:left w:val="single" w:color="auto" w:sz="4" w:space="0"/>
              <w:bottom w:val="single" w:color="auto" w:sz="4" w:space="0"/>
              <w:right w:val="single" w:color="auto" w:sz="4" w:space="0"/>
            </w:tcBorders>
            <w:vAlign w:val="center"/>
          </w:tcPr>
          <w:p w14:paraId="384575E6">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投标报价及费用：1、本项目投标应以人民币报价；2、不论投标结果如何，投标人均应自行承担所有与投标有关的全部费用。</w:t>
            </w:r>
          </w:p>
        </w:tc>
      </w:tr>
      <w:tr w14:paraId="15ED3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77" w:type="dxa"/>
            <w:tcBorders>
              <w:top w:val="single" w:color="auto" w:sz="4" w:space="0"/>
              <w:left w:val="single" w:color="auto" w:sz="4" w:space="0"/>
              <w:bottom w:val="single" w:color="auto" w:sz="4" w:space="0"/>
              <w:right w:val="single" w:color="auto" w:sz="4" w:space="0"/>
            </w:tcBorders>
            <w:vAlign w:val="center"/>
          </w:tcPr>
          <w:p w14:paraId="33450684">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4</w:t>
            </w:r>
          </w:p>
        </w:tc>
        <w:tc>
          <w:tcPr>
            <w:tcW w:w="8511" w:type="dxa"/>
            <w:tcBorders>
              <w:top w:val="single" w:color="auto" w:sz="4" w:space="0"/>
              <w:left w:val="single" w:color="auto" w:sz="4" w:space="0"/>
              <w:bottom w:val="single" w:color="auto" w:sz="4" w:space="0"/>
              <w:right w:val="single" w:color="auto" w:sz="4" w:space="0"/>
            </w:tcBorders>
            <w:vAlign w:val="center"/>
          </w:tcPr>
          <w:p w14:paraId="13FF73BC">
            <w:pPr>
              <w:spacing w:line="360" w:lineRule="auto"/>
              <w:contextualSpacing/>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w:t>
            </w:r>
            <w:r>
              <w:rPr>
                <w:rFonts w:hint="eastAsia" w:asciiTheme="minorEastAsia" w:hAnsiTheme="minorEastAsia" w:eastAsiaTheme="minorEastAsia"/>
                <w:b/>
                <w:bCs/>
                <w:color w:val="auto"/>
                <w:szCs w:val="21"/>
                <w:highlight w:val="none"/>
              </w:rPr>
              <w:t>预算金额：700000元，投标报价超过预算价的作无效标处理。。</w:t>
            </w:r>
          </w:p>
        </w:tc>
      </w:tr>
      <w:tr w14:paraId="5D4DD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777" w:type="dxa"/>
            <w:tcBorders>
              <w:top w:val="single" w:color="auto" w:sz="4" w:space="0"/>
              <w:left w:val="single" w:color="auto" w:sz="4" w:space="0"/>
              <w:bottom w:val="single" w:color="auto" w:sz="4" w:space="0"/>
              <w:right w:val="single" w:color="auto" w:sz="4" w:space="0"/>
            </w:tcBorders>
            <w:vAlign w:val="center"/>
          </w:tcPr>
          <w:p w14:paraId="7B380F4A">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5</w:t>
            </w:r>
          </w:p>
        </w:tc>
        <w:tc>
          <w:tcPr>
            <w:tcW w:w="8511" w:type="dxa"/>
            <w:tcBorders>
              <w:top w:val="single" w:color="auto" w:sz="4" w:space="0"/>
              <w:left w:val="single" w:color="auto" w:sz="4" w:space="0"/>
              <w:bottom w:val="single" w:color="auto" w:sz="4" w:space="0"/>
              <w:right w:val="single" w:color="auto" w:sz="4" w:space="0"/>
            </w:tcBorders>
            <w:vAlign w:val="center"/>
          </w:tcPr>
          <w:p w14:paraId="031A58D4">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投标保证金：无</w:t>
            </w:r>
          </w:p>
        </w:tc>
      </w:tr>
      <w:tr w14:paraId="088BE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77" w:type="dxa"/>
            <w:tcBorders>
              <w:top w:val="single" w:color="auto" w:sz="4" w:space="0"/>
              <w:left w:val="single" w:color="auto" w:sz="4" w:space="0"/>
              <w:bottom w:val="single" w:color="auto" w:sz="4" w:space="0"/>
              <w:right w:val="single" w:color="auto" w:sz="4" w:space="0"/>
            </w:tcBorders>
            <w:vAlign w:val="center"/>
          </w:tcPr>
          <w:p w14:paraId="698E3E21">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6</w:t>
            </w:r>
          </w:p>
        </w:tc>
        <w:tc>
          <w:tcPr>
            <w:tcW w:w="8511" w:type="dxa"/>
            <w:tcBorders>
              <w:top w:val="single" w:color="auto" w:sz="4" w:space="0"/>
              <w:left w:val="single" w:color="auto" w:sz="4" w:space="0"/>
              <w:bottom w:val="single" w:color="auto" w:sz="4" w:space="0"/>
              <w:right w:val="single" w:color="auto" w:sz="4" w:space="0"/>
            </w:tcBorders>
            <w:vAlign w:val="center"/>
          </w:tcPr>
          <w:p w14:paraId="7FB61284">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现场踏勘：自行踏勘（费用自理）</w:t>
            </w:r>
          </w:p>
        </w:tc>
      </w:tr>
      <w:tr w14:paraId="61B4B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77" w:type="dxa"/>
            <w:tcBorders>
              <w:top w:val="single" w:color="auto" w:sz="4" w:space="0"/>
              <w:left w:val="single" w:color="auto" w:sz="4" w:space="0"/>
              <w:bottom w:val="single" w:color="auto" w:sz="4" w:space="0"/>
              <w:right w:val="single" w:color="auto" w:sz="4" w:space="0"/>
            </w:tcBorders>
            <w:vAlign w:val="center"/>
          </w:tcPr>
          <w:p w14:paraId="3402C3E1">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7</w:t>
            </w:r>
          </w:p>
        </w:tc>
        <w:tc>
          <w:tcPr>
            <w:tcW w:w="8511" w:type="dxa"/>
            <w:tcBorders>
              <w:top w:val="single" w:color="auto" w:sz="4" w:space="0"/>
              <w:left w:val="single" w:color="auto" w:sz="4" w:space="0"/>
              <w:bottom w:val="single" w:color="auto" w:sz="4" w:space="0"/>
              <w:right w:val="single" w:color="auto" w:sz="4" w:space="0"/>
            </w:tcBorders>
            <w:vAlign w:val="center"/>
          </w:tcPr>
          <w:p w14:paraId="29F97926">
            <w:pPr>
              <w:snapToGrid w:val="0"/>
              <w:spacing w:line="360" w:lineRule="auto"/>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演示及样品：</w:t>
            </w:r>
            <w:r>
              <w:rPr>
                <w:rFonts w:hint="eastAsia" w:ascii="宋体" w:hAnsi="宋体" w:cs="微软雅黑"/>
                <w:color w:val="auto"/>
                <w:szCs w:val="21"/>
                <w:highlight w:val="none"/>
              </w:rPr>
              <w:t>样品有，样品要求详见采购需求</w:t>
            </w:r>
          </w:p>
          <w:p w14:paraId="3231A50E">
            <w:pPr>
              <w:snapToGrid w:val="0"/>
              <w:spacing w:line="360" w:lineRule="auto"/>
              <w:ind w:right="42" w:rightChars="20"/>
              <w:rPr>
                <w:rFonts w:cs="微软雅黑" w:asciiTheme="minorEastAsia" w:hAnsiTheme="minorEastAsia"/>
                <w:color w:val="auto"/>
                <w:szCs w:val="21"/>
                <w:highlight w:val="none"/>
              </w:rPr>
            </w:pPr>
            <w:r>
              <w:rPr>
                <w:rFonts w:hint="eastAsia" w:ascii="宋体" w:hAnsi="宋体" w:cs="微软雅黑"/>
                <w:color w:val="auto"/>
                <w:szCs w:val="21"/>
                <w:highlight w:val="none"/>
              </w:rPr>
              <w:t>演示时间及地点：无</w:t>
            </w:r>
          </w:p>
        </w:tc>
      </w:tr>
      <w:tr w14:paraId="12948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 w:hRule="atLeast"/>
        </w:trPr>
        <w:tc>
          <w:tcPr>
            <w:tcW w:w="777" w:type="dxa"/>
            <w:tcBorders>
              <w:top w:val="single" w:color="auto" w:sz="4" w:space="0"/>
              <w:left w:val="single" w:color="auto" w:sz="4" w:space="0"/>
              <w:bottom w:val="single" w:color="auto" w:sz="4" w:space="0"/>
              <w:right w:val="single" w:color="auto" w:sz="4" w:space="0"/>
            </w:tcBorders>
            <w:vAlign w:val="center"/>
          </w:tcPr>
          <w:p w14:paraId="0628F5A1">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8</w:t>
            </w:r>
          </w:p>
        </w:tc>
        <w:tc>
          <w:tcPr>
            <w:tcW w:w="8511" w:type="dxa"/>
            <w:tcBorders>
              <w:top w:val="single" w:color="auto" w:sz="4" w:space="0"/>
              <w:left w:val="single" w:color="auto" w:sz="4" w:space="0"/>
              <w:bottom w:val="single" w:color="auto" w:sz="4" w:space="0"/>
              <w:right w:val="single" w:color="auto" w:sz="4" w:space="0"/>
            </w:tcBorders>
            <w:vAlign w:val="center"/>
          </w:tcPr>
          <w:p w14:paraId="3B88F99B">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答疑与澄清：无</w:t>
            </w:r>
          </w:p>
        </w:tc>
      </w:tr>
      <w:tr w14:paraId="26C96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77" w:type="dxa"/>
            <w:tcBorders>
              <w:top w:val="single" w:color="auto" w:sz="4" w:space="0"/>
              <w:left w:val="single" w:color="auto" w:sz="4" w:space="0"/>
              <w:bottom w:val="single" w:color="auto" w:sz="4" w:space="0"/>
              <w:right w:val="single" w:color="auto" w:sz="4" w:space="0"/>
            </w:tcBorders>
            <w:vAlign w:val="center"/>
          </w:tcPr>
          <w:p w14:paraId="0E42B55C">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9</w:t>
            </w:r>
          </w:p>
        </w:tc>
        <w:tc>
          <w:tcPr>
            <w:tcW w:w="8511" w:type="dxa"/>
            <w:tcBorders>
              <w:top w:val="single" w:color="auto" w:sz="4" w:space="0"/>
              <w:left w:val="single" w:color="auto" w:sz="4" w:space="0"/>
              <w:bottom w:val="single" w:color="auto" w:sz="4" w:space="0"/>
              <w:right w:val="single" w:color="auto" w:sz="4" w:space="0"/>
            </w:tcBorders>
            <w:vAlign w:val="center"/>
          </w:tcPr>
          <w:p w14:paraId="28EC6785">
            <w:pPr>
              <w:autoSpaceDE w:val="0"/>
              <w:autoSpaceDN w:val="0"/>
              <w:snapToGrid w:val="0"/>
              <w:spacing w:line="360" w:lineRule="auto"/>
              <w:ind w:right="42" w:rightChars="20"/>
              <w:jc w:val="left"/>
              <w:textAlignment w:val="bottom"/>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投标文件组成：</w:t>
            </w:r>
            <w:r>
              <w:rPr>
                <w:rFonts w:hint="eastAsia" w:cs="微软雅黑" w:asciiTheme="minorEastAsia" w:hAnsiTheme="minorEastAsia" w:eastAsiaTheme="minorEastAsia"/>
                <w:bCs/>
                <w:color w:val="auto"/>
                <w:szCs w:val="21"/>
                <w:highlight w:val="none"/>
              </w:rPr>
              <w:t>完整的《投标文件》由</w:t>
            </w:r>
            <w:r>
              <w:rPr>
                <w:rFonts w:hint="eastAsia" w:cs="微软雅黑" w:asciiTheme="minorEastAsia" w:hAnsiTheme="minorEastAsia" w:eastAsiaTheme="minorEastAsia"/>
                <w:b/>
                <w:color w:val="auto"/>
                <w:szCs w:val="21"/>
                <w:highlight w:val="none"/>
              </w:rPr>
              <w:t>资格投标文件、商务技术文件、报价文件三部份组成</w:t>
            </w:r>
            <w:r>
              <w:rPr>
                <w:rFonts w:hint="eastAsia" w:cs="微软雅黑" w:asciiTheme="minorEastAsia" w:hAnsiTheme="minorEastAsia" w:eastAsiaTheme="minorEastAsia"/>
                <w:bCs/>
                <w:color w:val="auto"/>
                <w:szCs w:val="21"/>
                <w:highlight w:val="none"/>
              </w:rPr>
              <w:t>。样品要求详见第二章采购需求。</w:t>
            </w:r>
          </w:p>
        </w:tc>
      </w:tr>
      <w:tr w14:paraId="39645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77" w:type="dxa"/>
            <w:tcBorders>
              <w:top w:val="single" w:color="auto" w:sz="4" w:space="0"/>
              <w:left w:val="single" w:color="auto" w:sz="4" w:space="0"/>
              <w:bottom w:val="single" w:color="auto" w:sz="4" w:space="0"/>
              <w:right w:val="single" w:color="auto" w:sz="4" w:space="0"/>
            </w:tcBorders>
            <w:vAlign w:val="center"/>
          </w:tcPr>
          <w:p w14:paraId="5E337FB1">
            <w:pPr>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10</w:t>
            </w:r>
          </w:p>
        </w:tc>
        <w:tc>
          <w:tcPr>
            <w:tcW w:w="8511" w:type="dxa"/>
            <w:tcBorders>
              <w:top w:val="single" w:color="auto" w:sz="4" w:space="0"/>
              <w:left w:val="single" w:color="auto" w:sz="4" w:space="0"/>
              <w:bottom w:val="single" w:color="auto" w:sz="4" w:space="0"/>
              <w:right w:val="single" w:color="auto" w:sz="4" w:space="0"/>
            </w:tcBorders>
            <w:vAlign w:val="center"/>
          </w:tcPr>
          <w:p w14:paraId="5B438817">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投标文件的编制：投标人应先安装“政采云电子交易客户端”，并按照本招标文件和“政府采购云平台”的要求，通过“政采云电子交易客户端”编制并加密投标文件。</w:t>
            </w:r>
          </w:p>
        </w:tc>
      </w:tr>
      <w:tr w14:paraId="401E8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77" w:type="dxa"/>
            <w:tcBorders>
              <w:top w:val="single" w:color="auto" w:sz="4" w:space="0"/>
              <w:left w:val="single" w:color="auto" w:sz="4" w:space="0"/>
              <w:bottom w:val="single" w:color="auto" w:sz="4" w:space="0"/>
              <w:right w:val="single" w:color="auto" w:sz="4" w:space="0"/>
            </w:tcBorders>
            <w:vAlign w:val="center"/>
          </w:tcPr>
          <w:p w14:paraId="38BF3963">
            <w:pPr>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11</w:t>
            </w:r>
          </w:p>
        </w:tc>
        <w:tc>
          <w:tcPr>
            <w:tcW w:w="8511" w:type="dxa"/>
            <w:tcBorders>
              <w:top w:val="single" w:color="auto" w:sz="4" w:space="0"/>
              <w:left w:val="single" w:color="auto" w:sz="4" w:space="0"/>
              <w:bottom w:val="single" w:color="auto" w:sz="4" w:space="0"/>
              <w:right w:val="single" w:color="auto" w:sz="4" w:space="0"/>
            </w:tcBorders>
            <w:vAlign w:val="center"/>
          </w:tcPr>
          <w:p w14:paraId="6B7FFB63">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投标文件的签章：电子签章。</w:t>
            </w:r>
          </w:p>
        </w:tc>
      </w:tr>
      <w:tr w14:paraId="532AD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77" w:type="dxa"/>
            <w:tcBorders>
              <w:top w:val="single" w:color="auto" w:sz="4" w:space="0"/>
              <w:left w:val="single" w:color="auto" w:sz="4" w:space="0"/>
              <w:bottom w:val="single" w:color="auto" w:sz="4" w:space="0"/>
              <w:right w:val="single" w:color="auto" w:sz="4" w:space="0"/>
            </w:tcBorders>
            <w:vAlign w:val="center"/>
          </w:tcPr>
          <w:p w14:paraId="466E449A">
            <w:pPr>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12</w:t>
            </w:r>
          </w:p>
        </w:tc>
        <w:tc>
          <w:tcPr>
            <w:tcW w:w="8511" w:type="dxa"/>
            <w:tcBorders>
              <w:top w:val="single" w:color="auto" w:sz="4" w:space="0"/>
              <w:left w:val="single" w:color="auto" w:sz="4" w:space="0"/>
              <w:bottom w:val="single" w:color="auto" w:sz="4" w:space="0"/>
              <w:right w:val="single" w:color="auto" w:sz="4" w:space="0"/>
            </w:tcBorders>
            <w:vAlign w:val="center"/>
          </w:tcPr>
          <w:p w14:paraId="34880DF5">
            <w:pPr>
              <w:spacing w:line="360" w:lineRule="auto"/>
              <w:ind w:right="42" w:rightChars="20"/>
              <w:jc w:val="left"/>
              <w:rPr>
                <w:rFonts w:cs="微软雅黑" w:asciiTheme="minorEastAsia" w:hAnsiTheme="minorEastAsia" w:eastAsiaTheme="minorEastAsia"/>
                <w:bCs/>
                <w:color w:val="auto"/>
                <w:szCs w:val="21"/>
                <w:highlight w:val="none"/>
              </w:rPr>
            </w:pPr>
            <w:r>
              <w:rPr>
                <w:rFonts w:hint="eastAsia" w:cs="微软雅黑" w:asciiTheme="minorEastAsia" w:hAnsiTheme="minorEastAsia" w:eastAsiaTheme="minorEastAsia"/>
                <w:color w:val="auto"/>
                <w:szCs w:val="21"/>
                <w:highlight w:val="none"/>
              </w:rPr>
              <w:t>投标文件的形式：</w:t>
            </w:r>
            <w:r>
              <w:rPr>
                <w:rFonts w:hint="eastAsia" w:ascii="MS Mincho" w:hAnsi="MS Mincho" w:eastAsia="MS Mincho" w:cs="MS Mincho"/>
                <w:bCs/>
                <w:color w:val="auto"/>
                <w:szCs w:val="21"/>
                <w:highlight w:val="none"/>
              </w:rPr>
              <w:t>☑</w:t>
            </w:r>
            <w:r>
              <w:rPr>
                <w:rFonts w:hint="eastAsia" w:ascii="宋体" w:hAnsi="宋体" w:cs="宋体"/>
                <w:bCs/>
                <w:color w:val="auto"/>
                <w:szCs w:val="21"/>
                <w:highlight w:val="none"/>
              </w:rPr>
              <w:t>电子投标文件（包括“电子加密投标文件”和“备份投标文件”，在投标文件编制完成后同时生成）；</w:t>
            </w:r>
          </w:p>
          <w:p w14:paraId="09F88AA4">
            <w:pPr>
              <w:spacing w:line="360" w:lineRule="auto"/>
              <w:ind w:right="42" w:rightChars="20"/>
              <w:jc w:val="left"/>
              <w:rPr>
                <w:rFonts w:cs="微软雅黑" w:asciiTheme="minorEastAsia" w:hAnsiTheme="minorEastAsia" w:eastAsiaTheme="minorEastAsia"/>
                <w:bCs/>
                <w:color w:val="auto"/>
                <w:szCs w:val="21"/>
                <w:highlight w:val="none"/>
              </w:rPr>
            </w:pPr>
            <w:r>
              <w:rPr>
                <w:rFonts w:hint="eastAsia" w:cs="微软雅黑" w:asciiTheme="minorEastAsia" w:hAnsiTheme="minorEastAsia" w:eastAsiaTheme="minorEastAsia"/>
                <w:bCs/>
                <w:color w:val="auto"/>
                <w:szCs w:val="21"/>
                <w:highlight w:val="none"/>
              </w:rPr>
              <w:t>（1）“电子加密投标文件”是指通过“政采云电子交易客户端”完成投标文件编制后生成并加密的数据电文形式的投标文件。</w:t>
            </w:r>
          </w:p>
          <w:p w14:paraId="52E0C953">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bCs/>
                <w:color w:val="auto"/>
                <w:szCs w:val="21"/>
                <w:highlight w:val="none"/>
              </w:rPr>
              <w:t>（2）“备份投标文件”是指与“电子加密投标文件”同时生成的数据电文形式的电子文件（备份标书），其他方式编制的备份投标文件视为无效备份投标文件。</w:t>
            </w:r>
          </w:p>
        </w:tc>
      </w:tr>
      <w:tr w14:paraId="654E7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77" w:type="dxa"/>
            <w:tcBorders>
              <w:top w:val="single" w:color="auto" w:sz="4" w:space="0"/>
              <w:left w:val="single" w:color="auto" w:sz="4" w:space="0"/>
              <w:bottom w:val="single" w:color="auto" w:sz="4" w:space="0"/>
              <w:right w:val="single" w:color="auto" w:sz="4" w:space="0"/>
            </w:tcBorders>
            <w:vAlign w:val="center"/>
          </w:tcPr>
          <w:p w14:paraId="103C4140">
            <w:pPr>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13</w:t>
            </w:r>
          </w:p>
        </w:tc>
        <w:tc>
          <w:tcPr>
            <w:tcW w:w="8511" w:type="dxa"/>
            <w:tcBorders>
              <w:top w:val="single" w:color="auto" w:sz="4" w:space="0"/>
              <w:left w:val="single" w:color="auto" w:sz="4" w:space="0"/>
              <w:bottom w:val="single" w:color="auto" w:sz="4" w:space="0"/>
              <w:right w:val="single" w:color="auto" w:sz="4" w:space="0"/>
            </w:tcBorders>
            <w:vAlign w:val="center"/>
          </w:tcPr>
          <w:p w14:paraId="4CCC683E">
            <w:pPr>
              <w:spacing w:line="360" w:lineRule="auto"/>
              <w:ind w:right="42" w:rightChars="20" w:firstLine="420" w:firstLineChars="20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投标文件份数：</w:t>
            </w:r>
            <w:r>
              <w:rPr>
                <w:rFonts w:hint="eastAsia" w:cs="微软雅黑" w:asciiTheme="minorEastAsia" w:hAnsiTheme="minorEastAsia" w:eastAsiaTheme="minorEastAsia"/>
                <w:bCs/>
                <w:color w:val="auto"/>
                <w:szCs w:val="21"/>
                <w:highlight w:val="none"/>
              </w:rPr>
              <w:t>（1）“电子加密投标文件”：在线上传递交、一份。（2）“备份投标文件”：密封包装后（邮寄形式）投标截止时间前递交一份（邮寄地址：嘉兴市洪波路1200号万豪广场12楼1204号大地工程咨询有限公司（杨丽莉  电话：0573-82133572）。</w:t>
            </w:r>
          </w:p>
        </w:tc>
      </w:tr>
      <w:tr w14:paraId="58499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77" w:type="dxa"/>
            <w:tcBorders>
              <w:top w:val="single" w:color="auto" w:sz="4" w:space="0"/>
              <w:left w:val="single" w:color="auto" w:sz="4" w:space="0"/>
              <w:bottom w:val="single" w:color="auto" w:sz="4" w:space="0"/>
              <w:right w:val="single" w:color="auto" w:sz="4" w:space="0"/>
            </w:tcBorders>
            <w:vAlign w:val="center"/>
          </w:tcPr>
          <w:p w14:paraId="4CC6C96E">
            <w:pPr>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14</w:t>
            </w:r>
          </w:p>
        </w:tc>
        <w:tc>
          <w:tcPr>
            <w:tcW w:w="8511" w:type="dxa"/>
            <w:tcBorders>
              <w:top w:val="single" w:color="auto" w:sz="4" w:space="0"/>
              <w:left w:val="single" w:color="auto" w:sz="4" w:space="0"/>
              <w:bottom w:val="single" w:color="auto" w:sz="4" w:space="0"/>
              <w:right w:val="single" w:color="auto" w:sz="4" w:space="0"/>
            </w:tcBorders>
            <w:vAlign w:val="center"/>
          </w:tcPr>
          <w:p w14:paraId="0C60081A">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投标文件的上传和递交：</w:t>
            </w:r>
          </w:p>
          <w:p w14:paraId="5364D6F9">
            <w:pPr>
              <w:spacing w:line="360" w:lineRule="auto"/>
              <w:ind w:right="42" w:rightChars="20"/>
              <w:jc w:val="left"/>
              <w:rPr>
                <w:rFonts w:cs="微软雅黑" w:asciiTheme="minorEastAsia" w:hAnsiTheme="minorEastAsia" w:eastAsiaTheme="minorEastAsia"/>
                <w:bCs/>
                <w:color w:val="auto"/>
                <w:szCs w:val="21"/>
                <w:highlight w:val="none"/>
              </w:rPr>
            </w:pPr>
            <w:r>
              <w:rPr>
                <w:rFonts w:hint="eastAsia" w:cs="微软雅黑" w:asciiTheme="minorEastAsia" w:hAnsiTheme="minorEastAsia" w:eastAsiaTheme="minorEastAsia"/>
                <w:bCs/>
                <w:color w:val="auto"/>
                <w:szCs w:val="21"/>
                <w:highlight w:val="none"/>
              </w:rPr>
              <w:t>（1）“电子加密投标文件”的上传、递交：</w:t>
            </w:r>
          </w:p>
          <w:p w14:paraId="121CC098">
            <w:pPr>
              <w:spacing w:line="360" w:lineRule="auto"/>
              <w:ind w:right="42" w:rightChars="20" w:firstLine="420" w:firstLineChars="200"/>
              <w:jc w:val="left"/>
              <w:rPr>
                <w:rFonts w:cs="微软雅黑" w:asciiTheme="minorEastAsia" w:hAnsiTheme="minorEastAsia" w:eastAsiaTheme="minorEastAsia"/>
                <w:bCs/>
                <w:color w:val="auto"/>
                <w:szCs w:val="21"/>
                <w:highlight w:val="none"/>
              </w:rPr>
            </w:pPr>
            <w:r>
              <w:rPr>
                <w:rFonts w:hint="eastAsia" w:cs="微软雅黑" w:asciiTheme="minorEastAsia" w:hAnsiTheme="minorEastAsia" w:eastAsiaTheme="minorEastAsia"/>
                <w:bCs/>
                <w:color w:val="auto"/>
                <w:szCs w:val="21"/>
                <w:highlight w:val="none"/>
              </w:rPr>
              <w:t>a.投标人应在投标截止时间前将“电子加密投标文件”成功上传递交至“政府采购云平台”，否则投标无效。</w:t>
            </w:r>
          </w:p>
          <w:p w14:paraId="3C70B709">
            <w:pPr>
              <w:spacing w:line="360" w:lineRule="auto"/>
              <w:ind w:right="42" w:rightChars="20" w:firstLine="420" w:firstLineChars="200"/>
              <w:jc w:val="left"/>
              <w:rPr>
                <w:rFonts w:cs="微软雅黑" w:asciiTheme="minorEastAsia" w:hAnsiTheme="minorEastAsia" w:eastAsiaTheme="minorEastAsia"/>
                <w:bCs/>
                <w:color w:val="auto"/>
                <w:szCs w:val="21"/>
                <w:highlight w:val="none"/>
              </w:rPr>
            </w:pPr>
            <w:r>
              <w:rPr>
                <w:rFonts w:hint="eastAsia" w:cs="微软雅黑" w:asciiTheme="minorEastAsia" w:hAnsiTheme="minorEastAsia" w:eastAsiaTheme="minorEastAsia"/>
                <w:bCs/>
                <w:color w:val="auto"/>
                <w:szCs w:val="21"/>
                <w:highlight w:val="none"/>
              </w:rPr>
              <w:t>b.“电子加密投标文件”成功上传递交后，投标人可自行打印投标文件接收回执。</w:t>
            </w:r>
          </w:p>
          <w:p w14:paraId="255D66FD">
            <w:pPr>
              <w:spacing w:line="360" w:lineRule="auto"/>
              <w:ind w:right="42" w:rightChars="20"/>
              <w:jc w:val="left"/>
              <w:rPr>
                <w:rFonts w:cs="微软雅黑" w:asciiTheme="minorEastAsia" w:hAnsiTheme="minorEastAsia" w:eastAsiaTheme="minorEastAsia"/>
                <w:bCs/>
                <w:color w:val="auto"/>
                <w:szCs w:val="21"/>
                <w:highlight w:val="none"/>
              </w:rPr>
            </w:pPr>
            <w:r>
              <w:rPr>
                <w:rFonts w:hint="eastAsia" w:cs="微软雅黑" w:asciiTheme="minorEastAsia" w:hAnsiTheme="minorEastAsia" w:eastAsiaTheme="minorEastAsia"/>
                <w:bCs/>
                <w:color w:val="auto"/>
                <w:szCs w:val="21"/>
                <w:highlight w:val="none"/>
              </w:rPr>
              <w:t>（2）“备份投标文件”的密封包装、递交：</w:t>
            </w:r>
          </w:p>
          <w:p w14:paraId="4141D86B">
            <w:pPr>
              <w:spacing w:line="360" w:lineRule="auto"/>
              <w:ind w:right="42" w:rightChars="20" w:firstLine="420" w:firstLineChars="200"/>
              <w:jc w:val="left"/>
              <w:rPr>
                <w:rFonts w:cs="微软雅黑" w:asciiTheme="minorEastAsia" w:hAnsiTheme="minorEastAsia" w:eastAsiaTheme="minorEastAsia"/>
                <w:bCs/>
                <w:color w:val="auto"/>
                <w:szCs w:val="21"/>
                <w:highlight w:val="none"/>
              </w:rPr>
            </w:pPr>
            <w:r>
              <w:rPr>
                <w:rFonts w:hint="eastAsia" w:cs="微软雅黑" w:asciiTheme="minorEastAsia" w:hAnsiTheme="minorEastAsia" w:eastAsiaTheme="minorEastAsia"/>
                <w:bCs/>
                <w:color w:val="auto"/>
                <w:szCs w:val="21"/>
                <w:highlight w:val="none"/>
              </w:rPr>
              <w:t>a.投标人在“政府采购云平台”完成“电子加密投标文件”的上传递交后，还可以（邮寄形式）在投标截止时间前递交以介质（U盘）存储的 “备份投标文件”（一份）；</w:t>
            </w:r>
          </w:p>
          <w:p w14:paraId="1B11B5BA">
            <w:pPr>
              <w:spacing w:line="360" w:lineRule="auto"/>
              <w:ind w:right="42" w:rightChars="20" w:firstLine="422" w:firstLineChars="200"/>
              <w:jc w:val="left"/>
              <w:rPr>
                <w:rFonts w:cs="微软雅黑" w:asciiTheme="minorEastAsia" w:hAnsiTheme="minorEastAsia" w:eastAsiaTheme="minorEastAsia"/>
                <w:b/>
                <w:bCs/>
                <w:color w:val="auto"/>
                <w:szCs w:val="21"/>
                <w:highlight w:val="none"/>
              </w:rPr>
            </w:pPr>
            <w:r>
              <w:rPr>
                <w:rFonts w:hint="eastAsia" w:cs="微软雅黑" w:asciiTheme="minorEastAsia" w:hAnsiTheme="minorEastAsia" w:eastAsiaTheme="minorEastAsia"/>
                <w:b/>
                <w:bCs/>
                <w:color w:val="auto"/>
                <w:szCs w:val="21"/>
                <w:highlight w:val="none"/>
              </w:rPr>
              <w:t>b.“备份投标文件”应当密封包装，并在包装上标注投标项目名称、投标单位名称并加盖公章。没有密封包装或者逾期邮寄送达至上述邮寄地点的“备份投标文件”将不予接收；（非强制递交）</w:t>
            </w:r>
          </w:p>
          <w:p w14:paraId="2F67F21E">
            <w:pPr>
              <w:spacing w:line="360" w:lineRule="auto"/>
              <w:ind w:right="42" w:rightChars="20" w:firstLine="420" w:firstLineChars="20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bCs/>
                <w:color w:val="auto"/>
                <w:szCs w:val="21"/>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1B7E8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77" w:type="dxa"/>
            <w:tcBorders>
              <w:top w:val="single" w:color="auto" w:sz="4" w:space="0"/>
              <w:left w:val="single" w:color="auto" w:sz="4" w:space="0"/>
              <w:bottom w:val="single" w:color="auto" w:sz="4" w:space="0"/>
              <w:right w:val="single" w:color="auto" w:sz="4" w:space="0"/>
            </w:tcBorders>
            <w:vAlign w:val="center"/>
          </w:tcPr>
          <w:p w14:paraId="48D3A630">
            <w:pPr>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15</w:t>
            </w:r>
          </w:p>
        </w:tc>
        <w:tc>
          <w:tcPr>
            <w:tcW w:w="8511" w:type="dxa"/>
            <w:tcBorders>
              <w:top w:val="single" w:color="auto" w:sz="4" w:space="0"/>
              <w:left w:val="single" w:color="auto" w:sz="4" w:space="0"/>
              <w:bottom w:val="single" w:color="auto" w:sz="4" w:space="0"/>
              <w:right w:val="single" w:color="auto" w:sz="4" w:space="0"/>
            </w:tcBorders>
            <w:vAlign w:val="center"/>
          </w:tcPr>
          <w:p w14:paraId="1ABBA496">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电子加密投标文件的解密和异常情况处理：</w:t>
            </w:r>
          </w:p>
          <w:p w14:paraId="3746D865">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（1）开标后，采购组织机构将向各投标人发出“电子加密投标文件”的解密通知，各投标人代表应当在接到解密通知后30分钟内自行完成“电子加密投标文件”的在线解密。</w:t>
            </w:r>
          </w:p>
          <w:p w14:paraId="3418B51F">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385D3686">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（3）投标截止时间前，投标人仅递交了“备份投标文件”而未将电子加密投标文件上传至“政府采购云平台”的，投标无效。</w:t>
            </w:r>
          </w:p>
        </w:tc>
      </w:tr>
      <w:tr w14:paraId="2D3A9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77" w:type="dxa"/>
            <w:tcBorders>
              <w:top w:val="single" w:color="auto" w:sz="4" w:space="0"/>
              <w:left w:val="single" w:color="auto" w:sz="4" w:space="0"/>
              <w:bottom w:val="single" w:color="auto" w:sz="4" w:space="0"/>
              <w:right w:val="single" w:color="auto" w:sz="4" w:space="0"/>
            </w:tcBorders>
            <w:vAlign w:val="center"/>
          </w:tcPr>
          <w:p w14:paraId="10AD58C6">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16</w:t>
            </w:r>
          </w:p>
        </w:tc>
        <w:tc>
          <w:tcPr>
            <w:tcW w:w="8511" w:type="dxa"/>
            <w:tcBorders>
              <w:top w:val="single" w:color="auto" w:sz="4" w:space="0"/>
              <w:left w:val="single" w:color="auto" w:sz="4" w:space="0"/>
              <w:bottom w:val="single" w:color="auto" w:sz="4" w:space="0"/>
              <w:right w:val="single" w:color="auto" w:sz="4" w:space="0"/>
            </w:tcBorders>
            <w:vAlign w:val="center"/>
          </w:tcPr>
          <w:p w14:paraId="3C72EC45">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投标截止时间及地点：</w:t>
            </w:r>
            <w:r>
              <w:rPr>
                <w:rFonts w:hint="eastAsia" w:asciiTheme="minorEastAsia" w:hAnsiTheme="minorEastAsia" w:eastAsiaTheme="minorEastAsia" w:cstheme="minorEastAsia"/>
                <w:color w:val="auto"/>
                <w:sz w:val="21"/>
                <w:szCs w:val="21"/>
                <w:highlight w:val="none"/>
              </w:rPr>
              <w:t xml:space="preserve">2024年 </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 xml:space="preserve">月 </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 xml:space="preserve">日 </w:t>
            </w:r>
            <w:r>
              <w:rPr>
                <w:rFonts w:hint="eastAsia" w:asciiTheme="minorEastAsia" w:hAnsiTheme="minorEastAsia" w:eastAsiaTheme="minorEastAsia" w:cstheme="minorEastAsia"/>
                <w:color w:val="auto"/>
                <w:sz w:val="21"/>
                <w:szCs w:val="21"/>
                <w:highlight w:val="none"/>
                <w:lang w:val="en-US" w:eastAsia="zh-CN"/>
              </w:rPr>
              <w:t>14</w:t>
            </w:r>
            <w:r>
              <w:rPr>
                <w:rFonts w:hint="eastAsia" w:asciiTheme="minorEastAsia" w:hAnsiTheme="minorEastAsia" w:eastAsiaTheme="minorEastAsia" w:cstheme="minorEastAsia"/>
                <w:color w:val="auto"/>
                <w:sz w:val="21"/>
                <w:szCs w:val="21"/>
                <w:highlight w:val="none"/>
              </w:rPr>
              <w:t>:00</w:t>
            </w:r>
          </w:p>
          <w:p w14:paraId="0D8709D1">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 xml:space="preserve">                     政采云线上投标</w:t>
            </w:r>
          </w:p>
        </w:tc>
      </w:tr>
      <w:tr w14:paraId="6B225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777" w:type="dxa"/>
            <w:tcBorders>
              <w:top w:val="single" w:color="auto" w:sz="4" w:space="0"/>
              <w:left w:val="single" w:color="auto" w:sz="4" w:space="0"/>
              <w:bottom w:val="single" w:color="auto" w:sz="4" w:space="0"/>
              <w:right w:val="single" w:color="auto" w:sz="4" w:space="0"/>
            </w:tcBorders>
            <w:vAlign w:val="center"/>
          </w:tcPr>
          <w:p w14:paraId="2717AF5D">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17</w:t>
            </w:r>
          </w:p>
        </w:tc>
        <w:tc>
          <w:tcPr>
            <w:tcW w:w="8511" w:type="dxa"/>
            <w:tcBorders>
              <w:top w:val="single" w:color="auto" w:sz="4" w:space="0"/>
              <w:left w:val="single" w:color="auto" w:sz="4" w:space="0"/>
              <w:bottom w:val="single" w:color="auto" w:sz="4" w:space="0"/>
              <w:right w:val="single" w:color="auto" w:sz="4" w:space="0"/>
            </w:tcBorders>
            <w:vAlign w:val="center"/>
          </w:tcPr>
          <w:p w14:paraId="3908F198">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开标时间及地点：</w:t>
            </w:r>
            <w:r>
              <w:rPr>
                <w:rFonts w:hint="eastAsia" w:asciiTheme="minorEastAsia" w:hAnsiTheme="minorEastAsia" w:eastAsiaTheme="minorEastAsia" w:cstheme="minorEastAsia"/>
                <w:color w:val="auto"/>
                <w:sz w:val="21"/>
                <w:szCs w:val="21"/>
                <w:highlight w:val="none"/>
              </w:rPr>
              <w:t xml:space="preserve">2024年 </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 xml:space="preserve">月 </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 xml:space="preserve">日 </w:t>
            </w:r>
            <w:r>
              <w:rPr>
                <w:rFonts w:hint="eastAsia" w:asciiTheme="minorEastAsia" w:hAnsiTheme="minorEastAsia" w:eastAsiaTheme="minorEastAsia" w:cstheme="minorEastAsia"/>
                <w:color w:val="auto"/>
                <w:sz w:val="21"/>
                <w:szCs w:val="21"/>
                <w:highlight w:val="none"/>
                <w:lang w:val="en-US" w:eastAsia="zh-CN"/>
              </w:rPr>
              <w:t>14</w:t>
            </w:r>
            <w:r>
              <w:rPr>
                <w:rFonts w:hint="eastAsia" w:asciiTheme="minorEastAsia" w:hAnsiTheme="minorEastAsia" w:eastAsiaTheme="minorEastAsia" w:cstheme="minorEastAsia"/>
                <w:color w:val="auto"/>
                <w:sz w:val="21"/>
                <w:szCs w:val="21"/>
                <w:highlight w:val="none"/>
              </w:rPr>
              <w:t>:00</w:t>
            </w:r>
          </w:p>
          <w:p w14:paraId="6668C62C">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开标地点（线下）：嘉兴市洪波路1200号万豪广场12楼1204号 </w:t>
            </w:r>
          </w:p>
        </w:tc>
      </w:tr>
      <w:tr w14:paraId="0DA46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77" w:type="dxa"/>
            <w:tcBorders>
              <w:top w:val="single" w:color="auto" w:sz="4" w:space="0"/>
              <w:left w:val="single" w:color="auto" w:sz="4" w:space="0"/>
              <w:bottom w:val="single" w:color="auto" w:sz="4" w:space="0"/>
              <w:right w:val="single" w:color="auto" w:sz="4" w:space="0"/>
            </w:tcBorders>
            <w:vAlign w:val="center"/>
          </w:tcPr>
          <w:p w14:paraId="14774E41">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18</w:t>
            </w:r>
          </w:p>
        </w:tc>
        <w:tc>
          <w:tcPr>
            <w:tcW w:w="8511" w:type="dxa"/>
            <w:tcBorders>
              <w:top w:val="single" w:color="auto" w:sz="4" w:space="0"/>
              <w:left w:val="single" w:color="auto" w:sz="4" w:space="0"/>
              <w:bottom w:val="single" w:color="auto" w:sz="4" w:space="0"/>
              <w:right w:val="single" w:color="auto" w:sz="4" w:space="0"/>
            </w:tcBorders>
            <w:vAlign w:val="center"/>
          </w:tcPr>
          <w:p w14:paraId="0A63334B">
            <w:pPr>
              <w:autoSpaceDE w:val="0"/>
              <w:autoSpaceDN w:val="0"/>
              <w:snapToGrid w:val="0"/>
              <w:spacing w:line="360" w:lineRule="auto"/>
              <w:ind w:right="42" w:rightChars="20"/>
              <w:jc w:val="left"/>
              <w:textAlignment w:val="bottom"/>
              <w:rPr>
                <w:rFonts w:cs="微软雅黑" w:asciiTheme="minorEastAsia" w:hAnsiTheme="minorEastAsia" w:eastAsiaTheme="minorEastAsia"/>
                <w:b/>
                <w:color w:val="auto"/>
                <w:szCs w:val="21"/>
                <w:highlight w:val="none"/>
              </w:rPr>
            </w:pPr>
            <w:r>
              <w:rPr>
                <w:rFonts w:hint="eastAsia" w:cs="微软雅黑" w:asciiTheme="minorEastAsia" w:hAnsiTheme="minorEastAsia" w:eastAsiaTheme="minorEastAsia"/>
                <w:color w:val="auto"/>
                <w:szCs w:val="21"/>
                <w:highlight w:val="none"/>
              </w:rPr>
              <w:t>投标费用：</w:t>
            </w:r>
            <w:r>
              <w:rPr>
                <w:rFonts w:hint="eastAsia"/>
                <w:color w:val="auto"/>
                <w:highlight w:val="none"/>
              </w:rPr>
              <w:t>本项目招标代理费由中标人支付，金额为5800元，中标人在领取成交通知书时一次性交纳给采购代理机构。</w:t>
            </w:r>
          </w:p>
        </w:tc>
      </w:tr>
      <w:tr w14:paraId="559A4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77" w:type="dxa"/>
            <w:tcBorders>
              <w:top w:val="single" w:color="auto" w:sz="4" w:space="0"/>
              <w:left w:val="single" w:color="auto" w:sz="4" w:space="0"/>
              <w:bottom w:val="single" w:color="auto" w:sz="4" w:space="0"/>
              <w:right w:val="single" w:color="auto" w:sz="4" w:space="0"/>
            </w:tcBorders>
            <w:vAlign w:val="center"/>
          </w:tcPr>
          <w:p w14:paraId="4DE44FB2">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19</w:t>
            </w:r>
          </w:p>
        </w:tc>
        <w:tc>
          <w:tcPr>
            <w:tcW w:w="8511" w:type="dxa"/>
            <w:tcBorders>
              <w:top w:val="single" w:color="auto" w:sz="4" w:space="0"/>
              <w:left w:val="single" w:color="auto" w:sz="4" w:space="0"/>
              <w:bottom w:val="single" w:color="auto" w:sz="4" w:space="0"/>
              <w:right w:val="single" w:color="auto" w:sz="4" w:space="0"/>
            </w:tcBorders>
            <w:vAlign w:val="center"/>
          </w:tcPr>
          <w:p w14:paraId="2034FE7D">
            <w:pPr>
              <w:autoSpaceDE w:val="0"/>
              <w:autoSpaceDN w:val="0"/>
              <w:snapToGrid w:val="0"/>
              <w:spacing w:line="360" w:lineRule="auto"/>
              <w:ind w:right="42" w:rightChars="20"/>
              <w:jc w:val="left"/>
              <w:textAlignment w:val="bottom"/>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签订合同时间：中标通知书发出后30日内。</w:t>
            </w:r>
          </w:p>
        </w:tc>
      </w:tr>
      <w:tr w14:paraId="5C163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 w:hRule="atLeast"/>
        </w:trPr>
        <w:tc>
          <w:tcPr>
            <w:tcW w:w="777" w:type="dxa"/>
            <w:tcBorders>
              <w:top w:val="single" w:color="auto" w:sz="4" w:space="0"/>
              <w:left w:val="single" w:color="auto" w:sz="4" w:space="0"/>
              <w:bottom w:val="single" w:color="auto" w:sz="4" w:space="0"/>
              <w:right w:val="single" w:color="auto" w:sz="4" w:space="0"/>
            </w:tcBorders>
            <w:vAlign w:val="center"/>
          </w:tcPr>
          <w:p w14:paraId="224C77CE">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20</w:t>
            </w:r>
          </w:p>
        </w:tc>
        <w:tc>
          <w:tcPr>
            <w:tcW w:w="8511" w:type="dxa"/>
            <w:tcBorders>
              <w:top w:val="single" w:color="auto" w:sz="4" w:space="0"/>
              <w:left w:val="single" w:color="auto" w:sz="4" w:space="0"/>
              <w:bottom w:val="single" w:color="auto" w:sz="4" w:space="0"/>
              <w:right w:val="single" w:color="auto" w:sz="4" w:space="0"/>
            </w:tcBorders>
            <w:vAlign w:val="center"/>
          </w:tcPr>
          <w:p w14:paraId="336A6258">
            <w:pPr>
              <w:autoSpaceDE w:val="0"/>
              <w:autoSpaceDN w:val="0"/>
              <w:snapToGrid w:val="0"/>
              <w:spacing w:line="360" w:lineRule="auto"/>
              <w:ind w:right="42" w:rightChars="20"/>
              <w:jc w:val="left"/>
              <w:textAlignment w:val="bottom"/>
              <w:rPr>
                <w:rFonts w:cs="微软雅黑"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履约保证金的收取及退还：无。</w:t>
            </w:r>
          </w:p>
        </w:tc>
      </w:tr>
      <w:tr w14:paraId="659255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77" w:type="dxa"/>
            <w:tcBorders>
              <w:top w:val="single" w:color="auto" w:sz="4" w:space="0"/>
              <w:left w:val="single" w:color="auto" w:sz="4" w:space="0"/>
              <w:bottom w:val="single" w:color="auto" w:sz="4" w:space="0"/>
              <w:right w:val="single" w:color="auto" w:sz="4" w:space="0"/>
            </w:tcBorders>
            <w:vAlign w:val="center"/>
          </w:tcPr>
          <w:p w14:paraId="02814D6C">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21</w:t>
            </w:r>
          </w:p>
        </w:tc>
        <w:tc>
          <w:tcPr>
            <w:tcW w:w="8511" w:type="dxa"/>
            <w:tcBorders>
              <w:top w:val="single" w:color="auto" w:sz="4" w:space="0"/>
              <w:left w:val="single" w:color="auto" w:sz="4" w:space="0"/>
              <w:bottom w:val="single" w:color="auto" w:sz="4" w:space="0"/>
              <w:right w:val="single" w:color="auto" w:sz="4" w:space="0"/>
            </w:tcBorders>
            <w:vAlign w:val="center"/>
          </w:tcPr>
          <w:p w14:paraId="00098710">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投标文件有效期：</w:t>
            </w:r>
            <w:r>
              <w:rPr>
                <w:rFonts w:hint="eastAsia" w:cs="微软雅黑" w:asciiTheme="minorEastAsia" w:hAnsiTheme="minorEastAsia" w:eastAsiaTheme="minorEastAsia"/>
                <w:color w:val="auto"/>
                <w:szCs w:val="21"/>
                <w:highlight w:val="none"/>
                <w:u w:val="single"/>
              </w:rPr>
              <w:t>60</w:t>
            </w:r>
            <w:r>
              <w:rPr>
                <w:rFonts w:hint="eastAsia" w:cs="微软雅黑" w:asciiTheme="minorEastAsia" w:hAnsiTheme="minorEastAsia" w:eastAsiaTheme="minorEastAsia"/>
                <w:color w:val="auto"/>
                <w:szCs w:val="21"/>
                <w:highlight w:val="none"/>
              </w:rPr>
              <w:t>天</w:t>
            </w:r>
          </w:p>
        </w:tc>
      </w:tr>
      <w:tr w14:paraId="73D47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77" w:type="dxa"/>
            <w:tcBorders>
              <w:top w:val="single" w:color="auto" w:sz="4" w:space="0"/>
              <w:left w:val="single" w:color="auto" w:sz="4" w:space="0"/>
              <w:bottom w:val="single" w:color="auto" w:sz="4" w:space="0"/>
              <w:right w:val="single" w:color="auto" w:sz="4" w:space="0"/>
            </w:tcBorders>
            <w:vAlign w:val="center"/>
          </w:tcPr>
          <w:p w14:paraId="1C4AC3C9">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22</w:t>
            </w:r>
          </w:p>
        </w:tc>
        <w:tc>
          <w:tcPr>
            <w:tcW w:w="8511" w:type="dxa"/>
            <w:tcBorders>
              <w:top w:val="single" w:color="auto" w:sz="4" w:space="0"/>
              <w:left w:val="single" w:color="auto" w:sz="4" w:space="0"/>
              <w:bottom w:val="single" w:color="auto" w:sz="4" w:space="0"/>
              <w:right w:val="single" w:color="auto" w:sz="4" w:space="0"/>
            </w:tcBorders>
            <w:vAlign w:val="center"/>
          </w:tcPr>
          <w:p w14:paraId="1AAD9BBA">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kern w:val="0"/>
                <w:szCs w:val="21"/>
                <w:highlight w:val="none"/>
              </w:rPr>
              <w:t>网上注册：</w:t>
            </w:r>
            <w:r>
              <w:rPr>
                <w:rFonts w:hint="eastAsia" w:cs="微软雅黑" w:asciiTheme="minorEastAsia" w:hAnsiTheme="minorEastAsia" w:eastAsiaTheme="minorEastAsia"/>
                <w:color w:val="auto"/>
                <w:kern w:val="0"/>
                <w:szCs w:val="21"/>
                <w:highlight w:val="none"/>
              </w:rPr>
              <w:br w:type="textWrapping"/>
            </w:r>
            <w:r>
              <w:rPr>
                <w:rFonts w:hint="eastAsia" w:cs="微软雅黑" w:asciiTheme="minorEastAsia" w:hAnsiTheme="minorEastAsia" w:eastAsiaTheme="minorEastAsia"/>
                <w:color w:val="auto"/>
                <w:kern w:val="0"/>
                <w:szCs w:val="21"/>
                <w:highlight w:val="none"/>
              </w:rPr>
              <w:t>本项目不接受现场报名，须注册后进行网上报名。在浙江政府采购网进行投标人注册后完成报名；（详情请见第一章公告报名及招标文件的获取）</w:t>
            </w:r>
          </w:p>
        </w:tc>
      </w:tr>
      <w:tr w14:paraId="2A822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77" w:type="dxa"/>
            <w:tcBorders>
              <w:top w:val="single" w:color="auto" w:sz="4" w:space="0"/>
              <w:left w:val="single" w:color="auto" w:sz="4" w:space="0"/>
              <w:bottom w:val="single" w:color="auto" w:sz="4" w:space="0"/>
              <w:right w:val="single" w:color="auto" w:sz="4" w:space="0"/>
            </w:tcBorders>
            <w:vAlign w:val="center"/>
          </w:tcPr>
          <w:p w14:paraId="0996EC99">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23</w:t>
            </w:r>
          </w:p>
        </w:tc>
        <w:tc>
          <w:tcPr>
            <w:tcW w:w="8511" w:type="dxa"/>
            <w:tcBorders>
              <w:top w:val="single" w:color="auto" w:sz="4" w:space="0"/>
              <w:left w:val="single" w:color="auto" w:sz="4" w:space="0"/>
              <w:bottom w:val="single" w:color="auto" w:sz="4" w:space="0"/>
              <w:right w:val="single" w:color="auto" w:sz="4" w:space="0"/>
            </w:tcBorders>
            <w:vAlign w:val="center"/>
          </w:tcPr>
          <w:p w14:paraId="7B1A74C5">
            <w:pPr>
              <w:autoSpaceDE w:val="0"/>
              <w:autoSpaceDN w:val="0"/>
              <w:snapToGrid w:val="0"/>
              <w:spacing w:line="360" w:lineRule="auto"/>
              <w:ind w:right="42" w:rightChars="20"/>
              <w:textAlignment w:val="bottom"/>
              <w:rPr>
                <w:rFonts w:cs="微软雅黑" w:asciiTheme="minorEastAsia" w:hAnsiTheme="minorEastAsia" w:eastAsiaTheme="minorEastAsia"/>
                <w:color w:val="auto"/>
                <w:kern w:val="0"/>
                <w:szCs w:val="21"/>
                <w:highlight w:val="none"/>
              </w:rPr>
            </w:pPr>
            <w:r>
              <w:rPr>
                <w:rFonts w:hint="eastAsia" w:cs="微软雅黑" w:asciiTheme="minorEastAsia" w:hAnsiTheme="minorEastAsia" w:eastAsiaTheme="minorEastAsia"/>
                <w:color w:val="auto"/>
                <w:kern w:val="0"/>
                <w:szCs w:val="21"/>
                <w:highlight w:val="none"/>
              </w:rPr>
              <w:t>信用记录：符合浙财采监【2013】24号《关于规范政府采购投标人资格设定及资格审查的通知》规定,且未被“信用中国”（www.creditchina.gov.cn）和中国政府采购网（www.ccgp.gov.cn）列入失信被执行人、重大税收违法案件当事人名单、政府采购严重违法失信行为记录名单。提供承诺（详见附件）。</w:t>
            </w:r>
          </w:p>
        </w:tc>
      </w:tr>
      <w:tr w14:paraId="137C1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77" w:type="dxa"/>
            <w:tcBorders>
              <w:top w:val="single" w:color="auto" w:sz="4" w:space="0"/>
              <w:left w:val="single" w:color="auto" w:sz="4" w:space="0"/>
              <w:bottom w:val="single" w:color="auto" w:sz="4" w:space="0"/>
              <w:right w:val="single" w:color="auto" w:sz="4" w:space="0"/>
            </w:tcBorders>
            <w:vAlign w:val="center"/>
          </w:tcPr>
          <w:p w14:paraId="58047F8B">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24</w:t>
            </w:r>
          </w:p>
        </w:tc>
        <w:tc>
          <w:tcPr>
            <w:tcW w:w="8511" w:type="dxa"/>
            <w:tcBorders>
              <w:top w:val="single" w:color="auto" w:sz="4" w:space="0"/>
              <w:left w:val="single" w:color="auto" w:sz="4" w:space="0"/>
              <w:bottom w:val="single" w:color="auto" w:sz="4" w:space="0"/>
              <w:right w:val="single" w:color="auto" w:sz="4" w:space="0"/>
            </w:tcBorders>
            <w:vAlign w:val="center"/>
          </w:tcPr>
          <w:p w14:paraId="04759946">
            <w:pPr>
              <w:spacing w:line="500" w:lineRule="exact"/>
              <w:rPr>
                <w:rFonts w:cs="微软雅黑" w:asciiTheme="minorEastAsia" w:hAnsiTheme="minorEastAsia" w:eastAsiaTheme="minorEastAsia"/>
                <w:color w:val="auto"/>
                <w:kern w:val="0"/>
                <w:szCs w:val="21"/>
                <w:highlight w:val="none"/>
              </w:rPr>
            </w:pPr>
            <w:r>
              <w:rPr>
                <w:rFonts w:hint="eastAsia" w:cs="微软雅黑" w:asciiTheme="minorEastAsia" w:hAnsiTheme="minorEastAsia" w:eastAsiaTheme="minorEastAsia"/>
                <w:color w:val="auto"/>
                <w:kern w:val="0"/>
                <w:szCs w:val="21"/>
                <w:highlight w:val="none"/>
              </w:rPr>
              <w:t>本项目为服务类采购，所属行业为其他未列明行业。</w:t>
            </w:r>
          </w:p>
          <w:p w14:paraId="5861EFB4">
            <w:pPr>
              <w:spacing w:line="500" w:lineRule="exact"/>
              <w:rPr>
                <w:color w:val="auto"/>
                <w:highlight w:val="none"/>
              </w:rPr>
            </w:pPr>
            <w:r>
              <w:rPr>
                <w:rFonts w:hint="eastAsia"/>
                <w:color w:val="auto"/>
                <w:highlight w:val="none"/>
              </w:rPr>
              <w:t>一、说明</w:t>
            </w:r>
          </w:p>
          <w:p w14:paraId="4AA681AB">
            <w:pPr>
              <w:spacing w:line="500" w:lineRule="exact"/>
              <w:rPr>
                <w:color w:val="auto"/>
                <w:highlight w:val="none"/>
              </w:rPr>
            </w:pPr>
            <w:r>
              <w:rPr>
                <w:rFonts w:hint="eastAsia"/>
                <w:color w:val="auto"/>
                <w:highlight w:val="none"/>
              </w:rPr>
              <w:t>中小企业</w:t>
            </w:r>
          </w:p>
          <w:p w14:paraId="65068DFE">
            <w:pPr>
              <w:spacing w:line="500" w:lineRule="exact"/>
              <w:rPr>
                <w:color w:val="auto"/>
                <w:highlight w:val="none"/>
              </w:rPr>
            </w:pPr>
            <w:r>
              <w:rPr>
                <w:rFonts w:hint="eastAsia"/>
                <w:color w:val="auto"/>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12222B8">
            <w:pPr>
              <w:spacing w:line="500" w:lineRule="exact"/>
              <w:rPr>
                <w:color w:val="auto"/>
                <w:highlight w:val="none"/>
              </w:rPr>
            </w:pPr>
            <w:r>
              <w:rPr>
                <w:rFonts w:hint="eastAsia"/>
                <w:color w:val="auto"/>
                <w:highlight w:val="none"/>
              </w:rPr>
              <w:t>符合中小企业划分标准的个体工商户，在政府采购活动中视同中小企业。</w:t>
            </w:r>
          </w:p>
          <w:p w14:paraId="0C5C0A2A">
            <w:pPr>
              <w:spacing w:line="500" w:lineRule="exact"/>
              <w:rPr>
                <w:color w:val="auto"/>
                <w:highlight w:val="none"/>
              </w:rPr>
            </w:pPr>
            <w:r>
              <w:rPr>
                <w:rFonts w:hint="eastAsia"/>
                <w:color w:val="auto"/>
                <w:highlight w:val="none"/>
              </w:rPr>
              <w:t>在政府采购活动中，供应商提供的货物、工程或者服务符合下列情形的，享受本办法规定的中小企业扶持政策：</w:t>
            </w:r>
          </w:p>
          <w:p w14:paraId="280B6EC8">
            <w:pPr>
              <w:spacing w:line="500" w:lineRule="exact"/>
              <w:rPr>
                <w:color w:val="auto"/>
                <w:highlight w:val="none"/>
              </w:rPr>
            </w:pPr>
            <w:r>
              <w:rPr>
                <w:rFonts w:hint="eastAsia"/>
                <w:color w:val="auto"/>
                <w:highlight w:val="none"/>
              </w:rPr>
              <w:t>(一)在货物采购项目中，货物由中小企业制造，即货物由中小企业生产且使用该中小企业商号或者注册商标；</w:t>
            </w:r>
          </w:p>
          <w:p w14:paraId="592584E1">
            <w:pPr>
              <w:spacing w:line="500" w:lineRule="exact"/>
              <w:rPr>
                <w:color w:val="auto"/>
                <w:highlight w:val="none"/>
              </w:rPr>
            </w:pPr>
            <w:r>
              <w:rPr>
                <w:rFonts w:hint="eastAsia"/>
                <w:color w:val="auto"/>
                <w:highlight w:val="none"/>
              </w:rPr>
              <w:t>(二)在工程采购项目中，工程由中小企业承建，即工程施工单位为中小企业；</w:t>
            </w:r>
          </w:p>
          <w:p w14:paraId="0AE8D699">
            <w:pPr>
              <w:spacing w:line="500" w:lineRule="exact"/>
              <w:rPr>
                <w:color w:val="auto"/>
                <w:highlight w:val="none"/>
              </w:rPr>
            </w:pPr>
            <w:r>
              <w:rPr>
                <w:rFonts w:hint="eastAsia"/>
                <w:color w:val="auto"/>
                <w:highlight w:val="none"/>
              </w:rPr>
              <w:t>(三)在服务采购项目中，服务由中小企业承接，即提供服务的人员为中小企业依照《中华人民共和国民法典》订立劳动合同的从业人员。</w:t>
            </w:r>
          </w:p>
          <w:p w14:paraId="40829DE6">
            <w:pPr>
              <w:spacing w:line="500" w:lineRule="exact"/>
              <w:rPr>
                <w:color w:val="auto"/>
                <w:highlight w:val="none"/>
              </w:rPr>
            </w:pPr>
            <w:r>
              <w:rPr>
                <w:rFonts w:hint="eastAsia"/>
                <w:color w:val="auto"/>
                <w:highlight w:val="none"/>
              </w:rPr>
              <w:t>在货物采购项目中，供应商提供的货物既有中小企业制造货物，也有大型企业制造货物的，不享受本办法规定的中小企业扶持政策。</w:t>
            </w:r>
          </w:p>
          <w:p w14:paraId="08A19B2A">
            <w:pPr>
              <w:spacing w:line="500" w:lineRule="exact"/>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14:paraId="28B48115">
            <w:pPr>
              <w:spacing w:line="500" w:lineRule="exact"/>
              <w:rPr>
                <w:color w:val="auto"/>
                <w:highlight w:val="none"/>
              </w:rPr>
            </w:pPr>
            <w:r>
              <w:rPr>
                <w:rFonts w:hint="eastAsia"/>
                <w:color w:val="auto"/>
                <w:highlight w:val="none"/>
              </w:rPr>
              <w:t>残疾人福利性单位</w:t>
            </w:r>
          </w:p>
          <w:p w14:paraId="09CAF864">
            <w:pPr>
              <w:spacing w:line="500" w:lineRule="exact"/>
              <w:rPr>
                <w:color w:val="auto"/>
                <w:highlight w:val="none"/>
              </w:rPr>
            </w:pPr>
            <w:r>
              <w:rPr>
                <w:rFonts w:hint="eastAsia"/>
                <w:color w:val="auto"/>
                <w:highlight w:val="none"/>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14:paraId="49532478">
            <w:pPr>
              <w:spacing w:line="500" w:lineRule="exact"/>
              <w:rPr>
                <w:color w:val="auto"/>
                <w:highlight w:val="none"/>
              </w:rPr>
            </w:pPr>
            <w:r>
              <w:rPr>
                <w:rFonts w:hint="eastAsia"/>
                <w:color w:val="auto"/>
                <w:highlight w:val="none"/>
              </w:rPr>
              <w:t>监狱企业</w:t>
            </w:r>
          </w:p>
          <w:p w14:paraId="53A51F97">
            <w:pPr>
              <w:autoSpaceDE w:val="0"/>
              <w:autoSpaceDN w:val="0"/>
              <w:snapToGrid w:val="0"/>
              <w:spacing w:line="360" w:lineRule="auto"/>
              <w:ind w:right="42" w:rightChars="20"/>
              <w:textAlignment w:val="bottom"/>
              <w:rPr>
                <w:rFonts w:cs="微软雅黑" w:asciiTheme="minorEastAsia" w:hAnsiTheme="minorEastAsia" w:eastAsiaTheme="minorEastAsia"/>
                <w:color w:val="auto"/>
                <w:kern w:val="0"/>
                <w:szCs w:val="21"/>
                <w:highlight w:val="none"/>
              </w:rPr>
            </w:pPr>
            <w:r>
              <w:rPr>
                <w:rFonts w:hint="eastAsia"/>
                <w:color w:val="auto"/>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tc>
      </w:tr>
      <w:tr w14:paraId="14703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77" w:type="dxa"/>
            <w:tcBorders>
              <w:top w:val="single" w:color="auto" w:sz="4" w:space="0"/>
              <w:left w:val="single" w:color="auto" w:sz="4" w:space="0"/>
              <w:bottom w:val="single" w:color="auto" w:sz="4" w:space="0"/>
              <w:right w:val="single" w:color="auto" w:sz="4" w:space="0"/>
            </w:tcBorders>
            <w:vAlign w:val="center"/>
          </w:tcPr>
          <w:p w14:paraId="1C57F1B4">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25</w:t>
            </w:r>
          </w:p>
        </w:tc>
        <w:tc>
          <w:tcPr>
            <w:tcW w:w="8511" w:type="dxa"/>
            <w:tcBorders>
              <w:top w:val="single" w:color="auto" w:sz="4" w:space="0"/>
              <w:left w:val="single" w:color="auto" w:sz="4" w:space="0"/>
              <w:bottom w:val="single" w:color="auto" w:sz="4" w:space="0"/>
              <w:right w:val="single" w:color="auto" w:sz="4" w:space="0"/>
            </w:tcBorders>
            <w:vAlign w:val="center"/>
          </w:tcPr>
          <w:p w14:paraId="4E90E4B9">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解释：本招标文件的解释权属于招标采购单位。</w:t>
            </w:r>
          </w:p>
        </w:tc>
      </w:tr>
    </w:tbl>
    <w:p w14:paraId="3A48F3AA">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8" w:name="_Toc50012817"/>
      <w:bookmarkStart w:id="19" w:name="_Toc493511580"/>
      <w:bookmarkStart w:id="20" w:name="_Toc177870536"/>
    </w:p>
    <w:p w14:paraId="0CD79590">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21" w:name="_Toc2096"/>
      <w:r>
        <w:rPr>
          <w:rFonts w:hint="eastAsia" w:asciiTheme="minorEastAsia" w:hAnsiTheme="minorEastAsia" w:eastAsiaTheme="minorEastAsia"/>
          <w:b/>
          <w:color w:val="auto"/>
          <w:szCs w:val="21"/>
          <w:highlight w:val="none"/>
        </w:rPr>
        <w:t>一、总  则</w:t>
      </w:r>
      <w:bookmarkEnd w:id="18"/>
      <w:bookmarkEnd w:id="19"/>
      <w:bookmarkEnd w:id="20"/>
      <w:bookmarkEnd w:id="21"/>
    </w:p>
    <w:p w14:paraId="3D333F00">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22" w:name="_Toc177870537"/>
      <w:bookmarkStart w:id="23" w:name="_Toc177825120"/>
      <w:bookmarkStart w:id="24" w:name="_Toc8394"/>
      <w:bookmarkStart w:id="25" w:name="_Toc427915759"/>
      <w:bookmarkStart w:id="26" w:name="_Toc493511581"/>
      <w:bookmarkStart w:id="27" w:name="_Toc177824872"/>
      <w:bookmarkStart w:id="28" w:name="_Toc50012818"/>
      <w:bookmarkStart w:id="29" w:name="_Toc177824939"/>
      <w:r>
        <w:rPr>
          <w:rFonts w:hint="eastAsia" w:asciiTheme="minorEastAsia" w:hAnsiTheme="minorEastAsia" w:eastAsiaTheme="minorEastAsia"/>
          <w:color w:val="auto"/>
          <w:szCs w:val="21"/>
          <w:highlight w:val="none"/>
        </w:rPr>
        <w:t>1、 适用范围</w:t>
      </w:r>
      <w:bookmarkEnd w:id="22"/>
      <w:bookmarkEnd w:id="23"/>
      <w:bookmarkEnd w:id="24"/>
      <w:bookmarkEnd w:id="25"/>
      <w:bookmarkEnd w:id="26"/>
      <w:bookmarkEnd w:id="27"/>
      <w:bookmarkEnd w:id="28"/>
      <w:bookmarkEnd w:id="29"/>
    </w:p>
    <w:p w14:paraId="393C9903">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30" w:name="_Toc50012819"/>
      <w:bookmarkStart w:id="31" w:name="_Toc493511582"/>
      <w:bookmarkStart w:id="32" w:name="_Toc30106"/>
      <w:r>
        <w:rPr>
          <w:rFonts w:hint="eastAsia" w:asciiTheme="minorEastAsia" w:hAnsiTheme="minorEastAsia" w:eastAsiaTheme="minorEastAsia"/>
          <w:color w:val="auto"/>
          <w:szCs w:val="21"/>
          <w:highlight w:val="none"/>
        </w:rPr>
        <w:t>1.1、本招标文件适用于本次所述项目的招标。</w:t>
      </w:r>
      <w:bookmarkEnd w:id="30"/>
      <w:bookmarkEnd w:id="31"/>
      <w:bookmarkEnd w:id="32"/>
      <w:bookmarkStart w:id="33" w:name="_Toc177870538"/>
      <w:bookmarkStart w:id="34" w:name="_Toc177824873"/>
      <w:bookmarkStart w:id="35" w:name="_Toc177824940"/>
      <w:bookmarkStart w:id="36" w:name="_Toc427915760"/>
      <w:bookmarkStart w:id="37" w:name="_Toc177825121"/>
    </w:p>
    <w:p w14:paraId="5EE0E270">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38" w:name="_Toc493511583"/>
      <w:bookmarkStart w:id="39" w:name="_Toc29052"/>
      <w:bookmarkStart w:id="40" w:name="_Toc50012820"/>
      <w:r>
        <w:rPr>
          <w:rFonts w:hint="eastAsia" w:asciiTheme="minorEastAsia" w:hAnsiTheme="minorEastAsia" w:eastAsiaTheme="minorEastAsia"/>
          <w:color w:val="auto"/>
          <w:szCs w:val="21"/>
          <w:highlight w:val="none"/>
        </w:rPr>
        <w:t>2、定义</w:t>
      </w:r>
      <w:bookmarkEnd w:id="33"/>
      <w:bookmarkEnd w:id="34"/>
      <w:bookmarkEnd w:id="35"/>
      <w:bookmarkEnd w:id="36"/>
      <w:bookmarkEnd w:id="37"/>
      <w:bookmarkEnd w:id="38"/>
      <w:bookmarkEnd w:id="39"/>
      <w:bookmarkEnd w:id="40"/>
    </w:p>
    <w:p w14:paraId="63F3D87D">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41" w:name="_Toc19542"/>
      <w:bookmarkStart w:id="42" w:name="_Toc493511584"/>
      <w:bookmarkStart w:id="43" w:name="_Toc50012821"/>
      <w:r>
        <w:rPr>
          <w:rFonts w:hint="eastAsia" w:asciiTheme="minorEastAsia" w:hAnsiTheme="minorEastAsia" w:eastAsiaTheme="minorEastAsia"/>
          <w:color w:val="auto"/>
          <w:szCs w:val="21"/>
          <w:highlight w:val="none"/>
        </w:rPr>
        <w:t>2.1、“招标人”系指组织本次招标的代理机构或采购人。</w:t>
      </w:r>
      <w:bookmarkEnd w:id="41"/>
      <w:bookmarkEnd w:id="42"/>
      <w:bookmarkEnd w:id="43"/>
    </w:p>
    <w:p w14:paraId="4F3E82B3">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44" w:name="_Toc50012822"/>
      <w:bookmarkStart w:id="45" w:name="_Toc493511585"/>
      <w:bookmarkStart w:id="46" w:name="_Toc22525"/>
      <w:r>
        <w:rPr>
          <w:rFonts w:hint="eastAsia" w:asciiTheme="minorEastAsia" w:hAnsiTheme="minorEastAsia" w:eastAsiaTheme="minorEastAsia"/>
          <w:color w:val="auto"/>
          <w:szCs w:val="21"/>
          <w:highlight w:val="none"/>
        </w:rPr>
        <w:t>2.2、“投标人”系指向采购人提交投标文件的投标人。</w:t>
      </w:r>
      <w:bookmarkEnd w:id="44"/>
      <w:bookmarkEnd w:id="45"/>
      <w:bookmarkEnd w:id="46"/>
    </w:p>
    <w:p w14:paraId="7AE58B42">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47" w:name="_Toc2392"/>
      <w:bookmarkStart w:id="48" w:name="_Toc493511586"/>
      <w:bookmarkStart w:id="49" w:name="_Toc50012823"/>
      <w:r>
        <w:rPr>
          <w:rFonts w:hint="eastAsia" w:asciiTheme="minorEastAsia" w:hAnsiTheme="minorEastAsia" w:eastAsiaTheme="minorEastAsia"/>
          <w:color w:val="auto"/>
          <w:szCs w:val="21"/>
          <w:highlight w:val="none"/>
        </w:rPr>
        <w:t>2.3、“产品”系指供方按招标文件规定，须向采购人提供的一切设备、保险、税金、备品备件、工具、手册及其它有关技术资料和材料。</w:t>
      </w:r>
      <w:bookmarkEnd w:id="47"/>
      <w:bookmarkEnd w:id="48"/>
      <w:bookmarkEnd w:id="49"/>
    </w:p>
    <w:p w14:paraId="3CE349F3">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50" w:name="_Toc15752"/>
      <w:bookmarkStart w:id="51" w:name="_Toc493511587"/>
      <w:bookmarkStart w:id="52" w:name="_Toc50012824"/>
      <w:r>
        <w:rPr>
          <w:rFonts w:hint="eastAsia" w:asciiTheme="minorEastAsia" w:hAnsiTheme="minorEastAsia" w:eastAsiaTheme="minorEastAsia"/>
          <w:color w:val="auto"/>
          <w:szCs w:val="21"/>
          <w:highlight w:val="none"/>
        </w:rPr>
        <w:t>2.4、“服务”系指招标文件规定投标人须承担的安装、调试、技术协助、校准、培训、技术指导以及其他类似的义务。</w:t>
      </w:r>
      <w:bookmarkEnd w:id="50"/>
      <w:bookmarkEnd w:id="51"/>
      <w:bookmarkEnd w:id="52"/>
    </w:p>
    <w:p w14:paraId="5776A573">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53" w:name="_Toc493511588"/>
      <w:bookmarkStart w:id="54" w:name="_Toc14499"/>
      <w:bookmarkStart w:id="55" w:name="_Toc50012825"/>
      <w:r>
        <w:rPr>
          <w:rFonts w:hint="eastAsia" w:asciiTheme="minorEastAsia" w:hAnsiTheme="minorEastAsia" w:eastAsiaTheme="minorEastAsia"/>
          <w:color w:val="auto"/>
          <w:szCs w:val="21"/>
          <w:highlight w:val="none"/>
        </w:rPr>
        <w:t>2.5、“项目”系指投标人按招标文件规定向采购人提供的产品和服务。</w:t>
      </w:r>
      <w:bookmarkEnd w:id="53"/>
      <w:bookmarkEnd w:id="54"/>
      <w:bookmarkEnd w:id="55"/>
    </w:p>
    <w:p w14:paraId="23F5070E">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56" w:name="_Toc493511589"/>
      <w:bookmarkStart w:id="57" w:name="_Toc50012826"/>
      <w:bookmarkStart w:id="58" w:name="_Toc28414"/>
      <w:r>
        <w:rPr>
          <w:rFonts w:hint="eastAsia" w:asciiTheme="minorEastAsia" w:hAnsiTheme="minorEastAsia" w:eastAsiaTheme="minorEastAsia"/>
          <w:color w:val="auto"/>
          <w:szCs w:val="21"/>
          <w:highlight w:val="none"/>
        </w:rPr>
        <w:t>2.6、“书面形式”包括信函、传真、电报、电子文档等。</w:t>
      </w:r>
      <w:bookmarkEnd w:id="56"/>
      <w:bookmarkEnd w:id="57"/>
      <w:bookmarkEnd w:id="58"/>
    </w:p>
    <w:p w14:paraId="0D771DB0">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59" w:name="_Toc50012827"/>
      <w:bookmarkStart w:id="60" w:name="_Toc493511590"/>
      <w:bookmarkStart w:id="61" w:name="_Toc18649"/>
      <w:r>
        <w:rPr>
          <w:rFonts w:hint="eastAsia" w:asciiTheme="minorEastAsia" w:hAnsiTheme="minorEastAsia" w:eastAsiaTheme="minorEastAsia"/>
          <w:color w:val="auto"/>
          <w:szCs w:val="21"/>
          <w:highlight w:val="none"/>
        </w:rPr>
        <w:t>2.7、“▲”系指实质性要求条款。</w:t>
      </w:r>
      <w:bookmarkEnd w:id="59"/>
      <w:bookmarkEnd w:id="60"/>
      <w:bookmarkEnd w:id="61"/>
      <w:bookmarkStart w:id="62" w:name="_Toc427915761"/>
      <w:bookmarkStart w:id="63" w:name="_Toc177870539"/>
    </w:p>
    <w:p w14:paraId="5F1CF2DC">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64" w:name="_Toc10422"/>
      <w:bookmarkStart w:id="65" w:name="_Toc493511591"/>
      <w:bookmarkStart w:id="66" w:name="_Toc50012828"/>
      <w:r>
        <w:rPr>
          <w:rFonts w:hint="eastAsia" w:asciiTheme="minorEastAsia" w:hAnsiTheme="minorEastAsia" w:eastAsiaTheme="minorEastAsia"/>
          <w:color w:val="auto"/>
          <w:szCs w:val="21"/>
          <w:highlight w:val="none"/>
        </w:rPr>
        <w:t>3、</w:t>
      </w:r>
      <w:bookmarkEnd w:id="62"/>
      <w:bookmarkEnd w:id="63"/>
      <w:bookmarkEnd w:id="64"/>
      <w:bookmarkEnd w:id="65"/>
      <w:bookmarkEnd w:id="66"/>
      <w:r>
        <w:rPr>
          <w:rFonts w:hint="eastAsia" w:asciiTheme="minorEastAsia" w:hAnsiTheme="minorEastAsia" w:eastAsiaTheme="minorEastAsia"/>
          <w:color w:val="auto"/>
          <w:szCs w:val="21"/>
          <w:highlight w:val="none"/>
        </w:rPr>
        <w:t>招标方式</w:t>
      </w:r>
    </w:p>
    <w:p w14:paraId="52D63281">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67" w:name="_Toc21572"/>
      <w:bookmarkStart w:id="68" w:name="_Toc50012829"/>
      <w:bookmarkStart w:id="69" w:name="_Toc493511592"/>
      <w:r>
        <w:rPr>
          <w:rFonts w:hint="eastAsia" w:asciiTheme="minorEastAsia" w:hAnsiTheme="minorEastAsia" w:eastAsiaTheme="minorEastAsia"/>
          <w:color w:val="auto"/>
          <w:szCs w:val="21"/>
          <w:highlight w:val="none"/>
        </w:rPr>
        <w:t>3.1、本次招标采用公开招标方式进行。</w:t>
      </w:r>
      <w:bookmarkEnd w:id="67"/>
      <w:bookmarkEnd w:id="68"/>
      <w:bookmarkEnd w:id="69"/>
    </w:p>
    <w:p w14:paraId="12AD6A9D">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70" w:name="_Toc50012830"/>
      <w:bookmarkStart w:id="71" w:name="_Toc493511593"/>
      <w:bookmarkStart w:id="72" w:name="_Toc30170"/>
      <w:r>
        <w:rPr>
          <w:rFonts w:hint="eastAsia" w:asciiTheme="minorEastAsia" w:hAnsiTheme="minorEastAsia" w:eastAsiaTheme="minorEastAsia"/>
          <w:color w:val="auto"/>
          <w:szCs w:val="21"/>
          <w:highlight w:val="none"/>
        </w:rPr>
        <w:t>3.2、本次招标设定上限价为预算价。</w:t>
      </w:r>
      <w:bookmarkEnd w:id="70"/>
      <w:bookmarkEnd w:id="71"/>
      <w:bookmarkEnd w:id="72"/>
      <w:bookmarkStart w:id="73" w:name="_Toc427915762"/>
      <w:bookmarkStart w:id="74" w:name="_Toc177824874"/>
      <w:bookmarkStart w:id="75" w:name="_Toc177870540"/>
      <w:bookmarkStart w:id="76" w:name="_Toc177825122"/>
      <w:bookmarkStart w:id="77" w:name="_Toc177824941"/>
    </w:p>
    <w:p w14:paraId="64C6A52D">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78" w:name="_Toc50012831"/>
      <w:bookmarkStart w:id="79" w:name="_Toc21323"/>
      <w:bookmarkStart w:id="80" w:name="_Toc493511594"/>
      <w:r>
        <w:rPr>
          <w:rFonts w:hint="eastAsia" w:asciiTheme="minorEastAsia" w:hAnsiTheme="minorEastAsia" w:eastAsiaTheme="minorEastAsia"/>
          <w:color w:val="auto"/>
          <w:szCs w:val="21"/>
          <w:highlight w:val="none"/>
        </w:rPr>
        <w:t>4、投标委托</w:t>
      </w:r>
      <w:bookmarkEnd w:id="73"/>
      <w:bookmarkEnd w:id="74"/>
      <w:bookmarkEnd w:id="75"/>
      <w:bookmarkEnd w:id="76"/>
      <w:bookmarkEnd w:id="77"/>
      <w:bookmarkEnd w:id="78"/>
      <w:bookmarkEnd w:id="79"/>
      <w:bookmarkEnd w:id="80"/>
    </w:p>
    <w:p w14:paraId="52DF0D01">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81" w:name="_Toc50012832"/>
      <w:bookmarkStart w:id="82" w:name="_Toc493511595"/>
      <w:bookmarkStart w:id="83" w:name="_Toc10126"/>
      <w:r>
        <w:rPr>
          <w:rFonts w:hint="eastAsia" w:asciiTheme="minorEastAsia" w:hAnsiTheme="minorEastAsia" w:eastAsiaTheme="minorEastAsia"/>
          <w:color w:val="auto"/>
          <w:szCs w:val="21"/>
          <w:highlight w:val="none"/>
        </w:rPr>
        <w:t>投标人代表须携带居民身份证。如投标人代表不是法定代表人，须有法定代表人出具的授权委托书。（正本用原件，副本可用复印件，格式见第六部分）。</w:t>
      </w:r>
      <w:bookmarkEnd w:id="81"/>
      <w:bookmarkEnd w:id="82"/>
      <w:bookmarkEnd w:id="83"/>
      <w:bookmarkStart w:id="84" w:name="_Toc177870541"/>
      <w:bookmarkStart w:id="85" w:name="_Toc177825123"/>
      <w:bookmarkStart w:id="86" w:name="_Toc177824875"/>
      <w:bookmarkStart w:id="87" w:name="_Toc427915763"/>
      <w:bookmarkStart w:id="88" w:name="_Toc177824942"/>
    </w:p>
    <w:p w14:paraId="0446251B">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89" w:name="_Toc50012833"/>
      <w:bookmarkStart w:id="90" w:name="_Toc493511596"/>
      <w:bookmarkStart w:id="91" w:name="_Toc2927"/>
      <w:r>
        <w:rPr>
          <w:rFonts w:hint="eastAsia" w:asciiTheme="minorEastAsia" w:hAnsiTheme="minorEastAsia" w:eastAsiaTheme="minorEastAsia"/>
          <w:color w:val="auto"/>
          <w:szCs w:val="21"/>
          <w:highlight w:val="none"/>
        </w:rPr>
        <w:t>5、投标费用</w:t>
      </w:r>
      <w:bookmarkEnd w:id="84"/>
      <w:bookmarkEnd w:id="85"/>
      <w:bookmarkEnd w:id="86"/>
      <w:bookmarkEnd w:id="87"/>
      <w:bookmarkEnd w:id="88"/>
      <w:bookmarkEnd w:id="89"/>
      <w:bookmarkEnd w:id="90"/>
      <w:bookmarkEnd w:id="91"/>
    </w:p>
    <w:p w14:paraId="7D097B1C">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92" w:name="_Toc50012834"/>
      <w:bookmarkStart w:id="93" w:name="_Toc2682"/>
      <w:bookmarkStart w:id="94" w:name="_Toc493511597"/>
      <w:r>
        <w:rPr>
          <w:rFonts w:hint="eastAsia" w:asciiTheme="minorEastAsia" w:hAnsiTheme="minorEastAsia" w:eastAsiaTheme="minorEastAsia"/>
          <w:color w:val="auto"/>
          <w:szCs w:val="21"/>
          <w:highlight w:val="none"/>
        </w:rPr>
        <w:t>不论投标结果如何，投标人均应自行承担所有与投标有关的全部费用。</w:t>
      </w:r>
      <w:bookmarkEnd w:id="92"/>
      <w:bookmarkEnd w:id="93"/>
      <w:bookmarkEnd w:id="94"/>
    </w:p>
    <w:p w14:paraId="15FE2F5B">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95" w:name="_Toc26432"/>
      <w:bookmarkStart w:id="96" w:name="_Toc493511598"/>
      <w:bookmarkStart w:id="97" w:name="_Toc50012835"/>
      <w:r>
        <w:rPr>
          <w:rFonts w:hint="eastAsia" w:asciiTheme="minorEastAsia" w:hAnsiTheme="minorEastAsia" w:eastAsiaTheme="minorEastAsia"/>
          <w:color w:val="auto"/>
          <w:szCs w:val="21"/>
          <w:highlight w:val="none"/>
        </w:rPr>
        <w:t>6、联合体投标</w:t>
      </w:r>
      <w:bookmarkEnd w:id="95"/>
      <w:bookmarkEnd w:id="96"/>
      <w:bookmarkEnd w:id="97"/>
    </w:p>
    <w:p w14:paraId="1356828A">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98" w:name="_Toc493511599"/>
      <w:bookmarkStart w:id="99" w:name="_Toc50012836"/>
      <w:bookmarkStart w:id="100" w:name="_Toc30057"/>
      <w:r>
        <w:rPr>
          <w:rFonts w:hint="eastAsia" w:asciiTheme="minorEastAsia" w:hAnsiTheme="minorEastAsia" w:eastAsiaTheme="minorEastAsia"/>
          <w:color w:val="auto"/>
          <w:szCs w:val="21"/>
          <w:highlight w:val="none"/>
        </w:rPr>
        <w:t>本项目接受联合体投标。</w:t>
      </w:r>
      <w:bookmarkEnd w:id="98"/>
      <w:bookmarkEnd w:id="99"/>
      <w:bookmarkEnd w:id="100"/>
      <w:bookmarkStart w:id="101" w:name="_Toc177870544"/>
    </w:p>
    <w:p w14:paraId="5D663BEF">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02" w:name="_Toc1772"/>
      <w:bookmarkStart w:id="103" w:name="_Toc50012837"/>
      <w:r>
        <w:rPr>
          <w:rFonts w:hint="eastAsia" w:asciiTheme="minorEastAsia" w:hAnsiTheme="minorEastAsia" w:eastAsiaTheme="minorEastAsia"/>
          <w:b/>
          <w:color w:val="auto"/>
          <w:szCs w:val="21"/>
          <w:highlight w:val="none"/>
        </w:rPr>
        <w:t>7.转包与分包</w:t>
      </w:r>
      <w:bookmarkEnd w:id="102"/>
      <w:bookmarkEnd w:id="103"/>
    </w:p>
    <w:p w14:paraId="650606FB">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04" w:name="_Toc25115"/>
      <w:bookmarkStart w:id="105" w:name="_Toc50012838"/>
      <w:r>
        <w:rPr>
          <w:rFonts w:hint="eastAsia" w:asciiTheme="minorEastAsia" w:hAnsiTheme="minorEastAsia" w:eastAsiaTheme="minorEastAsia"/>
          <w:color w:val="auto"/>
          <w:szCs w:val="21"/>
          <w:highlight w:val="none"/>
        </w:rPr>
        <w:t>7.1本项目不允许转包；</w:t>
      </w:r>
      <w:bookmarkEnd w:id="104"/>
      <w:bookmarkEnd w:id="105"/>
    </w:p>
    <w:p w14:paraId="6CCD09CB">
      <w:pPr>
        <w:snapToGrid w:val="0"/>
        <w:spacing w:line="360" w:lineRule="auto"/>
        <w:ind w:right="42" w:rightChars="20" w:firstLine="420" w:firstLineChars="200"/>
        <w:jc w:val="left"/>
        <w:outlineLvl w:val="1"/>
        <w:rPr>
          <w:rFonts w:cs="宋体" w:asciiTheme="minorEastAsia" w:hAnsiTheme="minorEastAsia" w:eastAsiaTheme="minorEastAsia"/>
          <w:color w:val="auto"/>
          <w:kern w:val="0"/>
          <w:szCs w:val="21"/>
          <w:highlight w:val="none"/>
        </w:rPr>
      </w:pPr>
      <w:bookmarkStart w:id="106" w:name="_Toc5717"/>
      <w:bookmarkStart w:id="107" w:name="_Toc50012839"/>
      <w:r>
        <w:rPr>
          <w:rFonts w:hint="eastAsia" w:cs="宋体" w:asciiTheme="minorEastAsia" w:hAnsiTheme="minorEastAsia" w:eastAsiaTheme="minorEastAsia"/>
          <w:color w:val="auto"/>
          <w:kern w:val="0"/>
          <w:szCs w:val="21"/>
          <w:highlight w:val="none"/>
        </w:rPr>
        <w:t>7.2</w:t>
      </w:r>
      <w:r>
        <w:rPr>
          <w:rFonts w:hint="eastAsia" w:asciiTheme="minorEastAsia" w:hAnsiTheme="minorEastAsia" w:eastAsiaTheme="minorEastAsia"/>
          <w:color w:val="auto"/>
          <w:szCs w:val="21"/>
          <w:highlight w:val="none"/>
        </w:rPr>
        <w:t>本项目不允许分包</w:t>
      </w:r>
      <w:r>
        <w:rPr>
          <w:rFonts w:hint="eastAsia" w:cs="宋体" w:asciiTheme="minorEastAsia" w:hAnsiTheme="minorEastAsia" w:eastAsiaTheme="minorEastAsia"/>
          <w:color w:val="auto"/>
          <w:kern w:val="0"/>
          <w:szCs w:val="21"/>
          <w:highlight w:val="none"/>
        </w:rPr>
        <w:t>。</w:t>
      </w:r>
      <w:bookmarkEnd w:id="106"/>
      <w:bookmarkEnd w:id="107"/>
      <w:bookmarkStart w:id="108" w:name="_Toc177870542"/>
      <w:bookmarkStart w:id="109" w:name="_Toc430786267"/>
    </w:p>
    <w:p w14:paraId="49748D39">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10" w:name="_Toc2435"/>
      <w:bookmarkStart w:id="111" w:name="_Toc50012840"/>
      <w:r>
        <w:rPr>
          <w:rFonts w:hint="eastAsia" w:asciiTheme="minorEastAsia" w:hAnsiTheme="minorEastAsia" w:eastAsiaTheme="minorEastAsia"/>
          <w:b/>
          <w:color w:val="auto"/>
          <w:szCs w:val="21"/>
          <w:highlight w:val="none"/>
        </w:rPr>
        <w:t>8.特别说明：</w:t>
      </w:r>
      <w:bookmarkEnd w:id="108"/>
      <w:bookmarkEnd w:id="109"/>
      <w:bookmarkEnd w:id="110"/>
      <w:bookmarkEnd w:id="111"/>
    </w:p>
    <w:p w14:paraId="6E016F30">
      <w:pPr>
        <w:pStyle w:val="19"/>
        <w:snapToGrid w:val="0"/>
        <w:spacing w:line="360" w:lineRule="auto"/>
        <w:ind w:right="42" w:rightChars="20" w:firstLine="420" w:firstLineChars="200"/>
        <w:jc w:val="left"/>
        <w:rPr>
          <w:rFonts w:asciiTheme="minorEastAsia" w:hAnsiTheme="minorEastAsia" w:eastAsiaTheme="minorEastAsia"/>
          <w:color w:val="auto"/>
          <w:spacing w:val="0"/>
          <w:sz w:val="21"/>
          <w:szCs w:val="21"/>
          <w:highlight w:val="none"/>
        </w:rPr>
      </w:pPr>
      <w:bookmarkStart w:id="112" w:name="_Toc430786268"/>
      <w:bookmarkStart w:id="113" w:name="_Toc495603533"/>
      <w:bookmarkStart w:id="114" w:name="_Toc177870543"/>
      <w:r>
        <w:rPr>
          <w:rFonts w:hint="eastAsia" w:asciiTheme="minorEastAsia" w:hAnsiTheme="minorEastAsia" w:eastAsiaTheme="minorEastAsia"/>
          <w:color w:val="auto"/>
          <w:spacing w:val="0"/>
          <w:sz w:val="21"/>
          <w:szCs w:val="21"/>
          <w:highlight w:val="none"/>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D138DBF">
      <w:pPr>
        <w:pStyle w:val="19"/>
        <w:snapToGrid w:val="0"/>
        <w:spacing w:line="360" w:lineRule="auto"/>
        <w:ind w:right="42" w:rightChars="20" w:firstLine="420" w:firstLineChars="200"/>
        <w:jc w:val="left"/>
        <w:rPr>
          <w:rFonts w:asciiTheme="minorEastAsia" w:hAnsiTheme="minorEastAsia" w:eastAsiaTheme="minorEastAsia"/>
          <w:color w:val="auto"/>
          <w:spacing w:val="0"/>
          <w:sz w:val="21"/>
          <w:szCs w:val="21"/>
          <w:highlight w:val="none"/>
        </w:rPr>
      </w:pPr>
      <w:r>
        <w:rPr>
          <w:rFonts w:hint="eastAsia" w:asciiTheme="minorEastAsia" w:hAnsiTheme="minorEastAsia" w:eastAsiaTheme="minorEastAsia"/>
          <w:color w:val="auto"/>
          <w:spacing w:val="0"/>
          <w:sz w:val="21"/>
          <w:szCs w:val="21"/>
          <w:highlight w:val="none"/>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D363FAC">
      <w:pPr>
        <w:pStyle w:val="19"/>
        <w:snapToGrid w:val="0"/>
        <w:spacing w:line="360" w:lineRule="auto"/>
        <w:ind w:right="42" w:rightChars="20" w:firstLine="420" w:firstLineChars="200"/>
        <w:jc w:val="left"/>
        <w:rPr>
          <w:rFonts w:asciiTheme="minorEastAsia" w:hAnsiTheme="minorEastAsia" w:eastAsiaTheme="minorEastAsia"/>
          <w:color w:val="auto"/>
          <w:spacing w:val="0"/>
          <w:sz w:val="21"/>
          <w:szCs w:val="21"/>
          <w:highlight w:val="none"/>
        </w:rPr>
      </w:pPr>
      <w:r>
        <w:rPr>
          <w:rFonts w:hint="eastAsia" w:asciiTheme="minorEastAsia" w:hAnsiTheme="minorEastAsia" w:eastAsiaTheme="minorEastAsia"/>
          <w:color w:val="auto"/>
          <w:spacing w:val="0"/>
          <w:sz w:val="21"/>
          <w:szCs w:val="21"/>
          <w:highlight w:val="none"/>
        </w:rPr>
        <w:t>8.3、非单一产品采购项目，采购人应当根据采购项目技术构成、产品价格比重等合理确定核心产品，并在招标文件中载明。多家投标人提供的核心产品品牌相同的，按前两款规定处理。</w:t>
      </w:r>
    </w:p>
    <w:p w14:paraId="5A622B7D">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15" w:name="_Toc7381"/>
      <w:bookmarkStart w:id="116" w:name="_Toc50012841"/>
      <w:r>
        <w:rPr>
          <w:rFonts w:hint="eastAsia" w:asciiTheme="minorEastAsia" w:hAnsiTheme="minorEastAsia" w:eastAsiaTheme="minorEastAsia"/>
          <w:b/>
          <w:color w:val="auto"/>
          <w:szCs w:val="21"/>
          <w:highlight w:val="none"/>
        </w:rPr>
        <w:t>9.质疑</w:t>
      </w:r>
      <w:bookmarkEnd w:id="112"/>
      <w:bookmarkEnd w:id="113"/>
      <w:bookmarkEnd w:id="114"/>
      <w:bookmarkEnd w:id="115"/>
      <w:bookmarkEnd w:id="116"/>
    </w:p>
    <w:p w14:paraId="44051018">
      <w:pPr>
        <w:pStyle w:val="29"/>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17" w:name="_Toc495603534"/>
      <w:bookmarkStart w:id="118" w:name="_Toc1791"/>
      <w:bookmarkStart w:id="119" w:name="_Toc50012842"/>
      <w:r>
        <w:rPr>
          <w:rFonts w:hint="eastAsia" w:asciiTheme="minorEastAsia" w:hAnsiTheme="minorEastAsia" w:eastAsiaTheme="minorEastAsia"/>
          <w:b/>
          <w:color w:val="auto"/>
          <w:szCs w:val="21"/>
          <w:highlight w:val="none"/>
        </w:rPr>
        <w:t>9.</w:t>
      </w:r>
      <w:r>
        <w:rPr>
          <w:rFonts w:asciiTheme="minorEastAsia" w:hAnsiTheme="minorEastAsia" w:eastAsiaTheme="minorEastAsia"/>
          <w:b/>
          <w:color w:val="auto"/>
          <w:szCs w:val="21"/>
          <w:highlight w:val="none"/>
        </w:rPr>
        <w:t>1</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投标人认为招标文件、招标过程</w:t>
      </w:r>
      <w:r>
        <w:rPr>
          <w:rFonts w:hint="eastAsia" w:asciiTheme="minorEastAsia" w:hAnsiTheme="minorEastAsia" w:eastAsiaTheme="minorEastAsia"/>
          <w:b/>
          <w:color w:val="auto"/>
          <w:szCs w:val="21"/>
          <w:highlight w:val="none"/>
        </w:rPr>
        <w:t>或</w:t>
      </w:r>
      <w:r>
        <w:rPr>
          <w:rFonts w:asciiTheme="minorEastAsia" w:hAnsiTheme="minorEastAsia" w:eastAsiaTheme="minorEastAsia"/>
          <w:b/>
          <w:color w:val="auto"/>
          <w:szCs w:val="21"/>
          <w:highlight w:val="none"/>
        </w:rPr>
        <w:t>中标结果使自己的合法权益受到损害的，应当在知道或者应知其权益受到损害之日起七个工作日内，以书面形式向采购人、</w:t>
      </w:r>
      <w:r>
        <w:rPr>
          <w:rFonts w:hint="eastAsia" w:asciiTheme="minorEastAsia" w:hAnsiTheme="minorEastAsia" w:eastAsiaTheme="minorEastAsia"/>
          <w:b/>
          <w:color w:val="auto"/>
          <w:szCs w:val="21"/>
          <w:highlight w:val="none"/>
        </w:rPr>
        <w:t>代理机构</w:t>
      </w:r>
      <w:r>
        <w:rPr>
          <w:rFonts w:asciiTheme="minorEastAsia" w:hAnsiTheme="minorEastAsia" w:eastAsiaTheme="minorEastAsia"/>
          <w:b/>
          <w:color w:val="auto"/>
          <w:szCs w:val="21"/>
          <w:highlight w:val="none"/>
        </w:rPr>
        <w:t>提出质疑。投标人对招标采购单位的质疑答复不满意或者招标采购单位未在规定时间内作出答复的，可以在答复期满后十五个工作日内向同级采购监管部门投诉。</w:t>
      </w:r>
      <w:bookmarkEnd w:id="117"/>
      <w:bookmarkEnd w:id="118"/>
      <w:bookmarkEnd w:id="119"/>
      <w:bookmarkStart w:id="120" w:name="_Toc495603535"/>
    </w:p>
    <w:p w14:paraId="4D68A58B">
      <w:pPr>
        <w:pStyle w:val="29"/>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21" w:name="_Toc23570"/>
      <w:bookmarkStart w:id="122" w:name="_Toc50012843"/>
      <w:r>
        <w:rPr>
          <w:rFonts w:hint="eastAsia" w:asciiTheme="minorEastAsia" w:hAnsiTheme="minorEastAsia" w:eastAsiaTheme="minorEastAsia"/>
          <w:b/>
          <w:color w:val="auto"/>
          <w:szCs w:val="21"/>
          <w:highlight w:val="none"/>
        </w:rPr>
        <w:t>9.</w:t>
      </w:r>
      <w:r>
        <w:rPr>
          <w:rFonts w:asciiTheme="minorEastAsia" w:hAnsiTheme="minorEastAsia" w:eastAsiaTheme="minorEastAsia"/>
          <w:b/>
          <w:color w:val="auto"/>
          <w:szCs w:val="21"/>
          <w:highlight w:val="none"/>
        </w:rPr>
        <w:t>2</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质疑、投诉应当采用书面形式，质疑书、投诉书均应明确阐述招标文件、招标过程</w:t>
      </w:r>
      <w:r>
        <w:rPr>
          <w:rFonts w:hint="eastAsia" w:asciiTheme="minorEastAsia" w:hAnsiTheme="minorEastAsia" w:eastAsiaTheme="minorEastAsia"/>
          <w:b/>
          <w:color w:val="auto"/>
          <w:szCs w:val="21"/>
          <w:highlight w:val="none"/>
        </w:rPr>
        <w:t>或</w:t>
      </w:r>
      <w:r>
        <w:rPr>
          <w:rFonts w:asciiTheme="minorEastAsia" w:hAnsiTheme="minorEastAsia" w:eastAsiaTheme="minorEastAsia"/>
          <w:b/>
          <w:color w:val="auto"/>
          <w:szCs w:val="21"/>
          <w:highlight w:val="none"/>
        </w:rPr>
        <w:t>中标结果中使自己合法权益受到损害的实质性内容，提供相关事实、依据和证据及其来源或线索，便于有关单位调查、答复和处理</w:t>
      </w:r>
      <w:r>
        <w:rPr>
          <w:rFonts w:hint="eastAsia" w:asciiTheme="minorEastAsia" w:hAnsiTheme="minorEastAsia" w:eastAsiaTheme="minorEastAsia"/>
          <w:b/>
          <w:color w:val="auto"/>
          <w:szCs w:val="21"/>
          <w:highlight w:val="none"/>
        </w:rPr>
        <w:t>。</w:t>
      </w:r>
      <w:bookmarkEnd w:id="120"/>
      <w:bookmarkEnd w:id="121"/>
      <w:bookmarkEnd w:id="122"/>
    </w:p>
    <w:p w14:paraId="717F4F26">
      <w:pPr>
        <w:pStyle w:val="29"/>
        <w:spacing w:line="360" w:lineRule="auto"/>
        <w:ind w:right="42" w:rightChars="20" w:firstLine="422" w:firstLineChars="200"/>
        <w:jc w:val="left"/>
        <w:outlineLvl w:val="1"/>
        <w:rPr>
          <w:rFonts w:asciiTheme="minorEastAsia" w:hAnsiTheme="minorEastAsia" w:eastAsiaTheme="minorEastAsia"/>
          <w:b/>
          <w:color w:val="auto"/>
          <w:szCs w:val="21"/>
          <w:highlight w:val="none"/>
        </w:rPr>
      </w:pPr>
    </w:p>
    <w:p w14:paraId="73B95533">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23" w:name="_Toc493511613"/>
      <w:bookmarkStart w:id="124" w:name="_Toc25169"/>
      <w:bookmarkStart w:id="125" w:name="_Toc50012844"/>
      <w:r>
        <w:rPr>
          <w:rFonts w:hint="eastAsia" w:asciiTheme="minorEastAsia" w:hAnsiTheme="minorEastAsia" w:eastAsiaTheme="minorEastAsia"/>
          <w:b/>
          <w:color w:val="auto"/>
          <w:szCs w:val="21"/>
          <w:highlight w:val="none"/>
        </w:rPr>
        <w:t>二 、招标文件</w:t>
      </w:r>
      <w:bookmarkEnd w:id="101"/>
      <w:bookmarkEnd w:id="123"/>
      <w:bookmarkEnd w:id="124"/>
      <w:bookmarkEnd w:id="125"/>
    </w:p>
    <w:p w14:paraId="3B0D583A">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26" w:name="_Toc493511614"/>
      <w:bookmarkStart w:id="127" w:name="_Toc50012845"/>
      <w:bookmarkStart w:id="128" w:name="_Toc16026"/>
      <w:r>
        <w:rPr>
          <w:rFonts w:hint="eastAsia" w:asciiTheme="minorEastAsia" w:hAnsiTheme="minorEastAsia" w:eastAsiaTheme="minorEastAsia"/>
          <w:b/>
          <w:color w:val="auto"/>
          <w:szCs w:val="21"/>
          <w:highlight w:val="none"/>
        </w:rPr>
        <w:t>1、招标文件的构成</w:t>
      </w:r>
      <w:bookmarkEnd w:id="126"/>
      <w:bookmarkEnd w:id="127"/>
      <w:bookmarkEnd w:id="128"/>
    </w:p>
    <w:p w14:paraId="1CD56530">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29" w:name="_Toc50012846"/>
      <w:bookmarkStart w:id="130" w:name="_Toc493511615"/>
      <w:bookmarkStart w:id="131" w:name="_Toc7778"/>
      <w:r>
        <w:rPr>
          <w:rFonts w:hint="eastAsia" w:asciiTheme="minorEastAsia" w:hAnsiTheme="minorEastAsia" w:eastAsiaTheme="minorEastAsia"/>
          <w:color w:val="auto"/>
          <w:szCs w:val="21"/>
          <w:highlight w:val="none"/>
        </w:rPr>
        <w:t>1.1、公开招标采购公告</w:t>
      </w:r>
      <w:bookmarkEnd w:id="129"/>
      <w:bookmarkEnd w:id="130"/>
      <w:bookmarkEnd w:id="131"/>
    </w:p>
    <w:p w14:paraId="2EF430D5">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32" w:name="_Toc50012847"/>
      <w:bookmarkStart w:id="133" w:name="_Toc493511616"/>
      <w:bookmarkStart w:id="134" w:name="_Toc7186"/>
      <w:r>
        <w:rPr>
          <w:rFonts w:hint="eastAsia" w:asciiTheme="minorEastAsia" w:hAnsiTheme="minorEastAsia" w:eastAsiaTheme="minorEastAsia"/>
          <w:color w:val="auto"/>
          <w:szCs w:val="21"/>
          <w:highlight w:val="none"/>
        </w:rPr>
        <w:t>1.2、采购需求</w:t>
      </w:r>
      <w:bookmarkEnd w:id="132"/>
      <w:bookmarkEnd w:id="133"/>
      <w:bookmarkEnd w:id="134"/>
    </w:p>
    <w:p w14:paraId="61FE8658">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35" w:name="_Toc50012848"/>
      <w:bookmarkStart w:id="136" w:name="_Toc6933"/>
      <w:bookmarkStart w:id="137" w:name="_Toc493511617"/>
      <w:r>
        <w:rPr>
          <w:rFonts w:hint="eastAsia" w:asciiTheme="minorEastAsia" w:hAnsiTheme="minorEastAsia" w:eastAsiaTheme="minorEastAsia"/>
          <w:color w:val="auto"/>
          <w:szCs w:val="21"/>
          <w:highlight w:val="none"/>
        </w:rPr>
        <w:t>1.3、投标人须知</w:t>
      </w:r>
      <w:bookmarkEnd w:id="135"/>
      <w:bookmarkEnd w:id="136"/>
      <w:bookmarkEnd w:id="137"/>
    </w:p>
    <w:p w14:paraId="632B4E89">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38" w:name="_Toc2119"/>
      <w:bookmarkStart w:id="139" w:name="_Toc50012849"/>
      <w:bookmarkStart w:id="140" w:name="_Toc493511618"/>
      <w:r>
        <w:rPr>
          <w:rFonts w:hint="eastAsia" w:asciiTheme="minorEastAsia" w:hAnsiTheme="minorEastAsia" w:eastAsiaTheme="minorEastAsia"/>
          <w:color w:val="auto"/>
          <w:szCs w:val="21"/>
          <w:highlight w:val="none"/>
        </w:rPr>
        <w:t>1.4、评标办法</w:t>
      </w:r>
      <w:bookmarkEnd w:id="138"/>
      <w:bookmarkEnd w:id="139"/>
      <w:bookmarkEnd w:id="140"/>
    </w:p>
    <w:p w14:paraId="23FE5790">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41" w:name="_Toc19120"/>
      <w:bookmarkStart w:id="142" w:name="_Toc493511619"/>
      <w:bookmarkStart w:id="143" w:name="_Toc50012850"/>
      <w:r>
        <w:rPr>
          <w:rFonts w:hint="eastAsia" w:asciiTheme="minorEastAsia" w:hAnsiTheme="minorEastAsia" w:eastAsiaTheme="minorEastAsia"/>
          <w:color w:val="auto"/>
          <w:szCs w:val="21"/>
          <w:highlight w:val="none"/>
        </w:rPr>
        <w:t>1.5、政府采购合同</w:t>
      </w:r>
      <w:bookmarkEnd w:id="141"/>
      <w:bookmarkEnd w:id="142"/>
      <w:bookmarkEnd w:id="143"/>
    </w:p>
    <w:p w14:paraId="5266D3BC">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44" w:name="_Toc50012851"/>
      <w:bookmarkStart w:id="145" w:name="_Toc19300"/>
      <w:bookmarkStart w:id="146" w:name="_Toc493511620"/>
      <w:r>
        <w:rPr>
          <w:rFonts w:hint="eastAsia" w:asciiTheme="minorEastAsia" w:hAnsiTheme="minorEastAsia" w:eastAsiaTheme="minorEastAsia"/>
          <w:color w:val="auto"/>
          <w:szCs w:val="21"/>
          <w:highlight w:val="none"/>
        </w:rPr>
        <w:t>1.6、投标文件相关文件格式</w:t>
      </w:r>
      <w:bookmarkEnd w:id="144"/>
      <w:bookmarkEnd w:id="145"/>
      <w:bookmarkEnd w:id="146"/>
      <w:bookmarkStart w:id="147" w:name="_Toc482363722"/>
    </w:p>
    <w:p w14:paraId="77C606C5">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48" w:name="_Toc493511621"/>
      <w:bookmarkStart w:id="149" w:name="_Toc50012852"/>
      <w:bookmarkStart w:id="150" w:name="_Toc32687"/>
      <w:r>
        <w:rPr>
          <w:rFonts w:asciiTheme="minorEastAsia" w:hAnsiTheme="minorEastAsia" w:eastAsiaTheme="minorEastAsia"/>
          <w:color w:val="auto"/>
          <w:szCs w:val="21"/>
          <w:highlight w:val="none"/>
        </w:rPr>
        <w:t>1.7、本项目招标文件的澄清、答复、修改、补充的内容（所有内容将以电子文档形式上传于浙江省政府采购网网站（https://zfcg.czt.zj.gov.cn/）。澄清、答复、修改、补充的内容均作为招标文件的组成部分，具有约束作用。投标人必须自行下载。）</w:t>
      </w:r>
      <w:bookmarkEnd w:id="147"/>
      <w:bookmarkEnd w:id="148"/>
      <w:bookmarkEnd w:id="149"/>
      <w:bookmarkEnd w:id="150"/>
    </w:p>
    <w:p w14:paraId="760FC4BE">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51" w:name="_Toc493511622"/>
      <w:bookmarkStart w:id="152" w:name="_Toc21770"/>
      <w:bookmarkStart w:id="153" w:name="_Toc50012853"/>
      <w:r>
        <w:rPr>
          <w:rFonts w:hint="eastAsia" w:asciiTheme="minorEastAsia" w:hAnsiTheme="minorEastAsia" w:eastAsiaTheme="minorEastAsia"/>
          <w:b/>
          <w:color w:val="auto"/>
          <w:szCs w:val="21"/>
          <w:highlight w:val="none"/>
        </w:rPr>
        <w:t>2、存在的风险</w:t>
      </w:r>
      <w:bookmarkEnd w:id="151"/>
      <w:bookmarkEnd w:id="152"/>
      <w:bookmarkEnd w:id="153"/>
    </w:p>
    <w:p w14:paraId="326E6730">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54" w:name="_Toc493511623"/>
      <w:bookmarkStart w:id="155" w:name="_Toc50012854"/>
      <w:bookmarkStart w:id="156" w:name="_Toc32245"/>
      <w:r>
        <w:rPr>
          <w:rFonts w:hint="eastAsia" w:asciiTheme="minorEastAsia" w:hAnsiTheme="minorEastAsia" w:eastAsiaTheme="minorEastAsia"/>
          <w:color w:val="auto"/>
          <w:szCs w:val="21"/>
          <w:highlight w:val="none"/>
        </w:rPr>
        <w:t>投标人没有按照招标文件要求提供全部资料，或者投标人没有对招标文件在各方面作出实质性响应是投标人的风险，并可能导致其投标无效。</w:t>
      </w:r>
      <w:bookmarkEnd w:id="154"/>
      <w:bookmarkEnd w:id="155"/>
      <w:bookmarkEnd w:id="156"/>
    </w:p>
    <w:p w14:paraId="40C05E00">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57" w:name="_Toc493511624"/>
      <w:bookmarkStart w:id="158" w:name="_Toc18736"/>
      <w:bookmarkStart w:id="159" w:name="_Toc50012855"/>
      <w:r>
        <w:rPr>
          <w:rFonts w:hint="eastAsia" w:asciiTheme="minorEastAsia" w:hAnsiTheme="minorEastAsia" w:eastAsiaTheme="minorEastAsia"/>
          <w:b/>
          <w:color w:val="auto"/>
          <w:szCs w:val="21"/>
          <w:highlight w:val="none"/>
        </w:rPr>
        <w:t>3、招标文件的澄清与修改</w:t>
      </w:r>
      <w:bookmarkEnd w:id="157"/>
      <w:bookmarkEnd w:id="158"/>
      <w:bookmarkEnd w:id="159"/>
    </w:p>
    <w:p w14:paraId="734F5776">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60" w:name="_Toc493511625"/>
      <w:bookmarkStart w:id="161" w:name="_Toc4790"/>
      <w:bookmarkStart w:id="162" w:name="_Toc50012856"/>
      <w:r>
        <w:rPr>
          <w:rFonts w:hint="eastAsia" w:asciiTheme="minorEastAsia" w:hAnsiTheme="minorEastAsia" w:eastAsiaTheme="minorEastAsia"/>
          <w:color w:val="auto"/>
          <w:szCs w:val="21"/>
          <w:highlight w:val="none"/>
        </w:rPr>
        <w:t>3.1、投标人应认真阅读本招标文件，发现其中有误或有要求不合理的，投标人必须在知道或者应当知道之日起七个工作日内以书面形式要求采购代理机构澄清，否则，由此产生的后果由投标人负责。</w:t>
      </w:r>
      <w:bookmarkEnd w:id="160"/>
      <w:bookmarkEnd w:id="161"/>
      <w:bookmarkEnd w:id="162"/>
    </w:p>
    <w:p w14:paraId="01B5C7F0">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63" w:name="_Toc50012857"/>
      <w:bookmarkStart w:id="164" w:name="_Toc31984"/>
      <w:bookmarkStart w:id="165" w:name="_Toc493511626"/>
      <w:r>
        <w:rPr>
          <w:rFonts w:hint="eastAsia" w:asciiTheme="minorEastAsia" w:hAnsiTheme="minorEastAsia" w:eastAsiaTheme="minorEastAsia"/>
          <w:color w:val="auto"/>
          <w:szCs w:val="21"/>
          <w:highlight w:val="none"/>
        </w:rPr>
        <w:t>3.2、采购代理机构必须以书面形式答复所有购买招标文件的投标人（答复中不包含问题的来源）要求澄清的问题，同时认定其他澄清方式为无效。</w:t>
      </w:r>
      <w:bookmarkEnd w:id="163"/>
      <w:bookmarkEnd w:id="164"/>
      <w:bookmarkEnd w:id="165"/>
    </w:p>
    <w:p w14:paraId="20399B96">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66" w:name="_Toc493511627"/>
      <w:bookmarkStart w:id="167" w:name="_Toc20629"/>
      <w:bookmarkStart w:id="168" w:name="_Toc50012858"/>
      <w:r>
        <w:rPr>
          <w:rFonts w:hint="eastAsia" w:asciiTheme="minorEastAsia" w:hAnsiTheme="minorEastAsia" w:eastAsiaTheme="minorEastAsia"/>
          <w:color w:val="auto"/>
          <w:szCs w:val="21"/>
          <w:highlight w:val="none"/>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166"/>
      <w:bookmarkEnd w:id="167"/>
      <w:bookmarkEnd w:id="168"/>
    </w:p>
    <w:p w14:paraId="12E33942">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69" w:name="_Toc493511628"/>
      <w:bookmarkStart w:id="170" w:name="_Toc50012859"/>
      <w:bookmarkStart w:id="171" w:name="_Toc10910"/>
      <w:r>
        <w:rPr>
          <w:rFonts w:hint="eastAsia" w:asciiTheme="minorEastAsia" w:hAnsiTheme="minorEastAsia" w:eastAsiaTheme="minorEastAsia"/>
          <w:color w:val="auto"/>
          <w:szCs w:val="21"/>
          <w:highlight w:val="none"/>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169"/>
      <w:bookmarkEnd w:id="170"/>
      <w:bookmarkEnd w:id="171"/>
    </w:p>
    <w:p w14:paraId="338D17D8">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72" w:name="_Toc50012860"/>
      <w:bookmarkStart w:id="173" w:name="_Toc493511629"/>
      <w:bookmarkStart w:id="174" w:name="_Toc14791"/>
      <w:r>
        <w:rPr>
          <w:rFonts w:hint="eastAsia" w:asciiTheme="minorEastAsia" w:hAnsiTheme="minorEastAsia" w:eastAsiaTheme="minorEastAsia"/>
          <w:color w:val="auto"/>
          <w:szCs w:val="21"/>
          <w:highlight w:val="none"/>
        </w:rPr>
        <w:t>3.5、招标文件的澄清或者修改都应该通过本代理机构以法定形式发布，采购人非通过本机构，不得擅自澄清或者修改招标文件。</w:t>
      </w:r>
      <w:bookmarkEnd w:id="172"/>
      <w:bookmarkEnd w:id="173"/>
      <w:bookmarkEnd w:id="174"/>
    </w:p>
    <w:p w14:paraId="10F3AA6D">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75" w:name="_Toc493511630"/>
      <w:bookmarkStart w:id="176" w:name="_Toc177870545"/>
      <w:bookmarkStart w:id="177" w:name="_Toc8175"/>
      <w:bookmarkStart w:id="178" w:name="_Toc50012861"/>
      <w:r>
        <w:rPr>
          <w:rFonts w:hint="eastAsia" w:asciiTheme="minorEastAsia" w:hAnsiTheme="minorEastAsia" w:eastAsiaTheme="minorEastAsia"/>
          <w:b/>
          <w:color w:val="auto"/>
          <w:szCs w:val="21"/>
          <w:highlight w:val="none"/>
        </w:rPr>
        <w:t>三、 投标文件的编制</w:t>
      </w:r>
      <w:bookmarkEnd w:id="175"/>
      <w:bookmarkEnd w:id="176"/>
      <w:bookmarkEnd w:id="177"/>
      <w:bookmarkEnd w:id="178"/>
    </w:p>
    <w:p w14:paraId="3E0362C0">
      <w:pPr>
        <w:ind w:firstLine="422" w:firstLineChars="200"/>
        <w:rPr>
          <w:rFonts w:ascii="宋体" w:hAnsi="宋体"/>
          <w:b/>
          <w:bCs/>
          <w:color w:val="auto"/>
          <w:highlight w:val="none"/>
        </w:rPr>
      </w:pPr>
      <w:bookmarkStart w:id="179" w:name="_Toc493511643"/>
      <w:bookmarkStart w:id="180" w:name="_Toc177824944"/>
      <w:bookmarkStart w:id="181" w:name="_Toc177870547"/>
      <w:bookmarkStart w:id="182" w:name="_Toc177825125"/>
      <w:bookmarkStart w:id="183" w:name="_Toc177824877"/>
      <w:r>
        <w:rPr>
          <w:rFonts w:hint="eastAsia" w:ascii="宋体" w:hAnsi="宋体"/>
          <w:b/>
          <w:bCs/>
          <w:color w:val="auto"/>
          <w:highlight w:val="none"/>
        </w:rPr>
        <w:t>本项目所涉投标文件格式请详见第六章，未给出的格式请自拟。商务、资信及其他及技术文件中不得出现报价，否则投标文件将被视为无效。</w:t>
      </w:r>
      <w:r>
        <w:rPr>
          <w:rFonts w:hint="eastAsia" w:ascii="宋体" w:hAnsi="宋体"/>
          <w:b/>
          <w:bCs/>
          <w:color w:val="auto"/>
          <w:highlight w:val="none"/>
        </w:rPr>
        <w:br w:type="textWrapping"/>
      </w:r>
      <w:r>
        <w:rPr>
          <w:rFonts w:hint="eastAsia" w:ascii="宋体" w:hAnsi="宋体"/>
          <w:b/>
          <w:bCs/>
          <w:color w:val="auto"/>
          <w:highlight w:val="none"/>
        </w:rPr>
        <w:t xml:space="preserve">    注：电子投标文件按政采云平台供应商电子招投标操作指南及本招标文件规定的格式和顺序编制电子投标文件并进行关联定。建议根据招标文件合格供应商的资格要求、投标文件的编制及评分标准等内容一一关联。</w:t>
      </w:r>
    </w:p>
    <w:p w14:paraId="38412F5B">
      <w:pPr>
        <w:ind w:firstLine="422" w:firstLineChars="200"/>
        <w:rPr>
          <w:rFonts w:ascii="宋体" w:hAnsi="宋体"/>
          <w:b/>
          <w:bCs/>
          <w:color w:val="auto"/>
          <w:highlight w:val="none"/>
        </w:rPr>
      </w:pPr>
      <w:r>
        <w:rPr>
          <w:rFonts w:hint="eastAsia" w:ascii="宋体" w:hAnsi="宋体"/>
          <w:b/>
          <w:bCs/>
          <w:color w:val="auto"/>
          <w:highlight w:val="none"/>
        </w:rPr>
        <w:t>路径：浙江省“项目采购电子交易系统/不见面开评标”学习专题-操作指南-供应商</w:t>
      </w:r>
    </w:p>
    <w:p w14:paraId="64AFCD73">
      <w:pPr>
        <w:spacing w:line="360" w:lineRule="auto"/>
        <w:ind w:firstLine="422" w:firstLineChars="200"/>
        <w:rPr>
          <w:rFonts w:cs="宋体" w:asciiTheme="minorEastAsia" w:hAnsiTheme="minorEastAsia" w:eastAsiaTheme="minorEastAsia"/>
          <w:b/>
          <w:color w:val="auto"/>
          <w:szCs w:val="21"/>
          <w:highlight w:val="none"/>
        </w:rPr>
      </w:pPr>
      <w:r>
        <w:rPr>
          <w:rFonts w:hint="eastAsia" w:ascii="宋体" w:hAnsi="宋体"/>
          <w:b/>
          <w:bCs/>
          <w:color w:val="auto"/>
          <w:highlight w:val="none"/>
        </w:rPr>
        <w:t>网址：</w:t>
      </w:r>
      <w:r>
        <w:rPr>
          <w:color w:val="auto"/>
          <w:highlight w:val="none"/>
        </w:rPr>
        <w:fldChar w:fldCharType="begin"/>
      </w:r>
      <w:r>
        <w:rPr>
          <w:color w:val="auto"/>
          <w:highlight w:val="none"/>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color w:val="auto"/>
          <w:highlight w:val="none"/>
        </w:rPr>
        <w:fldChar w:fldCharType="separate"/>
      </w:r>
      <w:r>
        <w:rPr>
          <w:rFonts w:hint="eastAsia" w:ascii="宋体" w:hAnsi="宋体"/>
          <w:b/>
          <w:bCs/>
          <w:color w:val="auto"/>
          <w:highlight w:val="none"/>
        </w:rPr>
        <w:t>https://edu.zcygov.cn/luban/e-biding</w:t>
      </w:r>
      <w:r>
        <w:rPr>
          <w:rFonts w:hint="eastAsia" w:ascii="宋体" w:hAnsi="宋体"/>
          <w:b/>
          <w:bCs/>
          <w:color w:val="auto"/>
          <w:highlight w:val="none"/>
        </w:rPr>
        <w:fldChar w:fldCharType="end"/>
      </w:r>
    </w:p>
    <w:p w14:paraId="44E9AA90">
      <w:pPr>
        <w:pStyle w:val="29"/>
        <w:snapToGrid w:val="0"/>
        <w:spacing w:line="360" w:lineRule="auto"/>
        <w:ind w:right="42" w:rightChars="20" w:firstLine="422" w:firstLineChars="200"/>
        <w:jc w:val="left"/>
        <w:outlineLvl w:val="1"/>
        <w:rPr>
          <w:rFonts w:cs="宋体" w:asciiTheme="minorEastAsia" w:hAnsiTheme="minorEastAsia" w:eastAsiaTheme="minorEastAsia"/>
          <w:b/>
          <w:color w:val="auto"/>
          <w:szCs w:val="21"/>
          <w:highlight w:val="none"/>
        </w:rPr>
      </w:pPr>
      <w:bookmarkStart w:id="184" w:name="_Toc32243"/>
      <w:bookmarkStart w:id="185" w:name="_Toc33535357"/>
      <w:bookmarkStart w:id="186" w:name="_Toc50012863"/>
      <w:r>
        <w:rPr>
          <w:rFonts w:hint="eastAsia" w:cs="宋体" w:asciiTheme="minorEastAsia" w:hAnsiTheme="minorEastAsia" w:eastAsiaTheme="minorEastAsia"/>
          <w:b/>
          <w:color w:val="auto"/>
          <w:szCs w:val="21"/>
          <w:highlight w:val="none"/>
        </w:rPr>
        <w:t>总体要求：</w:t>
      </w:r>
      <w:bookmarkEnd w:id="184"/>
      <w:bookmarkEnd w:id="185"/>
      <w:bookmarkEnd w:id="186"/>
    </w:p>
    <w:p w14:paraId="7799F394">
      <w:pPr>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1、投标人</w:t>
      </w:r>
      <w:r>
        <w:rPr>
          <w:rFonts w:asciiTheme="minorEastAsia" w:hAnsiTheme="minorEastAsia" w:eastAsiaTheme="minorEastAsia"/>
          <w:color w:val="auto"/>
          <w:szCs w:val="21"/>
          <w:highlight w:val="none"/>
        </w:rPr>
        <w:t xml:space="preserve">应仔细阅读招标文件的所有内容，按本文件的要求提供投标文件，并保证所提供的全部资料的真实性，以使其投标文件对招标文件作出实质性响应，否则，投标文件可能视为无效投标文件。 </w:t>
      </w:r>
    </w:p>
    <w:p w14:paraId="2346EA32">
      <w:pPr>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2、投标文件及投标人与采购有关的来往通知，函件和文件均应使用中文。</w:t>
      </w:r>
    </w:p>
    <w:p w14:paraId="5031271D">
      <w:pPr>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3、投标人应按本文件中提供的文件格式、内容和要求制作投标文件。</w:t>
      </w:r>
    </w:p>
    <w:p w14:paraId="058EA6F6">
      <w:pPr>
        <w:spacing w:line="360" w:lineRule="auto"/>
        <w:ind w:right="42" w:rightChars="20" w:firstLine="422" w:firstLineChars="200"/>
        <w:jc w:val="left"/>
        <w:rPr>
          <w:rFonts w:cs="宋体" w:asciiTheme="minorEastAsia" w:hAnsiTheme="minorEastAsia" w:eastAsiaTheme="minorEastAsia"/>
          <w:bCs/>
          <w:color w:val="auto"/>
          <w:szCs w:val="21"/>
          <w:highlight w:val="none"/>
        </w:rPr>
      </w:pPr>
      <w:r>
        <w:rPr>
          <w:rFonts w:hint="eastAsia" w:asciiTheme="minorEastAsia" w:hAnsiTheme="minorEastAsia" w:eastAsiaTheme="minorEastAsia"/>
          <w:b/>
          <w:color w:val="auto"/>
          <w:szCs w:val="21"/>
          <w:highlight w:val="none"/>
        </w:rPr>
        <w:t>4、投标文件的效力：投标文件的启用，按先后顺位分别为电子投标文件、电子</w:t>
      </w:r>
      <w:r>
        <w:rPr>
          <w:rFonts w:hint="eastAsia" w:cs="宋体" w:asciiTheme="minorEastAsia" w:hAnsiTheme="minorEastAsia" w:eastAsiaTheme="minorEastAsia"/>
          <w:bCs/>
          <w:color w:val="auto"/>
          <w:szCs w:val="21"/>
          <w:highlight w:val="none"/>
        </w:rPr>
        <w:t>备份投标文件</w:t>
      </w:r>
      <w:r>
        <w:rPr>
          <w:rFonts w:hint="eastAsia" w:asciiTheme="minorEastAsia" w:hAnsiTheme="minorEastAsia" w:eastAsiaTheme="minorEastAsia"/>
          <w:b/>
          <w:color w:val="auto"/>
          <w:szCs w:val="21"/>
          <w:highlight w:val="none"/>
        </w:rPr>
        <w:t>。</w:t>
      </w:r>
      <w:r>
        <w:rPr>
          <w:rFonts w:hint="eastAsia" w:cs="宋体" w:asciiTheme="minorEastAsia" w:hAnsiTheme="minorEastAsia" w:eastAsiaTheme="minorEastAsia"/>
          <w:bCs/>
          <w:color w:val="auto"/>
          <w:szCs w:val="21"/>
          <w:highlight w:val="none"/>
        </w:rPr>
        <w:t>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29C36D7">
      <w:pPr>
        <w:snapToGrid w:val="0"/>
        <w:spacing w:line="360" w:lineRule="auto"/>
        <w:ind w:right="42" w:rightChars="20" w:firstLine="422" w:firstLineChars="200"/>
        <w:jc w:val="left"/>
        <w:outlineLvl w:val="0"/>
        <w:rPr>
          <w:rFonts w:asciiTheme="minorEastAsia" w:hAnsiTheme="minorEastAsia" w:eastAsiaTheme="minorEastAsia"/>
          <w:b/>
          <w:color w:val="auto"/>
          <w:szCs w:val="21"/>
          <w:highlight w:val="none"/>
        </w:rPr>
      </w:pPr>
      <w:bookmarkStart w:id="187" w:name="_Toc1053"/>
      <w:bookmarkStart w:id="188" w:name="_Toc406402988"/>
      <w:bookmarkStart w:id="189" w:name="_Toc406402944"/>
      <w:bookmarkStart w:id="190" w:name="_Toc33535358"/>
      <w:bookmarkStart w:id="191" w:name="_Toc50012864"/>
      <w:r>
        <w:rPr>
          <w:rFonts w:hint="eastAsia" w:asciiTheme="minorEastAsia" w:hAnsiTheme="minorEastAsia" w:eastAsiaTheme="minorEastAsia"/>
          <w:b/>
          <w:color w:val="auto"/>
          <w:szCs w:val="21"/>
          <w:highlight w:val="none"/>
        </w:rPr>
        <w:t>（一）投标文件的组成</w:t>
      </w:r>
      <w:bookmarkEnd w:id="187"/>
      <w:bookmarkEnd w:id="188"/>
      <w:bookmarkEnd w:id="189"/>
      <w:bookmarkEnd w:id="190"/>
      <w:bookmarkEnd w:id="191"/>
    </w:p>
    <w:p w14:paraId="52F0F8CF">
      <w:pPr>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包括电子投标文件和电子</w:t>
      </w:r>
      <w:r>
        <w:rPr>
          <w:rFonts w:hint="eastAsia" w:cs="宋体" w:asciiTheme="minorEastAsia" w:hAnsiTheme="minorEastAsia" w:eastAsiaTheme="minorEastAsia"/>
          <w:bCs/>
          <w:color w:val="auto"/>
          <w:szCs w:val="21"/>
          <w:highlight w:val="none"/>
        </w:rPr>
        <w:t>备份投标文件（选送）</w:t>
      </w:r>
      <w:r>
        <w:rPr>
          <w:rFonts w:hint="eastAsia" w:asciiTheme="minorEastAsia" w:hAnsiTheme="minorEastAsia" w:eastAsiaTheme="minorEastAsia"/>
          <w:b/>
          <w:color w:val="auto"/>
          <w:szCs w:val="21"/>
          <w:highlight w:val="none"/>
        </w:rPr>
        <w:t>，均由资格投标文件、商务技术文件及投标报价文件三部份组成。其中电子投标文件中所须加盖公章部分均采用CA签章。</w:t>
      </w:r>
    </w:p>
    <w:p w14:paraId="37970804">
      <w:pPr>
        <w:numPr>
          <w:ilvl w:val="0"/>
          <w:numId w:val="4"/>
        </w:numPr>
        <w:snapToGrid w:val="0"/>
        <w:spacing w:line="360" w:lineRule="auto"/>
        <w:ind w:left="-2" w:right="42" w:rightChars="20" w:firstLine="422"/>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资格投标文件：</w:t>
      </w:r>
    </w:p>
    <w:p w14:paraId="61F7AAEB">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1、提供具有独立承担民事责任的能力、具有良好的商业信誉和健全的财务会计制度、具有履行合同所必需的设备和专业技术能力、有依法缴纳税收和社会保障资金的良好记录、参加政府采购活动前三年，在经营活动中没有重大违法记录、自招标公告发布之日起至投标截止日内任意时间的“信用中国”网站（www.creditchina.gov.cn）（未被信用中国网站</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Theme="minorEastAsia" w:hAnsiTheme="minorEastAsia" w:eastAsiaTheme="minorEastAsia"/>
          <w:color w:val="auto"/>
          <w:highlight w:val="none"/>
        </w:rPr>
        <w:t>列入失信被执行人、重大税收违法案件当事人名单</w:t>
      </w:r>
      <w:r>
        <w:rPr>
          <w:rFonts w:hint="eastAsia" w:asciiTheme="minorEastAsia" w:hAnsiTheme="minorEastAsia" w:eastAsiaTheme="minorEastAsia"/>
          <w:color w:val="auto"/>
          <w:highlight w:val="none"/>
        </w:rPr>
        <w:fldChar w:fldCharType="end"/>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、中国政府采购网（www.ccgp.gov.cn）（未被中国政府采购网</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Theme="minorEastAsia" w:hAnsiTheme="minorEastAsia" w:eastAsiaTheme="minorEastAsia"/>
          <w:color w:val="auto"/>
          <w:highlight w:val="none"/>
        </w:rPr>
        <w:t>列入政府采购严重违法失信行为记录名单</w:t>
      </w:r>
      <w:r>
        <w:rPr>
          <w:rFonts w:hint="eastAsia" w:asciiTheme="minorEastAsia" w:hAnsiTheme="minorEastAsia" w:eastAsiaTheme="minorEastAsia"/>
          <w:color w:val="auto"/>
          <w:highlight w:val="none"/>
        </w:rPr>
        <w:fldChar w:fldCharType="end"/>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）也没有因违反《浙江省政府采购投标人注册及诚信管理暂行办法》被列入“黑名单”，正在处罚有效期（详见格式）的承诺书；</w:t>
      </w:r>
    </w:p>
    <w:p w14:paraId="47A1BA9C">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法定代表人授权委托书</w:t>
      </w:r>
      <w:r>
        <w:rPr>
          <w:rFonts w:hint="eastAsia" w:asciiTheme="minorEastAsia" w:hAnsiTheme="minorEastAsia" w:eastAsiaTheme="minorEastAsia"/>
          <w:color w:val="auto"/>
          <w:szCs w:val="21"/>
          <w:highlight w:val="none"/>
        </w:rPr>
        <w:t>；</w:t>
      </w:r>
    </w:p>
    <w:p w14:paraId="23356012">
      <w:pPr>
        <w:pStyle w:val="4"/>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1.3联合体协议书（如为联合体投标的，则需提供联合体授权书）</w:t>
      </w:r>
    </w:p>
    <w:p w14:paraId="062CA500">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1.4、中小企业声明函、残疾人福利性单位声明函及其他符合政策性条件的承诺函。</w:t>
      </w:r>
    </w:p>
    <w:p w14:paraId="2C63A2E1">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1.5、</w:t>
      </w:r>
      <w:r>
        <w:rPr>
          <w:rFonts w:hint="eastAsia"/>
          <w:color w:val="auto"/>
          <w:highlight w:val="none"/>
        </w:rPr>
        <w:t>投标人符合特定条件的相关证明文件（如有）；</w:t>
      </w:r>
    </w:p>
    <w:p w14:paraId="70D262CB">
      <w:pPr>
        <w:spacing w:line="360" w:lineRule="auto"/>
        <w:ind w:right="42" w:rightChars="20"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2、商务技术文件</w:t>
      </w:r>
    </w:p>
    <w:p w14:paraId="4A3DF3DF">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2.1、投标声明书；</w:t>
      </w:r>
    </w:p>
    <w:p w14:paraId="0FD610E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2、类似案例成功的业绩</w:t>
      </w:r>
      <w:r>
        <w:rPr>
          <w:rFonts w:hint="eastAsia" w:asciiTheme="minorEastAsia" w:hAnsiTheme="minorEastAsia" w:eastAsiaTheme="minorEastAsia"/>
          <w:b/>
          <w:color w:val="auto"/>
          <w:szCs w:val="21"/>
          <w:highlight w:val="none"/>
        </w:rPr>
        <w:t>（合同复印件并CA签章）</w:t>
      </w:r>
      <w:r>
        <w:rPr>
          <w:rFonts w:hint="eastAsia" w:asciiTheme="minorEastAsia" w:hAnsiTheme="minorEastAsia" w:eastAsiaTheme="minorEastAsia"/>
          <w:color w:val="auto"/>
          <w:szCs w:val="21"/>
          <w:highlight w:val="none"/>
        </w:rPr>
        <w:t>；</w:t>
      </w:r>
    </w:p>
    <w:p w14:paraId="1B9D5B7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3、与本项目实施相关的投标人各类资质证书、认证证书、许可证等（如信誉荣誉、本地化服务等。</w:t>
      </w:r>
      <w:r>
        <w:rPr>
          <w:rFonts w:hint="eastAsia" w:asciiTheme="minorEastAsia" w:hAnsiTheme="minorEastAsia" w:eastAsiaTheme="minorEastAsia"/>
          <w:b/>
          <w:color w:val="auto"/>
          <w:szCs w:val="21"/>
          <w:highlight w:val="none"/>
        </w:rPr>
        <w:t>提供复印件并CA签章）（如有）</w:t>
      </w:r>
      <w:r>
        <w:rPr>
          <w:rFonts w:hint="eastAsia" w:asciiTheme="minorEastAsia" w:hAnsiTheme="minorEastAsia" w:eastAsiaTheme="minorEastAsia"/>
          <w:color w:val="auto"/>
          <w:szCs w:val="21"/>
          <w:highlight w:val="none"/>
        </w:rPr>
        <w:t>；</w:t>
      </w:r>
    </w:p>
    <w:p w14:paraId="6F5238A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2.4、投标人情况介绍；</w:t>
      </w:r>
    </w:p>
    <w:p w14:paraId="68DAF12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2.5、商务、技术响应表；</w:t>
      </w:r>
    </w:p>
    <w:p w14:paraId="2A2C25B4">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2.6、</w:t>
      </w:r>
      <w:r>
        <w:rPr>
          <w:rFonts w:asciiTheme="minorEastAsia" w:hAnsiTheme="minorEastAsia" w:eastAsiaTheme="minorEastAsia"/>
          <w:color w:val="auto"/>
          <w:szCs w:val="21"/>
          <w:highlight w:val="none"/>
        </w:rPr>
        <w:t>项目实施人员一览表</w:t>
      </w:r>
      <w:r>
        <w:rPr>
          <w:rFonts w:hint="eastAsia" w:asciiTheme="minorEastAsia" w:hAnsiTheme="minorEastAsia" w:eastAsiaTheme="minorEastAsia"/>
          <w:color w:val="auto"/>
          <w:szCs w:val="21"/>
          <w:highlight w:val="none"/>
        </w:rPr>
        <w:t>、距采购人最近或者能为本项目提供最优服务的网点情况表</w:t>
      </w:r>
    </w:p>
    <w:p w14:paraId="71F34F0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2.7、</w:t>
      </w:r>
      <w:r>
        <w:rPr>
          <w:rFonts w:asciiTheme="minorEastAsia" w:hAnsiTheme="minorEastAsia" w:eastAsiaTheme="minorEastAsia"/>
          <w:color w:val="auto"/>
          <w:szCs w:val="21"/>
          <w:highlight w:val="none"/>
        </w:rPr>
        <w:t>对招标项目的理解</w:t>
      </w:r>
      <w:r>
        <w:rPr>
          <w:rFonts w:hint="eastAsia" w:asciiTheme="minorEastAsia" w:hAnsiTheme="minorEastAsia" w:eastAsiaTheme="minorEastAsia"/>
          <w:color w:val="auto"/>
          <w:szCs w:val="21"/>
          <w:highlight w:val="none"/>
        </w:rPr>
        <w:t>；（格式自拟）</w:t>
      </w:r>
    </w:p>
    <w:p w14:paraId="0DBADD3F">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2.8、工作的实施方案；（根据实际情况拟定，结合评分内容编制，格式自拟）</w:t>
      </w:r>
    </w:p>
    <w:p w14:paraId="1127ECF1">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2.9、</w:t>
      </w:r>
      <w:r>
        <w:rPr>
          <w:rFonts w:asciiTheme="minorEastAsia" w:hAnsiTheme="minorEastAsia" w:eastAsiaTheme="minorEastAsia"/>
          <w:color w:val="auto"/>
          <w:szCs w:val="21"/>
          <w:highlight w:val="none"/>
        </w:rPr>
        <w:t>进度安排</w:t>
      </w:r>
      <w:r>
        <w:rPr>
          <w:rFonts w:hint="eastAsia" w:asciiTheme="minorEastAsia" w:hAnsiTheme="minorEastAsia" w:eastAsiaTheme="minorEastAsia"/>
          <w:color w:val="auto"/>
          <w:szCs w:val="21"/>
          <w:highlight w:val="none"/>
        </w:rPr>
        <w:t>、质量</w:t>
      </w:r>
      <w:r>
        <w:rPr>
          <w:rFonts w:asciiTheme="minorEastAsia" w:hAnsiTheme="minorEastAsia" w:eastAsiaTheme="minorEastAsia"/>
          <w:color w:val="auto"/>
          <w:szCs w:val="21"/>
          <w:highlight w:val="none"/>
        </w:rPr>
        <w:t>保障</w:t>
      </w:r>
      <w:r>
        <w:rPr>
          <w:rFonts w:hint="eastAsia" w:asciiTheme="minorEastAsia" w:hAnsiTheme="minorEastAsia" w:eastAsiaTheme="minorEastAsia"/>
          <w:color w:val="auto"/>
          <w:szCs w:val="21"/>
          <w:highlight w:val="none"/>
        </w:rPr>
        <w:t>、服务保障；（格式自拟）</w:t>
      </w:r>
    </w:p>
    <w:p w14:paraId="0734C2A4">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2.10、拟投入实施设备、备品备件耗材、备机（如需）；（格式自拟，包含品牌、型号、功能等）</w:t>
      </w:r>
    </w:p>
    <w:p w14:paraId="6EBABFAC">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2.11、</w:t>
      </w:r>
      <w:r>
        <w:rPr>
          <w:rFonts w:asciiTheme="minorEastAsia" w:hAnsiTheme="minorEastAsia" w:eastAsiaTheme="minorEastAsia"/>
          <w:color w:val="auto"/>
          <w:szCs w:val="21"/>
          <w:highlight w:val="none"/>
        </w:rPr>
        <w:t>投标人承诺给予招标人的各种优惠条件，包括售后服务等方面的优惠；</w:t>
      </w:r>
      <w:r>
        <w:rPr>
          <w:rFonts w:hint="eastAsia" w:asciiTheme="minorEastAsia" w:hAnsiTheme="minorEastAsia" w:eastAsiaTheme="minorEastAsia"/>
          <w:color w:val="auto"/>
          <w:szCs w:val="21"/>
          <w:highlight w:val="none"/>
        </w:rPr>
        <w:t>（格式自拟）</w:t>
      </w:r>
    </w:p>
    <w:p w14:paraId="2D947A1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2.12、投标人截止投标时间前三年内的奖惩情况说明，格式自拟；</w:t>
      </w:r>
    </w:p>
    <w:p w14:paraId="164A773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2.13、投标单位对本项目的合理化建议和改进措施；</w:t>
      </w:r>
    </w:p>
    <w:p w14:paraId="625349DF">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2.14、</w:t>
      </w:r>
      <w:r>
        <w:rPr>
          <w:rFonts w:asciiTheme="minorEastAsia" w:hAnsiTheme="minorEastAsia" w:eastAsiaTheme="minorEastAsia"/>
          <w:color w:val="auto"/>
          <w:szCs w:val="21"/>
          <w:highlight w:val="none"/>
        </w:rPr>
        <w:t>投标人需要说明的其他文件和说明（格式</w:t>
      </w:r>
      <w:r>
        <w:rPr>
          <w:rFonts w:hint="eastAsia" w:asciiTheme="minorEastAsia" w:hAnsiTheme="minorEastAsia" w:eastAsiaTheme="minorEastAsia"/>
          <w:color w:val="auto"/>
          <w:szCs w:val="21"/>
          <w:highlight w:val="none"/>
        </w:rPr>
        <w:t>自拟</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p>
    <w:p w14:paraId="6ACE28A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2.15、未尽事宜请各投标人按评分细则制作。</w:t>
      </w:r>
    </w:p>
    <w:p w14:paraId="05FBD7E4">
      <w:pPr>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3、投标报价文件：</w:t>
      </w:r>
    </w:p>
    <w:p w14:paraId="631373EC">
      <w:pPr>
        <w:tabs>
          <w:tab w:val="left" w:pos="3870"/>
          <w:tab w:val="left" w:pos="4085"/>
        </w:tabs>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3.1、投标函； </w:t>
      </w:r>
    </w:p>
    <w:p w14:paraId="759272D2">
      <w:pPr>
        <w:tabs>
          <w:tab w:val="left" w:pos="3870"/>
          <w:tab w:val="left" w:pos="4085"/>
        </w:tabs>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3.2、开标一览表；</w:t>
      </w:r>
    </w:p>
    <w:p w14:paraId="21E88949">
      <w:pPr>
        <w:tabs>
          <w:tab w:val="left" w:pos="3870"/>
          <w:tab w:val="left" w:pos="4085"/>
        </w:tabs>
        <w:snapToGrid w:val="0"/>
        <w:spacing w:line="360" w:lineRule="auto"/>
        <w:ind w:right="42" w:rightChars="20"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3.3、</w:t>
      </w:r>
      <w:r>
        <w:rPr>
          <w:rFonts w:hint="eastAsia" w:asciiTheme="minorEastAsia" w:hAnsiTheme="minorEastAsia" w:eastAsiaTheme="minorEastAsia"/>
          <w:bCs/>
          <w:color w:val="auto"/>
          <w:szCs w:val="21"/>
          <w:highlight w:val="none"/>
        </w:rPr>
        <w:t>分项报价明细表；</w:t>
      </w:r>
    </w:p>
    <w:p w14:paraId="24D2272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3.4、投标人针对报价需要说明的其他文件和说明。</w:t>
      </w:r>
    </w:p>
    <w:bookmarkEnd w:id="179"/>
    <w:p w14:paraId="7B475609">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92" w:name="_Toc8745"/>
      <w:bookmarkStart w:id="193" w:name="_Toc50012865"/>
      <w:bookmarkStart w:id="194" w:name="_Toc493511656"/>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注：法定代表人授权委托书、投标声明书、投标函、开标一览表必须由法定代表人</w:t>
      </w:r>
      <w:r>
        <w:rPr>
          <w:rFonts w:hint="eastAsia" w:asciiTheme="minorEastAsia" w:hAnsiTheme="minorEastAsia" w:eastAsiaTheme="minorEastAsia"/>
          <w:color w:val="auto"/>
          <w:szCs w:val="21"/>
          <w:highlight w:val="none"/>
        </w:rPr>
        <w:t>或负责人或授权代表</w:t>
      </w:r>
      <w:r>
        <w:rPr>
          <w:rFonts w:asciiTheme="minorEastAsia" w:hAnsiTheme="minorEastAsia" w:eastAsiaTheme="minorEastAsia"/>
          <w:color w:val="auto"/>
          <w:szCs w:val="21"/>
          <w:highlight w:val="none"/>
        </w:rPr>
        <w:t>签名并加盖单位公章。</w:t>
      </w:r>
      <w:bookmarkEnd w:id="192"/>
      <w:bookmarkEnd w:id="193"/>
      <w:bookmarkEnd w:id="194"/>
    </w:p>
    <w:bookmarkEnd w:id="180"/>
    <w:bookmarkEnd w:id="181"/>
    <w:bookmarkEnd w:id="182"/>
    <w:bookmarkEnd w:id="183"/>
    <w:p w14:paraId="4A13663D">
      <w:pPr>
        <w:snapToGrid w:val="0"/>
        <w:spacing w:line="360" w:lineRule="auto"/>
        <w:ind w:right="42" w:rightChars="20" w:firstLine="422" w:firstLineChars="200"/>
        <w:jc w:val="left"/>
        <w:outlineLvl w:val="0"/>
        <w:rPr>
          <w:rFonts w:asciiTheme="minorEastAsia" w:hAnsiTheme="minorEastAsia" w:eastAsiaTheme="minorEastAsia"/>
          <w:b/>
          <w:color w:val="auto"/>
          <w:szCs w:val="21"/>
          <w:highlight w:val="none"/>
        </w:rPr>
      </w:pPr>
      <w:bookmarkStart w:id="195" w:name="_Toc385854146"/>
      <w:bookmarkStart w:id="196" w:name="_Toc406402990"/>
      <w:bookmarkStart w:id="197" w:name="_Toc50012866"/>
      <w:bookmarkStart w:id="198" w:name="_Toc385854100"/>
      <w:bookmarkStart w:id="199" w:name="_Toc406402946"/>
      <w:bookmarkStart w:id="200" w:name="_Toc402963117"/>
      <w:bookmarkStart w:id="201" w:name="_Toc402963084"/>
      <w:bookmarkStart w:id="202" w:name="_Toc33535360"/>
      <w:bookmarkStart w:id="203" w:name="_Toc31513"/>
      <w:bookmarkStart w:id="204" w:name="_Toc493511751"/>
      <w:r>
        <w:rPr>
          <w:rFonts w:hint="eastAsia" w:asciiTheme="minorEastAsia" w:hAnsiTheme="minorEastAsia" w:eastAsiaTheme="minorEastAsia"/>
          <w:b/>
          <w:color w:val="auto"/>
          <w:szCs w:val="21"/>
          <w:highlight w:val="none"/>
        </w:rPr>
        <w:t>4、样品（详见采购需求中的要求）</w:t>
      </w:r>
    </w:p>
    <w:p w14:paraId="14A015FA">
      <w:pPr>
        <w:snapToGrid w:val="0"/>
        <w:spacing w:line="360" w:lineRule="auto"/>
        <w:ind w:right="42" w:rightChars="20" w:firstLine="422" w:firstLineChars="200"/>
        <w:jc w:val="left"/>
        <w:outlineLvl w:val="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（二）投标文件的语言及计量</w:t>
      </w:r>
      <w:bookmarkEnd w:id="195"/>
      <w:bookmarkEnd w:id="196"/>
      <w:bookmarkEnd w:id="197"/>
      <w:bookmarkEnd w:id="198"/>
      <w:bookmarkEnd w:id="199"/>
      <w:bookmarkEnd w:id="200"/>
      <w:bookmarkEnd w:id="201"/>
      <w:bookmarkEnd w:id="202"/>
      <w:bookmarkEnd w:id="203"/>
    </w:p>
    <w:p w14:paraId="19DF984B">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投标文件以及投标方与</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就有关投标事宜的所有来往函电，均应以中文汉语书写。除签名、盖章、专用名称等特殊情形外，以中文汉语以外的文字表述的投标文件视同未提供。</w:t>
      </w:r>
    </w:p>
    <w:p w14:paraId="281D72A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投标计量单位，招标文件已有明确规定的，使用招标文件规定的计量单位；招标文件没有规定的，应采用中华人民共和国法定计量单位（货币单位：人民币元），否则视同未响应。</w:t>
      </w:r>
    </w:p>
    <w:p w14:paraId="3E4C2D8F">
      <w:pPr>
        <w:snapToGrid w:val="0"/>
        <w:spacing w:line="360" w:lineRule="auto"/>
        <w:ind w:right="42" w:rightChars="20" w:firstLine="422" w:firstLineChars="200"/>
        <w:contextualSpacing/>
        <w:jc w:val="left"/>
        <w:outlineLvl w:val="0"/>
        <w:rPr>
          <w:rFonts w:asciiTheme="minorEastAsia" w:hAnsiTheme="minorEastAsia" w:eastAsiaTheme="minorEastAsia"/>
          <w:b/>
          <w:color w:val="auto"/>
          <w:szCs w:val="21"/>
          <w:highlight w:val="none"/>
        </w:rPr>
      </w:pPr>
      <w:bookmarkStart w:id="205" w:name="_Toc402963118"/>
      <w:bookmarkStart w:id="206" w:name="_Toc406402991"/>
      <w:bookmarkStart w:id="207" w:name="_Toc50012867"/>
      <w:bookmarkStart w:id="208" w:name="_Toc402963085"/>
      <w:bookmarkStart w:id="209" w:name="_Toc18686"/>
      <w:bookmarkStart w:id="210" w:name="_Toc385854101"/>
      <w:bookmarkStart w:id="211" w:name="_Toc385854147"/>
      <w:bookmarkStart w:id="212" w:name="_Toc33535361"/>
      <w:bookmarkStart w:id="213" w:name="_Toc406402947"/>
      <w:r>
        <w:rPr>
          <w:rFonts w:hint="eastAsia" w:asciiTheme="minorEastAsia" w:hAnsiTheme="minorEastAsia" w:eastAsiaTheme="minorEastAsia"/>
          <w:b/>
          <w:color w:val="auto"/>
          <w:szCs w:val="21"/>
          <w:highlight w:val="none"/>
        </w:rPr>
        <w:t>（三）投标报价</w:t>
      </w:r>
      <w:bookmarkEnd w:id="205"/>
      <w:bookmarkEnd w:id="206"/>
      <w:bookmarkEnd w:id="207"/>
      <w:bookmarkEnd w:id="208"/>
      <w:bookmarkEnd w:id="209"/>
      <w:bookmarkEnd w:id="210"/>
      <w:bookmarkEnd w:id="211"/>
      <w:bookmarkEnd w:id="212"/>
      <w:bookmarkEnd w:id="213"/>
    </w:p>
    <w:p w14:paraId="282B93E7">
      <w:pPr>
        <w:pStyle w:val="29"/>
        <w:snapToGrid w:val="0"/>
        <w:spacing w:line="360" w:lineRule="auto"/>
        <w:ind w:right="42" w:rightChars="20" w:firstLine="420" w:firstLineChars="200"/>
        <w:contextualSpacing/>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投标报价应按招标文件中相关附表格式填写。</w:t>
      </w:r>
    </w:p>
    <w:p w14:paraId="768492AC">
      <w:pPr>
        <w:widowControl/>
        <w:spacing w:line="360" w:lineRule="auto"/>
        <w:ind w:right="42" w:rightChars="20" w:firstLine="480"/>
        <w:contextualSpacing/>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、投标报价应包括为本项目服务内容可能发生的所有费用，包括但不限于工作、生活、交通、通讯、设备（仪器）、劳力、利润、税收等一切费用。</w:t>
      </w:r>
    </w:p>
    <w:p w14:paraId="4FECDE15">
      <w:pPr>
        <w:pStyle w:val="29"/>
        <w:snapToGrid w:val="0"/>
        <w:spacing w:line="360" w:lineRule="auto"/>
        <w:ind w:right="42" w:rightChars="20" w:firstLine="420" w:firstLineChars="200"/>
        <w:contextualSpacing/>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投标文件只允许有一个报价，有选择的</w:t>
      </w:r>
      <w:r>
        <w:rPr>
          <w:rFonts w:hint="eastAsia" w:asciiTheme="minorEastAsia" w:hAnsiTheme="minorEastAsia" w:eastAsiaTheme="minorEastAsia"/>
          <w:color w:val="auto"/>
          <w:szCs w:val="21"/>
          <w:highlight w:val="none"/>
        </w:rPr>
        <w:t>或有条件的</w:t>
      </w:r>
      <w:r>
        <w:rPr>
          <w:rFonts w:asciiTheme="minorEastAsia" w:hAnsiTheme="minorEastAsia" w:eastAsiaTheme="minorEastAsia"/>
          <w:color w:val="auto"/>
          <w:szCs w:val="21"/>
          <w:highlight w:val="none"/>
        </w:rPr>
        <w:t>报价将不予接受。</w:t>
      </w:r>
    </w:p>
    <w:p w14:paraId="44CD4E00">
      <w:pPr>
        <w:pStyle w:val="17"/>
        <w:widowControl w:val="0"/>
        <w:tabs>
          <w:tab w:val="clear" w:pos="454"/>
        </w:tabs>
        <w:snapToGrid w:val="0"/>
        <w:spacing w:afterLines="0" w:line="360" w:lineRule="auto"/>
        <w:ind w:left="0" w:right="42" w:rightChars="20" w:firstLine="422" w:firstLineChars="200"/>
        <w:contextualSpacing/>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（四）投标文件的有效期</w:t>
      </w:r>
    </w:p>
    <w:p w14:paraId="52C8D9C1">
      <w:pPr>
        <w:pStyle w:val="17"/>
        <w:widowControl w:val="0"/>
        <w:tabs>
          <w:tab w:val="left" w:pos="4500"/>
          <w:tab w:val="clear" w:pos="454"/>
        </w:tabs>
        <w:snapToGrid w:val="0"/>
        <w:spacing w:afterLines="0" w:line="360" w:lineRule="auto"/>
        <w:ind w:left="0" w:right="42" w:rightChars="20" w:firstLine="420" w:firstLineChars="200"/>
        <w:contextualSpacing/>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自投标截止日起</w:t>
      </w:r>
      <w:r>
        <w:rPr>
          <w:rFonts w:hint="eastAsia" w:asciiTheme="minorEastAsia" w:hAnsiTheme="minorEastAsia" w:eastAsiaTheme="minorEastAsia"/>
          <w:color w:val="auto"/>
          <w:sz w:val="21"/>
          <w:szCs w:val="21"/>
          <w:highlight w:val="none"/>
          <w:u w:val="single"/>
        </w:rPr>
        <w:t>60</w:t>
      </w:r>
      <w:r>
        <w:rPr>
          <w:rFonts w:asciiTheme="minorEastAsia" w:hAnsiTheme="minorEastAsia" w:eastAsiaTheme="minorEastAsia"/>
          <w:color w:val="auto"/>
          <w:sz w:val="21"/>
          <w:szCs w:val="21"/>
          <w:highlight w:val="none"/>
        </w:rPr>
        <w:t>天投标</w:t>
      </w:r>
      <w:r>
        <w:rPr>
          <w:rFonts w:hint="eastAsia" w:asciiTheme="minorEastAsia" w:hAnsiTheme="minorEastAsia" w:eastAsiaTheme="minorEastAsia"/>
          <w:color w:val="auto"/>
          <w:sz w:val="21"/>
          <w:szCs w:val="21"/>
          <w:highlight w:val="none"/>
        </w:rPr>
        <w:t>文件</w:t>
      </w:r>
      <w:r>
        <w:rPr>
          <w:rFonts w:asciiTheme="minorEastAsia" w:hAnsiTheme="minorEastAsia" w:eastAsiaTheme="minorEastAsia"/>
          <w:color w:val="auto"/>
          <w:sz w:val="21"/>
          <w:szCs w:val="21"/>
          <w:highlight w:val="none"/>
        </w:rPr>
        <w:t>应保持有效。有效期</w:t>
      </w:r>
      <w:r>
        <w:rPr>
          <w:rFonts w:hint="eastAsia" w:asciiTheme="minorEastAsia" w:hAnsiTheme="minorEastAsia" w:eastAsiaTheme="minorEastAsia"/>
          <w:color w:val="auto"/>
          <w:sz w:val="21"/>
          <w:szCs w:val="21"/>
          <w:highlight w:val="none"/>
        </w:rPr>
        <w:t>不足</w:t>
      </w:r>
      <w:r>
        <w:rPr>
          <w:rFonts w:asciiTheme="minorEastAsia" w:hAnsiTheme="minorEastAsia" w:eastAsiaTheme="minorEastAsia"/>
          <w:color w:val="auto"/>
          <w:sz w:val="21"/>
          <w:szCs w:val="21"/>
          <w:highlight w:val="none"/>
        </w:rPr>
        <w:t>的投标</w:t>
      </w:r>
      <w:r>
        <w:rPr>
          <w:rFonts w:hint="eastAsia" w:asciiTheme="minorEastAsia" w:hAnsiTheme="minorEastAsia" w:eastAsiaTheme="minorEastAsia"/>
          <w:color w:val="auto"/>
          <w:sz w:val="21"/>
          <w:szCs w:val="21"/>
          <w:highlight w:val="none"/>
        </w:rPr>
        <w:t>文件</w:t>
      </w:r>
      <w:r>
        <w:rPr>
          <w:rFonts w:asciiTheme="minorEastAsia" w:hAnsiTheme="minorEastAsia" w:eastAsiaTheme="minorEastAsia"/>
          <w:color w:val="auto"/>
          <w:sz w:val="21"/>
          <w:szCs w:val="21"/>
          <w:highlight w:val="none"/>
        </w:rPr>
        <w:t>将被拒绝。</w:t>
      </w:r>
    </w:p>
    <w:p w14:paraId="1B232471">
      <w:pPr>
        <w:pStyle w:val="17"/>
        <w:widowControl w:val="0"/>
        <w:tabs>
          <w:tab w:val="clear" w:pos="454"/>
        </w:tabs>
        <w:snapToGrid w:val="0"/>
        <w:spacing w:afterLines="0" w:line="360" w:lineRule="auto"/>
        <w:ind w:left="0" w:right="42" w:rightChars="20" w:firstLine="420" w:firstLineChars="200"/>
        <w:contextualSpacing/>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在特殊情况下，</w:t>
      </w:r>
      <w:r>
        <w:rPr>
          <w:rFonts w:hint="eastAsia" w:asciiTheme="minorEastAsia" w:hAnsiTheme="minorEastAsia" w:eastAsiaTheme="minorEastAsia"/>
          <w:color w:val="auto"/>
          <w:sz w:val="21"/>
          <w:szCs w:val="21"/>
          <w:highlight w:val="none"/>
        </w:rPr>
        <w:t>采购人</w:t>
      </w:r>
      <w:r>
        <w:rPr>
          <w:rFonts w:asciiTheme="minorEastAsia" w:hAnsiTheme="minorEastAsia" w:eastAsiaTheme="minorEastAsia"/>
          <w:color w:val="auto"/>
          <w:sz w:val="21"/>
          <w:szCs w:val="21"/>
          <w:highlight w:val="none"/>
        </w:rPr>
        <w:t>可与投标人协商延长投标书的有效期，这种要求和答复均以书面形式进行。</w:t>
      </w:r>
    </w:p>
    <w:p w14:paraId="3E339C64">
      <w:pPr>
        <w:pStyle w:val="17"/>
        <w:widowControl w:val="0"/>
        <w:tabs>
          <w:tab w:val="left" w:pos="4500"/>
          <w:tab w:val="clear" w:pos="454"/>
        </w:tabs>
        <w:snapToGrid w:val="0"/>
        <w:spacing w:afterLines="0" w:line="360" w:lineRule="auto"/>
        <w:ind w:left="0" w:right="42" w:rightChars="20" w:firstLine="420" w:firstLineChars="200"/>
        <w:contextualSpacing/>
        <w:rPr>
          <w:rFonts w:asciiTheme="minorEastAsia" w:hAnsiTheme="minorEastAsia" w:eastAsiaTheme="minorEastAsia"/>
          <w:color w:val="auto"/>
          <w:sz w:val="21"/>
          <w:szCs w:val="21"/>
          <w:highlight w:val="none"/>
        </w:rPr>
      </w:pPr>
      <w:bookmarkStart w:id="214" w:name="_Toc402963119"/>
      <w:bookmarkStart w:id="215" w:name="_Toc402963086"/>
      <w:bookmarkStart w:id="216" w:name="_Toc33535362"/>
      <w:bookmarkStart w:id="217" w:name="_Toc406402992"/>
      <w:bookmarkStart w:id="218" w:name="_Toc406402948"/>
      <w:bookmarkStart w:id="219" w:name="_Toc385854102"/>
      <w:bookmarkStart w:id="220" w:name="_Toc385854148"/>
      <w:bookmarkStart w:id="221" w:name="_Toc50012868"/>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投标人可拒绝接受延期要求。同意延长有效期的投标人不能修改投标文件。</w:t>
      </w:r>
      <w:bookmarkEnd w:id="214"/>
      <w:bookmarkEnd w:id="215"/>
      <w:bookmarkEnd w:id="216"/>
      <w:bookmarkEnd w:id="217"/>
      <w:bookmarkEnd w:id="218"/>
      <w:bookmarkEnd w:id="219"/>
      <w:bookmarkEnd w:id="220"/>
      <w:bookmarkEnd w:id="221"/>
    </w:p>
    <w:p w14:paraId="357E517B">
      <w:pPr>
        <w:pStyle w:val="17"/>
        <w:widowControl w:val="0"/>
        <w:tabs>
          <w:tab w:val="left" w:pos="4500"/>
          <w:tab w:val="clear" w:pos="454"/>
        </w:tabs>
        <w:snapToGrid w:val="0"/>
        <w:spacing w:afterLines="0" w:line="360" w:lineRule="auto"/>
        <w:ind w:left="0" w:right="42" w:rightChars="20" w:firstLine="420" w:firstLineChars="200"/>
        <w:contextualSpacing/>
        <w:rPr>
          <w:rFonts w:asciiTheme="minorEastAsia" w:hAnsiTheme="minorEastAsia" w:eastAsiaTheme="minorEastAsia"/>
          <w:color w:val="auto"/>
          <w:sz w:val="21"/>
          <w:szCs w:val="21"/>
          <w:highlight w:val="none"/>
        </w:rPr>
      </w:pPr>
      <w:bookmarkStart w:id="222" w:name="_Toc385854103"/>
      <w:bookmarkStart w:id="223" w:name="_Toc385854149"/>
      <w:bookmarkStart w:id="224" w:name="_Toc406402949"/>
      <w:bookmarkStart w:id="225" w:name="_Toc402963087"/>
      <w:bookmarkStart w:id="226" w:name="_Toc406402993"/>
      <w:bookmarkStart w:id="227" w:name="_Toc33535363"/>
      <w:bookmarkStart w:id="228" w:name="_Toc402963120"/>
      <w:bookmarkStart w:id="229" w:name="_Toc50012869"/>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中标人的投标文件自开标之日起至合同履行完毕止均应保持有效。</w:t>
      </w:r>
      <w:bookmarkEnd w:id="222"/>
      <w:bookmarkEnd w:id="223"/>
      <w:bookmarkEnd w:id="224"/>
      <w:bookmarkEnd w:id="225"/>
      <w:bookmarkEnd w:id="226"/>
      <w:bookmarkEnd w:id="227"/>
      <w:bookmarkEnd w:id="228"/>
      <w:bookmarkEnd w:id="229"/>
    </w:p>
    <w:p w14:paraId="22712785">
      <w:pPr>
        <w:snapToGrid w:val="0"/>
        <w:spacing w:line="360" w:lineRule="auto"/>
        <w:ind w:right="42" w:rightChars="20" w:firstLine="422" w:firstLineChars="200"/>
        <w:contextualSpacing/>
        <w:jc w:val="left"/>
        <w:outlineLvl w:val="0"/>
        <w:rPr>
          <w:rFonts w:asciiTheme="minorEastAsia" w:hAnsiTheme="minorEastAsia" w:eastAsiaTheme="minorEastAsia"/>
          <w:b/>
          <w:color w:val="auto"/>
          <w:szCs w:val="21"/>
          <w:highlight w:val="none"/>
        </w:rPr>
      </w:pPr>
      <w:bookmarkStart w:id="230" w:name="_Toc406402951"/>
      <w:bookmarkStart w:id="231" w:name="_Toc385854151"/>
      <w:bookmarkStart w:id="232" w:name="_Toc406402995"/>
      <w:bookmarkStart w:id="233" w:name="_Toc50012870"/>
      <w:bookmarkStart w:id="234" w:name="_Toc402963089"/>
      <w:bookmarkStart w:id="235" w:name="_Toc402963122"/>
      <w:bookmarkStart w:id="236" w:name="_Toc16226"/>
      <w:bookmarkStart w:id="237" w:name="_Toc33535364"/>
      <w:bookmarkStart w:id="238" w:name="_Toc385854105"/>
      <w:r>
        <w:rPr>
          <w:rFonts w:hint="eastAsia" w:asciiTheme="minorEastAsia" w:hAnsiTheme="minorEastAsia" w:eastAsiaTheme="minorEastAsia"/>
          <w:b/>
          <w:color w:val="auto"/>
          <w:szCs w:val="21"/>
          <w:highlight w:val="none"/>
        </w:rPr>
        <w:t>（五）投标文件的签署和份数</w:t>
      </w:r>
      <w:bookmarkEnd w:id="230"/>
      <w:bookmarkEnd w:id="231"/>
      <w:bookmarkEnd w:id="232"/>
      <w:bookmarkEnd w:id="233"/>
      <w:bookmarkEnd w:id="234"/>
      <w:bookmarkEnd w:id="235"/>
      <w:bookmarkEnd w:id="236"/>
      <w:bookmarkEnd w:id="237"/>
      <w:bookmarkEnd w:id="238"/>
    </w:p>
    <w:p w14:paraId="487256FC">
      <w:pPr>
        <w:snapToGrid w:val="0"/>
        <w:spacing w:line="360" w:lineRule="auto"/>
        <w:ind w:right="42" w:rightChars="20" w:firstLine="420" w:firstLineChars="200"/>
        <w:contextualSpacing/>
        <w:jc w:val="left"/>
        <w:outlineLvl w:val="0"/>
        <w:rPr>
          <w:rFonts w:cs="微软雅黑" w:asciiTheme="minorEastAsia" w:hAnsiTheme="minorEastAsia" w:eastAsiaTheme="minorEastAsia"/>
          <w:b/>
          <w:bCs/>
          <w:color w:val="auto"/>
          <w:szCs w:val="21"/>
          <w:highlight w:val="none"/>
        </w:rPr>
      </w:pPr>
      <w:bookmarkStart w:id="239" w:name="_Toc50012871"/>
      <w:bookmarkStart w:id="240" w:name="_Toc15727"/>
      <w:r>
        <w:rPr>
          <w:rFonts w:hint="eastAsia" w:cs="宋体" w:asciiTheme="minorEastAsia" w:hAnsiTheme="minorEastAsia" w:eastAsiaTheme="minorEastAsia"/>
          <w:color w:val="auto"/>
          <w:szCs w:val="21"/>
          <w:highlight w:val="none"/>
        </w:rPr>
        <w:t>投标文件的形式：</w:t>
      </w:r>
      <w:r>
        <w:rPr>
          <w:rFonts w:hint="eastAsia" w:eastAsia="MS Mincho" w:cs="MS Mincho" w:asciiTheme="minorEastAsia" w:hAnsiTheme="minorEastAsia"/>
          <w:b/>
          <w:bCs/>
          <w:color w:val="auto"/>
          <w:szCs w:val="21"/>
          <w:highlight w:val="none"/>
        </w:rPr>
        <w:t>☑</w:t>
      </w:r>
      <w:r>
        <w:rPr>
          <w:rFonts w:hint="eastAsia" w:cs="微软雅黑" w:asciiTheme="minorEastAsia" w:hAnsiTheme="minorEastAsia" w:eastAsiaTheme="minorEastAsia"/>
          <w:b/>
          <w:bCs/>
          <w:color w:val="auto"/>
          <w:szCs w:val="21"/>
          <w:highlight w:val="none"/>
        </w:rPr>
        <w:t>电子投标文件（包括“电子加密投标文件”和“备份投标文件”，在投标文件编制完成后同时生成）；</w:t>
      </w:r>
      <w:bookmarkEnd w:id="239"/>
      <w:bookmarkEnd w:id="240"/>
    </w:p>
    <w:p w14:paraId="002770EA">
      <w:pPr>
        <w:snapToGrid w:val="0"/>
        <w:spacing w:line="360" w:lineRule="auto"/>
        <w:ind w:right="42" w:rightChars="20" w:firstLine="422" w:firstLineChars="200"/>
        <w:contextualSpacing/>
        <w:jc w:val="left"/>
        <w:outlineLvl w:val="0"/>
        <w:rPr>
          <w:rFonts w:cs="宋体" w:asciiTheme="minorEastAsia" w:hAnsiTheme="minorEastAsia" w:eastAsiaTheme="minorEastAsia"/>
          <w:b/>
          <w:bCs/>
          <w:color w:val="auto"/>
          <w:szCs w:val="21"/>
          <w:highlight w:val="none"/>
        </w:rPr>
      </w:pPr>
      <w:bookmarkStart w:id="241" w:name="_Toc50012872"/>
      <w:bookmarkStart w:id="242" w:name="_Toc23368"/>
      <w:r>
        <w:rPr>
          <w:rFonts w:hint="eastAsia" w:cs="宋体" w:asciiTheme="minorEastAsia" w:hAnsiTheme="minorEastAsia" w:eastAsiaTheme="minorEastAsia"/>
          <w:b/>
          <w:bCs/>
          <w:color w:val="auto"/>
          <w:szCs w:val="21"/>
          <w:highlight w:val="none"/>
        </w:rPr>
        <w:t>（1）“电子加密投标文件”是指通过“政采云电子交易客户端”完成投标文件编制后生成并加密的数据电文形式的投标文件。</w:t>
      </w:r>
      <w:bookmarkEnd w:id="241"/>
      <w:bookmarkEnd w:id="242"/>
    </w:p>
    <w:p w14:paraId="15F0AD34">
      <w:pPr>
        <w:snapToGrid w:val="0"/>
        <w:spacing w:line="360" w:lineRule="auto"/>
        <w:ind w:right="42" w:rightChars="20" w:firstLine="422" w:firstLineChars="200"/>
        <w:contextualSpacing/>
        <w:jc w:val="left"/>
        <w:outlineLvl w:val="0"/>
        <w:rPr>
          <w:rFonts w:cs="宋体" w:asciiTheme="minorEastAsia" w:hAnsiTheme="minorEastAsia" w:eastAsiaTheme="minorEastAsia"/>
          <w:b/>
          <w:bCs/>
          <w:color w:val="auto"/>
          <w:szCs w:val="21"/>
          <w:highlight w:val="none"/>
        </w:rPr>
      </w:pPr>
      <w:bookmarkStart w:id="243" w:name="_Toc50012873"/>
      <w:bookmarkStart w:id="244" w:name="_Toc18098"/>
      <w:r>
        <w:rPr>
          <w:rFonts w:hint="eastAsia" w:cs="宋体" w:asciiTheme="minorEastAsia" w:hAnsiTheme="minorEastAsia" w:eastAsiaTheme="minorEastAsia"/>
          <w:b/>
          <w:bCs/>
          <w:color w:val="auto"/>
          <w:szCs w:val="21"/>
          <w:highlight w:val="none"/>
        </w:rPr>
        <w:t>（2）“备份投标文件”是指与“电子加密投标文件”同时生成的数据电文形式的电子文件（备份标书），其他方式编制的备份投标文件视为无效备份投标文件。</w:t>
      </w:r>
      <w:bookmarkEnd w:id="243"/>
      <w:bookmarkEnd w:id="244"/>
    </w:p>
    <w:p w14:paraId="7F61EACA">
      <w:pPr>
        <w:snapToGrid w:val="0"/>
        <w:spacing w:line="360" w:lineRule="auto"/>
        <w:ind w:right="42" w:rightChars="20" w:firstLine="422" w:firstLineChars="200"/>
        <w:contextualSpacing/>
        <w:jc w:val="left"/>
        <w:outlineLvl w:val="0"/>
        <w:rPr>
          <w:rFonts w:cs="宋体" w:asciiTheme="minorEastAsia" w:hAnsiTheme="minorEastAsia" w:eastAsiaTheme="minorEastAsia"/>
          <w:b/>
          <w:bCs/>
          <w:color w:val="auto"/>
          <w:szCs w:val="21"/>
          <w:highlight w:val="none"/>
        </w:rPr>
      </w:pPr>
      <w:bookmarkStart w:id="245" w:name="_Toc50012874"/>
      <w:bookmarkStart w:id="246" w:name="_Toc20165"/>
      <w:r>
        <w:rPr>
          <w:rFonts w:hint="eastAsia" w:cs="宋体" w:asciiTheme="minorEastAsia" w:hAnsiTheme="minorEastAsia" w:eastAsiaTheme="minorEastAsia"/>
          <w:b/>
          <w:bCs/>
          <w:color w:val="auto"/>
          <w:szCs w:val="21"/>
          <w:highlight w:val="none"/>
        </w:rPr>
        <w:t>（六）</w:t>
      </w:r>
      <w:bookmarkStart w:id="247" w:name="_Toc33535368"/>
      <w:r>
        <w:rPr>
          <w:rFonts w:hint="eastAsia" w:cs="宋体" w:asciiTheme="minorEastAsia" w:hAnsiTheme="minorEastAsia" w:eastAsiaTheme="minorEastAsia"/>
          <w:b/>
          <w:bCs/>
          <w:color w:val="auto"/>
          <w:szCs w:val="21"/>
          <w:highlight w:val="none"/>
        </w:rPr>
        <w:t>投标文件的上传和递交：</w:t>
      </w:r>
      <w:bookmarkEnd w:id="245"/>
      <w:bookmarkEnd w:id="246"/>
    </w:p>
    <w:p w14:paraId="32ADDF99">
      <w:pPr>
        <w:snapToGrid w:val="0"/>
        <w:spacing w:line="360" w:lineRule="auto"/>
        <w:ind w:right="42" w:rightChars="20" w:firstLine="422" w:firstLineChars="200"/>
        <w:contextualSpacing/>
        <w:jc w:val="left"/>
        <w:outlineLvl w:val="0"/>
        <w:rPr>
          <w:rFonts w:cs="宋体" w:asciiTheme="minorEastAsia" w:hAnsiTheme="minorEastAsia" w:eastAsiaTheme="minorEastAsia"/>
          <w:b/>
          <w:bCs/>
          <w:color w:val="auto"/>
          <w:szCs w:val="21"/>
          <w:highlight w:val="none"/>
        </w:rPr>
      </w:pPr>
      <w:bookmarkStart w:id="248" w:name="_Toc50012875"/>
      <w:bookmarkStart w:id="249" w:name="_Toc19460"/>
      <w:r>
        <w:rPr>
          <w:rFonts w:hint="eastAsia" w:cs="宋体" w:asciiTheme="minorEastAsia" w:hAnsiTheme="minorEastAsia" w:eastAsiaTheme="minorEastAsia"/>
          <w:b/>
          <w:bCs/>
          <w:color w:val="auto"/>
          <w:szCs w:val="21"/>
          <w:highlight w:val="none"/>
        </w:rPr>
        <w:t>（1）“电子加密投标文件”的上传、递交：</w:t>
      </w:r>
      <w:bookmarkEnd w:id="248"/>
      <w:bookmarkEnd w:id="249"/>
    </w:p>
    <w:p w14:paraId="5546E211">
      <w:pPr>
        <w:snapToGrid w:val="0"/>
        <w:spacing w:line="360" w:lineRule="auto"/>
        <w:ind w:right="42" w:rightChars="20" w:firstLine="422" w:firstLineChars="200"/>
        <w:jc w:val="left"/>
        <w:outlineLvl w:val="0"/>
        <w:rPr>
          <w:rFonts w:cs="宋体" w:asciiTheme="minorEastAsia" w:hAnsiTheme="minorEastAsia" w:eastAsiaTheme="minorEastAsia"/>
          <w:b/>
          <w:bCs/>
          <w:color w:val="auto"/>
          <w:szCs w:val="21"/>
          <w:highlight w:val="none"/>
        </w:rPr>
      </w:pPr>
      <w:bookmarkStart w:id="250" w:name="_Toc50012876"/>
      <w:bookmarkStart w:id="251" w:name="_Toc30349"/>
      <w:r>
        <w:rPr>
          <w:rFonts w:cs="宋体" w:asciiTheme="minorEastAsia" w:hAnsiTheme="minorEastAsia" w:eastAsiaTheme="minorEastAsia"/>
          <w:b/>
          <w:bCs/>
          <w:color w:val="auto"/>
          <w:szCs w:val="21"/>
          <w:highlight w:val="none"/>
        </w:rPr>
        <w:t>A</w:t>
      </w:r>
      <w:r>
        <w:rPr>
          <w:rFonts w:hint="eastAsia" w:cs="宋体" w:asciiTheme="minorEastAsia" w:hAnsiTheme="minorEastAsia" w:eastAsiaTheme="minorEastAsia"/>
          <w:b/>
          <w:bCs/>
          <w:color w:val="auto"/>
          <w:szCs w:val="21"/>
          <w:highlight w:val="none"/>
        </w:rPr>
        <w:t>、投标人应在投标截止时间前将“电子加密投标文件”成功上传递交至“政府采购云平台”，否则投标无效。</w:t>
      </w:r>
      <w:bookmarkEnd w:id="250"/>
      <w:bookmarkEnd w:id="251"/>
    </w:p>
    <w:p w14:paraId="27DFF123">
      <w:pPr>
        <w:snapToGrid w:val="0"/>
        <w:spacing w:line="360" w:lineRule="auto"/>
        <w:ind w:right="42" w:rightChars="20" w:firstLine="422" w:firstLineChars="200"/>
        <w:jc w:val="left"/>
        <w:outlineLvl w:val="0"/>
        <w:rPr>
          <w:rFonts w:cs="宋体" w:asciiTheme="minorEastAsia" w:hAnsiTheme="minorEastAsia" w:eastAsiaTheme="minorEastAsia"/>
          <w:b/>
          <w:bCs/>
          <w:color w:val="auto"/>
          <w:szCs w:val="21"/>
          <w:highlight w:val="none"/>
        </w:rPr>
      </w:pPr>
      <w:bookmarkStart w:id="252" w:name="_Toc10260"/>
      <w:bookmarkStart w:id="253" w:name="_Toc50012877"/>
      <w:r>
        <w:rPr>
          <w:rFonts w:cs="宋体" w:asciiTheme="minorEastAsia" w:hAnsiTheme="minorEastAsia" w:eastAsiaTheme="minorEastAsia"/>
          <w:b/>
          <w:bCs/>
          <w:color w:val="auto"/>
          <w:szCs w:val="21"/>
          <w:highlight w:val="none"/>
        </w:rPr>
        <w:t>B</w:t>
      </w:r>
      <w:r>
        <w:rPr>
          <w:rFonts w:hint="eastAsia" w:cs="宋体" w:asciiTheme="minorEastAsia" w:hAnsiTheme="minorEastAsia" w:eastAsiaTheme="minorEastAsia"/>
          <w:b/>
          <w:bCs/>
          <w:color w:val="auto"/>
          <w:szCs w:val="21"/>
          <w:highlight w:val="none"/>
        </w:rPr>
        <w:t>、“电子加密投标文件”成功上传递交后，投标人可自行打印投标文件接收回执。</w:t>
      </w:r>
      <w:bookmarkEnd w:id="252"/>
      <w:bookmarkEnd w:id="253"/>
    </w:p>
    <w:p w14:paraId="3F7203BB">
      <w:pPr>
        <w:snapToGrid w:val="0"/>
        <w:spacing w:line="360" w:lineRule="auto"/>
        <w:ind w:right="42" w:rightChars="20" w:firstLine="422" w:firstLineChars="200"/>
        <w:jc w:val="left"/>
        <w:outlineLvl w:val="0"/>
        <w:rPr>
          <w:rFonts w:cs="宋体" w:asciiTheme="minorEastAsia" w:hAnsiTheme="minorEastAsia" w:eastAsiaTheme="minorEastAsia"/>
          <w:b/>
          <w:bCs/>
          <w:color w:val="auto"/>
          <w:szCs w:val="21"/>
          <w:highlight w:val="none"/>
        </w:rPr>
      </w:pPr>
      <w:bookmarkStart w:id="254" w:name="_Toc50012878"/>
      <w:bookmarkStart w:id="255" w:name="_Toc30797"/>
      <w:r>
        <w:rPr>
          <w:rFonts w:hint="eastAsia" w:cs="宋体" w:asciiTheme="minorEastAsia" w:hAnsiTheme="minorEastAsia" w:eastAsiaTheme="minorEastAsia"/>
          <w:b/>
          <w:bCs/>
          <w:color w:val="auto"/>
          <w:szCs w:val="21"/>
          <w:highlight w:val="none"/>
        </w:rPr>
        <w:t>（2）“备份投标文件”的密封包装、递交：</w:t>
      </w:r>
      <w:bookmarkEnd w:id="254"/>
      <w:bookmarkEnd w:id="255"/>
      <w:r>
        <w:rPr>
          <w:rFonts w:hint="eastAsia" w:cs="宋体" w:asciiTheme="minorEastAsia" w:hAnsiTheme="minorEastAsia" w:eastAsiaTheme="minorEastAsia"/>
          <w:b/>
          <w:bCs/>
          <w:color w:val="auto"/>
          <w:szCs w:val="21"/>
          <w:highlight w:val="none"/>
        </w:rPr>
        <w:t>（备份文件非强制）</w:t>
      </w:r>
    </w:p>
    <w:p w14:paraId="7E4C6F3E">
      <w:pPr>
        <w:snapToGrid w:val="0"/>
        <w:spacing w:line="360" w:lineRule="auto"/>
        <w:ind w:right="42" w:rightChars="20" w:firstLine="422" w:firstLineChars="200"/>
        <w:jc w:val="left"/>
        <w:outlineLvl w:val="0"/>
        <w:rPr>
          <w:rFonts w:cs="宋体" w:asciiTheme="minorEastAsia" w:hAnsiTheme="minorEastAsia" w:eastAsiaTheme="minorEastAsia"/>
          <w:b/>
          <w:bCs/>
          <w:color w:val="auto"/>
          <w:szCs w:val="21"/>
          <w:highlight w:val="none"/>
        </w:rPr>
      </w:pPr>
      <w:bookmarkStart w:id="256" w:name="_Toc50012879"/>
      <w:bookmarkStart w:id="257" w:name="_Toc12452"/>
      <w:r>
        <w:rPr>
          <w:rFonts w:cs="宋体" w:asciiTheme="minorEastAsia" w:hAnsiTheme="minorEastAsia" w:eastAsiaTheme="minorEastAsia"/>
          <w:b/>
          <w:bCs/>
          <w:color w:val="auto"/>
          <w:szCs w:val="21"/>
          <w:highlight w:val="none"/>
        </w:rPr>
        <w:t>A</w:t>
      </w:r>
      <w:r>
        <w:rPr>
          <w:rFonts w:hint="eastAsia" w:cs="宋体" w:asciiTheme="minorEastAsia" w:hAnsiTheme="minorEastAsia" w:eastAsiaTheme="minorEastAsia"/>
          <w:b/>
          <w:bCs/>
          <w:color w:val="auto"/>
          <w:szCs w:val="21"/>
          <w:highlight w:val="none"/>
        </w:rPr>
        <w:t>、投标人在“政府采购云平台”完成“电子加密投标文件”的上传递交后，还可以（邮寄形式）在投标截止时间前递交以介质（U盘）存储的 “备份投标文件”（一份）；</w:t>
      </w:r>
      <w:bookmarkEnd w:id="256"/>
      <w:bookmarkEnd w:id="257"/>
    </w:p>
    <w:p w14:paraId="49D89334">
      <w:pPr>
        <w:snapToGrid w:val="0"/>
        <w:spacing w:line="360" w:lineRule="auto"/>
        <w:ind w:right="42" w:rightChars="20" w:firstLine="422" w:firstLineChars="200"/>
        <w:jc w:val="left"/>
        <w:outlineLvl w:val="0"/>
        <w:rPr>
          <w:rFonts w:cs="宋体" w:asciiTheme="minorEastAsia" w:hAnsiTheme="minorEastAsia" w:eastAsiaTheme="minorEastAsia"/>
          <w:b/>
          <w:bCs/>
          <w:color w:val="auto"/>
          <w:szCs w:val="21"/>
          <w:highlight w:val="none"/>
        </w:rPr>
      </w:pPr>
      <w:bookmarkStart w:id="258" w:name="_Toc17991"/>
      <w:bookmarkStart w:id="259" w:name="_Toc50012880"/>
      <w:r>
        <w:rPr>
          <w:rFonts w:cs="宋体" w:asciiTheme="minorEastAsia" w:hAnsiTheme="minorEastAsia" w:eastAsiaTheme="minorEastAsia"/>
          <w:b/>
          <w:bCs/>
          <w:color w:val="auto"/>
          <w:szCs w:val="21"/>
          <w:highlight w:val="none"/>
        </w:rPr>
        <w:t>B</w:t>
      </w:r>
      <w:r>
        <w:rPr>
          <w:rFonts w:hint="eastAsia" w:cs="宋体" w:asciiTheme="minorEastAsia" w:hAnsiTheme="minorEastAsia" w:eastAsiaTheme="minorEastAsia"/>
          <w:b/>
          <w:bCs/>
          <w:color w:val="auto"/>
          <w:szCs w:val="21"/>
          <w:highlight w:val="none"/>
        </w:rPr>
        <w:t>、“备份投标文件”应当密封包装，并在包装上标注投标项目名称、投标单位名称并加盖公章。没有密封包装或者逾期邮寄送达至邮寄接收地点的“备份投标文件”将不予接收；</w:t>
      </w:r>
      <w:bookmarkEnd w:id="258"/>
      <w:bookmarkEnd w:id="259"/>
    </w:p>
    <w:p w14:paraId="762B22D6">
      <w:pPr>
        <w:snapToGrid w:val="0"/>
        <w:spacing w:line="360" w:lineRule="auto"/>
        <w:ind w:right="42" w:rightChars="20" w:firstLine="422" w:firstLineChars="200"/>
        <w:jc w:val="left"/>
        <w:outlineLvl w:val="0"/>
        <w:rPr>
          <w:rFonts w:cs="宋体" w:asciiTheme="minorEastAsia" w:hAnsiTheme="minorEastAsia" w:eastAsiaTheme="minorEastAsia"/>
          <w:b/>
          <w:bCs/>
          <w:color w:val="auto"/>
          <w:szCs w:val="21"/>
          <w:highlight w:val="none"/>
        </w:rPr>
      </w:pPr>
      <w:bookmarkStart w:id="260" w:name="_Toc23640"/>
      <w:bookmarkStart w:id="261" w:name="_Toc50012881"/>
      <w:r>
        <w:rPr>
          <w:rFonts w:cs="宋体" w:asciiTheme="minorEastAsia" w:hAnsiTheme="minorEastAsia" w:eastAsiaTheme="minorEastAsia"/>
          <w:b/>
          <w:bCs/>
          <w:color w:val="auto"/>
          <w:szCs w:val="21"/>
          <w:highlight w:val="none"/>
        </w:rPr>
        <w:t>C</w:t>
      </w:r>
      <w:r>
        <w:rPr>
          <w:rFonts w:hint="eastAsia" w:cs="宋体" w:asciiTheme="minorEastAsia" w:hAnsiTheme="minorEastAsia" w:eastAsiaTheme="minorEastAsia"/>
          <w:b/>
          <w:bCs/>
          <w:color w:val="auto"/>
          <w:szCs w:val="21"/>
          <w:highlight w:val="none"/>
        </w:rPr>
        <w:t>、通过“政府采购云平台”成功上传递交的“电子加密投标文件”已按时解密的，“备份投标文件”自动失效。投标截止时间前，投标人仅递交了“备份投标文件”而未将“电子加密投标文件”成功上传至“政府采购云平台”的，投标无效。</w:t>
      </w:r>
      <w:bookmarkEnd w:id="260"/>
      <w:bookmarkEnd w:id="261"/>
    </w:p>
    <w:p w14:paraId="156F3A70">
      <w:pPr>
        <w:snapToGrid w:val="0"/>
        <w:spacing w:line="360" w:lineRule="auto"/>
        <w:ind w:right="42" w:rightChars="20" w:firstLine="422" w:firstLineChars="200"/>
        <w:jc w:val="left"/>
        <w:outlineLvl w:val="0"/>
        <w:rPr>
          <w:rFonts w:asciiTheme="minorEastAsia" w:hAnsiTheme="minorEastAsia" w:eastAsiaTheme="minorEastAsia"/>
          <w:b/>
          <w:color w:val="auto"/>
          <w:szCs w:val="21"/>
          <w:highlight w:val="none"/>
        </w:rPr>
      </w:pPr>
      <w:bookmarkStart w:id="262" w:name="_Toc50012882"/>
      <w:bookmarkStart w:id="263" w:name="_Toc7277"/>
      <w:r>
        <w:rPr>
          <w:rFonts w:hint="eastAsia" w:asciiTheme="minorEastAsia" w:hAnsiTheme="minorEastAsia" w:eastAsiaTheme="minorEastAsia"/>
          <w:b/>
          <w:color w:val="auto"/>
          <w:szCs w:val="21"/>
          <w:highlight w:val="none"/>
        </w:rPr>
        <w:t>（七）投标无效的情形</w:t>
      </w:r>
      <w:bookmarkEnd w:id="247"/>
      <w:bookmarkEnd w:id="262"/>
      <w:bookmarkEnd w:id="263"/>
    </w:p>
    <w:p w14:paraId="5D5BEF55">
      <w:pPr>
        <w:snapToGrid w:val="0"/>
        <w:spacing w:line="360" w:lineRule="auto"/>
        <w:ind w:right="42" w:rightChars="20" w:firstLine="420" w:firstLineChars="200"/>
        <w:jc w:val="left"/>
        <w:outlineLvl w:val="0"/>
        <w:rPr>
          <w:rFonts w:asciiTheme="minorEastAsia" w:hAnsiTheme="minorEastAsia" w:eastAsiaTheme="minorEastAsia"/>
          <w:color w:val="auto"/>
          <w:szCs w:val="21"/>
          <w:highlight w:val="none"/>
        </w:rPr>
      </w:pPr>
      <w:bookmarkStart w:id="264" w:name="_Toc32709"/>
      <w:bookmarkStart w:id="265" w:name="_Toc50012883"/>
      <w:r>
        <w:rPr>
          <w:rFonts w:hint="eastAsia" w:asciiTheme="minorEastAsia" w:hAnsiTheme="minorEastAsia" w:eastAsiaTheme="minorEastAsia"/>
          <w:color w:val="auto"/>
          <w:szCs w:val="21"/>
          <w:highlight w:val="none"/>
        </w:rPr>
        <w:t>根据《政府采购货物和服务招标投标管理办法》有下列情形之一的，视为投标人串通投标，其投标无效：</w:t>
      </w:r>
      <w:bookmarkEnd w:id="264"/>
      <w:bookmarkEnd w:id="265"/>
    </w:p>
    <w:p w14:paraId="67185BEA">
      <w:pPr>
        <w:snapToGrid w:val="0"/>
        <w:spacing w:line="360" w:lineRule="auto"/>
        <w:ind w:right="42" w:rightChars="20" w:firstLine="420" w:firstLineChars="200"/>
        <w:jc w:val="left"/>
        <w:outlineLvl w:val="0"/>
        <w:rPr>
          <w:rFonts w:asciiTheme="minorEastAsia" w:hAnsiTheme="minorEastAsia" w:eastAsiaTheme="minorEastAsia"/>
          <w:color w:val="auto"/>
          <w:szCs w:val="21"/>
          <w:highlight w:val="none"/>
        </w:rPr>
      </w:pPr>
      <w:bookmarkStart w:id="266" w:name="_Toc11171"/>
      <w:bookmarkStart w:id="267" w:name="_Toc50012884"/>
      <w:r>
        <w:rPr>
          <w:rFonts w:hint="eastAsia" w:asciiTheme="minorEastAsia" w:hAnsiTheme="minorEastAsia" w:eastAsiaTheme="minorEastAsia"/>
          <w:color w:val="auto"/>
          <w:szCs w:val="21"/>
          <w:highlight w:val="none"/>
        </w:rPr>
        <w:t>(一)不同投标人的投标文件由同一单位或者个人编制;</w:t>
      </w:r>
      <w:bookmarkEnd w:id="266"/>
      <w:bookmarkEnd w:id="267"/>
    </w:p>
    <w:p w14:paraId="20157C1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(二)不同投标人委托同一单位或者个人办理投标事宜;</w:t>
      </w:r>
    </w:p>
    <w:p w14:paraId="387CBD8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(三)不同投标人的投标文件载明的项目管理成员或者联系人员为同一人;</w:t>
      </w:r>
    </w:p>
    <w:p w14:paraId="22798F3E">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(四)不同投标人的投标文件异常一致或者投标报价呈规律性差异;</w:t>
      </w:r>
    </w:p>
    <w:p w14:paraId="3AE07499">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(五)不同投标人的投标文件相互混装;</w:t>
      </w:r>
    </w:p>
    <w:p w14:paraId="44AD3400">
      <w:pPr>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实质上没有响应招标文件要求的投标将被视为无效投标。</w:t>
      </w:r>
    </w:p>
    <w:p w14:paraId="0C7D73BE">
      <w:pPr>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w:t>
      </w:r>
      <w:r>
        <w:rPr>
          <w:rFonts w:asciiTheme="minorEastAsia" w:hAnsiTheme="minorEastAsia" w:eastAsiaTheme="minorEastAsia"/>
          <w:b/>
          <w:bCs/>
          <w:color w:val="auto"/>
          <w:szCs w:val="21"/>
          <w:highlight w:val="none"/>
        </w:rPr>
        <w:t>电子投标文件解密失败的，且未在规定时间内提交备份投标文件的</w:t>
      </w:r>
      <w:r>
        <w:rPr>
          <w:rFonts w:hint="eastAsia" w:asciiTheme="minorEastAsia" w:hAnsiTheme="minorEastAsia" w:eastAsiaTheme="minorEastAsia"/>
          <w:b/>
          <w:bCs/>
          <w:color w:val="auto"/>
          <w:szCs w:val="21"/>
          <w:highlight w:val="none"/>
        </w:rPr>
        <w:t>。</w:t>
      </w:r>
    </w:p>
    <w:p w14:paraId="7579971C">
      <w:pPr>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2</w:t>
      </w:r>
      <w:r>
        <w:rPr>
          <w:rFonts w:hint="eastAsia" w:asciiTheme="minorEastAsia" w:hAnsiTheme="minorEastAsia" w:eastAsiaTheme="minorEastAsia"/>
          <w:b/>
          <w:bCs/>
          <w:color w:val="auto"/>
          <w:szCs w:val="21"/>
          <w:highlight w:val="none"/>
        </w:rPr>
        <w:t>、没有通过资格审查的，</w:t>
      </w:r>
      <w:r>
        <w:rPr>
          <w:rFonts w:asciiTheme="minorEastAsia" w:hAnsiTheme="minorEastAsia" w:eastAsiaTheme="minorEastAsia"/>
          <w:b/>
          <w:bCs/>
          <w:color w:val="auto"/>
          <w:szCs w:val="21"/>
          <w:highlight w:val="none"/>
        </w:rPr>
        <w:t>投标文件将被视为无效。</w:t>
      </w:r>
    </w:p>
    <w:p w14:paraId="4D748B4B">
      <w:pPr>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3</w:t>
      </w:r>
      <w:r>
        <w:rPr>
          <w:rFonts w:hint="eastAsia" w:asciiTheme="minorEastAsia" w:hAnsiTheme="minorEastAsia" w:eastAsiaTheme="minorEastAsia"/>
          <w:b/>
          <w:bCs/>
          <w:color w:val="auto"/>
          <w:szCs w:val="21"/>
          <w:highlight w:val="none"/>
        </w:rPr>
        <w:t>、</w:t>
      </w:r>
      <w:r>
        <w:rPr>
          <w:rFonts w:asciiTheme="minorEastAsia" w:hAnsiTheme="minorEastAsia" w:eastAsiaTheme="minorEastAsia"/>
          <w:b/>
          <w:bCs/>
          <w:color w:val="auto"/>
          <w:szCs w:val="21"/>
          <w:highlight w:val="none"/>
        </w:rPr>
        <w:t>在符合性审查和商务评审时，如发现下列情形之一的，投标文件将被视为无效：</w:t>
      </w:r>
    </w:p>
    <w:p w14:paraId="731837EF">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（1）</w:t>
      </w:r>
      <w:r>
        <w:rPr>
          <w:rFonts w:asciiTheme="minorEastAsia" w:hAnsiTheme="minorEastAsia" w:eastAsiaTheme="minorEastAsia"/>
          <w:color w:val="auto"/>
          <w:szCs w:val="21"/>
          <w:highlight w:val="none"/>
        </w:rPr>
        <w:t>电子投标文件未按规定要求提供电子签章的</w:t>
      </w:r>
      <w:r>
        <w:rPr>
          <w:rFonts w:hint="eastAsia" w:asciiTheme="minorEastAsia" w:hAnsiTheme="minorEastAsia" w:eastAsiaTheme="minorEastAsia"/>
          <w:color w:val="auto"/>
          <w:szCs w:val="21"/>
          <w:highlight w:val="none"/>
        </w:rPr>
        <w:t>；</w:t>
      </w:r>
    </w:p>
    <w:p w14:paraId="737503B1">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在资信商务技术文件中出现报价的；</w:t>
      </w:r>
    </w:p>
    <w:p w14:paraId="774030E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）资格证明文件不全的，或者不符合招标文件标明的资格要求的</w:t>
      </w:r>
      <w:r>
        <w:rPr>
          <w:rFonts w:hint="eastAsia" w:asciiTheme="minorEastAsia" w:hAnsiTheme="minorEastAsia" w:eastAsiaTheme="minorEastAsia"/>
          <w:color w:val="auto"/>
          <w:szCs w:val="21"/>
          <w:highlight w:val="none"/>
        </w:rPr>
        <w:t>；</w:t>
      </w:r>
    </w:p>
    <w:p w14:paraId="3973E311">
      <w:pPr>
        <w:snapToGrid w:val="0"/>
        <w:spacing w:line="360" w:lineRule="auto"/>
        <w:ind w:right="42" w:rightChars="20" w:firstLine="420" w:firstLineChars="200"/>
        <w:jc w:val="left"/>
        <w:rPr>
          <w:rFonts w:asciiTheme="minorEastAsia" w:hAnsiTheme="minorEastAsia" w:eastAsiaTheme="minorEastAsia"/>
          <w:bCs/>
          <w:color w:val="auto"/>
          <w:kern w:val="0"/>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）投标文件无法定代表人签字</w:t>
      </w:r>
      <w:r>
        <w:rPr>
          <w:rFonts w:hint="eastAsia" w:asciiTheme="minorEastAsia" w:hAnsiTheme="minorEastAsia" w:eastAsiaTheme="minorEastAsia"/>
          <w:color w:val="auto"/>
          <w:szCs w:val="21"/>
          <w:highlight w:val="none"/>
        </w:rPr>
        <w:t>（或盖章）</w:t>
      </w:r>
      <w:r>
        <w:rPr>
          <w:rFonts w:asciiTheme="minorEastAsia" w:hAnsiTheme="minorEastAsia" w:eastAsiaTheme="minorEastAsia"/>
          <w:color w:val="auto"/>
          <w:szCs w:val="21"/>
          <w:highlight w:val="none"/>
        </w:rPr>
        <w:t>,或未</w:t>
      </w:r>
      <w:r>
        <w:rPr>
          <w:rFonts w:hint="eastAsia" w:asciiTheme="minorEastAsia" w:hAnsiTheme="minorEastAsia" w:eastAsiaTheme="minorEastAsia"/>
          <w:bCs/>
          <w:color w:val="auto"/>
          <w:kern w:val="0"/>
          <w:szCs w:val="21"/>
          <w:highlight w:val="none"/>
        </w:rPr>
        <w:t>提供法定代表人授权委托书、投标声明书或者填写项目不齐全的；</w:t>
      </w:r>
    </w:p>
    <w:p w14:paraId="1ADAACDB">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w:t>
      </w:r>
      <w:r>
        <w:rPr>
          <w:rFonts w:hint="eastAsia" w:asciiTheme="minorEastAsia" w:hAnsiTheme="minorEastAsia" w:eastAsiaTheme="minorEastAsia"/>
          <w:snapToGrid w:val="0"/>
          <w:color w:val="auto"/>
          <w:szCs w:val="21"/>
          <w:highlight w:val="none"/>
        </w:rPr>
        <w:t>5</w:t>
      </w:r>
      <w:r>
        <w:rPr>
          <w:rFonts w:asciiTheme="minorEastAsia" w:hAnsiTheme="minorEastAsia" w:eastAsiaTheme="minorEastAsia"/>
          <w:snapToGrid w:val="0"/>
          <w:color w:val="auto"/>
          <w:szCs w:val="21"/>
          <w:highlight w:val="none"/>
        </w:rPr>
        <w:t>）</w:t>
      </w:r>
      <w:r>
        <w:rPr>
          <w:rFonts w:asciiTheme="minorEastAsia" w:hAnsiTheme="minorEastAsia" w:eastAsiaTheme="minorEastAsia"/>
          <w:color w:val="auto"/>
          <w:szCs w:val="21"/>
          <w:highlight w:val="none"/>
        </w:rPr>
        <w:t>投标文件格式不规范、项目不齐全或者内容虚假的；</w:t>
      </w:r>
    </w:p>
    <w:p w14:paraId="14A8EA2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）投标文件的实质性内容未使用中文表述、意思表述不明确、前后矛盾或者使用计量单位不符合招标文件要求的（经评标委员会认定</w:t>
      </w:r>
      <w:r>
        <w:rPr>
          <w:rFonts w:hint="eastAsia" w:asciiTheme="minorEastAsia" w:hAnsiTheme="minorEastAsia" w:eastAsiaTheme="minorEastAsia"/>
          <w:color w:val="auto"/>
          <w:szCs w:val="21"/>
          <w:highlight w:val="none"/>
        </w:rPr>
        <w:t>并</w:t>
      </w:r>
      <w:r>
        <w:rPr>
          <w:rFonts w:asciiTheme="minorEastAsia" w:hAnsiTheme="minorEastAsia" w:eastAsiaTheme="minorEastAsia"/>
          <w:color w:val="auto"/>
          <w:szCs w:val="21"/>
          <w:highlight w:val="none"/>
        </w:rPr>
        <w:t>允许其当场更正的笔误除外）</w:t>
      </w:r>
      <w:r>
        <w:rPr>
          <w:rFonts w:hint="eastAsia" w:asciiTheme="minorEastAsia" w:hAnsiTheme="minorEastAsia" w:eastAsiaTheme="minorEastAsia"/>
          <w:color w:val="auto"/>
          <w:szCs w:val="21"/>
          <w:highlight w:val="none"/>
        </w:rPr>
        <w:t>；</w:t>
      </w:r>
    </w:p>
    <w:p w14:paraId="34FD05E6">
      <w:pPr>
        <w:snapToGrid w:val="0"/>
        <w:spacing w:line="360" w:lineRule="auto"/>
        <w:ind w:right="42" w:rightChars="20" w:firstLine="420" w:firstLineChars="200"/>
        <w:jc w:val="left"/>
        <w:rPr>
          <w:rFonts w:asciiTheme="minorEastAsia" w:hAnsiTheme="minorEastAsia" w:eastAsiaTheme="minorEastAsia"/>
          <w:snapToGrid w:val="0"/>
          <w:color w:val="auto"/>
          <w:szCs w:val="21"/>
          <w:highlight w:val="none"/>
        </w:rPr>
      </w:pPr>
      <w:r>
        <w:rPr>
          <w:rFonts w:asciiTheme="minorEastAsia" w:hAnsiTheme="minorEastAsia" w:eastAsiaTheme="minorEastAsia"/>
          <w:color w:val="auto"/>
          <w:szCs w:val="21"/>
          <w:highlight w:val="none"/>
        </w:rPr>
        <w:t>（</w:t>
      </w:r>
      <w:r>
        <w:rPr>
          <w:rFonts w:hint="eastAsia" w:asciiTheme="minorEastAsia" w:hAnsiTheme="minorEastAsia" w:eastAsiaTheme="minorEastAsia"/>
          <w:snapToGrid w:val="0"/>
          <w:color w:val="auto"/>
          <w:szCs w:val="21"/>
          <w:highlight w:val="none"/>
        </w:rPr>
        <w:t>7</w:t>
      </w:r>
      <w:r>
        <w:rPr>
          <w:rFonts w:asciiTheme="minorEastAsia" w:hAnsiTheme="minorEastAsia" w:eastAsiaTheme="minorEastAsia"/>
          <w:snapToGrid w:val="0"/>
          <w:color w:val="auto"/>
          <w:szCs w:val="21"/>
          <w:highlight w:val="none"/>
        </w:rPr>
        <w:t>）投标有效期、交货时间、质保期等商务条款不能满足招标文件要求的；</w:t>
      </w:r>
    </w:p>
    <w:p w14:paraId="4CFEEC91">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未实质性</w:t>
      </w:r>
      <w:r>
        <w:rPr>
          <w:rFonts w:asciiTheme="minorEastAsia" w:hAnsiTheme="minorEastAsia" w:eastAsiaTheme="minorEastAsia"/>
          <w:color w:val="auto"/>
          <w:szCs w:val="21"/>
          <w:highlight w:val="none"/>
        </w:rPr>
        <w:t>响应招标文件要求或者投标文件有</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不能接受的附加条件的</w:t>
      </w:r>
      <w:r>
        <w:rPr>
          <w:rFonts w:hint="eastAsia" w:asciiTheme="minorEastAsia" w:hAnsiTheme="minorEastAsia" w:eastAsiaTheme="minorEastAsia"/>
          <w:color w:val="auto"/>
          <w:szCs w:val="21"/>
          <w:highlight w:val="none"/>
        </w:rPr>
        <w:t>；</w:t>
      </w:r>
    </w:p>
    <w:p w14:paraId="06727D2F">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（9）不符合本招标文件中的实质性要求条款。</w:t>
      </w:r>
    </w:p>
    <w:p w14:paraId="157001F6">
      <w:pPr>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w:t>
      </w:r>
      <w:r>
        <w:rPr>
          <w:rFonts w:asciiTheme="minorEastAsia" w:hAnsiTheme="minorEastAsia" w:eastAsiaTheme="minorEastAsia"/>
          <w:b/>
          <w:bCs/>
          <w:color w:val="auto"/>
          <w:szCs w:val="21"/>
          <w:highlight w:val="none"/>
        </w:rPr>
        <w:t>在技术评审时，如发现下列情形之一的，投标文件将被视为无效：</w:t>
      </w:r>
    </w:p>
    <w:p w14:paraId="1A36B2F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（1）未提供或未如实提供投标货物的技术参数</w:t>
      </w:r>
      <w:r>
        <w:rPr>
          <w:rFonts w:hint="eastAsia" w:asciiTheme="minorEastAsia" w:hAnsiTheme="minorEastAsia" w:eastAsiaTheme="minorEastAsia"/>
          <w:color w:val="auto"/>
          <w:szCs w:val="21"/>
          <w:highlight w:val="none"/>
        </w:rPr>
        <w:t>或服务内容</w:t>
      </w:r>
      <w:r>
        <w:rPr>
          <w:rFonts w:asciiTheme="minorEastAsia" w:hAnsiTheme="minorEastAsia" w:eastAsiaTheme="minorEastAsia"/>
          <w:color w:val="auto"/>
          <w:szCs w:val="21"/>
          <w:highlight w:val="none"/>
        </w:rPr>
        <w:t>，或者投标文件标明的响应或偏离与事实不符或虚假投标的；</w:t>
      </w:r>
    </w:p>
    <w:p w14:paraId="50B9CB0C">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asciiTheme="minorEastAsia" w:hAnsiTheme="minorEastAsia" w:eastAsiaTheme="minorEastAsia"/>
          <w:snapToGrid w:val="0"/>
          <w:color w:val="auto"/>
          <w:szCs w:val="21"/>
          <w:highlight w:val="none"/>
        </w:rPr>
        <w:t>明显不符合招标文件</w:t>
      </w:r>
      <w:r>
        <w:rPr>
          <w:rFonts w:hint="eastAsia" w:asciiTheme="minorEastAsia" w:hAnsiTheme="minorEastAsia" w:eastAsiaTheme="minorEastAsia"/>
          <w:snapToGrid w:val="0"/>
          <w:color w:val="auto"/>
          <w:szCs w:val="21"/>
          <w:highlight w:val="none"/>
        </w:rPr>
        <w:t>要求</w:t>
      </w:r>
      <w:r>
        <w:rPr>
          <w:rFonts w:asciiTheme="minorEastAsia" w:hAnsiTheme="minorEastAsia" w:eastAsiaTheme="minorEastAsia"/>
          <w:snapToGrid w:val="0"/>
          <w:color w:val="auto"/>
          <w:szCs w:val="21"/>
          <w:highlight w:val="none"/>
        </w:rPr>
        <w:t>的规格型号、质量标准，或者</w:t>
      </w:r>
      <w:r>
        <w:rPr>
          <w:rFonts w:hint="eastAsia" w:asciiTheme="minorEastAsia" w:hAnsiTheme="minorEastAsia" w:eastAsiaTheme="minorEastAsia"/>
          <w:snapToGrid w:val="0"/>
          <w:color w:val="auto"/>
          <w:szCs w:val="21"/>
          <w:highlight w:val="none"/>
        </w:rPr>
        <w:t>与</w:t>
      </w:r>
      <w:r>
        <w:rPr>
          <w:rFonts w:asciiTheme="minorEastAsia" w:hAnsiTheme="minorEastAsia" w:eastAsiaTheme="minorEastAsia"/>
          <w:color w:val="auto"/>
          <w:szCs w:val="21"/>
          <w:highlight w:val="none"/>
        </w:rPr>
        <w:t>招标文件中标“▲”的技术指标、主要功能项目发生实质性偏离的；</w:t>
      </w:r>
    </w:p>
    <w:p w14:paraId="73FA4196">
      <w:pPr>
        <w:pStyle w:val="19"/>
        <w:snapToGrid w:val="0"/>
        <w:spacing w:line="360" w:lineRule="auto"/>
        <w:ind w:right="42" w:rightChars="20" w:firstLine="404"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snapToGrid w:val="0"/>
          <w:color w:val="auto"/>
          <w:sz w:val="21"/>
          <w:szCs w:val="21"/>
          <w:highlight w:val="none"/>
        </w:rPr>
        <w:t>（</w:t>
      </w:r>
      <w:r>
        <w:rPr>
          <w:rFonts w:hint="eastAsia" w:asciiTheme="minorEastAsia" w:hAnsiTheme="minorEastAsia" w:eastAsiaTheme="minorEastAsia"/>
          <w:snapToGrid w:val="0"/>
          <w:color w:val="auto"/>
          <w:sz w:val="21"/>
          <w:szCs w:val="21"/>
          <w:highlight w:val="none"/>
        </w:rPr>
        <w:t>3</w:t>
      </w:r>
      <w:r>
        <w:rPr>
          <w:rFonts w:asciiTheme="minorEastAsia" w:hAnsiTheme="minorEastAsia" w:eastAsiaTheme="minorEastAsia"/>
          <w:snapToGrid w:val="0"/>
          <w:color w:val="auto"/>
          <w:sz w:val="21"/>
          <w:szCs w:val="21"/>
          <w:highlight w:val="none"/>
        </w:rPr>
        <w:t>）</w:t>
      </w:r>
      <w:r>
        <w:rPr>
          <w:rFonts w:asciiTheme="minorEastAsia" w:hAnsiTheme="minorEastAsia" w:eastAsiaTheme="minorEastAsia"/>
          <w:color w:val="auto"/>
          <w:sz w:val="21"/>
          <w:szCs w:val="21"/>
          <w:highlight w:val="none"/>
        </w:rPr>
        <w:t>投标技术方案不明确，存在一个或一个以上备选（替代）投标方案的；</w:t>
      </w:r>
    </w:p>
    <w:p w14:paraId="7D260369">
      <w:pPr>
        <w:pStyle w:val="19"/>
        <w:snapToGrid w:val="0"/>
        <w:spacing w:line="360" w:lineRule="auto"/>
        <w:ind w:right="42" w:rightChars="20" w:firstLine="406" w:firstLineChars="200"/>
        <w:jc w:val="left"/>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4、</w:t>
      </w:r>
      <w:r>
        <w:rPr>
          <w:rFonts w:asciiTheme="minorEastAsia" w:hAnsiTheme="minorEastAsia" w:eastAsiaTheme="minorEastAsia"/>
          <w:b/>
          <w:bCs/>
          <w:color w:val="auto"/>
          <w:sz w:val="21"/>
          <w:szCs w:val="21"/>
          <w:highlight w:val="none"/>
        </w:rPr>
        <w:t>在报价评审时，如发现下列情形之一的，投标文件将被视为无效：</w:t>
      </w:r>
    </w:p>
    <w:p w14:paraId="1C0E1423">
      <w:pPr>
        <w:pStyle w:val="19"/>
        <w:snapToGrid w:val="0"/>
        <w:spacing w:line="360" w:lineRule="auto"/>
        <w:ind w:right="42" w:rightChars="20" w:firstLine="404"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电子投标文件未按规定要求提供电子签章的</w:t>
      </w:r>
    </w:p>
    <w:p w14:paraId="730F7262">
      <w:pPr>
        <w:pStyle w:val="19"/>
        <w:snapToGrid w:val="0"/>
        <w:spacing w:line="360" w:lineRule="auto"/>
        <w:ind w:right="42" w:rightChars="20" w:firstLine="404"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（2）未采用人民币报价或者未按照招标文件标明的币种报价的；</w:t>
      </w:r>
    </w:p>
    <w:p w14:paraId="28F32557">
      <w:pPr>
        <w:pStyle w:val="19"/>
        <w:snapToGrid w:val="0"/>
        <w:spacing w:line="360" w:lineRule="auto"/>
        <w:ind w:right="42" w:rightChars="20" w:firstLine="404"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3</w:t>
      </w:r>
      <w:r>
        <w:rPr>
          <w:rFonts w:asciiTheme="minorEastAsia" w:hAnsiTheme="minorEastAsia" w:eastAsiaTheme="minorEastAsia"/>
          <w:color w:val="auto"/>
          <w:sz w:val="21"/>
          <w:szCs w:val="21"/>
          <w:highlight w:val="none"/>
        </w:rPr>
        <w:t>）报价</w:t>
      </w:r>
      <w:r>
        <w:rPr>
          <w:rFonts w:hint="eastAsia" w:asciiTheme="minorEastAsia" w:hAnsiTheme="minorEastAsia" w:eastAsiaTheme="minorEastAsia"/>
          <w:color w:val="auto"/>
          <w:sz w:val="21"/>
          <w:szCs w:val="21"/>
          <w:highlight w:val="none"/>
        </w:rPr>
        <w:t>（单价或总价）</w:t>
      </w:r>
      <w:r>
        <w:rPr>
          <w:rFonts w:asciiTheme="minorEastAsia" w:hAnsiTheme="minorEastAsia" w:eastAsiaTheme="minorEastAsia"/>
          <w:color w:val="auto"/>
          <w:sz w:val="21"/>
          <w:szCs w:val="21"/>
          <w:highlight w:val="none"/>
        </w:rPr>
        <w:t>超出最高限价</w:t>
      </w:r>
      <w:r>
        <w:rPr>
          <w:rFonts w:hint="eastAsia" w:asciiTheme="minorEastAsia" w:hAnsiTheme="minorEastAsia" w:eastAsiaTheme="minorEastAsia"/>
          <w:color w:val="auto"/>
          <w:sz w:val="21"/>
          <w:szCs w:val="21"/>
          <w:highlight w:val="none"/>
        </w:rPr>
        <w:t>；</w:t>
      </w:r>
    </w:p>
    <w:p w14:paraId="69C1DD47">
      <w:pPr>
        <w:pStyle w:val="19"/>
        <w:snapToGrid w:val="0"/>
        <w:spacing w:line="360" w:lineRule="auto"/>
        <w:ind w:right="42" w:rightChars="20" w:firstLine="404"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（4）投标报价具有选择性，或者开标价格与投标文件承诺的优惠（折扣）价格不一致的。                                                                                            </w:t>
      </w:r>
    </w:p>
    <w:p w14:paraId="6D38537B">
      <w:pPr>
        <w:pStyle w:val="19"/>
        <w:snapToGrid w:val="0"/>
        <w:spacing w:line="360" w:lineRule="auto"/>
        <w:ind w:right="42" w:rightChars="20" w:firstLine="406" w:firstLineChars="200"/>
        <w:jc w:val="left"/>
        <w:rPr>
          <w:rFonts w:asciiTheme="minorEastAsia" w:hAnsiTheme="minorEastAsia" w:eastAsiaTheme="minorEastAsia"/>
          <w:b/>
          <w:snapToGrid w:val="0"/>
          <w:color w:val="auto"/>
          <w:sz w:val="21"/>
          <w:szCs w:val="21"/>
          <w:highlight w:val="none"/>
        </w:rPr>
      </w:pPr>
      <w:r>
        <w:rPr>
          <w:rFonts w:hint="eastAsia" w:asciiTheme="minorEastAsia" w:hAnsiTheme="minorEastAsia" w:eastAsiaTheme="minorEastAsia"/>
          <w:b/>
          <w:color w:val="auto"/>
          <w:sz w:val="21"/>
          <w:szCs w:val="21"/>
          <w:highlight w:val="none"/>
        </w:rPr>
        <w:t>5、</w:t>
      </w:r>
      <w:r>
        <w:rPr>
          <w:rFonts w:asciiTheme="minorEastAsia" w:hAnsiTheme="minorEastAsia" w:eastAsiaTheme="minorEastAsia"/>
          <w:b/>
          <w:color w:val="auto"/>
          <w:sz w:val="21"/>
          <w:szCs w:val="21"/>
          <w:highlight w:val="none"/>
        </w:rPr>
        <w:t>被拒绝的投标文件为无效。</w:t>
      </w:r>
    </w:p>
    <w:p w14:paraId="54B21DBB">
      <w:pPr>
        <w:pStyle w:val="19"/>
        <w:snapToGrid w:val="0"/>
        <w:spacing w:line="360" w:lineRule="auto"/>
        <w:ind w:right="42" w:rightChars="20" w:firstLine="406" w:firstLineChars="200"/>
        <w:jc w:val="left"/>
        <w:outlineLvl w:val="1"/>
        <w:rPr>
          <w:rFonts w:asciiTheme="minorEastAsia" w:hAnsiTheme="minorEastAsia" w:eastAsiaTheme="minorEastAsia"/>
          <w:b/>
          <w:snapToGrid w:val="0"/>
          <w:color w:val="auto"/>
          <w:sz w:val="21"/>
          <w:szCs w:val="21"/>
          <w:highlight w:val="none"/>
        </w:rPr>
      </w:pPr>
      <w:bookmarkStart w:id="268" w:name="_Toc9286"/>
      <w:bookmarkStart w:id="269" w:name="_Toc50012885"/>
      <w:bookmarkStart w:id="270" w:name="_Toc33535369"/>
      <w:r>
        <w:rPr>
          <w:rFonts w:hint="eastAsia" w:asciiTheme="minorEastAsia" w:hAnsiTheme="minorEastAsia" w:eastAsiaTheme="minorEastAsia"/>
          <w:b/>
          <w:color w:val="auto"/>
          <w:sz w:val="21"/>
          <w:szCs w:val="21"/>
          <w:highlight w:val="none"/>
        </w:rPr>
        <w:t>四、开标</w:t>
      </w:r>
      <w:bookmarkEnd w:id="268"/>
      <w:bookmarkEnd w:id="269"/>
      <w:bookmarkEnd w:id="270"/>
    </w:p>
    <w:p w14:paraId="688BAD02">
      <w:pPr>
        <w:pStyle w:val="29"/>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（一）开标准备</w:t>
      </w:r>
    </w:p>
    <w:p w14:paraId="0BC6145F">
      <w:pPr>
        <w:pStyle w:val="29"/>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1、开标的准备工作由采购组织机构负责落实；</w:t>
      </w:r>
    </w:p>
    <w:p w14:paraId="5E96F64D">
      <w:pPr>
        <w:pStyle w:val="29"/>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E0D9AA7">
      <w:pPr>
        <w:pStyle w:val="29"/>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(二 ) 采购人或者采购代理机构职责</w:t>
      </w:r>
    </w:p>
    <w:p w14:paraId="0FB4D75F">
      <w:pPr>
        <w:pStyle w:val="29"/>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采购人或者采购代理机构负责组织评标工作，并履行下列职责：</w:t>
      </w:r>
    </w:p>
    <w:p w14:paraId="226BC761">
      <w:pPr>
        <w:pStyle w:val="29"/>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1、核对评审专家身份和采购人代表授权函，对评审专家在政府采购活动中的职责履行情况予以记录，并及时将有关违法违规行为向财政部门报告;</w:t>
      </w:r>
    </w:p>
    <w:p w14:paraId="77BB72A8">
      <w:pPr>
        <w:pStyle w:val="29"/>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2、宣布评标纪律;</w:t>
      </w:r>
    </w:p>
    <w:p w14:paraId="071F77C8">
      <w:pPr>
        <w:pStyle w:val="29"/>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3、公布投标人名单，告知评审专家应当回避的情形;</w:t>
      </w:r>
    </w:p>
    <w:p w14:paraId="2C6D0D02">
      <w:pPr>
        <w:pStyle w:val="29"/>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4、组织评标委员会推选评标组长，采购人代表不得担任组长;</w:t>
      </w:r>
    </w:p>
    <w:p w14:paraId="6FBA072B">
      <w:pPr>
        <w:pStyle w:val="29"/>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5、在评标期间采取必要的通讯管理措施，保证评标活动不受外界干扰;</w:t>
      </w:r>
    </w:p>
    <w:p w14:paraId="25AF02C1">
      <w:pPr>
        <w:pStyle w:val="29"/>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6、根据评标委员会的要求介绍政府采购相关政策法规、招标文件;</w:t>
      </w:r>
    </w:p>
    <w:p w14:paraId="33B79CEF">
      <w:pPr>
        <w:pStyle w:val="29"/>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7、维护评标秩序，监督评标委员会依照招标文件规定的评标程序、方法和标准进行独立评审，及时制止和纠正采购人代表、评审专家的倾向性言论或者违法违规行为;</w:t>
      </w:r>
    </w:p>
    <w:p w14:paraId="41366244">
      <w:pPr>
        <w:pStyle w:val="29"/>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8、核对评标结果，根据《政府采购货物和服务招标投标管理办法》，如有第六十四条规定情形的，要求评标委员会复核或者书面说明理由，评标委员会拒绝的，应予记录并向本级财政部门报告;</w:t>
      </w:r>
    </w:p>
    <w:p w14:paraId="503D2B1B">
      <w:pPr>
        <w:pStyle w:val="29"/>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9、评审工作完成后，按照规定向评审专家支付劳务报酬和异地评审差旅费，不得向评审专家以外的其他人员支付评审劳务报酬;</w:t>
      </w:r>
    </w:p>
    <w:p w14:paraId="3D261111">
      <w:pPr>
        <w:pStyle w:val="29"/>
        <w:snapToGrid w:val="0"/>
        <w:spacing w:line="360" w:lineRule="auto"/>
        <w:ind w:right="42" w:rightChars="20" w:firstLine="404" w:firstLineChars="200"/>
        <w:jc w:val="left"/>
        <w:rPr>
          <w:rFonts w:asciiTheme="minorEastAsia" w:hAnsiTheme="minorEastAsia" w:eastAsiaTheme="minorEastAsia"/>
          <w:color w:val="auto"/>
          <w:spacing w:val="-4"/>
          <w:szCs w:val="21"/>
          <w:highlight w:val="none"/>
        </w:rPr>
      </w:pPr>
      <w:r>
        <w:rPr>
          <w:rFonts w:hint="eastAsia" w:asciiTheme="minorEastAsia" w:hAnsiTheme="minorEastAsia" w:eastAsiaTheme="minorEastAsia"/>
          <w:color w:val="auto"/>
          <w:spacing w:val="-4"/>
          <w:szCs w:val="21"/>
          <w:highlight w:val="none"/>
        </w:rPr>
        <w:t>10、处理与评标有关的其他事项。</w:t>
      </w:r>
    </w:p>
    <w:p w14:paraId="5BC3FA6F">
      <w:pPr>
        <w:pStyle w:val="29"/>
        <w:snapToGrid w:val="0"/>
        <w:spacing w:line="360" w:lineRule="auto"/>
        <w:ind w:right="42" w:rightChars="20" w:firstLine="406" w:firstLineChars="200"/>
        <w:jc w:val="left"/>
        <w:rPr>
          <w:rFonts w:asciiTheme="minorEastAsia" w:hAnsiTheme="minorEastAsia" w:eastAsiaTheme="minorEastAsia"/>
          <w:b/>
          <w:color w:val="auto"/>
          <w:spacing w:val="-4"/>
          <w:szCs w:val="21"/>
          <w:highlight w:val="none"/>
        </w:rPr>
      </w:pPr>
      <w:r>
        <w:rPr>
          <w:rFonts w:asciiTheme="minorEastAsia" w:hAnsiTheme="minorEastAsia" w:eastAsiaTheme="minorEastAsia"/>
          <w:b/>
          <w:color w:val="auto"/>
          <w:spacing w:val="-4"/>
          <w:szCs w:val="21"/>
          <w:highlight w:val="none"/>
        </w:rPr>
        <w:t>（</w:t>
      </w:r>
      <w:r>
        <w:rPr>
          <w:rFonts w:hint="eastAsia" w:asciiTheme="minorEastAsia" w:hAnsiTheme="minorEastAsia" w:eastAsiaTheme="minorEastAsia"/>
          <w:b/>
          <w:color w:val="auto"/>
          <w:spacing w:val="-4"/>
          <w:szCs w:val="21"/>
          <w:highlight w:val="none"/>
        </w:rPr>
        <w:t>三</w:t>
      </w:r>
      <w:r>
        <w:rPr>
          <w:rFonts w:asciiTheme="minorEastAsia" w:hAnsiTheme="minorEastAsia" w:eastAsiaTheme="minorEastAsia"/>
          <w:b/>
          <w:color w:val="auto"/>
          <w:spacing w:val="-4"/>
          <w:szCs w:val="21"/>
          <w:highlight w:val="none"/>
        </w:rPr>
        <w:t>）</w:t>
      </w:r>
      <w:r>
        <w:rPr>
          <w:rFonts w:hint="eastAsia" w:asciiTheme="minorEastAsia" w:hAnsiTheme="minorEastAsia" w:eastAsiaTheme="minorEastAsia"/>
          <w:b/>
          <w:color w:val="auto"/>
          <w:spacing w:val="-4"/>
          <w:szCs w:val="21"/>
          <w:highlight w:val="none"/>
        </w:rPr>
        <w:t>开标流程（两阶段）</w:t>
      </w:r>
    </w:p>
    <w:p w14:paraId="556C9B39">
      <w:pPr>
        <w:pStyle w:val="19"/>
        <w:snapToGrid w:val="0"/>
        <w:spacing w:line="360" w:lineRule="auto"/>
        <w:ind w:right="42" w:rightChars="20" w:firstLine="406" w:firstLineChars="200"/>
        <w:jc w:val="left"/>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1、开标第一阶段</w:t>
      </w:r>
    </w:p>
    <w:p w14:paraId="735733CA">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59BA802A">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（2）投标文件解密，解密成功后，招标代理将与投标人建立钉钉联系请各投标单位在投标截止时间前注册完成钉钉联系方式，</w:t>
      </w:r>
      <w:r>
        <w:rPr>
          <w:rFonts w:hint="eastAsia" w:cs="宋体" w:asciiTheme="minorEastAsia" w:hAnsiTheme="minorEastAsia" w:eastAsiaTheme="minorEastAsia"/>
          <w:b/>
          <w:bCs/>
          <w:color w:val="auto"/>
          <w:kern w:val="0"/>
          <w:szCs w:val="21"/>
          <w:highlight w:val="none"/>
        </w:rPr>
        <w:t>各供应商将政府采购活动现场确认声明书传给代理公司</w:t>
      </w:r>
      <w:r>
        <w:rPr>
          <w:rFonts w:hint="eastAsia" w:cs="宋体" w:asciiTheme="minorEastAsia" w:hAnsiTheme="minorEastAsia" w:eastAsiaTheme="minorEastAsia"/>
          <w:color w:val="auto"/>
          <w:kern w:val="0"/>
          <w:szCs w:val="21"/>
          <w:highlight w:val="none"/>
        </w:rPr>
        <w:t>；（评审时如需要建立钉钉联系方式则建立）</w:t>
      </w:r>
    </w:p>
    <w:p w14:paraId="293551B1">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（3）开启投标文件，进入资格审查；</w:t>
      </w:r>
    </w:p>
    <w:p w14:paraId="389F7742">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（4）开启资格审查通过的投标人的商务技术文件进入符合性审查、商务技术评审；</w:t>
      </w:r>
    </w:p>
    <w:p w14:paraId="67351DDE">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（5）第一阶段开标结束。</w:t>
      </w:r>
    </w:p>
    <w:p w14:paraId="5C9F5B61">
      <w:pPr>
        <w:spacing w:line="360" w:lineRule="auto"/>
        <w:ind w:right="42" w:rightChars="20" w:firstLine="406" w:firstLineChars="200"/>
        <w:jc w:val="left"/>
        <w:rPr>
          <w:rFonts w:asciiTheme="minorEastAsia" w:hAnsiTheme="minorEastAsia" w:eastAsiaTheme="minorEastAsia"/>
          <w:b/>
          <w:color w:val="auto"/>
          <w:spacing w:val="-4"/>
          <w:szCs w:val="21"/>
          <w:highlight w:val="none"/>
        </w:rPr>
      </w:pPr>
      <w:r>
        <w:rPr>
          <w:rFonts w:hint="eastAsia" w:asciiTheme="minorEastAsia" w:hAnsiTheme="minorEastAsia" w:eastAsiaTheme="minorEastAsia"/>
          <w:b/>
          <w:color w:val="auto"/>
          <w:spacing w:val="-4"/>
          <w:szCs w:val="21"/>
          <w:highlight w:val="none"/>
        </w:rPr>
        <w:t>备注：开标大会的第一阶段结束后，采购人或采购代理机构将对依法对投标人的资格进行审查，资格审查结束后进入符合性审查和商务技术的评审工作，具体见本章节“投标人资格审查”相关规定。</w:t>
      </w:r>
    </w:p>
    <w:p w14:paraId="29D51DDA">
      <w:pPr>
        <w:spacing w:line="360" w:lineRule="auto"/>
        <w:ind w:right="42" w:rightChars="20" w:firstLine="406" w:firstLineChars="200"/>
        <w:jc w:val="left"/>
        <w:rPr>
          <w:rFonts w:asciiTheme="minorEastAsia" w:hAnsiTheme="minorEastAsia" w:eastAsiaTheme="minorEastAsia"/>
          <w:b/>
          <w:color w:val="auto"/>
          <w:spacing w:val="-4"/>
          <w:szCs w:val="21"/>
          <w:highlight w:val="none"/>
        </w:rPr>
      </w:pPr>
      <w:r>
        <w:rPr>
          <w:rFonts w:hint="eastAsia" w:asciiTheme="minorEastAsia" w:hAnsiTheme="minorEastAsia" w:eastAsiaTheme="minorEastAsia"/>
          <w:b/>
          <w:color w:val="auto"/>
          <w:spacing w:val="-4"/>
          <w:szCs w:val="21"/>
          <w:highlight w:val="none"/>
        </w:rPr>
        <w:t>2、开标大会第二阶段</w:t>
      </w:r>
    </w:p>
    <w:p w14:paraId="55F41243">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（1）符合性审查、商务技术评审结束后，举行开标大会第二阶段会议。</w:t>
      </w:r>
    </w:p>
    <w:p w14:paraId="3CBF1B09">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开启符合性审查、商务技术评审有效投标供应商的《报价文件》，通过政采云方式公布开标一览表有关内容，同时当场制作开标记录表，供应商可在政采云中确认（不予确认的应说明理由，否则视为无异议）。唱标结束后，由评标委员会对报价的合理性、准确性等进行审查核实。</w:t>
      </w:r>
    </w:p>
    <w:p w14:paraId="1539525F">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（3）评审结束后，通过政采云方式公布中标（成交）候选供应商名单，及采购人最终确定中标或中标人名单的时间和公告方式等。</w:t>
      </w:r>
    </w:p>
    <w:p w14:paraId="0D1644A2">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特别说明：如遇“政府采购云平台”电子化开标或评审程序调整的，按调整后程序执行。</w:t>
      </w:r>
    </w:p>
    <w:p w14:paraId="7381E821">
      <w:pPr>
        <w:spacing w:line="360" w:lineRule="auto"/>
        <w:ind w:right="42" w:rightChars="20" w:firstLine="422" w:firstLineChars="200"/>
        <w:jc w:val="left"/>
        <w:rPr>
          <w:rFonts w:asciiTheme="minorEastAsia" w:hAnsiTheme="minorEastAsia" w:eastAsiaTheme="minorEastAsia"/>
          <w:b/>
          <w:color w:val="auto"/>
          <w:szCs w:val="21"/>
          <w:highlight w:val="none"/>
        </w:rPr>
      </w:pPr>
      <w:bookmarkStart w:id="271" w:name="_Toc24550037"/>
      <w:bookmarkStart w:id="272" w:name="_Toc33194393"/>
      <w:r>
        <w:rPr>
          <w:rFonts w:hint="eastAsia" w:asciiTheme="minorEastAsia" w:hAnsiTheme="minorEastAsia" w:eastAsiaTheme="minorEastAsia"/>
          <w:b/>
          <w:color w:val="auto"/>
          <w:szCs w:val="21"/>
          <w:highlight w:val="none"/>
        </w:rPr>
        <w:t>（四）投标人资格审查</w:t>
      </w:r>
      <w:bookmarkEnd w:id="271"/>
      <w:bookmarkEnd w:id="272"/>
    </w:p>
    <w:p w14:paraId="0CA5E5C5">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开标大会第一阶段结束后，采购人或采购代理机构首先依法对各投标人的资格进行审查，审查各投标人的资格是否满足招标文件的要求。采购人或采购代理机构对投标人所提交的资格证明材料仅负审核的责任。如发现投标人所提交的资格证明材料不合法或与事实不符，采购人可取消其中标资格并追究投标人的法律责任。</w:t>
      </w:r>
    </w:p>
    <w:p w14:paraId="00F12120">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2、投标人提交的资格证明材料无法证明其符合招标文件规定的“投标人资格要求”的，采购人或采购代理机构将对其作资格审查不通过处理（无效投标），并不再将其投标提交评标委员会进行后续评审。</w:t>
      </w:r>
    </w:p>
    <w:p w14:paraId="41BA9D3E">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3、单位负责人为同一人或者存在直接控股、管理关系的不同投标人参加同一合同项下的政府采购活动的，相关投标人均作资格无效处理。</w:t>
      </w:r>
    </w:p>
    <w:p w14:paraId="7709B795">
      <w:pPr>
        <w:pStyle w:val="29"/>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273" w:name="_Toc33535370"/>
      <w:bookmarkStart w:id="274" w:name="_Toc3032"/>
      <w:bookmarkStart w:id="275" w:name="_Toc50012886"/>
      <w:r>
        <w:rPr>
          <w:rFonts w:hint="eastAsia" w:asciiTheme="minorEastAsia" w:hAnsiTheme="minorEastAsia" w:eastAsiaTheme="minorEastAsia"/>
          <w:b/>
          <w:color w:val="auto"/>
          <w:szCs w:val="21"/>
          <w:highlight w:val="none"/>
        </w:rPr>
        <w:t>五、评标</w:t>
      </w:r>
      <w:bookmarkEnd w:id="273"/>
      <w:bookmarkEnd w:id="274"/>
      <w:bookmarkEnd w:id="275"/>
    </w:p>
    <w:p w14:paraId="79A1F179">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（一）组建评标委员会</w:t>
      </w:r>
    </w:p>
    <w:p w14:paraId="28002C88">
      <w:pPr>
        <w:pStyle w:val="29"/>
        <w:snapToGrid w:val="0"/>
        <w:spacing w:line="360" w:lineRule="auto"/>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评标委员会由采购人代表和评审专家组成，</w:t>
      </w:r>
      <w:r>
        <w:rPr>
          <w:rFonts w:asciiTheme="minorEastAsia" w:hAnsiTheme="minorEastAsia" w:eastAsiaTheme="minorEastAsia"/>
          <w:color w:val="auto"/>
          <w:szCs w:val="21"/>
          <w:highlight w:val="none"/>
        </w:rPr>
        <w:t>政府采购评审专家</w:t>
      </w:r>
      <w:r>
        <w:rPr>
          <w:rFonts w:hint="eastAsia" w:asciiTheme="minorEastAsia" w:hAnsiTheme="minorEastAsia" w:eastAsiaTheme="minorEastAsia"/>
          <w:color w:val="auto"/>
          <w:szCs w:val="21"/>
          <w:highlight w:val="none"/>
          <w:u w:val="single"/>
        </w:rPr>
        <w:t>5</w:t>
      </w:r>
      <w:r>
        <w:rPr>
          <w:rFonts w:asciiTheme="minorEastAsia" w:hAnsiTheme="minorEastAsia" w:eastAsiaTheme="minorEastAsia"/>
          <w:color w:val="auto"/>
          <w:szCs w:val="21"/>
          <w:highlight w:val="none"/>
        </w:rPr>
        <w:t>人组成。</w:t>
      </w:r>
    </w:p>
    <w:p w14:paraId="7AE71365">
      <w:pPr>
        <w:widowControl/>
        <w:shd w:val="clear" w:color="auto" w:fill="FFFFFF"/>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评标委员会负责具体评标事务，并独立履行下列职责：</w:t>
      </w:r>
    </w:p>
    <w:p w14:paraId="6766247F">
      <w:pPr>
        <w:widowControl/>
        <w:shd w:val="clear" w:color="auto" w:fill="FFFFFF"/>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1、审查、评价投标文件是否符合招标文件的商务、技术等实质性要求;</w:t>
      </w:r>
    </w:p>
    <w:p w14:paraId="67969A43">
      <w:pPr>
        <w:widowControl/>
        <w:shd w:val="clear" w:color="auto" w:fill="FFFFFF"/>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2、要求投标人对投标文件有关事项作出澄清或者说明;</w:t>
      </w:r>
    </w:p>
    <w:p w14:paraId="76B7C359">
      <w:pPr>
        <w:widowControl/>
        <w:shd w:val="clear" w:color="auto" w:fill="FFFFFF"/>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3、对投标文件进行比较和评价;</w:t>
      </w:r>
    </w:p>
    <w:p w14:paraId="18578A33">
      <w:pPr>
        <w:widowControl/>
        <w:shd w:val="clear" w:color="auto" w:fill="FFFFFF"/>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4、确定中标候选人名单，以及根据采购人委托直接确定中标人;</w:t>
      </w:r>
    </w:p>
    <w:p w14:paraId="61B2103F">
      <w:pPr>
        <w:widowControl/>
        <w:shd w:val="clear" w:color="auto" w:fill="FFFFFF"/>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5、向采购人、采购代理机构或者有关部门报告评标中发现的违法行为。</w:t>
      </w:r>
    </w:p>
    <w:p w14:paraId="4CE0A4B6">
      <w:pPr>
        <w:widowControl/>
        <w:shd w:val="clear" w:color="auto" w:fill="FFFFFF"/>
        <w:spacing w:line="360" w:lineRule="auto"/>
        <w:ind w:right="42" w:rightChars="20" w:firstLine="422" w:firstLineChars="200"/>
        <w:jc w:val="left"/>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除采购人代表、评标现场组织人员外，采购人的其他工作人员以及与评标工作无关的人员不得进入评标现场。</w:t>
      </w:r>
    </w:p>
    <w:p w14:paraId="19E9046F">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（二）评标的方式</w:t>
      </w:r>
    </w:p>
    <w:p w14:paraId="47D62AC1">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本项目采用不公开方式评标，评标的依据为招标文件和投标文件。</w:t>
      </w:r>
    </w:p>
    <w:p w14:paraId="780DE10C">
      <w:pPr>
        <w:pStyle w:val="29"/>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asciiTheme="minorEastAsia" w:hAnsiTheme="minorEastAsia" w:eastAsiaTheme="minorEastAsia"/>
          <w:b/>
          <w:color w:val="auto"/>
          <w:szCs w:val="21"/>
          <w:highlight w:val="none"/>
        </w:rPr>
        <w:t>（三）</w:t>
      </w:r>
      <w:r>
        <w:rPr>
          <w:rFonts w:asciiTheme="minorEastAsia" w:hAnsiTheme="minorEastAsia" w:eastAsiaTheme="minorEastAsia"/>
          <w:b/>
          <w:bCs/>
          <w:color w:val="auto"/>
          <w:szCs w:val="21"/>
          <w:highlight w:val="none"/>
        </w:rPr>
        <w:t>评标程序</w:t>
      </w:r>
    </w:p>
    <w:p w14:paraId="5777EC1E">
      <w:pPr>
        <w:pStyle w:val="29"/>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采购人可以在评标前说明项目背景和采购需求，说明内容不得含有歧视性、倾向性意见，不得超出招标文件所述范围。说明应当提交书面材料，并随采购文件一并存档。</w:t>
      </w:r>
    </w:p>
    <w:p w14:paraId="0C0170CB">
      <w:pPr>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1</w:t>
      </w:r>
      <w:r>
        <w:rPr>
          <w:rFonts w:hint="eastAsia" w:asciiTheme="minorEastAsia" w:hAnsiTheme="minorEastAsia" w:eastAsiaTheme="minorEastAsia"/>
          <w:b/>
          <w:bCs/>
          <w:color w:val="auto"/>
          <w:szCs w:val="21"/>
          <w:highlight w:val="none"/>
        </w:rPr>
        <w:t>、</w:t>
      </w:r>
      <w:r>
        <w:rPr>
          <w:rFonts w:asciiTheme="minorEastAsia" w:hAnsiTheme="minorEastAsia" w:eastAsiaTheme="minorEastAsia"/>
          <w:b/>
          <w:bCs/>
          <w:color w:val="auto"/>
          <w:szCs w:val="21"/>
          <w:highlight w:val="none"/>
        </w:rPr>
        <w:t>形式审查</w:t>
      </w:r>
    </w:p>
    <w:p w14:paraId="2D2ED78A">
      <w:pPr>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形式审查</w:t>
      </w:r>
      <w:r>
        <w:rPr>
          <w:rFonts w:hint="eastAsia" w:asciiTheme="minorEastAsia" w:hAnsiTheme="minorEastAsia" w:eastAsiaTheme="minorEastAsia"/>
          <w:bCs/>
          <w:color w:val="auto"/>
          <w:szCs w:val="21"/>
          <w:highlight w:val="none"/>
        </w:rPr>
        <w:t>包括资格审查（除符合性审查以外的关于投标人资格条件等内容）和符合性审查，即对投标人的资格</w:t>
      </w:r>
      <w:r>
        <w:rPr>
          <w:rFonts w:asciiTheme="minorEastAsia" w:hAnsiTheme="minorEastAsia" w:eastAsiaTheme="minorEastAsia"/>
          <w:bCs/>
          <w:color w:val="auto"/>
          <w:szCs w:val="21"/>
          <w:highlight w:val="none"/>
        </w:rPr>
        <w:t>和投标文件的完整性、合法性等进行审查。</w:t>
      </w:r>
      <w:r>
        <w:rPr>
          <w:rFonts w:hint="eastAsia" w:asciiTheme="minorEastAsia" w:hAnsiTheme="minorEastAsia" w:eastAsiaTheme="minorEastAsia"/>
          <w:bCs/>
          <w:color w:val="auto"/>
          <w:szCs w:val="21"/>
          <w:highlight w:val="none"/>
        </w:rPr>
        <w:t>投标文件形式审查未通过的投标人，其投标文件将不再评审。</w:t>
      </w:r>
    </w:p>
    <w:p w14:paraId="7DBE9E70">
      <w:pPr>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2</w:t>
      </w:r>
      <w:r>
        <w:rPr>
          <w:rFonts w:hint="eastAsia" w:asciiTheme="minorEastAsia" w:hAnsiTheme="minorEastAsia" w:eastAsiaTheme="minorEastAsia"/>
          <w:b/>
          <w:bCs/>
          <w:color w:val="auto"/>
          <w:szCs w:val="21"/>
          <w:highlight w:val="none"/>
        </w:rPr>
        <w:t>、</w:t>
      </w:r>
      <w:r>
        <w:rPr>
          <w:rFonts w:asciiTheme="minorEastAsia" w:hAnsiTheme="minorEastAsia" w:eastAsiaTheme="minorEastAsia"/>
          <w:b/>
          <w:bCs/>
          <w:color w:val="auto"/>
          <w:szCs w:val="21"/>
          <w:highlight w:val="none"/>
        </w:rPr>
        <w:t>实质审查与比较</w:t>
      </w:r>
    </w:p>
    <w:p w14:paraId="04A3D7A7">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1）评标委员会审查投标文件的实质性内容是否符合招标文件的实质性要求。</w:t>
      </w:r>
    </w:p>
    <w:p w14:paraId="47E5F404">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2）评标委员会将根据投标人的投标文件进行审查、核对,如有疑问,将对投标人进行询标,投标人要向评标委员会澄清有关问题,并最终以书面形式进行答复。</w:t>
      </w:r>
    </w:p>
    <w:p w14:paraId="22DEE4FE">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询标</w:t>
      </w:r>
      <w:r>
        <w:rPr>
          <w:rFonts w:hint="eastAsia" w:asciiTheme="minorEastAsia" w:hAnsiTheme="minorEastAsia" w:eastAsiaTheme="minorEastAsia"/>
          <w:color w:val="auto"/>
          <w:szCs w:val="21"/>
          <w:highlight w:val="none"/>
        </w:rPr>
        <w:t>时，投标人代表未到场或者拒绝澄清或者澄清的内容改变了投标文件的实质性内容的，评标委员会有权对该投标文件作出不利于投标人的评判。</w:t>
      </w:r>
    </w:p>
    <w:p w14:paraId="191D689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3）各投标人的</w:t>
      </w:r>
      <w:r>
        <w:rPr>
          <w:rFonts w:hint="eastAsia" w:asciiTheme="minorEastAsia" w:hAnsiTheme="minorEastAsia" w:eastAsiaTheme="minorEastAsia"/>
          <w:color w:val="auto"/>
          <w:szCs w:val="21"/>
          <w:highlight w:val="none"/>
        </w:rPr>
        <w:t>资信商务及技术分按照评标委员会成员的独立评分结果汇后的算术平均分计算</w:t>
      </w:r>
      <w:r>
        <w:rPr>
          <w:rFonts w:asciiTheme="minorEastAsia" w:hAnsiTheme="minorEastAsia" w:eastAsiaTheme="minorEastAsia"/>
          <w:color w:val="auto"/>
          <w:szCs w:val="21"/>
          <w:highlight w:val="none"/>
        </w:rPr>
        <w:t>。</w:t>
      </w:r>
    </w:p>
    <w:p w14:paraId="3E16C9C4">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采购代理机构工作人员协助</w:t>
      </w:r>
      <w:r>
        <w:rPr>
          <w:rFonts w:asciiTheme="minorEastAsia" w:hAnsiTheme="minorEastAsia" w:eastAsiaTheme="minorEastAsia"/>
          <w:color w:val="auto"/>
          <w:szCs w:val="21"/>
          <w:highlight w:val="none"/>
        </w:rPr>
        <w:t>评标委员会根据</w:t>
      </w:r>
      <w:r>
        <w:rPr>
          <w:rFonts w:hint="eastAsia" w:asciiTheme="minorEastAsia" w:hAnsiTheme="minorEastAsia" w:eastAsiaTheme="minorEastAsia"/>
          <w:color w:val="auto"/>
          <w:szCs w:val="21"/>
          <w:highlight w:val="none"/>
        </w:rPr>
        <w:t>本项目的评分标准操作政府采购业务系统，由系统</w:t>
      </w:r>
      <w:r>
        <w:rPr>
          <w:rFonts w:asciiTheme="minorEastAsia" w:hAnsiTheme="minorEastAsia" w:eastAsiaTheme="minorEastAsia"/>
          <w:color w:val="auto"/>
          <w:szCs w:val="21"/>
          <w:highlight w:val="none"/>
        </w:rPr>
        <w:t>计算各投标人的商务报价得分</w:t>
      </w:r>
      <w:r>
        <w:rPr>
          <w:rFonts w:hint="eastAsia" w:asciiTheme="minorEastAsia" w:hAnsiTheme="minorEastAsia" w:eastAsiaTheme="minorEastAsia"/>
          <w:color w:val="auto"/>
          <w:szCs w:val="21"/>
          <w:highlight w:val="none"/>
        </w:rPr>
        <w:t>。</w:t>
      </w:r>
    </w:p>
    <w:p w14:paraId="7E3E946D">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5）评标委员会完成评标后,评委对各部分得分汇总,</w:t>
      </w:r>
      <w:r>
        <w:rPr>
          <w:rFonts w:hint="eastAsia" w:asciiTheme="minorEastAsia" w:hAnsiTheme="minorEastAsia" w:eastAsiaTheme="minorEastAsia"/>
          <w:color w:val="auto"/>
          <w:szCs w:val="21"/>
          <w:highlight w:val="none"/>
        </w:rPr>
        <w:t>计算</w:t>
      </w:r>
      <w:r>
        <w:rPr>
          <w:rFonts w:asciiTheme="minorEastAsia" w:hAnsiTheme="minorEastAsia" w:eastAsiaTheme="minorEastAsia"/>
          <w:color w:val="auto"/>
          <w:szCs w:val="21"/>
          <w:highlight w:val="none"/>
        </w:rPr>
        <w:t>出本项目</w:t>
      </w:r>
      <w:r>
        <w:rPr>
          <w:rFonts w:hint="eastAsia" w:asciiTheme="minorEastAsia" w:hAnsiTheme="minorEastAsia" w:eastAsiaTheme="minorEastAsia"/>
          <w:color w:val="auto"/>
          <w:szCs w:val="21"/>
          <w:highlight w:val="none"/>
        </w:rPr>
        <w:t>最终得分、性价比、评标价等</w:t>
      </w:r>
      <w:r>
        <w:rPr>
          <w:rFonts w:asciiTheme="minorEastAsia" w:hAnsiTheme="minorEastAsia" w:eastAsiaTheme="minorEastAsia"/>
          <w:color w:val="auto"/>
          <w:szCs w:val="21"/>
          <w:highlight w:val="none"/>
        </w:rPr>
        <w:t>。评标委员会按评标原则推荐中标候选人同时起草评标报告。</w:t>
      </w:r>
    </w:p>
    <w:p w14:paraId="5D8E5150">
      <w:pPr>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（四）澄清问题的形式</w:t>
      </w:r>
    </w:p>
    <w:p w14:paraId="05AF1D71">
      <w:pPr>
        <w:snapToGrid w:val="0"/>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w:t>
      </w:r>
      <w:r>
        <w:rPr>
          <w:rFonts w:hint="eastAsia" w:cs="宋体" w:asciiTheme="minorEastAsia" w:hAnsiTheme="minorEastAsia" w:eastAsiaTheme="minorEastAsia"/>
          <w:color w:val="auto"/>
          <w:kern w:val="0"/>
          <w:szCs w:val="21"/>
          <w:highlight w:val="none"/>
        </w:rPr>
        <w:t>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0F2F7B57">
      <w:pPr>
        <w:snapToGrid w:val="0"/>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cs="宋体" w:asciiTheme="minorEastAsia" w:hAnsiTheme="minorEastAsia" w:eastAsiaTheme="minorEastAsia"/>
          <w:color w:val="auto"/>
          <w:kern w:val="0"/>
          <w:szCs w:val="21"/>
          <w:highlight w:val="none"/>
        </w:rPr>
        <w:t>投标人的澄清、说明或者补正应当采用书面（或通过“政府采购云平台”在线答复）形式提交，并加盖CA签章，或者由法定代表人或其授权的代表签字或盖章。投标人的澄清、说明或者补正不得超出投标文件的范围或者改变投标文件的实质性内容。</w:t>
      </w:r>
    </w:p>
    <w:p w14:paraId="29FB3211">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（五）错误修正</w:t>
      </w:r>
    </w:p>
    <w:p w14:paraId="6D6A8CE9">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投标文件如果出现计算或表达上的错误，修正错误的原则如下：</w:t>
      </w:r>
    </w:p>
    <w:p w14:paraId="369FF398">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投标文件的大写金额和小写金额不一致的，以大写金额为准；</w:t>
      </w:r>
    </w:p>
    <w:p w14:paraId="088171A1">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总价金额与按单价汇总金额不一致的，以单价金额计算结果为准；</w:t>
      </w:r>
    </w:p>
    <w:p w14:paraId="7D7B150C">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对不同文字文本投标文件的解释发生异议的，以中文文本为准。</w:t>
      </w:r>
    </w:p>
    <w:p w14:paraId="74AF77A1">
      <w:pPr>
        <w:pStyle w:val="29"/>
        <w:tabs>
          <w:tab w:val="left" w:pos="630"/>
        </w:tabs>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（六）评标原则和评标办法</w:t>
      </w:r>
    </w:p>
    <w:p w14:paraId="2A31E2F8">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4B79BB1">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评标办法。本项目评标办法是</w:t>
      </w:r>
      <w:r>
        <w:rPr>
          <w:rFonts w:hint="eastAsia" w:asciiTheme="minorEastAsia" w:hAnsiTheme="minorEastAsia" w:eastAsiaTheme="minorEastAsia"/>
          <w:color w:val="auto"/>
          <w:szCs w:val="21"/>
          <w:highlight w:val="none"/>
        </w:rPr>
        <w:t xml:space="preserve"> 综合评标法</w:t>
      </w:r>
      <w:r>
        <w:rPr>
          <w:rFonts w:asciiTheme="minorEastAsia" w:hAnsiTheme="minorEastAsia" w:eastAsiaTheme="minorEastAsia"/>
          <w:color w:val="auto"/>
          <w:szCs w:val="21"/>
          <w:highlight w:val="none"/>
        </w:rPr>
        <w:t xml:space="preserve"> ，具体评标内容及评分标准等详见《第四章：评标办法及评分标准》。</w:t>
      </w:r>
    </w:p>
    <w:p w14:paraId="686EC097">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（七）评标过程的监控</w:t>
      </w:r>
    </w:p>
    <w:p w14:paraId="78D108E6">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本项目评标过程实行全程录音、录像监控</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投标人在评标过程中所进行的</w:t>
      </w:r>
      <w:r>
        <w:rPr>
          <w:rFonts w:hint="eastAsia" w:asciiTheme="minorEastAsia" w:hAnsiTheme="minorEastAsia" w:eastAsiaTheme="minorEastAsia"/>
          <w:color w:val="auto"/>
          <w:szCs w:val="21"/>
          <w:highlight w:val="none"/>
        </w:rPr>
        <w:t>试</w:t>
      </w:r>
      <w:r>
        <w:rPr>
          <w:rFonts w:asciiTheme="minorEastAsia" w:hAnsiTheme="minorEastAsia" w:eastAsiaTheme="minorEastAsia"/>
          <w:color w:val="auto"/>
          <w:szCs w:val="21"/>
          <w:highlight w:val="none"/>
        </w:rPr>
        <w:t>图影响评标结果的不公正活动，可能导致其投标被拒绝。</w:t>
      </w:r>
    </w:p>
    <w:p w14:paraId="2C25238D">
      <w:pPr>
        <w:pStyle w:val="29"/>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276" w:name="_Toc19997"/>
      <w:bookmarkStart w:id="277" w:name="_Toc50012887"/>
      <w:bookmarkStart w:id="278" w:name="_Toc33535371"/>
      <w:r>
        <w:rPr>
          <w:rFonts w:hint="eastAsia" w:asciiTheme="minorEastAsia" w:hAnsiTheme="minorEastAsia" w:eastAsiaTheme="minorEastAsia"/>
          <w:b/>
          <w:color w:val="auto"/>
          <w:szCs w:val="21"/>
          <w:highlight w:val="none"/>
        </w:rPr>
        <w:t>六、定标</w:t>
      </w:r>
      <w:bookmarkEnd w:id="276"/>
      <w:bookmarkEnd w:id="277"/>
      <w:bookmarkEnd w:id="278"/>
    </w:p>
    <w:p w14:paraId="655BDF27">
      <w:pPr>
        <w:pStyle w:val="29"/>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（一）确定中标人。</w:t>
      </w:r>
    </w:p>
    <w:p w14:paraId="6AB7432C">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、采购代理机构</w:t>
      </w:r>
      <w:r>
        <w:rPr>
          <w:rFonts w:asciiTheme="minorEastAsia" w:hAnsiTheme="minorEastAsia" w:eastAsiaTheme="minorEastAsia"/>
          <w:color w:val="auto"/>
          <w:szCs w:val="21"/>
          <w:highlight w:val="none"/>
        </w:rPr>
        <w:t>在评标结束后2个工作日内将评标报告交采购人确认，同时在发布招标公告的网站上对评标结果进行</w:t>
      </w:r>
      <w:r>
        <w:rPr>
          <w:rFonts w:hint="eastAsia" w:asciiTheme="minorEastAsia" w:hAnsiTheme="minorEastAsia" w:eastAsiaTheme="minorEastAsia"/>
          <w:color w:val="auto"/>
          <w:szCs w:val="21"/>
          <w:highlight w:val="none"/>
        </w:rPr>
        <w:t>公告</w:t>
      </w:r>
      <w:r>
        <w:rPr>
          <w:rFonts w:asciiTheme="minorEastAsia" w:hAnsiTheme="minorEastAsia" w:eastAsiaTheme="minorEastAsia"/>
          <w:color w:val="auto"/>
          <w:szCs w:val="21"/>
          <w:highlight w:val="none"/>
        </w:rPr>
        <w:t>。</w:t>
      </w:r>
    </w:p>
    <w:p w14:paraId="23E6B405">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投标人对评标结果无异议的，采购人应在收到评标报告后5个工作日内对评标结果进行确认。如有投标人对评标结果提出质疑的，采购人可在质疑处理完毕后确定中标人。</w:t>
      </w:r>
    </w:p>
    <w:p w14:paraId="5CEEDAB2">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 在公告中标结果的同时，采购代理机构向中标人发出中标通知书。</w:t>
      </w:r>
    </w:p>
    <w:p w14:paraId="582825D4">
      <w:pPr>
        <w:pStyle w:val="29"/>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279" w:name="_Toc5136"/>
      <w:bookmarkStart w:id="280" w:name="_Toc33535372"/>
      <w:bookmarkStart w:id="281" w:name="_Toc50012888"/>
      <w:r>
        <w:rPr>
          <w:rFonts w:hint="eastAsia" w:asciiTheme="minorEastAsia" w:hAnsiTheme="minorEastAsia" w:eastAsiaTheme="minorEastAsia"/>
          <w:b/>
          <w:color w:val="auto"/>
          <w:szCs w:val="21"/>
          <w:highlight w:val="none"/>
        </w:rPr>
        <w:t>七、合同授予</w:t>
      </w:r>
      <w:bookmarkEnd w:id="279"/>
      <w:bookmarkEnd w:id="280"/>
      <w:bookmarkEnd w:id="281"/>
    </w:p>
    <w:p w14:paraId="6AAECA3B">
      <w:pPr>
        <w:snapToGrid w:val="0"/>
        <w:spacing w:line="360" w:lineRule="auto"/>
        <w:ind w:right="42" w:rightChars="20" w:firstLine="422"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
          <w:bCs/>
          <w:color w:val="auto"/>
          <w:szCs w:val="21"/>
          <w:highlight w:val="none"/>
        </w:rPr>
        <w:t>（一）签订合同</w:t>
      </w:r>
    </w:p>
    <w:p w14:paraId="72E43B61">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、采购人与</w:t>
      </w:r>
      <w:r>
        <w:rPr>
          <w:rFonts w:asciiTheme="minorEastAsia" w:hAnsiTheme="minorEastAsia" w:eastAsiaTheme="minorEastAsia"/>
          <w:color w:val="auto"/>
          <w:szCs w:val="21"/>
          <w:highlight w:val="none"/>
        </w:rPr>
        <w:t>中标人应</w:t>
      </w:r>
      <w:r>
        <w:rPr>
          <w:rFonts w:hint="eastAsia" w:asciiTheme="minorEastAsia" w:hAnsiTheme="minorEastAsia" w:eastAsiaTheme="minorEastAsia"/>
          <w:color w:val="auto"/>
          <w:szCs w:val="21"/>
          <w:highlight w:val="none"/>
        </w:rPr>
        <w:t>当在中标公示发出之日起30日内签订政府采购合同。同时，采购机构对合同内容进行审查，如发现与采购结果和投标承诺内容不一致的，将予以纠正。</w:t>
      </w:r>
    </w:p>
    <w:p w14:paraId="2D4FC2D7">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中标人拖延、拒签合同的,将被取消中标资格</w:t>
      </w:r>
      <w:r>
        <w:rPr>
          <w:rFonts w:hint="eastAsia" w:asciiTheme="minorEastAsia" w:hAnsiTheme="minorEastAsia" w:eastAsiaTheme="minorEastAsia"/>
          <w:color w:val="auto"/>
          <w:szCs w:val="21"/>
          <w:highlight w:val="none"/>
        </w:rPr>
        <w:t>，并报监督管理部门</w:t>
      </w:r>
      <w:r>
        <w:rPr>
          <w:rFonts w:asciiTheme="minorEastAsia" w:hAnsiTheme="minorEastAsia" w:eastAsiaTheme="minorEastAsia"/>
          <w:color w:val="auto"/>
          <w:szCs w:val="21"/>
          <w:highlight w:val="none"/>
        </w:rPr>
        <w:t>。</w:t>
      </w:r>
    </w:p>
    <w:p w14:paraId="4E05158B">
      <w:pPr>
        <w:pStyle w:val="29"/>
        <w:snapToGrid w:val="0"/>
        <w:spacing w:line="360" w:lineRule="auto"/>
        <w:ind w:right="42" w:rightChars="20" w:firstLine="422" w:firstLineChars="200"/>
        <w:jc w:val="left"/>
        <w:rPr>
          <w:rFonts w:asciiTheme="minorEastAsia" w:hAnsiTheme="minorEastAsia" w:eastAsiaTheme="minorEastAsia"/>
          <w:color w:val="auto"/>
          <w:szCs w:val="21"/>
          <w:highlight w:val="none"/>
        </w:rPr>
      </w:pPr>
      <w:r>
        <w:rPr>
          <w:rFonts w:asciiTheme="minorEastAsia" w:hAnsiTheme="minorEastAsia" w:eastAsiaTheme="minorEastAsia"/>
          <w:b/>
          <w:color w:val="auto"/>
          <w:szCs w:val="21"/>
          <w:highlight w:val="none"/>
        </w:rPr>
        <w:t>（二）</w:t>
      </w:r>
      <w:r>
        <w:rPr>
          <w:rFonts w:hint="eastAsia" w:asciiTheme="minorEastAsia" w:hAnsiTheme="minorEastAsia" w:eastAsiaTheme="minorEastAsia"/>
          <w:color w:val="auto"/>
          <w:szCs w:val="21"/>
          <w:highlight w:val="none"/>
        </w:rPr>
        <w:t>履约保证金的收取及退还：无。</w:t>
      </w:r>
    </w:p>
    <w:bookmarkEnd w:id="204"/>
    <w:p w14:paraId="3FAB09FA">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bookmarkStart w:id="282" w:name="_Toc27157"/>
      <w:bookmarkStart w:id="283" w:name="_Toc493511776"/>
      <w:bookmarkStart w:id="284" w:name="_Toc170792807"/>
      <w:bookmarkStart w:id="285" w:name="_Toc177870559"/>
    </w:p>
    <w:p w14:paraId="61855ED6">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52F0796C">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32F6BA7F">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25391316">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405AC369">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6EBD7F65">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7C431361">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4215738F">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5A544760">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3BD56A05">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0E1B41D2">
      <w:pPr>
        <w:pStyle w:val="30"/>
        <w:rPr>
          <w:rFonts w:asciiTheme="minorEastAsia" w:hAnsiTheme="minorEastAsia" w:eastAsiaTheme="minorEastAsia"/>
          <w:color w:val="auto"/>
          <w:szCs w:val="21"/>
          <w:highlight w:val="none"/>
        </w:rPr>
      </w:pPr>
    </w:p>
    <w:p w14:paraId="364ADEEE">
      <w:pPr>
        <w:rPr>
          <w:rFonts w:asciiTheme="minorEastAsia" w:hAnsiTheme="minorEastAsia" w:eastAsiaTheme="minorEastAsia"/>
          <w:color w:val="auto"/>
          <w:szCs w:val="21"/>
          <w:highlight w:val="none"/>
        </w:rPr>
      </w:pPr>
    </w:p>
    <w:p w14:paraId="0C9C61CA">
      <w:pPr>
        <w:pStyle w:val="2"/>
        <w:rPr>
          <w:color w:val="auto"/>
          <w:highlight w:val="none"/>
        </w:rPr>
      </w:pPr>
    </w:p>
    <w:p w14:paraId="050838CA">
      <w:pPr>
        <w:pStyle w:val="159"/>
        <w:ind w:right="42" w:rightChars="20"/>
        <w:rPr>
          <w:rFonts w:asciiTheme="minorEastAsia" w:hAnsiTheme="minorEastAsia" w:eastAsiaTheme="minorEastAsia"/>
          <w:b w:val="0"/>
          <w:color w:val="auto"/>
          <w:highlight w:val="none"/>
        </w:rPr>
      </w:pPr>
      <w:r>
        <w:rPr>
          <w:rStyle w:val="65"/>
          <w:rFonts w:hint="eastAsia" w:cs="微软雅黑" w:asciiTheme="minorEastAsia" w:hAnsiTheme="minorEastAsia" w:eastAsiaTheme="minorEastAsia"/>
          <w:b/>
          <w:color w:val="auto"/>
          <w:highlight w:val="none"/>
        </w:rPr>
        <w:t>第四章  评标办法及评分标准</w:t>
      </w:r>
      <w:bookmarkEnd w:id="282"/>
      <w:bookmarkEnd w:id="283"/>
    </w:p>
    <w:p w14:paraId="042D68CA">
      <w:pPr>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为公正、公平、科学地选择中标人，根据《中华人民共和国政府采购法》等有关法律法规的规定，并结合本项目的实际，制定本办法。</w:t>
      </w:r>
    </w:p>
    <w:bookmarkEnd w:id="284"/>
    <w:bookmarkEnd w:id="285"/>
    <w:p w14:paraId="3B007A3A">
      <w:pPr>
        <w:spacing w:line="360" w:lineRule="auto"/>
        <w:ind w:right="42" w:rightChars="20" w:firstLine="422" w:firstLineChars="200"/>
        <w:jc w:val="left"/>
        <w:rPr>
          <w:rFonts w:asciiTheme="minorEastAsia" w:hAnsiTheme="minorEastAsia" w:eastAsiaTheme="minorEastAsia"/>
          <w:b/>
          <w:color w:val="auto"/>
          <w:szCs w:val="21"/>
          <w:highlight w:val="none"/>
        </w:rPr>
      </w:pPr>
      <w:bookmarkStart w:id="286" w:name="_Toc170792802"/>
      <w:r>
        <w:rPr>
          <w:rFonts w:hint="eastAsia" w:asciiTheme="minorEastAsia" w:hAnsiTheme="minorEastAsia" w:eastAsiaTheme="minorEastAsia"/>
          <w:b/>
          <w:color w:val="auto"/>
          <w:szCs w:val="21"/>
          <w:highlight w:val="none"/>
        </w:rPr>
        <w:t>一、总则</w:t>
      </w:r>
    </w:p>
    <w:p w14:paraId="0999D0D8">
      <w:pPr>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本次评标采用综合评分法，总分为100分，其中价格分10分，技术资信及商务分90分。合格投标人的评标得分为各项目汇总得分，中标候选资格按评标得分由高到低顺序排列，得分相同的，按投标报价由低到高顺序排列；得分且投标报价相同的，按技术得分由高到低顺序排列。排名</w:t>
      </w:r>
      <w:r>
        <w:rPr>
          <w:rFonts w:hint="eastAsia" w:asciiTheme="minorEastAsia" w:hAnsiTheme="minorEastAsia" w:eastAsiaTheme="minorEastAsia"/>
          <w:b/>
          <w:color w:val="auto"/>
          <w:szCs w:val="21"/>
          <w:highlight w:val="none"/>
        </w:rPr>
        <w:t>第一</w:t>
      </w:r>
      <w:r>
        <w:rPr>
          <w:rFonts w:hint="eastAsia" w:asciiTheme="minorEastAsia" w:hAnsiTheme="minorEastAsia" w:eastAsiaTheme="minorEastAsia"/>
          <w:color w:val="auto"/>
          <w:szCs w:val="21"/>
          <w:highlight w:val="none"/>
        </w:rPr>
        <w:t>的投标人为中标候选人，排名第二的投标人为候补中标候选人……其他投标人中标候选资格依此类推。</w:t>
      </w:r>
      <w:r>
        <w:rPr>
          <w:rFonts w:hint="eastAsia" w:asciiTheme="minorEastAsia" w:hAnsiTheme="minorEastAsia" w:eastAsiaTheme="minorEastAsia"/>
          <w:bCs/>
          <w:color w:val="auto"/>
          <w:szCs w:val="21"/>
          <w:highlight w:val="none"/>
        </w:rPr>
        <w:t>评分过程中采用四舍五入法，并保留小数2位。</w:t>
      </w:r>
    </w:p>
    <w:p w14:paraId="32BBF0F2">
      <w:pPr>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投标人评标</w:t>
      </w:r>
      <w:r>
        <w:rPr>
          <w:rFonts w:hint="eastAsia" w:asciiTheme="minorEastAsia" w:hAnsiTheme="minorEastAsia" w:eastAsiaTheme="minorEastAsia"/>
          <w:bCs/>
          <w:color w:val="auto"/>
          <w:szCs w:val="21"/>
          <w:highlight w:val="none"/>
        </w:rPr>
        <w:t>综合得分=价格分+(技术分+资信、商务及其他分)</w:t>
      </w:r>
    </w:p>
    <w:p w14:paraId="0A3403BB">
      <w:pPr>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二、评标内容及标准</w:t>
      </w:r>
    </w:p>
    <w:p w14:paraId="26585881">
      <w:pPr>
        <w:pStyle w:val="29"/>
        <w:tabs>
          <w:tab w:val="left" w:pos="630"/>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（一）价格分（10分）</w:t>
      </w:r>
    </w:p>
    <w:p w14:paraId="547B7AC4">
      <w:pPr>
        <w:pStyle w:val="29"/>
        <w:tabs>
          <w:tab w:val="left" w:pos="630"/>
        </w:tabs>
        <w:spacing w:line="360" w:lineRule="auto"/>
        <w:ind w:right="42" w:rightChars="20" w:firstLine="420" w:firstLineChars="200"/>
        <w:jc w:val="left"/>
        <w:rPr>
          <w:rFonts w:hAnsi="宋体" w:cs="宋体"/>
          <w:color w:val="auto"/>
          <w:highlight w:val="none"/>
          <w:lang w:val="zh-CN"/>
        </w:rPr>
      </w:pPr>
      <w:r>
        <w:rPr>
          <w:rFonts w:hint="eastAsia" w:asciiTheme="minorEastAsia" w:hAnsiTheme="minorEastAsia" w:eastAsiaTheme="minorEastAsia"/>
          <w:bCs/>
          <w:color w:val="auto"/>
          <w:szCs w:val="21"/>
          <w:highlight w:val="none"/>
        </w:rPr>
        <w:t>1、价格分采用低价优先法计算，即满足招标文件要求且投标价格最低的投标报价为评标基准价</w:t>
      </w:r>
      <w:r>
        <w:rPr>
          <w:rFonts w:hint="eastAsia" w:hAnsi="宋体" w:cs="宋体"/>
          <w:color w:val="auto"/>
          <w:highlight w:val="none"/>
          <w:lang w:val="zh-CN"/>
        </w:rPr>
        <w:t>，其价格分为满分。其他的报价分统一按下列公式计算：</w:t>
      </w:r>
    </w:p>
    <w:p w14:paraId="77F883E8">
      <w:pPr>
        <w:pStyle w:val="29"/>
        <w:tabs>
          <w:tab w:val="left" w:pos="630"/>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hAnsi="宋体" w:cs="宋体"/>
          <w:color w:val="auto"/>
          <w:highlight w:val="none"/>
          <w:lang w:val="zh-CN"/>
        </w:rPr>
        <w:t>投标报价得分=(评标基准价／投标报价)×价格权值（</w:t>
      </w:r>
      <w:r>
        <w:rPr>
          <w:rFonts w:hint="eastAsia" w:hAnsi="宋体" w:cs="宋体"/>
          <w:color w:val="auto"/>
          <w:highlight w:val="none"/>
        </w:rPr>
        <w:t>10</w:t>
      </w:r>
      <w:r>
        <w:rPr>
          <w:rFonts w:hint="eastAsia" w:hAnsi="宋体" w:cs="宋体"/>
          <w:color w:val="auto"/>
          <w:highlight w:val="none"/>
          <w:lang w:val="zh-CN"/>
        </w:rPr>
        <w:t>%）×100。</w:t>
      </w:r>
    </w:p>
    <w:p w14:paraId="547CEE0D">
      <w:pPr>
        <w:pStyle w:val="29"/>
        <w:tabs>
          <w:tab w:val="left" w:pos="630"/>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2、投标人的投标报价超过采购人设定的最高限价（总价及单价），将作为无效标。</w:t>
      </w:r>
    </w:p>
    <w:p w14:paraId="18C89566">
      <w:pPr>
        <w:pStyle w:val="29"/>
        <w:tabs>
          <w:tab w:val="left" w:pos="630"/>
        </w:tabs>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w:t>
      </w:r>
      <w:r>
        <w:rPr>
          <w:rFonts w:hint="eastAsia" w:asciiTheme="minorEastAsia" w:hAnsiTheme="minorEastAsia" w:eastAsiaTheme="minorEastAsia"/>
          <w:bCs/>
          <w:color w:val="auto"/>
          <w:szCs w:val="21"/>
          <w:highlight w:val="none"/>
        </w:rPr>
        <w:t>其报价合理性的，评标委员会应当将其作为无效投标处理。</w:t>
      </w:r>
    </w:p>
    <w:p w14:paraId="1602AFE8">
      <w:pPr>
        <w:pStyle w:val="29"/>
        <w:tabs>
          <w:tab w:val="left" w:pos="630"/>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4、扶持政策说明：</w:t>
      </w:r>
    </w:p>
    <w:p w14:paraId="280DF2B0">
      <w:pPr>
        <w:pStyle w:val="29"/>
        <w:tabs>
          <w:tab w:val="left" w:pos="630"/>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（1）本次采购为专门面向中小企业预留采购份额的采购项目。</w:t>
      </w:r>
    </w:p>
    <w:p w14:paraId="0A8B5CCE">
      <w:pPr>
        <w:pStyle w:val="29"/>
        <w:tabs>
          <w:tab w:val="left" w:pos="630"/>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（2）本项目对应的中小企业划分标准所属行业：</w:t>
      </w:r>
      <w:r>
        <w:rPr>
          <w:rFonts w:hint="eastAsia" w:cs="微软雅黑" w:asciiTheme="minorEastAsia" w:hAnsiTheme="minorEastAsia" w:eastAsiaTheme="minorEastAsia"/>
          <w:color w:val="auto"/>
          <w:kern w:val="0"/>
          <w:szCs w:val="21"/>
          <w:highlight w:val="none"/>
        </w:rPr>
        <w:t>其他未列明行业</w:t>
      </w:r>
      <w:r>
        <w:rPr>
          <w:rFonts w:hint="eastAsia" w:asciiTheme="minorEastAsia" w:hAnsiTheme="minorEastAsia" w:eastAsiaTheme="minorEastAsia"/>
          <w:color w:val="auto"/>
          <w:szCs w:val="21"/>
          <w:highlight w:val="none"/>
        </w:rPr>
        <w:t>。</w:t>
      </w:r>
    </w:p>
    <w:p w14:paraId="5D9046CC">
      <w:pPr>
        <w:pStyle w:val="29"/>
        <w:tabs>
          <w:tab w:val="left" w:pos="630"/>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00158AB">
      <w:pPr>
        <w:pStyle w:val="29"/>
        <w:tabs>
          <w:tab w:val="left" w:pos="630"/>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（4）监狱企业和残疾人福利性单位视同小型、微型企业，按《财政部司法部关于政府采购支持监狱企业发展有关问题的通知》(财库〔2014〕68 号)、《财政部  民政部  中国残疾人联合会关于促进残疾人就业政府采购政策的通知》（财库〔2017〕141 号）的规定执行。</w:t>
      </w:r>
    </w:p>
    <w:p w14:paraId="619CF41C">
      <w:pPr>
        <w:pStyle w:val="29"/>
        <w:tabs>
          <w:tab w:val="left" w:pos="630"/>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中标、中标人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3A38023B">
      <w:pPr>
        <w:pStyle w:val="29"/>
        <w:tabs>
          <w:tab w:val="left" w:pos="630"/>
        </w:tabs>
        <w:spacing w:line="360" w:lineRule="auto"/>
        <w:ind w:right="42" w:rightChars="20" w:firstLine="422" w:firstLineChars="200"/>
        <w:jc w:val="left"/>
        <w:rPr>
          <w:rFonts w:asciiTheme="minorEastAsia" w:hAnsiTheme="minorEastAsia" w:eastAsiaTheme="minorEastAsia"/>
          <w:b/>
          <w:bCs/>
          <w:color w:val="auto"/>
          <w:szCs w:val="21"/>
          <w:highlight w:val="none"/>
        </w:rPr>
      </w:pPr>
    </w:p>
    <w:p w14:paraId="651EB42D">
      <w:pPr>
        <w:numPr>
          <w:ilvl w:val="0"/>
          <w:numId w:val="5"/>
        </w:numPr>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技术资信分：</w:t>
      </w:r>
      <w:bookmarkStart w:id="287" w:name="_Toc417992896"/>
      <w:bookmarkStart w:id="288" w:name="_Toc416422800"/>
      <w:bookmarkStart w:id="289" w:name="_Toc493511826"/>
      <w:bookmarkStart w:id="290" w:name="_Toc28829"/>
      <w:r>
        <w:rPr>
          <w:rFonts w:hint="eastAsia" w:asciiTheme="minorEastAsia" w:hAnsiTheme="minorEastAsia" w:eastAsiaTheme="minorEastAsia"/>
          <w:b/>
          <w:bCs/>
          <w:color w:val="auto"/>
          <w:szCs w:val="21"/>
          <w:highlight w:val="none"/>
        </w:rPr>
        <w:t>（90分）</w:t>
      </w:r>
    </w:p>
    <w:p w14:paraId="0D36FB45">
      <w:pPr>
        <w:pStyle w:val="18"/>
        <w:rPr>
          <w:color w:val="auto"/>
          <w:highlight w:val="none"/>
        </w:rPr>
      </w:pPr>
    </w:p>
    <w:tbl>
      <w:tblPr>
        <w:tblStyle w:val="52"/>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86"/>
        <w:gridCol w:w="5062"/>
        <w:gridCol w:w="850"/>
        <w:gridCol w:w="913"/>
      </w:tblGrid>
      <w:tr w14:paraId="08CC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EE57F79">
            <w:pPr>
              <w:pStyle w:val="96"/>
              <w:rPr>
                <w:color w:val="auto"/>
                <w:highlight w:val="none"/>
              </w:rPr>
            </w:pPr>
            <w:r>
              <w:rPr>
                <w:rFonts w:hint="eastAsia"/>
                <w:color w:val="auto"/>
                <w:highlight w:val="none"/>
              </w:rPr>
              <w:t>序号</w:t>
            </w:r>
          </w:p>
        </w:tc>
        <w:tc>
          <w:tcPr>
            <w:tcW w:w="1486" w:type="dxa"/>
            <w:vAlign w:val="center"/>
          </w:tcPr>
          <w:p w14:paraId="29EEF881">
            <w:pPr>
              <w:pStyle w:val="96"/>
              <w:rPr>
                <w:color w:val="auto"/>
                <w:highlight w:val="none"/>
              </w:rPr>
            </w:pPr>
            <w:r>
              <w:rPr>
                <w:rFonts w:hint="eastAsia"/>
                <w:color w:val="auto"/>
                <w:highlight w:val="none"/>
              </w:rPr>
              <w:t>评审内容</w:t>
            </w:r>
          </w:p>
        </w:tc>
        <w:tc>
          <w:tcPr>
            <w:tcW w:w="5062" w:type="dxa"/>
            <w:vAlign w:val="center"/>
          </w:tcPr>
          <w:p w14:paraId="76A21191">
            <w:pPr>
              <w:pStyle w:val="96"/>
              <w:rPr>
                <w:color w:val="auto"/>
                <w:highlight w:val="none"/>
              </w:rPr>
            </w:pPr>
            <w:r>
              <w:rPr>
                <w:rFonts w:hint="eastAsia"/>
                <w:color w:val="auto"/>
                <w:highlight w:val="none"/>
              </w:rPr>
              <w:t>评审细则</w:t>
            </w:r>
          </w:p>
        </w:tc>
        <w:tc>
          <w:tcPr>
            <w:tcW w:w="850" w:type="dxa"/>
            <w:vAlign w:val="center"/>
          </w:tcPr>
          <w:p w14:paraId="10B2FA50">
            <w:pPr>
              <w:pStyle w:val="96"/>
              <w:rPr>
                <w:color w:val="auto"/>
                <w:highlight w:val="none"/>
              </w:rPr>
            </w:pPr>
            <w:r>
              <w:rPr>
                <w:rFonts w:hint="eastAsia"/>
                <w:color w:val="auto"/>
                <w:highlight w:val="none"/>
              </w:rPr>
              <w:t>评分</w:t>
            </w:r>
          </w:p>
        </w:tc>
        <w:tc>
          <w:tcPr>
            <w:tcW w:w="913" w:type="dxa"/>
            <w:vAlign w:val="center"/>
          </w:tcPr>
          <w:p w14:paraId="4F7115F4">
            <w:pPr>
              <w:pStyle w:val="96"/>
              <w:rPr>
                <w:color w:val="auto"/>
                <w:highlight w:val="none"/>
              </w:rPr>
            </w:pPr>
            <w:r>
              <w:rPr>
                <w:rFonts w:hint="eastAsia"/>
                <w:color w:val="auto"/>
                <w:highlight w:val="none"/>
              </w:rPr>
              <w:t>备注</w:t>
            </w:r>
          </w:p>
        </w:tc>
      </w:tr>
      <w:tr w14:paraId="0113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3" w:hRule="atLeast"/>
        </w:trPr>
        <w:tc>
          <w:tcPr>
            <w:tcW w:w="675" w:type="dxa"/>
            <w:vAlign w:val="center"/>
          </w:tcPr>
          <w:p w14:paraId="14F508E4">
            <w:pPr>
              <w:pStyle w:val="96"/>
              <w:rPr>
                <w:color w:val="auto"/>
                <w:highlight w:val="none"/>
              </w:rPr>
            </w:pPr>
            <w:r>
              <w:rPr>
                <w:rFonts w:hint="eastAsia"/>
                <w:color w:val="auto"/>
                <w:highlight w:val="none"/>
              </w:rPr>
              <w:t>1</w:t>
            </w:r>
          </w:p>
        </w:tc>
        <w:tc>
          <w:tcPr>
            <w:tcW w:w="1486" w:type="dxa"/>
            <w:vMerge w:val="restart"/>
            <w:vAlign w:val="center"/>
          </w:tcPr>
          <w:p w14:paraId="3D8F3B18">
            <w:pPr>
              <w:pStyle w:val="96"/>
              <w:rPr>
                <w:color w:val="auto"/>
                <w:highlight w:val="none"/>
              </w:rPr>
            </w:pPr>
            <w:r>
              <w:rPr>
                <w:rFonts w:hint="eastAsia" w:cs="Times New Roman" w:asciiTheme="minorEastAsia" w:hAnsiTheme="minorEastAsia" w:eastAsiaTheme="minorEastAsia"/>
                <w:b/>
                <w:bCs/>
                <w:color w:val="auto"/>
                <w:kern w:val="2"/>
                <w:sz w:val="21"/>
                <w:szCs w:val="21"/>
                <w:highlight w:val="none"/>
                <w:lang w:val="en-US" w:eastAsia="zh-CN" w:bidi="ar-SA"/>
              </w:rPr>
              <w:t>资信分（14分）</w:t>
            </w:r>
          </w:p>
        </w:tc>
        <w:tc>
          <w:tcPr>
            <w:tcW w:w="5062" w:type="dxa"/>
            <w:vAlign w:val="center"/>
          </w:tcPr>
          <w:p w14:paraId="157789B2">
            <w:pPr>
              <w:pStyle w:val="96"/>
              <w:rPr>
                <w:color w:val="auto"/>
                <w:highlight w:val="none"/>
              </w:rPr>
            </w:pPr>
            <w:r>
              <w:rPr>
                <w:rFonts w:hint="eastAsia" w:ascii="宋体" w:hAnsi="宋体" w:cs="宋体"/>
                <w:color w:val="auto"/>
                <w:highlight w:val="none"/>
                <w:lang w:bidi="ar"/>
              </w:rPr>
              <w:t>投标人自2021年1月1日以来具有类似本项目案例的每个得1分，最高得1分。</w:t>
            </w:r>
            <w:r>
              <w:rPr>
                <w:rFonts w:hint="eastAsia"/>
                <w:b/>
                <w:bCs/>
                <w:color w:val="auto"/>
                <w:highlight w:val="none"/>
              </w:rPr>
              <w:t>（是否属于有效的类似项目业绩由评委根据供应商提供的业绩合同业务内容、技术特点等方面与本项目的类似程度进行认定，投标文件中提供合同复印件并C</w:t>
            </w:r>
            <w:bookmarkStart w:id="291" w:name="OLE_LINK1"/>
            <w:r>
              <w:rPr>
                <w:rFonts w:hint="eastAsia"/>
                <w:b/>
                <w:bCs/>
                <w:color w:val="auto"/>
                <w:highlight w:val="none"/>
              </w:rPr>
              <w:t>A签章，若合同中无法反应业务内容、技术特点的则提</w:t>
            </w:r>
            <w:bookmarkEnd w:id="291"/>
            <w:r>
              <w:rPr>
                <w:rFonts w:hint="eastAsia"/>
                <w:b/>
                <w:bCs/>
                <w:color w:val="auto"/>
                <w:highlight w:val="none"/>
              </w:rPr>
              <w:t>供采购人证明资料（采购人证明资料需加盖采购人公章）</w:t>
            </w:r>
          </w:p>
        </w:tc>
        <w:tc>
          <w:tcPr>
            <w:tcW w:w="850" w:type="dxa"/>
            <w:vAlign w:val="center"/>
          </w:tcPr>
          <w:p w14:paraId="03BA7A4E">
            <w:pPr>
              <w:pStyle w:val="96"/>
              <w:rPr>
                <w:color w:val="auto"/>
                <w:highlight w:val="none"/>
              </w:rPr>
            </w:pPr>
            <w:r>
              <w:rPr>
                <w:rFonts w:hint="eastAsia"/>
                <w:color w:val="auto"/>
                <w:highlight w:val="none"/>
              </w:rPr>
              <w:t>0-1分</w:t>
            </w:r>
          </w:p>
        </w:tc>
        <w:tc>
          <w:tcPr>
            <w:tcW w:w="913" w:type="dxa"/>
            <w:vAlign w:val="center"/>
          </w:tcPr>
          <w:p w14:paraId="0E6A97D4">
            <w:pPr>
              <w:pStyle w:val="96"/>
              <w:rPr>
                <w:color w:val="auto"/>
                <w:highlight w:val="none"/>
              </w:rPr>
            </w:pPr>
            <w:r>
              <w:rPr>
                <w:rFonts w:hint="eastAsia"/>
                <w:color w:val="auto"/>
                <w:highlight w:val="none"/>
              </w:rPr>
              <w:t>客观分</w:t>
            </w:r>
          </w:p>
        </w:tc>
      </w:tr>
      <w:tr w14:paraId="7D1D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75" w:type="dxa"/>
            <w:vAlign w:val="center"/>
          </w:tcPr>
          <w:p w14:paraId="29D8C6BA">
            <w:pPr>
              <w:pStyle w:val="96"/>
              <w:rPr>
                <w:rFonts w:hint="eastAsia" w:eastAsiaTheme="minorEastAsia"/>
                <w:color w:val="auto"/>
                <w:highlight w:val="none"/>
                <w:lang w:eastAsia="zh-CN"/>
              </w:rPr>
            </w:pPr>
            <w:r>
              <w:rPr>
                <w:rFonts w:hint="eastAsia"/>
                <w:color w:val="auto"/>
                <w:highlight w:val="none"/>
                <w:lang w:val="en-US" w:eastAsia="zh-CN"/>
              </w:rPr>
              <w:t>2</w:t>
            </w:r>
          </w:p>
        </w:tc>
        <w:tc>
          <w:tcPr>
            <w:tcW w:w="1486" w:type="dxa"/>
            <w:vMerge w:val="continue"/>
            <w:vAlign w:val="center"/>
          </w:tcPr>
          <w:p w14:paraId="23B3BEF0">
            <w:pPr>
              <w:pStyle w:val="96"/>
              <w:rPr>
                <w:color w:val="auto"/>
                <w:highlight w:val="none"/>
              </w:rPr>
            </w:pPr>
          </w:p>
        </w:tc>
        <w:tc>
          <w:tcPr>
            <w:tcW w:w="5062" w:type="dxa"/>
            <w:vAlign w:val="center"/>
          </w:tcPr>
          <w:p w14:paraId="5AA4137E">
            <w:pPr>
              <w:pStyle w:val="96"/>
              <w:rPr>
                <w:rFonts w:ascii="宋体" w:hAnsi="宋体" w:cs="宋体"/>
                <w:color w:val="auto"/>
                <w:highlight w:val="none"/>
                <w:lang w:bidi="ar"/>
              </w:rPr>
            </w:pPr>
            <w:r>
              <w:rPr>
                <w:rFonts w:hint="eastAsia" w:ascii="宋体" w:hAnsi="宋体" w:cs="宋体"/>
                <w:color w:val="auto"/>
                <w:highlight w:val="none"/>
                <w:lang w:bidi="ar"/>
              </w:rPr>
              <w:t>投标人具有有效期内的</w:t>
            </w:r>
            <w:r>
              <w:rPr>
                <w:rFonts w:ascii="微软雅黑" w:hAnsi="微软雅黑"/>
                <w:bCs/>
                <w:color w:val="auto"/>
                <w:highlight w:val="none"/>
              </w:rPr>
              <w:t>质量管理体系认证证书</w:t>
            </w:r>
            <w:r>
              <w:rPr>
                <w:rFonts w:hint="eastAsia" w:ascii="微软雅黑" w:hAnsi="微软雅黑"/>
                <w:bCs/>
                <w:color w:val="auto"/>
                <w:highlight w:val="none"/>
              </w:rPr>
              <w:t>、有效期内的</w:t>
            </w:r>
            <w:r>
              <w:rPr>
                <w:rFonts w:ascii="微软雅黑" w:hAnsi="微软雅黑"/>
                <w:bCs/>
                <w:color w:val="auto"/>
                <w:highlight w:val="none"/>
              </w:rPr>
              <w:t>环境管理体系证书</w:t>
            </w:r>
            <w:r>
              <w:rPr>
                <w:rFonts w:hint="eastAsia" w:ascii="微软雅黑" w:hAnsi="微软雅黑"/>
                <w:bCs/>
                <w:color w:val="auto"/>
                <w:highlight w:val="none"/>
              </w:rPr>
              <w:t>、有效期内的</w:t>
            </w:r>
            <w:r>
              <w:rPr>
                <w:rFonts w:ascii="微软雅黑" w:hAnsi="微软雅黑"/>
                <w:color w:val="auto"/>
                <w:highlight w:val="none"/>
              </w:rPr>
              <w:t>职业健康安全管理体系认证证书</w:t>
            </w:r>
            <w:r>
              <w:rPr>
                <w:rFonts w:hint="eastAsia" w:ascii="宋体" w:hAnsi="宋体" w:cs="宋体"/>
                <w:color w:val="auto"/>
                <w:highlight w:val="none"/>
                <w:lang w:bidi="ar"/>
              </w:rPr>
              <w:t>的1个得1分，本项最高得3分。</w:t>
            </w:r>
            <w:r>
              <w:rPr>
                <w:rFonts w:hint="eastAsia" w:cstheme="minorEastAsia"/>
                <w:b/>
                <w:color w:val="auto"/>
                <w:highlight w:val="none"/>
              </w:rPr>
              <w:t>（投标文件中提供证书复印或提供证书原件扫描件并加盖公章，全国认证认可信息公共服务平台</w:t>
            </w:r>
            <w:r>
              <w:rPr>
                <w:color w:val="auto"/>
                <w:highlight w:val="none"/>
              </w:rPr>
              <w:fldChar w:fldCharType="begin"/>
            </w:r>
            <w:r>
              <w:rPr>
                <w:color w:val="auto"/>
                <w:highlight w:val="none"/>
              </w:rPr>
              <w:instrText xml:space="preserve"> HYPERLINK "http://cx.cnca.cn/CertECloud/result/skipResultList" </w:instrText>
            </w:r>
            <w:r>
              <w:rPr>
                <w:color w:val="auto"/>
                <w:highlight w:val="none"/>
              </w:rPr>
              <w:fldChar w:fldCharType="separate"/>
            </w:r>
            <w:r>
              <w:rPr>
                <w:rFonts w:hint="eastAsia" w:cstheme="minorEastAsia"/>
                <w:b/>
                <w:color w:val="auto"/>
                <w:highlight w:val="none"/>
              </w:rPr>
              <w:t>http://cx.cnca.cn/CertECloud/result/skipResultList</w:t>
            </w:r>
            <w:r>
              <w:rPr>
                <w:rFonts w:hint="eastAsia" w:cstheme="minorEastAsia"/>
                <w:b/>
                <w:color w:val="auto"/>
                <w:highlight w:val="none"/>
              </w:rPr>
              <w:fldChar w:fldCharType="end"/>
            </w:r>
            <w:r>
              <w:rPr>
                <w:rFonts w:hint="eastAsia" w:cstheme="minorEastAsia"/>
                <w:b/>
                <w:color w:val="auto"/>
                <w:highlight w:val="none"/>
              </w:rPr>
              <w:t>可查。）</w:t>
            </w:r>
            <w:r>
              <w:rPr>
                <w:rFonts w:hint="eastAsia" w:cstheme="minorEastAsia"/>
                <w:b/>
                <w:color w:val="auto"/>
                <w:highlight w:val="none"/>
                <w:lang w:val="en-US" w:eastAsia="zh-CN"/>
              </w:rPr>
              <w:t>截图</w:t>
            </w:r>
            <w:r>
              <w:rPr>
                <w:rFonts w:hint="eastAsia" w:cstheme="minorEastAsia"/>
                <w:b/>
                <w:color w:val="auto"/>
                <w:highlight w:val="none"/>
              </w:rPr>
              <w:t>并加盖CA签章）</w:t>
            </w:r>
          </w:p>
        </w:tc>
        <w:tc>
          <w:tcPr>
            <w:tcW w:w="850" w:type="dxa"/>
            <w:vAlign w:val="center"/>
          </w:tcPr>
          <w:p w14:paraId="3A485E4F">
            <w:pPr>
              <w:pStyle w:val="96"/>
              <w:rPr>
                <w:color w:val="auto"/>
                <w:highlight w:val="none"/>
              </w:rPr>
            </w:pPr>
            <w:r>
              <w:rPr>
                <w:rFonts w:hint="eastAsia"/>
                <w:color w:val="auto"/>
                <w:highlight w:val="none"/>
              </w:rPr>
              <w:t>0-3分</w:t>
            </w:r>
          </w:p>
        </w:tc>
        <w:tc>
          <w:tcPr>
            <w:tcW w:w="913" w:type="dxa"/>
            <w:vAlign w:val="center"/>
          </w:tcPr>
          <w:p w14:paraId="439291D3">
            <w:pPr>
              <w:pStyle w:val="96"/>
              <w:rPr>
                <w:color w:val="auto"/>
                <w:highlight w:val="none"/>
              </w:rPr>
            </w:pPr>
            <w:r>
              <w:rPr>
                <w:rFonts w:hint="eastAsia"/>
                <w:color w:val="auto"/>
                <w:highlight w:val="none"/>
              </w:rPr>
              <w:t>客观分</w:t>
            </w:r>
          </w:p>
        </w:tc>
      </w:tr>
      <w:tr w14:paraId="4C2E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75" w:type="dxa"/>
            <w:vAlign w:val="center"/>
          </w:tcPr>
          <w:p w14:paraId="01ED0CA2">
            <w:pPr>
              <w:pStyle w:val="96"/>
              <w:rPr>
                <w:rFonts w:hint="eastAsia" w:eastAsiaTheme="minorEastAsia"/>
                <w:color w:val="auto"/>
                <w:highlight w:val="none"/>
                <w:lang w:eastAsia="zh-CN"/>
              </w:rPr>
            </w:pPr>
            <w:bookmarkStart w:id="292" w:name="OLE_LINK10" w:colFirst="3" w:colLast="4"/>
            <w:r>
              <w:rPr>
                <w:rFonts w:hint="eastAsia"/>
                <w:color w:val="auto"/>
                <w:highlight w:val="none"/>
                <w:lang w:val="en-US" w:eastAsia="zh-CN"/>
              </w:rPr>
              <w:t>3</w:t>
            </w:r>
          </w:p>
        </w:tc>
        <w:tc>
          <w:tcPr>
            <w:tcW w:w="1486" w:type="dxa"/>
            <w:vMerge w:val="continue"/>
            <w:vAlign w:val="center"/>
          </w:tcPr>
          <w:p w14:paraId="1D471B8B">
            <w:pPr>
              <w:pStyle w:val="96"/>
              <w:rPr>
                <w:color w:val="auto"/>
                <w:highlight w:val="none"/>
              </w:rPr>
            </w:pPr>
          </w:p>
        </w:tc>
        <w:tc>
          <w:tcPr>
            <w:tcW w:w="5062" w:type="dxa"/>
            <w:vAlign w:val="center"/>
          </w:tcPr>
          <w:p w14:paraId="7EE67C50">
            <w:pPr>
              <w:pStyle w:val="96"/>
              <w:rPr>
                <w:rFonts w:hint="eastAsia" w:eastAsiaTheme="minorEastAsia"/>
                <w:color w:val="auto"/>
                <w:highlight w:val="none"/>
                <w:lang w:val="en-US" w:eastAsia="zh-CN"/>
              </w:rPr>
            </w:pPr>
            <w:r>
              <w:rPr>
                <w:rFonts w:hint="eastAsia"/>
                <w:color w:val="auto"/>
                <w:highlight w:val="none"/>
                <w:lang w:val="en-US" w:eastAsia="zh-CN"/>
              </w:rPr>
              <w:t>人员</w:t>
            </w:r>
          </w:p>
          <w:p w14:paraId="0CF47570">
            <w:pPr>
              <w:pStyle w:val="96"/>
              <w:rPr>
                <w:color w:val="auto"/>
                <w:highlight w:val="none"/>
              </w:rPr>
            </w:pPr>
            <w:r>
              <w:rPr>
                <w:rFonts w:hint="eastAsia"/>
                <w:color w:val="auto"/>
                <w:highlight w:val="none"/>
              </w:rPr>
              <w:t>（1）拟派项目负责人</w:t>
            </w:r>
            <w:bookmarkStart w:id="293" w:name="OLE_LINK2"/>
            <w:r>
              <w:rPr>
                <w:rFonts w:hint="eastAsia"/>
                <w:color w:val="auto"/>
                <w:highlight w:val="none"/>
              </w:rPr>
              <w:t>具有环境保护类</w:t>
            </w:r>
            <w:bookmarkStart w:id="294" w:name="OLE_LINK6"/>
            <w:r>
              <w:rPr>
                <w:rFonts w:hint="eastAsia"/>
                <w:color w:val="auto"/>
                <w:highlight w:val="none"/>
              </w:rPr>
              <w:t>相关</w:t>
            </w:r>
            <w:bookmarkEnd w:id="294"/>
            <w:r>
              <w:rPr>
                <w:rFonts w:hint="eastAsia"/>
                <w:color w:val="auto"/>
                <w:highlight w:val="none"/>
              </w:rPr>
              <w:t>专业高级或以上职称的得2分</w:t>
            </w:r>
            <w:bookmarkEnd w:id="293"/>
          </w:p>
          <w:p w14:paraId="45B86DD5">
            <w:pPr>
              <w:pStyle w:val="96"/>
              <w:rPr>
                <w:color w:val="auto"/>
                <w:highlight w:val="none"/>
              </w:rPr>
            </w:pPr>
            <w:r>
              <w:rPr>
                <w:rFonts w:hint="eastAsia"/>
                <w:color w:val="auto"/>
                <w:highlight w:val="none"/>
              </w:rPr>
              <w:t>（2）拟派项目成员（除项目负责人外）具有</w:t>
            </w:r>
            <w:bookmarkStart w:id="295" w:name="OLE_LINK3"/>
            <w:r>
              <w:rPr>
                <w:rFonts w:hint="eastAsia"/>
                <w:color w:val="auto"/>
                <w:highlight w:val="none"/>
              </w:rPr>
              <w:t>环境保护类相关专业高级或以上职</w:t>
            </w:r>
            <w:bookmarkStart w:id="296" w:name="OLE_LINK8"/>
            <w:r>
              <w:rPr>
                <w:rFonts w:hint="eastAsia"/>
                <w:color w:val="auto"/>
                <w:highlight w:val="none"/>
              </w:rPr>
              <w:t>称的1个得2分，</w:t>
            </w:r>
            <w:bookmarkEnd w:id="295"/>
            <w:r>
              <w:rPr>
                <w:rFonts w:hint="eastAsia"/>
                <w:color w:val="auto"/>
                <w:highlight w:val="none"/>
              </w:rPr>
              <w:t>具有环境保护类相关专业中级或以上</w:t>
            </w:r>
            <w:bookmarkEnd w:id="296"/>
            <w:r>
              <w:rPr>
                <w:rFonts w:hint="eastAsia"/>
                <w:color w:val="auto"/>
                <w:highlight w:val="none"/>
              </w:rPr>
              <w:t>职称的1个得1分，本项最高得6分</w:t>
            </w:r>
          </w:p>
          <w:p w14:paraId="69183E24">
            <w:pPr>
              <w:pStyle w:val="96"/>
              <w:rPr>
                <w:rFonts w:ascii="宋体" w:hAnsi="宋体" w:cs="宋体"/>
                <w:color w:val="auto"/>
                <w:highlight w:val="none"/>
                <w:lang w:bidi="ar"/>
              </w:rPr>
            </w:pPr>
            <w:r>
              <w:rPr>
                <w:rFonts w:hint="eastAsia"/>
                <w:b/>
                <w:bCs/>
                <w:color w:val="auto"/>
                <w:highlight w:val="none"/>
              </w:rPr>
              <w:t>（投标文件中提供证书复印件并CA 签章，同一人员只计一次分）</w:t>
            </w:r>
          </w:p>
        </w:tc>
        <w:tc>
          <w:tcPr>
            <w:tcW w:w="850" w:type="dxa"/>
            <w:vAlign w:val="center"/>
          </w:tcPr>
          <w:p w14:paraId="23E37D16">
            <w:pPr>
              <w:pStyle w:val="96"/>
              <w:rPr>
                <w:color w:val="auto"/>
                <w:highlight w:val="none"/>
              </w:rPr>
            </w:pPr>
            <w:r>
              <w:rPr>
                <w:rFonts w:hint="eastAsia"/>
                <w:color w:val="auto"/>
                <w:highlight w:val="none"/>
              </w:rPr>
              <w:t>0-8分</w:t>
            </w:r>
          </w:p>
        </w:tc>
        <w:tc>
          <w:tcPr>
            <w:tcW w:w="913" w:type="dxa"/>
            <w:vAlign w:val="center"/>
          </w:tcPr>
          <w:p w14:paraId="5908B4AA">
            <w:pPr>
              <w:pStyle w:val="96"/>
              <w:rPr>
                <w:color w:val="auto"/>
                <w:highlight w:val="none"/>
              </w:rPr>
            </w:pPr>
            <w:r>
              <w:rPr>
                <w:rFonts w:hint="eastAsia"/>
                <w:color w:val="auto"/>
                <w:highlight w:val="none"/>
              </w:rPr>
              <w:t>客观分</w:t>
            </w:r>
          </w:p>
        </w:tc>
      </w:tr>
      <w:bookmarkEnd w:id="292"/>
      <w:tr w14:paraId="2D10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75" w:type="dxa"/>
            <w:vAlign w:val="center"/>
          </w:tcPr>
          <w:p w14:paraId="46F12BDD">
            <w:pPr>
              <w:pStyle w:val="96"/>
              <w:rPr>
                <w:rFonts w:hint="default"/>
                <w:color w:val="auto"/>
                <w:highlight w:val="none"/>
                <w:lang w:val="en-US"/>
              </w:rPr>
            </w:pPr>
            <w:r>
              <w:rPr>
                <w:rFonts w:hint="eastAsia"/>
                <w:color w:val="auto"/>
                <w:highlight w:val="none"/>
                <w:lang w:val="en-US" w:eastAsia="zh-CN"/>
              </w:rPr>
              <w:t>4</w:t>
            </w:r>
          </w:p>
        </w:tc>
        <w:tc>
          <w:tcPr>
            <w:tcW w:w="1486" w:type="dxa"/>
            <w:vMerge w:val="continue"/>
            <w:vAlign w:val="center"/>
          </w:tcPr>
          <w:p w14:paraId="505EF78D">
            <w:pPr>
              <w:pStyle w:val="96"/>
              <w:rPr>
                <w:color w:val="auto"/>
                <w:highlight w:val="none"/>
              </w:rPr>
            </w:pPr>
          </w:p>
        </w:tc>
        <w:tc>
          <w:tcPr>
            <w:tcW w:w="5062" w:type="dxa"/>
            <w:vAlign w:val="center"/>
          </w:tcPr>
          <w:p w14:paraId="7F6A2D27">
            <w:pPr>
              <w:pStyle w:val="96"/>
              <w:rPr>
                <w:color w:val="auto"/>
                <w:highlight w:val="none"/>
              </w:rPr>
            </w:pPr>
            <w:r>
              <w:rPr>
                <w:rFonts w:hint="eastAsia"/>
                <w:color w:val="auto"/>
                <w:highlight w:val="none"/>
              </w:rPr>
              <w:t>投标人具有噪声监测仪等与本项目服务相关的设备或软件，每个得</w:t>
            </w:r>
            <w:r>
              <w:rPr>
                <w:rFonts w:hint="eastAsia"/>
                <w:color w:val="auto"/>
                <w:highlight w:val="none"/>
                <w:lang w:val="en-US" w:eastAsia="zh-CN"/>
              </w:rPr>
              <w:t>1</w:t>
            </w:r>
            <w:r>
              <w:rPr>
                <w:rFonts w:hint="eastAsia"/>
                <w:color w:val="auto"/>
                <w:highlight w:val="none"/>
              </w:rPr>
              <w:t>分，最高</w:t>
            </w:r>
            <w:r>
              <w:rPr>
                <w:rFonts w:hint="eastAsia"/>
                <w:color w:val="auto"/>
                <w:highlight w:val="none"/>
                <w:lang w:val="en-US" w:eastAsia="zh-CN"/>
              </w:rPr>
              <w:t>2</w:t>
            </w:r>
            <w:r>
              <w:rPr>
                <w:rFonts w:hint="eastAsia"/>
                <w:color w:val="auto"/>
                <w:highlight w:val="none"/>
              </w:rPr>
              <w:t>分。</w:t>
            </w:r>
            <w:r>
              <w:rPr>
                <w:color w:val="auto"/>
                <w:highlight w:val="none"/>
              </w:rPr>
              <w:cr/>
            </w:r>
            <w:r>
              <w:rPr>
                <w:rFonts w:hint="eastAsia"/>
                <w:color w:val="auto"/>
                <w:highlight w:val="none"/>
              </w:rPr>
              <w:t>（</w:t>
            </w:r>
            <w:r>
              <w:rPr>
                <w:rFonts w:hint="eastAsia"/>
                <w:b/>
                <w:color w:val="auto"/>
                <w:highlight w:val="none"/>
              </w:rPr>
              <w:t>投标文件中提供购买合同</w:t>
            </w:r>
            <w:r>
              <w:rPr>
                <w:rFonts w:hint="eastAsia"/>
                <w:b/>
                <w:color w:val="auto"/>
                <w:highlight w:val="none"/>
                <w:lang w:val="en-US" w:eastAsia="zh-CN"/>
              </w:rPr>
              <w:t>或租赁协议</w:t>
            </w:r>
            <w:r>
              <w:rPr>
                <w:rFonts w:hint="eastAsia"/>
                <w:b/>
                <w:color w:val="auto"/>
                <w:highlight w:val="none"/>
              </w:rPr>
              <w:t>等相关材料</w:t>
            </w:r>
            <w:r>
              <w:rPr>
                <w:rFonts w:hint="eastAsia"/>
                <w:color w:val="auto"/>
                <w:highlight w:val="none"/>
              </w:rPr>
              <w:t>）</w:t>
            </w:r>
          </w:p>
        </w:tc>
        <w:tc>
          <w:tcPr>
            <w:tcW w:w="850" w:type="dxa"/>
            <w:vAlign w:val="center"/>
          </w:tcPr>
          <w:p w14:paraId="168968F6">
            <w:pPr>
              <w:pStyle w:val="96"/>
              <w:rPr>
                <w:color w:val="auto"/>
                <w:highlight w:val="none"/>
              </w:rPr>
            </w:pPr>
            <w:r>
              <w:rPr>
                <w:rFonts w:hint="eastAsia"/>
                <w:color w:val="auto"/>
                <w:highlight w:val="none"/>
              </w:rPr>
              <w:t>0-</w:t>
            </w:r>
            <w:r>
              <w:rPr>
                <w:rFonts w:hint="eastAsia"/>
                <w:color w:val="auto"/>
                <w:highlight w:val="none"/>
                <w:lang w:val="en-US" w:eastAsia="zh-CN"/>
              </w:rPr>
              <w:t>2</w:t>
            </w:r>
            <w:r>
              <w:rPr>
                <w:rFonts w:hint="eastAsia"/>
                <w:color w:val="auto"/>
                <w:highlight w:val="none"/>
              </w:rPr>
              <w:t>分</w:t>
            </w:r>
          </w:p>
        </w:tc>
        <w:tc>
          <w:tcPr>
            <w:tcW w:w="913" w:type="dxa"/>
            <w:vAlign w:val="center"/>
          </w:tcPr>
          <w:p w14:paraId="3089245B">
            <w:pPr>
              <w:pStyle w:val="96"/>
              <w:rPr>
                <w:color w:val="auto"/>
                <w:highlight w:val="none"/>
              </w:rPr>
            </w:pPr>
            <w:r>
              <w:rPr>
                <w:rFonts w:hint="eastAsia"/>
                <w:color w:val="auto"/>
                <w:highlight w:val="none"/>
              </w:rPr>
              <w:t>客观分</w:t>
            </w:r>
          </w:p>
        </w:tc>
      </w:tr>
      <w:tr w14:paraId="0AED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364041C">
            <w:pPr>
              <w:pStyle w:val="96"/>
              <w:rPr>
                <w:rFonts w:hint="eastAsia" w:eastAsiaTheme="minorEastAsia"/>
                <w:color w:val="auto"/>
                <w:highlight w:val="none"/>
                <w:lang w:eastAsia="zh-CN"/>
              </w:rPr>
            </w:pPr>
            <w:r>
              <w:rPr>
                <w:rFonts w:hint="eastAsia"/>
                <w:color w:val="auto"/>
                <w:highlight w:val="none"/>
                <w:lang w:val="en-US" w:eastAsia="zh-CN"/>
              </w:rPr>
              <w:t>5</w:t>
            </w:r>
          </w:p>
        </w:tc>
        <w:tc>
          <w:tcPr>
            <w:tcW w:w="1486" w:type="dxa"/>
            <w:vMerge w:val="restart"/>
            <w:vAlign w:val="center"/>
          </w:tcPr>
          <w:p w14:paraId="2B7070AD">
            <w:pPr>
              <w:pStyle w:val="96"/>
              <w:rPr>
                <w:color w:val="auto"/>
                <w:highlight w:val="none"/>
              </w:rPr>
            </w:pPr>
            <w:r>
              <w:rPr>
                <w:rFonts w:hint="eastAsia" w:cs="Times New Roman" w:asciiTheme="minorEastAsia" w:hAnsiTheme="minorEastAsia" w:eastAsiaTheme="minorEastAsia"/>
                <w:b/>
                <w:bCs/>
                <w:color w:val="auto"/>
                <w:kern w:val="2"/>
                <w:sz w:val="21"/>
                <w:szCs w:val="21"/>
                <w:highlight w:val="none"/>
                <w:lang w:val="en-US" w:eastAsia="zh-CN" w:bidi="ar-SA"/>
              </w:rPr>
              <w:t>投标方案（40分）</w:t>
            </w:r>
          </w:p>
        </w:tc>
        <w:tc>
          <w:tcPr>
            <w:tcW w:w="5062" w:type="dxa"/>
            <w:vAlign w:val="center"/>
          </w:tcPr>
          <w:p w14:paraId="7007606C">
            <w:pPr>
              <w:pStyle w:val="96"/>
              <w:rPr>
                <w:color w:val="auto"/>
                <w:szCs w:val="21"/>
                <w:highlight w:val="none"/>
              </w:rPr>
            </w:pPr>
            <w:bookmarkStart w:id="297" w:name="OLE_LINK12"/>
            <w:bookmarkStart w:id="298" w:name="OLE_LINK13"/>
            <w:r>
              <w:rPr>
                <w:rFonts w:hint="eastAsia"/>
                <w:color w:val="auto"/>
                <w:highlight w:val="none"/>
              </w:rPr>
              <w:t>针对宁静小区创建工作的政策解读，对项目背景分析到位、项目定位</w:t>
            </w:r>
            <w:bookmarkStart w:id="299" w:name="OLE_LINK11"/>
            <w:r>
              <w:rPr>
                <w:rFonts w:hint="eastAsia"/>
                <w:color w:val="auto"/>
                <w:highlight w:val="none"/>
              </w:rPr>
              <w:t>准确、具有针对性的得5分，分析比较全面、项目定位基本准确的得4分，简单分析、基</w:t>
            </w:r>
            <w:bookmarkEnd w:id="297"/>
            <w:r>
              <w:rPr>
                <w:rFonts w:hint="eastAsia"/>
                <w:color w:val="auto"/>
                <w:highlight w:val="none"/>
              </w:rPr>
              <w:t>本定位的得3分，部分</w:t>
            </w:r>
            <w:bookmarkEnd w:id="299"/>
            <w:r>
              <w:rPr>
                <w:rFonts w:hint="eastAsia"/>
                <w:color w:val="auto"/>
                <w:highlight w:val="none"/>
              </w:rPr>
              <w:t>分析、了解不全面的得2分，基本描述的得1分，未提供的不得分。</w:t>
            </w:r>
            <w:bookmarkEnd w:id="298"/>
          </w:p>
        </w:tc>
        <w:tc>
          <w:tcPr>
            <w:tcW w:w="850" w:type="dxa"/>
            <w:vAlign w:val="center"/>
          </w:tcPr>
          <w:p w14:paraId="07C3E969">
            <w:pPr>
              <w:pStyle w:val="96"/>
              <w:rPr>
                <w:color w:val="auto"/>
                <w:highlight w:val="none"/>
              </w:rPr>
            </w:pPr>
            <w:r>
              <w:rPr>
                <w:rFonts w:hint="eastAsia"/>
                <w:color w:val="auto"/>
                <w:highlight w:val="none"/>
              </w:rPr>
              <w:t>0-5分</w:t>
            </w:r>
          </w:p>
        </w:tc>
        <w:tc>
          <w:tcPr>
            <w:tcW w:w="913" w:type="dxa"/>
            <w:vAlign w:val="center"/>
          </w:tcPr>
          <w:p w14:paraId="393BAC97">
            <w:pPr>
              <w:pStyle w:val="96"/>
              <w:rPr>
                <w:color w:val="auto"/>
                <w:highlight w:val="none"/>
              </w:rPr>
            </w:pPr>
            <w:r>
              <w:rPr>
                <w:rFonts w:hint="eastAsia"/>
                <w:color w:val="auto"/>
                <w:highlight w:val="none"/>
              </w:rPr>
              <w:t>主观分</w:t>
            </w:r>
          </w:p>
        </w:tc>
      </w:tr>
      <w:tr w14:paraId="373A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91B8D77">
            <w:pPr>
              <w:pStyle w:val="96"/>
              <w:rPr>
                <w:rFonts w:hint="eastAsia" w:eastAsiaTheme="minorEastAsia"/>
                <w:color w:val="auto"/>
                <w:highlight w:val="none"/>
                <w:lang w:eastAsia="zh-CN"/>
              </w:rPr>
            </w:pPr>
            <w:r>
              <w:rPr>
                <w:rFonts w:hint="eastAsia"/>
                <w:color w:val="auto"/>
                <w:highlight w:val="none"/>
                <w:lang w:val="en-US" w:eastAsia="zh-CN"/>
              </w:rPr>
              <w:t>6</w:t>
            </w:r>
          </w:p>
        </w:tc>
        <w:tc>
          <w:tcPr>
            <w:tcW w:w="1486" w:type="dxa"/>
            <w:vMerge w:val="continue"/>
            <w:vAlign w:val="center"/>
          </w:tcPr>
          <w:p w14:paraId="64BC0B18">
            <w:pPr>
              <w:pStyle w:val="96"/>
              <w:rPr>
                <w:color w:val="auto"/>
                <w:highlight w:val="none"/>
              </w:rPr>
            </w:pPr>
          </w:p>
        </w:tc>
        <w:tc>
          <w:tcPr>
            <w:tcW w:w="5062" w:type="dxa"/>
            <w:vAlign w:val="center"/>
          </w:tcPr>
          <w:p w14:paraId="30F47182">
            <w:pPr>
              <w:pStyle w:val="96"/>
              <w:rPr>
                <w:color w:val="auto"/>
                <w:highlight w:val="none"/>
              </w:rPr>
            </w:pPr>
            <w:r>
              <w:rPr>
                <w:rFonts w:hint="eastAsia"/>
                <w:color w:val="auto"/>
                <w:highlight w:val="none"/>
              </w:rPr>
              <w:t>对秀洲区声环境质量情况、噪声信访情况及声环境功能区划分情况现状了解程度。清晰掌握目前现状，得</w:t>
            </w:r>
            <w:r>
              <w:rPr>
                <w:color w:val="auto"/>
                <w:highlight w:val="none"/>
              </w:rPr>
              <w:t>5</w:t>
            </w:r>
            <w:r>
              <w:rPr>
                <w:rFonts w:hint="eastAsia"/>
                <w:color w:val="auto"/>
                <w:highlight w:val="none"/>
              </w:rPr>
              <w:t>分；比较掌握目前现状，得4分；基本掌握目前现状，得3分；部分掌握但不全面的，得2分；简要描述的，得1分，未提供的不得分。</w:t>
            </w:r>
          </w:p>
        </w:tc>
        <w:tc>
          <w:tcPr>
            <w:tcW w:w="850" w:type="dxa"/>
            <w:vAlign w:val="center"/>
          </w:tcPr>
          <w:p w14:paraId="570E0C61">
            <w:pPr>
              <w:pStyle w:val="96"/>
              <w:rPr>
                <w:color w:val="auto"/>
                <w:highlight w:val="none"/>
              </w:rPr>
            </w:pPr>
            <w:r>
              <w:rPr>
                <w:rFonts w:hint="eastAsia"/>
                <w:color w:val="auto"/>
                <w:highlight w:val="none"/>
              </w:rPr>
              <w:t>0</w:t>
            </w:r>
            <w:r>
              <w:rPr>
                <w:color w:val="auto"/>
                <w:highlight w:val="none"/>
              </w:rPr>
              <w:t>-5</w:t>
            </w:r>
            <w:r>
              <w:rPr>
                <w:rFonts w:hint="eastAsia"/>
                <w:color w:val="auto"/>
                <w:highlight w:val="none"/>
              </w:rPr>
              <w:t>分</w:t>
            </w:r>
          </w:p>
        </w:tc>
        <w:tc>
          <w:tcPr>
            <w:tcW w:w="913" w:type="dxa"/>
            <w:vAlign w:val="center"/>
          </w:tcPr>
          <w:p w14:paraId="5867923D">
            <w:pPr>
              <w:pStyle w:val="96"/>
              <w:rPr>
                <w:color w:val="auto"/>
                <w:highlight w:val="none"/>
              </w:rPr>
            </w:pPr>
            <w:r>
              <w:rPr>
                <w:rFonts w:hint="eastAsia"/>
                <w:color w:val="auto"/>
                <w:highlight w:val="none"/>
              </w:rPr>
              <w:t>主观分</w:t>
            </w:r>
          </w:p>
        </w:tc>
      </w:tr>
      <w:tr w14:paraId="75DB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43E9D29">
            <w:pPr>
              <w:pStyle w:val="96"/>
              <w:rPr>
                <w:rFonts w:hint="eastAsia" w:eastAsiaTheme="minorEastAsia"/>
                <w:color w:val="auto"/>
                <w:highlight w:val="none"/>
                <w:lang w:eastAsia="zh-CN"/>
              </w:rPr>
            </w:pPr>
            <w:r>
              <w:rPr>
                <w:rFonts w:hint="eastAsia"/>
                <w:color w:val="auto"/>
                <w:highlight w:val="none"/>
                <w:lang w:val="en-US" w:eastAsia="zh-CN"/>
              </w:rPr>
              <w:t>7</w:t>
            </w:r>
          </w:p>
        </w:tc>
        <w:tc>
          <w:tcPr>
            <w:tcW w:w="1486" w:type="dxa"/>
            <w:vMerge w:val="continue"/>
            <w:vAlign w:val="center"/>
          </w:tcPr>
          <w:p w14:paraId="1BDE227D">
            <w:pPr>
              <w:pStyle w:val="96"/>
              <w:rPr>
                <w:color w:val="auto"/>
                <w:highlight w:val="none"/>
              </w:rPr>
            </w:pPr>
          </w:p>
        </w:tc>
        <w:tc>
          <w:tcPr>
            <w:tcW w:w="5062" w:type="dxa"/>
            <w:vAlign w:val="center"/>
          </w:tcPr>
          <w:p w14:paraId="3106C4EB">
            <w:pPr>
              <w:widowControl/>
              <w:spacing w:line="360" w:lineRule="auto"/>
              <w:jc w:val="left"/>
              <w:rPr>
                <w:rFonts w:asciiTheme="minorEastAsia" w:hAnsiTheme="minorEastAsia" w:eastAsiaTheme="minorEastAsia"/>
                <w:color w:val="auto"/>
                <w:szCs w:val="22"/>
                <w:highlight w:val="none"/>
              </w:rPr>
            </w:pPr>
            <w:bookmarkStart w:id="300" w:name="OLE_LINK14"/>
            <w:r>
              <w:rPr>
                <w:rFonts w:hint="eastAsia" w:asciiTheme="minorEastAsia" w:hAnsiTheme="minorEastAsia" w:eastAsiaTheme="minorEastAsia"/>
                <w:color w:val="auto"/>
                <w:szCs w:val="22"/>
                <w:highlight w:val="none"/>
              </w:rPr>
              <w:t>投标人对①创建小区筛选</w:t>
            </w:r>
            <w:bookmarkStart w:id="301" w:name="OLE_LINK16"/>
            <w:bookmarkStart w:id="302" w:name="OLE_LINK15"/>
            <w:r>
              <w:rPr>
                <w:rFonts w:hint="eastAsia" w:asciiTheme="minorEastAsia" w:hAnsiTheme="minorEastAsia" w:eastAsiaTheme="minorEastAsia"/>
                <w:color w:val="auto"/>
                <w:szCs w:val="22"/>
                <w:highlight w:val="none"/>
              </w:rPr>
              <w:t>方案</w:t>
            </w:r>
            <w:bookmarkEnd w:id="301"/>
            <w:bookmarkStart w:id="303" w:name="OLE_LINK18"/>
            <w:r>
              <w:rPr>
                <w:rFonts w:hint="eastAsia" w:asciiTheme="minorEastAsia" w:hAnsiTheme="minorEastAsia" w:eastAsiaTheme="minorEastAsia"/>
                <w:color w:val="auto"/>
                <w:szCs w:val="22"/>
                <w:highlight w:val="none"/>
              </w:rPr>
              <w:t>0-</w:t>
            </w:r>
            <w:r>
              <w:rPr>
                <w:rFonts w:asciiTheme="minorEastAsia" w:hAnsiTheme="minorEastAsia" w:eastAsiaTheme="minorEastAsia"/>
                <w:color w:val="auto"/>
                <w:szCs w:val="22"/>
                <w:highlight w:val="none"/>
              </w:rPr>
              <w:t>3</w:t>
            </w:r>
            <w:r>
              <w:rPr>
                <w:rFonts w:hint="eastAsia" w:asciiTheme="minorEastAsia" w:hAnsiTheme="minorEastAsia" w:eastAsiaTheme="minorEastAsia"/>
                <w:color w:val="auto"/>
                <w:szCs w:val="22"/>
                <w:highlight w:val="none"/>
              </w:rPr>
              <w:t>分；</w:t>
            </w:r>
            <w:bookmarkEnd w:id="302"/>
            <w:bookmarkEnd w:id="303"/>
            <w:r>
              <w:rPr>
                <w:rFonts w:hint="eastAsia" w:asciiTheme="minorEastAsia" w:hAnsiTheme="minorEastAsia" w:eastAsiaTheme="minorEastAsia"/>
                <w:color w:val="auto"/>
                <w:szCs w:val="22"/>
                <w:highlight w:val="none"/>
              </w:rPr>
              <w:t>②小区噪声源现状调查方案0-3分；</w:t>
            </w:r>
            <w:r>
              <w:rPr>
                <w:rFonts w:asciiTheme="minorEastAsia" w:hAnsiTheme="minorEastAsia" w:eastAsiaTheme="minorEastAsia"/>
                <w:color w:val="auto"/>
                <w:szCs w:val="22"/>
                <w:highlight w:val="none"/>
              </w:rPr>
              <w:t xml:space="preserve"> </w:t>
            </w:r>
          </w:p>
          <w:bookmarkEnd w:id="300"/>
          <w:p w14:paraId="71446418">
            <w:pPr>
              <w:pStyle w:val="96"/>
              <w:rPr>
                <w:rFonts w:ascii="宋体" w:hAnsi="宋体" w:cs="宋体"/>
                <w:color w:val="auto"/>
                <w:szCs w:val="21"/>
                <w:highlight w:val="none"/>
              </w:rPr>
            </w:pPr>
            <w:bookmarkStart w:id="304" w:name="OLE_LINK19"/>
            <w:r>
              <w:rPr>
                <w:rFonts w:hint="eastAsia"/>
                <w:color w:val="auto"/>
                <w:highlight w:val="none"/>
              </w:rPr>
              <w:t>方案</w:t>
            </w:r>
            <w:bookmarkStart w:id="305" w:name="OLE_LINK17"/>
            <w:r>
              <w:rPr>
                <w:rFonts w:hint="eastAsia"/>
                <w:color w:val="auto"/>
                <w:highlight w:val="none"/>
              </w:rPr>
              <w:t>合理、可实施、贴合实际的得3分</w:t>
            </w:r>
            <w:bookmarkEnd w:id="305"/>
            <w:r>
              <w:rPr>
                <w:rFonts w:hint="eastAsia"/>
                <w:color w:val="auto"/>
                <w:highlight w:val="none"/>
              </w:rPr>
              <w:t>，方案基本合理、基本可实施、部分贴合实际的得2分，方案简要描述的得1分，未提供的不得分</w:t>
            </w:r>
            <w:bookmarkEnd w:id="304"/>
          </w:p>
        </w:tc>
        <w:tc>
          <w:tcPr>
            <w:tcW w:w="850" w:type="dxa"/>
            <w:vAlign w:val="center"/>
          </w:tcPr>
          <w:p w14:paraId="5EDD7FD7">
            <w:pPr>
              <w:pStyle w:val="96"/>
              <w:rPr>
                <w:color w:val="auto"/>
                <w:highlight w:val="none"/>
              </w:rPr>
            </w:pPr>
            <w:r>
              <w:rPr>
                <w:rFonts w:hint="eastAsia"/>
                <w:color w:val="auto"/>
                <w:highlight w:val="none"/>
              </w:rPr>
              <w:t>0</w:t>
            </w:r>
            <w:r>
              <w:rPr>
                <w:color w:val="auto"/>
                <w:highlight w:val="none"/>
              </w:rPr>
              <w:t>-6</w:t>
            </w:r>
            <w:r>
              <w:rPr>
                <w:rFonts w:hint="eastAsia"/>
                <w:color w:val="auto"/>
                <w:highlight w:val="none"/>
              </w:rPr>
              <w:t>分</w:t>
            </w:r>
          </w:p>
        </w:tc>
        <w:tc>
          <w:tcPr>
            <w:tcW w:w="913" w:type="dxa"/>
            <w:vAlign w:val="center"/>
          </w:tcPr>
          <w:p w14:paraId="3FDDA5AA">
            <w:pPr>
              <w:pStyle w:val="96"/>
              <w:rPr>
                <w:color w:val="auto"/>
                <w:highlight w:val="none"/>
              </w:rPr>
            </w:pPr>
            <w:r>
              <w:rPr>
                <w:rFonts w:hint="eastAsia"/>
                <w:color w:val="auto"/>
                <w:highlight w:val="none"/>
              </w:rPr>
              <w:t>主观分</w:t>
            </w:r>
          </w:p>
        </w:tc>
      </w:tr>
      <w:tr w14:paraId="10DA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D6694BC">
            <w:pPr>
              <w:pStyle w:val="96"/>
              <w:rPr>
                <w:rFonts w:hint="eastAsia" w:eastAsiaTheme="minorEastAsia"/>
                <w:color w:val="auto"/>
                <w:highlight w:val="none"/>
                <w:lang w:eastAsia="zh-CN"/>
              </w:rPr>
            </w:pPr>
            <w:bookmarkStart w:id="306" w:name="OLE_LINK22" w:colFirst="3" w:colLast="4"/>
            <w:r>
              <w:rPr>
                <w:rFonts w:hint="eastAsia"/>
                <w:color w:val="auto"/>
                <w:highlight w:val="none"/>
                <w:lang w:val="en-US" w:eastAsia="zh-CN"/>
              </w:rPr>
              <w:t>8</w:t>
            </w:r>
          </w:p>
        </w:tc>
        <w:tc>
          <w:tcPr>
            <w:tcW w:w="1486" w:type="dxa"/>
            <w:vMerge w:val="continue"/>
            <w:vAlign w:val="center"/>
          </w:tcPr>
          <w:p w14:paraId="69C649BC">
            <w:pPr>
              <w:pStyle w:val="96"/>
              <w:rPr>
                <w:color w:val="auto"/>
                <w:highlight w:val="none"/>
              </w:rPr>
            </w:pPr>
          </w:p>
        </w:tc>
        <w:tc>
          <w:tcPr>
            <w:tcW w:w="5062" w:type="dxa"/>
            <w:vAlign w:val="center"/>
          </w:tcPr>
          <w:p w14:paraId="3A5E57DC">
            <w:pPr>
              <w:pStyle w:val="96"/>
              <w:rPr>
                <w:color w:val="auto"/>
                <w:highlight w:val="none"/>
              </w:rPr>
            </w:pPr>
            <w:r>
              <w:rPr>
                <w:rFonts w:hint="eastAsia"/>
                <w:color w:val="auto"/>
                <w:highlight w:val="none"/>
              </w:rPr>
              <w:t>根据投标人对本项目宁静小区创建①工作路线制定方案0-</w:t>
            </w:r>
            <w:r>
              <w:rPr>
                <w:rFonts w:hint="eastAsia"/>
                <w:color w:val="auto"/>
                <w:highlight w:val="none"/>
                <w:lang w:val="en-US" w:eastAsia="zh-CN"/>
              </w:rPr>
              <w:t>3</w:t>
            </w:r>
            <w:r>
              <w:rPr>
                <w:rFonts w:hint="eastAsia"/>
                <w:color w:val="auto"/>
                <w:highlight w:val="none"/>
              </w:rPr>
              <w:t>分；②工作方案0-</w:t>
            </w:r>
            <w:r>
              <w:rPr>
                <w:rFonts w:hint="eastAsia"/>
                <w:color w:val="auto"/>
                <w:highlight w:val="none"/>
                <w:lang w:val="en-US" w:eastAsia="zh-CN"/>
              </w:rPr>
              <w:t>3</w:t>
            </w:r>
            <w:r>
              <w:rPr>
                <w:rFonts w:hint="eastAsia"/>
                <w:color w:val="auto"/>
                <w:highlight w:val="none"/>
              </w:rPr>
              <w:t>分；③成果内容方案0-</w:t>
            </w:r>
            <w:r>
              <w:rPr>
                <w:rFonts w:hint="eastAsia"/>
                <w:color w:val="auto"/>
                <w:highlight w:val="none"/>
                <w:lang w:val="en-US" w:eastAsia="zh-CN"/>
              </w:rPr>
              <w:t>3</w:t>
            </w:r>
            <w:r>
              <w:rPr>
                <w:rFonts w:hint="eastAsia"/>
                <w:color w:val="auto"/>
                <w:highlight w:val="none"/>
              </w:rPr>
              <w:t>分；</w:t>
            </w:r>
          </w:p>
          <w:p w14:paraId="16887F9B">
            <w:pPr>
              <w:pStyle w:val="96"/>
              <w:rPr>
                <w:color w:val="auto"/>
                <w:highlight w:val="none"/>
              </w:rPr>
            </w:pPr>
            <w:r>
              <w:rPr>
                <w:rFonts w:hint="eastAsia"/>
                <w:color w:val="auto"/>
                <w:highlight w:val="none"/>
              </w:rPr>
              <w:t>方案合理、可实施、贴合实际的得3分，方案基本合理、基本可实施、部分贴合实际的得2分，方案简要描述的得1分</w:t>
            </w:r>
            <w:bookmarkStart w:id="307" w:name="OLE_LINK21"/>
            <w:r>
              <w:rPr>
                <w:rFonts w:hint="eastAsia"/>
                <w:color w:val="auto"/>
                <w:highlight w:val="none"/>
              </w:rPr>
              <w:t>，未提供的不得分</w:t>
            </w:r>
            <w:bookmarkEnd w:id="307"/>
          </w:p>
        </w:tc>
        <w:tc>
          <w:tcPr>
            <w:tcW w:w="850" w:type="dxa"/>
            <w:vAlign w:val="center"/>
          </w:tcPr>
          <w:p w14:paraId="1D0C3DF7">
            <w:pPr>
              <w:pStyle w:val="96"/>
              <w:rPr>
                <w:color w:val="auto"/>
                <w:highlight w:val="none"/>
              </w:rPr>
            </w:pPr>
            <w:r>
              <w:rPr>
                <w:rFonts w:hint="eastAsia"/>
                <w:color w:val="auto"/>
                <w:highlight w:val="none"/>
              </w:rPr>
              <w:t>0-</w:t>
            </w:r>
            <w:r>
              <w:rPr>
                <w:rFonts w:hint="eastAsia"/>
                <w:color w:val="auto"/>
                <w:highlight w:val="none"/>
                <w:lang w:val="en-US" w:eastAsia="zh-CN"/>
              </w:rPr>
              <w:t>9</w:t>
            </w:r>
            <w:r>
              <w:rPr>
                <w:rFonts w:hint="eastAsia"/>
                <w:color w:val="auto"/>
                <w:highlight w:val="none"/>
              </w:rPr>
              <w:t>分</w:t>
            </w:r>
          </w:p>
        </w:tc>
        <w:tc>
          <w:tcPr>
            <w:tcW w:w="913" w:type="dxa"/>
            <w:vAlign w:val="center"/>
          </w:tcPr>
          <w:p w14:paraId="63A12B0E">
            <w:pPr>
              <w:pStyle w:val="96"/>
              <w:rPr>
                <w:color w:val="auto"/>
                <w:highlight w:val="none"/>
              </w:rPr>
            </w:pPr>
            <w:r>
              <w:rPr>
                <w:rFonts w:hint="eastAsia"/>
                <w:color w:val="auto"/>
                <w:highlight w:val="none"/>
              </w:rPr>
              <w:t>主观分</w:t>
            </w:r>
          </w:p>
        </w:tc>
      </w:tr>
      <w:tr w14:paraId="2CC1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B664A45">
            <w:pPr>
              <w:pStyle w:val="96"/>
              <w:rPr>
                <w:rFonts w:hint="eastAsia" w:eastAsiaTheme="minorEastAsia"/>
                <w:color w:val="auto"/>
                <w:highlight w:val="none"/>
                <w:lang w:eastAsia="zh-CN"/>
              </w:rPr>
            </w:pPr>
            <w:bookmarkStart w:id="308" w:name="OLE_LINK31" w:colFirst="3" w:colLast="4"/>
            <w:r>
              <w:rPr>
                <w:rFonts w:hint="eastAsia"/>
                <w:color w:val="auto"/>
                <w:highlight w:val="none"/>
                <w:lang w:val="en-US" w:eastAsia="zh-CN"/>
              </w:rPr>
              <w:t>9</w:t>
            </w:r>
          </w:p>
        </w:tc>
        <w:tc>
          <w:tcPr>
            <w:tcW w:w="1486" w:type="dxa"/>
            <w:vMerge w:val="continue"/>
            <w:vAlign w:val="center"/>
          </w:tcPr>
          <w:p w14:paraId="0F94EE61">
            <w:pPr>
              <w:pStyle w:val="96"/>
              <w:rPr>
                <w:color w:val="auto"/>
                <w:highlight w:val="none"/>
              </w:rPr>
            </w:pPr>
          </w:p>
        </w:tc>
        <w:tc>
          <w:tcPr>
            <w:tcW w:w="5062" w:type="dxa"/>
            <w:vAlign w:val="center"/>
          </w:tcPr>
          <w:p w14:paraId="71021AB1">
            <w:pPr>
              <w:pStyle w:val="96"/>
              <w:rPr>
                <w:color w:val="auto"/>
                <w:highlight w:val="none"/>
              </w:rPr>
            </w:pPr>
            <w:r>
              <w:rPr>
                <w:rFonts w:hint="eastAsia"/>
                <w:color w:val="auto"/>
                <w:highlight w:val="none"/>
              </w:rPr>
              <w:t>宁静小区创建质量保障方案，方案合理、可实施、</w:t>
            </w:r>
            <w:bookmarkStart w:id="309" w:name="OLE_LINK27"/>
            <w:r>
              <w:rPr>
                <w:rFonts w:hint="eastAsia"/>
                <w:color w:val="auto"/>
                <w:highlight w:val="none"/>
              </w:rPr>
              <w:t>贴合实际</w:t>
            </w:r>
            <w:bookmarkEnd w:id="309"/>
            <w:r>
              <w:rPr>
                <w:rFonts w:hint="eastAsia"/>
                <w:color w:val="auto"/>
                <w:highlight w:val="none"/>
              </w:rPr>
              <w:t>的得5分，</w:t>
            </w:r>
            <w:bookmarkStart w:id="310" w:name="OLE_LINK28"/>
            <w:r>
              <w:rPr>
                <w:rFonts w:hint="eastAsia"/>
                <w:color w:val="auto"/>
                <w:highlight w:val="none"/>
              </w:rPr>
              <w:t>方案基本合理、基本可实施、部分贴合实际的得</w:t>
            </w:r>
            <w:bookmarkEnd w:id="310"/>
            <w:r>
              <w:rPr>
                <w:rFonts w:hint="eastAsia"/>
                <w:color w:val="auto"/>
                <w:highlight w:val="none"/>
              </w:rPr>
              <w:t>4分，方案</w:t>
            </w:r>
            <w:bookmarkStart w:id="311" w:name="OLE_LINK29"/>
            <w:r>
              <w:rPr>
                <w:rFonts w:hint="eastAsia"/>
                <w:color w:val="auto"/>
                <w:highlight w:val="none"/>
              </w:rPr>
              <w:t>基本</w:t>
            </w:r>
            <w:bookmarkEnd w:id="311"/>
            <w:r>
              <w:rPr>
                <w:rFonts w:hint="eastAsia"/>
                <w:color w:val="auto"/>
                <w:highlight w:val="none"/>
              </w:rPr>
              <w:t>合理、部分可实施、部分贴合实际的得3分，方案部分合理、部分可实施、部分贴合实际的得2分，方案简要描述的得1分，未提供的不得分</w:t>
            </w:r>
          </w:p>
        </w:tc>
        <w:tc>
          <w:tcPr>
            <w:tcW w:w="850" w:type="dxa"/>
            <w:vAlign w:val="center"/>
          </w:tcPr>
          <w:p w14:paraId="1F184C9A">
            <w:pPr>
              <w:pStyle w:val="96"/>
              <w:rPr>
                <w:color w:val="auto"/>
                <w:highlight w:val="none"/>
              </w:rPr>
            </w:pPr>
            <w:r>
              <w:rPr>
                <w:rFonts w:hint="eastAsia"/>
                <w:color w:val="auto"/>
                <w:highlight w:val="none"/>
              </w:rPr>
              <w:t>0-5分</w:t>
            </w:r>
          </w:p>
        </w:tc>
        <w:tc>
          <w:tcPr>
            <w:tcW w:w="913" w:type="dxa"/>
            <w:vAlign w:val="center"/>
          </w:tcPr>
          <w:p w14:paraId="6D1F7D4F">
            <w:pPr>
              <w:pStyle w:val="96"/>
              <w:rPr>
                <w:color w:val="auto"/>
                <w:highlight w:val="none"/>
              </w:rPr>
            </w:pPr>
            <w:r>
              <w:rPr>
                <w:rFonts w:hint="eastAsia"/>
                <w:color w:val="auto"/>
                <w:highlight w:val="none"/>
              </w:rPr>
              <w:t>主观分</w:t>
            </w:r>
          </w:p>
        </w:tc>
      </w:tr>
      <w:bookmarkEnd w:id="306"/>
      <w:bookmarkEnd w:id="308"/>
      <w:tr w14:paraId="7177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6CCA1E5">
            <w:pPr>
              <w:pStyle w:val="96"/>
              <w:rPr>
                <w:rFonts w:hint="eastAsia" w:eastAsiaTheme="minorEastAsia"/>
                <w:color w:val="auto"/>
                <w:highlight w:val="none"/>
                <w:lang w:eastAsia="zh-CN"/>
              </w:rPr>
            </w:pPr>
            <w:bookmarkStart w:id="312" w:name="OLE_LINK30" w:colFirst="3" w:colLast="4"/>
            <w:r>
              <w:rPr>
                <w:color w:val="auto"/>
                <w:highlight w:val="none"/>
              </w:rPr>
              <w:t>1</w:t>
            </w:r>
            <w:r>
              <w:rPr>
                <w:rFonts w:hint="eastAsia"/>
                <w:color w:val="auto"/>
                <w:highlight w:val="none"/>
                <w:lang w:val="en-US" w:eastAsia="zh-CN"/>
              </w:rPr>
              <w:t>0</w:t>
            </w:r>
          </w:p>
        </w:tc>
        <w:tc>
          <w:tcPr>
            <w:tcW w:w="1486" w:type="dxa"/>
            <w:vMerge w:val="continue"/>
            <w:vAlign w:val="center"/>
          </w:tcPr>
          <w:p w14:paraId="53D4F56E">
            <w:pPr>
              <w:pStyle w:val="96"/>
              <w:rPr>
                <w:color w:val="auto"/>
                <w:highlight w:val="none"/>
              </w:rPr>
            </w:pPr>
          </w:p>
        </w:tc>
        <w:tc>
          <w:tcPr>
            <w:tcW w:w="5062" w:type="dxa"/>
            <w:vAlign w:val="center"/>
          </w:tcPr>
          <w:p w14:paraId="5E7E15C5">
            <w:pPr>
              <w:pStyle w:val="96"/>
              <w:rPr>
                <w:color w:val="auto"/>
                <w:szCs w:val="21"/>
                <w:highlight w:val="none"/>
              </w:rPr>
            </w:pPr>
            <w:r>
              <w:rPr>
                <w:rFonts w:hint="eastAsia"/>
                <w:color w:val="auto"/>
                <w:szCs w:val="21"/>
                <w:highlight w:val="none"/>
              </w:rPr>
              <w:t>宁静小区创建宣传方案，</w:t>
            </w:r>
            <w:r>
              <w:rPr>
                <w:rFonts w:hint="eastAsia"/>
                <w:color w:val="auto"/>
                <w:highlight w:val="none"/>
              </w:rPr>
              <w:t>方案合理、宣传形式新颖多样的得5分，方案比较合理、宣传形式多样的得4分，方案基本合理、简要提供宣传方案的得3分，方案简单描述、基本可实施的得2分，方案描述不全面、部分可实施的得1分，未提供的不得分</w:t>
            </w:r>
          </w:p>
        </w:tc>
        <w:tc>
          <w:tcPr>
            <w:tcW w:w="850" w:type="dxa"/>
            <w:vAlign w:val="center"/>
          </w:tcPr>
          <w:p w14:paraId="5BA04F4F">
            <w:pPr>
              <w:pStyle w:val="96"/>
              <w:rPr>
                <w:color w:val="auto"/>
                <w:highlight w:val="none"/>
              </w:rPr>
            </w:pPr>
            <w:r>
              <w:rPr>
                <w:rFonts w:hint="eastAsia"/>
                <w:color w:val="auto"/>
                <w:highlight w:val="none"/>
              </w:rPr>
              <w:t>0-5分</w:t>
            </w:r>
          </w:p>
        </w:tc>
        <w:tc>
          <w:tcPr>
            <w:tcW w:w="913" w:type="dxa"/>
            <w:vAlign w:val="center"/>
          </w:tcPr>
          <w:p w14:paraId="07737928">
            <w:pPr>
              <w:pStyle w:val="96"/>
              <w:rPr>
                <w:color w:val="auto"/>
                <w:highlight w:val="none"/>
              </w:rPr>
            </w:pPr>
            <w:r>
              <w:rPr>
                <w:rFonts w:hint="eastAsia"/>
                <w:color w:val="auto"/>
                <w:highlight w:val="none"/>
              </w:rPr>
              <w:t>主观分</w:t>
            </w:r>
          </w:p>
        </w:tc>
      </w:tr>
      <w:bookmarkEnd w:id="312"/>
      <w:tr w14:paraId="5B30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BEC047E">
            <w:pPr>
              <w:pStyle w:val="96"/>
              <w:rPr>
                <w:rFonts w:hint="eastAsia" w:eastAsiaTheme="minorEastAsia"/>
                <w:color w:val="auto"/>
                <w:highlight w:val="none"/>
                <w:lang w:eastAsia="zh-CN"/>
              </w:rPr>
            </w:pPr>
            <w:r>
              <w:rPr>
                <w:rFonts w:hint="eastAsia"/>
                <w:color w:val="auto"/>
                <w:highlight w:val="none"/>
              </w:rPr>
              <w:t>1</w:t>
            </w:r>
            <w:r>
              <w:rPr>
                <w:rFonts w:hint="eastAsia"/>
                <w:color w:val="auto"/>
                <w:highlight w:val="none"/>
                <w:lang w:val="en-US" w:eastAsia="zh-CN"/>
              </w:rPr>
              <w:t>1</w:t>
            </w:r>
          </w:p>
        </w:tc>
        <w:tc>
          <w:tcPr>
            <w:tcW w:w="1486" w:type="dxa"/>
            <w:vMerge w:val="continue"/>
            <w:vAlign w:val="center"/>
          </w:tcPr>
          <w:p w14:paraId="3E6AF60F">
            <w:pPr>
              <w:pStyle w:val="96"/>
              <w:rPr>
                <w:color w:val="auto"/>
                <w:highlight w:val="none"/>
              </w:rPr>
            </w:pPr>
          </w:p>
        </w:tc>
        <w:tc>
          <w:tcPr>
            <w:tcW w:w="5062" w:type="dxa"/>
            <w:vAlign w:val="center"/>
          </w:tcPr>
          <w:p w14:paraId="6A446BC6">
            <w:pPr>
              <w:pStyle w:val="96"/>
              <w:rPr>
                <w:color w:val="auto"/>
                <w:szCs w:val="21"/>
                <w:highlight w:val="none"/>
              </w:rPr>
            </w:pPr>
            <w:r>
              <w:rPr>
                <w:rFonts w:hint="eastAsia"/>
                <w:color w:val="auto"/>
                <w:highlight w:val="none"/>
              </w:rPr>
              <w:t>宁静小区创建激励制度，针对创建的小区提供一定激励奖励，制定完善的激励方案、制定得分或其他形式的评比机制并提供</w:t>
            </w:r>
            <w:bookmarkStart w:id="313" w:name="OLE_LINK23"/>
            <w:r>
              <w:rPr>
                <w:rFonts w:hint="eastAsia"/>
                <w:color w:val="auto"/>
                <w:highlight w:val="none"/>
              </w:rPr>
              <w:t>相应的奖励内容的得5分，基本制定激励方案并提供一</w:t>
            </w:r>
            <w:bookmarkEnd w:id="313"/>
            <w:r>
              <w:rPr>
                <w:rFonts w:hint="eastAsia"/>
                <w:color w:val="auto"/>
                <w:highlight w:val="none"/>
              </w:rPr>
              <w:t>定的奖励内容的得4分，仅制定激励方案、可实施的得3分，激励方案简要描述基本可行的的得2分，激励方案简要描述部分可行的得1分，未提供的不得分</w:t>
            </w:r>
          </w:p>
        </w:tc>
        <w:tc>
          <w:tcPr>
            <w:tcW w:w="850" w:type="dxa"/>
            <w:vAlign w:val="center"/>
          </w:tcPr>
          <w:p w14:paraId="45A36070">
            <w:pPr>
              <w:pStyle w:val="96"/>
              <w:rPr>
                <w:color w:val="auto"/>
                <w:highlight w:val="none"/>
              </w:rPr>
            </w:pPr>
            <w:r>
              <w:rPr>
                <w:rFonts w:hint="eastAsia"/>
                <w:color w:val="auto"/>
                <w:highlight w:val="none"/>
              </w:rPr>
              <w:t>0-5分</w:t>
            </w:r>
          </w:p>
        </w:tc>
        <w:tc>
          <w:tcPr>
            <w:tcW w:w="913" w:type="dxa"/>
            <w:vAlign w:val="center"/>
          </w:tcPr>
          <w:p w14:paraId="312C6A86">
            <w:pPr>
              <w:pStyle w:val="96"/>
              <w:rPr>
                <w:color w:val="auto"/>
                <w:highlight w:val="none"/>
              </w:rPr>
            </w:pPr>
            <w:r>
              <w:rPr>
                <w:rFonts w:hint="eastAsia"/>
                <w:color w:val="auto"/>
                <w:highlight w:val="none"/>
              </w:rPr>
              <w:t>主观分</w:t>
            </w:r>
          </w:p>
        </w:tc>
      </w:tr>
      <w:tr w14:paraId="5D30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B309861">
            <w:pPr>
              <w:pStyle w:val="96"/>
              <w:rPr>
                <w:rFonts w:hint="default" w:eastAsiaTheme="minorEastAsia"/>
                <w:color w:val="auto"/>
                <w:highlight w:val="none"/>
                <w:lang w:val="en-US" w:eastAsia="zh-CN"/>
              </w:rPr>
            </w:pPr>
            <w:bookmarkStart w:id="314" w:name="OLE_LINK5" w:colFirst="2" w:colLast="4"/>
            <w:r>
              <w:rPr>
                <w:rFonts w:hint="eastAsia"/>
                <w:color w:val="auto"/>
                <w:highlight w:val="none"/>
                <w:lang w:val="en-US" w:eastAsia="zh-CN"/>
              </w:rPr>
              <w:t>12</w:t>
            </w:r>
          </w:p>
        </w:tc>
        <w:tc>
          <w:tcPr>
            <w:tcW w:w="1486" w:type="dxa"/>
            <w:vMerge w:val="restart"/>
            <w:vAlign w:val="center"/>
          </w:tcPr>
          <w:p w14:paraId="15113F81">
            <w:pPr>
              <w:pStyle w:val="96"/>
              <w:rPr>
                <w:color w:val="auto"/>
                <w:highlight w:val="none"/>
              </w:rPr>
            </w:pPr>
            <w:r>
              <w:rPr>
                <w:rFonts w:hint="eastAsia" w:cs="Times New Roman" w:asciiTheme="minorEastAsia" w:hAnsiTheme="minorEastAsia" w:eastAsiaTheme="minorEastAsia"/>
                <w:b/>
                <w:bCs/>
                <w:color w:val="auto"/>
                <w:kern w:val="2"/>
                <w:sz w:val="21"/>
                <w:szCs w:val="21"/>
                <w:highlight w:val="none"/>
                <w:lang w:val="en-US" w:eastAsia="zh-CN" w:bidi="ar-SA"/>
              </w:rPr>
              <w:t>服务方案（34分）</w:t>
            </w:r>
          </w:p>
        </w:tc>
        <w:tc>
          <w:tcPr>
            <w:tcW w:w="5062" w:type="dxa"/>
            <w:vAlign w:val="center"/>
          </w:tcPr>
          <w:p w14:paraId="129B5AE8">
            <w:pPr>
              <w:pStyle w:val="96"/>
              <w:rPr>
                <w:color w:val="auto"/>
                <w:highlight w:val="none"/>
              </w:rPr>
            </w:pPr>
            <w:r>
              <w:rPr>
                <w:rFonts w:hint="eastAsia"/>
                <w:color w:val="auto"/>
                <w:highlight w:val="none"/>
              </w:rPr>
              <w:t>项目实施进度计划安排（包括但不限于创建小区筛选、小区声环境质量调查监测、创建方案编制、管理制度建设、宣传、申报）各环节时间节点的设置及实施方案，各工作时间节点设置合理、工作面实施交叉进行的、工作进度合理的得5分，各工作时间节点基本明确、时间安排基本合理的得4分，各项工作时间节点简要设置，部分可实施的得3分，部分工作设置时间节点、可实施的得2分</w:t>
            </w:r>
            <w:bookmarkStart w:id="315" w:name="OLE_LINK24"/>
            <w:r>
              <w:rPr>
                <w:rFonts w:hint="eastAsia"/>
                <w:color w:val="auto"/>
                <w:highlight w:val="none"/>
              </w:rPr>
              <w:t>，简要描述、不够全面的得1分，未描述的得0分</w:t>
            </w:r>
            <w:bookmarkEnd w:id="315"/>
          </w:p>
        </w:tc>
        <w:tc>
          <w:tcPr>
            <w:tcW w:w="850" w:type="dxa"/>
            <w:vAlign w:val="center"/>
          </w:tcPr>
          <w:p w14:paraId="4AEE9C59">
            <w:pPr>
              <w:pStyle w:val="96"/>
              <w:rPr>
                <w:color w:val="auto"/>
                <w:highlight w:val="none"/>
              </w:rPr>
            </w:pPr>
            <w:r>
              <w:rPr>
                <w:rFonts w:hint="eastAsia"/>
                <w:color w:val="auto"/>
                <w:highlight w:val="none"/>
              </w:rPr>
              <w:t>0-5分</w:t>
            </w:r>
          </w:p>
        </w:tc>
        <w:tc>
          <w:tcPr>
            <w:tcW w:w="913" w:type="dxa"/>
            <w:vAlign w:val="center"/>
          </w:tcPr>
          <w:p w14:paraId="1F635D3C">
            <w:pPr>
              <w:pStyle w:val="96"/>
              <w:rPr>
                <w:color w:val="auto"/>
                <w:highlight w:val="none"/>
              </w:rPr>
            </w:pPr>
            <w:r>
              <w:rPr>
                <w:rFonts w:hint="eastAsia"/>
                <w:color w:val="auto"/>
                <w:highlight w:val="none"/>
              </w:rPr>
              <w:t>主观分</w:t>
            </w:r>
          </w:p>
        </w:tc>
      </w:tr>
      <w:tr w14:paraId="0A45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3E20F72">
            <w:pPr>
              <w:pStyle w:val="96"/>
              <w:rPr>
                <w:rFonts w:hint="default" w:eastAsiaTheme="minorEastAsia"/>
                <w:color w:val="auto"/>
                <w:highlight w:val="none"/>
                <w:lang w:val="en-US" w:eastAsia="zh-CN"/>
              </w:rPr>
            </w:pPr>
            <w:r>
              <w:rPr>
                <w:rFonts w:hint="eastAsia"/>
                <w:color w:val="auto"/>
                <w:highlight w:val="none"/>
                <w:lang w:val="en-US" w:eastAsia="zh-CN"/>
              </w:rPr>
              <w:t>13</w:t>
            </w:r>
          </w:p>
        </w:tc>
        <w:tc>
          <w:tcPr>
            <w:tcW w:w="1486" w:type="dxa"/>
            <w:vMerge w:val="continue"/>
            <w:vAlign w:val="center"/>
          </w:tcPr>
          <w:p w14:paraId="17EFE396">
            <w:pPr>
              <w:pStyle w:val="96"/>
              <w:rPr>
                <w:rFonts w:hint="eastAsia"/>
                <w:color w:val="auto"/>
                <w:highlight w:val="none"/>
              </w:rPr>
            </w:pPr>
          </w:p>
        </w:tc>
        <w:tc>
          <w:tcPr>
            <w:tcW w:w="5062" w:type="dxa"/>
            <w:vAlign w:val="center"/>
          </w:tcPr>
          <w:p w14:paraId="07B1B56D">
            <w:pPr>
              <w:pStyle w:val="96"/>
              <w:spacing w:line="360" w:lineRule="auto"/>
              <w:rPr>
                <w:rFonts w:hint="eastAsia"/>
                <w:color w:val="auto"/>
                <w:highlight w:val="none"/>
              </w:rPr>
            </w:pPr>
            <w:r>
              <w:rPr>
                <w:rFonts w:hint="eastAsia" w:asciiTheme="minorEastAsia" w:hAnsiTheme="minorEastAsia" w:eastAsiaTheme="minorEastAsia"/>
                <w:color w:val="auto"/>
                <w:highlight w:val="none"/>
                <w:lang w:val="en-US" w:eastAsia="zh-CN"/>
              </w:rPr>
              <w:t>投标人具有完善的台账制度，各工作节点进度、各项数据、申报材料登记并具有健全的台账制度、台账规范、配备专人负责台账及内容核对的得5分，制定完善的台账管理制度的得4分，基本制定台账管理制度的得3分，简要阐述台账制度部分合理的得2分</w:t>
            </w:r>
            <w:r>
              <w:rPr>
                <w:rFonts w:hint="eastAsia" w:cs="Times New Roman" w:asciiTheme="minorEastAsia" w:hAnsiTheme="minorEastAsia" w:eastAsiaTheme="minorEastAsia"/>
                <w:color w:val="auto"/>
                <w:highlight w:val="none"/>
                <w:lang w:val="en-US" w:eastAsia="zh-CN"/>
              </w:rPr>
              <w:t>，简要描述、不够全面的得1分，未描述的得0分</w:t>
            </w:r>
          </w:p>
        </w:tc>
        <w:tc>
          <w:tcPr>
            <w:tcW w:w="850" w:type="dxa"/>
            <w:vAlign w:val="center"/>
          </w:tcPr>
          <w:p w14:paraId="2C994875">
            <w:pPr>
              <w:pStyle w:val="96"/>
              <w:spacing w:line="360" w:lineRule="auto"/>
              <w:jc w:val="center"/>
              <w:rPr>
                <w:rFonts w:hint="eastAsia"/>
                <w:color w:val="auto"/>
                <w:highlight w:val="none"/>
              </w:rPr>
            </w:pPr>
            <w:r>
              <w:rPr>
                <w:rFonts w:hint="eastAsia" w:asciiTheme="minorEastAsia" w:hAnsiTheme="minorEastAsia" w:eastAsiaTheme="minorEastAsia"/>
                <w:color w:val="auto"/>
                <w:highlight w:val="none"/>
                <w:lang w:eastAsia="zh-CN"/>
              </w:rPr>
              <w:t>0-</w:t>
            </w:r>
            <w:r>
              <w:rPr>
                <w:rFonts w:hint="eastAsia" w:asciiTheme="minorEastAsia" w:hAnsiTheme="minorEastAsia" w:eastAsiaTheme="minorEastAsia"/>
                <w:color w:val="auto"/>
                <w:highlight w:val="none"/>
                <w:lang w:val="en-US" w:eastAsia="zh-CN"/>
              </w:rPr>
              <w:t>5</w:t>
            </w:r>
            <w:r>
              <w:rPr>
                <w:rFonts w:hint="eastAsia" w:asciiTheme="minorEastAsia" w:hAnsiTheme="minorEastAsia" w:eastAsiaTheme="minorEastAsia"/>
                <w:color w:val="auto"/>
                <w:highlight w:val="none"/>
              </w:rPr>
              <w:t>分</w:t>
            </w:r>
          </w:p>
        </w:tc>
        <w:tc>
          <w:tcPr>
            <w:tcW w:w="913" w:type="dxa"/>
            <w:vAlign w:val="center"/>
          </w:tcPr>
          <w:p w14:paraId="242B1CFB">
            <w:pPr>
              <w:pStyle w:val="96"/>
              <w:spacing w:line="360" w:lineRule="auto"/>
              <w:rPr>
                <w:rFonts w:hint="eastAsia"/>
                <w:color w:val="auto"/>
                <w:highlight w:val="none"/>
              </w:rPr>
            </w:pPr>
            <w:r>
              <w:rPr>
                <w:rFonts w:hint="eastAsia" w:asciiTheme="minorEastAsia" w:hAnsiTheme="minorEastAsia" w:eastAsiaTheme="minorEastAsia"/>
                <w:color w:val="auto"/>
                <w:highlight w:val="none"/>
                <w:lang w:val="en-US" w:eastAsia="zh-CN"/>
              </w:rPr>
              <w:t>主观分</w:t>
            </w:r>
          </w:p>
        </w:tc>
      </w:tr>
      <w:bookmarkEnd w:id="314"/>
      <w:tr w14:paraId="3E06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D0CD1A9">
            <w:pPr>
              <w:pStyle w:val="96"/>
              <w:rPr>
                <w:color w:val="auto"/>
                <w:highlight w:val="none"/>
              </w:rPr>
            </w:pPr>
            <w:r>
              <w:rPr>
                <w:rFonts w:hint="eastAsia"/>
                <w:color w:val="auto"/>
                <w:highlight w:val="none"/>
              </w:rPr>
              <w:t>1</w:t>
            </w:r>
            <w:r>
              <w:rPr>
                <w:color w:val="auto"/>
                <w:highlight w:val="none"/>
              </w:rPr>
              <w:t>4</w:t>
            </w:r>
          </w:p>
        </w:tc>
        <w:tc>
          <w:tcPr>
            <w:tcW w:w="1486" w:type="dxa"/>
            <w:vMerge w:val="continue"/>
            <w:vAlign w:val="center"/>
          </w:tcPr>
          <w:p w14:paraId="6D224561">
            <w:pPr>
              <w:pStyle w:val="96"/>
              <w:rPr>
                <w:color w:val="auto"/>
                <w:highlight w:val="none"/>
              </w:rPr>
            </w:pPr>
          </w:p>
        </w:tc>
        <w:tc>
          <w:tcPr>
            <w:tcW w:w="5062" w:type="dxa"/>
            <w:vAlign w:val="center"/>
          </w:tcPr>
          <w:p w14:paraId="4F3DDEF4">
            <w:pPr>
              <w:pStyle w:val="96"/>
              <w:rPr>
                <w:color w:val="auto"/>
                <w:highlight w:val="none"/>
              </w:rPr>
            </w:pPr>
            <w:r>
              <w:rPr>
                <w:rFonts w:hint="eastAsia"/>
                <w:color w:val="auto"/>
                <w:highlight w:val="none"/>
              </w:rPr>
              <w:t>分析本项目特点及难点，并提供解决方案，根据解决方案是否合理、是否切实可行，进行横向对比酌情打分。项目重点难点分析、解决方案全面的得</w:t>
            </w:r>
            <w:r>
              <w:rPr>
                <w:color w:val="auto"/>
                <w:highlight w:val="none"/>
              </w:rPr>
              <w:t>5</w:t>
            </w:r>
            <w:r>
              <w:rPr>
                <w:rFonts w:hint="eastAsia"/>
                <w:color w:val="auto"/>
                <w:highlight w:val="none"/>
              </w:rPr>
              <w:t>分；比较满足要求的得</w:t>
            </w:r>
            <w:r>
              <w:rPr>
                <w:color w:val="auto"/>
                <w:highlight w:val="none"/>
              </w:rPr>
              <w:t>4</w:t>
            </w:r>
            <w:r>
              <w:rPr>
                <w:rFonts w:hint="eastAsia"/>
                <w:color w:val="auto"/>
                <w:highlight w:val="none"/>
              </w:rPr>
              <w:t>分；基本满足要求的得</w:t>
            </w:r>
            <w:r>
              <w:rPr>
                <w:color w:val="auto"/>
                <w:highlight w:val="none"/>
              </w:rPr>
              <w:t>3</w:t>
            </w:r>
            <w:r>
              <w:rPr>
                <w:rFonts w:hint="eastAsia"/>
                <w:color w:val="auto"/>
                <w:highlight w:val="none"/>
              </w:rPr>
              <w:t>分；部分满足要求的得</w:t>
            </w:r>
            <w:r>
              <w:rPr>
                <w:color w:val="auto"/>
                <w:highlight w:val="none"/>
              </w:rPr>
              <w:t>2</w:t>
            </w:r>
            <w:r>
              <w:rPr>
                <w:rFonts w:hint="eastAsia"/>
                <w:color w:val="auto"/>
                <w:highlight w:val="none"/>
              </w:rPr>
              <w:t>分；简要描述、不够全面的得1分，未描述的得0分</w:t>
            </w:r>
          </w:p>
        </w:tc>
        <w:tc>
          <w:tcPr>
            <w:tcW w:w="850" w:type="dxa"/>
            <w:vAlign w:val="center"/>
          </w:tcPr>
          <w:p w14:paraId="3867C74C">
            <w:pPr>
              <w:pStyle w:val="96"/>
              <w:rPr>
                <w:color w:val="auto"/>
                <w:highlight w:val="none"/>
              </w:rPr>
            </w:pPr>
            <w:r>
              <w:rPr>
                <w:rFonts w:hint="eastAsia"/>
                <w:color w:val="auto"/>
                <w:highlight w:val="none"/>
              </w:rPr>
              <w:t>0-5分</w:t>
            </w:r>
          </w:p>
        </w:tc>
        <w:tc>
          <w:tcPr>
            <w:tcW w:w="913" w:type="dxa"/>
            <w:vAlign w:val="center"/>
          </w:tcPr>
          <w:p w14:paraId="123CAFC3">
            <w:pPr>
              <w:pStyle w:val="96"/>
              <w:rPr>
                <w:color w:val="auto"/>
                <w:highlight w:val="none"/>
              </w:rPr>
            </w:pPr>
            <w:r>
              <w:rPr>
                <w:rFonts w:hint="eastAsia"/>
                <w:color w:val="auto"/>
                <w:highlight w:val="none"/>
              </w:rPr>
              <w:t>主观分</w:t>
            </w:r>
          </w:p>
        </w:tc>
      </w:tr>
      <w:tr w14:paraId="7FD1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203FECB">
            <w:pPr>
              <w:pStyle w:val="96"/>
              <w:rPr>
                <w:color w:val="auto"/>
                <w:highlight w:val="none"/>
              </w:rPr>
            </w:pPr>
            <w:r>
              <w:rPr>
                <w:rFonts w:hint="eastAsia"/>
                <w:color w:val="auto"/>
                <w:highlight w:val="none"/>
              </w:rPr>
              <w:t>1</w:t>
            </w:r>
            <w:r>
              <w:rPr>
                <w:color w:val="auto"/>
                <w:highlight w:val="none"/>
              </w:rPr>
              <w:t>5</w:t>
            </w:r>
          </w:p>
        </w:tc>
        <w:tc>
          <w:tcPr>
            <w:tcW w:w="1486" w:type="dxa"/>
            <w:vMerge w:val="continue"/>
            <w:vAlign w:val="center"/>
          </w:tcPr>
          <w:p w14:paraId="3A101B89">
            <w:pPr>
              <w:pStyle w:val="96"/>
              <w:rPr>
                <w:color w:val="auto"/>
                <w:highlight w:val="none"/>
              </w:rPr>
            </w:pPr>
          </w:p>
        </w:tc>
        <w:tc>
          <w:tcPr>
            <w:tcW w:w="5062" w:type="dxa"/>
            <w:vAlign w:val="center"/>
          </w:tcPr>
          <w:p w14:paraId="0E7F0CBE">
            <w:pPr>
              <w:pStyle w:val="96"/>
              <w:rPr>
                <w:color w:val="auto"/>
                <w:szCs w:val="21"/>
                <w:highlight w:val="none"/>
              </w:rPr>
            </w:pPr>
            <w:r>
              <w:rPr>
                <w:rFonts w:hint="eastAsia"/>
                <w:color w:val="auto"/>
                <w:highlight w:val="none"/>
              </w:rPr>
              <w:t>维护方案：宁静小区申报后制定长效的维护方案，包含监测、宣传等并明确实施频次，频次合理有效的、为采购人提供长效管理机制的得5分，维护方案基本合理、提供监测、宣传等服务但频次欠缺基本可保证采购人长效管理机制的得4分，基本提供维护方案的、提供监测、宣传等服务但频次无法保证采购人长效管理机制的得3分，基本提供维护方案但不提供监测、宣传等服务的得2分，简要描述、但不够全面的得1分，未描述的得0分</w:t>
            </w:r>
          </w:p>
        </w:tc>
        <w:tc>
          <w:tcPr>
            <w:tcW w:w="850" w:type="dxa"/>
            <w:vAlign w:val="center"/>
          </w:tcPr>
          <w:p w14:paraId="0EAD73A3">
            <w:pPr>
              <w:pStyle w:val="96"/>
              <w:rPr>
                <w:color w:val="auto"/>
                <w:highlight w:val="none"/>
              </w:rPr>
            </w:pPr>
            <w:r>
              <w:rPr>
                <w:rFonts w:hint="eastAsia"/>
                <w:color w:val="auto"/>
                <w:highlight w:val="none"/>
              </w:rPr>
              <w:t>0-5分</w:t>
            </w:r>
          </w:p>
        </w:tc>
        <w:tc>
          <w:tcPr>
            <w:tcW w:w="913" w:type="dxa"/>
            <w:vAlign w:val="center"/>
          </w:tcPr>
          <w:p w14:paraId="2D6DD77D">
            <w:pPr>
              <w:pStyle w:val="96"/>
              <w:rPr>
                <w:color w:val="auto"/>
                <w:highlight w:val="none"/>
              </w:rPr>
            </w:pPr>
            <w:r>
              <w:rPr>
                <w:rFonts w:hint="eastAsia"/>
                <w:color w:val="auto"/>
                <w:highlight w:val="none"/>
              </w:rPr>
              <w:t>主观分</w:t>
            </w:r>
          </w:p>
        </w:tc>
      </w:tr>
      <w:tr w14:paraId="59D2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1782D10">
            <w:pPr>
              <w:pStyle w:val="96"/>
              <w:rPr>
                <w:rFonts w:hint="default" w:eastAsiaTheme="minorEastAsia"/>
                <w:color w:val="auto"/>
                <w:highlight w:val="none"/>
                <w:lang w:val="en-US" w:eastAsia="zh-CN"/>
              </w:rPr>
            </w:pPr>
            <w:r>
              <w:rPr>
                <w:rFonts w:hint="eastAsia"/>
                <w:color w:val="auto"/>
                <w:highlight w:val="none"/>
                <w:lang w:val="en-US" w:eastAsia="zh-CN"/>
              </w:rPr>
              <w:t>16</w:t>
            </w:r>
          </w:p>
        </w:tc>
        <w:tc>
          <w:tcPr>
            <w:tcW w:w="1486" w:type="dxa"/>
            <w:vMerge w:val="continue"/>
            <w:vAlign w:val="center"/>
          </w:tcPr>
          <w:p w14:paraId="013F77ED">
            <w:pPr>
              <w:pStyle w:val="96"/>
              <w:rPr>
                <w:color w:val="auto"/>
                <w:highlight w:val="none"/>
              </w:rPr>
            </w:pPr>
          </w:p>
        </w:tc>
        <w:tc>
          <w:tcPr>
            <w:tcW w:w="5062" w:type="dxa"/>
            <w:vAlign w:val="center"/>
          </w:tcPr>
          <w:p w14:paraId="601B0815">
            <w:pPr>
              <w:pStyle w:val="96"/>
              <w:spacing w:line="360" w:lineRule="auto"/>
              <w:rPr>
                <w:rFonts w:hint="eastAsia"/>
                <w:color w:val="auto"/>
                <w:highlight w:val="none"/>
              </w:rPr>
            </w:pPr>
            <w:r>
              <w:rPr>
                <w:rFonts w:hint="eastAsia" w:asciiTheme="minorEastAsia" w:hAnsiTheme="minorEastAsia" w:eastAsiaTheme="minorEastAsia"/>
                <w:color w:val="auto"/>
                <w:szCs w:val="21"/>
                <w:highlight w:val="none"/>
                <w:lang w:val="en-US" w:eastAsia="zh-CN"/>
              </w:rPr>
              <w:t>应急保障方案，针对监测或治理过程中的突发事件解决方案，方案明确事件等级及对应的解决措施、解决方案、处理时效的得4分，方案简要列举事件并提供解决措施、解决方案、处理时效的得3分，方案基本描述、部分提供解决方案的、处理时不明确的得2分</w:t>
            </w:r>
            <w:r>
              <w:rPr>
                <w:rFonts w:hint="eastAsia" w:asciiTheme="minorEastAsia" w:hAnsiTheme="minorEastAsia" w:eastAsiaTheme="minorEastAsia"/>
                <w:color w:val="auto"/>
                <w:highlight w:val="none"/>
                <w:lang w:val="en-US" w:eastAsia="zh-CN"/>
              </w:rPr>
              <w:t>，简要描述、但不够全面的</w:t>
            </w:r>
            <w:r>
              <w:rPr>
                <w:rFonts w:hint="eastAsia" w:cs="Times New Roman" w:asciiTheme="minorEastAsia" w:hAnsiTheme="minorEastAsia" w:eastAsiaTheme="minorEastAsia"/>
                <w:color w:val="auto"/>
                <w:highlight w:val="none"/>
                <w:lang w:val="en-US" w:eastAsia="zh-CN"/>
              </w:rPr>
              <w:t>得1分，未描述的得0分</w:t>
            </w:r>
          </w:p>
        </w:tc>
        <w:tc>
          <w:tcPr>
            <w:tcW w:w="850" w:type="dxa"/>
            <w:vAlign w:val="center"/>
          </w:tcPr>
          <w:p w14:paraId="15276AE7">
            <w:pPr>
              <w:pStyle w:val="96"/>
              <w:spacing w:line="360" w:lineRule="auto"/>
              <w:jc w:val="center"/>
              <w:rPr>
                <w:rFonts w:hint="eastAsia"/>
                <w:color w:val="auto"/>
                <w:highlight w:val="none"/>
              </w:rPr>
            </w:pPr>
            <w:r>
              <w:rPr>
                <w:rFonts w:hint="eastAsia" w:asciiTheme="minorEastAsia" w:hAnsiTheme="minorEastAsia" w:eastAsiaTheme="minorEastAsia"/>
                <w:color w:val="auto"/>
                <w:highlight w:val="none"/>
                <w:lang w:eastAsia="zh-CN"/>
              </w:rPr>
              <w:t>0-</w:t>
            </w: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rPr>
              <w:t>分</w:t>
            </w:r>
          </w:p>
        </w:tc>
        <w:tc>
          <w:tcPr>
            <w:tcW w:w="913" w:type="dxa"/>
            <w:vAlign w:val="center"/>
          </w:tcPr>
          <w:p w14:paraId="6192ABCE">
            <w:pPr>
              <w:pStyle w:val="96"/>
              <w:spacing w:line="360" w:lineRule="auto"/>
              <w:rPr>
                <w:rFonts w:hint="eastAsia"/>
                <w:color w:val="auto"/>
                <w:highlight w:val="none"/>
              </w:rPr>
            </w:pPr>
            <w:r>
              <w:rPr>
                <w:rFonts w:hint="eastAsia" w:asciiTheme="minorEastAsia" w:hAnsiTheme="minorEastAsia" w:eastAsiaTheme="minorEastAsia"/>
                <w:color w:val="auto"/>
                <w:highlight w:val="none"/>
                <w:lang w:val="en-US" w:eastAsia="zh-CN"/>
              </w:rPr>
              <w:t>主观分</w:t>
            </w:r>
          </w:p>
        </w:tc>
      </w:tr>
      <w:tr w14:paraId="0574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A3A5322">
            <w:pPr>
              <w:pStyle w:val="96"/>
              <w:rPr>
                <w:rFonts w:hint="default" w:eastAsiaTheme="minorEastAsia"/>
                <w:color w:val="auto"/>
                <w:highlight w:val="none"/>
                <w:lang w:val="en-US" w:eastAsia="zh-CN"/>
              </w:rPr>
            </w:pPr>
            <w:r>
              <w:rPr>
                <w:rFonts w:hint="eastAsia"/>
                <w:color w:val="auto"/>
                <w:highlight w:val="none"/>
                <w:lang w:val="en-US" w:eastAsia="zh-CN"/>
              </w:rPr>
              <w:t>17</w:t>
            </w:r>
          </w:p>
        </w:tc>
        <w:tc>
          <w:tcPr>
            <w:tcW w:w="1486" w:type="dxa"/>
            <w:vMerge w:val="continue"/>
            <w:vAlign w:val="center"/>
          </w:tcPr>
          <w:p w14:paraId="12068F3F">
            <w:pPr>
              <w:pStyle w:val="96"/>
              <w:rPr>
                <w:color w:val="auto"/>
                <w:highlight w:val="none"/>
              </w:rPr>
            </w:pPr>
          </w:p>
        </w:tc>
        <w:tc>
          <w:tcPr>
            <w:tcW w:w="5062" w:type="dxa"/>
            <w:vAlign w:val="center"/>
          </w:tcPr>
          <w:p w14:paraId="222C74B2">
            <w:pPr>
              <w:pStyle w:val="96"/>
              <w:spacing w:line="360" w:lineRule="auto"/>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培训方案，针对各小区现在制定具有针对性的志愿者培训方案</w:t>
            </w:r>
            <w:r>
              <w:rPr>
                <w:rFonts w:hint="eastAsia" w:asciiTheme="minorEastAsia" w:hAnsiTheme="minorEastAsia" w:eastAsiaTheme="minorEastAsia"/>
                <w:color w:val="auto"/>
                <w:highlight w:val="none"/>
                <w:lang w:val="en-US" w:eastAsia="zh-CN"/>
              </w:rPr>
              <w:t>，方案合理、可实施、贴合实际的得5分，方案基本合理、基本可实施、部分贴合实际的得4分，方案基本合理、部分可实施、部分贴合实际的得3分，方案部分合理、部分可实施、部分贴合实际的得2分，方案简要描述的得1分，未提供的不得分</w:t>
            </w:r>
          </w:p>
        </w:tc>
        <w:tc>
          <w:tcPr>
            <w:tcW w:w="850" w:type="dxa"/>
            <w:vAlign w:val="center"/>
          </w:tcPr>
          <w:p w14:paraId="0B277E99">
            <w:pPr>
              <w:pStyle w:val="96"/>
              <w:spacing w:line="360" w:lineRule="auto"/>
              <w:jc w:val="center"/>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0-</w:t>
            </w:r>
            <w:r>
              <w:rPr>
                <w:rFonts w:hint="eastAsia" w:asciiTheme="minorEastAsia" w:hAnsiTheme="minorEastAsia" w:eastAsiaTheme="minorEastAsia"/>
                <w:color w:val="auto"/>
                <w:highlight w:val="none"/>
                <w:lang w:val="en-US" w:eastAsia="zh-CN"/>
              </w:rPr>
              <w:t>5</w:t>
            </w:r>
            <w:r>
              <w:rPr>
                <w:rFonts w:hint="eastAsia" w:asciiTheme="minorEastAsia" w:hAnsiTheme="minorEastAsia" w:eastAsiaTheme="minorEastAsia"/>
                <w:color w:val="auto"/>
                <w:highlight w:val="none"/>
              </w:rPr>
              <w:t>分</w:t>
            </w:r>
          </w:p>
        </w:tc>
        <w:tc>
          <w:tcPr>
            <w:tcW w:w="913" w:type="dxa"/>
            <w:vAlign w:val="center"/>
          </w:tcPr>
          <w:p w14:paraId="6B1C8F42">
            <w:pPr>
              <w:pStyle w:val="96"/>
              <w:spacing w:line="360" w:lineRule="auto"/>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主观分</w:t>
            </w:r>
          </w:p>
        </w:tc>
      </w:tr>
      <w:tr w14:paraId="2788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0E636A3">
            <w:pPr>
              <w:pStyle w:val="96"/>
              <w:rPr>
                <w:rFonts w:hint="eastAsia" w:eastAsiaTheme="minorEastAsia"/>
                <w:color w:val="auto"/>
                <w:highlight w:val="none"/>
                <w:lang w:eastAsia="zh-CN"/>
              </w:rPr>
            </w:pPr>
            <w:r>
              <w:rPr>
                <w:rFonts w:hint="eastAsia"/>
                <w:color w:val="auto"/>
                <w:highlight w:val="none"/>
              </w:rPr>
              <w:t>1</w:t>
            </w:r>
            <w:r>
              <w:rPr>
                <w:rFonts w:hint="eastAsia"/>
                <w:color w:val="auto"/>
                <w:highlight w:val="none"/>
                <w:lang w:val="en-US" w:eastAsia="zh-CN"/>
              </w:rPr>
              <w:t>8</w:t>
            </w:r>
          </w:p>
        </w:tc>
        <w:tc>
          <w:tcPr>
            <w:tcW w:w="1486" w:type="dxa"/>
            <w:vMerge w:val="continue"/>
            <w:vAlign w:val="center"/>
          </w:tcPr>
          <w:p w14:paraId="2C2B2948">
            <w:pPr>
              <w:pStyle w:val="96"/>
              <w:rPr>
                <w:color w:val="auto"/>
                <w:highlight w:val="none"/>
              </w:rPr>
            </w:pPr>
          </w:p>
        </w:tc>
        <w:tc>
          <w:tcPr>
            <w:tcW w:w="5062" w:type="dxa"/>
            <w:vAlign w:val="center"/>
          </w:tcPr>
          <w:p w14:paraId="77170609">
            <w:pPr>
              <w:pStyle w:val="96"/>
              <w:rPr>
                <w:rFonts w:hint="default"/>
                <w:color w:val="auto"/>
                <w:highlight w:val="none"/>
                <w:lang w:val="en-US" w:eastAsia="zh-CN"/>
              </w:rPr>
            </w:pPr>
            <w:r>
              <w:rPr>
                <w:rFonts w:hint="eastAsia"/>
                <w:color w:val="auto"/>
                <w:highlight w:val="none"/>
                <w:lang w:val="en-US" w:eastAsia="zh-CN"/>
              </w:rPr>
              <w:t>针对本项目监测设备的维护响应方案，明确响应时间、响应方式（包括但不限于远程处理、现场处理等）、修复方案，响应明确及时、响应方式合理有效、修复方案完善的得5分，方案基本合理、有效的、可基本保证设备正常运行的得4分，方案基本描述、响应时间较长但可基本保证设备正常运行的得3分，响应时间模糊或较长、响应方式不全面的的得2分，响应时间有但未细化或可能影响设备正常使用的得1分</w:t>
            </w:r>
            <w:r>
              <w:rPr>
                <w:rFonts w:hint="eastAsia"/>
                <w:color w:val="auto"/>
                <w:highlight w:val="none"/>
              </w:rPr>
              <w:t>，未描述的得0分</w:t>
            </w:r>
          </w:p>
        </w:tc>
        <w:tc>
          <w:tcPr>
            <w:tcW w:w="850" w:type="dxa"/>
            <w:vAlign w:val="center"/>
          </w:tcPr>
          <w:p w14:paraId="7144E41C">
            <w:pPr>
              <w:pStyle w:val="96"/>
              <w:rPr>
                <w:rFonts w:hint="eastAsia"/>
                <w:color w:val="auto"/>
                <w:highlight w:val="none"/>
              </w:rPr>
            </w:pPr>
            <w:r>
              <w:rPr>
                <w:rFonts w:hint="eastAsia"/>
                <w:color w:val="auto"/>
                <w:highlight w:val="none"/>
              </w:rPr>
              <w:t>0-</w:t>
            </w:r>
            <w:r>
              <w:rPr>
                <w:rFonts w:hint="eastAsia"/>
                <w:color w:val="auto"/>
                <w:highlight w:val="none"/>
                <w:lang w:val="en-US" w:eastAsia="zh-CN"/>
              </w:rPr>
              <w:t>5</w:t>
            </w:r>
            <w:r>
              <w:rPr>
                <w:rFonts w:hint="eastAsia"/>
                <w:color w:val="auto"/>
                <w:highlight w:val="none"/>
              </w:rPr>
              <w:t>分</w:t>
            </w:r>
          </w:p>
        </w:tc>
        <w:tc>
          <w:tcPr>
            <w:tcW w:w="913" w:type="dxa"/>
            <w:vAlign w:val="center"/>
          </w:tcPr>
          <w:p w14:paraId="5995200A">
            <w:pPr>
              <w:pStyle w:val="96"/>
              <w:rPr>
                <w:rFonts w:hint="eastAsia"/>
                <w:color w:val="auto"/>
                <w:highlight w:val="none"/>
              </w:rPr>
            </w:pPr>
            <w:r>
              <w:rPr>
                <w:rFonts w:hint="eastAsia"/>
                <w:color w:val="auto"/>
                <w:highlight w:val="none"/>
              </w:rPr>
              <w:t>客观分</w:t>
            </w:r>
          </w:p>
        </w:tc>
      </w:tr>
      <w:tr w14:paraId="5B9C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43BFE5E">
            <w:pPr>
              <w:pStyle w:val="96"/>
              <w:rPr>
                <w:rFonts w:hint="default" w:eastAsiaTheme="minorEastAsia"/>
                <w:color w:val="auto"/>
                <w:highlight w:val="none"/>
                <w:lang w:val="en-US" w:eastAsia="zh-CN"/>
              </w:rPr>
            </w:pPr>
            <w:r>
              <w:rPr>
                <w:rFonts w:hint="eastAsia"/>
                <w:color w:val="auto"/>
                <w:highlight w:val="none"/>
                <w:lang w:val="en-US" w:eastAsia="zh-CN"/>
              </w:rPr>
              <w:t>19</w:t>
            </w:r>
          </w:p>
        </w:tc>
        <w:tc>
          <w:tcPr>
            <w:tcW w:w="1486" w:type="dxa"/>
            <w:vAlign w:val="center"/>
          </w:tcPr>
          <w:p w14:paraId="6CC015EA">
            <w:pPr>
              <w:spacing w:line="360" w:lineRule="auto"/>
              <w:jc w:val="cente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szCs w:val="21"/>
                <w:highlight w:val="none"/>
              </w:rPr>
              <w:t>合理化建议或优惠条件（2分）</w:t>
            </w:r>
          </w:p>
        </w:tc>
        <w:tc>
          <w:tcPr>
            <w:tcW w:w="5062" w:type="dxa"/>
            <w:vAlign w:val="center"/>
          </w:tcPr>
          <w:p w14:paraId="42C6169D">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针对本项目的合理化建议或其他优惠条件（不涉及报价），1条被采纳的得1分，最多2分，</w:t>
            </w:r>
            <w:r>
              <w:rPr>
                <w:rFonts w:hint="eastAsia" w:ascii="宋体" w:hAnsi="宋体"/>
                <w:color w:val="auto"/>
                <w:szCs w:val="21"/>
                <w:highlight w:val="none"/>
              </w:rPr>
              <w:t>缺项的得0分</w:t>
            </w:r>
            <w:r>
              <w:rPr>
                <w:rFonts w:hint="eastAsia" w:asciiTheme="minorEastAsia" w:hAnsiTheme="minorEastAsia" w:eastAsiaTheme="minorEastAsia"/>
                <w:color w:val="auto"/>
                <w:szCs w:val="21"/>
                <w:highlight w:val="none"/>
              </w:rPr>
              <w:t>。</w:t>
            </w:r>
          </w:p>
        </w:tc>
        <w:tc>
          <w:tcPr>
            <w:tcW w:w="850" w:type="dxa"/>
            <w:vAlign w:val="center"/>
          </w:tcPr>
          <w:p w14:paraId="60F8AB97">
            <w:pPr>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0-2</w:t>
            </w:r>
            <w:r>
              <w:rPr>
                <w:rFonts w:hint="eastAsia" w:asciiTheme="minorEastAsia" w:hAnsiTheme="minorEastAsia" w:eastAsiaTheme="minorEastAsia"/>
                <w:color w:val="auto"/>
                <w:highlight w:val="none"/>
              </w:rPr>
              <w:t>分</w:t>
            </w:r>
          </w:p>
        </w:tc>
        <w:tc>
          <w:tcPr>
            <w:tcW w:w="913" w:type="dxa"/>
            <w:vAlign w:val="center"/>
          </w:tcPr>
          <w:p w14:paraId="5F6B0A1C">
            <w:pPr>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主观分</w:t>
            </w:r>
          </w:p>
        </w:tc>
      </w:tr>
    </w:tbl>
    <w:p w14:paraId="2BFA2585">
      <w:pPr>
        <w:pStyle w:val="96"/>
        <w:rPr>
          <w:color w:val="auto"/>
          <w:highlight w:val="none"/>
        </w:rPr>
      </w:pPr>
    </w:p>
    <w:p w14:paraId="4EB57321">
      <w:pPr>
        <w:pStyle w:val="96"/>
        <w:rPr>
          <w:color w:val="auto"/>
          <w:highlight w:val="none"/>
        </w:rPr>
      </w:pPr>
      <w:r>
        <w:rPr>
          <w:rFonts w:hint="eastAsia"/>
          <w:color w:val="auto"/>
          <w:highlight w:val="none"/>
        </w:rPr>
        <w:t>注：评标委员会独立打分，保留小数点后2位小数，所有有效评分的平均分作为对应投标人的技术资信得分。</w:t>
      </w:r>
      <w:r>
        <w:rPr>
          <w:rFonts w:hint="eastAsia" w:hAnsi="宋体"/>
          <w:bCs/>
          <w:color w:val="auto"/>
          <w:szCs w:val="21"/>
          <w:highlight w:val="none"/>
        </w:rPr>
        <w:t>建议在制作投标书时，在目录后附一个评分索引表，方便查找。</w:t>
      </w:r>
    </w:p>
    <w:p w14:paraId="61CC8507">
      <w:pPr>
        <w:pStyle w:val="96"/>
        <w:rPr>
          <w:color w:val="auto"/>
          <w:highlight w:val="none"/>
        </w:rPr>
      </w:pPr>
    </w:p>
    <w:p w14:paraId="13F6DA8C">
      <w:pPr>
        <w:pStyle w:val="96"/>
        <w:rPr>
          <w:color w:val="auto"/>
          <w:highlight w:val="none"/>
        </w:rPr>
      </w:pPr>
    </w:p>
    <w:p w14:paraId="71575A62">
      <w:pPr>
        <w:pStyle w:val="96"/>
        <w:rPr>
          <w:color w:val="auto"/>
          <w:highlight w:val="none"/>
        </w:rPr>
      </w:pPr>
    </w:p>
    <w:p w14:paraId="6D4BA46B">
      <w:pPr>
        <w:pStyle w:val="96"/>
        <w:rPr>
          <w:color w:val="auto"/>
          <w:highlight w:val="none"/>
        </w:rPr>
      </w:pPr>
    </w:p>
    <w:p w14:paraId="7F416036">
      <w:pPr>
        <w:pStyle w:val="96"/>
        <w:rPr>
          <w:color w:val="auto"/>
          <w:highlight w:val="none"/>
        </w:rPr>
      </w:pPr>
    </w:p>
    <w:p w14:paraId="622AD3FF">
      <w:pPr>
        <w:pStyle w:val="96"/>
        <w:rPr>
          <w:color w:val="auto"/>
          <w:highlight w:val="none"/>
        </w:rPr>
      </w:pPr>
    </w:p>
    <w:p w14:paraId="146D42CE">
      <w:pPr>
        <w:pStyle w:val="96"/>
        <w:rPr>
          <w:color w:val="auto"/>
          <w:highlight w:val="none"/>
        </w:rPr>
      </w:pPr>
    </w:p>
    <w:p w14:paraId="054F601F">
      <w:pPr>
        <w:pStyle w:val="96"/>
        <w:rPr>
          <w:color w:val="auto"/>
          <w:highlight w:val="none"/>
        </w:rPr>
      </w:pPr>
    </w:p>
    <w:p w14:paraId="5D0F9565">
      <w:pPr>
        <w:pStyle w:val="96"/>
        <w:rPr>
          <w:color w:val="auto"/>
          <w:highlight w:val="none"/>
        </w:rPr>
      </w:pPr>
    </w:p>
    <w:p w14:paraId="6548C850">
      <w:pPr>
        <w:pStyle w:val="96"/>
        <w:rPr>
          <w:color w:val="auto"/>
          <w:highlight w:val="none"/>
        </w:rPr>
      </w:pPr>
    </w:p>
    <w:p w14:paraId="4D3A3F20">
      <w:pPr>
        <w:pStyle w:val="96"/>
        <w:rPr>
          <w:color w:val="auto"/>
          <w:highlight w:val="none"/>
        </w:rPr>
      </w:pPr>
    </w:p>
    <w:p w14:paraId="7CF0177B">
      <w:pPr>
        <w:pStyle w:val="96"/>
        <w:rPr>
          <w:color w:val="auto"/>
          <w:highlight w:val="none"/>
        </w:rPr>
      </w:pPr>
    </w:p>
    <w:p w14:paraId="6193DBC1">
      <w:pPr>
        <w:pStyle w:val="96"/>
        <w:rPr>
          <w:color w:val="auto"/>
          <w:highlight w:val="none"/>
        </w:rPr>
      </w:pPr>
    </w:p>
    <w:p w14:paraId="02BA0F74">
      <w:pPr>
        <w:pStyle w:val="96"/>
        <w:rPr>
          <w:color w:val="auto"/>
          <w:highlight w:val="none"/>
        </w:rPr>
      </w:pPr>
    </w:p>
    <w:p w14:paraId="2BAA6B99">
      <w:pPr>
        <w:pStyle w:val="96"/>
        <w:rPr>
          <w:color w:val="auto"/>
          <w:highlight w:val="none"/>
        </w:rPr>
      </w:pPr>
    </w:p>
    <w:p w14:paraId="163E7F09">
      <w:pPr>
        <w:pStyle w:val="96"/>
        <w:rPr>
          <w:color w:val="auto"/>
          <w:highlight w:val="none"/>
        </w:rPr>
      </w:pPr>
    </w:p>
    <w:p w14:paraId="67C09625">
      <w:pPr>
        <w:pStyle w:val="159"/>
        <w:ind w:right="42" w:rightChars="20"/>
        <w:rPr>
          <w:rFonts w:asciiTheme="minorEastAsia" w:hAnsiTheme="minorEastAsia" w:eastAsiaTheme="minorEastAsia"/>
          <w:color w:val="auto"/>
          <w:highlight w:val="none"/>
        </w:rPr>
      </w:pPr>
      <w:r>
        <w:rPr>
          <w:rStyle w:val="65"/>
          <w:rFonts w:hint="eastAsia" w:cs="微软雅黑" w:asciiTheme="minorEastAsia" w:hAnsiTheme="minorEastAsia" w:eastAsiaTheme="minorEastAsia"/>
          <w:b w:val="0"/>
          <w:color w:val="auto"/>
          <w:highlight w:val="none"/>
        </w:rPr>
        <w:t>第五章  政府采购合同</w:t>
      </w:r>
      <w:bookmarkEnd w:id="287"/>
      <w:bookmarkEnd w:id="288"/>
      <w:bookmarkEnd w:id="289"/>
      <w:bookmarkEnd w:id="290"/>
    </w:p>
    <w:p w14:paraId="7E6EB408">
      <w:pPr>
        <w:pStyle w:val="39"/>
        <w:spacing w:before="0" w:after="0" w:line="360" w:lineRule="auto"/>
        <w:ind w:right="42" w:rightChars="20" w:firstLine="422" w:firstLineChars="200"/>
        <w:outlineLvl w:val="0"/>
        <w:rPr>
          <w:rFonts w:asciiTheme="minorEastAsia" w:hAnsiTheme="minorEastAsia" w:eastAsiaTheme="minorEastAsia"/>
          <w:color w:val="auto"/>
          <w:sz w:val="21"/>
          <w:szCs w:val="21"/>
          <w:highlight w:val="none"/>
        </w:rPr>
      </w:pPr>
      <w:bookmarkStart w:id="316" w:name="_Toc24052"/>
      <w:bookmarkStart w:id="317" w:name="_Toc427915780"/>
      <w:bookmarkStart w:id="318" w:name="_Toc493511827"/>
      <w:bookmarkStart w:id="319" w:name="_Toc417992897"/>
      <w:bookmarkStart w:id="320" w:name="_Toc416422801"/>
      <w:bookmarkStart w:id="321" w:name="_Toc50012906"/>
      <w:bookmarkStart w:id="322" w:name="_Toc416422466"/>
      <w:r>
        <w:rPr>
          <w:rFonts w:hint="eastAsia" w:asciiTheme="minorEastAsia" w:hAnsiTheme="minorEastAsia" w:eastAsiaTheme="minorEastAsia"/>
          <w:color w:val="auto"/>
          <w:sz w:val="21"/>
          <w:szCs w:val="21"/>
          <w:highlight w:val="none"/>
        </w:rPr>
        <w:t>政府采购合同</w:t>
      </w:r>
      <w:bookmarkEnd w:id="316"/>
      <w:bookmarkEnd w:id="317"/>
      <w:bookmarkEnd w:id="318"/>
      <w:bookmarkEnd w:id="319"/>
      <w:bookmarkEnd w:id="320"/>
      <w:bookmarkEnd w:id="321"/>
      <w:bookmarkEnd w:id="322"/>
    </w:p>
    <w:p w14:paraId="6560C0E4">
      <w:pPr>
        <w:spacing w:line="360" w:lineRule="auto"/>
        <w:ind w:right="42" w:rightChars="20" w:firstLine="422" w:firstLineChars="20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一、通用必备条款部份</w:t>
      </w:r>
    </w:p>
    <w:p w14:paraId="692D3CD9">
      <w:pPr>
        <w:pStyle w:val="29"/>
        <w:snapToGrid w:val="0"/>
        <w:spacing w:line="360" w:lineRule="auto"/>
        <w:ind w:right="42" w:rightChars="20" w:firstLine="422"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
          <w:color w:val="auto"/>
          <w:szCs w:val="21"/>
          <w:highlight w:val="none"/>
        </w:rPr>
        <w:t>合同</w:t>
      </w:r>
      <w:r>
        <w:rPr>
          <w:rFonts w:asciiTheme="minorEastAsia" w:hAnsiTheme="minorEastAsia" w:eastAsiaTheme="minorEastAsia"/>
          <w:b/>
          <w:color w:val="auto"/>
          <w:szCs w:val="21"/>
          <w:highlight w:val="none"/>
        </w:rPr>
        <w:t>编号：</w:t>
      </w:r>
    </w:p>
    <w:p w14:paraId="1F32886A">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政府采购计划（预算）确认号：  </w:t>
      </w:r>
    </w:p>
    <w:p w14:paraId="760DAE2E">
      <w:pPr>
        <w:pStyle w:val="29"/>
        <w:snapToGrid w:val="0"/>
        <w:spacing w:line="360" w:lineRule="auto"/>
        <w:ind w:right="42" w:rightChars="20"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预算金额</w:t>
      </w:r>
      <w:r>
        <w:rPr>
          <w:rFonts w:hint="eastAsia" w:asciiTheme="minorEastAsia" w:hAnsiTheme="minorEastAsia" w:eastAsiaTheme="minorEastAsia"/>
          <w:color w:val="auto"/>
          <w:szCs w:val="21"/>
          <w:highlight w:val="none"/>
        </w:rPr>
        <w:t xml:space="preserve">： </w:t>
      </w:r>
    </w:p>
    <w:p w14:paraId="7DD77B4E">
      <w:pPr>
        <w:snapToGrid w:val="0"/>
        <w:spacing w:line="360" w:lineRule="auto"/>
        <w:ind w:right="42" w:rightChars="20"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采购人（以下称甲方）：</w:t>
      </w:r>
    </w:p>
    <w:p w14:paraId="3D095F0D">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投标人（以下称乙方）：</w:t>
      </w:r>
    </w:p>
    <w:p w14:paraId="091FC4E5">
      <w:pPr>
        <w:pStyle w:val="29"/>
        <w:snapToGrid w:val="0"/>
        <w:spacing w:line="360" w:lineRule="auto"/>
        <w:ind w:right="42" w:rightChars="20"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采购代理机构：</w:t>
      </w:r>
    </w:p>
    <w:p w14:paraId="5B208BCD">
      <w:pPr>
        <w:pStyle w:val="29"/>
        <w:snapToGrid w:val="0"/>
        <w:spacing w:line="360" w:lineRule="auto"/>
        <w:ind w:right="42" w:rightChars="20"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采购方式：</w:t>
      </w:r>
      <w:r>
        <w:rPr>
          <w:rFonts w:hint="eastAsia" w:asciiTheme="minorEastAsia" w:hAnsiTheme="minorEastAsia" w:eastAsiaTheme="minorEastAsia"/>
          <w:color w:val="auto"/>
          <w:szCs w:val="21"/>
          <w:highlight w:val="none"/>
        </w:rPr>
        <w:t>公开招标</w:t>
      </w:r>
    </w:p>
    <w:p w14:paraId="2229C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根据《中华人民共和国政府采购法》、《中华人民共和国民法典》等法律法规的规定，甲、乙双方按照</w:t>
      </w:r>
      <w:r>
        <w:rPr>
          <w:rFonts w:hint="eastAsia" w:cs="Tahoma" w:asciiTheme="minorEastAsia" w:hAnsiTheme="minorEastAsia" w:eastAsiaTheme="minorEastAsia"/>
          <w:bCs/>
          <w:color w:val="auto"/>
          <w:kern w:val="36"/>
          <w:szCs w:val="21"/>
          <w:highlight w:val="none"/>
        </w:rPr>
        <w:t>项目</w:t>
      </w:r>
      <w:r>
        <w:rPr>
          <w:rFonts w:hint="eastAsia" w:asciiTheme="minorEastAsia" w:hAnsiTheme="minorEastAsia" w:eastAsiaTheme="minorEastAsia"/>
          <w:color w:val="auto"/>
          <w:szCs w:val="21"/>
          <w:highlight w:val="none"/>
        </w:rPr>
        <w:t>采购结果签订本合同。</w:t>
      </w:r>
    </w:p>
    <w:p w14:paraId="365D9BEC">
      <w:pPr>
        <w:shd w:val="clear" w:color="auto" w:fill="FFFFFF"/>
        <w:tabs>
          <w:tab w:val="left" w:pos="916"/>
          <w:tab w:val="left" w:pos="1832"/>
          <w:tab w:val="left" w:pos="2748"/>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第一条 合同组成</w:t>
      </w:r>
      <w:r>
        <w:rPr>
          <w:rFonts w:asciiTheme="minorEastAsia" w:hAnsiTheme="minorEastAsia" w:eastAsiaTheme="minorEastAsia"/>
          <w:b/>
          <w:color w:val="auto"/>
          <w:szCs w:val="21"/>
          <w:highlight w:val="none"/>
        </w:rPr>
        <w:tab/>
      </w:r>
    </w:p>
    <w:p w14:paraId="5F87C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本次政府采购活动的相关文件为本合同的组成部分，这些文件包括但不限于：</w:t>
      </w:r>
    </w:p>
    <w:p w14:paraId="13AC6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1、本合同文本；</w:t>
      </w:r>
    </w:p>
    <w:p w14:paraId="5E4726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2、采购文件与采购投标文件；</w:t>
      </w:r>
    </w:p>
    <w:p w14:paraId="478AF3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3、中标或成交通知书；</w:t>
      </w:r>
    </w:p>
    <w:p w14:paraId="4388B7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组成本合同的所有文件必须为书面形式。政府采购合同备案时，须提供以上1、3两项，如由社会中介机构代理，须提供代理协议，合同如有变更的，须提供变更协议。</w:t>
      </w:r>
    </w:p>
    <w:p w14:paraId="3F380B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第二条 合同标的与相关属性</w:t>
      </w:r>
    </w:p>
    <w:p w14:paraId="39E238DC">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1、本次采购的是</w:t>
      </w:r>
      <w:r>
        <w:rPr>
          <w:rFonts w:hint="eastAsia" w:asciiTheme="minorEastAsia" w:hAnsiTheme="minorEastAsia" w:eastAsiaTheme="minorEastAsia"/>
          <w:color w:val="auto"/>
          <w:szCs w:val="21"/>
          <w:highlight w:val="none"/>
          <w:u w:val="single"/>
        </w:rPr>
        <w:t xml:space="preserve">                    </w:t>
      </w:r>
      <w:r>
        <w:rPr>
          <w:rFonts w:hint="eastAsia" w:cs="Tahoma" w:asciiTheme="minorEastAsia" w:hAnsiTheme="minorEastAsia" w:eastAsiaTheme="minorEastAsia"/>
          <w:bCs/>
          <w:color w:val="auto"/>
          <w:kern w:val="36"/>
          <w:szCs w:val="21"/>
          <w:highlight w:val="none"/>
        </w:rPr>
        <w:t>项目</w:t>
      </w:r>
    </w:p>
    <w:p w14:paraId="5827DA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2、乙方是否属于中小微企业：□是□否</w:t>
      </w:r>
    </w:p>
    <w:p w14:paraId="1ACD19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3、本合同项下产品属于（可多选）：□环保产品；□节能产品；□进口产品</w:t>
      </w:r>
    </w:p>
    <w:p w14:paraId="7B67B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第三条 合同价款</w:t>
      </w:r>
    </w:p>
    <w:p w14:paraId="69CA59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1、本合同项下总价款为（大写）</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人民币，分项价款见“价格清单”（如有）”。</w:t>
      </w:r>
    </w:p>
    <w:p w14:paraId="14FB69F8">
      <w:pPr>
        <w:widowControl/>
        <w:spacing w:line="460" w:lineRule="exact"/>
        <w:ind w:right="42" w:rightChars="20" w:firstLine="48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2、本合同总价款含所有 (</w:t>
      </w:r>
      <w:r>
        <w:rPr>
          <w:rFonts w:hint="eastAsia" w:asciiTheme="minorEastAsia" w:hAnsiTheme="minorEastAsia" w:eastAsiaTheme="minorEastAsia"/>
          <w:b/>
          <w:color w:val="auto"/>
          <w:szCs w:val="21"/>
          <w:highlight w:val="none"/>
        </w:rPr>
        <w:t>必须包括提供项目服务所需的一切人员费用（人员工资、奖金、各种加班费、各种社会保险（基本养老保险、基本医疗保险、工伤保险、失业保险、公积金等）、专家评审费、考察费、调研费、食宿与交通、高温补偿费）、会务费用、管理费用（意外保险、车辆、培训、税费、利润等完成合同所需的一切本身和不可或缺的所有工作开支、政策性文件规定及合同包含的所有风险、责任等各项全部费用并承担一切风险责任。</w:t>
      </w:r>
      <w:r>
        <w:rPr>
          <w:rFonts w:hint="eastAsia" w:asciiTheme="minorEastAsia" w:hAnsiTheme="minorEastAsia" w:eastAsiaTheme="minorEastAsia"/>
          <w:color w:val="auto"/>
          <w:szCs w:val="21"/>
          <w:highlight w:val="none"/>
        </w:rPr>
        <w:t>)</w:t>
      </w:r>
    </w:p>
    <w:p w14:paraId="6E08D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3、本合同付款方式为以下第</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项：</w:t>
      </w:r>
    </w:p>
    <w:p w14:paraId="2C287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（1）本合同项下的采购资金系甲方自行支付，付款程序为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5EB770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（2）本合同项下的采购资金须财政直接支付，付款程序为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4B546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（3）其他方式：</w:t>
      </w:r>
      <w:r>
        <w:rPr>
          <w:rFonts w:hint="eastAsia" w:asciiTheme="minorEastAsia" w:hAnsiTheme="minorEastAsia" w:eastAsiaTheme="minorEastAsia"/>
          <w:color w:val="auto"/>
          <w:szCs w:val="21"/>
          <w:highlight w:val="none"/>
          <w:u w:val="single"/>
        </w:rPr>
        <w:t xml:space="preserve">                    </w:t>
      </w:r>
    </w:p>
    <w:p w14:paraId="4A8B01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4、本合同项下的采购资金付款进度按招投标文件规定，未规定时按以下第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项支付：</w:t>
      </w:r>
    </w:p>
    <w:p w14:paraId="25E9D5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（1）一次性付款：乙方合同履行达到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（条件）时，一次性付款；</w:t>
      </w:r>
    </w:p>
    <w:p w14:paraId="0532D2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（2）分期付款</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时支付</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时支付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时支付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w:t>
      </w:r>
    </w:p>
    <w:p w14:paraId="199E53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若收取了履约保证金，则不应重复设置尾款支付条件。</w:t>
      </w:r>
    </w:p>
    <w:p w14:paraId="0278D5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第四条 履约保证金</w:t>
      </w:r>
    </w:p>
    <w:p w14:paraId="728FC6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按以下第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项处理：</w:t>
      </w:r>
    </w:p>
    <w:p w14:paraId="152DD7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1、本项目设置履约保证金，乙方应于</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（时间）向甲方提交履约保证金</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元（不得高于本合同金额的1%）。履约保证金在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（时间）退还乙方。</w:t>
      </w:r>
    </w:p>
    <w:p w14:paraId="1EC8F3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2、本项目不设置履约保证金</w:t>
      </w:r>
    </w:p>
    <w:p w14:paraId="4CFBF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第五条 合同的变更和终止</w:t>
      </w:r>
    </w:p>
    <w:p w14:paraId="7691C9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除《政府采购法》第49条、第50条第二款规定的情形外，本合同一经签订，甲乙双方不得擅自终止合同或对合同实质性条款进行变更。确有特殊情况的，须经同级财政部门备案同意。</w:t>
      </w:r>
    </w:p>
    <w:p w14:paraId="4DFC02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第六条 合同的转让与分包</w:t>
      </w:r>
    </w:p>
    <w:p w14:paraId="24AEB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乙方不得擅自部分或全部转让其应履行的合同义务。乙方分包的，应经过甲方书面同意。</w:t>
      </w:r>
    </w:p>
    <w:p w14:paraId="261BA5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第七条 争议的解决</w:t>
      </w:r>
    </w:p>
    <w:p w14:paraId="468B3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1、因履行本合同引起的或与本合同有关的争议，甲、乙双方应首先通过友好协商解决，如果协商不能解决争议，则采取以下第</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种方式解决争议：</w:t>
      </w:r>
    </w:p>
    <w:p w14:paraId="1FAD83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（1）向甲方所在地有管辖权的人民法院提起诉讼；</w:t>
      </w:r>
    </w:p>
    <w:p w14:paraId="76B9BE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（2）向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仲裁委员申请仲裁。</w:t>
      </w:r>
    </w:p>
    <w:p w14:paraId="0496E6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第八条 合同备案及其他</w:t>
      </w:r>
    </w:p>
    <w:p w14:paraId="60357E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本合同一式五份，甲乙双方各执二份，一份送招标代理机构存档。</w:t>
      </w:r>
    </w:p>
    <w:p w14:paraId="5CC7C2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二、特殊专用条款部份</w:t>
      </w:r>
    </w:p>
    <w:p w14:paraId="7EEB4972">
      <w:pPr>
        <w:numPr>
          <w:ilvl w:val="0"/>
          <w:numId w:val="6"/>
        </w:numPr>
        <w:autoSpaceDE w:val="0"/>
        <w:autoSpaceDN w:val="0"/>
        <w:adjustRightInd w:val="0"/>
        <w:spacing w:line="360" w:lineRule="auto"/>
        <w:ind w:left="0" w:right="42" w:rightChars="20" w:firstLine="422" w:firstLineChars="200"/>
        <w:jc w:val="left"/>
        <w:rPr>
          <w:rFonts w:asciiTheme="minorEastAsia" w:hAnsiTheme="minorEastAsia" w:eastAsiaTheme="minorEastAsia"/>
          <w:b/>
          <w:color w:val="auto"/>
          <w:kern w:val="36"/>
          <w:szCs w:val="21"/>
          <w:highlight w:val="none"/>
        </w:rPr>
      </w:pPr>
      <w:r>
        <w:rPr>
          <w:rFonts w:hint="eastAsia" w:asciiTheme="minorEastAsia" w:hAnsiTheme="minorEastAsia" w:eastAsiaTheme="minorEastAsia"/>
          <w:b/>
          <w:color w:val="auto"/>
          <w:kern w:val="36"/>
          <w:szCs w:val="21"/>
          <w:highlight w:val="none"/>
        </w:rPr>
        <w:t>服务内容</w:t>
      </w:r>
    </w:p>
    <w:p w14:paraId="4A3EF653">
      <w:pPr>
        <w:autoSpaceDE w:val="0"/>
        <w:autoSpaceDN w:val="0"/>
        <w:adjustRightInd w:val="0"/>
        <w:spacing w:line="360" w:lineRule="auto"/>
        <w:ind w:right="42" w:rightChars="20" w:firstLine="422" w:firstLineChars="200"/>
        <w:jc w:val="left"/>
        <w:rPr>
          <w:rFonts w:asciiTheme="minorEastAsia" w:hAnsiTheme="minorEastAsia" w:eastAsiaTheme="minorEastAsia"/>
          <w:b/>
          <w:color w:val="auto"/>
          <w:kern w:val="36"/>
          <w:szCs w:val="21"/>
          <w:highlight w:val="none"/>
        </w:rPr>
      </w:pPr>
      <w:r>
        <w:rPr>
          <w:rFonts w:asciiTheme="minorEastAsia" w:hAnsiTheme="minorEastAsia" w:eastAsiaTheme="minorEastAsia"/>
          <w:b/>
          <w:color w:val="auto"/>
          <w:kern w:val="36"/>
          <w:szCs w:val="21"/>
          <w:highlight w:val="none"/>
        </w:rPr>
        <w:t>……</w:t>
      </w:r>
    </w:p>
    <w:p w14:paraId="7D09015E">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第二条 </w:t>
      </w:r>
      <w:r>
        <w:rPr>
          <w:rFonts w:asciiTheme="minorEastAsia" w:hAnsiTheme="minorEastAsia" w:eastAsiaTheme="minorEastAsia"/>
          <w:b/>
          <w:color w:val="auto"/>
          <w:szCs w:val="21"/>
          <w:highlight w:val="none"/>
        </w:rPr>
        <w:t>合同履行时间、履行方式及履行地点</w:t>
      </w:r>
    </w:p>
    <w:p w14:paraId="72F957EB">
      <w:pPr>
        <w:pStyle w:val="29"/>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1</w:t>
      </w:r>
      <w:r>
        <w:rPr>
          <w:rFonts w:hint="eastAsia" w:asciiTheme="minorEastAsia" w:hAnsiTheme="minorEastAsia" w:eastAsiaTheme="minorEastAsia"/>
          <w:bCs/>
          <w:color w:val="auto"/>
          <w:szCs w:val="21"/>
          <w:highlight w:val="none"/>
        </w:rPr>
        <w:t>、</w:t>
      </w:r>
      <w:r>
        <w:rPr>
          <w:rFonts w:asciiTheme="minorEastAsia" w:hAnsiTheme="minorEastAsia" w:eastAsiaTheme="minorEastAsia"/>
          <w:color w:val="auto"/>
          <w:szCs w:val="21"/>
          <w:highlight w:val="none"/>
        </w:rPr>
        <w:t>履行时间</w:t>
      </w:r>
      <w:r>
        <w:rPr>
          <w:rFonts w:asciiTheme="minorEastAsia" w:hAnsiTheme="minorEastAsia" w:eastAsiaTheme="minorEastAsia"/>
          <w:bCs/>
          <w:color w:val="auto"/>
          <w:szCs w:val="21"/>
          <w:highlight w:val="none"/>
        </w:rPr>
        <w:t>：</w:t>
      </w:r>
    </w:p>
    <w:p w14:paraId="6743E859">
      <w:pPr>
        <w:pStyle w:val="29"/>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2</w:t>
      </w:r>
      <w:r>
        <w:rPr>
          <w:rFonts w:hint="eastAsia" w:asciiTheme="minorEastAsia" w:hAnsiTheme="minorEastAsia" w:eastAsiaTheme="minorEastAsia"/>
          <w:bCs/>
          <w:color w:val="auto"/>
          <w:szCs w:val="21"/>
          <w:highlight w:val="none"/>
        </w:rPr>
        <w:t>、</w:t>
      </w:r>
      <w:r>
        <w:rPr>
          <w:rFonts w:asciiTheme="minorEastAsia" w:hAnsiTheme="minorEastAsia" w:eastAsiaTheme="minorEastAsia"/>
          <w:color w:val="auto"/>
          <w:szCs w:val="21"/>
          <w:highlight w:val="none"/>
        </w:rPr>
        <w:t>履行方式</w:t>
      </w:r>
      <w:r>
        <w:rPr>
          <w:rFonts w:asciiTheme="minorEastAsia" w:hAnsiTheme="minorEastAsia" w:eastAsiaTheme="minorEastAsia"/>
          <w:bCs/>
          <w:color w:val="auto"/>
          <w:szCs w:val="21"/>
          <w:highlight w:val="none"/>
        </w:rPr>
        <w:t>：</w:t>
      </w:r>
    </w:p>
    <w:p w14:paraId="4FF4F122">
      <w:pPr>
        <w:pStyle w:val="29"/>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3</w:t>
      </w:r>
      <w:r>
        <w:rPr>
          <w:rFonts w:hint="eastAsia" w:asciiTheme="minorEastAsia" w:hAnsiTheme="minorEastAsia" w:eastAsiaTheme="minorEastAsia"/>
          <w:bCs/>
          <w:color w:val="auto"/>
          <w:szCs w:val="21"/>
          <w:highlight w:val="none"/>
        </w:rPr>
        <w:t>、</w:t>
      </w:r>
      <w:r>
        <w:rPr>
          <w:rFonts w:asciiTheme="minorEastAsia" w:hAnsiTheme="minorEastAsia" w:eastAsiaTheme="minorEastAsia"/>
          <w:color w:val="auto"/>
          <w:szCs w:val="21"/>
          <w:highlight w:val="none"/>
        </w:rPr>
        <w:t>履行地点</w:t>
      </w:r>
      <w:r>
        <w:rPr>
          <w:rFonts w:asciiTheme="minorEastAsia" w:hAnsiTheme="minorEastAsia" w:eastAsiaTheme="minorEastAsia"/>
          <w:bCs/>
          <w:color w:val="auto"/>
          <w:szCs w:val="21"/>
          <w:highlight w:val="none"/>
        </w:rPr>
        <w:t>：</w:t>
      </w:r>
    </w:p>
    <w:p w14:paraId="2C04904F">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w:t>
      </w:r>
      <w:r>
        <w:rPr>
          <w:rFonts w:asciiTheme="minorEastAsia" w:hAnsiTheme="minorEastAsia" w:eastAsiaTheme="minorEastAsia"/>
          <w:b/>
          <w:color w:val="auto"/>
          <w:szCs w:val="21"/>
          <w:highlight w:val="none"/>
        </w:rPr>
        <w:t>三</w:t>
      </w:r>
      <w:r>
        <w:rPr>
          <w:rFonts w:hint="eastAsia" w:asciiTheme="minorEastAsia" w:hAnsiTheme="minorEastAsia" w:eastAsiaTheme="minorEastAsia"/>
          <w:b/>
          <w:color w:val="auto"/>
          <w:szCs w:val="21"/>
          <w:highlight w:val="none"/>
        </w:rPr>
        <w:t xml:space="preserve">条 </w:t>
      </w:r>
      <w:r>
        <w:rPr>
          <w:rFonts w:asciiTheme="minorEastAsia" w:hAnsiTheme="minorEastAsia" w:eastAsiaTheme="minorEastAsia"/>
          <w:b/>
          <w:color w:val="auto"/>
          <w:szCs w:val="21"/>
          <w:highlight w:val="none"/>
        </w:rPr>
        <w:t>技术资料</w:t>
      </w:r>
    </w:p>
    <w:p w14:paraId="19771A53">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乙方应按招标文件规定的时间向甲方提供有关技术资料。</w:t>
      </w:r>
    </w:p>
    <w:p w14:paraId="61182EC8">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A2083EB">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w:t>
      </w:r>
      <w:r>
        <w:rPr>
          <w:rFonts w:asciiTheme="minorEastAsia" w:hAnsiTheme="minorEastAsia" w:eastAsiaTheme="minorEastAsia"/>
          <w:b/>
          <w:color w:val="auto"/>
          <w:szCs w:val="21"/>
          <w:highlight w:val="none"/>
        </w:rPr>
        <w:t>四</w:t>
      </w:r>
      <w:r>
        <w:rPr>
          <w:rFonts w:hint="eastAsia" w:asciiTheme="minorEastAsia" w:hAnsiTheme="minorEastAsia" w:eastAsiaTheme="minorEastAsia"/>
          <w:b/>
          <w:color w:val="auto"/>
          <w:szCs w:val="21"/>
          <w:highlight w:val="none"/>
        </w:rPr>
        <w:t xml:space="preserve">条 </w:t>
      </w:r>
      <w:r>
        <w:rPr>
          <w:rFonts w:asciiTheme="minorEastAsia" w:hAnsiTheme="minorEastAsia" w:eastAsiaTheme="minorEastAsia"/>
          <w:b/>
          <w:color w:val="auto"/>
          <w:szCs w:val="21"/>
          <w:highlight w:val="none"/>
        </w:rPr>
        <w:t>知识产权</w:t>
      </w:r>
    </w:p>
    <w:p w14:paraId="324CC489">
      <w:pPr>
        <w:pStyle w:val="29"/>
        <w:snapToGrid w:val="0"/>
        <w:spacing w:line="360" w:lineRule="auto"/>
        <w:ind w:right="42" w:rightChars="20" w:firstLine="420" w:firstLineChars="200"/>
        <w:jc w:val="left"/>
        <w:rPr>
          <w:rFonts w:asciiTheme="minorEastAsia" w:hAnsiTheme="minorEastAsia" w:eastAsiaTheme="minorEastAsia"/>
          <w:b/>
          <w:bCs/>
          <w:color w:val="auto"/>
          <w:szCs w:val="21"/>
          <w:highlight w:val="none"/>
        </w:rPr>
      </w:pPr>
      <w:r>
        <w:rPr>
          <w:rFonts w:asciiTheme="minorEastAsia" w:hAnsiTheme="minorEastAsia" w:eastAsiaTheme="minorEastAsia"/>
          <w:color w:val="auto"/>
          <w:szCs w:val="21"/>
          <w:highlight w:val="none"/>
        </w:rPr>
        <w:t>乙方应保证提供服务过程中不会侵犯任何第三方的</w:t>
      </w:r>
      <w:r>
        <w:rPr>
          <w:rFonts w:asciiTheme="minorEastAsia" w:hAnsiTheme="minorEastAsia" w:eastAsiaTheme="minorEastAsia"/>
          <w:b/>
          <w:color w:val="auto"/>
          <w:szCs w:val="21"/>
          <w:highlight w:val="none"/>
        </w:rPr>
        <w:t>知识产权</w:t>
      </w:r>
      <w:r>
        <w:rPr>
          <w:rFonts w:asciiTheme="minorEastAsia" w:hAnsiTheme="minorEastAsia" w:eastAsiaTheme="minorEastAsia"/>
          <w:b/>
          <w:bCs/>
          <w:color w:val="auto"/>
          <w:szCs w:val="21"/>
          <w:highlight w:val="none"/>
        </w:rPr>
        <w:t>。</w:t>
      </w:r>
    </w:p>
    <w:p w14:paraId="6433BF10">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第五条 </w:t>
      </w:r>
      <w:r>
        <w:rPr>
          <w:rFonts w:asciiTheme="minorEastAsia" w:hAnsiTheme="minorEastAsia" w:eastAsiaTheme="minorEastAsia"/>
          <w:b/>
          <w:color w:val="auto"/>
          <w:szCs w:val="21"/>
          <w:highlight w:val="none"/>
        </w:rPr>
        <w:t>履约保证金</w:t>
      </w:r>
    </w:p>
    <w:p w14:paraId="528B0411">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乙方交纳人民币</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元作为本合同的履约保证金。</w:t>
      </w:r>
    </w:p>
    <w:p w14:paraId="2F1C8241">
      <w:pPr>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第六条 税费</w:t>
      </w:r>
    </w:p>
    <w:p w14:paraId="4EC7D369">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本合同执行中相关的一切税费均由</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方负担。</w:t>
      </w:r>
    </w:p>
    <w:p w14:paraId="6141584D">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第七条 </w:t>
      </w:r>
      <w:r>
        <w:rPr>
          <w:rFonts w:asciiTheme="minorEastAsia" w:hAnsiTheme="minorEastAsia" w:eastAsiaTheme="minorEastAsia"/>
          <w:b/>
          <w:color w:val="auto"/>
          <w:szCs w:val="21"/>
          <w:highlight w:val="none"/>
        </w:rPr>
        <w:t>违约责任</w:t>
      </w:r>
    </w:p>
    <w:p w14:paraId="4B2B0483">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甲方无正当理由拒收接受服务的，甲方向乙方偿付合同款项百分之五作为违约金。</w:t>
      </w:r>
    </w:p>
    <w:p w14:paraId="2F15E648">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甲方无故逾期验收和办理款项支付手续的,甲方应按逾期付款总额每日万分之五向乙方支付违约金。</w:t>
      </w:r>
    </w:p>
    <w:p w14:paraId="09315380">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w:t>
      </w:r>
      <w:r>
        <w:rPr>
          <w:rFonts w:hint="eastAsia" w:asciiTheme="minorEastAsia" w:hAnsiTheme="minorEastAsia" w:eastAsiaTheme="minorEastAsia"/>
          <w:color w:val="auto"/>
          <w:szCs w:val="21"/>
          <w:highlight w:val="none"/>
        </w:rPr>
        <w:t>未能如</w:t>
      </w:r>
      <w:r>
        <w:rPr>
          <w:rFonts w:asciiTheme="minorEastAsia" w:hAnsiTheme="minorEastAsia" w:eastAsiaTheme="minorEastAsia"/>
          <w:color w:val="auto"/>
          <w:szCs w:val="21"/>
          <w:highlight w:val="none"/>
        </w:rPr>
        <w:t>期提供服务的，每日向甲方支付</w:t>
      </w:r>
      <w:r>
        <w:rPr>
          <w:rFonts w:hint="eastAsia" w:asciiTheme="minorEastAsia" w:hAnsiTheme="minorEastAsia" w:eastAsiaTheme="minorEastAsia"/>
          <w:color w:val="auto"/>
          <w:szCs w:val="21"/>
          <w:highlight w:val="none"/>
        </w:rPr>
        <w:t>合同款项的</w:t>
      </w:r>
      <w:r>
        <w:rPr>
          <w:rFonts w:asciiTheme="minorEastAsia" w:hAnsiTheme="minorEastAsia" w:eastAsiaTheme="minorEastAsia"/>
          <w:color w:val="auto"/>
          <w:szCs w:val="21"/>
          <w:highlight w:val="none"/>
        </w:rPr>
        <w:t>千分之六</w:t>
      </w:r>
      <w:r>
        <w:rPr>
          <w:rFonts w:hint="eastAsia" w:asciiTheme="minorEastAsia" w:hAnsiTheme="minorEastAsia" w:eastAsiaTheme="minorEastAsia"/>
          <w:color w:val="auto"/>
          <w:szCs w:val="21"/>
          <w:highlight w:val="none"/>
        </w:rPr>
        <w:t>作为</w:t>
      </w:r>
      <w:r>
        <w:rPr>
          <w:rFonts w:asciiTheme="minorEastAsia" w:hAnsiTheme="minorEastAsia" w:eastAsiaTheme="minorEastAsia"/>
          <w:color w:val="auto"/>
          <w:szCs w:val="21"/>
          <w:highlight w:val="none"/>
        </w:rPr>
        <w:t>违约金。乙方超过约定日期10个工作日</w:t>
      </w:r>
      <w:r>
        <w:rPr>
          <w:rFonts w:hint="eastAsia" w:asciiTheme="minorEastAsia" w:hAnsiTheme="minorEastAsia" w:eastAsiaTheme="minorEastAsia"/>
          <w:color w:val="auto"/>
          <w:szCs w:val="21"/>
          <w:highlight w:val="none"/>
        </w:rPr>
        <w:t>仍</w:t>
      </w:r>
      <w:r>
        <w:rPr>
          <w:rFonts w:asciiTheme="minorEastAsia" w:hAnsiTheme="minorEastAsia" w:eastAsiaTheme="minorEastAsia"/>
          <w:color w:val="auto"/>
          <w:szCs w:val="21"/>
          <w:highlight w:val="none"/>
        </w:rPr>
        <w:t>不能</w:t>
      </w:r>
      <w:r>
        <w:rPr>
          <w:rFonts w:hint="eastAsia" w:asciiTheme="minorEastAsia" w:hAnsiTheme="minorEastAsia" w:eastAsiaTheme="minorEastAsia"/>
          <w:color w:val="auto"/>
          <w:szCs w:val="21"/>
          <w:highlight w:val="none"/>
        </w:rPr>
        <w:t>提供服务</w:t>
      </w:r>
      <w:r>
        <w:rPr>
          <w:rFonts w:asciiTheme="minorEastAsia" w:hAnsiTheme="minorEastAsia" w:eastAsiaTheme="minorEastAsia"/>
          <w:color w:val="auto"/>
          <w:szCs w:val="21"/>
          <w:highlight w:val="none"/>
        </w:rPr>
        <w:t>的，甲方可解除本合同。乙方因</w:t>
      </w:r>
      <w:r>
        <w:rPr>
          <w:rFonts w:hint="eastAsia" w:asciiTheme="minorEastAsia" w:hAnsiTheme="minorEastAsia" w:eastAsiaTheme="minorEastAsia"/>
          <w:color w:val="auto"/>
          <w:szCs w:val="21"/>
          <w:highlight w:val="none"/>
        </w:rPr>
        <w:t>未能如</w:t>
      </w:r>
      <w:r>
        <w:rPr>
          <w:rFonts w:asciiTheme="minorEastAsia" w:hAnsiTheme="minorEastAsia" w:eastAsiaTheme="minorEastAsia"/>
          <w:color w:val="auto"/>
          <w:szCs w:val="21"/>
          <w:highlight w:val="none"/>
        </w:rPr>
        <w:t xml:space="preserve">期提供服务或因其他违约行为导致甲方解除合同的，乙方应向甲方支付合同总值5%的违约金，如造成甲方损失超过违约金的，超出部分由乙方继续承担赔偿责任。 </w:t>
      </w:r>
    </w:p>
    <w:p w14:paraId="03A89041">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第八条 </w:t>
      </w:r>
      <w:r>
        <w:rPr>
          <w:rFonts w:asciiTheme="minorEastAsia" w:hAnsiTheme="minorEastAsia" w:eastAsiaTheme="minorEastAsia"/>
          <w:b/>
          <w:color w:val="auto"/>
          <w:szCs w:val="21"/>
          <w:highlight w:val="none"/>
        </w:rPr>
        <w:t>不可抗力事件处理</w:t>
      </w:r>
    </w:p>
    <w:p w14:paraId="173DA0D1">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在合同有效期内，任何一方因不可抗力事件导致不能履行合同，则合同履行期可延长，其延长期与不可抗力影响期相同。</w:t>
      </w:r>
    </w:p>
    <w:p w14:paraId="3D59A64A">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、不</w:t>
      </w:r>
      <w:r>
        <w:rPr>
          <w:rFonts w:asciiTheme="minorEastAsia" w:hAnsiTheme="minorEastAsia" w:eastAsiaTheme="minorEastAsia"/>
          <w:color w:val="auto"/>
          <w:szCs w:val="21"/>
          <w:highlight w:val="none"/>
        </w:rPr>
        <w:t>可抗力事件发生后，应立即通知对方，并寄送有关权威机构出具的证明。</w:t>
      </w:r>
    </w:p>
    <w:p w14:paraId="7380AEBC">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不可抗力事件延续120天以上，双方应通过友好协商，确定是否继续履行合同。</w:t>
      </w:r>
    </w:p>
    <w:p w14:paraId="2416AC42">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第九条 </w:t>
      </w:r>
      <w:r>
        <w:rPr>
          <w:rFonts w:asciiTheme="minorEastAsia" w:hAnsiTheme="minorEastAsia" w:eastAsiaTheme="minorEastAsia"/>
          <w:b/>
          <w:color w:val="auto"/>
          <w:szCs w:val="21"/>
          <w:highlight w:val="none"/>
        </w:rPr>
        <w:t>诉讼</w:t>
      </w:r>
    </w:p>
    <w:p w14:paraId="4090B47A">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双方在执行合同中所发生的一切争议，应通过协商解决。如协商不成，可向</w:t>
      </w:r>
      <w:r>
        <w:rPr>
          <w:rFonts w:hint="eastAsia" w:asciiTheme="minorEastAsia" w:hAnsiTheme="minorEastAsia" w:eastAsiaTheme="minorEastAsia"/>
          <w:color w:val="auto"/>
          <w:szCs w:val="21"/>
          <w:highlight w:val="none"/>
        </w:rPr>
        <w:t>甲方所在</w:t>
      </w:r>
      <w:r>
        <w:rPr>
          <w:rFonts w:asciiTheme="minorEastAsia" w:hAnsiTheme="minorEastAsia" w:eastAsiaTheme="minorEastAsia"/>
          <w:color w:val="auto"/>
          <w:szCs w:val="21"/>
          <w:highlight w:val="none"/>
        </w:rPr>
        <w:t>地法院起诉。</w:t>
      </w:r>
    </w:p>
    <w:p w14:paraId="085A53EE">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第十条 </w:t>
      </w:r>
      <w:r>
        <w:rPr>
          <w:rFonts w:asciiTheme="minorEastAsia" w:hAnsiTheme="minorEastAsia" w:eastAsiaTheme="minorEastAsia"/>
          <w:b/>
          <w:color w:val="auto"/>
          <w:szCs w:val="21"/>
          <w:highlight w:val="none"/>
        </w:rPr>
        <w:t>合同生效及其它</w:t>
      </w:r>
    </w:p>
    <w:p w14:paraId="58776049">
      <w:pPr>
        <w:autoSpaceDE w:val="0"/>
        <w:autoSpaceDN w:val="0"/>
        <w:adjustRightIn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合同经双方法定代表人或授权委托代理人签字并加盖单位公章后生效。</w:t>
      </w:r>
    </w:p>
    <w:p w14:paraId="075F79A3">
      <w:pPr>
        <w:autoSpaceDE w:val="0"/>
        <w:autoSpaceDN w:val="0"/>
        <w:adjustRightIn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本合同未尽事宜，遵照《</w:t>
      </w:r>
      <w:r>
        <w:rPr>
          <w:rFonts w:asciiTheme="minorEastAsia" w:hAnsiTheme="minorEastAsia" w:eastAsiaTheme="minorEastAsia"/>
          <w:color w:val="auto"/>
          <w:kern w:val="0"/>
          <w:szCs w:val="21"/>
          <w:highlight w:val="none"/>
        </w:rPr>
        <w:t>中华人民共和国</w:t>
      </w:r>
      <w:r>
        <w:rPr>
          <w:rFonts w:hint="eastAsia" w:asciiTheme="minorEastAsia" w:hAnsiTheme="minorEastAsia" w:eastAsiaTheme="minorEastAsia"/>
          <w:color w:val="auto"/>
          <w:kern w:val="0"/>
          <w:szCs w:val="21"/>
          <w:highlight w:val="none"/>
        </w:rPr>
        <w:t>民法典</w:t>
      </w:r>
      <w:r>
        <w:rPr>
          <w:rFonts w:asciiTheme="minorEastAsia" w:hAnsiTheme="minorEastAsia" w:eastAsiaTheme="minorEastAsia"/>
          <w:color w:val="auto"/>
          <w:szCs w:val="21"/>
          <w:highlight w:val="none"/>
        </w:rPr>
        <w:t>》有关条文执行。</w:t>
      </w:r>
    </w:p>
    <w:p w14:paraId="55A9687D">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053D41FF">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314FD69C">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甲方：             乙方： </w:t>
      </w:r>
    </w:p>
    <w:p w14:paraId="450CCF1F">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  地址：           地址： </w:t>
      </w:r>
    </w:p>
    <w:p w14:paraId="3374EBCC">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  法定</w:t>
      </w:r>
      <w:r>
        <w:rPr>
          <w:rFonts w:hint="eastAsia" w:asciiTheme="minorEastAsia" w:hAnsiTheme="minorEastAsia" w:eastAsiaTheme="minorEastAsia"/>
          <w:color w:val="auto"/>
          <w:szCs w:val="21"/>
          <w:highlight w:val="none"/>
        </w:rPr>
        <w:t>（授权）</w:t>
      </w:r>
      <w:r>
        <w:rPr>
          <w:rFonts w:asciiTheme="minorEastAsia" w:hAnsiTheme="minorEastAsia" w:eastAsiaTheme="minorEastAsia"/>
          <w:color w:val="auto"/>
          <w:szCs w:val="21"/>
          <w:highlight w:val="none"/>
        </w:rPr>
        <w:t>代表人：               法定</w:t>
      </w:r>
      <w:r>
        <w:rPr>
          <w:rFonts w:hint="eastAsia" w:asciiTheme="minorEastAsia" w:hAnsiTheme="minorEastAsia" w:eastAsiaTheme="minorEastAsia"/>
          <w:color w:val="auto"/>
          <w:szCs w:val="21"/>
          <w:highlight w:val="none"/>
        </w:rPr>
        <w:t>（授权）</w:t>
      </w:r>
      <w:r>
        <w:rPr>
          <w:rFonts w:asciiTheme="minorEastAsia" w:hAnsiTheme="minorEastAsia" w:eastAsiaTheme="minorEastAsia"/>
          <w:color w:val="auto"/>
          <w:szCs w:val="21"/>
          <w:highlight w:val="none"/>
        </w:rPr>
        <w:t>代表人：</w:t>
      </w:r>
    </w:p>
    <w:p w14:paraId="2A488FEF">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联系电话：</w:t>
      </w:r>
    </w:p>
    <w:p w14:paraId="3C29E16C">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开户银行：</w:t>
      </w:r>
    </w:p>
    <w:p w14:paraId="4074556F">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银行账号：</w:t>
      </w:r>
    </w:p>
    <w:p w14:paraId="2FA8DC86">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  签</w:t>
      </w:r>
      <w:r>
        <w:rPr>
          <w:rFonts w:hint="eastAsia" w:asciiTheme="minorEastAsia" w:hAnsiTheme="minorEastAsia" w:eastAsiaTheme="minorEastAsia"/>
          <w:color w:val="auto"/>
          <w:szCs w:val="21"/>
          <w:highlight w:val="none"/>
        </w:rPr>
        <w:t>字日期</w:t>
      </w:r>
      <w:r>
        <w:rPr>
          <w:rFonts w:asciiTheme="minorEastAsia" w:hAnsiTheme="minorEastAsia" w:eastAsiaTheme="minorEastAsia"/>
          <w:color w:val="auto"/>
          <w:szCs w:val="21"/>
          <w:highlight w:val="none"/>
        </w:rPr>
        <w:t>：    年  月  日 签</w:t>
      </w:r>
      <w:r>
        <w:rPr>
          <w:rFonts w:hint="eastAsia" w:asciiTheme="minorEastAsia" w:hAnsiTheme="minorEastAsia" w:eastAsiaTheme="minorEastAsia"/>
          <w:color w:val="auto"/>
          <w:szCs w:val="21"/>
          <w:highlight w:val="none"/>
        </w:rPr>
        <w:t>字</w:t>
      </w:r>
      <w:r>
        <w:rPr>
          <w:rFonts w:asciiTheme="minorEastAsia" w:hAnsiTheme="minorEastAsia" w:eastAsiaTheme="minorEastAsia"/>
          <w:color w:val="auto"/>
          <w:szCs w:val="21"/>
          <w:highlight w:val="none"/>
        </w:rPr>
        <w:t>日期：   年  月  日</w:t>
      </w:r>
    </w:p>
    <w:p w14:paraId="73C38E23">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2EFCB687">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鉴证单位：</w:t>
      </w:r>
    </w:p>
    <w:p w14:paraId="5F9064D2">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法定</w:t>
      </w:r>
      <w:r>
        <w:rPr>
          <w:rFonts w:hint="eastAsia" w:asciiTheme="minorEastAsia" w:hAnsiTheme="minorEastAsia" w:eastAsiaTheme="minorEastAsia"/>
          <w:color w:val="auto"/>
          <w:szCs w:val="21"/>
          <w:highlight w:val="none"/>
        </w:rPr>
        <w:t>（授权）</w:t>
      </w:r>
      <w:r>
        <w:rPr>
          <w:rFonts w:asciiTheme="minorEastAsia" w:hAnsiTheme="minorEastAsia" w:eastAsiaTheme="minorEastAsia"/>
          <w:color w:val="auto"/>
          <w:szCs w:val="21"/>
          <w:highlight w:val="none"/>
        </w:rPr>
        <w:t>代表人：</w:t>
      </w:r>
    </w:p>
    <w:p w14:paraId="1D068338">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签</w:t>
      </w:r>
      <w:r>
        <w:rPr>
          <w:rFonts w:hint="eastAsia" w:asciiTheme="minorEastAsia" w:hAnsiTheme="minorEastAsia" w:eastAsiaTheme="minorEastAsia"/>
          <w:color w:val="auto"/>
          <w:szCs w:val="21"/>
          <w:highlight w:val="none"/>
        </w:rPr>
        <w:t>字日期</w:t>
      </w:r>
      <w:r>
        <w:rPr>
          <w:rFonts w:asciiTheme="minorEastAsia" w:hAnsiTheme="minorEastAsia" w:eastAsiaTheme="minorEastAsia"/>
          <w:color w:val="auto"/>
          <w:szCs w:val="21"/>
          <w:highlight w:val="none"/>
        </w:rPr>
        <w:t>：    年  月  日</w:t>
      </w:r>
    </w:p>
    <w:p w14:paraId="429B9625">
      <w:pPr>
        <w:pStyle w:val="159"/>
        <w:ind w:right="42" w:rightChars="20"/>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bookmarkEnd w:id="286"/>
      <w:bookmarkStart w:id="323" w:name="_Toc493511828"/>
    </w:p>
    <w:p w14:paraId="25C6A701">
      <w:pPr>
        <w:pStyle w:val="7"/>
        <w:ind w:right="42" w:rightChars="20"/>
        <w:rPr>
          <w:rFonts w:cs="微软雅黑" w:asciiTheme="minorEastAsia" w:hAnsiTheme="minorEastAsia" w:eastAsiaTheme="minorEastAsia"/>
          <w:color w:val="auto"/>
          <w:highlight w:val="none"/>
        </w:rPr>
      </w:pPr>
      <w:bookmarkStart w:id="324" w:name="_Toc5531"/>
      <w:r>
        <w:rPr>
          <w:rFonts w:hint="eastAsia" w:cs="微软雅黑" w:asciiTheme="minorEastAsia" w:hAnsiTheme="minorEastAsia" w:eastAsiaTheme="minorEastAsia"/>
          <w:color w:val="auto"/>
          <w:highlight w:val="none"/>
        </w:rPr>
        <w:t>第六章　投标文件相关格式</w:t>
      </w:r>
      <w:bookmarkEnd w:id="323"/>
      <w:bookmarkEnd w:id="324"/>
    </w:p>
    <w:p w14:paraId="2197AE60">
      <w:pPr>
        <w:spacing w:line="360" w:lineRule="auto"/>
        <w:ind w:right="42" w:rightChars="20" w:firstLine="420" w:firstLineChars="200"/>
        <w:jc w:val="left"/>
        <w:rPr>
          <w:rFonts w:asciiTheme="minorEastAsia" w:hAnsiTheme="minorEastAsia" w:eastAsiaTheme="minorEastAsia"/>
          <w:color w:val="auto"/>
          <w:szCs w:val="21"/>
          <w:highlight w:val="none"/>
        </w:rPr>
      </w:pPr>
    </w:p>
    <w:p w14:paraId="6ABC8D1E">
      <w:pPr>
        <w:spacing w:line="360" w:lineRule="auto"/>
        <w:ind w:right="42" w:rightChars="20"/>
        <w:jc w:val="center"/>
        <w:rPr>
          <w:rFonts w:asciiTheme="minorEastAsia" w:hAnsiTheme="minorEastAsia" w:eastAsiaTheme="minorEastAsia"/>
          <w:b/>
          <w:color w:val="auto"/>
          <w:highlight w:val="none"/>
        </w:rPr>
      </w:pPr>
      <w:bookmarkStart w:id="325" w:name="_Toc50012909"/>
      <w:bookmarkStart w:id="326" w:name="_Toc430786287"/>
      <w:r>
        <w:rPr>
          <w:rFonts w:hint="eastAsia" w:asciiTheme="minorEastAsia" w:hAnsiTheme="minorEastAsia" w:eastAsiaTheme="minorEastAsia"/>
          <w:b/>
          <w:color w:val="auto"/>
          <w:highlight w:val="none"/>
        </w:rPr>
        <w:t>秀洲区宁静小区建设项目</w:t>
      </w:r>
    </w:p>
    <w:p w14:paraId="3327AD75">
      <w:pPr>
        <w:spacing w:line="360" w:lineRule="auto"/>
        <w:ind w:right="42" w:rightChars="2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资格投标文件/商务技术文件/报价文件</w:t>
      </w:r>
      <w:bookmarkEnd w:id="325"/>
    </w:p>
    <w:p w14:paraId="34EA2E32">
      <w:pPr>
        <w:spacing w:line="360" w:lineRule="auto"/>
        <w:ind w:right="42" w:rightChars="20"/>
        <w:jc w:val="center"/>
        <w:rPr>
          <w:rFonts w:asciiTheme="minorEastAsia" w:hAnsiTheme="minorEastAsia" w:eastAsiaTheme="minorEastAsia"/>
          <w:b/>
          <w:color w:val="auto"/>
          <w:szCs w:val="21"/>
          <w:highlight w:val="none"/>
        </w:rPr>
      </w:pPr>
      <w:bookmarkStart w:id="327" w:name="_Toc50012910"/>
      <w:r>
        <w:rPr>
          <w:rFonts w:hint="eastAsia" w:asciiTheme="minorEastAsia" w:hAnsiTheme="minorEastAsia" w:eastAsiaTheme="minorEastAsia"/>
          <w:b/>
          <w:color w:val="auto"/>
          <w:szCs w:val="21"/>
          <w:highlight w:val="none"/>
        </w:rPr>
        <w:t>项目编号：</w:t>
      </w:r>
      <w:bookmarkEnd w:id="327"/>
    </w:p>
    <w:p w14:paraId="7D420E65">
      <w:pPr>
        <w:spacing w:line="360" w:lineRule="auto"/>
        <w:ind w:right="42" w:rightChars="20"/>
        <w:jc w:val="center"/>
        <w:rPr>
          <w:rFonts w:asciiTheme="minorEastAsia" w:hAnsiTheme="minorEastAsia" w:eastAsiaTheme="minorEastAsia"/>
          <w:b/>
          <w:color w:val="auto"/>
          <w:szCs w:val="21"/>
          <w:highlight w:val="none"/>
        </w:rPr>
      </w:pPr>
    </w:p>
    <w:p w14:paraId="163C1572">
      <w:pPr>
        <w:spacing w:line="360" w:lineRule="auto"/>
        <w:ind w:right="42" w:rightChars="20"/>
        <w:jc w:val="center"/>
        <w:rPr>
          <w:rFonts w:asciiTheme="minorEastAsia" w:hAnsiTheme="minorEastAsia" w:eastAsiaTheme="minorEastAsia"/>
          <w:b/>
          <w:color w:val="auto"/>
          <w:szCs w:val="21"/>
          <w:highlight w:val="none"/>
        </w:rPr>
      </w:pPr>
    </w:p>
    <w:p w14:paraId="02328FA8">
      <w:pPr>
        <w:spacing w:line="360" w:lineRule="auto"/>
        <w:ind w:right="42" w:rightChars="20"/>
        <w:jc w:val="center"/>
        <w:rPr>
          <w:rFonts w:asciiTheme="minorEastAsia" w:hAnsiTheme="minorEastAsia" w:eastAsiaTheme="minorEastAsia"/>
          <w:b/>
          <w:color w:val="auto"/>
          <w:szCs w:val="21"/>
          <w:highlight w:val="none"/>
        </w:rPr>
      </w:pPr>
      <w:bookmarkStart w:id="328" w:name="_Toc50012911"/>
      <w:r>
        <w:rPr>
          <w:rFonts w:hint="eastAsia" w:asciiTheme="minorEastAsia" w:hAnsiTheme="minorEastAsia" w:eastAsiaTheme="minorEastAsia"/>
          <w:b/>
          <w:color w:val="auto"/>
          <w:szCs w:val="21"/>
          <w:highlight w:val="none"/>
        </w:rPr>
        <w:t>投</w:t>
      </w:r>
      <w:bookmarkEnd w:id="328"/>
    </w:p>
    <w:p w14:paraId="416B19C8">
      <w:pPr>
        <w:spacing w:line="360" w:lineRule="auto"/>
        <w:ind w:right="42" w:rightChars="20"/>
        <w:jc w:val="center"/>
        <w:rPr>
          <w:rFonts w:asciiTheme="minorEastAsia" w:hAnsiTheme="minorEastAsia" w:eastAsiaTheme="minorEastAsia"/>
          <w:b/>
          <w:color w:val="auto"/>
          <w:szCs w:val="21"/>
          <w:highlight w:val="none"/>
        </w:rPr>
      </w:pPr>
      <w:bookmarkStart w:id="329" w:name="_Toc50012912"/>
      <w:r>
        <w:rPr>
          <w:rFonts w:hint="eastAsia" w:asciiTheme="minorEastAsia" w:hAnsiTheme="minorEastAsia" w:eastAsiaTheme="minorEastAsia"/>
          <w:b/>
          <w:color w:val="auto"/>
          <w:szCs w:val="21"/>
          <w:highlight w:val="none"/>
        </w:rPr>
        <w:t>标</w:t>
      </w:r>
      <w:bookmarkEnd w:id="329"/>
    </w:p>
    <w:p w14:paraId="494E0A91">
      <w:pPr>
        <w:spacing w:line="360" w:lineRule="auto"/>
        <w:ind w:right="42" w:rightChars="20"/>
        <w:jc w:val="center"/>
        <w:rPr>
          <w:rFonts w:asciiTheme="minorEastAsia" w:hAnsiTheme="minorEastAsia" w:eastAsiaTheme="minorEastAsia"/>
          <w:b/>
          <w:color w:val="auto"/>
          <w:szCs w:val="21"/>
          <w:highlight w:val="none"/>
        </w:rPr>
      </w:pPr>
      <w:bookmarkStart w:id="330" w:name="_Toc50012913"/>
      <w:r>
        <w:rPr>
          <w:rFonts w:hint="eastAsia" w:asciiTheme="minorEastAsia" w:hAnsiTheme="minorEastAsia" w:eastAsiaTheme="minorEastAsia"/>
          <w:b/>
          <w:color w:val="auto"/>
          <w:szCs w:val="21"/>
          <w:highlight w:val="none"/>
        </w:rPr>
        <w:t>文</w:t>
      </w:r>
      <w:bookmarkEnd w:id="330"/>
    </w:p>
    <w:p w14:paraId="046B2060">
      <w:pPr>
        <w:spacing w:line="360" w:lineRule="auto"/>
        <w:ind w:right="42" w:rightChars="20"/>
        <w:jc w:val="center"/>
        <w:rPr>
          <w:rFonts w:asciiTheme="minorEastAsia" w:hAnsiTheme="minorEastAsia" w:eastAsiaTheme="minorEastAsia"/>
          <w:b/>
          <w:color w:val="auto"/>
          <w:szCs w:val="21"/>
          <w:highlight w:val="none"/>
        </w:rPr>
      </w:pPr>
      <w:bookmarkStart w:id="331" w:name="_Toc50012914"/>
      <w:r>
        <w:rPr>
          <w:rFonts w:hint="eastAsia" w:asciiTheme="minorEastAsia" w:hAnsiTheme="minorEastAsia" w:eastAsiaTheme="minorEastAsia"/>
          <w:b/>
          <w:color w:val="auto"/>
          <w:szCs w:val="21"/>
          <w:highlight w:val="none"/>
        </w:rPr>
        <w:t>件</w:t>
      </w:r>
      <w:bookmarkEnd w:id="331"/>
    </w:p>
    <w:p w14:paraId="4A5D5BBC">
      <w:pPr>
        <w:spacing w:line="360" w:lineRule="auto"/>
        <w:ind w:right="42" w:rightChars="20"/>
        <w:rPr>
          <w:rFonts w:asciiTheme="minorEastAsia" w:hAnsiTheme="minorEastAsia" w:eastAsiaTheme="minorEastAsia"/>
          <w:b/>
          <w:color w:val="auto"/>
          <w:szCs w:val="21"/>
          <w:highlight w:val="none"/>
        </w:rPr>
      </w:pPr>
    </w:p>
    <w:p w14:paraId="375F08D3">
      <w:pPr>
        <w:spacing w:line="360" w:lineRule="auto"/>
        <w:ind w:right="42" w:rightChars="20"/>
        <w:rPr>
          <w:rFonts w:asciiTheme="minorEastAsia" w:hAnsiTheme="minorEastAsia" w:eastAsiaTheme="minorEastAsia"/>
          <w:b/>
          <w:color w:val="auto"/>
          <w:szCs w:val="21"/>
          <w:highlight w:val="none"/>
        </w:rPr>
      </w:pPr>
    </w:p>
    <w:p w14:paraId="6C5B84D4">
      <w:pPr>
        <w:spacing w:line="360" w:lineRule="auto"/>
        <w:ind w:right="42" w:rightChars="20"/>
        <w:rPr>
          <w:rFonts w:asciiTheme="minorEastAsia" w:hAnsiTheme="minorEastAsia" w:eastAsiaTheme="minorEastAsia"/>
          <w:b/>
          <w:color w:val="auto"/>
          <w:szCs w:val="21"/>
          <w:highlight w:val="none"/>
        </w:rPr>
      </w:pPr>
    </w:p>
    <w:p w14:paraId="76DA546A">
      <w:pPr>
        <w:spacing w:line="360" w:lineRule="auto"/>
        <w:ind w:right="42" w:rightChars="20" w:firstLine="2319" w:firstLineChars="1100"/>
        <w:rPr>
          <w:rFonts w:asciiTheme="minorEastAsia" w:hAnsiTheme="minorEastAsia" w:eastAsiaTheme="minorEastAsia"/>
          <w:b/>
          <w:color w:val="auto"/>
          <w:szCs w:val="21"/>
          <w:highlight w:val="none"/>
        </w:rPr>
      </w:pPr>
      <w:bookmarkStart w:id="332" w:name="_Toc50012915"/>
      <w:r>
        <w:rPr>
          <w:rFonts w:hint="eastAsia" w:asciiTheme="minorEastAsia" w:hAnsiTheme="minorEastAsia" w:eastAsiaTheme="minorEastAsia"/>
          <w:b/>
          <w:color w:val="auto"/>
          <w:szCs w:val="21"/>
          <w:highlight w:val="none"/>
        </w:rPr>
        <w:t>投标人全称：（加盖单位公章）</w:t>
      </w:r>
      <w:bookmarkEnd w:id="332"/>
    </w:p>
    <w:p w14:paraId="0554D286">
      <w:pPr>
        <w:spacing w:line="360" w:lineRule="auto"/>
        <w:ind w:right="42" w:rightChars="20"/>
        <w:rPr>
          <w:rFonts w:asciiTheme="minorEastAsia" w:hAnsiTheme="minorEastAsia" w:eastAsiaTheme="minorEastAsia"/>
          <w:b/>
          <w:color w:val="auto"/>
          <w:szCs w:val="21"/>
          <w:highlight w:val="none"/>
        </w:rPr>
      </w:pPr>
    </w:p>
    <w:p w14:paraId="461C17D1">
      <w:pPr>
        <w:spacing w:line="360" w:lineRule="auto"/>
        <w:ind w:right="42" w:rightChars="20"/>
        <w:jc w:val="center"/>
        <w:rPr>
          <w:rFonts w:asciiTheme="minorEastAsia" w:hAnsiTheme="minorEastAsia" w:eastAsiaTheme="minorEastAsia"/>
          <w:b/>
          <w:color w:val="auto"/>
          <w:szCs w:val="21"/>
          <w:highlight w:val="none"/>
        </w:rPr>
      </w:pPr>
      <w:bookmarkStart w:id="333" w:name="_Toc50012916"/>
      <w:r>
        <w:rPr>
          <w:rFonts w:hint="eastAsia" w:asciiTheme="minorEastAsia" w:hAnsiTheme="minorEastAsia" w:eastAsiaTheme="minorEastAsia"/>
          <w:b/>
          <w:color w:val="auto"/>
          <w:szCs w:val="21"/>
          <w:highlight w:val="none"/>
        </w:rPr>
        <w:t>年   月   日</w:t>
      </w:r>
      <w:bookmarkEnd w:id="333"/>
    </w:p>
    <w:bookmarkEnd w:id="326"/>
    <w:p w14:paraId="5FA3C2B4">
      <w:pPr>
        <w:snapToGrid w:val="0"/>
        <w:spacing w:line="360" w:lineRule="auto"/>
        <w:ind w:right="42" w:rightChars="20" w:firstLine="422" w:firstLineChars="20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3B1A9141">
      <w:pPr>
        <w:snapToGrid w:val="0"/>
        <w:spacing w:line="360" w:lineRule="auto"/>
        <w:ind w:right="42" w:rightChars="20" w:firstLine="422" w:firstLineChars="200"/>
        <w:jc w:val="center"/>
        <w:rPr>
          <w:rFonts w:cs="方正小标宋简体" w:asciiTheme="minorEastAsia" w:hAnsiTheme="minorEastAsia" w:eastAsiaTheme="minorEastAsia"/>
          <w:b/>
          <w:color w:val="auto"/>
          <w:szCs w:val="21"/>
          <w:highlight w:val="none"/>
        </w:rPr>
      </w:pPr>
      <w:r>
        <w:rPr>
          <w:rFonts w:hint="eastAsia" w:cs="方正小标宋简体" w:asciiTheme="minorEastAsia" w:hAnsiTheme="minorEastAsia" w:eastAsiaTheme="minorEastAsia"/>
          <w:b/>
          <w:color w:val="auto"/>
          <w:szCs w:val="21"/>
          <w:highlight w:val="none"/>
        </w:rPr>
        <w:t>政府</w:t>
      </w:r>
      <w:r>
        <w:rPr>
          <w:rFonts w:cs="方正小标宋简体" w:asciiTheme="minorEastAsia" w:hAnsiTheme="minorEastAsia" w:eastAsiaTheme="minorEastAsia"/>
          <w:b/>
          <w:color w:val="auto"/>
          <w:szCs w:val="21"/>
          <w:highlight w:val="none"/>
        </w:rPr>
        <w:t>采购活动现场确认声明书</w:t>
      </w:r>
    </w:p>
    <w:p w14:paraId="4860FA0B">
      <w:pPr>
        <w:pStyle w:val="163"/>
        <w:snapToGrid w:val="0"/>
        <w:spacing w:line="360" w:lineRule="auto"/>
        <w:ind w:right="42" w:rightChars="20" w:firstLine="422" w:firstLineChars="200"/>
        <w:jc w:val="left"/>
        <w:rPr>
          <w:rFonts w:cs="宋体" w:asciiTheme="minorEastAsia" w:hAnsiTheme="minorEastAsia" w:eastAsiaTheme="minorEastAsia"/>
          <w:b/>
          <w:color w:val="auto"/>
          <w:sz w:val="21"/>
          <w:szCs w:val="21"/>
          <w:highlight w:val="none"/>
        </w:rPr>
      </w:pPr>
    </w:p>
    <w:p w14:paraId="37CEFD9F">
      <w:pPr>
        <w:pStyle w:val="163"/>
        <w:snapToGrid w:val="0"/>
        <w:spacing w:line="360" w:lineRule="auto"/>
        <w:ind w:right="42" w:rightChars="20" w:firstLine="422" w:firstLineChars="200"/>
        <w:jc w:val="left"/>
        <w:rPr>
          <w:rFonts w:cs="宋体" w:asciiTheme="minorEastAsia" w:hAnsiTheme="minorEastAsia" w:eastAsiaTheme="minorEastAsia"/>
          <w:b/>
          <w:color w:val="auto"/>
          <w:sz w:val="21"/>
          <w:szCs w:val="21"/>
          <w:highlight w:val="none"/>
        </w:rPr>
      </w:pPr>
      <w:r>
        <w:rPr>
          <w:rFonts w:cs="宋体" w:asciiTheme="minorEastAsia" w:hAnsiTheme="minorEastAsia" w:eastAsiaTheme="minorEastAsia"/>
          <w:b/>
          <w:color w:val="auto"/>
          <w:sz w:val="21"/>
          <w:szCs w:val="21"/>
          <w:highlight w:val="none"/>
        </w:rPr>
        <w:t>（要求</w:t>
      </w:r>
      <w:r>
        <w:rPr>
          <w:rFonts w:hint="eastAsia" w:cs="宋体" w:asciiTheme="minorEastAsia" w:hAnsiTheme="minorEastAsia" w:eastAsiaTheme="minorEastAsia"/>
          <w:b/>
          <w:color w:val="auto"/>
          <w:sz w:val="21"/>
          <w:szCs w:val="21"/>
          <w:highlight w:val="none"/>
        </w:rPr>
        <w:t>在电子投标文件解密后，代理公司会向系统中投标人的联系电话发送钉钉申请，请投标人在开标前自行下载钉钉程序，开标后接受钉钉好友申请并将以下表格填写完成后，在通过钉钉将照片传给代理公司</w:t>
      </w:r>
      <w:r>
        <w:rPr>
          <w:rFonts w:cs="宋体" w:asciiTheme="minorEastAsia" w:hAnsiTheme="minorEastAsia" w:eastAsiaTheme="minorEastAsia"/>
          <w:b/>
          <w:color w:val="auto"/>
          <w:sz w:val="21"/>
          <w:szCs w:val="21"/>
          <w:highlight w:val="none"/>
        </w:rPr>
        <w:t>，不要封存于投标文件里）</w:t>
      </w:r>
    </w:p>
    <w:p w14:paraId="4DE8FE50">
      <w:pPr>
        <w:pStyle w:val="163"/>
        <w:snapToGrid w:val="0"/>
        <w:spacing w:line="360" w:lineRule="auto"/>
        <w:ind w:right="42" w:rightChars="20"/>
        <w:jc w:val="left"/>
        <w:rPr>
          <w:rFonts w:asciiTheme="minorEastAsia" w:hAnsiTheme="minorEastAsia" w:eastAsiaTheme="minorEastAsia"/>
          <w:b/>
          <w:color w:val="auto"/>
          <w:sz w:val="21"/>
          <w:szCs w:val="21"/>
          <w:highlight w:val="none"/>
        </w:rPr>
      </w:pPr>
      <w:r>
        <w:rPr>
          <w:rFonts w:hint="eastAsia" w:cs="Arial" w:asciiTheme="minorEastAsia" w:hAnsiTheme="minorEastAsia" w:eastAsiaTheme="minorEastAsia"/>
          <w:b/>
          <w:color w:val="auto"/>
          <w:kern w:val="0"/>
          <w:sz w:val="21"/>
          <w:szCs w:val="21"/>
          <w:highlight w:val="none"/>
          <w:u w:val="single"/>
        </w:rPr>
        <w:t xml:space="preserve">嘉兴市生态环境局秀洲分局  </w:t>
      </w:r>
      <w:r>
        <w:rPr>
          <w:rFonts w:asciiTheme="minorEastAsia" w:hAnsiTheme="minorEastAsia" w:eastAsiaTheme="minorEastAsia"/>
          <w:color w:val="auto"/>
          <w:kern w:val="0"/>
          <w:sz w:val="21"/>
          <w:szCs w:val="21"/>
          <w:highlight w:val="none"/>
        </w:rPr>
        <w:t>：</w:t>
      </w:r>
    </w:p>
    <w:p w14:paraId="2577B5F7">
      <w:pPr>
        <w:pStyle w:val="163"/>
        <w:snapToGrid w:val="0"/>
        <w:spacing w:line="360" w:lineRule="auto"/>
        <w:ind w:right="42" w:rightChars="20" w:firstLine="444" w:firstLineChars="200"/>
        <w:rPr>
          <w:rFonts w:asciiTheme="minorEastAsia" w:hAnsiTheme="minorEastAsia" w:eastAsiaTheme="minorEastAsia"/>
          <w:color w:val="auto"/>
          <w:spacing w:val="6"/>
          <w:sz w:val="21"/>
          <w:szCs w:val="21"/>
          <w:highlight w:val="none"/>
        </w:rPr>
      </w:pPr>
      <w:r>
        <w:rPr>
          <w:rFonts w:asciiTheme="minorEastAsia" w:hAnsiTheme="minorEastAsia" w:eastAsiaTheme="minorEastAsia"/>
          <w:color w:val="auto"/>
          <w:spacing w:val="6"/>
          <w:sz w:val="21"/>
          <w:szCs w:val="21"/>
          <w:highlight w:val="none"/>
        </w:rPr>
        <w:t>本人经由</w:t>
      </w:r>
      <w:r>
        <w:rPr>
          <w:rFonts w:asciiTheme="minorEastAsia" w:hAnsiTheme="minorEastAsia" w:eastAsiaTheme="minorEastAsia"/>
          <w:color w:val="auto"/>
          <w:spacing w:val="6"/>
          <w:sz w:val="21"/>
          <w:szCs w:val="21"/>
          <w:highlight w:val="none"/>
          <w:u w:val="single"/>
        </w:rPr>
        <w:t xml:space="preserve">                  （单位）</w:t>
      </w:r>
      <w:r>
        <w:rPr>
          <w:rFonts w:asciiTheme="minorEastAsia" w:hAnsiTheme="minorEastAsia" w:eastAsiaTheme="minorEastAsia"/>
          <w:color w:val="auto"/>
          <w:spacing w:val="6"/>
          <w:sz w:val="21"/>
          <w:szCs w:val="21"/>
          <w:highlight w:val="none"/>
        </w:rPr>
        <w:t>负责人</w:t>
      </w:r>
      <w:r>
        <w:rPr>
          <w:rFonts w:asciiTheme="minorEastAsia" w:hAnsiTheme="minorEastAsia" w:eastAsiaTheme="minorEastAsia"/>
          <w:color w:val="auto"/>
          <w:spacing w:val="6"/>
          <w:sz w:val="21"/>
          <w:szCs w:val="21"/>
          <w:highlight w:val="none"/>
          <w:u w:val="single"/>
        </w:rPr>
        <w:t xml:space="preserve">        （姓名）</w:t>
      </w:r>
      <w:r>
        <w:rPr>
          <w:rFonts w:asciiTheme="minorEastAsia" w:hAnsiTheme="minorEastAsia" w:eastAsiaTheme="minorEastAsia"/>
          <w:color w:val="auto"/>
          <w:spacing w:val="6"/>
          <w:sz w:val="21"/>
          <w:szCs w:val="21"/>
          <w:highlight w:val="none"/>
        </w:rPr>
        <w:t>合法授权参加</w:t>
      </w:r>
      <w:r>
        <w:rPr>
          <w:rFonts w:hint="eastAsia" w:asciiTheme="minorEastAsia" w:hAnsiTheme="minorEastAsia" w:eastAsiaTheme="minorEastAsia"/>
          <w:b/>
          <w:color w:val="auto"/>
          <w:spacing w:val="6"/>
          <w:sz w:val="21"/>
          <w:szCs w:val="21"/>
          <w:highlight w:val="none"/>
          <w:u w:val="single"/>
        </w:rPr>
        <w:t>秀洲区宁静小区建设项目</w:t>
      </w:r>
      <w:r>
        <w:rPr>
          <w:rFonts w:asciiTheme="minorEastAsia" w:hAnsiTheme="minorEastAsia" w:eastAsiaTheme="minorEastAsia"/>
          <w:color w:val="auto"/>
          <w:spacing w:val="6"/>
          <w:sz w:val="21"/>
          <w:szCs w:val="21"/>
          <w:highlight w:val="none"/>
        </w:rPr>
        <w:t>（编号：</w:t>
      </w:r>
      <w:r>
        <w:rPr>
          <w:rFonts w:hint="eastAsia" w:asciiTheme="minorEastAsia" w:hAnsiTheme="minorEastAsia" w:eastAsiaTheme="minorEastAsia"/>
          <w:color w:val="auto"/>
          <w:spacing w:val="6"/>
          <w:sz w:val="21"/>
          <w:szCs w:val="21"/>
          <w:highlight w:val="none"/>
          <w:u w:val="single"/>
        </w:rPr>
        <w:t>大地-DDZX-JX（2024）第63号</w:t>
      </w:r>
      <w:r>
        <w:rPr>
          <w:rFonts w:asciiTheme="minorEastAsia" w:hAnsiTheme="minorEastAsia" w:eastAsiaTheme="minorEastAsia"/>
          <w:color w:val="auto"/>
          <w:spacing w:val="6"/>
          <w:sz w:val="21"/>
          <w:szCs w:val="21"/>
          <w:highlight w:val="none"/>
        </w:rPr>
        <w:t xml:space="preserve">）政府采购活动，经与本单位法人代表（负责人）联系确认，现就有关公平竞争事项郑重声明如下： </w:t>
      </w:r>
    </w:p>
    <w:p w14:paraId="06298AD4">
      <w:pPr>
        <w:pStyle w:val="157"/>
        <w:widowControl/>
        <w:numPr>
          <w:ilvl w:val="0"/>
          <w:numId w:val="7"/>
        </w:numPr>
        <w:snapToGrid w:val="0"/>
        <w:spacing w:line="360" w:lineRule="auto"/>
        <w:ind w:right="42" w:rightChars="20" w:firstLine="420" w:firstLineChars="200"/>
        <w:jc w:val="lef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本单位与采购人之间 </w:t>
      </w:r>
      <w:r>
        <w:rPr>
          <w:rFonts w:cs="宋体"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 xml:space="preserve">不存在利害关系 </w:t>
      </w:r>
      <w:r>
        <w:rPr>
          <w:rFonts w:cs="宋体"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存在下列利害关系：</w:t>
      </w:r>
    </w:p>
    <w:p w14:paraId="5B87BC6D">
      <w:pPr>
        <w:pStyle w:val="157"/>
        <w:widowControl/>
        <w:snapToGrid w:val="0"/>
        <w:spacing w:line="360" w:lineRule="auto"/>
        <w:ind w:right="42" w:rightChars="20" w:firstLine="420" w:firstLineChars="200"/>
        <w:jc w:val="lef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  A.投资关系    B.行政隶属关系    C.业务指导关系</w:t>
      </w:r>
    </w:p>
    <w:p w14:paraId="49BE8012">
      <w:pPr>
        <w:pStyle w:val="157"/>
        <w:widowControl/>
        <w:snapToGrid w:val="0"/>
        <w:spacing w:line="360" w:lineRule="auto"/>
        <w:ind w:right="42" w:rightChars="20" w:firstLine="420" w:firstLineChars="200"/>
        <w:jc w:val="lef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  D.其他可能</w:t>
      </w:r>
      <w:r>
        <w:rPr>
          <w:rFonts w:asciiTheme="minorEastAsia" w:hAnsiTheme="minorEastAsia" w:eastAsiaTheme="minorEastAsia"/>
          <w:color w:val="auto"/>
          <w:szCs w:val="21"/>
          <w:highlight w:val="none"/>
        </w:rPr>
        <w:t>影响采购公正的</w:t>
      </w:r>
      <w:r>
        <w:rPr>
          <w:rFonts w:asciiTheme="minorEastAsia" w:hAnsiTheme="minorEastAsia" w:eastAsiaTheme="minorEastAsia"/>
          <w:color w:val="auto"/>
          <w:kern w:val="0"/>
          <w:szCs w:val="21"/>
          <w:highlight w:val="none"/>
        </w:rPr>
        <w:t>利害关系</w:t>
      </w:r>
      <w:r>
        <w:rPr>
          <w:rFonts w:asciiTheme="minorEastAsia" w:hAnsiTheme="minorEastAsia" w:eastAsiaTheme="minorEastAsia"/>
          <w:color w:val="auto"/>
          <w:kern w:val="0"/>
          <w:szCs w:val="21"/>
          <w:highlight w:val="none"/>
          <w:u w:val="single"/>
        </w:rPr>
        <w:t xml:space="preserve">（如有，请如实说明）                 </w:t>
      </w:r>
      <w:r>
        <w:rPr>
          <w:rFonts w:asciiTheme="minorEastAsia" w:hAnsiTheme="minorEastAsia" w:eastAsiaTheme="minorEastAsia"/>
          <w:color w:val="auto"/>
          <w:kern w:val="0"/>
          <w:szCs w:val="21"/>
          <w:highlight w:val="none"/>
        </w:rPr>
        <w:t>。</w:t>
      </w:r>
    </w:p>
    <w:p w14:paraId="6A7042D8">
      <w:pPr>
        <w:pStyle w:val="157"/>
        <w:widowControl/>
        <w:snapToGrid w:val="0"/>
        <w:spacing w:line="360" w:lineRule="auto"/>
        <w:ind w:right="42" w:rightChars="20" w:firstLine="444" w:firstLineChars="200"/>
        <w:jc w:val="lef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spacing w:val="6"/>
          <w:szCs w:val="21"/>
          <w:highlight w:val="none"/>
        </w:rPr>
        <w:t xml:space="preserve">  二、</w:t>
      </w:r>
      <w:r>
        <w:rPr>
          <w:rFonts w:asciiTheme="minorEastAsia" w:hAnsiTheme="minorEastAsia" w:eastAsiaTheme="minorEastAsia"/>
          <w:color w:val="auto"/>
          <w:kern w:val="0"/>
          <w:szCs w:val="21"/>
          <w:highlight w:val="none"/>
        </w:rPr>
        <w:t xml:space="preserve">现已清楚知道参加本项目采购活动的其他所有投标人名称，本单位 </w:t>
      </w:r>
      <w:r>
        <w:rPr>
          <w:rFonts w:cs="宋体" w:asciiTheme="minorEastAsia" w:hAnsiTheme="minorEastAsia" w:eastAsiaTheme="minorEastAsia"/>
          <w:color w:val="auto"/>
          <w:kern w:val="0"/>
          <w:szCs w:val="21"/>
          <w:highlight w:val="none"/>
        </w:rPr>
        <w:t>□与其他所有投标人之间均</w:t>
      </w:r>
      <w:r>
        <w:rPr>
          <w:rFonts w:asciiTheme="minorEastAsia" w:hAnsiTheme="minorEastAsia" w:eastAsiaTheme="minorEastAsia"/>
          <w:color w:val="auto"/>
          <w:kern w:val="0"/>
          <w:szCs w:val="21"/>
          <w:highlight w:val="none"/>
        </w:rPr>
        <w:t xml:space="preserve">不存在利害关系 </w:t>
      </w:r>
      <w:r>
        <w:rPr>
          <w:rFonts w:cs="宋体" w:asciiTheme="minorEastAsia" w:hAnsiTheme="minorEastAsia" w:eastAsiaTheme="minorEastAsia"/>
          <w:color w:val="auto"/>
          <w:kern w:val="0"/>
          <w:szCs w:val="21"/>
          <w:highlight w:val="none"/>
        </w:rPr>
        <w:t>□与</w:t>
      </w:r>
      <w:r>
        <w:rPr>
          <w:rFonts w:cs="宋体" w:asciiTheme="minorEastAsia" w:hAnsiTheme="minorEastAsia" w:eastAsiaTheme="minorEastAsia"/>
          <w:color w:val="auto"/>
          <w:kern w:val="0"/>
          <w:szCs w:val="21"/>
          <w:highlight w:val="none"/>
          <w:u w:val="single"/>
        </w:rPr>
        <w:t xml:space="preserve">           （投标人名称）</w:t>
      </w:r>
      <w:r>
        <w:rPr>
          <w:rFonts w:cs="宋体" w:asciiTheme="minorEastAsia" w:hAnsiTheme="minorEastAsia" w:eastAsiaTheme="minorEastAsia"/>
          <w:color w:val="auto"/>
          <w:kern w:val="0"/>
          <w:szCs w:val="21"/>
          <w:highlight w:val="none"/>
        </w:rPr>
        <w:t>之间</w:t>
      </w:r>
      <w:r>
        <w:rPr>
          <w:rFonts w:asciiTheme="minorEastAsia" w:hAnsiTheme="minorEastAsia" w:eastAsiaTheme="minorEastAsia"/>
          <w:color w:val="auto"/>
          <w:kern w:val="0"/>
          <w:szCs w:val="21"/>
          <w:highlight w:val="none"/>
        </w:rPr>
        <w:t>存在下列利害关系：</w:t>
      </w:r>
    </w:p>
    <w:p w14:paraId="6DEDCE42">
      <w:pPr>
        <w:pStyle w:val="163"/>
        <w:snapToGrid w:val="0"/>
        <w:spacing w:line="360" w:lineRule="auto"/>
        <w:ind w:right="42" w:rightChars="20" w:firstLine="420" w:firstLineChars="200"/>
        <w:jc w:val="left"/>
        <w:rPr>
          <w:rFonts w:asciiTheme="minorEastAsia" w:hAnsiTheme="minorEastAsia" w:eastAsiaTheme="minorEastAsia"/>
          <w:color w:val="auto"/>
          <w:kern w:val="0"/>
          <w:sz w:val="21"/>
          <w:szCs w:val="21"/>
          <w:highlight w:val="none"/>
        </w:rPr>
      </w:pPr>
      <w:r>
        <w:rPr>
          <w:rFonts w:asciiTheme="minorEastAsia" w:hAnsiTheme="minorEastAsia" w:eastAsiaTheme="minorEastAsia"/>
          <w:color w:val="auto"/>
          <w:kern w:val="0"/>
          <w:sz w:val="21"/>
          <w:szCs w:val="21"/>
          <w:highlight w:val="none"/>
        </w:rPr>
        <w:t xml:space="preserve">  A.法定代表人或负责人或实际控制人是同一人</w:t>
      </w:r>
    </w:p>
    <w:p w14:paraId="402E251C">
      <w:pPr>
        <w:pStyle w:val="163"/>
        <w:snapToGrid w:val="0"/>
        <w:spacing w:line="360" w:lineRule="auto"/>
        <w:ind w:right="42" w:rightChars="20" w:firstLine="420" w:firstLineChars="200"/>
        <w:jc w:val="left"/>
        <w:rPr>
          <w:rFonts w:asciiTheme="minorEastAsia" w:hAnsiTheme="minorEastAsia" w:eastAsiaTheme="minorEastAsia"/>
          <w:color w:val="auto"/>
          <w:spacing w:val="6"/>
          <w:sz w:val="21"/>
          <w:szCs w:val="21"/>
          <w:highlight w:val="none"/>
        </w:rPr>
      </w:pPr>
      <w:r>
        <w:rPr>
          <w:rFonts w:asciiTheme="minorEastAsia" w:hAnsiTheme="minorEastAsia" w:eastAsiaTheme="minorEastAsia"/>
          <w:color w:val="auto"/>
          <w:kern w:val="0"/>
          <w:sz w:val="21"/>
          <w:szCs w:val="21"/>
          <w:highlight w:val="none"/>
        </w:rPr>
        <w:t xml:space="preserve">  B.法定代表人或负责人或实际控制人是夫妻关系</w:t>
      </w:r>
    </w:p>
    <w:p w14:paraId="3B15EFA7">
      <w:pPr>
        <w:pStyle w:val="163"/>
        <w:snapToGrid w:val="0"/>
        <w:spacing w:line="360" w:lineRule="auto"/>
        <w:ind w:right="42" w:rightChars="20" w:firstLine="420" w:firstLineChars="200"/>
        <w:jc w:val="left"/>
        <w:rPr>
          <w:rFonts w:asciiTheme="minorEastAsia" w:hAnsiTheme="minorEastAsia" w:eastAsiaTheme="minorEastAsia"/>
          <w:color w:val="auto"/>
          <w:spacing w:val="6"/>
          <w:sz w:val="21"/>
          <w:szCs w:val="21"/>
          <w:highlight w:val="none"/>
        </w:rPr>
      </w:pPr>
      <w:r>
        <w:rPr>
          <w:rFonts w:asciiTheme="minorEastAsia" w:hAnsiTheme="minorEastAsia" w:eastAsiaTheme="minorEastAsia"/>
          <w:color w:val="auto"/>
          <w:kern w:val="0"/>
          <w:sz w:val="21"/>
          <w:szCs w:val="21"/>
          <w:highlight w:val="none"/>
        </w:rPr>
        <w:t xml:space="preserve">  C.法定代表人或负责人或实际控制人是直系血亲关系</w:t>
      </w:r>
    </w:p>
    <w:p w14:paraId="3664A0AA">
      <w:pPr>
        <w:pStyle w:val="163"/>
        <w:snapToGrid w:val="0"/>
        <w:spacing w:line="360" w:lineRule="auto"/>
        <w:ind w:right="42" w:rightChars="20" w:firstLine="420" w:firstLineChars="200"/>
        <w:jc w:val="left"/>
        <w:rPr>
          <w:rFonts w:asciiTheme="minorEastAsia" w:hAnsiTheme="minorEastAsia" w:eastAsiaTheme="minorEastAsia"/>
          <w:color w:val="auto"/>
          <w:spacing w:val="6"/>
          <w:sz w:val="21"/>
          <w:szCs w:val="21"/>
          <w:highlight w:val="none"/>
        </w:rPr>
      </w:pPr>
      <w:r>
        <w:rPr>
          <w:rFonts w:asciiTheme="minorEastAsia" w:hAnsiTheme="minorEastAsia" w:eastAsiaTheme="minorEastAsia"/>
          <w:color w:val="auto"/>
          <w:kern w:val="0"/>
          <w:sz w:val="21"/>
          <w:szCs w:val="21"/>
          <w:highlight w:val="none"/>
        </w:rPr>
        <w:t xml:space="preserve">  D.法定代表人或负责人或实际控制人存在三代以内旁系血亲关系</w:t>
      </w:r>
    </w:p>
    <w:p w14:paraId="0233A676">
      <w:pPr>
        <w:pStyle w:val="163"/>
        <w:snapToGrid w:val="0"/>
        <w:spacing w:line="360" w:lineRule="auto"/>
        <w:ind w:right="42" w:rightChars="20" w:firstLine="420" w:firstLineChars="200"/>
        <w:jc w:val="left"/>
        <w:rPr>
          <w:rFonts w:asciiTheme="minorEastAsia" w:hAnsiTheme="minorEastAsia" w:eastAsiaTheme="minorEastAsia"/>
          <w:color w:val="auto"/>
          <w:kern w:val="0"/>
          <w:sz w:val="21"/>
          <w:szCs w:val="21"/>
          <w:highlight w:val="none"/>
        </w:rPr>
      </w:pPr>
      <w:r>
        <w:rPr>
          <w:rFonts w:asciiTheme="minorEastAsia" w:hAnsiTheme="minorEastAsia" w:eastAsiaTheme="minorEastAsia"/>
          <w:color w:val="auto"/>
          <w:kern w:val="0"/>
          <w:sz w:val="21"/>
          <w:szCs w:val="21"/>
          <w:highlight w:val="none"/>
        </w:rPr>
        <w:t xml:space="preserve">  E.法定代表人或负责人或实际控制人存在近姻亲关系</w:t>
      </w:r>
    </w:p>
    <w:p w14:paraId="234AEBCA">
      <w:pPr>
        <w:pStyle w:val="163"/>
        <w:snapToGrid w:val="0"/>
        <w:spacing w:line="360" w:lineRule="auto"/>
        <w:ind w:right="42" w:rightChars="20" w:firstLine="420" w:firstLineChars="200"/>
        <w:jc w:val="left"/>
        <w:rPr>
          <w:rFonts w:asciiTheme="minorEastAsia" w:hAnsiTheme="minorEastAsia" w:eastAsiaTheme="minorEastAsia"/>
          <w:color w:val="auto"/>
          <w:kern w:val="0"/>
          <w:sz w:val="21"/>
          <w:szCs w:val="21"/>
          <w:highlight w:val="none"/>
        </w:rPr>
      </w:pPr>
      <w:r>
        <w:rPr>
          <w:rFonts w:asciiTheme="minorEastAsia" w:hAnsiTheme="minorEastAsia" w:eastAsiaTheme="minorEastAsia"/>
          <w:color w:val="auto"/>
          <w:kern w:val="0"/>
          <w:sz w:val="21"/>
          <w:szCs w:val="21"/>
          <w:highlight w:val="none"/>
        </w:rPr>
        <w:t xml:space="preserve">  F.法定代表人或负责人或实际控制人存在股份控制或实际控制关系</w:t>
      </w:r>
    </w:p>
    <w:p w14:paraId="12719A81">
      <w:pPr>
        <w:pStyle w:val="163"/>
        <w:snapToGrid w:val="0"/>
        <w:spacing w:line="360" w:lineRule="auto"/>
        <w:ind w:right="42" w:rightChars="20" w:firstLine="420" w:firstLineChars="200"/>
        <w:jc w:val="left"/>
        <w:rPr>
          <w:rFonts w:asciiTheme="minorEastAsia" w:hAnsiTheme="minorEastAsia" w:eastAsiaTheme="minorEastAsia"/>
          <w:color w:val="auto"/>
          <w:kern w:val="0"/>
          <w:sz w:val="21"/>
          <w:szCs w:val="21"/>
          <w:highlight w:val="none"/>
        </w:rPr>
      </w:pPr>
      <w:r>
        <w:rPr>
          <w:rFonts w:asciiTheme="minorEastAsia" w:hAnsiTheme="minorEastAsia" w:eastAsiaTheme="minorEastAsia"/>
          <w:color w:val="auto"/>
          <w:kern w:val="0"/>
          <w:sz w:val="21"/>
          <w:szCs w:val="21"/>
          <w:highlight w:val="none"/>
        </w:rPr>
        <w:t xml:space="preserve">  G.存在共同直接或间接投资设立子公司、联营企业和合营企业情况</w:t>
      </w:r>
    </w:p>
    <w:p w14:paraId="48024351">
      <w:pPr>
        <w:pStyle w:val="163"/>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kern w:val="0"/>
          <w:sz w:val="21"/>
          <w:szCs w:val="21"/>
          <w:highlight w:val="none"/>
        </w:rPr>
        <w:t xml:space="preserve">  H.存在分级代理或代销关系、同一生产制造商关系、</w:t>
      </w:r>
      <w:r>
        <w:rPr>
          <w:rFonts w:asciiTheme="minorEastAsia" w:hAnsiTheme="minorEastAsia" w:eastAsiaTheme="minorEastAsia"/>
          <w:color w:val="auto"/>
          <w:sz w:val="21"/>
          <w:szCs w:val="21"/>
          <w:highlight w:val="none"/>
        </w:rPr>
        <w:t>管理关系、重要业务（占主营业务收入50%以上）或重要财务往来关系（如融资）等其他实质性控制关系</w:t>
      </w:r>
    </w:p>
    <w:p w14:paraId="08DF424A">
      <w:pPr>
        <w:pStyle w:val="163"/>
        <w:snapToGrid w:val="0"/>
        <w:spacing w:line="360" w:lineRule="auto"/>
        <w:ind w:right="42" w:rightChars="20" w:firstLine="420" w:firstLineChars="200"/>
        <w:jc w:val="left"/>
        <w:rPr>
          <w:rFonts w:asciiTheme="minorEastAsia" w:hAnsiTheme="minorEastAsia" w:eastAsiaTheme="minorEastAsia"/>
          <w:color w:val="auto"/>
          <w:spacing w:val="6"/>
          <w:sz w:val="21"/>
          <w:szCs w:val="21"/>
          <w:highlight w:val="none"/>
        </w:rPr>
      </w:pPr>
      <w:r>
        <w:rPr>
          <w:rFonts w:asciiTheme="minorEastAsia" w:hAnsiTheme="minorEastAsia" w:eastAsiaTheme="minorEastAsia"/>
          <w:color w:val="auto"/>
          <w:sz w:val="21"/>
          <w:szCs w:val="21"/>
          <w:highlight w:val="none"/>
        </w:rPr>
        <w:t xml:space="preserve">    I</w:t>
      </w:r>
      <w:r>
        <w:rPr>
          <w:rFonts w:asciiTheme="minorEastAsia" w:hAnsiTheme="minorEastAsia" w:eastAsiaTheme="minorEastAsia"/>
          <w:color w:val="auto"/>
          <w:kern w:val="0"/>
          <w:sz w:val="21"/>
          <w:szCs w:val="21"/>
          <w:highlight w:val="none"/>
        </w:rPr>
        <w:t>.</w:t>
      </w:r>
      <w:r>
        <w:rPr>
          <w:rFonts w:asciiTheme="minorEastAsia" w:hAnsiTheme="minorEastAsia" w:eastAsiaTheme="minorEastAsia"/>
          <w:color w:val="auto"/>
          <w:sz w:val="21"/>
          <w:szCs w:val="21"/>
          <w:highlight w:val="none"/>
        </w:rPr>
        <w:t>其他利害关系情况</w:t>
      </w:r>
      <w:r>
        <w:rPr>
          <w:rFonts w:asciiTheme="minorEastAsia" w:hAnsiTheme="minorEastAsia" w:eastAsiaTheme="minorEastAsia"/>
          <w:color w:val="auto"/>
          <w:kern w:val="0"/>
          <w:sz w:val="21"/>
          <w:szCs w:val="21"/>
          <w:highlight w:val="none"/>
        </w:rPr>
        <w:t>。</w:t>
      </w:r>
    </w:p>
    <w:p w14:paraId="1E73AF22">
      <w:pPr>
        <w:pStyle w:val="157"/>
        <w:widowControl/>
        <w:numPr>
          <w:ilvl w:val="0"/>
          <w:numId w:val="8"/>
        </w:numPr>
        <w:snapToGrid w:val="0"/>
        <w:spacing w:line="360" w:lineRule="auto"/>
        <w:ind w:right="42" w:rightChars="20" w:firstLine="420" w:firstLineChars="200"/>
        <w:jc w:val="lef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szCs w:val="21"/>
          <w:highlight w:val="none"/>
        </w:rPr>
        <w:t>现已清楚知道并</w:t>
      </w:r>
      <w:r>
        <w:rPr>
          <w:rFonts w:asciiTheme="minorEastAsia" w:hAnsiTheme="minorEastAsia" w:eastAsiaTheme="minorEastAsia"/>
          <w:color w:val="auto"/>
          <w:kern w:val="0"/>
          <w:szCs w:val="21"/>
          <w:highlight w:val="none"/>
        </w:rPr>
        <w:t>严格遵守政府采购法律法规和现场纪律。</w:t>
      </w:r>
    </w:p>
    <w:p w14:paraId="10C69577">
      <w:pPr>
        <w:pStyle w:val="157"/>
        <w:widowControl/>
        <w:numPr>
          <w:ilvl w:val="0"/>
          <w:numId w:val="8"/>
        </w:numPr>
        <w:snapToGrid w:val="0"/>
        <w:spacing w:line="360" w:lineRule="auto"/>
        <w:ind w:right="42" w:rightChars="20" w:firstLine="420" w:firstLineChars="200"/>
        <w:jc w:val="lef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我发现投标人之间存在或可能存在上述第二条第项利害关系。</w:t>
      </w:r>
    </w:p>
    <w:p w14:paraId="454AC439">
      <w:pPr>
        <w:pStyle w:val="163"/>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p>
    <w:p w14:paraId="5BFD49C5">
      <w:pPr>
        <w:pStyle w:val="163"/>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p>
    <w:p w14:paraId="3B30C97F">
      <w:pPr>
        <w:pStyle w:val="163"/>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法定代表人或其授权代表签字（或盖章）</w:t>
      </w:r>
      <w:r>
        <w:rPr>
          <w:rFonts w:asciiTheme="minorEastAsia" w:hAnsiTheme="minorEastAsia" w:eastAsiaTheme="minorEastAsia"/>
          <w:color w:val="auto"/>
          <w:sz w:val="21"/>
          <w:szCs w:val="21"/>
          <w:highlight w:val="none"/>
        </w:rPr>
        <w:t>：</w:t>
      </w:r>
    </w:p>
    <w:p w14:paraId="34091C8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 年  月  日</w:t>
      </w:r>
    </w:p>
    <w:p w14:paraId="63EEA38C">
      <w:pPr>
        <w:pStyle w:val="18"/>
        <w:rPr>
          <w:color w:val="auto"/>
          <w:highlight w:val="none"/>
        </w:rPr>
      </w:pPr>
    </w:p>
    <w:p w14:paraId="79357DD6">
      <w:pPr>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r>
        <w:rPr>
          <w:rFonts w:hint="eastAsia" w:asciiTheme="minorEastAsia" w:hAnsiTheme="minorEastAsia" w:eastAsiaTheme="minorEastAsia"/>
          <w:b/>
          <w:color w:val="auto"/>
          <w:szCs w:val="21"/>
          <w:highlight w:val="none"/>
        </w:rPr>
        <w:t>投标声明书格式：</w:t>
      </w:r>
    </w:p>
    <w:p w14:paraId="4F1AE2B5">
      <w:pPr>
        <w:snapToGrid w:val="0"/>
        <w:spacing w:line="360" w:lineRule="auto"/>
        <w:ind w:right="42" w:rightChars="20" w:firstLine="422" w:firstLineChars="20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投标声明书</w:t>
      </w:r>
    </w:p>
    <w:p w14:paraId="1576BDB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w:t>
      </w:r>
      <w:r>
        <w:rPr>
          <w:rFonts w:hint="eastAsia" w:cs="Arial" w:asciiTheme="minorEastAsia" w:hAnsiTheme="minorEastAsia" w:eastAsiaTheme="minorEastAsia"/>
          <w:color w:val="auto"/>
          <w:kern w:val="0"/>
          <w:szCs w:val="21"/>
          <w:highlight w:val="none"/>
          <w:u w:val="single"/>
        </w:rPr>
        <w:t xml:space="preserve">嘉兴市生态环境局秀洲分局  </w:t>
      </w:r>
      <w:r>
        <w:rPr>
          <w:rFonts w:hint="eastAsia" w:asciiTheme="minorEastAsia" w:hAnsiTheme="minorEastAsia" w:eastAsiaTheme="minorEastAsia"/>
          <w:color w:val="auto"/>
          <w:szCs w:val="21"/>
          <w:highlight w:val="none"/>
        </w:rPr>
        <w:t>（招标采购单位名称）：</w:t>
      </w:r>
    </w:p>
    <w:p w14:paraId="0DD9594D">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（投标人名称）</w:t>
      </w:r>
      <w:r>
        <w:rPr>
          <w:rFonts w:hint="eastAsia" w:asciiTheme="minorEastAsia" w:hAnsiTheme="minorEastAsia" w:eastAsiaTheme="minorEastAsia"/>
          <w:color w:val="auto"/>
          <w:szCs w:val="21"/>
          <w:highlight w:val="none"/>
        </w:rPr>
        <w:t>系中华人民共和国合法企业，经营地址</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67BE059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w:t>
      </w:r>
      <w:r>
        <w:rPr>
          <w:rFonts w:hint="eastAsia" w:asciiTheme="minorEastAsia" w:hAnsiTheme="minorEastAsia" w:eastAsiaTheme="minorEastAsia"/>
          <w:color w:val="auto"/>
          <w:szCs w:val="21"/>
          <w:highlight w:val="none"/>
          <w:u w:val="single"/>
        </w:rPr>
        <w:t>（姓名）</w:t>
      </w:r>
      <w:r>
        <w:rPr>
          <w:rFonts w:hint="eastAsia" w:asciiTheme="minorEastAsia" w:hAnsiTheme="minorEastAsia" w:eastAsiaTheme="minorEastAsia"/>
          <w:color w:val="auto"/>
          <w:szCs w:val="21"/>
          <w:highlight w:val="none"/>
        </w:rPr>
        <w:t>系</w:t>
      </w:r>
      <w:r>
        <w:rPr>
          <w:rFonts w:hint="eastAsia" w:asciiTheme="minorEastAsia" w:hAnsiTheme="minorEastAsia" w:eastAsiaTheme="minorEastAsia"/>
          <w:color w:val="auto"/>
          <w:szCs w:val="21"/>
          <w:highlight w:val="none"/>
          <w:u w:val="single"/>
        </w:rPr>
        <w:t>（投标人名称）</w:t>
      </w:r>
      <w:r>
        <w:rPr>
          <w:rFonts w:hint="eastAsia" w:asciiTheme="minorEastAsia" w:hAnsiTheme="minorEastAsia" w:eastAsiaTheme="minorEastAsia"/>
          <w:color w:val="auto"/>
          <w:szCs w:val="21"/>
          <w:highlight w:val="none"/>
        </w:rPr>
        <w:t>的法定代表人，我方愿意参加贵方组织的项目的投标，为便于贵方公正、择优地确定中标人及其投标产品和服务，我方就本次投标有关事项郑重声明如下：</w:t>
      </w:r>
    </w:p>
    <w:p w14:paraId="5BDCC785">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我方向贵方提交的所有投标文件、资料都是准确的和真实的</w:t>
      </w:r>
      <w:r>
        <w:rPr>
          <w:rFonts w:hint="eastAsia" w:asciiTheme="minorEastAsia" w:hAnsiTheme="minorEastAsia" w:eastAsiaTheme="minorEastAsia"/>
          <w:color w:val="auto"/>
          <w:szCs w:val="21"/>
          <w:highlight w:val="none"/>
        </w:rPr>
        <w:t>。</w:t>
      </w:r>
    </w:p>
    <w:p w14:paraId="6AD23E40">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我方不是采购人的附属机构；在获知本项目采购信息后，与采购人聘请的为此项目提供咨询服务的公司及其附属机构没有任何联系。</w:t>
      </w:r>
    </w:p>
    <w:p w14:paraId="0A4D7C8C">
      <w:pPr>
        <w:snapToGrid w:val="0"/>
        <w:spacing w:line="360" w:lineRule="auto"/>
        <w:ind w:right="42" w:rightChars="20" w:firstLine="48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pacing w:val="15"/>
          <w:kern w:val="0"/>
          <w:szCs w:val="21"/>
          <w:highlight w:val="none"/>
        </w:rPr>
        <w:t>3</w:t>
      </w:r>
      <w:r>
        <w:rPr>
          <w:rFonts w:hint="eastAsia" w:asciiTheme="minorEastAsia" w:hAnsiTheme="minorEastAsia" w:eastAsiaTheme="minorEastAsia"/>
          <w:color w:val="auto"/>
          <w:spacing w:val="15"/>
          <w:kern w:val="0"/>
          <w:szCs w:val="21"/>
          <w:highlight w:val="none"/>
        </w:rPr>
        <w:t>、</w:t>
      </w:r>
      <w:r>
        <w:rPr>
          <w:rFonts w:asciiTheme="minorEastAsia" w:hAnsiTheme="minorEastAsia" w:eastAsiaTheme="minorEastAsia"/>
          <w:color w:val="auto"/>
          <w:spacing w:val="15"/>
          <w:kern w:val="0"/>
          <w:szCs w:val="21"/>
          <w:highlight w:val="none"/>
        </w:rPr>
        <w:t>我方此次向贵方提供的</w:t>
      </w:r>
      <w:r>
        <w:rPr>
          <w:rFonts w:hint="eastAsia" w:asciiTheme="minorEastAsia" w:hAnsiTheme="minorEastAsia" w:eastAsiaTheme="minorEastAsia"/>
          <w:color w:val="auto"/>
          <w:spacing w:val="15"/>
          <w:kern w:val="0"/>
          <w:szCs w:val="21"/>
          <w:highlight w:val="none"/>
        </w:rPr>
        <w:t>服务内容为</w:t>
      </w:r>
      <w:r>
        <w:rPr>
          <w:rFonts w:hint="eastAsia" w:asciiTheme="minorEastAsia" w:hAnsiTheme="minorEastAsia" w:eastAsiaTheme="minorEastAsia"/>
          <w:color w:val="auto"/>
          <w:szCs w:val="21"/>
          <w:highlight w:val="none"/>
        </w:rPr>
        <w:t>。</w:t>
      </w:r>
    </w:p>
    <w:p w14:paraId="365DA3E0">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我方诚意提请贵方关注：</w:t>
      </w:r>
      <w:r>
        <w:rPr>
          <w:rFonts w:hint="eastAsia" w:asciiTheme="minorEastAsia" w:hAnsiTheme="minorEastAsia" w:eastAsiaTheme="minorEastAsia"/>
          <w:color w:val="auto"/>
          <w:szCs w:val="21"/>
          <w:highlight w:val="none"/>
        </w:rPr>
        <w:t>近期</w:t>
      </w:r>
      <w:r>
        <w:rPr>
          <w:rFonts w:asciiTheme="minorEastAsia" w:hAnsiTheme="minorEastAsia" w:eastAsiaTheme="minorEastAsia"/>
          <w:color w:val="auto"/>
          <w:szCs w:val="21"/>
          <w:highlight w:val="none"/>
        </w:rPr>
        <w:t>有关</w:t>
      </w:r>
      <w:r>
        <w:rPr>
          <w:rFonts w:hint="eastAsia" w:asciiTheme="minorEastAsia" w:hAnsiTheme="minorEastAsia" w:eastAsiaTheme="minorEastAsia"/>
          <w:color w:val="auto"/>
          <w:szCs w:val="21"/>
          <w:highlight w:val="none"/>
        </w:rPr>
        <w:t>项目的售后服务等方面的重大决策和事项有：</w:t>
      </w:r>
    </w:p>
    <w:p w14:paraId="04C9505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w:t>
      </w:r>
    </w:p>
    <w:p w14:paraId="09A14067">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、我方及由本人担任法定代表人的其他机构</w:t>
      </w:r>
      <w:r>
        <w:rPr>
          <w:rFonts w:asciiTheme="minorEastAsia" w:hAnsiTheme="minorEastAsia" w:eastAsiaTheme="minorEastAsia"/>
          <w:color w:val="auto"/>
          <w:szCs w:val="21"/>
          <w:highlight w:val="none"/>
        </w:rPr>
        <w:t>最近三年内被</w:t>
      </w:r>
      <w:r>
        <w:rPr>
          <w:rFonts w:hint="eastAsia" w:asciiTheme="minorEastAsia" w:hAnsiTheme="minorEastAsia" w:eastAsiaTheme="minorEastAsia"/>
          <w:color w:val="auto"/>
          <w:szCs w:val="21"/>
          <w:highlight w:val="none"/>
        </w:rPr>
        <w:t>通报或者被处罚的</w:t>
      </w:r>
      <w:r>
        <w:rPr>
          <w:rFonts w:asciiTheme="minorEastAsia" w:hAnsiTheme="minorEastAsia" w:eastAsiaTheme="minorEastAsia"/>
          <w:color w:val="auto"/>
          <w:szCs w:val="21"/>
          <w:highlight w:val="none"/>
        </w:rPr>
        <w:t>违法行为有：</w:t>
      </w:r>
    </w:p>
    <w:p w14:paraId="048387B2">
      <w:pPr>
        <w:snapToGrid w:val="0"/>
        <w:spacing w:line="360" w:lineRule="auto"/>
        <w:ind w:right="42" w:rightChars="20" w:firstLine="420" w:firstLineChars="200"/>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　　　　　　　　　　　　　　　　　　　　　　　　　　　</w:t>
      </w:r>
    </w:p>
    <w:p w14:paraId="57DFAF0F">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6、以上事项如有虚假或隐瞒，我方愿意承担一切后果，并不再寻求任何旨在减轻或免除法律责任的辩解。</w:t>
      </w:r>
    </w:p>
    <w:p w14:paraId="0FB12BF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7AC76E0F">
      <w:pPr>
        <w:pStyle w:val="163"/>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法定代表人或其授权代表签字（或盖章）</w:t>
      </w:r>
      <w:r>
        <w:rPr>
          <w:rFonts w:asciiTheme="minorEastAsia" w:hAnsiTheme="minorEastAsia" w:eastAsiaTheme="minorEastAsia"/>
          <w:color w:val="auto"/>
          <w:sz w:val="21"/>
          <w:szCs w:val="21"/>
          <w:highlight w:val="none"/>
        </w:rPr>
        <w:t>：</w:t>
      </w:r>
    </w:p>
    <w:p w14:paraId="099E2F45">
      <w:pPr>
        <w:snapToGrid w:val="0"/>
        <w:spacing w:line="360" w:lineRule="auto"/>
        <w:ind w:right="42" w:rightChars="20" w:firstLine="420" w:firstLineChars="200"/>
        <w:jc w:val="left"/>
        <w:rPr>
          <w:rFonts w:asciiTheme="minorEastAsia" w:hAnsiTheme="minorEastAsia" w:eastAsiaTheme="minorEastAsia"/>
          <w:color w:val="auto"/>
          <w:szCs w:val="21"/>
          <w:highlight w:val="none"/>
          <w:u w:val="single"/>
        </w:rPr>
      </w:pPr>
    </w:p>
    <w:p w14:paraId="5AF2F39E">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shd w:val="clear" w:color="auto" w:fill="FFFFFF"/>
        </w:rPr>
        <w:t>投标人名称：（CA签章）</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年    月    日</w:t>
      </w:r>
    </w:p>
    <w:p w14:paraId="3ED015B4">
      <w:pPr>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r>
        <w:rPr>
          <w:rFonts w:hint="eastAsia" w:asciiTheme="minorEastAsia" w:hAnsiTheme="minorEastAsia" w:eastAsiaTheme="minorEastAsia"/>
          <w:b/>
          <w:color w:val="auto"/>
          <w:szCs w:val="21"/>
          <w:highlight w:val="none"/>
        </w:rPr>
        <w:t>法定代表人授权委托书格式：</w:t>
      </w:r>
    </w:p>
    <w:p w14:paraId="1A244DCA">
      <w:pPr>
        <w:snapToGrid w:val="0"/>
        <w:spacing w:line="360" w:lineRule="auto"/>
        <w:ind w:right="42" w:rightChars="20" w:firstLine="422" w:firstLineChars="20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法定代表人授权委托书</w:t>
      </w:r>
    </w:p>
    <w:p w14:paraId="705ADAC8">
      <w:pPr>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p>
    <w:p w14:paraId="3C3977BE">
      <w:pPr>
        <w:snapToGrid w:val="0"/>
        <w:spacing w:line="360" w:lineRule="auto"/>
        <w:ind w:right="42" w:rightChars="20" w:firstLine="420" w:firstLineChars="2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Cs/>
          <w:color w:val="auto"/>
          <w:szCs w:val="21"/>
          <w:highlight w:val="none"/>
        </w:rPr>
        <w:t>致：</w:t>
      </w:r>
      <w:r>
        <w:rPr>
          <w:rFonts w:hint="eastAsia" w:cs="Arial" w:asciiTheme="minorEastAsia" w:hAnsiTheme="minorEastAsia" w:eastAsiaTheme="minorEastAsia"/>
          <w:color w:val="auto"/>
          <w:kern w:val="0"/>
          <w:szCs w:val="21"/>
          <w:highlight w:val="none"/>
          <w:u w:val="single"/>
        </w:rPr>
        <w:t xml:space="preserve">嘉兴市生态环境局秀洲分局  </w:t>
      </w:r>
      <w:r>
        <w:rPr>
          <w:rFonts w:hint="eastAsia" w:asciiTheme="minorEastAsia" w:hAnsiTheme="minorEastAsia" w:eastAsiaTheme="minorEastAsia"/>
          <w:color w:val="auto"/>
          <w:szCs w:val="21"/>
          <w:highlight w:val="none"/>
        </w:rPr>
        <w:t>（招标采购单位名称）：</w:t>
      </w:r>
    </w:p>
    <w:p w14:paraId="2753BEA4">
      <w:pPr>
        <w:shd w:val="clear" w:color="auto" w:fill="FFFFFF"/>
        <w:snapToGrid w:val="0"/>
        <w:spacing w:line="360" w:lineRule="auto"/>
        <w:ind w:right="42" w:rightChars="20"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lang w:val="zh-CN"/>
        </w:rPr>
        <w:t xml:space="preserve"> 兹委派我公司</w:t>
      </w:r>
      <w:r>
        <w:rPr>
          <w:rFonts w:hint="eastAsia" w:cs="宋体" w:asciiTheme="minorEastAsia" w:hAnsiTheme="minorEastAsia" w:eastAsiaTheme="minorEastAsia"/>
          <w:color w:val="auto"/>
          <w:kern w:val="0"/>
          <w:szCs w:val="21"/>
          <w:highlight w:val="none"/>
          <w:u w:val="single"/>
          <w:lang w:val="zh-CN"/>
        </w:rPr>
        <w:t>先生/女士</w:t>
      </w:r>
      <w:r>
        <w:rPr>
          <w:rFonts w:hint="eastAsia" w:cs="宋体" w:asciiTheme="minorEastAsia" w:hAnsiTheme="minorEastAsia" w:eastAsiaTheme="minorEastAsia"/>
          <w:color w:val="auto"/>
          <w:kern w:val="0"/>
          <w:szCs w:val="21"/>
          <w:highlight w:val="none"/>
          <w:lang w:val="zh-CN"/>
        </w:rPr>
        <w:t>(其在本公司的职务是：</w:t>
      </w:r>
      <w:r>
        <w:rPr>
          <w:rFonts w:hint="eastAsia"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lang w:val="zh-CN"/>
        </w:rPr>
        <w:t>，联系电话：</w:t>
      </w:r>
      <w:r>
        <w:rPr>
          <w:rFonts w:hint="eastAsia"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lang w:val="zh-CN"/>
        </w:rPr>
        <w:t>手机：</w:t>
      </w:r>
      <w:r>
        <w:rPr>
          <w:rFonts w:hint="eastAsia"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lang w:val="zh-CN"/>
        </w:rPr>
        <w:t>传真：</w:t>
      </w:r>
      <w:r>
        <w:rPr>
          <w:rFonts w:hint="eastAsia"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lang w:val="zh-CN"/>
        </w:rPr>
        <w:t>)，代表我公司全权处理</w:t>
      </w:r>
      <w:r>
        <w:rPr>
          <w:rFonts w:hint="eastAsia" w:asciiTheme="minorEastAsia" w:hAnsiTheme="minorEastAsia" w:eastAsiaTheme="minorEastAsia"/>
          <w:b/>
          <w:bCs/>
          <w:color w:val="auto"/>
          <w:szCs w:val="21"/>
          <w:highlight w:val="none"/>
          <w:u w:val="single"/>
          <w:lang w:val="zh-CN"/>
        </w:rPr>
        <w:t>秀洲区宁静小区建设项目</w:t>
      </w:r>
      <w:r>
        <w:rPr>
          <w:rFonts w:hint="eastAsia" w:cs="宋体" w:asciiTheme="minorEastAsia" w:hAnsiTheme="minorEastAsia" w:eastAsiaTheme="minorEastAsia"/>
          <w:color w:val="auto"/>
          <w:szCs w:val="21"/>
          <w:highlight w:val="none"/>
        </w:rPr>
        <w:t>(编号：大地-DDZX-JX（2024）第63号)政府采购投标的一切事项</w:t>
      </w:r>
      <w:r>
        <w:rPr>
          <w:rFonts w:hint="eastAsia" w:cs="宋体" w:asciiTheme="minorEastAsia" w:hAnsiTheme="minorEastAsia" w:eastAsiaTheme="minorEastAsia"/>
          <w:color w:val="auto"/>
          <w:kern w:val="0"/>
          <w:szCs w:val="21"/>
          <w:highlight w:val="none"/>
          <w:lang w:val="zh-CN"/>
        </w:rPr>
        <w:t>。</w:t>
      </w:r>
    </w:p>
    <w:p w14:paraId="3EE21301">
      <w:pPr>
        <w:shd w:val="clear" w:color="auto" w:fill="FFFFFF"/>
        <w:snapToGrid w:val="0"/>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lang w:val="zh-CN"/>
        </w:rPr>
        <w:t xml:space="preserve">    特此告知。</w:t>
      </w:r>
    </w:p>
    <w:p w14:paraId="443B0F1B">
      <w:pPr>
        <w:shd w:val="clear" w:color="auto" w:fill="FFFFFF"/>
        <w:snapToGrid w:val="0"/>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p>
    <w:p w14:paraId="6DC39618">
      <w:pPr>
        <w:shd w:val="clear" w:color="auto" w:fill="FFFFFF"/>
        <w:snapToGrid w:val="0"/>
        <w:spacing w:line="360" w:lineRule="auto"/>
        <w:ind w:right="42" w:rightChars="20" w:firstLine="420" w:firstLineChars="200"/>
        <w:jc w:val="left"/>
        <w:rPr>
          <w:rFonts w:cs="宋体" w:asciiTheme="minorEastAsia" w:hAnsiTheme="minorEastAsia" w:eastAsiaTheme="minorEastAsia"/>
          <w:color w:val="auto"/>
          <w:kern w:val="0"/>
          <w:szCs w:val="21"/>
          <w:highlight w:val="none"/>
          <w:lang w:val="zh-CN"/>
        </w:rPr>
      </w:pPr>
    </w:p>
    <w:p w14:paraId="13992DD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7782D0A2">
      <w:pPr>
        <w:snapToGrid w:val="0"/>
        <w:spacing w:line="360" w:lineRule="auto"/>
        <w:ind w:right="42" w:rightChars="20" w:firstLine="420" w:firstLineChars="200"/>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被授权人签字（或盖章）：法定代表人签字（或盖章）：</w:t>
      </w:r>
    </w:p>
    <w:p w14:paraId="279914D9">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职务：职务：</w:t>
      </w:r>
    </w:p>
    <w:p w14:paraId="7A68E26B">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被授权人身份证号码：</w:t>
      </w:r>
    </w:p>
    <w:p w14:paraId="4948C0E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25A803C0">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shd w:val="clear" w:color="auto" w:fill="FFFFFF"/>
        </w:rPr>
        <w:t>投标人名称：（CA签章）</w:t>
      </w:r>
    </w:p>
    <w:p w14:paraId="09205DD4">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年月日</w:t>
      </w:r>
    </w:p>
    <w:p w14:paraId="097DC9C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5003C9AA">
      <w:pPr>
        <w:pStyle w:val="4"/>
        <w:rPr>
          <w:rFonts w:asciiTheme="minorEastAsia" w:hAnsiTheme="minorEastAsia" w:eastAsiaTheme="minorEastAsia"/>
          <w:color w:val="auto"/>
          <w:szCs w:val="21"/>
          <w:highlight w:val="none"/>
        </w:rPr>
      </w:pPr>
    </w:p>
    <w:p w14:paraId="4A0F5B44">
      <w:pPr>
        <w:pStyle w:val="5"/>
        <w:ind w:firstLine="210"/>
        <w:rPr>
          <w:rFonts w:asciiTheme="minorEastAsia" w:hAnsiTheme="minorEastAsia" w:eastAsiaTheme="minorEastAsia"/>
          <w:color w:val="auto"/>
          <w:szCs w:val="21"/>
          <w:highlight w:val="none"/>
        </w:rPr>
      </w:pPr>
    </w:p>
    <w:p w14:paraId="0C818795">
      <w:pPr>
        <w:rPr>
          <w:rFonts w:asciiTheme="minorEastAsia" w:hAnsiTheme="minorEastAsia" w:eastAsiaTheme="minorEastAsia"/>
          <w:color w:val="auto"/>
          <w:szCs w:val="21"/>
          <w:highlight w:val="none"/>
        </w:rPr>
      </w:pPr>
    </w:p>
    <w:p w14:paraId="193623AE">
      <w:pPr>
        <w:pStyle w:val="4"/>
        <w:rPr>
          <w:rFonts w:asciiTheme="minorEastAsia" w:hAnsiTheme="minorEastAsia" w:eastAsiaTheme="minorEastAsia"/>
          <w:color w:val="auto"/>
          <w:szCs w:val="21"/>
          <w:highlight w:val="none"/>
        </w:rPr>
      </w:pPr>
    </w:p>
    <w:p w14:paraId="706F1078">
      <w:pPr>
        <w:pStyle w:val="5"/>
        <w:ind w:firstLine="210"/>
        <w:rPr>
          <w:rFonts w:asciiTheme="minorEastAsia" w:hAnsiTheme="minorEastAsia" w:eastAsiaTheme="minorEastAsia"/>
          <w:color w:val="auto"/>
          <w:szCs w:val="21"/>
          <w:highlight w:val="none"/>
        </w:rPr>
      </w:pPr>
    </w:p>
    <w:p w14:paraId="427FD660">
      <w:pPr>
        <w:rPr>
          <w:rFonts w:asciiTheme="minorEastAsia" w:hAnsiTheme="minorEastAsia" w:eastAsiaTheme="minorEastAsia"/>
          <w:color w:val="auto"/>
          <w:szCs w:val="21"/>
          <w:highlight w:val="none"/>
        </w:rPr>
      </w:pPr>
    </w:p>
    <w:p w14:paraId="3F535A42">
      <w:pPr>
        <w:pStyle w:val="4"/>
        <w:rPr>
          <w:rFonts w:asciiTheme="minorEastAsia" w:hAnsiTheme="minorEastAsia" w:eastAsiaTheme="minorEastAsia"/>
          <w:color w:val="auto"/>
          <w:szCs w:val="21"/>
          <w:highlight w:val="none"/>
        </w:rPr>
      </w:pPr>
    </w:p>
    <w:p w14:paraId="4D3DC727">
      <w:pPr>
        <w:pStyle w:val="5"/>
        <w:ind w:firstLine="210"/>
        <w:rPr>
          <w:rFonts w:asciiTheme="minorEastAsia" w:hAnsiTheme="minorEastAsia" w:eastAsiaTheme="minorEastAsia"/>
          <w:color w:val="auto"/>
          <w:szCs w:val="21"/>
          <w:highlight w:val="none"/>
        </w:rPr>
      </w:pPr>
    </w:p>
    <w:p w14:paraId="7D55DF6E">
      <w:pPr>
        <w:rPr>
          <w:rFonts w:asciiTheme="minorEastAsia" w:hAnsiTheme="minorEastAsia" w:eastAsiaTheme="minorEastAsia"/>
          <w:color w:val="auto"/>
          <w:szCs w:val="21"/>
          <w:highlight w:val="none"/>
        </w:rPr>
      </w:pPr>
    </w:p>
    <w:p w14:paraId="00D6D689">
      <w:pPr>
        <w:pStyle w:val="4"/>
        <w:rPr>
          <w:rFonts w:asciiTheme="minorEastAsia" w:hAnsiTheme="minorEastAsia" w:eastAsiaTheme="minorEastAsia"/>
          <w:color w:val="auto"/>
          <w:szCs w:val="21"/>
          <w:highlight w:val="none"/>
        </w:rPr>
      </w:pPr>
    </w:p>
    <w:p w14:paraId="7DF5C198">
      <w:pPr>
        <w:pStyle w:val="5"/>
        <w:ind w:firstLine="210"/>
        <w:rPr>
          <w:rFonts w:asciiTheme="minorEastAsia" w:hAnsiTheme="minorEastAsia" w:eastAsiaTheme="minorEastAsia"/>
          <w:color w:val="auto"/>
          <w:szCs w:val="21"/>
          <w:highlight w:val="none"/>
        </w:rPr>
      </w:pPr>
    </w:p>
    <w:p w14:paraId="642E1EC1">
      <w:pPr>
        <w:rPr>
          <w:rFonts w:asciiTheme="minorEastAsia" w:hAnsiTheme="minorEastAsia" w:eastAsiaTheme="minorEastAsia"/>
          <w:color w:val="auto"/>
          <w:szCs w:val="21"/>
          <w:highlight w:val="none"/>
        </w:rPr>
      </w:pPr>
    </w:p>
    <w:p w14:paraId="15027DC8">
      <w:pPr>
        <w:pStyle w:val="4"/>
        <w:rPr>
          <w:rFonts w:asciiTheme="minorEastAsia" w:hAnsiTheme="minorEastAsia" w:eastAsiaTheme="minorEastAsia"/>
          <w:color w:val="auto"/>
          <w:szCs w:val="21"/>
          <w:highlight w:val="none"/>
        </w:rPr>
      </w:pPr>
    </w:p>
    <w:p w14:paraId="333DFC1C">
      <w:pPr>
        <w:pStyle w:val="5"/>
        <w:ind w:firstLine="210"/>
        <w:rPr>
          <w:rFonts w:asciiTheme="minorEastAsia" w:hAnsiTheme="minorEastAsia" w:eastAsiaTheme="minorEastAsia"/>
          <w:color w:val="auto"/>
          <w:szCs w:val="21"/>
          <w:highlight w:val="none"/>
        </w:rPr>
      </w:pPr>
    </w:p>
    <w:p w14:paraId="6FB7FE96">
      <w:pPr>
        <w:rPr>
          <w:rFonts w:asciiTheme="minorEastAsia" w:hAnsiTheme="minorEastAsia" w:eastAsiaTheme="minorEastAsia"/>
          <w:color w:val="auto"/>
          <w:szCs w:val="21"/>
          <w:highlight w:val="none"/>
        </w:rPr>
      </w:pPr>
    </w:p>
    <w:p w14:paraId="21AE89A0">
      <w:pPr>
        <w:pStyle w:val="4"/>
        <w:rPr>
          <w:rFonts w:asciiTheme="minorEastAsia" w:hAnsiTheme="minorEastAsia" w:eastAsiaTheme="minorEastAsia"/>
          <w:color w:val="auto"/>
          <w:szCs w:val="21"/>
          <w:highlight w:val="none"/>
        </w:rPr>
      </w:pPr>
    </w:p>
    <w:p w14:paraId="117D7D2D">
      <w:pPr>
        <w:pStyle w:val="5"/>
        <w:ind w:firstLine="210"/>
        <w:rPr>
          <w:rFonts w:asciiTheme="minorEastAsia" w:hAnsiTheme="minorEastAsia" w:eastAsiaTheme="minorEastAsia"/>
          <w:color w:val="auto"/>
          <w:szCs w:val="21"/>
          <w:highlight w:val="none"/>
        </w:rPr>
      </w:pPr>
    </w:p>
    <w:p w14:paraId="48CE4A1A">
      <w:pPr>
        <w:autoSpaceDE w:val="0"/>
        <w:autoSpaceDN w:val="0"/>
        <w:spacing w:line="360" w:lineRule="auto"/>
        <w:jc w:val="center"/>
        <w:rPr>
          <w:rFonts w:asciiTheme="minorEastAsia" w:hAnsiTheme="minorEastAsia" w:eastAsiaTheme="minorEastAsia" w:cstheme="minorEastAsia"/>
          <w:b/>
          <w:color w:val="auto"/>
          <w:kern w:val="0"/>
          <w:szCs w:val="21"/>
          <w:highlight w:val="none"/>
          <w:lang w:val="zh-CN"/>
        </w:rPr>
      </w:pPr>
      <w:r>
        <w:rPr>
          <w:rFonts w:hint="eastAsia" w:asciiTheme="minorEastAsia" w:hAnsiTheme="minorEastAsia" w:eastAsiaTheme="minorEastAsia" w:cstheme="minorEastAsia"/>
          <w:b/>
          <w:color w:val="auto"/>
          <w:kern w:val="0"/>
          <w:szCs w:val="21"/>
          <w:highlight w:val="none"/>
          <w:lang w:val="zh-CN"/>
        </w:rPr>
        <w:t>联合协议（如为联合体投标的，则需提供联合体授权书）</w:t>
      </w:r>
    </w:p>
    <w:p w14:paraId="54EECBCD">
      <w:pPr>
        <w:pStyle w:val="7"/>
        <w:spacing w:line="240" w:lineRule="auto"/>
        <w:rPr>
          <w:color w:val="auto"/>
          <w:highlight w:val="none"/>
          <w:lang w:val="zh-CN"/>
        </w:rPr>
      </w:pPr>
    </w:p>
    <w:p w14:paraId="661EEC48">
      <w:pPr>
        <w:widowControl/>
        <w:spacing w:line="360" w:lineRule="auto"/>
        <w:ind w:firstLine="422" w:firstLineChars="200"/>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（以联合体形式投标的，提供联合协议；本项目不接受联合体投标或者投标人不以联合体形式投标的，则不需要提供）</w:t>
      </w:r>
    </w:p>
    <w:p w14:paraId="5864E930">
      <w:pPr>
        <w:snapToGrid w:val="0"/>
        <w:spacing w:line="360" w:lineRule="auto"/>
        <w:ind w:firstLine="576"/>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u w:val="single"/>
        </w:rPr>
        <w:t>（联合体所有成员名称）</w:t>
      </w:r>
      <w:r>
        <w:rPr>
          <w:rFonts w:hint="eastAsia" w:asciiTheme="minorEastAsia" w:hAnsiTheme="minorEastAsia" w:eastAsiaTheme="minorEastAsia" w:cstheme="minorEastAsia"/>
          <w:color w:val="auto"/>
          <w:kern w:val="0"/>
          <w:szCs w:val="21"/>
          <w:highlight w:val="none"/>
        </w:rPr>
        <w:t>自愿</w:t>
      </w:r>
      <w:r>
        <w:rPr>
          <w:rFonts w:hint="eastAsia" w:asciiTheme="minorEastAsia" w:hAnsiTheme="minorEastAsia" w:eastAsiaTheme="minorEastAsia" w:cstheme="minorEastAsia"/>
          <w:color w:val="auto"/>
          <w:kern w:val="0"/>
          <w:szCs w:val="21"/>
          <w:highlight w:val="none"/>
          <w:lang w:val="zh-CN"/>
        </w:rPr>
        <w:t>组成一个联合体，以一个投标人的身份</w:t>
      </w:r>
      <w:r>
        <w:rPr>
          <w:rFonts w:hint="eastAsia" w:asciiTheme="minorEastAsia" w:hAnsiTheme="minorEastAsia" w:eastAsiaTheme="minorEastAsia" w:cstheme="minorEastAsia"/>
          <w:color w:val="auto"/>
          <w:kern w:val="0"/>
          <w:szCs w:val="21"/>
          <w:highlight w:val="none"/>
        </w:rPr>
        <w:t>参加</w:t>
      </w:r>
      <w:r>
        <w:rPr>
          <w:rFonts w:hint="eastAsia" w:asciiTheme="minorEastAsia" w:hAnsiTheme="minorEastAsia" w:eastAsiaTheme="minorEastAsia" w:cstheme="minorEastAsia"/>
          <w:color w:val="auto"/>
          <w:szCs w:val="21"/>
          <w:highlight w:val="none"/>
        </w:rPr>
        <w:t>（项目名称）【招标编号：（采购编号）】</w:t>
      </w:r>
      <w:r>
        <w:rPr>
          <w:rFonts w:hint="eastAsia" w:asciiTheme="minorEastAsia" w:hAnsiTheme="minorEastAsia" w:eastAsiaTheme="minorEastAsia" w:cstheme="minorEastAsia"/>
          <w:color w:val="auto"/>
          <w:kern w:val="0"/>
          <w:szCs w:val="21"/>
          <w:highlight w:val="none"/>
          <w:lang w:val="zh-CN"/>
        </w:rPr>
        <w:t xml:space="preserve">投标。 </w:t>
      </w:r>
    </w:p>
    <w:p w14:paraId="00ADC363">
      <w:pPr>
        <w:snapToGrid w:val="0"/>
        <w:spacing w:line="360" w:lineRule="auto"/>
        <w:ind w:firstLine="576"/>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一、各方一致决定，</w:t>
      </w:r>
      <w:r>
        <w:rPr>
          <w:rFonts w:hint="eastAsia" w:asciiTheme="minorEastAsia" w:hAnsiTheme="minorEastAsia" w:eastAsiaTheme="minorEastAsia" w:cstheme="minorEastAsia"/>
          <w:color w:val="auto"/>
          <w:kern w:val="0"/>
          <w:szCs w:val="21"/>
          <w:highlight w:val="none"/>
          <w:u w:val="single"/>
        </w:rPr>
        <w:t>（某联合体成员名称）</w:t>
      </w:r>
      <w:r>
        <w:rPr>
          <w:rFonts w:hint="eastAsia" w:asciiTheme="minorEastAsia" w:hAnsiTheme="minorEastAsia" w:eastAsiaTheme="minorEastAsia" w:cstheme="minorEastAsia"/>
          <w:color w:val="auto"/>
          <w:kern w:val="0"/>
          <w:szCs w:val="21"/>
          <w:highlight w:val="none"/>
        </w:rPr>
        <w:t>为联合体</w:t>
      </w:r>
      <w:r>
        <w:rPr>
          <w:rFonts w:hint="eastAsia" w:asciiTheme="minorEastAsia" w:hAnsiTheme="minorEastAsia" w:eastAsiaTheme="minorEastAsia" w:cstheme="minorEastAsia"/>
          <w:color w:val="auto"/>
          <w:kern w:val="0"/>
          <w:szCs w:val="21"/>
          <w:highlight w:val="none"/>
          <w:lang w:val="zh-CN"/>
        </w:rPr>
        <w:t>牵头人</w:t>
      </w:r>
      <w:r>
        <w:rPr>
          <w:rFonts w:hint="eastAsia" w:asciiTheme="minorEastAsia" w:hAnsiTheme="minorEastAsia" w:eastAsiaTheme="minorEastAsia" w:cstheme="minorEastAsia"/>
          <w:color w:val="auto"/>
          <w:szCs w:val="21"/>
          <w:highlight w:val="none"/>
        </w:rPr>
        <w:t>，代表所有联合体成员负责投标和合同实施阶段的主办、协调工作</w:t>
      </w:r>
      <w:r>
        <w:rPr>
          <w:rFonts w:hint="eastAsia" w:asciiTheme="minorEastAsia" w:hAnsiTheme="minorEastAsia" w:eastAsiaTheme="minorEastAsia" w:cstheme="minorEastAsia"/>
          <w:color w:val="auto"/>
          <w:kern w:val="0"/>
          <w:szCs w:val="21"/>
          <w:highlight w:val="none"/>
          <w:lang w:val="zh-CN"/>
        </w:rPr>
        <w:t>。</w:t>
      </w:r>
    </w:p>
    <w:p w14:paraId="72C83C32">
      <w:pPr>
        <w:snapToGrid w:val="0"/>
        <w:spacing w:line="360" w:lineRule="auto"/>
        <w:ind w:firstLine="576"/>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二、</w:t>
      </w:r>
      <w:r>
        <w:rPr>
          <w:rFonts w:hint="eastAsia" w:asciiTheme="minorEastAsia" w:hAnsiTheme="minorEastAsia" w:eastAsiaTheme="minorEastAsia" w:cstheme="minorEastAsia"/>
          <w:color w:val="auto"/>
          <w:szCs w:val="21"/>
          <w:highlight w:val="none"/>
        </w:rPr>
        <w:t>所有联合体成员各方签署授权书，授权书载明的</w:t>
      </w:r>
      <w:r>
        <w:rPr>
          <w:rFonts w:hint="eastAsia" w:asciiTheme="minorEastAsia" w:hAnsiTheme="minorEastAsia" w:eastAsiaTheme="minorEastAsia" w:cstheme="minorEastAsia"/>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306210E9">
      <w:pPr>
        <w:snapToGrid w:val="0"/>
        <w:spacing w:line="360" w:lineRule="auto"/>
        <w:ind w:firstLine="576"/>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三、本次联合投标中，分工如下：</w:t>
      </w:r>
    </w:p>
    <w:p w14:paraId="3F5F37A8">
      <w:pPr>
        <w:snapToGrid w:val="0"/>
        <w:spacing w:line="360" w:lineRule="auto"/>
        <w:ind w:firstLine="576"/>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u w:val="single"/>
        </w:rPr>
        <w:t>（联合体成员1）</w:t>
      </w:r>
      <w:r>
        <w:rPr>
          <w:rFonts w:hint="eastAsia" w:asciiTheme="minorEastAsia" w:hAnsiTheme="minorEastAsia" w:eastAsiaTheme="minorEastAsia" w:cstheme="minorEastAsia"/>
          <w:color w:val="auto"/>
          <w:kern w:val="0"/>
          <w:szCs w:val="21"/>
          <w:highlight w:val="none"/>
          <w:lang w:val="zh-CN"/>
        </w:rPr>
        <w:t>承担的工作和义务为：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kern w:val="0"/>
          <w:szCs w:val="21"/>
          <w:highlight w:val="none"/>
          <w:lang w:val="zh-CN"/>
        </w:rPr>
        <w:t>；</w:t>
      </w:r>
    </w:p>
    <w:p w14:paraId="652D803E">
      <w:pPr>
        <w:snapToGrid w:val="0"/>
        <w:spacing w:line="360" w:lineRule="auto"/>
        <w:ind w:firstLine="576"/>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u w:val="single"/>
        </w:rPr>
        <w:t>（联合体成员2）</w:t>
      </w:r>
      <w:r>
        <w:rPr>
          <w:rFonts w:hint="eastAsia" w:asciiTheme="minorEastAsia" w:hAnsiTheme="minorEastAsia" w:eastAsiaTheme="minorEastAsia" w:cstheme="minorEastAsia"/>
          <w:color w:val="auto"/>
          <w:kern w:val="0"/>
          <w:szCs w:val="21"/>
          <w:highlight w:val="none"/>
          <w:lang w:val="zh-CN"/>
        </w:rPr>
        <w:t>承担的工作和义务为：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kern w:val="0"/>
          <w:szCs w:val="21"/>
          <w:highlight w:val="none"/>
          <w:lang w:val="zh-CN"/>
        </w:rPr>
        <w:t>；</w:t>
      </w:r>
    </w:p>
    <w:p w14:paraId="32DEE4B8">
      <w:pPr>
        <w:snapToGrid w:val="0"/>
        <w:spacing w:line="360" w:lineRule="auto"/>
        <w:ind w:firstLine="576"/>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w:t>
      </w:r>
    </w:p>
    <w:p w14:paraId="433D26B7">
      <w:pPr>
        <w:snapToGrid w:val="0"/>
        <w:spacing w:line="360" w:lineRule="auto"/>
        <w:ind w:firstLine="576"/>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四、联合体成员中小企业合同份额。</w:t>
      </w:r>
    </w:p>
    <w:p w14:paraId="1E5A9D39">
      <w:pPr>
        <w:snapToGrid w:val="0"/>
        <w:spacing w:line="360" w:lineRule="auto"/>
        <w:ind w:firstLine="576"/>
        <w:rPr>
          <w:rFonts w:asciiTheme="minorEastAsia" w:hAnsiTheme="minorEastAsia" w:eastAsiaTheme="minorEastAsia" w:cstheme="minorEastAsia"/>
          <w:b/>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1、</w:t>
      </w:r>
      <w:r>
        <w:rPr>
          <w:rFonts w:hint="eastAsia" w:asciiTheme="minorEastAsia" w:hAnsiTheme="minorEastAsia" w:eastAsiaTheme="minorEastAsia" w:cstheme="minorEastAsia"/>
          <w:color w:val="auto"/>
          <w:kern w:val="0"/>
          <w:szCs w:val="21"/>
          <w:highlight w:val="none"/>
          <w:u w:val="single"/>
        </w:rPr>
        <w:t>（</w:t>
      </w:r>
      <w:bookmarkStart w:id="334" w:name="_Hlk101131882"/>
      <w:r>
        <w:rPr>
          <w:rFonts w:hint="eastAsia" w:asciiTheme="minorEastAsia" w:hAnsiTheme="minorEastAsia" w:eastAsiaTheme="minorEastAsia" w:cstheme="minorEastAsia"/>
          <w:color w:val="auto"/>
          <w:kern w:val="0"/>
          <w:szCs w:val="21"/>
          <w:highlight w:val="none"/>
          <w:u w:val="single"/>
        </w:rPr>
        <w:t>联合体成员X,……</w:t>
      </w:r>
      <w:bookmarkEnd w:id="334"/>
      <w:r>
        <w:rPr>
          <w:rFonts w:hint="eastAsia" w:asciiTheme="minorEastAsia" w:hAnsiTheme="minorEastAsia" w:eastAsiaTheme="minorEastAsia" w:cstheme="minorEastAsia"/>
          <w:color w:val="auto"/>
          <w:kern w:val="0"/>
          <w:szCs w:val="21"/>
          <w:highlight w:val="none"/>
          <w:u w:val="single"/>
        </w:rPr>
        <w:t>）</w:t>
      </w:r>
      <w:r>
        <w:rPr>
          <w:rFonts w:hint="eastAsia" w:asciiTheme="minorEastAsia" w:hAnsiTheme="minorEastAsia" w:eastAsiaTheme="minorEastAsia" w:cstheme="minorEastAsia"/>
          <w:color w:val="auto"/>
          <w:kern w:val="0"/>
          <w:szCs w:val="21"/>
          <w:highlight w:val="none"/>
        </w:rPr>
        <w:t>提供的服务由小微企业承接，其合同份额占到合同总金额</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%以上</w:t>
      </w:r>
      <w:r>
        <w:rPr>
          <w:rFonts w:hint="eastAsia" w:asciiTheme="minorEastAsia" w:hAnsiTheme="minorEastAsia" w:eastAsiaTheme="minorEastAsia" w:cstheme="minorEastAsia"/>
          <w:color w:val="auto"/>
          <w:kern w:val="0"/>
          <w:szCs w:val="21"/>
          <w:highlight w:val="none"/>
          <w:lang w:val="zh-CN"/>
        </w:rPr>
        <w:t>。</w:t>
      </w:r>
      <w:r>
        <w:rPr>
          <w:rFonts w:hint="eastAsia" w:asciiTheme="minorEastAsia" w:hAnsiTheme="minorEastAsia" w:eastAsiaTheme="minorEastAsia" w:cstheme="minorEastAsia"/>
          <w:b/>
          <w:color w:val="auto"/>
          <w:kern w:val="0"/>
          <w:szCs w:val="21"/>
          <w:highlight w:val="none"/>
          <w:lang w:val="zh-CN"/>
        </w:rPr>
        <w:t>（</w:t>
      </w:r>
      <w:bookmarkStart w:id="335" w:name="_Hlk101133598"/>
      <w:r>
        <w:rPr>
          <w:rFonts w:hint="eastAsia" w:asciiTheme="minorEastAsia" w:hAnsiTheme="minorEastAsia" w:eastAsiaTheme="minorEastAsia" w:cstheme="minorEastAsia"/>
          <w:b/>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color w:val="auto"/>
          <w:szCs w:val="21"/>
          <w:highlight w:val="none"/>
        </w:rPr>
        <w:t>拟享受以上价格扣除政策的，填写有关内容。</w:t>
      </w:r>
      <w:bookmarkEnd w:id="335"/>
      <w:r>
        <w:rPr>
          <w:rFonts w:hint="eastAsia" w:asciiTheme="minorEastAsia" w:hAnsiTheme="minorEastAsia" w:eastAsiaTheme="minorEastAsia" w:cstheme="minorEastAsia"/>
          <w:b/>
          <w:color w:val="auto"/>
          <w:kern w:val="0"/>
          <w:szCs w:val="21"/>
          <w:highlight w:val="none"/>
          <w:lang w:val="zh-CN"/>
        </w:rPr>
        <w:t>）</w:t>
      </w:r>
    </w:p>
    <w:p w14:paraId="622E2BD7">
      <w:pPr>
        <w:spacing w:line="360" w:lineRule="auto"/>
        <w:ind w:firstLine="420" w:firstLineChars="200"/>
        <w:rPr>
          <w:rFonts w:asciiTheme="minorEastAsia" w:hAnsiTheme="minorEastAsia" w:eastAsiaTheme="minorEastAsia" w:cstheme="minorEastAsia"/>
          <w:b/>
          <w:bCs/>
          <w:color w:val="auto"/>
          <w:kern w:val="0"/>
          <w:szCs w:val="21"/>
          <w:highlight w:val="none"/>
          <w:lang w:val="zh-CN"/>
        </w:rPr>
      </w:pPr>
      <w:r>
        <w:rPr>
          <w:rFonts w:hint="eastAsia" w:asciiTheme="minorEastAsia" w:hAnsiTheme="minorEastAsia" w:eastAsiaTheme="minorEastAsia" w:cstheme="minorEastAsia"/>
          <w:color w:val="auto"/>
          <w:szCs w:val="21"/>
          <w:highlight w:val="none"/>
        </w:rPr>
        <w:t>2、</w:t>
      </w:r>
      <w:bookmarkStart w:id="336" w:name="_Hlk101133173"/>
      <w:r>
        <w:rPr>
          <w:rFonts w:hint="eastAsia" w:asciiTheme="minorEastAsia" w:hAnsiTheme="minorEastAsia" w:eastAsiaTheme="minorEastAsia" w:cstheme="minorEastAsia"/>
          <w:color w:val="auto"/>
          <w:szCs w:val="21"/>
          <w:highlight w:val="none"/>
        </w:rPr>
        <w:t>中小企业合同金额达到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%，小微企业合同金额达到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lang w:val="zh-CN"/>
        </w:rPr>
        <w:t>。</w:t>
      </w:r>
      <w:r>
        <w:rPr>
          <w:rFonts w:hint="eastAsia" w:asciiTheme="minorEastAsia" w:hAnsiTheme="minorEastAsia" w:eastAsiaTheme="minorEastAsia" w:cstheme="minorEastAsia"/>
          <w:b/>
          <w:bCs/>
          <w:color w:val="auto"/>
          <w:kern w:val="0"/>
          <w:szCs w:val="21"/>
          <w:highlight w:val="none"/>
          <w:lang w:val="zh-CN"/>
        </w:rPr>
        <w:t>（</w:t>
      </w:r>
      <w:r>
        <w:rPr>
          <w:rFonts w:hint="eastAsia" w:asciiTheme="minorEastAsia" w:hAnsiTheme="minorEastAsia" w:eastAsiaTheme="minorEastAsia" w:cstheme="minorEastAsia"/>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color w:val="auto"/>
          <w:kern w:val="0"/>
          <w:szCs w:val="21"/>
          <w:highlight w:val="none"/>
          <w:lang w:val="zh-CN"/>
        </w:rPr>
        <w:t>）</w:t>
      </w:r>
      <w:bookmarkEnd w:id="336"/>
    </w:p>
    <w:p w14:paraId="7A3225A9">
      <w:pPr>
        <w:snapToGrid w:val="0"/>
        <w:spacing w:line="360" w:lineRule="auto"/>
        <w:ind w:firstLine="576"/>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五、如果中标，</w:t>
      </w:r>
      <w:r>
        <w:rPr>
          <w:rFonts w:hint="eastAsia" w:asciiTheme="minorEastAsia" w:hAnsiTheme="minorEastAsia" w:eastAsiaTheme="minorEastAsia" w:cstheme="minorEastAsia"/>
          <w:color w:val="auto"/>
          <w:szCs w:val="21"/>
          <w:highlight w:val="none"/>
        </w:rPr>
        <w:t>联合体各成员方共同与采购人签订合同，并就采购合同约定的事项对采购人承担连带责任。</w:t>
      </w:r>
    </w:p>
    <w:p w14:paraId="64ABCCA9">
      <w:pPr>
        <w:snapToGrid w:val="0"/>
        <w:spacing w:line="360" w:lineRule="auto"/>
        <w:ind w:firstLine="576"/>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六、有关本次联合投标的其他事宜：</w:t>
      </w:r>
    </w:p>
    <w:p w14:paraId="79804E89">
      <w:pPr>
        <w:snapToGrid w:val="0"/>
        <w:spacing w:line="360" w:lineRule="auto"/>
        <w:ind w:firstLine="576"/>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1、联合体各方不再单独参加或者与其他供应商另外组成联合体参加同一合同项下的政府采购活动。</w:t>
      </w:r>
    </w:p>
    <w:p w14:paraId="6A5F8F41">
      <w:pPr>
        <w:snapToGrid w:val="0"/>
        <w:spacing w:line="360" w:lineRule="auto"/>
        <w:ind w:firstLine="576"/>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2、联合体中有同类资质的各方按照联合体分工承担相同工作的，按照资质等级较低的供应商确定资质等级。</w:t>
      </w:r>
    </w:p>
    <w:p w14:paraId="1CA30E5E">
      <w:pPr>
        <w:snapToGrid w:val="0"/>
        <w:spacing w:line="360" w:lineRule="auto"/>
        <w:ind w:firstLine="576"/>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3、本协议提交采购人、采购代理机构后，联合体各方不得以任何形式对上述内容进行修改或撤销。</w:t>
      </w:r>
    </w:p>
    <w:p w14:paraId="0B39B9B6">
      <w:pPr>
        <w:snapToGrid w:val="0"/>
        <w:spacing w:line="360" w:lineRule="auto"/>
        <w:ind w:firstLine="4410" w:firstLineChars="2100"/>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联合体成员名称(公章)：</w:t>
      </w:r>
    </w:p>
    <w:p w14:paraId="59EBC7E7">
      <w:pPr>
        <w:snapToGrid w:val="0"/>
        <w:spacing w:line="360" w:lineRule="auto"/>
        <w:ind w:firstLine="4410" w:firstLineChars="2100"/>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联合体成员名称(公章)：</w:t>
      </w:r>
    </w:p>
    <w:p w14:paraId="343737A6">
      <w:pPr>
        <w:snapToGrid w:val="0"/>
        <w:spacing w:line="360" w:lineRule="auto"/>
        <w:ind w:right="960"/>
        <w:jc w:val="center"/>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 xml:space="preserve">                   ……</w:t>
      </w:r>
    </w:p>
    <w:p w14:paraId="37FFF659">
      <w:pPr>
        <w:snapToGrid w:val="0"/>
        <w:spacing w:line="360" w:lineRule="auto"/>
        <w:jc w:val="right"/>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日期：  年  月   日</w:t>
      </w:r>
    </w:p>
    <w:p w14:paraId="0AC5AE2F">
      <w:pPr>
        <w:spacing w:line="360" w:lineRule="auto"/>
        <w:ind w:righ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注：按本格式和要求提供。</w:t>
      </w:r>
    </w:p>
    <w:p w14:paraId="3A6C59FD">
      <w:pPr>
        <w:pStyle w:val="29"/>
        <w:snapToGrid w:val="0"/>
        <w:spacing w:line="360" w:lineRule="auto"/>
        <w:ind w:right="42" w:rightChars="20" w:firstLine="422" w:firstLineChars="200"/>
        <w:jc w:val="left"/>
        <w:rPr>
          <w:rFonts w:asciiTheme="minorEastAsia" w:hAnsiTheme="minorEastAsia" w:eastAsiaTheme="minorEastAsia" w:cstheme="minorEastAsia"/>
          <w:b/>
          <w:color w:val="auto"/>
          <w:szCs w:val="21"/>
          <w:highlight w:val="none"/>
        </w:rPr>
      </w:pPr>
    </w:p>
    <w:p w14:paraId="1C7639D2">
      <w:pPr>
        <w:pStyle w:val="29"/>
        <w:snapToGrid w:val="0"/>
        <w:spacing w:line="360" w:lineRule="auto"/>
        <w:ind w:right="42" w:rightChars="20" w:firstLine="422" w:firstLineChars="200"/>
        <w:jc w:val="left"/>
        <w:rPr>
          <w:rFonts w:asciiTheme="minorEastAsia" w:hAnsiTheme="minorEastAsia" w:eastAsiaTheme="minorEastAsia" w:cstheme="minorEastAsia"/>
          <w:b/>
          <w:color w:val="auto"/>
          <w:szCs w:val="21"/>
          <w:highlight w:val="none"/>
        </w:rPr>
      </w:pPr>
    </w:p>
    <w:p w14:paraId="51D0A42F">
      <w:pPr>
        <w:pStyle w:val="29"/>
        <w:snapToGrid w:val="0"/>
        <w:spacing w:line="360" w:lineRule="auto"/>
        <w:ind w:right="42" w:rightChars="20" w:firstLine="422" w:firstLineChars="200"/>
        <w:jc w:val="left"/>
        <w:rPr>
          <w:rFonts w:asciiTheme="minorEastAsia" w:hAnsiTheme="minorEastAsia" w:eastAsiaTheme="minorEastAsia" w:cstheme="minorEastAsia"/>
          <w:b/>
          <w:color w:val="auto"/>
          <w:szCs w:val="21"/>
          <w:highlight w:val="none"/>
        </w:rPr>
      </w:pPr>
    </w:p>
    <w:p w14:paraId="0385FD49">
      <w:pPr>
        <w:pStyle w:val="4"/>
        <w:spacing w:line="360" w:lineRule="auto"/>
        <w:rPr>
          <w:rFonts w:asciiTheme="minorEastAsia" w:hAnsiTheme="minorEastAsia" w:eastAsiaTheme="minorEastAsia" w:cstheme="minorEastAsia"/>
          <w:b/>
          <w:color w:val="auto"/>
          <w:szCs w:val="21"/>
          <w:highlight w:val="none"/>
        </w:rPr>
      </w:pPr>
    </w:p>
    <w:p w14:paraId="20010E41">
      <w:pPr>
        <w:rPr>
          <w:color w:val="auto"/>
          <w:highlight w:val="none"/>
        </w:rPr>
      </w:pPr>
    </w:p>
    <w:p w14:paraId="7DFD1770">
      <w:pPr>
        <w:pStyle w:val="4"/>
        <w:rPr>
          <w:color w:val="auto"/>
          <w:highlight w:val="none"/>
        </w:rPr>
      </w:pPr>
    </w:p>
    <w:p w14:paraId="29203DAB">
      <w:pPr>
        <w:pStyle w:val="5"/>
        <w:ind w:firstLine="210"/>
        <w:rPr>
          <w:color w:val="auto"/>
          <w:highlight w:val="none"/>
        </w:rPr>
      </w:pPr>
    </w:p>
    <w:p w14:paraId="4FFF580D">
      <w:pPr>
        <w:rPr>
          <w:color w:val="auto"/>
          <w:highlight w:val="none"/>
        </w:rPr>
      </w:pPr>
    </w:p>
    <w:p w14:paraId="42E59FD9">
      <w:pPr>
        <w:pStyle w:val="4"/>
        <w:rPr>
          <w:color w:val="auto"/>
          <w:highlight w:val="none"/>
        </w:rPr>
      </w:pPr>
    </w:p>
    <w:p w14:paraId="7F47A214">
      <w:pPr>
        <w:pStyle w:val="5"/>
        <w:ind w:firstLine="210"/>
        <w:rPr>
          <w:color w:val="auto"/>
          <w:highlight w:val="none"/>
        </w:rPr>
      </w:pPr>
    </w:p>
    <w:p w14:paraId="3DDDAFF6">
      <w:pPr>
        <w:rPr>
          <w:color w:val="auto"/>
          <w:highlight w:val="none"/>
        </w:rPr>
      </w:pPr>
    </w:p>
    <w:p w14:paraId="0194EB8E">
      <w:pPr>
        <w:pStyle w:val="29"/>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1367FA5D">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66EA2DBE">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1D238657">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5986EB0B">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3FA8D0F9">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0484757B">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6DD57F2F">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34612412">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081F5302">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79ECCB6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76BC3EAC">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0A73B48C">
      <w:pPr>
        <w:pStyle w:val="2"/>
        <w:rPr>
          <w:rFonts w:asciiTheme="minorEastAsia" w:hAnsiTheme="minorEastAsia" w:eastAsiaTheme="minorEastAsia"/>
          <w:color w:val="auto"/>
          <w:szCs w:val="21"/>
          <w:highlight w:val="none"/>
        </w:rPr>
      </w:pPr>
    </w:p>
    <w:p w14:paraId="08468A86">
      <w:pPr>
        <w:pStyle w:val="4"/>
        <w:rPr>
          <w:color w:val="auto"/>
          <w:highlight w:val="none"/>
        </w:rPr>
      </w:pPr>
    </w:p>
    <w:p w14:paraId="0F44A8A9">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04BF3D0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7C3695B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2881E2F7">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14:paraId="5FA3D4CC">
      <w:pPr>
        <w:spacing w:line="360" w:lineRule="auto"/>
        <w:rPr>
          <w:rFonts w:ascii="仿宋" w:hAnsi="仿宋" w:eastAsia="仿宋" w:cs="仿宋"/>
          <w:color w:val="auto"/>
          <w:highlight w:val="none"/>
        </w:rPr>
      </w:pPr>
    </w:p>
    <w:p w14:paraId="7301F200">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73459AC">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0E96003F">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6841058">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426A7009">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C14162C">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739F275">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3D430F66">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40A16E47">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67F8B753">
      <w:pPr>
        <w:spacing w:line="360" w:lineRule="auto"/>
        <w:ind w:right="420"/>
        <w:rPr>
          <w:rFonts w:ascii="仿宋" w:hAnsi="仿宋" w:eastAsia="仿宋" w:cs="仿宋"/>
          <w:color w:val="auto"/>
          <w:sz w:val="24"/>
          <w:highlight w:val="none"/>
        </w:rPr>
      </w:pPr>
    </w:p>
    <w:p w14:paraId="60D0ADFE">
      <w:pPr>
        <w:spacing w:line="360" w:lineRule="auto"/>
        <w:ind w:right="420"/>
        <w:rPr>
          <w:rFonts w:ascii="仿宋" w:hAnsi="仿宋" w:eastAsia="仿宋" w:cs="仿宋"/>
          <w:color w:val="auto"/>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0D827CC">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3C4B65D4">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2707EEBE">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7B090F30">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68330E83">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2F53ED74">
      <w:pPr>
        <w:pStyle w:val="29"/>
        <w:snapToGrid w:val="0"/>
        <w:ind w:firstLine="420"/>
        <w:rPr>
          <w:rFonts w:ascii="微软雅黑" w:hAnsi="微软雅黑"/>
          <w:b/>
          <w:color w:val="auto"/>
          <w:szCs w:val="21"/>
          <w:highlight w:val="none"/>
        </w:rPr>
      </w:pPr>
      <w:r>
        <w:rPr>
          <w:rFonts w:hint="eastAsia" w:ascii="微软雅黑" w:hAnsi="微软雅黑"/>
          <w:b/>
          <w:color w:val="auto"/>
          <w:szCs w:val="21"/>
          <w:highlight w:val="none"/>
        </w:rPr>
        <w:t>残疾人福利性单位声明函</w:t>
      </w:r>
    </w:p>
    <w:p w14:paraId="74E29A9F">
      <w:pPr>
        <w:widowControl/>
        <w:ind w:firstLine="420"/>
        <w:rPr>
          <w:rFonts w:ascii="微软雅黑" w:hAnsi="微软雅黑"/>
          <w:b/>
          <w:color w:val="auto"/>
          <w:szCs w:val="21"/>
          <w:highlight w:val="none"/>
        </w:rPr>
      </w:pPr>
    </w:p>
    <w:p w14:paraId="06784BA2">
      <w:pPr>
        <w:widowControl/>
        <w:ind w:firstLine="420"/>
        <w:jc w:val="center"/>
        <w:rPr>
          <w:rFonts w:ascii="微软雅黑" w:hAnsi="微软雅黑"/>
          <w:b/>
          <w:color w:val="auto"/>
          <w:szCs w:val="21"/>
          <w:highlight w:val="none"/>
        </w:rPr>
      </w:pPr>
      <w:r>
        <w:rPr>
          <w:rFonts w:hint="eastAsia" w:ascii="微软雅黑" w:hAnsi="微软雅黑"/>
          <w:b/>
          <w:color w:val="auto"/>
          <w:szCs w:val="21"/>
          <w:highlight w:val="none"/>
        </w:rPr>
        <w:t>残疾人福利性单位声明函</w:t>
      </w:r>
    </w:p>
    <w:p w14:paraId="7E9FA7D2">
      <w:pPr>
        <w:widowControl/>
        <w:ind w:firstLine="420"/>
        <w:rPr>
          <w:rFonts w:ascii="微软雅黑" w:hAnsi="微软雅黑"/>
          <w:color w:val="auto"/>
          <w:szCs w:val="21"/>
          <w:highlight w:val="none"/>
        </w:rPr>
      </w:pPr>
      <w:r>
        <w:rPr>
          <w:rFonts w:hint="eastAsia" w:ascii="微软雅黑" w:hAnsi="微软雅黑"/>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5B86F9">
      <w:pPr>
        <w:widowControl/>
        <w:ind w:firstLine="420"/>
        <w:rPr>
          <w:rFonts w:ascii="微软雅黑" w:hAnsi="微软雅黑"/>
          <w:color w:val="auto"/>
          <w:szCs w:val="21"/>
          <w:highlight w:val="none"/>
        </w:rPr>
      </w:pPr>
      <w:r>
        <w:rPr>
          <w:rFonts w:hint="eastAsia" w:ascii="微软雅黑" w:hAnsi="微软雅黑"/>
          <w:color w:val="auto"/>
          <w:szCs w:val="21"/>
          <w:highlight w:val="none"/>
        </w:rPr>
        <w:t xml:space="preserve">  本单位对上述声明的真实性负责。如有虚假，将依法承担相应责任。</w:t>
      </w:r>
    </w:p>
    <w:p w14:paraId="6B6D6F19">
      <w:pPr>
        <w:widowControl/>
        <w:ind w:firstLine="420"/>
        <w:rPr>
          <w:rFonts w:ascii="微软雅黑" w:hAnsi="微软雅黑"/>
          <w:color w:val="auto"/>
          <w:szCs w:val="21"/>
          <w:highlight w:val="none"/>
        </w:rPr>
      </w:pPr>
      <w:r>
        <w:rPr>
          <w:rFonts w:hint="eastAsia" w:ascii="微软雅黑" w:hAnsi="微软雅黑"/>
          <w:color w:val="auto"/>
          <w:szCs w:val="21"/>
          <w:highlight w:val="none"/>
        </w:rPr>
        <w:t xml:space="preserve">          </w:t>
      </w:r>
      <w:r>
        <w:rPr>
          <w:rFonts w:hint="eastAsia" w:ascii="宋体" w:hAnsi="宋体"/>
          <w:color w:val="auto"/>
          <w:szCs w:val="21"/>
          <w:highlight w:val="none"/>
        </w:rPr>
        <w:t>供应商（CA签章）</w:t>
      </w:r>
      <w:r>
        <w:rPr>
          <w:rFonts w:ascii="宋体" w:hAnsi="宋体"/>
          <w:color w:val="auto"/>
          <w:szCs w:val="21"/>
          <w:highlight w:val="none"/>
        </w:rPr>
        <w:t>：</w:t>
      </w:r>
    </w:p>
    <w:p w14:paraId="089C2558">
      <w:pPr>
        <w:widowControl/>
        <w:ind w:firstLine="420"/>
        <w:rPr>
          <w:rFonts w:ascii="微软雅黑" w:hAnsi="微软雅黑"/>
          <w:color w:val="auto"/>
          <w:szCs w:val="21"/>
          <w:highlight w:val="none"/>
        </w:rPr>
      </w:pPr>
      <w:r>
        <w:rPr>
          <w:rFonts w:hint="eastAsia" w:ascii="微软雅黑" w:hAnsi="微软雅黑"/>
          <w:color w:val="auto"/>
          <w:szCs w:val="21"/>
          <w:highlight w:val="none"/>
        </w:rPr>
        <w:t xml:space="preserve">                  日 期：</w:t>
      </w:r>
    </w:p>
    <w:p w14:paraId="6251751F">
      <w:pPr>
        <w:ind w:firstLine="420"/>
        <w:rPr>
          <w:color w:val="auto"/>
          <w:highlight w:val="none"/>
        </w:rPr>
        <w:sectPr>
          <w:pgSz w:w="11905" w:h="16838"/>
          <w:pgMar w:top="1440" w:right="1803" w:bottom="1440" w:left="1803" w:header="851" w:footer="992" w:gutter="0"/>
          <w:cols w:space="0" w:num="1"/>
          <w:docGrid w:type="lines" w:linePitch="319" w:charSpace="0"/>
        </w:sectPr>
      </w:pPr>
    </w:p>
    <w:p w14:paraId="16AECC18">
      <w:pPr>
        <w:ind w:firstLine="420"/>
        <w:rPr>
          <w:color w:val="auto"/>
          <w:highlight w:val="none"/>
        </w:rPr>
      </w:pPr>
      <w:r>
        <w:rPr>
          <w:rFonts w:hint="eastAsia"/>
          <w:color w:val="auto"/>
          <w:highlight w:val="none"/>
        </w:rPr>
        <w:t>监狱企业证明文件</w:t>
      </w:r>
    </w:p>
    <w:p w14:paraId="6926A7A1">
      <w:pPr>
        <w:ind w:firstLine="420"/>
        <w:jc w:val="center"/>
        <w:rPr>
          <w:rFonts w:ascii="微软雅黑" w:hAnsi="微软雅黑"/>
          <w:b/>
          <w:color w:val="auto"/>
          <w:szCs w:val="21"/>
          <w:highlight w:val="none"/>
        </w:rPr>
      </w:pPr>
      <w:r>
        <w:rPr>
          <w:rFonts w:hint="eastAsia" w:ascii="微软雅黑" w:hAnsi="微软雅黑"/>
          <w:b/>
          <w:color w:val="auto"/>
          <w:szCs w:val="21"/>
          <w:highlight w:val="none"/>
        </w:rPr>
        <w:t>监狱企业证明文件</w:t>
      </w:r>
    </w:p>
    <w:tbl>
      <w:tblPr>
        <w:tblStyle w:val="52"/>
        <w:tblW w:w="7533"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7533"/>
      </w:tblGrid>
      <w:tr w14:paraId="62CF4688">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6516" w:hRule="atLeast"/>
        </w:trPr>
        <w:tc>
          <w:tcPr>
            <w:tcW w:w="7533" w:type="dxa"/>
            <w:vAlign w:val="center"/>
          </w:tcPr>
          <w:p w14:paraId="35F5ABE2">
            <w:pPr>
              <w:ind w:firstLine="420"/>
              <w:jc w:val="center"/>
              <w:rPr>
                <w:rFonts w:ascii="微软雅黑" w:hAnsi="微软雅黑"/>
                <w:b/>
                <w:color w:val="auto"/>
                <w:szCs w:val="21"/>
                <w:highlight w:val="none"/>
              </w:rPr>
            </w:pPr>
            <w:r>
              <w:rPr>
                <w:rFonts w:hint="eastAsia" w:ascii="微软雅黑" w:hAnsi="微软雅黑"/>
                <w:b/>
                <w:color w:val="auto"/>
                <w:szCs w:val="21"/>
                <w:highlight w:val="none"/>
              </w:rPr>
              <w:t>相关部门出具的监狱企业证明文件</w:t>
            </w:r>
          </w:p>
          <w:p w14:paraId="5CC89697">
            <w:pPr>
              <w:ind w:firstLine="420"/>
              <w:jc w:val="center"/>
              <w:rPr>
                <w:rFonts w:ascii="微软雅黑" w:hAnsi="微软雅黑" w:cs="Arial"/>
                <w:b/>
                <w:i/>
                <w:color w:val="auto"/>
                <w:kern w:val="0"/>
                <w:szCs w:val="21"/>
                <w:highlight w:val="none"/>
              </w:rPr>
            </w:pPr>
            <w:r>
              <w:rPr>
                <w:rFonts w:hint="eastAsia" w:ascii="微软雅黑" w:hAnsi="微软雅黑"/>
                <w:color w:val="auto"/>
                <w:szCs w:val="21"/>
                <w:highlight w:val="none"/>
              </w:rPr>
              <w:t>（如是，提供</w:t>
            </w:r>
            <w:r>
              <w:rPr>
                <w:rFonts w:hint="eastAsia" w:ascii="微软雅黑" w:hAnsi="微软雅黑" w:cs="Arial"/>
                <w:color w:val="auto"/>
                <w:kern w:val="0"/>
                <w:szCs w:val="21"/>
                <w:highlight w:val="none"/>
              </w:rPr>
              <w:t>复印件加盖投标供应商公章）</w:t>
            </w:r>
          </w:p>
        </w:tc>
      </w:tr>
    </w:tbl>
    <w:p w14:paraId="66E8E564">
      <w:pPr>
        <w:ind w:firstLine="420"/>
        <w:rPr>
          <w:rFonts w:ascii="微软雅黑" w:hAnsi="微软雅黑" w:cs="Arial"/>
          <w:i/>
          <w:color w:val="auto"/>
          <w:szCs w:val="21"/>
          <w:highlight w:val="none"/>
        </w:rPr>
      </w:pPr>
    </w:p>
    <w:p w14:paraId="2BCCDB87">
      <w:pPr>
        <w:snapToGrid w:val="0"/>
        <w:rPr>
          <w:rFonts w:ascii="微软雅黑" w:hAnsi="微软雅黑"/>
          <w:color w:val="auto"/>
          <w:szCs w:val="21"/>
          <w:highlight w:val="none"/>
          <w:u w:val="single"/>
        </w:rPr>
      </w:pPr>
      <w:r>
        <w:rPr>
          <w:rFonts w:hint="eastAsia" w:ascii="宋体" w:hAnsi="宋体"/>
          <w:color w:val="auto"/>
          <w:szCs w:val="21"/>
          <w:highlight w:val="none"/>
        </w:rPr>
        <w:t>供应商（CA签章）</w:t>
      </w:r>
      <w:r>
        <w:rPr>
          <w:rFonts w:hint="eastAsia" w:ascii="微软雅黑" w:hAnsi="微软雅黑"/>
          <w:color w:val="auto"/>
          <w:szCs w:val="21"/>
          <w:highlight w:val="none"/>
          <w:shd w:val="clear" w:color="auto" w:fill="FFFFFF"/>
        </w:rPr>
        <w:t>：</w:t>
      </w:r>
      <w:r>
        <w:rPr>
          <w:rFonts w:hint="eastAsia" w:ascii="微软雅黑" w:hAnsi="微软雅黑"/>
          <w:color w:val="auto"/>
          <w:szCs w:val="21"/>
          <w:highlight w:val="none"/>
        </w:rPr>
        <w:br w:type="textWrapping"/>
      </w:r>
      <w:r>
        <w:rPr>
          <w:rFonts w:hint="eastAsia" w:ascii="微软雅黑" w:hAnsi="微软雅黑"/>
          <w:color w:val="auto"/>
          <w:szCs w:val="21"/>
          <w:highlight w:val="none"/>
          <w:shd w:val="clear" w:color="auto" w:fill="FFFFFF"/>
        </w:rPr>
        <w:t>投标日期： 年 月 日</w:t>
      </w:r>
    </w:p>
    <w:p w14:paraId="66C4B42B">
      <w:pPr>
        <w:pStyle w:val="96"/>
        <w:rPr>
          <w:color w:val="auto"/>
          <w:highlight w:val="none"/>
        </w:rPr>
      </w:pPr>
    </w:p>
    <w:p w14:paraId="0ACEF7FC">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640FE8E3">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32D93D2A">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19DB0E32">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0B2C1872">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20C0B70A">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028D182C">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17BCF1D9">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54411BE3">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3AF91D5F">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21F680B5">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63C6A554">
      <w:pPr>
        <w:pStyle w:val="29"/>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765D0386">
      <w:pPr>
        <w:spacing w:line="360" w:lineRule="auto"/>
        <w:ind w:right="42" w:rightChars="20" w:firstLine="422" w:firstLineChars="200"/>
        <w:jc w:val="left"/>
        <w:rPr>
          <w:rFonts w:asciiTheme="minorEastAsia" w:hAnsiTheme="minorEastAsia" w:eastAsiaTheme="minorEastAsia"/>
          <w:b/>
          <w:color w:val="auto"/>
          <w:szCs w:val="21"/>
          <w:highlight w:val="none"/>
        </w:rPr>
      </w:pPr>
    </w:p>
    <w:p w14:paraId="4A91AA77">
      <w:pPr>
        <w:spacing w:line="360" w:lineRule="auto"/>
        <w:ind w:right="42" w:rightChars="20" w:firstLine="422" w:firstLineChars="20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承诺函</w:t>
      </w:r>
    </w:p>
    <w:p w14:paraId="7B28BFE5">
      <w:pPr>
        <w:spacing w:line="360" w:lineRule="auto"/>
        <w:ind w:right="42" w:rightChars="20"/>
        <w:jc w:val="left"/>
        <w:rPr>
          <w:rFonts w:asciiTheme="minorEastAsia" w:hAnsiTheme="minorEastAsia" w:eastAsiaTheme="minorEastAsia"/>
          <w:color w:val="auto"/>
          <w:szCs w:val="21"/>
          <w:highlight w:val="none"/>
        </w:rPr>
      </w:pPr>
      <w:r>
        <w:rPr>
          <w:rFonts w:hint="eastAsia" w:cs="Arial" w:asciiTheme="minorEastAsia" w:hAnsiTheme="minorEastAsia" w:eastAsiaTheme="minorEastAsia"/>
          <w:b/>
          <w:color w:val="auto"/>
          <w:kern w:val="0"/>
          <w:szCs w:val="21"/>
          <w:highlight w:val="none"/>
          <w:u w:val="single"/>
        </w:rPr>
        <w:t xml:space="preserve">嘉兴市生态环境局秀洲分局  </w:t>
      </w:r>
      <w:r>
        <w:rPr>
          <w:rFonts w:hint="eastAsia" w:asciiTheme="minorEastAsia" w:hAnsiTheme="minorEastAsia" w:eastAsiaTheme="minorEastAsia"/>
          <w:color w:val="auto"/>
          <w:szCs w:val="21"/>
          <w:highlight w:val="none"/>
        </w:rPr>
        <w:t>：</w:t>
      </w:r>
    </w:p>
    <w:p w14:paraId="00FD5955">
      <w:pPr>
        <w:snapToGrid w:val="0"/>
        <w:spacing w:line="360" w:lineRule="auto"/>
        <w:ind w:right="42" w:rightChars="20" w:firstLine="420" w:firstLineChars="200"/>
        <w:jc w:val="left"/>
        <w:rPr>
          <w:rFonts w:asciiTheme="minorEastAsia" w:hAnsiTheme="minorEastAsia" w:eastAsiaTheme="minorEastAsia"/>
          <w:color w:val="auto"/>
          <w:szCs w:val="21"/>
          <w:highlight w:val="none"/>
          <w:shd w:val="clear" w:color="auto" w:fill="FFFFFF"/>
        </w:rPr>
      </w:pPr>
    </w:p>
    <w:p w14:paraId="6A7A6708">
      <w:pPr>
        <w:snapToGrid w:val="0"/>
        <w:spacing w:line="360" w:lineRule="auto"/>
        <w:ind w:right="42" w:rightChars="20"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shd w:val="clear" w:color="auto" w:fill="FFFFFF"/>
        </w:rPr>
        <w:t>本公司（公司名称）参加</w:t>
      </w:r>
      <w:r>
        <w:rPr>
          <w:rFonts w:hint="eastAsia" w:asciiTheme="minorEastAsia" w:hAnsiTheme="minorEastAsia" w:eastAsiaTheme="minorEastAsia"/>
          <w:b/>
          <w:color w:val="auto"/>
          <w:highlight w:val="none"/>
        </w:rPr>
        <w:t>秀洲区宁静小区建设项目</w:t>
      </w:r>
      <w:r>
        <w:rPr>
          <w:rFonts w:hint="eastAsia" w:asciiTheme="minorEastAsia" w:hAnsiTheme="minorEastAsia" w:eastAsiaTheme="minorEastAsia"/>
          <w:color w:val="auto"/>
          <w:szCs w:val="21"/>
          <w:highlight w:val="none"/>
          <w:shd w:val="clear" w:color="auto" w:fill="FFFFFF"/>
        </w:rPr>
        <w:t>投标活动，现承诺如下：</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（1）提供具有独立承担民事责任的能力；</w:t>
      </w:r>
    </w:p>
    <w:p w14:paraId="7C50AF24">
      <w:pPr>
        <w:snapToGrid w:val="0"/>
        <w:spacing w:line="360" w:lineRule="auto"/>
        <w:ind w:right="42" w:rightChars="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（2）具有良好的商业信誉和健全的财务会计制度；</w:t>
      </w:r>
    </w:p>
    <w:p w14:paraId="674FADE7">
      <w:pPr>
        <w:snapToGrid w:val="0"/>
        <w:spacing w:line="360" w:lineRule="auto"/>
        <w:ind w:right="42" w:rightChars="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（3）具有履行合同所必需的设备和专业技术能力；</w:t>
      </w:r>
    </w:p>
    <w:p w14:paraId="2B64F9A4">
      <w:pPr>
        <w:snapToGrid w:val="0"/>
        <w:spacing w:line="360" w:lineRule="auto"/>
        <w:ind w:right="42" w:rightChars="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（4）有依法缴纳税收和社会保障资金的良好记录；</w:t>
      </w:r>
    </w:p>
    <w:p w14:paraId="0294FF6D">
      <w:pPr>
        <w:snapToGrid w:val="0"/>
        <w:spacing w:line="360" w:lineRule="auto"/>
        <w:ind w:right="42" w:rightChars="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（5）参加政府采购活动前三年，在经营活动中没有重大违法记录、自招标公告发布之日起至投标截止日内任意时间的“信用中国”网站（www.creditchina.gov.cn）（未被信用中国网站</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Theme="minorEastAsia" w:hAnsiTheme="minorEastAsia" w:eastAsiaTheme="minorEastAsia"/>
          <w:color w:val="auto"/>
          <w:highlight w:val="none"/>
        </w:rPr>
        <w:t>列入失信被执行人、重大税收违法案件当事人名单</w:t>
      </w:r>
      <w:r>
        <w:rPr>
          <w:rFonts w:hint="eastAsia" w:asciiTheme="minorEastAsia" w:hAnsiTheme="minorEastAsia" w:eastAsiaTheme="minorEastAsia"/>
          <w:color w:val="auto"/>
          <w:highlight w:val="none"/>
        </w:rPr>
        <w:fldChar w:fldCharType="end"/>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、中国政府采购网（www.ccgp.gov.cn）（未被中国政府采购网</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Theme="minorEastAsia" w:hAnsiTheme="minorEastAsia" w:eastAsiaTheme="minorEastAsia"/>
          <w:color w:val="auto"/>
          <w:highlight w:val="none"/>
        </w:rPr>
        <w:t>列入政府采购严重违法失信行为记录名单</w:t>
      </w:r>
      <w:r>
        <w:rPr>
          <w:rFonts w:hint="eastAsia" w:asciiTheme="minorEastAsia" w:hAnsiTheme="minorEastAsia" w:eastAsiaTheme="minorEastAsia"/>
          <w:color w:val="auto"/>
          <w:highlight w:val="none"/>
        </w:rPr>
        <w:fldChar w:fldCharType="end"/>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）也没有因违反《浙江省政府采购投标人注册及诚信管理暂行办法》被列入“黑名单”，正在处罚有效期；</w:t>
      </w:r>
    </w:p>
    <w:p w14:paraId="22F521B5">
      <w:pPr>
        <w:pStyle w:val="4"/>
        <w:rPr>
          <w:color w:val="auto"/>
          <w:highlight w:val="none"/>
        </w:rPr>
      </w:pPr>
      <w:r>
        <w:rPr>
          <w:rFonts w:hint="eastAsia" w:asciiTheme="minorEastAsia" w:hAnsiTheme="minorEastAsia" w:eastAsiaTheme="minorEastAsia"/>
          <w:color w:val="auto"/>
          <w:szCs w:val="21"/>
          <w:highlight w:val="none"/>
        </w:rPr>
        <w:t>（6）</w:t>
      </w:r>
      <w:r>
        <w:rPr>
          <w:rFonts w:hint="eastAsia" w:ascii="宋体" w:hAnsi="宋体" w:cs="宋体"/>
          <w:color w:val="auto"/>
          <w:szCs w:val="21"/>
          <w:highlight w:val="none"/>
          <w:lang w:bidi="ar"/>
        </w:rPr>
        <w:t>若中标后无法满足▲项的视为虚假应标并自愿赔偿采购人相关损失，采购人有权上报财政部门。</w:t>
      </w:r>
    </w:p>
    <w:p w14:paraId="65457762">
      <w:pPr>
        <w:snapToGrid w:val="0"/>
        <w:spacing w:line="360" w:lineRule="auto"/>
        <w:ind w:right="42" w:rightChars="20" w:firstLine="420" w:firstLineChars="200"/>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shd w:val="clear" w:color="auto" w:fill="FFFFFF"/>
        </w:rPr>
        <w:t>如违反以上承诺，本公司愿承担一切法律责任。</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shd w:val="clear" w:color="auto" w:fill="FFFFFF"/>
        </w:rPr>
        <w:t>投标人名称：（CA签章）</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法定代表人或其授权代表签字（或盖章）</w:t>
      </w:r>
      <w:r>
        <w:rPr>
          <w:rFonts w:hint="eastAsia" w:asciiTheme="minorEastAsia" w:hAnsiTheme="minorEastAsia" w:eastAsiaTheme="minorEastAsia"/>
          <w:color w:val="auto"/>
          <w:szCs w:val="21"/>
          <w:highlight w:val="none"/>
          <w:shd w:val="clear" w:color="auto" w:fill="FFFFFF"/>
        </w:rPr>
        <w:t>：</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shd w:val="clear" w:color="auto" w:fill="FFFFFF"/>
        </w:rPr>
        <w:t>投标日期： 年 月 日</w:t>
      </w:r>
    </w:p>
    <w:p w14:paraId="56568A8E">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437F6F6E">
      <w:pPr>
        <w:snapToGrid w:val="0"/>
        <w:spacing w:line="360" w:lineRule="auto"/>
        <w:ind w:right="42" w:rightChars="20" w:firstLine="422" w:firstLineChars="200"/>
        <w:jc w:val="left"/>
        <w:rPr>
          <w:rFonts w:asciiTheme="minorEastAsia" w:hAnsiTheme="minorEastAsia" w:eastAsiaTheme="minorEastAsia"/>
          <w:color w:val="auto"/>
          <w:szCs w:val="21"/>
          <w:highlight w:val="none"/>
        </w:rPr>
      </w:pPr>
      <w:r>
        <w:rPr>
          <w:rFonts w:asciiTheme="minorEastAsia" w:hAnsiTheme="minorEastAsia" w:eastAsiaTheme="minorEastAsia"/>
          <w:b/>
          <w:color w:val="auto"/>
          <w:szCs w:val="21"/>
          <w:highlight w:val="none"/>
        </w:rPr>
        <w:br w:type="page"/>
      </w:r>
    </w:p>
    <w:p w14:paraId="4239468D">
      <w:pPr>
        <w:snapToGrid w:val="0"/>
        <w:ind w:right="42" w:rightChars="20" w:firstLine="420" w:firstLineChars="200"/>
        <w:jc w:val="left"/>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廉政承诺书格式：</w:t>
      </w:r>
    </w:p>
    <w:p w14:paraId="7ABB5A3E">
      <w:pPr>
        <w:pStyle w:val="7"/>
        <w:ind w:right="42" w:rightChars="2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廉政承诺书</w:t>
      </w:r>
    </w:p>
    <w:p w14:paraId="461B9280">
      <w:pPr>
        <w:autoSpaceDE w:val="0"/>
        <w:autoSpaceDN w:val="0"/>
        <w:adjustRightInd w:val="0"/>
        <w:spacing w:line="360" w:lineRule="auto"/>
        <w:ind w:right="42" w:rightChars="20"/>
        <w:contextualSpacing/>
        <w:rPr>
          <w:rFonts w:ascii="宋体" w:hAnsi="宋体" w:cs="宋体"/>
          <w:color w:val="auto"/>
          <w:kern w:val="0"/>
          <w:szCs w:val="21"/>
          <w:highlight w:val="none"/>
          <w:lang w:val="zh-CN"/>
        </w:rPr>
      </w:pPr>
      <w:r>
        <w:rPr>
          <w:rFonts w:hint="eastAsia" w:ascii="宋体" w:hAnsi="宋体" w:cs="宋体"/>
          <w:color w:val="auto"/>
          <w:szCs w:val="21"/>
          <w:highlight w:val="none"/>
        </w:rPr>
        <w:t>致：（招标采购单位名称）</w:t>
      </w:r>
    </w:p>
    <w:p w14:paraId="5822D044">
      <w:pPr>
        <w:autoSpaceDE w:val="0"/>
        <w:autoSpaceDN w:val="0"/>
        <w:adjustRightInd w:val="0"/>
        <w:spacing w:line="360" w:lineRule="auto"/>
        <w:ind w:right="42" w:rightChars="20"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lang w:val="zh-CN"/>
        </w:rPr>
        <w:t>我单位响应项目采购要求参加投标。在这次投标过程中和中标后，我们将严格遵守国家法律法规的要求，并郑重承诺：</w:t>
      </w:r>
    </w:p>
    <w:p w14:paraId="32EA4EC3">
      <w:pPr>
        <w:autoSpaceDE w:val="0"/>
        <w:autoSpaceDN w:val="0"/>
        <w:adjustRightInd w:val="0"/>
        <w:spacing w:line="360" w:lineRule="auto"/>
        <w:ind w:right="42" w:rightChars="20" w:firstLine="420" w:firstLineChars="200"/>
        <w:contextualSpacing/>
        <w:rPr>
          <w:rFonts w:ascii="宋体" w:hAnsi="宋体"/>
          <w:color w:val="auto"/>
          <w:szCs w:val="21"/>
          <w:highlight w:val="none"/>
        </w:rPr>
      </w:pPr>
      <w:r>
        <w:rPr>
          <w:rFonts w:hint="eastAsia" w:ascii="宋体" w:hAnsi="宋体"/>
          <w:color w:val="auto"/>
          <w:szCs w:val="21"/>
          <w:highlight w:val="none"/>
        </w:rPr>
        <w:t xml:space="preserve">一、不向项目有关人员及部门赠送礼金礼物、有价证券、回扣以及中介费、介绍费、咨询费等好处费；    </w:t>
      </w:r>
    </w:p>
    <w:p w14:paraId="2CDF8015">
      <w:pPr>
        <w:autoSpaceDE w:val="0"/>
        <w:autoSpaceDN w:val="0"/>
        <w:adjustRightInd w:val="0"/>
        <w:spacing w:line="360" w:lineRule="auto"/>
        <w:ind w:right="42" w:rightChars="20" w:firstLine="420" w:firstLineChars="200"/>
        <w:contextualSpacing/>
        <w:rPr>
          <w:rFonts w:ascii="宋体" w:hAnsi="宋体"/>
          <w:color w:val="auto"/>
          <w:szCs w:val="21"/>
          <w:highlight w:val="none"/>
        </w:rPr>
      </w:pPr>
      <w:r>
        <w:rPr>
          <w:rFonts w:hint="eastAsia" w:ascii="宋体" w:hAnsi="宋体"/>
          <w:color w:val="auto"/>
          <w:szCs w:val="21"/>
          <w:highlight w:val="none"/>
        </w:rPr>
        <w:t xml:space="preserve">二、不为项目有关人员及部门报销应由你方单位或个人支付的费用；    </w:t>
      </w:r>
    </w:p>
    <w:p w14:paraId="68746791">
      <w:pPr>
        <w:autoSpaceDE w:val="0"/>
        <w:autoSpaceDN w:val="0"/>
        <w:adjustRightInd w:val="0"/>
        <w:spacing w:line="360" w:lineRule="auto"/>
        <w:ind w:right="42" w:rightChars="20" w:firstLine="420" w:firstLineChars="200"/>
        <w:contextualSpacing/>
        <w:rPr>
          <w:rFonts w:ascii="宋体" w:hAnsi="宋体"/>
          <w:color w:val="auto"/>
          <w:szCs w:val="21"/>
          <w:highlight w:val="none"/>
        </w:rPr>
      </w:pPr>
      <w:r>
        <w:rPr>
          <w:rFonts w:hint="eastAsia" w:ascii="宋体" w:hAnsi="宋体"/>
          <w:color w:val="auto"/>
          <w:szCs w:val="21"/>
          <w:highlight w:val="none"/>
        </w:rPr>
        <w:t xml:space="preserve">三、不向项目有关人员及部门提供有可能影响公正的宴请和健身娱乐等活动；    </w:t>
      </w:r>
    </w:p>
    <w:p w14:paraId="22E1FADA">
      <w:pPr>
        <w:autoSpaceDE w:val="0"/>
        <w:autoSpaceDN w:val="0"/>
        <w:adjustRightInd w:val="0"/>
        <w:spacing w:line="360" w:lineRule="auto"/>
        <w:ind w:right="42" w:rightChars="20" w:firstLine="420" w:firstLineChars="200"/>
        <w:contextualSpacing/>
        <w:rPr>
          <w:rFonts w:ascii="宋体" w:hAnsi="宋体"/>
          <w:color w:val="auto"/>
          <w:szCs w:val="21"/>
          <w:highlight w:val="none"/>
        </w:rPr>
      </w:pPr>
      <w:r>
        <w:rPr>
          <w:rFonts w:hint="eastAsia" w:ascii="宋体" w:hAnsi="宋体"/>
          <w:color w:val="auto"/>
          <w:szCs w:val="21"/>
          <w:highlight w:val="none"/>
        </w:rPr>
        <w:t xml:space="preserve">四、不为项目有关人员及部门出国（境）、旅游等提供方便；    </w:t>
      </w:r>
    </w:p>
    <w:p w14:paraId="46862A6B">
      <w:pPr>
        <w:autoSpaceDE w:val="0"/>
        <w:autoSpaceDN w:val="0"/>
        <w:adjustRightInd w:val="0"/>
        <w:spacing w:line="360" w:lineRule="auto"/>
        <w:ind w:right="42" w:rightChars="20" w:firstLine="420" w:firstLineChars="200"/>
        <w:contextualSpacing/>
        <w:rPr>
          <w:rFonts w:ascii="宋体" w:hAnsi="宋体"/>
          <w:color w:val="auto"/>
          <w:szCs w:val="21"/>
          <w:highlight w:val="none"/>
        </w:rPr>
      </w:pPr>
      <w:r>
        <w:rPr>
          <w:rFonts w:hint="eastAsia" w:ascii="宋体" w:hAnsi="宋体"/>
          <w:color w:val="auto"/>
          <w:szCs w:val="21"/>
          <w:highlight w:val="none"/>
        </w:rPr>
        <w:t xml:space="preserve">五、不为项目有关人员个人装修住房、婚丧嫁娶、配偶子女工作安排等提供好处；    </w:t>
      </w:r>
    </w:p>
    <w:p w14:paraId="7EF486B6">
      <w:pPr>
        <w:autoSpaceDE w:val="0"/>
        <w:autoSpaceDN w:val="0"/>
        <w:adjustRightInd w:val="0"/>
        <w:spacing w:line="360" w:lineRule="auto"/>
        <w:ind w:right="42" w:rightChars="20" w:firstLine="420" w:firstLineChars="200"/>
        <w:contextualSpacing/>
        <w:rPr>
          <w:rFonts w:ascii="宋体" w:hAnsi="宋体"/>
          <w:color w:val="auto"/>
          <w:szCs w:val="21"/>
          <w:highlight w:val="none"/>
        </w:rPr>
      </w:pPr>
      <w:r>
        <w:rPr>
          <w:rFonts w:hint="eastAsia" w:ascii="宋体" w:hAnsi="宋体"/>
          <w:color w:val="auto"/>
          <w:szCs w:val="21"/>
          <w:highlight w:val="none"/>
        </w:rPr>
        <w:t>六、严格遵守政府采购法、招标投标法、合同法等法律，诚实守信，合法经营，坚决抵制各种违法违纪行为。</w:t>
      </w:r>
    </w:p>
    <w:p w14:paraId="0C040EAF">
      <w:pPr>
        <w:autoSpaceDE w:val="0"/>
        <w:autoSpaceDN w:val="0"/>
        <w:adjustRightInd w:val="0"/>
        <w:spacing w:line="360" w:lineRule="auto"/>
        <w:ind w:right="42" w:rightChars="20" w:firstLine="420" w:firstLineChars="200"/>
        <w:contextualSpacing/>
        <w:rPr>
          <w:rFonts w:ascii="宋体" w:hAnsi="宋体"/>
          <w:color w:val="auto"/>
          <w:szCs w:val="21"/>
          <w:highlight w:val="none"/>
        </w:rPr>
      </w:pPr>
      <w:r>
        <w:rPr>
          <w:rFonts w:hint="eastAsia" w:ascii="宋体" w:hAnsi="宋体"/>
          <w:color w:val="auto"/>
          <w:szCs w:val="21"/>
          <w:highlight w:val="none"/>
        </w:rPr>
        <w:t>如违反上述承诺，你单位有权立即取消我单位投标、中标或在建项目的建设资格，有权拒绝我单位在一定时期内进入你单位进行项目建设或其他经营活动，并通报政府采购监督管理部门。由此引起的相应损失均由我单位承担。</w:t>
      </w:r>
    </w:p>
    <w:p w14:paraId="70707010">
      <w:pPr>
        <w:tabs>
          <w:tab w:val="left" w:pos="1418"/>
        </w:tabs>
        <w:spacing w:line="360" w:lineRule="auto"/>
        <w:ind w:right="42" w:rightChars="20"/>
        <w:contextualSpacing/>
        <w:rPr>
          <w:rFonts w:ascii="宋体" w:hAnsi="宋体"/>
          <w:color w:val="auto"/>
          <w:szCs w:val="21"/>
          <w:highlight w:val="none"/>
        </w:rPr>
      </w:pPr>
    </w:p>
    <w:p w14:paraId="27B6192C">
      <w:pPr>
        <w:pStyle w:val="163"/>
        <w:snapToGrid w:val="0"/>
        <w:spacing w:line="360" w:lineRule="auto"/>
        <w:ind w:right="42" w:rightChars="2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法定代表人或其授权代表签字（或盖章）</w:t>
      </w:r>
      <w:r>
        <w:rPr>
          <w:rFonts w:asciiTheme="minorEastAsia" w:hAnsiTheme="minorEastAsia" w:eastAsiaTheme="minorEastAsia"/>
          <w:color w:val="auto"/>
          <w:sz w:val="21"/>
          <w:szCs w:val="21"/>
          <w:highlight w:val="none"/>
        </w:rPr>
        <w:t>：</w:t>
      </w:r>
    </w:p>
    <w:p w14:paraId="6DD6DE9E">
      <w:pPr>
        <w:tabs>
          <w:tab w:val="left" w:pos="1418"/>
        </w:tabs>
        <w:spacing w:line="360" w:lineRule="auto"/>
        <w:ind w:right="42" w:rightChars="20"/>
        <w:contextualSpacing/>
        <w:rPr>
          <w:rFonts w:ascii="宋体" w:hAnsi="宋体"/>
          <w:color w:val="auto"/>
          <w:szCs w:val="21"/>
          <w:highlight w:val="none"/>
        </w:rPr>
      </w:pPr>
    </w:p>
    <w:p w14:paraId="2E72282C">
      <w:pPr>
        <w:tabs>
          <w:tab w:val="left" w:pos="1418"/>
        </w:tabs>
        <w:spacing w:line="360" w:lineRule="auto"/>
        <w:ind w:right="42" w:rightChars="20"/>
        <w:contextualSpacing/>
        <w:rPr>
          <w:rFonts w:ascii="宋体" w:hAnsi="宋体"/>
          <w:color w:val="auto"/>
          <w:szCs w:val="21"/>
          <w:highlight w:val="none"/>
        </w:rPr>
      </w:pPr>
      <w:r>
        <w:rPr>
          <w:rFonts w:hint="eastAsia" w:ascii="宋体" w:hAnsi="宋体"/>
          <w:color w:val="auto"/>
          <w:szCs w:val="21"/>
          <w:highlight w:val="none"/>
        </w:rPr>
        <w:t>投 标 人（</w:t>
      </w:r>
      <w:r>
        <w:rPr>
          <w:rFonts w:hint="eastAsia" w:asciiTheme="minorEastAsia" w:hAnsiTheme="minorEastAsia" w:eastAsiaTheme="minorEastAsia"/>
          <w:color w:val="auto"/>
          <w:szCs w:val="21"/>
          <w:highlight w:val="none"/>
          <w:shd w:val="clear" w:color="auto" w:fill="FFFFFF"/>
        </w:rPr>
        <w:t>CA签章</w:t>
      </w:r>
      <w:r>
        <w:rPr>
          <w:rFonts w:hint="eastAsia" w:ascii="宋体" w:hAnsi="宋体"/>
          <w:color w:val="auto"/>
          <w:szCs w:val="21"/>
          <w:highlight w:val="none"/>
        </w:rPr>
        <w:t xml:space="preserve">）：                            </w:t>
      </w:r>
    </w:p>
    <w:p w14:paraId="1F71D2A0">
      <w:pPr>
        <w:tabs>
          <w:tab w:val="left" w:pos="1418"/>
        </w:tabs>
        <w:spacing w:line="360" w:lineRule="auto"/>
        <w:ind w:right="42" w:rightChars="20"/>
        <w:contextualSpacing/>
        <w:rPr>
          <w:rFonts w:ascii="宋体" w:hAnsi="宋体" w:cs="宋体"/>
          <w:bCs/>
          <w:color w:val="auto"/>
          <w:szCs w:val="21"/>
          <w:highlight w:val="none"/>
        </w:rPr>
      </w:pPr>
    </w:p>
    <w:p w14:paraId="1C2176B3">
      <w:pPr>
        <w:tabs>
          <w:tab w:val="left" w:pos="1418"/>
        </w:tabs>
        <w:spacing w:line="360" w:lineRule="auto"/>
        <w:ind w:right="42" w:rightChars="20"/>
        <w:contextualSpacing/>
        <w:jc w:val="right"/>
        <w:rPr>
          <w:rFonts w:ascii="宋体" w:hAnsi="宋体" w:cs="宋体"/>
          <w:b/>
          <w:bCs/>
          <w:color w:val="auto"/>
          <w:szCs w:val="21"/>
          <w:highlight w:val="none"/>
        </w:rPr>
      </w:pPr>
      <w:r>
        <w:rPr>
          <w:rFonts w:hint="eastAsia" w:ascii="宋体" w:hAnsi="宋体" w:cs="宋体"/>
          <w:bCs/>
          <w:color w:val="auto"/>
          <w:szCs w:val="21"/>
          <w:highlight w:val="none"/>
        </w:rPr>
        <w:t xml:space="preserve">  年  月  日</w:t>
      </w:r>
    </w:p>
    <w:p w14:paraId="01640F9D">
      <w:pPr>
        <w:pStyle w:val="6"/>
        <w:spacing w:line="360" w:lineRule="auto"/>
        <w:ind w:right="42" w:rightChars="20"/>
        <w:contextualSpacing/>
        <w:rPr>
          <w:color w:val="auto"/>
          <w:highlight w:val="none"/>
        </w:rPr>
        <w:sectPr>
          <w:headerReference r:id="rId4" w:type="default"/>
          <w:pgSz w:w="11905" w:h="16838"/>
          <w:pgMar w:top="1440" w:right="1803" w:bottom="1440" w:left="1803" w:header="851" w:footer="992" w:gutter="0"/>
          <w:cols w:space="0" w:num="1"/>
          <w:docGrid w:type="lines" w:linePitch="319" w:charSpace="0"/>
        </w:sectPr>
      </w:pPr>
    </w:p>
    <w:p w14:paraId="26FC43F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投标人的类似成功案例的业绩证明文件：</w:t>
      </w:r>
    </w:p>
    <w:p w14:paraId="64E86A68">
      <w:pPr>
        <w:pStyle w:val="40"/>
        <w:snapToGrid w:val="0"/>
        <w:spacing w:line="360" w:lineRule="auto"/>
        <w:ind w:left="0"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投标人同类项目实施情况一览表格式：（投标人同类项目合同复印件）</w:t>
      </w:r>
    </w:p>
    <w:tbl>
      <w:tblPr>
        <w:tblStyle w:val="52"/>
        <w:tblpPr w:leftFromText="180" w:rightFromText="180" w:vertAnchor="text" w:horzAnchor="page" w:tblpX="1937" w:tblpY="958"/>
        <w:tblOverlap w:val="never"/>
        <w:tblW w:w="84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6"/>
        <w:gridCol w:w="1296"/>
        <w:gridCol w:w="941"/>
        <w:gridCol w:w="968"/>
        <w:gridCol w:w="1173"/>
        <w:gridCol w:w="1268"/>
        <w:gridCol w:w="1323"/>
      </w:tblGrid>
      <w:tr w14:paraId="4C03E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71" w:hRule="atLeast"/>
        </w:trPr>
        <w:tc>
          <w:tcPr>
            <w:tcW w:w="1486" w:type="dxa"/>
            <w:tcBorders>
              <w:top w:val="single" w:color="auto" w:sz="4" w:space="0"/>
              <w:left w:val="single" w:color="auto" w:sz="4" w:space="0"/>
              <w:bottom w:val="single" w:color="auto" w:sz="4" w:space="0"/>
              <w:right w:val="single" w:color="auto" w:sz="4" w:space="0"/>
            </w:tcBorders>
            <w:vAlign w:val="center"/>
          </w:tcPr>
          <w:p w14:paraId="10351A46">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采购单位名称</w:t>
            </w:r>
          </w:p>
        </w:tc>
        <w:tc>
          <w:tcPr>
            <w:tcW w:w="1296" w:type="dxa"/>
            <w:tcBorders>
              <w:top w:val="single" w:color="auto" w:sz="4" w:space="0"/>
              <w:left w:val="single" w:color="auto" w:sz="4" w:space="0"/>
              <w:bottom w:val="single" w:color="auto" w:sz="4" w:space="0"/>
              <w:right w:val="single" w:color="auto" w:sz="4" w:space="0"/>
            </w:tcBorders>
            <w:vAlign w:val="center"/>
          </w:tcPr>
          <w:p w14:paraId="267F32AA">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设备或项目名称</w:t>
            </w:r>
          </w:p>
        </w:tc>
        <w:tc>
          <w:tcPr>
            <w:tcW w:w="941" w:type="dxa"/>
            <w:tcBorders>
              <w:top w:val="single" w:color="auto" w:sz="4" w:space="0"/>
              <w:left w:val="single" w:color="auto" w:sz="4" w:space="0"/>
              <w:bottom w:val="single" w:color="auto" w:sz="4" w:space="0"/>
              <w:right w:val="single" w:color="auto" w:sz="4" w:space="0"/>
            </w:tcBorders>
            <w:vAlign w:val="center"/>
          </w:tcPr>
          <w:p w14:paraId="2D098562">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w:t>
            </w:r>
          </w:p>
          <w:p w14:paraId="4C9526A5">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968" w:type="dxa"/>
            <w:tcBorders>
              <w:top w:val="single" w:color="auto" w:sz="4" w:space="0"/>
              <w:left w:val="single" w:color="auto" w:sz="4" w:space="0"/>
              <w:bottom w:val="single" w:color="auto" w:sz="4" w:space="0"/>
              <w:right w:val="single" w:color="auto" w:sz="4" w:space="0"/>
            </w:tcBorders>
            <w:vAlign w:val="center"/>
          </w:tcPr>
          <w:p w14:paraId="7AA027C8">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单价</w:t>
            </w:r>
          </w:p>
        </w:tc>
        <w:tc>
          <w:tcPr>
            <w:tcW w:w="1173" w:type="dxa"/>
            <w:tcBorders>
              <w:top w:val="single" w:color="auto" w:sz="4" w:space="0"/>
              <w:left w:val="single" w:color="auto" w:sz="4" w:space="0"/>
              <w:bottom w:val="single" w:color="auto" w:sz="4" w:space="0"/>
              <w:right w:val="single" w:color="auto" w:sz="4" w:space="0"/>
            </w:tcBorders>
            <w:vAlign w:val="center"/>
          </w:tcPr>
          <w:p w14:paraId="17D63D9A">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合同金额</w:t>
            </w:r>
          </w:p>
          <w:p w14:paraId="78AF4D46">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（万元）</w:t>
            </w:r>
          </w:p>
        </w:tc>
        <w:tc>
          <w:tcPr>
            <w:tcW w:w="1268" w:type="dxa"/>
            <w:tcBorders>
              <w:top w:val="single" w:color="auto" w:sz="4" w:space="0"/>
              <w:left w:val="single" w:color="auto" w:sz="4" w:space="0"/>
              <w:right w:val="single" w:color="auto" w:sz="4" w:space="0"/>
            </w:tcBorders>
            <w:vAlign w:val="center"/>
          </w:tcPr>
          <w:p w14:paraId="6C79E215">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附件页码</w:t>
            </w:r>
          </w:p>
          <w:p w14:paraId="08DA0644">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48853D80">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采购单位联系人及</w:t>
            </w:r>
          </w:p>
          <w:p w14:paraId="56FD0785">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联系电话</w:t>
            </w:r>
          </w:p>
        </w:tc>
      </w:tr>
      <w:tr w14:paraId="4F34F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486" w:type="dxa"/>
            <w:tcBorders>
              <w:top w:val="single" w:color="auto" w:sz="4" w:space="0"/>
              <w:left w:val="single" w:color="auto" w:sz="4" w:space="0"/>
              <w:bottom w:val="single" w:color="auto" w:sz="4" w:space="0"/>
              <w:right w:val="single" w:color="auto" w:sz="4" w:space="0"/>
            </w:tcBorders>
          </w:tcPr>
          <w:p w14:paraId="03407585">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4FC049D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941" w:type="dxa"/>
            <w:tcBorders>
              <w:top w:val="single" w:color="auto" w:sz="4" w:space="0"/>
              <w:left w:val="single" w:color="auto" w:sz="4" w:space="0"/>
              <w:bottom w:val="single" w:color="auto" w:sz="4" w:space="0"/>
              <w:right w:val="single" w:color="auto" w:sz="4" w:space="0"/>
            </w:tcBorders>
          </w:tcPr>
          <w:p w14:paraId="6C4B508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968" w:type="dxa"/>
            <w:tcBorders>
              <w:top w:val="single" w:color="auto" w:sz="4" w:space="0"/>
              <w:left w:val="single" w:color="auto" w:sz="4" w:space="0"/>
              <w:bottom w:val="single" w:color="auto" w:sz="4" w:space="0"/>
              <w:right w:val="single" w:color="auto" w:sz="4" w:space="0"/>
            </w:tcBorders>
          </w:tcPr>
          <w:p w14:paraId="398C8B5D">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tcPr>
          <w:p w14:paraId="6E73D795">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14:paraId="2D31BFFF">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tcPr>
          <w:p w14:paraId="1D22FE7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r w14:paraId="1014F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86" w:type="dxa"/>
            <w:tcBorders>
              <w:top w:val="single" w:color="auto" w:sz="4" w:space="0"/>
              <w:left w:val="single" w:color="auto" w:sz="4" w:space="0"/>
              <w:bottom w:val="single" w:color="auto" w:sz="4" w:space="0"/>
              <w:right w:val="single" w:color="auto" w:sz="4" w:space="0"/>
            </w:tcBorders>
          </w:tcPr>
          <w:p w14:paraId="59623337">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6F16C45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941" w:type="dxa"/>
            <w:tcBorders>
              <w:top w:val="single" w:color="auto" w:sz="4" w:space="0"/>
              <w:left w:val="single" w:color="auto" w:sz="4" w:space="0"/>
              <w:bottom w:val="single" w:color="auto" w:sz="4" w:space="0"/>
              <w:right w:val="single" w:color="auto" w:sz="4" w:space="0"/>
            </w:tcBorders>
          </w:tcPr>
          <w:p w14:paraId="13CBCAC2">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968" w:type="dxa"/>
            <w:tcBorders>
              <w:top w:val="single" w:color="auto" w:sz="4" w:space="0"/>
              <w:left w:val="single" w:color="auto" w:sz="4" w:space="0"/>
              <w:bottom w:val="single" w:color="auto" w:sz="4" w:space="0"/>
              <w:right w:val="single" w:color="auto" w:sz="4" w:space="0"/>
            </w:tcBorders>
          </w:tcPr>
          <w:p w14:paraId="15DCD0A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tcPr>
          <w:p w14:paraId="193CD790">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14:paraId="3AB54B10">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tcPr>
          <w:p w14:paraId="492FE9E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r w14:paraId="489BC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486" w:type="dxa"/>
            <w:tcBorders>
              <w:top w:val="single" w:color="auto" w:sz="4" w:space="0"/>
              <w:left w:val="single" w:color="auto" w:sz="4" w:space="0"/>
              <w:bottom w:val="single" w:color="auto" w:sz="4" w:space="0"/>
              <w:right w:val="single" w:color="auto" w:sz="4" w:space="0"/>
            </w:tcBorders>
          </w:tcPr>
          <w:p w14:paraId="2C55C12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4732F312">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941" w:type="dxa"/>
            <w:tcBorders>
              <w:top w:val="single" w:color="auto" w:sz="4" w:space="0"/>
              <w:left w:val="single" w:color="auto" w:sz="4" w:space="0"/>
              <w:bottom w:val="single" w:color="auto" w:sz="4" w:space="0"/>
              <w:right w:val="single" w:color="auto" w:sz="4" w:space="0"/>
            </w:tcBorders>
          </w:tcPr>
          <w:p w14:paraId="0A69B49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968" w:type="dxa"/>
            <w:tcBorders>
              <w:top w:val="single" w:color="auto" w:sz="4" w:space="0"/>
              <w:left w:val="single" w:color="auto" w:sz="4" w:space="0"/>
              <w:bottom w:val="single" w:color="auto" w:sz="4" w:space="0"/>
              <w:right w:val="single" w:color="auto" w:sz="4" w:space="0"/>
            </w:tcBorders>
          </w:tcPr>
          <w:p w14:paraId="1D87A75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tcPr>
          <w:p w14:paraId="6B5326FF">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14:paraId="59C4FDCD">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tcPr>
          <w:p w14:paraId="3CBE257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r w14:paraId="07802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86" w:type="dxa"/>
            <w:tcBorders>
              <w:top w:val="single" w:color="auto" w:sz="4" w:space="0"/>
              <w:left w:val="single" w:color="auto" w:sz="4" w:space="0"/>
              <w:bottom w:val="single" w:color="auto" w:sz="4" w:space="0"/>
              <w:right w:val="single" w:color="auto" w:sz="4" w:space="0"/>
            </w:tcBorders>
          </w:tcPr>
          <w:p w14:paraId="1C80D5C1">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0983607">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941" w:type="dxa"/>
            <w:tcBorders>
              <w:top w:val="single" w:color="auto" w:sz="4" w:space="0"/>
              <w:left w:val="single" w:color="auto" w:sz="4" w:space="0"/>
              <w:bottom w:val="single" w:color="auto" w:sz="4" w:space="0"/>
              <w:right w:val="single" w:color="auto" w:sz="4" w:space="0"/>
            </w:tcBorders>
          </w:tcPr>
          <w:p w14:paraId="328DB70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968" w:type="dxa"/>
            <w:tcBorders>
              <w:top w:val="single" w:color="auto" w:sz="4" w:space="0"/>
              <w:left w:val="single" w:color="auto" w:sz="4" w:space="0"/>
              <w:bottom w:val="single" w:color="auto" w:sz="4" w:space="0"/>
              <w:right w:val="single" w:color="auto" w:sz="4" w:space="0"/>
            </w:tcBorders>
          </w:tcPr>
          <w:p w14:paraId="0454B3E4">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tcPr>
          <w:p w14:paraId="1FFA0A4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14:paraId="40F87EB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tcPr>
          <w:p w14:paraId="5234651F">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r w14:paraId="43AE4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86" w:type="dxa"/>
            <w:tcBorders>
              <w:top w:val="single" w:color="auto" w:sz="4" w:space="0"/>
              <w:left w:val="single" w:color="auto" w:sz="4" w:space="0"/>
              <w:bottom w:val="single" w:color="auto" w:sz="4" w:space="0"/>
              <w:right w:val="single" w:color="auto" w:sz="4" w:space="0"/>
            </w:tcBorders>
          </w:tcPr>
          <w:p w14:paraId="0A074D31">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63CE2F9">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941" w:type="dxa"/>
            <w:tcBorders>
              <w:top w:val="single" w:color="auto" w:sz="4" w:space="0"/>
              <w:left w:val="single" w:color="auto" w:sz="4" w:space="0"/>
              <w:bottom w:val="single" w:color="auto" w:sz="4" w:space="0"/>
              <w:right w:val="single" w:color="auto" w:sz="4" w:space="0"/>
            </w:tcBorders>
          </w:tcPr>
          <w:p w14:paraId="3EE736FD">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968" w:type="dxa"/>
            <w:tcBorders>
              <w:top w:val="single" w:color="auto" w:sz="4" w:space="0"/>
              <w:left w:val="single" w:color="auto" w:sz="4" w:space="0"/>
              <w:bottom w:val="single" w:color="auto" w:sz="4" w:space="0"/>
              <w:right w:val="single" w:color="auto" w:sz="4" w:space="0"/>
            </w:tcBorders>
          </w:tcPr>
          <w:p w14:paraId="05C2FC3B">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tcPr>
          <w:p w14:paraId="213A788E">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14:paraId="2512427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tcPr>
          <w:p w14:paraId="28023F29">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bl>
    <w:p w14:paraId="1E371CAB">
      <w:pPr>
        <w:pStyle w:val="20"/>
        <w:snapToGrid w:val="0"/>
        <w:spacing w:before="0" w:after="0" w:line="360" w:lineRule="auto"/>
        <w:ind w:right="42" w:rightChars="20" w:firstLine="420" w:firstLineChars="200"/>
        <w:jc w:val="left"/>
        <w:rPr>
          <w:rFonts w:asciiTheme="minorEastAsia" w:hAnsiTheme="minorEastAsia" w:eastAsiaTheme="minorEastAsia"/>
          <w:color w:val="auto"/>
          <w:sz w:val="21"/>
          <w:szCs w:val="21"/>
          <w:highlight w:val="none"/>
        </w:rPr>
      </w:pPr>
    </w:p>
    <w:p w14:paraId="7C38B6B9">
      <w:pPr>
        <w:rPr>
          <w:rFonts w:asciiTheme="minorEastAsia" w:hAnsiTheme="minorEastAsia" w:eastAsiaTheme="minorEastAsia"/>
          <w:color w:val="auto"/>
          <w:szCs w:val="21"/>
          <w:highlight w:val="none"/>
        </w:rPr>
      </w:pPr>
    </w:p>
    <w:p w14:paraId="47EF1454">
      <w:pPr>
        <w:pStyle w:val="18"/>
        <w:rPr>
          <w:rFonts w:asciiTheme="minorEastAsia" w:hAnsiTheme="minorEastAsia" w:eastAsiaTheme="minorEastAsia"/>
          <w:color w:val="auto"/>
          <w:szCs w:val="21"/>
          <w:highlight w:val="none"/>
        </w:rPr>
      </w:pPr>
    </w:p>
    <w:p w14:paraId="2AAF88D4">
      <w:pPr>
        <w:pStyle w:val="19"/>
        <w:rPr>
          <w:rFonts w:asciiTheme="minorEastAsia" w:hAnsiTheme="minorEastAsia" w:eastAsiaTheme="minorEastAsia"/>
          <w:color w:val="auto"/>
          <w:sz w:val="21"/>
          <w:szCs w:val="21"/>
          <w:highlight w:val="none"/>
        </w:rPr>
      </w:pPr>
    </w:p>
    <w:p w14:paraId="726282A3">
      <w:pPr>
        <w:pStyle w:val="18"/>
        <w:rPr>
          <w:rFonts w:asciiTheme="minorEastAsia" w:hAnsiTheme="minorEastAsia" w:eastAsiaTheme="minorEastAsia"/>
          <w:color w:val="auto"/>
          <w:szCs w:val="21"/>
          <w:highlight w:val="none"/>
        </w:rPr>
      </w:pPr>
    </w:p>
    <w:p w14:paraId="281B7507">
      <w:pPr>
        <w:pStyle w:val="18"/>
        <w:rPr>
          <w:rFonts w:asciiTheme="minorEastAsia" w:hAnsiTheme="minorEastAsia" w:eastAsiaTheme="minorEastAsia"/>
          <w:color w:val="auto"/>
          <w:szCs w:val="21"/>
          <w:highlight w:val="none"/>
        </w:rPr>
      </w:pPr>
    </w:p>
    <w:p w14:paraId="7B402782">
      <w:pPr>
        <w:pStyle w:val="19"/>
        <w:rPr>
          <w:rFonts w:asciiTheme="minorEastAsia" w:hAnsiTheme="minorEastAsia" w:eastAsiaTheme="minorEastAsia"/>
          <w:color w:val="auto"/>
          <w:sz w:val="21"/>
          <w:szCs w:val="21"/>
          <w:highlight w:val="none"/>
        </w:rPr>
      </w:pPr>
    </w:p>
    <w:p w14:paraId="67D9A72C">
      <w:pPr>
        <w:pStyle w:val="18"/>
        <w:rPr>
          <w:rFonts w:asciiTheme="minorEastAsia" w:hAnsiTheme="minorEastAsia" w:eastAsiaTheme="minorEastAsia"/>
          <w:color w:val="auto"/>
          <w:szCs w:val="21"/>
          <w:highlight w:val="none"/>
        </w:rPr>
      </w:pPr>
    </w:p>
    <w:p w14:paraId="76E1C704">
      <w:pPr>
        <w:pStyle w:val="19"/>
        <w:rPr>
          <w:rFonts w:asciiTheme="minorEastAsia" w:hAnsiTheme="minorEastAsia" w:eastAsiaTheme="minorEastAsia"/>
          <w:color w:val="auto"/>
          <w:sz w:val="21"/>
          <w:szCs w:val="21"/>
          <w:highlight w:val="none"/>
        </w:rPr>
      </w:pPr>
    </w:p>
    <w:p w14:paraId="4B0BCAAD">
      <w:pPr>
        <w:pStyle w:val="18"/>
        <w:rPr>
          <w:rFonts w:asciiTheme="minorEastAsia" w:hAnsiTheme="minorEastAsia" w:eastAsiaTheme="minorEastAsia"/>
          <w:color w:val="auto"/>
          <w:szCs w:val="21"/>
          <w:highlight w:val="none"/>
        </w:rPr>
      </w:pPr>
    </w:p>
    <w:p w14:paraId="63618A81">
      <w:pPr>
        <w:pStyle w:val="19"/>
        <w:rPr>
          <w:color w:val="auto"/>
          <w:highlight w:val="none"/>
        </w:rPr>
      </w:pPr>
    </w:p>
    <w:p w14:paraId="2DB684FF">
      <w:pPr>
        <w:pStyle w:val="163"/>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法定代表人或其授权代表签字（或盖章）</w:t>
      </w:r>
      <w:r>
        <w:rPr>
          <w:rFonts w:asciiTheme="minorEastAsia" w:hAnsiTheme="minorEastAsia" w:eastAsiaTheme="minorEastAsia"/>
          <w:color w:val="auto"/>
          <w:sz w:val="21"/>
          <w:szCs w:val="21"/>
          <w:highlight w:val="none"/>
        </w:rPr>
        <w:t>：</w:t>
      </w:r>
    </w:p>
    <w:p w14:paraId="55640018">
      <w:pPr>
        <w:pStyle w:val="20"/>
        <w:snapToGrid w:val="0"/>
        <w:spacing w:before="0" w:after="0" w:line="360" w:lineRule="auto"/>
        <w:ind w:right="42" w:rightChars="20" w:firstLine="420" w:firstLineChars="200"/>
        <w:jc w:val="left"/>
        <w:rPr>
          <w:rFonts w:asciiTheme="minorEastAsia" w:hAnsiTheme="minorEastAsia" w:eastAsiaTheme="minorEastAsia"/>
          <w:color w:val="auto"/>
          <w:sz w:val="21"/>
          <w:szCs w:val="21"/>
          <w:highlight w:val="none"/>
          <w:u w:val="single"/>
        </w:rPr>
      </w:pPr>
    </w:p>
    <w:p w14:paraId="4A374B3B">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w:t>
      </w:r>
      <w:r>
        <w:rPr>
          <w:rFonts w:hint="eastAsia" w:asciiTheme="minorEastAsia" w:hAnsiTheme="minorEastAsia" w:eastAsiaTheme="minorEastAsia"/>
          <w:color w:val="auto"/>
          <w:szCs w:val="21"/>
          <w:highlight w:val="none"/>
          <w:shd w:val="clear" w:color="auto" w:fill="FFFFFF"/>
        </w:rPr>
        <w:t>CA签章</w:t>
      </w:r>
      <w:r>
        <w:rPr>
          <w:rFonts w:hint="eastAsia" w:asciiTheme="minorEastAsia" w:hAnsiTheme="minorEastAsia" w:eastAsiaTheme="minorEastAsia"/>
          <w:color w:val="auto"/>
          <w:szCs w:val="21"/>
          <w:highlight w:val="none"/>
        </w:rPr>
        <w:t>）：年月日</w:t>
      </w:r>
    </w:p>
    <w:p w14:paraId="2C587BD4">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07C53BA5">
      <w:pPr>
        <w:snapToGrid w:val="0"/>
        <w:spacing w:line="360" w:lineRule="auto"/>
        <w:ind w:right="42" w:rightChars="20" w:firstLine="420" w:firstLineChars="200"/>
        <w:jc w:val="left"/>
        <w:rPr>
          <w:rFonts w:asciiTheme="minorEastAsia" w:hAnsiTheme="minorEastAsia" w:eastAsiaTheme="minorEastAsia"/>
          <w:color w:val="auto"/>
          <w:szCs w:val="21"/>
          <w:highlight w:val="none"/>
        </w:rPr>
        <w:sectPr>
          <w:pgSz w:w="11905" w:h="16838"/>
          <w:pgMar w:top="1440" w:right="1803" w:bottom="1440" w:left="1803" w:header="851" w:footer="992" w:gutter="0"/>
          <w:cols w:space="0" w:num="1"/>
          <w:docGrid w:type="lines" w:linePitch="319" w:charSpace="0"/>
        </w:sectPr>
      </w:pPr>
    </w:p>
    <w:p w14:paraId="1F13CCD4">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商务响应表格式：</w:t>
      </w:r>
    </w:p>
    <w:tbl>
      <w:tblPr>
        <w:tblStyle w:val="5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76"/>
        <w:gridCol w:w="1891"/>
        <w:gridCol w:w="1653"/>
        <w:gridCol w:w="2645"/>
      </w:tblGrid>
      <w:tr w14:paraId="2C1AE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2376" w:type="dxa"/>
            <w:tcBorders>
              <w:top w:val="single" w:color="auto" w:sz="4" w:space="0"/>
              <w:left w:val="single" w:color="auto" w:sz="4" w:space="0"/>
              <w:bottom w:val="single" w:color="auto" w:sz="4" w:space="0"/>
              <w:right w:val="single" w:color="auto" w:sz="4" w:space="0"/>
            </w:tcBorders>
          </w:tcPr>
          <w:p w14:paraId="13F42836">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w:t>
            </w:r>
          </w:p>
        </w:tc>
        <w:tc>
          <w:tcPr>
            <w:tcW w:w="1891" w:type="dxa"/>
            <w:tcBorders>
              <w:top w:val="single" w:color="auto" w:sz="4" w:space="0"/>
              <w:left w:val="single" w:color="auto" w:sz="4" w:space="0"/>
              <w:bottom w:val="single" w:color="auto" w:sz="4" w:space="0"/>
              <w:right w:val="single" w:color="auto" w:sz="4" w:space="0"/>
            </w:tcBorders>
          </w:tcPr>
          <w:p w14:paraId="1F41BE34">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招标文件要求</w:t>
            </w:r>
          </w:p>
        </w:tc>
        <w:tc>
          <w:tcPr>
            <w:tcW w:w="1653" w:type="dxa"/>
            <w:tcBorders>
              <w:top w:val="single" w:color="auto" w:sz="4" w:space="0"/>
              <w:left w:val="single" w:color="auto" w:sz="4" w:space="0"/>
              <w:bottom w:val="single" w:color="auto" w:sz="4" w:space="0"/>
              <w:right w:val="single" w:color="auto" w:sz="4" w:space="0"/>
            </w:tcBorders>
          </w:tcPr>
          <w:p w14:paraId="5058490F">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是否响应</w:t>
            </w:r>
          </w:p>
        </w:tc>
        <w:tc>
          <w:tcPr>
            <w:tcW w:w="2645" w:type="dxa"/>
            <w:tcBorders>
              <w:top w:val="single" w:color="auto" w:sz="4" w:space="0"/>
              <w:left w:val="single" w:color="auto" w:sz="4" w:space="0"/>
              <w:bottom w:val="single" w:color="auto" w:sz="4" w:space="0"/>
              <w:right w:val="single" w:color="auto" w:sz="4" w:space="0"/>
            </w:tcBorders>
          </w:tcPr>
          <w:p w14:paraId="2D8D1B6D">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投标人的承诺或说明</w:t>
            </w:r>
          </w:p>
        </w:tc>
      </w:tr>
      <w:tr w14:paraId="55066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376" w:type="dxa"/>
            <w:tcBorders>
              <w:top w:val="single" w:color="auto" w:sz="4" w:space="0"/>
              <w:left w:val="single" w:color="auto" w:sz="4" w:space="0"/>
              <w:bottom w:val="single" w:color="auto" w:sz="4" w:space="0"/>
              <w:right w:val="single" w:color="auto" w:sz="4" w:space="0"/>
            </w:tcBorders>
            <w:vAlign w:val="center"/>
          </w:tcPr>
          <w:p w14:paraId="3596AFF5">
            <w:pPr>
              <w:widowControl/>
              <w:overflowPunct w:val="0"/>
              <w:autoSpaceDE w:val="0"/>
              <w:autoSpaceDN w:val="0"/>
              <w:adjustRightInd w:val="0"/>
              <w:spacing w:line="360" w:lineRule="auto"/>
              <w:ind w:right="42" w:rightChars="20"/>
              <w:jc w:val="center"/>
              <w:textAlignment w:val="baseline"/>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91" w:type="dxa"/>
            <w:tcBorders>
              <w:top w:val="single" w:color="auto" w:sz="4" w:space="0"/>
              <w:left w:val="single" w:color="auto" w:sz="4" w:space="0"/>
              <w:bottom w:val="single" w:color="auto" w:sz="4" w:space="0"/>
              <w:right w:val="single" w:color="auto" w:sz="4" w:space="0"/>
            </w:tcBorders>
          </w:tcPr>
          <w:p w14:paraId="7D5F0EEE">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tcPr>
          <w:p w14:paraId="4DE6B2AC">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7B37D1B5">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r w14:paraId="2E424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76" w:type="dxa"/>
            <w:tcBorders>
              <w:top w:val="single" w:color="auto" w:sz="4" w:space="0"/>
              <w:left w:val="single" w:color="auto" w:sz="4" w:space="0"/>
              <w:bottom w:val="single" w:color="auto" w:sz="4" w:space="0"/>
              <w:right w:val="single" w:color="auto" w:sz="4" w:space="0"/>
            </w:tcBorders>
            <w:vAlign w:val="center"/>
          </w:tcPr>
          <w:p w14:paraId="475C5D5E">
            <w:pPr>
              <w:widowControl/>
              <w:overflowPunct w:val="0"/>
              <w:autoSpaceDE w:val="0"/>
              <w:autoSpaceDN w:val="0"/>
              <w:adjustRightInd w:val="0"/>
              <w:spacing w:line="360" w:lineRule="auto"/>
              <w:ind w:right="42" w:rightChars="20"/>
              <w:jc w:val="center"/>
              <w:textAlignment w:val="baseline"/>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91" w:type="dxa"/>
            <w:tcBorders>
              <w:top w:val="single" w:color="auto" w:sz="4" w:space="0"/>
              <w:left w:val="single" w:color="auto" w:sz="4" w:space="0"/>
              <w:bottom w:val="single" w:color="auto" w:sz="4" w:space="0"/>
              <w:right w:val="single" w:color="auto" w:sz="4" w:space="0"/>
            </w:tcBorders>
          </w:tcPr>
          <w:p w14:paraId="68DE7FDC">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tcPr>
          <w:p w14:paraId="54C16C6B">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6E83A36D">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r w14:paraId="23279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76" w:type="dxa"/>
            <w:tcBorders>
              <w:top w:val="single" w:color="auto" w:sz="4" w:space="0"/>
              <w:left w:val="single" w:color="auto" w:sz="4" w:space="0"/>
              <w:bottom w:val="single" w:color="auto" w:sz="4" w:space="0"/>
              <w:right w:val="single" w:color="auto" w:sz="4" w:space="0"/>
            </w:tcBorders>
            <w:vAlign w:val="center"/>
          </w:tcPr>
          <w:p w14:paraId="3195FBB0">
            <w:pPr>
              <w:widowControl/>
              <w:overflowPunct w:val="0"/>
              <w:autoSpaceDE w:val="0"/>
              <w:autoSpaceDN w:val="0"/>
              <w:adjustRightInd w:val="0"/>
              <w:spacing w:line="360" w:lineRule="auto"/>
              <w:ind w:right="42" w:rightChars="20"/>
              <w:jc w:val="center"/>
              <w:textAlignment w:val="baseline"/>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91" w:type="dxa"/>
            <w:tcBorders>
              <w:top w:val="single" w:color="auto" w:sz="4" w:space="0"/>
              <w:left w:val="single" w:color="auto" w:sz="4" w:space="0"/>
              <w:bottom w:val="single" w:color="auto" w:sz="4" w:space="0"/>
              <w:right w:val="single" w:color="auto" w:sz="4" w:space="0"/>
            </w:tcBorders>
          </w:tcPr>
          <w:p w14:paraId="3FD0E08B">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tcPr>
          <w:p w14:paraId="0D7F6E42">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4BE17052">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r w14:paraId="437EC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76" w:type="dxa"/>
            <w:tcBorders>
              <w:top w:val="single" w:color="auto" w:sz="4" w:space="0"/>
              <w:left w:val="single" w:color="auto" w:sz="4" w:space="0"/>
              <w:bottom w:val="single" w:color="auto" w:sz="4" w:space="0"/>
              <w:right w:val="single" w:color="auto" w:sz="4" w:space="0"/>
            </w:tcBorders>
            <w:vAlign w:val="center"/>
          </w:tcPr>
          <w:p w14:paraId="197338B1">
            <w:pPr>
              <w:snapToGrid w:val="0"/>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91" w:type="dxa"/>
            <w:tcBorders>
              <w:top w:val="single" w:color="auto" w:sz="4" w:space="0"/>
              <w:left w:val="single" w:color="auto" w:sz="4" w:space="0"/>
              <w:bottom w:val="single" w:color="auto" w:sz="4" w:space="0"/>
              <w:right w:val="single" w:color="auto" w:sz="4" w:space="0"/>
            </w:tcBorders>
          </w:tcPr>
          <w:p w14:paraId="548AB87B">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tcPr>
          <w:p w14:paraId="3B5BA1C0">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7F23017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bl>
    <w:p w14:paraId="47898C19">
      <w:pPr>
        <w:pStyle w:val="29"/>
        <w:spacing w:line="360" w:lineRule="auto"/>
        <w:ind w:right="42" w:rightChars="20" w:firstLine="420" w:firstLineChars="200"/>
        <w:jc w:val="left"/>
        <w:rPr>
          <w:rFonts w:asciiTheme="minorEastAsia" w:hAnsiTheme="minorEastAsia" w:eastAsiaTheme="minorEastAsia"/>
          <w:color w:val="auto"/>
          <w:szCs w:val="21"/>
          <w:highlight w:val="none"/>
        </w:rPr>
      </w:pPr>
    </w:p>
    <w:p w14:paraId="7E0B297A">
      <w:pPr>
        <w:pStyle w:val="29"/>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注：本表不允许负偏离；</w:t>
      </w:r>
    </w:p>
    <w:p w14:paraId="414F6D23">
      <w:pPr>
        <w:pStyle w:val="29"/>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▲不提供本表视为完全响应招标文件要求。</w:t>
      </w:r>
    </w:p>
    <w:p w14:paraId="242D5A86">
      <w:pPr>
        <w:pStyle w:val="163"/>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法定代表人或其授权代表签字（或盖章）</w:t>
      </w:r>
      <w:r>
        <w:rPr>
          <w:rFonts w:asciiTheme="minorEastAsia" w:hAnsiTheme="minorEastAsia" w:eastAsiaTheme="minorEastAsia"/>
          <w:color w:val="auto"/>
          <w:sz w:val="21"/>
          <w:szCs w:val="21"/>
          <w:highlight w:val="none"/>
        </w:rPr>
        <w:t>：</w:t>
      </w:r>
    </w:p>
    <w:p w14:paraId="7D3C5FF1">
      <w:pPr>
        <w:pStyle w:val="29"/>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w:t>
      </w:r>
      <w:r>
        <w:rPr>
          <w:rFonts w:hint="eastAsia" w:asciiTheme="minorEastAsia" w:hAnsiTheme="minorEastAsia" w:eastAsiaTheme="minorEastAsia"/>
          <w:color w:val="auto"/>
          <w:szCs w:val="21"/>
          <w:highlight w:val="none"/>
          <w:shd w:val="clear" w:color="auto" w:fill="FFFFFF"/>
        </w:rPr>
        <w:t>CA签章</w:t>
      </w:r>
      <w:r>
        <w:rPr>
          <w:rFonts w:hint="eastAsia" w:asciiTheme="minorEastAsia" w:hAnsiTheme="minorEastAsia" w:eastAsiaTheme="minorEastAsia"/>
          <w:color w:val="auto"/>
          <w:szCs w:val="21"/>
          <w:highlight w:val="none"/>
        </w:rPr>
        <w:t>）</w:t>
      </w:r>
    </w:p>
    <w:p w14:paraId="4AC2B3B0">
      <w:pPr>
        <w:pStyle w:val="29"/>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日期：年月  日</w:t>
      </w:r>
    </w:p>
    <w:p w14:paraId="1638169F">
      <w:pPr>
        <w:pStyle w:val="96"/>
        <w:rPr>
          <w:color w:val="auto"/>
          <w:highlight w:val="none"/>
        </w:rPr>
      </w:pPr>
    </w:p>
    <w:p w14:paraId="2149F8A5">
      <w:pPr>
        <w:snapToGrid w:val="0"/>
        <w:spacing w:before="50" w:after="159" w:afterLines="50"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技术响应表格式</w:t>
      </w:r>
    </w:p>
    <w:tbl>
      <w:tblPr>
        <w:tblStyle w:val="52"/>
        <w:tblW w:w="89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7"/>
        <w:gridCol w:w="2475"/>
        <w:gridCol w:w="1583"/>
        <w:gridCol w:w="1849"/>
        <w:gridCol w:w="1456"/>
      </w:tblGrid>
      <w:tr w14:paraId="19366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6" w:hRule="atLeast"/>
          <w:jc w:val="center"/>
        </w:trPr>
        <w:tc>
          <w:tcPr>
            <w:tcW w:w="4052" w:type="dxa"/>
            <w:gridSpan w:val="2"/>
            <w:tcBorders>
              <w:top w:val="single" w:color="auto" w:sz="4" w:space="0"/>
              <w:left w:val="single" w:color="auto" w:sz="4" w:space="0"/>
              <w:bottom w:val="single" w:color="auto" w:sz="4" w:space="0"/>
              <w:right w:val="single" w:color="auto" w:sz="4" w:space="0"/>
            </w:tcBorders>
          </w:tcPr>
          <w:p w14:paraId="4B9707E4">
            <w:pPr>
              <w:snapToGrid w:val="0"/>
              <w:spacing w:line="360" w:lineRule="auto"/>
              <w:ind w:right="42" w:rightChars="20"/>
              <w:jc w:val="center"/>
              <w:outlineLvl w:val="0"/>
              <w:rPr>
                <w:rFonts w:asciiTheme="minorEastAsia" w:hAnsiTheme="minorEastAsia" w:eastAsiaTheme="minorEastAsia"/>
                <w:color w:val="auto"/>
                <w:szCs w:val="21"/>
                <w:highlight w:val="none"/>
              </w:rPr>
            </w:pPr>
            <w:bookmarkStart w:id="337" w:name="_Toc381081903"/>
            <w:bookmarkStart w:id="338" w:name="_Toc401570290"/>
            <w:bookmarkStart w:id="339" w:name="_Toc62745298"/>
            <w:bookmarkStart w:id="340" w:name="_Toc377653976"/>
            <w:bookmarkStart w:id="341" w:name="_Toc382928118"/>
            <w:bookmarkStart w:id="342" w:name="_Toc402963128"/>
            <w:bookmarkStart w:id="343" w:name="_Toc406402957"/>
            <w:bookmarkStart w:id="344" w:name="_Toc377028057"/>
            <w:bookmarkStart w:id="345" w:name="_Toc385854156"/>
            <w:bookmarkStart w:id="346" w:name="_Toc382928236"/>
            <w:bookmarkStart w:id="347" w:name="_Toc406403001"/>
            <w:bookmarkStart w:id="348" w:name="_Toc402963095"/>
            <w:bookmarkStart w:id="349" w:name="_Toc377028119"/>
            <w:bookmarkStart w:id="350" w:name="_Toc385854110"/>
            <w:bookmarkStart w:id="351" w:name="_Toc401570314"/>
            <w:r>
              <w:rPr>
                <w:rFonts w:hint="eastAsia" w:asciiTheme="minorEastAsia" w:hAnsiTheme="minorEastAsia" w:eastAsiaTheme="minorEastAsia"/>
                <w:color w:val="auto"/>
                <w:szCs w:val="21"/>
                <w:highlight w:val="none"/>
              </w:rPr>
              <w:t>招标文件要求</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tc>
        <w:tc>
          <w:tcPr>
            <w:tcW w:w="3432" w:type="dxa"/>
            <w:gridSpan w:val="2"/>
            <w:tcBorders>
              <w:top w:val="single" w:color="auto" w:sz="4" w:space="0"/>
              <w:left w:val="single" w:color="auto" w:sz="4" w:space="0"/>
              <w:bottom w:val="single" w:color="auto" w:sz="4" w:space="0"/>
              <w:right w:val="single" w:color="auto" w:sz="4" w:space="0"/>
            </w:tcBorders>
          </w:tcPr>
          <w:p w14:paraId="076542F4">
            <w:pPr>
              <w:snapToGrid w:val="0"/>
              <w:spacing w:line="360" w:lineRule="auto"/>
              <w:ind w:right="42" w:rightChars="20"/>
              <w:jc w:val="center"/>
              <w:outlineLvl w:val="0"/>
              <w:rPr>
                <w:rFonts w:asciiTheme="minorEastAsia" w:hAnsiTheme="minorEastAsia" w:eastAsiaTheme="minorEastAsia"/>
                <w:color w:val="auto"/>
                <w:szCs w:val="21"/>
                <w:highlight w:val="none"/>
              </w:rPr>
            </w:pPr>
            <w:bookmarkStart w:id="352" w:name="_Toc402963096"/>
            <w:bookmarkStart w:id="353" w:name="_Toc401570291"/>
            <w:bookmarkStart w:id="354" w:name="_Toc382928119"/>
            <w:bookmarkStart w:id="355" w:name="_Toc377653977"/>
            <w:bookmarkStart w:id="356" w:name="_Toc382928237"/>
            <w:bookmarkStart w:id="357" w:name="_Toc402963129"/>
            <w:bookmarkStart w:id="358" w:name="_Toc406403002"/>
            <w:bookmarkStart w:id="359" w:name="_Toc401570315"/>
            <w:bookmarkStart w:id="360" w:name="_Toc377028120"/>
            <w:bookmarkStart w:id="361" w:name="_Toc385854157"/>
            <w:bookmarkStart w:id="362" w:name="_Toc62745299"/>
            <w:bookmarkStart w:id="363" w:name="_Toc406402958"/>
            <w:bookmarkStart w:id="364" w:name="_Toc377028058"/>
            <w:bookmarkStart w:id="365" w:name="_Toc381081904"/>
            <w:bookmarkStart w:id="366" w:name="_Toc385854111"/>
            <w:r>
              <w:rPr>
                <w:rFonts w:hint="eastAsia" w:asciiTheme="minorEastAsia" w:hAnsiTheme="minorEastAsia" w:eastAsiaTheme="minorEastAsia"/>
                <w:color w:val="auto"/>
                <w:szCs w:val="21"/>
                <w:highlight w:val="none"/>
              </w:rPr>
              <w:t>投标文件响应</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tc>
        <w:tc>
          <w:tcPr>
            <w:tcW w:w="1456" w:type="dxa"/>
            <w:vMerge w:val="restart"/>
            <w:tcBorders>
              <w:top w:val="single" w:color="auto" w:sz="4" w:space="0"/>
              <w:left w:val="single" w:color="auto" w:sz="4" w:space="0"/>
              <w:bottom w:val="single" w:color="auto" w:sz="4" w:space="0"/>
              <w:right w:val="single" w:color="auto" w:sz="4" w:space="0"/>
            </w:tcBorders>
            <w:vAlign w:val="center"/>
          </w:tcPr>
          <w:p w14:paraId="751D7C1B">
            <w:pPr>
              <w:snapToGrid w:val="0"/>
              <w:spacing w:line="360" w:lineRule="auto"/>
              <w:ind w:right="42" w:rightChars="20"/>
              <w:jc w:val="center"/>
              <w:outlineLvl w:val="0"/>
              <w:rPr>
                <w:rFonts w:asciiTheme="minorEastAsia" w:hAnsiTheme="minorEastAsia" w:eastAsiaTheme="minorEastAsia"/>
                <w:color w:val="auto"/>
                <w:szCs w:val="21"/>
                <w:highlight w:val="none"/>
              </w:rPr>
            </w:pPr>
            <w:bookmarkStart w:id="367" w:name="_Toc62745300"/>
            <w:bookmarkStart w:id="368" w:name="_Toc402963130"/>
            <w:bookmarkStart w:id="369" w:name="_Toc401570316"/>
            <w:bookmarkStart w:id="370" w:name="_Toc406402959"/>
            <w:bookmarkStart w:id="371" w:name="_Toc385854158"/>
            <w:bookmarkStart w:id="372" w:name="_Toc385854112"/>
            <w:bookmarkStart w:id="373" w:name="_Toc382928120"/>
            <w:bookmarkStart w:id="374" w:name="_Toc377653978"/>
            <w:bookmarkStart w:id="375" w:name="_Toc377028059"/>
            <w:bookmarkStart w:id="376" w:name="_Toc406403003"/>
            <w:bookmarkStart w:id="377" w:name="_Toc401570292"/>
            <w:bookmarkStart w:id="378" w:name="_Toc382928238"/>
            <w:bookmarkStart w:id="379" w:name="_Toc402963097"/>
            <w:bookmarkStart w:id="380" w:name="_Toc377028121"/>
            <w:bookmarkStart w:id="381" w:name="_Toc381081905"/>
            <w:r>
              <w:rPr>
                <w:rFonts w:hint="eastAsia" w:asciiTheme="minorEastAsia" w:hAnsiTheme="minorEastAsia" w:eastAsiaTheme="minorEastAsia"/>
                <w:color w:val="auto"/>
                <w:szCs w:val="21"/>
                <w:highlight w:val="none"/>
              </w:rPr>
              <w:t>偏离情况</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tc>
      </w:tr>
      <w:tr w14:paraId="1056C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1577" w:type="dxa"/>
            <w:tcBorders>
              <w:top w:val="single" w:color="auto" w:sz="4" w:space="0"/>
              <w:left w:val="single" w:color="auto" w:sz="4" w:space="0"/>
              <w:bottom w:val="single" w:color="auto" w:sz="4" w:space="0"/>
              <w:right w:val="single" w:color="auto" w:sz="4" w:space="0"/>
            </w:tcBorders>
          </w:tcPr>
          <w:p w14:paraId="19173FCE">
            <w:pPr>
              <w:snapToGrid w:val="0"/>
              <w:spacing w:line="360" w:lineRule="auto"/>
              <w:ind w:right="42" w:rightChars="20"/>
              <w:jc w:val="center"/>
              <w:outlineLvl w:val="0"/>
              <w:rPr>
                <w:rFonts w:asciiTheme="minorEastAsia" w:hAnsiTheme="minorEastAsia" w:eastAsiaTheme="minorEastAsia"/>
                <w:color w:val="auto"/>
                <w:szCs w:val="21"/>
                <w:highlight w:val="none"/>
              </w:rPr>
            </w:pPr>
            <w:bookmarkStart w:id="382" w:name="_Toc382928121"/>
            <w:bookmarkStart w:id="383" w:name="_Toc401570293"/>
            <w:bookmarkStart w:id="384" w:name="_Toc377028060"/>
            <w:bookmarkStart w:id="385" w:name="_Toc377653979"/>
            <w:bookmarkStart w:id="386" w:name="_Toc377028122"/>
            <w:bookmarkStart w:id="387" w:name="_Toc401570317"/>
            <w:bookmarkStart w:id="388" w:name="_Toc406403004"/>
            <w:bookmarkStart w:id="389" w:name="_Toc406402960"/>
            <w:bookmarkStart w:id="390" w:name="_Toc385854159"/>
            <w:bookmarkStart w:id="391" w:name="_Toc402963098"/>
            <w:bookmarkStart w:id="392" w:name="_Toc382928239"/>
            <w:bookmarkStart w:id="393" w:name="_Toc381081906"/>
            <w:bookmarkStart w:id="394" w:name="_Toc62745301"/>
            <w:bookmarkStart w:id="395" w:name="_Toc402963131"/>
            <w:bookmarkStart w:id="396" w:name="_Toc385854113"/>
            <w:r>
              <w:rPr>
                <w:rFonts w:hint="eastAsia" w:asciiTheme="minorEastAsia" w:hAnsiTheme="minorEastAsia" w:eastAsiaTheme="minorEastAsia"/>
                <w:color w:val="auto"/>
                <w:szCs w:val="21"/>
                <w:highlight w:val="none"/>
              </w:rPr>
              <w:t>项目</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tc>
        <w:tc>
          <w:tcPr>
            <w:tcW w:w="2475" w:type="dxa"/>
            <w:tcBorders>
              <w:top w:val="single" w:color="auto" w:sz="4" w:space="0"/>
              <w:left w:val="single" w:color="auto" w:sz="4" w:space="0"/>
              <w:bottom w:val="single" w:color="auto" w:sz="4" w:space="0"/>
              <w:right w:val="single" w:color="auto" w:sz="4" w:space="0"/>
            </w:tcBorders>
          </w:tcPr>
          <w:p w14:paraId="410E1762">
            <w:pPr>
              <w:snapToGrid w:val="0"/>
              <w:spacing w:line="360" w:lineRule="auto"/>
              <w:ind w:right="42" w:rightChars="20"/>
              <w:jc w:val="center"/>
              <w:outlineLvl w:val="0"/>
              <w:rPr>
                <w:rFonts w:asciiTheme="minorEastAsia" w:hAnsiTheme="minorEastAsia" w:eastAsiaTheme="minorEastAsia"/>
                <w:color w:val="auto"/>
                <w:szCs w:val="21"/>
                <w:highlight w:val="none"/>
              </w:rPr>
            </w:pPr>
            <w:bookmarkStart w:id="397" w:name="_Toc402963099"/>
            <w:bookmarkStart w:id="398" w:name="_Toc62745302"/>
            <w:bookmarkStart w:id="399" w:name="_Toc385854114"/>
            <w:bookmarkStart w:id="400" w:name="_Toc381081907"/>
            <w:bookmarkStart w:id="401" w:name="_Toc382928240"/>
            <w:bookmarkStart w:id="402" w:name="_Toc406402961"/>
            <w:bookmarkStart w:id="403" w:name="_Toc401570294"/>
            <w:bookmarkStart w:id="404" w:name="_Toc402963132"/>
            <w:bookmarkStart w:id="405" w:name="_Toc406403005"/>
            <w:bookmarkStart w:id="406" w:name="_Toc385854160"/>
            <w:bookmarkStart w:id="407" w:name="_Toc401570318"/>
            <w:bookmarkStart w:id="408" w:name="_Toc377028061"/>
            <w:bookmarkStart w:id="409" w:name="_Toc377028123"/>
            <w:bookmarkStart w:id="410" w:name="_Toc377653980"/>
            <w:bookmarkStart w:id="411" w:name="_Toc382928122"/>
            <w:r>
              <w:rPr>
                <w:rFonts w:hint="eastAsia" w:asciiTheme="minorEastAsia" w:hAnsiTheme="minorEastAsia" w:eastAsiaTheme="minorEastAsia"/>
                <w:color w:val="auto"/>
                <w:szCs w:val="21"/>
                <w:highlight w:val="none"/>
              </w:rPr>
              <w:t>要求</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tc>
        <w:tc>
          <w:tcPr>
            <w:tcW w:w="1583" w:type="dxa"/>
            <w:tcBorders>
              <w:top w:val="single" w:color="auto" w:sz="4" w:space="0"/>
              <w:left w:val="single" w:color="auto" w:sz="4" w:space="0"/>
              <w:bottom w:val="single" w:color="auto" w:sz="4" w:space="0"/>
              <w:right w:val="single" w:color="auto" w:sz="4" w:space="0"/>
            </w:tcBorders>
          </w:tcPr>
          <w:p w14:paraId="2AB46A0B">
            <w:pPr>
              <w:snapToGrid w:val="0"/>
              <w:spacing w:line="360" w:lineRule="auto"/>
              <w:ind w:right="42" w:rightChars="20"/>
              <w:jc w:val="center"/>
              <w:outlineLvl w:val="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w:t>
            </w:r>
          </w:p>
        </w:tc>
        <w:tc>
          <w:tcPr>
            <w:tcW w:w="1849" w:type="dxa"/>
            <w:tcBorders>
              <w:top w:val="single" w:color="auto" w:sz="4" w:space="0"/>
              <w:left w:val="single" w:color="auto" w:sz="4" w:space="0"/>
              <w:bottom w:val="single" w:color="auto" w:sz="4" w:space="0"/>
              <w:right w:val="single" w:color="auto" w:sz="4" w:space="0"/>
            </w:tcBorders>
          </w:tcPr>
          <w:p w14:paraId="077D5F20">
            <w:pPr>
              <w:snapToGrid w:val="0"/>
              <w:spacing w:line="360" w:lineRule="auto"/>
              <w:ind w:right="42" w:rightChars="20"/>
              <w:jc w:val="center"/>
              <w:outlineLvl w:val="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响应情况</w:t>
            </w:r>
          </w:p>
        </w:tc>
        <w:tc>
          <w:tcPr>
            <w:tcW w:w="1456" w:type="dxa"/>
            <w:vMerge w:val="continue"/>
            <w:tcBorders>
              <w:top w:val="single" w:color="auto" w:sz="4" w:space="0"/>
              <w:left w:val="single" w:color="auto" w:sz="4" w:space="0"/>
              <w:bottom w:val="single" w:color="auto" w:sz="4" w:space="0"/>
              <w:right w:val="single" w:color="auto" w:sz="4" w:space="0"/>
            </w:tcBorders>
            <w:vAlign w:val="center"/>
          </w:tcPr>
          <w:p w14:paraId="215B9D53">
            <w:pPr>
              <w:widowControl/>
              <w:spacing w:line="360" w:lineRule="auto"/>
              <w:ind w:right="42" w:rightChars="20"/>
              <w:jc w:val="left"/>
              <w:rPr>
                <w:rFonts w:asciiTheme="minorEastAsia" w:hAnsiTheme="minorEastAsia" w:eastAsiaTheme="minorEastAsia"/>
                <w:color w:val="auto"/>
                <w:szCs w:val="21"/>
                <w:highlight w:val="none"/>
              </w:rPr>
            </w:pPr>
          </w:p>
        </w:tc>
      </w:tr>
      <w:tr w14:paraId="59143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14:paraId="01B99AD6">
            <w:pPr>
              <w:snapToGrid w:val="0"/>
              <w:spacing w:before="159" w:beforeLines="50" w:after="159" w:afterLines="50" w:line="360" w:lineRule="auto"/>
              <w:ind w:right="42" w:rightChars="20"/>
              <w:outlineLvl w:val="0"/>
              <w:rPr>
                <w:rFonts w:asciiTheme="minorEastAsia" w:hAnsiTheme="minorEastAsia" w:eastAsiaTheme="minorEastAsia"/>
                <w:color w:val="auto"/>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14:paraId="6BC945D9">
            <w:pPr>
              <w:snapToGrid w:val="0"/>
              <w:spacing w:line="360" w:lineRule="auto"/>
              <w:ind w:right="42" w:rightChars="20"/>
              <w:outlineLvl w:val="0"/>
              <w:rPr>
                <w:rFonts w:asciiTheme="minorEastAsia" w:hAnsiTheme="minorEastAsia" w:eastAsiaTheme="minorEastAsia"/>
                <w:color w:val="auto"/>
                <w:szCs w:val="21"/>
                <w:highlight w:val="none"/>
              </w:rPr>
            </w:pPr>
          </w:p>
        </w:tc>
        <w:tc>
          <w:tcPr>
            <w:tcW w:w="1583" w:type="dxa"/>
            <w:tcBorders>
              <w:top w:val="single" w:color="auto" w:sz="4" w:space="0"/>
              <w:left w:val="single" w:color="auto" w:sz="4" w:space="0"/>
              <w:bottom w:val="single" w:color="auto" w:sz="4" w:space="0"/>
              <w:right w:val="single" w:color="auto" w:sz="4" w:space="0"/>
            </w:tcBorders>
          </w:tcPr>
          <w:p w14:paraId="60BE14B5">
            <w:pPr>
              <w:snapToGrid w:val="0"/>
              <w:spacing w:line="360" w:lineRule="auto"/>
              <w:ind w:right="42" w:rightChars="20"/>
              <w:outlineLvl w:val="0"/>
              <w:rPr>
                <w:rFonts w:asciiTheme="minorEastAsia" w:hAnsiTheme="minorEastAsia" w:eastAsiaTheme="minorEastAsia"/>
                <w:color w:val="auto"/>
                <w:szCs w:val="21"/>
                <w:highlight w:val="none"/>
              </w:rPr>
            </w:pPr>
          </w:p>
        </w:tc>
        <w:tc>
          <w:tcPr>
            <w:tcW w:w="1849" w:type="dxa"/>
            <w:tcBorders>
              <w:top w:val="single" w:color="auto" w:sz="4" w:space="0"/>
              <w:left w:val="single" w:color="auto" w:sz="4" w:space="0"/>
              <w:bottom w:val="single" w:color="auto" w:sz="4" w:space="0"/>
              <w:right w:val="single" w:color="auto" w:sz="4" w:space="0"/>
            </w:tcBorders>
          </w:tcPr>
          <w:p w14:paraId="5EFD0D4F">
            <w:pPr>
              <w:snapToGrid w:val="0"/>
              <w:spacing w:line="360" w:lineRule="auto"/>
              <w:ind w:right="42" w:rightChars="20"/>
              <w:outlineLvl w:val="0"/>
              <w:rPr>
                <w:rFonts w:asciiTheme="minorEastAsia" w:hAnsiTheme="minorEastAsia" w:eastAsiaTheme="minorEastAsia"/>
                <w:color w:val="auto"/>
                <w:szCs w:val="21"/>
                <w:highlight w:val="none"/>
              </w:rPr>
            </w:pPr>
          </w:p>
        </w:tc>
        <w:tc>
          <w:tcPr>
            <w:tcW w:w="1456" w:type="dxa"/>
            <w:tcBorders>
              <w:top w:val="single" w:color="auto" w:sz="4" w:space="0"/>
              <w:left w:val="single" w:color="auto" w:sz="4" w:space="0"/>
              <w:bottom w:val="single" w:color="auto" w:sz="4" w:space="0"/>
              <w:right w:val="single" w:color="auto" w:sz="4" w:space="0"/>
            </w:tcBorders>
          </w:tcPr>
          <w:p w14:paraId="2646B16C">
            <w:pPr>
              <w:snapToGrid w:val="0"/>
              <w:spacing w:line="360" w:lineRule="auto"/>
              <w:ind w:right="42" w:rightChars="20"/>
              <w:outlineLvl w:val="0"/>
              <w:rPr>
                <w:rFonts w:asciiTheme="minorEastAsia" w:hAnsiTheme="minorEastAsia" w:eastAsiaTheme="minorEastAsia"/>
                <w:color w:val="auto"/>
                <w:szCs w:val="21"/>
                <w:highlight w:val="none"/>
              </w:rPr>
            </w:pPr>
          </w:p>
        </w:tc>
      </w:tr>
      <w:tr w14:paraId="219E2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14:paraId="1320A814">
            <w:pPr>
              <w:widowControl/>
              <w:spacing w:line="360" w:lineRule="auto"/>
              <w:ind w:right="42" w:rightChars="20"/>
              <w:rPr>
                <w:rFonts w:asciiTheme="minorEastAsia" w:hAnsiTheme="minorEastAsia" w:eastAsiaTheme="minorEastAsia"/>
                <w:color w:val="auto"/>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14:paraId="31136106">
            <w:pPr>
              <w:snapToGrid w:val="0"/>
              <w:spacing w:line="360" w:lineRule="auto"/>
              <w:ind w:right="42" w:rightChars="20"/>
              <w:outlineLvl w:val="0"/>
              <w:rPr>
                <w:rFonts w:asciiTheme="minorEastAsia" w:hAnsiTheme="minorEastAsia" w:eastAsiaTheme="minorEastAsia"/>
                <w:color w:val="auto"/>
                <w:szCs w:val="21"/>
                <w:highlight w:val="none"/>
              </w:rPr>
            </w:pPr>
          </w:p>
        </w:tc>
        <w:tc>
          <w:tcPr>
            <w:tcW w:w="1583" w:type="dxa"/>
            <w:tcBorders>
              <w:top w:val="single" w:color="auto" w:sz="4" w:space="0"/>
              <w:left w:val="single" w:color="auto" w:sz="4" w:space="0"/>
              <w:bottom w:val="single" w:color="auto" w:sz="4" w:space="0"/>
              <w:right w:val="single" w:color="auto" w:sz="4" w:space="0"/>
            </w:tcBorders>
          </w:tcPr>
          <w:p w14:paraId="7B7D2DAD">
            <w:pPr>
              <w:snapToGrid w:val="0"/>
              <w:spacing w:line="360" w:lineRule="auto"/>
              <w:ind w:right="42" w:rightChars="20"/>
              <w:outlineLvl w:val="0"/>
              <w:rPr>
                <w:rFonts w:asciiTheme="minorEastAsia" w:hAnsiTheme="minorEastAsia" w:eastAsiaTheme="minorEastAsia"/>
                <w:color w:val="auto"/>
                <w:szCs w:val="21"/>
                <w:highlight w:val="none"/>
              </w:rPr>
            </w:pPr>
          </w:p>
        </w:tc>
        <w:tc>
          <w:tcPr>
            <w:tcW w:w="1849" w:type="dxa"/>
            <w:tcBorders>
              <w:top w:val="single" w:color="auto" w:sz="4" w:space="0"/>
              <w:left w:val="single" w:color="auto" w:sz="4" w:space="0"/>
              <w:bottom w:val="single" w:color="auto" w:sz="4" w:space="0"/>
              <w:right w:val="single" w:color="auto" w:sz="4" w:space="0"/>
            </w:tcBorders>
          </w:tcPr>
          <w:p w14:paraId="6A1D3AD4">
            <w:pPr>
              <w:snapToGrid w:val="0"/>
              <w:spacing w:line="360" w:lineRule="auto"/>
              <w:ind w:right="42" w:rightChars="20"/>
              <w:outlineLvl w:val="0"/>
              <w:rPr>
                <w:rFonts w:asciiTheme="minorEastAsia" w:hAnsiTheme="minorEastAsia" w:eastAsiaTheme="minorEastAsia"/>
                <w:color w:val="auto"/>
                <w:szCs w:val="21"/>
                <w:highlight w:val="none"/>
              </w:rPr>
            </w:pPr>
          </w:p>
        </w:tc>
        <w:tc>
          <w:tcPr>
            <w:tcW w:w="1456" w:type="dxa"/>
            <w:tcBorders>
              <w:top w:val="single" w:color="auto" w:sz="4" w:space="0"/>
              <w:left w:val="single" w:color="auto" w:sz="4" w:space="0"/>
              <w:bottom w:val="single" w:color="auto" w:sz="4" w:space="0"/>
              <w:right w:val="single" w:color="auto" w:sz="4" w:space="0"/>
            </w:tcBorders>
          </w:tcPr>
          <w:p w14:paraId="7F75B7B0">
            <w:pPr>
              <w:snapToGrid w:val="0"/>
              <w:spacing w:line="360" w:lineRule="auto"/>
              <w:ind w:right="42" w:rightChars="20"/>
              <w:outlineLvl w:val="0"/>
              <w:rPr>
                <w:rFonts w:asciiTheme="minorEastAsia" w:hAnsiTheme="minorEastAsia" w:eastAsiaTheme="minorEastAsia"/>
                <w:color w:val="auto"/>
                <w:szCs w:val="21"/>
                <w:highlight w:val="none"/>
              </w:rPr>
            </w:pPr>
          </w:p>
        </w:tc>
      </w:tr>
      <w:tr w14:paraId="1D618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14:paraId="2A07AA75">
            <w:pPr>
              <w:snapToGrid w:val="0"/>
              <w:spacing w:before="159" w:beforeLines="50" w:after="159" w:afterLines="50" w:line="360" w:lineRule="auto"/>
              <w:ind w:right="42" w:rightChars="20"/>
              <w:outlineLvl w:val="0"/>
              <w:rPr>
                <w:rFonts w:asciiTheme="minorEastAsia" w:hAnsiTheme="minorEastAsia" w:eastAsiaTheme="minorEastAsia"/>
                <w:color w:val="auto"/>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14:paraId="6F57629D">
            <w:pPr>
              <w:snapToGrid w:val="0"/>
              <w:spacing w:line="360" w:lineRule="auto"/>
              <w:ind w:right="42" w:rightChars="20"/>
              <w:outlineLvl w:val="0"/>
              <w:rPr>
                <w:rFonts w:asciiTheme="minorEastAsia" w:hAnsiTheme="minorEastAsia" w:eastAsiaTheme="minorEastAsia"/>
                <w:color w:val="auto"/>
                <w:szCs w:val="21"/>
                <w:highlight w:val="none"/>
              </w:rPr>
            </w:pPr>
          </w:p>
        </w:tc>
        <w:tc>
          <w:tcPr>
            <w:tcW w:w="1583" w:type="dxa"/>
            <w:tcBorders>
              <w:top w:val="single" w:color="auto" w:sz="4" w:space="0"/>
              <w:left w:val="single" w:color="auto" w:sz="4" w:space="0"/>
              <w:bottom w:val="single" w:color="auto" w:sz="4" w:space="0"/>
              <w:right w:val="single" w:color="auto" w:sz="4" w:space="0"/>
            </w:tcBorders>
          </w:tcPr>
          <w:p w14:paraId="6BB49B79">
            <w:pPr>
              <w:snapToGrid w:val="0"/>
              <w:spacing w:line="360" w:lineRule="auto"/>
              <w:ind w:right="42" w:rightChars="20"/>
              <w:outlineLvl w:val="0"/>
              <w:rPr>
                <w:rFonts w:asciiTheme="minorEastAsia" w:hAnsiTheme="minorEastAsia" w:eastAsiaTheme="minorEastAsia"/>
                <w:color w:val="auto"/>
                <w:szCs w:val="21"/>
                <w:highlight w:val="none"/>
              </w:rPr>
            </w:pPr>
          </w:p>
        </w:tc>
        <w:tc>
          <w:tcPr>
            <w:tcW w:w="1849" w:type="dxa"/>
            <w:tcBorders>
              <w:top w:val="single" w:color="auto" w:sz="4" w:space="0"/>
              <w:left w:val="single" w:color="auto" w:sz="4" w:space="0"/>
              <w:bottom w:val="single" w:color="auto" w:sz="4" w:space="0"/>
              <w:right w:val="single" w:color="auto" w:sz="4" w:space="0"/>
            </w:tcBorders>
          </w:tcPr>
          <w:p w14:paraId="53D9A5EA">
            <w:pPr>
              <w:snapToGrid w:val="0"/>
              <w:spacing w:line="360" w:lineRule="auto"/>
              <w:ind w:right="42" w:rightChars="20"/>
              <w:outlineLvl w:val="0"/>
              <w:rPr>
                <w:rFonts w:asciiTheme="minorEastAsia" w:hAnsiTheme="minorEastAsia" w:eastAsiaTheme="minorEastAsia"/>
                <w:color w:val="auto"/>
                <w:szCs w:val="21"/>
                <w:highlight w:val="none"/>
              </w:rPr>
            </w:pPr>
          </w:p>
        </w:tc>
        <w:tc>
          <w:tcPr>
            <w:tcW w:w="1456" w:type="dxa"/>
            <w:tcBorders>
              <w:top w:val="single" w:color="auto" w:sz="4" w:space="0"/>
              <w:left w:val="single" w:color="auto" w:sz="4" w:space="0"/>
              <w:bottom w:val="single" w:color="auto" w:sz="4" w:space="0"/>
              <w:right w:val="single" w:color="auto" w:sz="4" w:space="0"/>
            </w:tcBorders>
          </w:tcPr>
          <w:p w14:paraId="06867014">
            <w:pPr>
              <w:snapToGrid w:val="0"/>
              <w:spacing w:line="360" w:lineRule="auto"/>
              <w:ind w:right="42" w:rightChars="20"/>
              <w:outlineLvl w:val="0"/>
              <w:rPr>
                <w:rFonts w:asciiTheme="minorEastAsia" w:hAnsiTheme="minorEastAsia" w:eastAsiaTheme="minorEastAsia"/>
                <w:color w:val="auto"/>
                <w:szCs w:val="21"/>
                <w:highlight w:val="none"/>
              </w:rPr>
            </w:pPr>
          </w:p>
        </w:tc>
      </w:tr>
      <w:tr w14:paraId="57C68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14:paraId="7F94F0C8">
            <w:pPr>
              <w:snapToGrid w:val="0"/>
              <w:spacing w:before="159" w:beforeLines="50" w:after="159" w:afterLines="50" w:line="360" w:lineRule="auto"/>
              <w:ind w:right="42" w:rightChars="20"/>
              <w:outlineLvl w:val="0"/>
              <w:rPr>
                <w:rFonts w:asciiTheme="minorEastAsia" w:hAnsiTheme="minorEastAsia" w:eastAsiaTheme="minorEastAsia"/>
                <w:color w:val="auto"/>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14:paraId="0E6B450B">
            <w:pPr>
              <w:snapToGrid w:val="0"/>
              <w:spacing w:line="360" w:lineRule="auto"/>
              <w:ind w:right="42" w:rightChars="20"/>
              <w:outlineLvl w:val="0"/>
              <w:rPr>
                <w:rFonts w:asciiTheme="minorEastAsia" w:hAnsiTheme="minorEastAsia" w:eastAsiaTheme="minorEastAsia"/>
                <w:color w:val="auto"/>
                <w:szCs w:val="21"/>
                <w:highlight w:val="none"/>
              </w:rPr>
            </w:pPr>
          </w:p>
        </w:tc>
        <w:tc>
          <w:tcPr>
            <w:tcW w:w="1583" w:type="dxa"/>
            <w:tcBorders>
              <w:top w:val="single" w:color="auto" w:sz="4" w:space="0"/>
              <w:left w:val="single" w:color="auto" w:sz="4" w:space="0"/>
              <w:bottom w:val="single" w:color="auto" w:sz="4" w:space="0"/>
              <w:right w:val="single" w:color="auto" w:sz="4" w:space="0"/>
            </w:tcBorders>
          </w:tcPr>
          <w:p w14:paraId="4880EDB6">
            <w:pPr>
              <w:snapToGrid w:val="0"/>
              <w:spacing w:line="360" w:lineRule="auto"/>
              <w:ind w:right="42" w:rightChars="20"/>
              <w:outlineLvl w:val="0"/>
              <w:rPr>
                <w:rFonts w:asciiTheme="minorEastAsia" w:hAnsiTheme="minorEastAsia" w:eastAsiaTheme="minorEastAsia"/>
                <w:color w:val="auto"/>
                <w:szCs w:val="21"/>
                <w:highlight w:val="none"/>
              </w:rPr>
            </w:pPr>
          </w:p>
        </w:tc>
        <w:tc>
          <w:tcPr>
            <w:tcW w:w="1849" w:type="dxa"/>
            <w:tcBorders>
              <w:top w:val="single" w:color="auto" w:sz="4" w:space="0"/>
              <w:left w:val="single" w:color="auto" w:sz="4" w:space="0"/>
              <w:bottom w:val="single" w:color="auto" w:sz="4" w:space="0"/>
              <w:right w:val="single" w:color="auto" w:sz="4" w:space="0"/>
            </w:tcBorders>
          </w:tcPr>
          <w:p w14:paraId="791C719A">
            <w:pPr>
              <w:snapToGrid w:val="0"/>
              <w:spacing w:line="360" w:lineRule="auto"/>
              <w:ind w:right="42" w:rightChars="20"/>
              <w:outlineLvl w:val="0"/>
              <w:rPr>
                <w:rFonts w:asciiTheme="minorEastAsia" w:hAnsiTheme="minorEastAsia" w:eastAsiaTheme="minorEastAsia"/>
                <w:color w:val="auto"/>
                <w:szCs w:val="21"/>
                <w:highlight w:val="none"/>
              </w:rPr>
            </w:pPr>
          </w:p>
        </w:tc>
        <w:tc>
          <w:tcPr>
            <w:tcW w:w="1456" w:type="dxa"/>
            <w:tcBorders>
              <w:top w:val="single" w:color="auto" w:sz="4" w:space="0"/>
              <w:left w:val="single" w:color="auto" w:sz="4" w:space="0"/>
              <w:bottom w:val="single" w:color="auto" w:sz="4" w:space="0"/>
              <w:right w:val="single" w:color="auto" w:sz="4" w:space="0"/>
            </w:tcBorders>
          </w:tcPr>
          <w:p w14:paraId="017A9AC9">
            <w:pPr>
              <w:snapToGrid w:val="0"/>
              <w:spacing w:line="360" w:lineRule="auto"/>
              <w:ind w:right="42" w:rightChars="20"/>
              <w:outlineLvl w:val="0"/>
              <w:rPr>
                <w:rFonts w:asciiTheme="minorEastAsia" w:hAnsiTheme="minorEastAsia" w:eastAsiaTheme="minorEastAsia"/>
                <w:color w:val="auto"/>
                <w:szCs w:val="21"/>
                <w:highlight w:val="none"/>
              </w:rPr>
            </w:pPr>
          </w:p>
        </w:tc>
      </w:tr>
    </w:tbl>
    <w:p w14:paraId="0B40B8F6">
      <w:pPr>
        <w:pStyle w:val="23"/>
        <w:spacing w:line="360" w:lineRule="auto"/>
        <w:ind w:right="42" w:rightChars="2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注：</w:t>
      </w:r>
      <w:r>
        <w:rPr>
          <w:rFonts w:hint="eastAsia" w:asciiTheme="minorEastAsia" w:hAnsiTheme="minorEastAsia" w:eastAsiaTheme="minorEastAsia"/>
          <w:color w:val="auto"/>
          <w:sz w:val="21"/>
          <w:szCs w:val="21"/>
          <w:highlight w:val="none"/>
        </w:rPr>
        <w:t>1.</w:t>
      </w:r>
      <w:r>
        <w:rPr>
          <w:rFonts w:asciiTheme="minorEastAsia" w:hAnsiTheme="minorEastAsia" w:eastAsiaTheme="minorEastAsia"/>
          <w:color w:val="auto"/>
          <w:sz w:val="21"/>
          <w:szCs w:val="21"/>
          <w:highlight w:val="none"/>
        </w:rPr>
        <w:t>投标人应根据</w:t>
      </w:r>
      <w:r>
        <w:rPr>
          <w:rFonts w:hint="eastAsia" w:asciiTheme="minorEastAsia" w:hAnsiTheme="minorEastAsia" w:eastAsiaTheme="minorEastAsia"/>
          <w:color w:val="auto"/>
          <w:sz w:val="21"/>
          <w:szCs w:val="21"/>
          <w:highlight w:val="none"/>
        </w:rPr>
        <w:t>投标产品</w:t>
      </w:r>
      <w:r>
        <w:rPr>
          <w:rFonts w:asciiTheme="minorEastAsia" w:hAnsiTheme="minorEastAsia" w:eastAsiaTheme="minorEastAsia"/>
          <w:color w:val="auto"/>
          <w:sz w:val="21"/>
          <w:szCs w:val="21"/>
          <w:highlight w:val="none"/>
        </w:rPr>
        <w:t>的性能指标、对照招标文件要求在“偏离情况”栏注明“正偏离”、“负偏离”或“无偏离”。</w:t>
      </w:r>
    </w:p>
    <w:p w14:paraId="68EDFB08">
      <w:pPr>
        <w:pStyle w:val="23"/>
        <w:spacing w:line="360" w:lineRule="auto"/>
        <w:ind w:right="42" w:rightChars="2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2.投标人需对上述偏离情况负责，不得虚假应标。</w:t>
      </w:r>
    </w:p>
    <w:p w14:paraId="32B830E0">
      <w:pPr>
        <w:pStyle w:val="163"/>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法定代表人或其授权代表签字（或盖章）</w:t>
      </w:r>
      <w:r>
        <w:rPr>
          <w:rFonts w:asciiTheme="minorEastAsia" w:hAnsiTheme="minorEastAsia" w:eastAsiaTheme="minorEastAsia"/>
          <w:color w:val="auto"/>
          <w:sz w:val="21"/>
          <w:szCs w:val="21"/>
          <w:highlight w:val="none"/>
        </w:rPr>
        <w:t>：</w:t>
      </w:r>
    </w:p>
    <w:p w14:paraId="627F45C0">
      <w:pPr>
        <w:adjustRightInd w:val="0"/>
        <w:spacing w:line="360" w:lineRule="auto"/>
        <w:ind w:right="42" w:rightChars="20"/>
        <w:textAlignment w:val="baseline"/>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w:t>
      </w:r>
      <w:r>
        <w:rPr>
          <w:rFonts w:hint="eastAsia" w:asciiTheme="minorEastAsia" w:hAnsiTheme="minorEastAsia" w:eastAsiaTheme="minorEastAsia"/>
          <w:color w:val="auto"/>
          <w:szCs w:val="21"/>
          <w:highlight w:val="none"/>
          <w:shd w:val="clear" w:color="auto" w:fill="FFFFFF"/>
        </w:rPr>
        <w:t>CA签章</w:t>
      </w:r>
      <w:r>
        <w:rPr>
          <w:rFonts w:hint="eastAsia" w:asciiTheme="minorEastAsia" w:hAnsiTheme="minorEastAsia" w:eastAsiaTheme="minorEastAsia"/>
          <w:color w:val="auto"/>
          <w:szCs w:val="21"/>
          <w:highlight w:val="none"/>
        </w:rPr>
        <w:t>）： 年  月  日</w:t>
      </w:r>
    </w:p>
    <w:p w14:paraId="22D51C44">
      <w:pPr>
        <w:pStyle w:val="96"/>
        <w:rPr>
          <w:color w:val="auto"/>
          <w:highlight w:val="none"/>
        </w:rPr>
        <w:sectPr>
          <w:pgSz w:w="11905" w:h="16838"/>
          <w:pgMar w:top="1440" w:right="1803" w:bottom="1440" w:left="1803" w:header="851" w:footer="992" w:gutter="0"/>
          <w:cols w:space="0" w:num="1"/>
          <w:docGrid w:type="lines" w:linePitch="319" w:charSpace="0"/>
        </w:sectPr>
      </w:pPr>
    </w:p>
    <w:p w14:paraId="70F976B7">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项目实施人员一览表</w:t>
      </w:r>
    </w:p>
    <w:p w14:paraId="00257295">
      <w:pPr>
        <w:snapToGrid w:val="0"/>
        <w:spacing w:line="360" w:lineRule="auto"/>
        <w:ind w:right="42" w:rightChars="20" w:firstLine="422" w:firstLineChars="20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项目实施人员（主要从业人员及其技术资格）一览表</w:t>
      </w:r>
    </w:p>
    <w:tbl>
      <w:tblPr>
        <w:tblStyle w:val="52"/>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14:paraId="4B488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60C46D58">
            <w:pPr>
              <w:snapToGrid w:val="0"/>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C9921D5">
            <w:pPr>
              <w:snapToGrid w:val="0"/>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5EBD7FC9">
            <w:pPr>
              <w:snapToGrid w:val="0"/>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7FBE9FAF">
            <w:pPr>
              <w:snapToGrid w:val="0"/>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52CB7CA6">
            <w:pPr>
              <w:snapToGrid w:val="0"/>
              <w:spacing w:line="360" w:lineRule="auto"/>
              <w:ind w:right="42" w:rightChars="20"/>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595AF8D3">
            <w:pPr>
              <w:snapToGrid w:val="0"/>
              <w:spacing w:line="360" w:lineRule="auto"/>
              <w:ind w:right="42" w:rightChars="20"/>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本项目中工作职责</w:t>
            </w:r>
          </w:p>
        </w:tc>
      </w:tr>
      <w:tr w14:paraId="44B1C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597FC57D">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19199AA2">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1274A920">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7BBF7D6">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7E75266C">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0BDDA6C3">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项目负责人</w:t>
            </w:r>
          </w:p>
        </w:tc>
      </w:tr>
      <w:tr w14:paraId="0B38C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4818647B">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03702364">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34662EB2">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6C12221">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3252C23D">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5F1A7798">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r w14:paraId="2DB7D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5D714286">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0FA9B4C1">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5118D9F1">
            <w:pPr>
              <w:pStyle w:val="32"/>
              <w:snapToGrid w:val="0"/>
              <w:spacing w:line="360" w:lineRule="auto"/>
              <w:ind w:leftChars="0" w:right="42" w:rightChars="20" w:firstLine="420" w:firstLineChars="200"/>
              <w:jc w:val="center"/>
              <w:rPr>
                <w:rFonts w:asciiTheme="minorEastAsia" w:hAnsiTheme="minorEastAsia" w:eastAsiaTheme="minorEastAsia"/>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0AC692F">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72601018">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5E5B3EF3">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r w14:paraId="534BF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0AC7416C">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2AEE6407">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6934366F">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D0FFA5B">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156AC0B1">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07EA1C05">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r w14:paraId="2DE65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6CEE367D">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4D730CA7">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38F8695C">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1EFDAB1">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28221A9F">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04716734">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r w14:paraId="7912C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419C501B">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7846C3B6">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2E0290F0">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55FA669">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27AD2024">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2E8D45A4">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r w14:paraId="40E4D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4AE0C382">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39ADABD4">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38FEDC4E">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7B19D9D">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36E7447D">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188CE2B8">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r w14:paraId="66681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7A2C10B2">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1BB1D89B">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0B50E034">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EDD050">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2D49E60B">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19CE4DE1">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r w14:paraId="61EC5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07200CCD">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7AD93E7D">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2DC919C6">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69CAD44">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34564AE5">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3513261C">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bl>
    <w:p w14:paraId="3F24AD4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注：在填写时，如本表格不适合投标单位的实际情况，可根据本表格式自行划表填写。</w:t>
      </w:r>
    </w:p>
    <w:p w14:paraId="14751B44">
      <w:pPr>
        <w:snapToGrid w:val="0"/>
        <w:spacing w:line="360" w:lineRule="auto"/>
        <w:ind w:right="42" w:rightChars="20" w:firstLine="420" w:firstLineChars="200"/>
        <w:jc w:val="lef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zCs w:val="21"/>
          <w:highlight w:val="none"/>
        </w:rPr>
        <w:t>法定代表人或其委托代理人签名（或盖章）</w:t>
      </w:r>
      <w:r>
        <w:rPr>
          <w:rFonts w:hint="eastAsia" w:asciiTheme="minorEastAsia" w:hAnsiTheme="minorEastAsia" w:eastAsiaTheme="minorEastAsia"/>
          <w:color w:val="auto"/>
          <w:spacing w:val="20"/>
          <w:szCs w:val="21"/>
          <w:highlight w:val="none"/>
        </w:rPr>
        <w:t>：</w:t>
      </w:r>
    </w:p>
    <w:p w14:paraId="6D6242E7">
      <w:pPr>
        <w:snapToGrid w:val="0"/>
        <w:spacing w:line="360" w:lineRule="auto"/>
        <w:ind w:right="42" w:rightChars="20" w:firstLine="500" w:firstLineChars="200"/>
        <w:jc w:val="left"/>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投标人（</w:t>
      </w:r>
      <w:r>
        <w:rPr>
          <w:rFonts w:hint="eastAsia" w:asciiTheme="minorEastAsia" w:hAnsiTheme="minorEastAsia" w:eastAsiaTheme="minorEastAsia"/>
          <w:color w:val="auto"/>
          <w:szCs w:val="21"/>
          <w:highlight w:val="none"/>
          <w:shd w:val="clear" w:color="auto" w:fill="FFFFFF"/>
        </w:rPr>
        <w:t>CA签章</w:t>
      </w:r>
      <w:r>
        <w:rPr>
          <w:rFonts w:hint="eastAsia" w:asciiTheme="minorEastAsia" w:hAnsiTheme="minorEastAsia" w:eastAsiaTheme="minorEastAsia"/>
          <w:color w:val="auto"/>
          <w:spacing w:val="20"/>
          <w:szCs w:val="21"/>
          <w:highlight w:val="none"/>
        </w:rPr>
        <w:t>）：</w:t>
      </w:r>
    </w:p>
    <w:p w14:paraId="718BE868">
      <w:pPr>
        <w:snapToGrid w:val="0"/>
        <w:spacing w:line="360" w:lineRule="auto"/>
        <w:ind w:right="42" w:rightChars="20" w:firstLine="500" w:firstLineChars="200"/>
        <w:jc w:val="lef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日期：</w:t>
      </w:r>
    </w:p>
    <w:p w14:paraId="42C94680">
      <w:pPr>
        <w:snapToGrid w:val="0"/>
        <w:spacing w:line="360" w:lineRule="auto"/>
        <w:ind w:right="42" w:rightChars="20" w:firstLine="422" w:firstLineChars="200"/>
        <w:jc w:val="left"/>
        <w:rPr>
          <w:rFonts w:cs="微软雅黑" w:asciiTheme="minorEastAsia" w:hAnsiTheme="minorEastAsia" w:eastAsiaTheme="minorEastAsia"/>
          <w:b/>
          <w:color w:val="auto"/>
          <w:szCs w:val="21"/>
          <w:highlight w:val="none"/>
        </w:rPr>
      </w:pPr>
    </w:p>
    <w:p w14:paraId="5D495102">
      <w:pPr>
        <w:snapToGrid w:val="0"/>
        <w:spacing w:line="360" w:lineRule="auto"/>
        <w:ind w:right="42" w:rightChars="20" w:firstLine="422" w:firstLineChars="200"/>
        <w:jc w:val="left"/>
        <w:rPr>
          <w:rFonts w:cs="微软雅黑" w:asciiTheme="minorEastAsia" w:hAnsiTheme="minorEastAsia" w:eastAsiaTheme="minorEastAsia"/>
          <w:b/>
          <w:color w:val="auto"/>
          <w:szCs w:val="21"/>
          <w:highlight w:val="none"/>
        </w:rPr>
      </w:pPr>
    </w:p>
    <w:p w14:paraId="65F7056E">
      <w:pPr>
        <w:snapToGrid w:val="0"/>
        <w:spacing w:line="360" w:lineRule="auto"/>
        <w:ind w:right="42" w:rightChars="20" w:firstLine="422" w:firstLineChars="200"/>
        <w:jc w:val="left"/>
        <w:rPr>
          <w:rFonts w:cs="微软雅黑" w:asciiTheme="minorEastAsia" w:hAnsiTheme="minorEastAsia" w:eastAsiaTheme="minorEastAsia"/>
          <w:b/>
          <w:color w:val="auto"/>
          <w:szCs w:val="21"/>
          <w:highlight w:val="none"/>
        </w:rPr>
      </w:pPr>
    </w:p>
    <w:p w14:paraId="3B82251B">
      <w:pPr>
        <w:snapToGrid w:val="0"/>
        <w:spacing w:line="360" w:lineRule="auto"/>
        <w:ind w:right="42" w:rightChars="20" w:firstLine="422" w:firstLineChars="200"/>
        <w:jc w:val="left"/>
        <w:rPr>
          <w:rFonts w:cs="微软雅黑" w:asciiTheme="minorEastAsia" w:hAnsiTheme="minorEastAsia" w:eastAsiaTheme="minorEastAsia"/>
          <w:b/>
          <w:color w:val="auto"/>
          <w:szCs w:val="21"/>
          <w:highlight w:val="none"/>
        </w:rPr>
      </w:pPr>
    </w:p>
    <w:p w14:paraId="10BA60B8">
      <w:pPr>
        <w:snapToGrid w:val="0"/>
        <w:spacing w:line="360" w:lineRule="auto"/>
        <w:ind w:right="42" w:rightChars="20" w:firstLine="422" w:firstLineChars="200"/>
        <w:jc w:val="left"/>
        <w:rPr>
          <w:rFonts w:cs="微软雅黑" w:asciiTheme="minorEastAsia" w:hAnsiTheme="minorEastAsia" w:eastAsiaTheme="minorEastAsia"/>
          <w:b/>
          <w:color w:val="auto"/>
          <w:szCs w:val="21"/>
          <w:highlight w:val="none"/>
        </w:rPr>
      </w:pPr>
    </w:p>
    <w:p w14:paraId="4F588C13">
      <w:pPr>
        <w:snapToGrid w:val="0"/>
        <w:spacing w:line="360" w:lineRule="auto"/>
        <w:ind w:right="42" w:rightChars="20" w:firstLine="422" w:firstLineChars="200"/>
        <w:jc w:val="left"/>
        <w:rPr>
          <w:rFonts w:cs="微软雅黑" w:asciiTheme="minorEastAsia" w:hAnsiTheme="minorEastAsia" w:eastAsiaTheme="minorEastAsia"/>
          <w:b/>
          <w:color w:val="auto"/>
          <w:szCs w:val="21"/>
          <w:highlight w:val="none"/>
        </w:rPr>
      </w:pPr>
    </w:p>
    <w:p w14:paraId="76E7EEC1">
      <w:pPr>
        <w:pStyle w:val="18"/>
        <w:rPr>
          <w:rFonts w:cs="微软雅黑" w:asciiTheme="minorEastAsia" w:hAnsiTheme="minorEastAsia" w:eastAsiaTheme="minorEastAsia"/>
          <w:b/>
          <w:color w:val="auto"/>
          <w:szCs w:val="21"/>
          <w:highlight w:val="none"/>
        </w:rPr>
      </w:pPr>
    </w:p>
    <w:p w14:paraId="21F84070">
      <w:pPr>
        <w:pStyle w:val="19"/>
        <w:rPr>
          <w:rFonts w:cs="微软雅黑" w:asciiTheme="minorEastAsia" w:hAnsiTheme="minorEastAsia" w:eastAsiaTheme="minorEastAsia"/>
          <w:b/>
          <w:color w:val="auto"/>
          <w:szCs w:val="21"/>
          <w:highlight w:val="none"/>
        </w:rPr>
      </w:pPr>
    </w:p>
    <w:p w14:paraId="524CC69E">
      <w:pPr>
        <w:pStyle w:val="18"/>
        <w:rPr>
          <w:rFonts w:cs="微软雅黑" w:asciiTheme="minorEastAsia" w:hAnsiTheme="minorEastAsia" w:eastAsiaTheme="minorEastAsia"/>
          <w:b/>
          <w:color w:val="auto"/>
          <w:szCs w:val="21"/>
          <w:highlight w:val="none"/>
        </w:rPr>
      </w:pPr>
    </w:p>
    <w:p w14:paraId="14EB7E0F">
      <w:pPr>
        <w:pStyle w:val="19"/>
        <w:rPr>
          <w:rFonts w:cs="微软雅黑" w:asciiTheme="minorEastAsia" w:hAnsiTheme="minorEastAsia" w:eastAsiaTheme="minorEastAsia"/>
          <w:b/>
          <w:color w:val="auto"/>
          <w:szCs w:val="21"/>
          <w:highlight w:val="none"/>
        </w:rPr>
      </w:pPr>
    </w:p>
    <w:p w14:paraId="09AB0167">
      <w:pPr>
        <w:pStyle w:val="18"/>
        <w:rPr>
          <w:rFonts w:cs="微软雅黑" w:asciiTheme="minorEastAsia" w:hAnsiTheme="minorEastAsia" w:eastAsiaTheme="minorEastAsia"/>
          <w:b/>
          <w:color w:val="auto"/>
          <w:szCs w:val="21"/>
          <w:highlight w:val="none"/>
        </w:rPr>
      </w:pPr>
    </w:p>
    <w:p w14:paraId="56E78AA2">
      <w:pPr>
        <w:pStyle w:val="19"/>
        <w:rPr>
          <w:rFonts w:cs="微软雅黑" w:asciiTheme="minorEastAsia" w:hAnsiTheme="minorEastAsia" w:eastAsiaTheme="minorEastAsia"/>
          <w:b/>
          <w:color w:val="auto"/>
          <w:szCs w:val="21"/>
          <w:highlight w:val="none"/>
        </w:rPr>
      </w:pPr>
    </w:p>
    <w:p w14:paraId="0524DF16">
      <w:pPr>
        <w:pStyle w:val="18"/>
        <w:rPr>
          <w:rFonts w:cs="微软雅黑" w:asciiTheme="minorEastAsia" w:hAnsiTheme="minorEastAsia" w:eastAsiaTheme="minorEastAsia"/>
          <w:b/>
          <w:color w:val="auto"/>
          <w:szCs w:val="21"/>
          <w:highlight w:val="none"/>
        </w:rPr>
      </w:pPr>
    </w:p>
    <w:p w14:paraId="73392BAE">
      <w:pPr>
        <w:pStyle w:val="19"/>
        <w:rPr>
          <w:rFonts w:cs="微软雅黑" w:asciiTheme="minorEastAsia" w:hAnsiTheme="minorEastAsia" w:eastAsiaTheme="minorEastAsia"/>
          <w:b/>
          <w:color w:val="auto"/>
          <w:szCs w:val="21"/>
          <w:highlight w:val="none"/>
        </w:rPr>
      </w:pPr>
    </w:p>
    <w:p w14:paraId="79283BC4">
      <w:pPr>
        <w:pStyle w:val="18"/>
        <w:rPr>
          <w:rFonts w:cs="微软雅黑" w:asciiTheme="minorEastAsia" w:hAnsiTheme="minorEastAsia" w:eastAsiaTheme="minorEastAsia"/>
          <w:b/>
          <w:color w:val="auto"/>
          <w:szCs w:val="21"/>
          <w:highlight w:val="none"/>
        </w:rPr>
      </w:pPr>
    </w:p>
    <w:p w14:paraId="23C28591">
      <w:pPr>
        <w:pStyle w:val="19"/>
        <w:rPr>
          <w:rFonts w:cs="微软雅黑" w:asciiTheme="minorEastAsia" w:hAnsiTheme="minorEastAsia" w:eastAsiaTheme="minorEastAsia"/>
          <w:b/>
          <w:color w:val="auto"/>
          <w:szCs w:val="21"/>
          <w:highlight w:val="none"/>
        </w:rPr>
      </w:pPr>
    </w:p>
    <w:p w14:paraId="76A302A1">
      <w:pPr>
        <w:pStyle w:val="18"/>
        <w:rPr>
          <w:rFonts w:cs="微软雅黑" w:asciiTheme="minorEastAsia" w:hAnsiTheme="minorEastAsia" w:eastAsiaTheme="minorEastAsia"/>
          <w:b/>
          <w:color w:val="auto"/>
          <w:szCs w:val="21"/>
          <w:highlight w:val="none"/>
        </w:rPr>
      </w:pPr>
    </w:p>
    <w:p w14:paraId="1DC9C7CF">
      <w:pPr>
        <w:pStyle w:val="19"/>
        <w:rPr>
          <w:rFonts w:cs="微软雅黑" w:asciiTheme="minorEastAsia" w:hAnsiTheme="minorEastAsia" w:eastAsiaTheme="minorEastAsia"/>
          <w:b/>
          <w:color w:val="auto"/>
          <w:szCs w:val="21"/>
          <w:highlight w:val="none"/>
        </w:rPr>
      </w:pPr>
    </w:p>
    <w:p w14:paraId="2E8320DD">
      <w:pPr>
        <w:pStyle w:val="18"/>
        <w:rPr>
          <w:rFonts w:cs="微软雅黑" w:asciiTheme="minorEastAsia" w:hAnsiTheme="minorEastAsia" w:eastAsiaTheme="minorEastAsia"/>
          <w:b/>
          <w:color w:val="auto"/>
          <w:szCs w:val="21"/>
          <w:highlight w:val="none"/>
        </w:rPr>
      </w:pPr>
    </w:p>
    <w:p w14:paraId="1C32C573">
      <w:pPr>
        <w:pStyle w:val="19"/>
        <w:rPr>
          <w:rFonts w:cs="微软雅黑" w:asciiTheme="minorEastAsia" w:hAnsiTheme="minorEastAsia" w:eastAsiaTheme="minorEastAsia"/>
          <w:b/>
          <w:color w:val="auto"/>
          <w:szCs w:val="21"/>
          <w:highlight w:val="none"/>
        </w:rPr>
      </w:pPr>
    </w:p>
    <w:p w14:paraId="720B0575">
      <w:pPr>
        <w:pStyle w:val="18"/>
        <w:rPr>
          <w:rFonts w:cs="微软雅黑" w:asciiTheme="minorEastAsia" w:hAnsiTheme="minorEastAsia" w:eastAsiaTheme="minorEastAsia"/>
          <w:b/>
          <w:color w:val="auto"/>
          <w:szCs w:val="21"/>
          <w:highlight w:val="none"/>
        </w:rPr>
      </w:pPr>
    </w:p>
    <w:p w14:paraId="19108A2D">
      <w:pPr>
        <w:pStyle w:val="19"/>
        <w:rPr>
          <w:rFonts w:cs="微软雅黑" w:asciiTheme="minorEastAsia" w:hAnsiTheme="minorEastAsia" w:eastAsiaTheme="minorEastAsia"/>
          <w:b/>
          <w:color w:val="auto"/>
          <w:szCs w:val="21"/>
          <w:highlight w:val="none"/>
        </w:rPr>
      </w:pPr>
    </w:p>
    <w:p w14:paraId="60A10FD4">
      <w:pPr>
        <w:pStyle w:val="18"/>
        <w:rPr>
          <w:rFonts w:cs="微软雅黑" w:asciiTheme="minorEastAsia" w:hAnsiTheme="minorEastAsia" w:eastAsiaTheme="minorEastAsia"/>
          <w:b/>
          <w:color w:val="auto"/>
          <w:szCs w:val="21"/>
          <w:highlight w:val="none"/>
        </w:rPr>
      </w:pPr>
    </w:p>
    <w:p w14:paraId="04F65640">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投标函格式：</w:t>
      </w:r>
    </w:p>
    <w:p w14:paraId="3F9CDA8C">
      <w:pPr>
        <w:snapToGrid w:val="0"/>
        <w:spacing w:line="360" w:lineRule="auto"/>
        <w:ind w:right="42" w:rightChars="20" w:firstLine="422" w:firstLineChars="20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投标函</w:t>
      </w:r>
    </w:p>
    <w:p w14:paraId="3C1A7F1C">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w:t>
      </w:r>
      <w:r>
        <w:rPr>
          <w:rFonts w:hint="eastAsia" w:asciiTheme="minorEastAsia" w:hAnsiTheme="minorEastAsia" w:eastAsiaTheme="minorEastAsia"/>
          <w:color w:val="auto"/>
          <w:szCs w:val="21"/>
          <w:highlight w:val="none"/>
          <w:u w:val="single"/>
        </w:rPr>
        <w:t>（招标采购单位名称）</w:t>
      </w:r>
      <w:r>
        <w:rPr>
          <w:rFonts w:hint="eastAsia" w:asciiTheme="minorEastAsia" w:hAnsiTheme="minorEastAsia" w:eastAsiaTheme="minorEastAsia"/>
          <w:color w:val="auto"/>
          <w:szCs w:val="21"/>
          <w:highlight w:val="none"/>
        </w:rPr>
        <w:t>：</w:t>
      </w:r>
    </w:p>
    <w:p w14:paraId="3285A5C0">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根据贵方为</w:t>
      </w:r>
      <w:r>
        <w:rPr>
          <w:rFonts w:asciiTheme="minorEastAsia" w:hAnsiTheme="minorEastAsia" w:eastAsiaTheme="minorEastAsia"/>
          <w:color w:val="auto"/>
          <w:szCs w:val="21"/>
          <w:highlight w:val="none"/>
        </w:rPr>
        <w:t>____________________</w:t>
      </w:r>
      <w:r>
        <w:rPr>
          <w:rFonts w:hint="eastAsia" w:asciiTheme="minorEastAsia" w:hAnsiTheme="minorEastAsia" w:eastAsiaTheme="minorEastAsia"/>
          <w:color w:val="auto"/>
          <w:szCs w:val="21"/>
          <w:highlight w:val="none"/>
        </w:rPr>
        <w:t>项目的招标公告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投标邀请书（项目编号：</w:t>
      </w:r>
      <w:r>
        <w:rPr>
          <w:rFonts w:asciiTheme="minorEastAsia" w:hAnsiTheme="minorEastAsia" w:eastAsiaTheme="minorEastAsia"/>
          <w:color w:val="auto"/>
          <w:szCs w:val="21"/>
          <w:highlight w:val="none"/>
        </w:rPr>
        <w:t>_____</w:t>
      </w:r>
      <w:r>
        <w:rPr>
          <w:rFonts w:hint="eastAsia" w:asciiTheme="minorEastAsia" w:hAnsiTheme="minorEastAsia" w:eastAsiaTheme="minorEastAsia"/>
          <w:color w:val="auto"/>
          <w:szCs w:val="21"/>
          <w:highlight w:val="none"/>
        </w:rPr>
        <w:t>），签字代表</w:t>
      </w:r>
      <w:r>
        <w:rPr>
          <w:rFonts w:hint="eastAsia" w:asciiTheme="minorEastAsia" w:hAnsiTheme="minorEastAsia" w:eastAsiaTheme="minorEastAsia"/>
          <w:color w:val="auto"/>
          <w:szCs w:val="21"/>
          <w:highlight w:val="none"/>
          <w:u w:val="single"/>
        </w:rPr>
        <w:t>（全名）</w:t>
      </w:r>
      <w:r>
        <w:rPr>
          <w:rFonts w:hint="eastAsia" w:asciiTheme="minorEastAsia" w:hAnsiTheme="minorEastAsia" w:eastAsiaTheme="minorEastAsia"/>
          <w:color w:val="auto"/>
          <w:szCs w:val="21"/>
          <w:highlight w:val="none"/>
        </w:rPr>
        <w:t>经正式授权并代表投标人</w:t>
      </w:r>
      <w:r>
        <w:rPr>
          <w:rFonts w:hint="eastAsia" w:asciiTheme="minorEastAsia" w:hAnsiTheme="minorEastAsia" w:eastAsiaTheme="minorEastAsia"/>
          <w:color w:val="auto"/>
          <w:szCs w:val="21"/>
          <w:highlight w:val="none"/>
          <w:u w:val="single"/>
        </w:rPr>
        <w:t>（投标人名称）</w:t>
      </w:r>
      <w:r>
        <w:rPr>
          <w:rFonts w:hint="eastAsia" w:asciiTheme="minorEastAsia" w:hAnsiTheme="minorEastAsia" w:eastAsiaTheme="minorEastAsia"/>
          <w:color w:val="auto"/>
          <w:szCs w:val="21"/>
          <w:highlight w:val="none"/>
        </w:rPr>
        <w:t>提交资信商务文件、技术文件及投标报价文件电子投标各一份。</w:t>
      </w:r>
    </w:p>
    <w:p w14:paraId="068E010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据此函，签字代表宣布同意如下：</w:t>
      </w:r>
    </w:p>
    <w:p w14:paraId="5FCB1EA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、投标人已详细审查全部“招标文件”，包括修改文件（如有的话）以及全部参考资料和有关附件，已经了解我方对于招标文件、采购过程、采购结果有依法进行询问、质疑、投诉的权利及相关渠道和要求。</w:t>
      </w:r>
    </w:p>
    <w:p w14:paraId="5F8F7C04">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、投标人在投标之前已经与贵方进行了充分的沟通，完全理解并接受招标文件的各项规定和要求，对招标文件的合理性、合法性不再有异议。</w:t>
      </w:r>
    </w:p>
    <w:p w14:paraId="34723C1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、本投标有效期自开标日起</w:t>
      </w:r>
      <w:r>
        <w:rPr>
          <w:rFonts w:asciiTheme="minorEastAsia" w:hAnsiTheme="minorEastAsia" w:eastAsiaTheme="minorEastAsia"/>
          <w:color w:val="auto"/>
          <w:szCs w:val="21"/>
          <w:highlight w:val="none"/>
        </w:rPr>
        <w:t xml:space="preserve"> ______</w:t>
      </w:r>
      <w:r>
        <w:rPr>
          <w:rFonts w:hint="eastAsia" w:asciiTheme="minorEastAsia" w:hAnsiTheme="minorEastAsia" w:eastAsiaTheme="minorEastAsia"/>
          <w:color w:val="auto"/>
          <w:szCs w:val="21"/>
          <w:highlight w:val="none"/>
        </w:rPr>
        <w:t>个日。</w:t>
      </w:r>
    </w:p>
    <w:p w14:paraId="5CBB3E0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、如中标，本投标文件至本项目合同履行完毕止均保持有效，本投标人将按“招标文件”及政府采购法律、法规的规定履行合同责任和义务。</w:t>
      </w:r>
    </w:p>
    <w:p w14:paraId="58476BA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、投标人同意按照贵方要求提供与投标有关的一切数据或资料。</w:t>
      </w:r>
    </w:p>
    <w:p w14:paraId="7CD17CE1">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、与本投标有关的一切正式往来信函请寄：</w:t>
      </w:r>
    </w:p>
    <w:p w14:paraId="15FA6F1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1F076E4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 邮编：</w:t>
      </w:r>
      <w:r>
        <w:rPr>
          <w:rFonts w:asciiTheme="minorEastAsia" w:hAnsiTheme="minorEastAsia" w:eastAsiaTheme="minorEastAsia"/>
          <w:color w:val="auto"/>
          <w:szCs w:val="21"/>
          <w:highlight w:val="none"/>
        </w:rPr>
        <w:t xml:space="preserve">__________   </w:t>
      </w:r>
      <w:r>
        <w:rPr>
          <w:rFonts w:hint="eastAsia" w:asciiTheme="minorEastAsia" w:hAnsiTheme="minorEastAsia" w:eastAsiaTheme="minorEastAsia"/>
          <w:color w:val="auto"/>
          <w:szCs w:val="21"/>
          <w:highlight w:val="none"/>
        </w:rPr>
        <w:t>电话：</w:t>
      </w:r>
      <w:r>
        <w:rPr>
          <w:rFonts w:asciiTheme="minorEastAsia" w:hAnsiTheme="minorEastAsia" w:eastAsiaTheme="minorEastAsia"/>
          <w:color w:val="auto"/>
          <w:szCs w:val="21"/>
          <w:highlight w:val="none"/>
        </w:rPr>
        <w:t>______________</w:t>
      </w:r>
    </w:p>
    <w:p w14:paraId="53AF3DF1">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传真：</w:t>
      </w:r>
      <w:r>
        <w:rPr>
          <w:rFonts w:asciiTheme="minorEastAsia" w:hAnsiTheme="minorEastAsia" w:eastAsiaTheme="minorEastAsia"/>
          <w:color w:val="auto"/>
          <w:szCs w:val="21"/>
          <w:highlight w:val="none"/>
        </w:rPr>
        <w:t>______________</w:t>
      </w:r>
      <w:r>
        <w:rPr>
          <w:rFonts w:hint="eastAsia" w:asciiTheme="minorEastAsia" w:hAnsiTheme="minorEastAsia" w:eastAsiaTheme="minorEastAsia"/>
          <w:color w:val="auto"/>
          <w:szCs w:val="21"/>
          <w:highlight w:val="none"/>
        </w:rPr>
        <w:t>投标人代表姓名</w:t>
      </w:r>
      <w:r>
        <w:rPr>
          <w:rFonts w:asciiTheme="minorEastAsia" w:hAnsiTheme="minorEastAsia" w:eastAsiaTheme="minorEastAsia"/>
          <w:color w:val="auto"/>
          <w:szCs w:val="21"/>
          <w:highlight w:val="none"/>
        </w:rPr>
        <w:t xml:space="preserve"> ___________  </w:t>
      </w:r>
      <w:r>
        <w:rPr>
          <w:rFonts w:hint="eastAsia" w:asciiTheme="minorEastAsia" w:hAnsiTheme="minorEastAsia" w:eastAsiaTheme="minorEastAsia"/>
          <w:color w:val="auto"/>
          <w:szCs w:val="21"/>
          <w:highlight w:val="none"/>
        </w:rPr>
        <w:t>职务：</w:t>
      </w:r>
      <w:r>
        <w:rPr>
          <w:rFonts w:asciiTheme="minorEastAsia" w:hAnsiTheme="minorEastAsia" w:eastAsiaTheme="minorEastAsia"/>
          <w:color w:val="auto"/>
          <w:szCs w:val="21"/>
          <w:highlight w:val="none"/>
        </w:rPr>
        <w:t>_____________</w:t>
      </w:r>
    </w:p>
    <w:p w14:paraId="129D8B35">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投标人名称</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shd w:val="clear" w:color="auto" w:fill="FFFFFF"/>
        </w:rPr>
        <w:t>CA签章</w:t>
      </w:r>
      <w:r>
        <w:rPr>
          <w:rFonts w:asciiTheme="minorEastAsia" w:hAnsiTheme="minorEastAsia" w:eastAsiaTheme="minorEastAsia"/>
          <w:color w:val="auto"/>
          <w:szCs w:val="21"/>
          <w:highlight w:val="none"/>
        </w:rPr>
        <w:t>): _____________</w:t>
      </w:r>
    </w:p>
    <w:p w14:paraId="38B341C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开户银行：银行帐号：</w:t>
      </w:r>
    </w:p>
    <w:p w14:paraId="0F18A849">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法定代表人或其委托代理人签名（或盖章）</w:t>
      </w:r>
      <w:r>
        <w:rPr>
          <w:rFonts w:asciiTheme="minorEastAsia" w:hAnsiTheme="minorEastAsia" w:eastAsiaTheme="minorEastAsia"/>
          <w:color w:val="auto"/>
          <w:szCs w:val="21"/>
          <w:highlight w:val="none"/>
        </w:rPr>
        <w:t xml:space="preserve">:___________                      </w:t>
      </w:r>
    </w:p>
    <w:p w14:paraId="56125FD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w:t>
      </w:r>
      <w:r>
        <w:rPr>
          <w:rFonts w:asciiTheme="minorEastAsia" w:hAnsiTheme="minorEastAsia" w:eastAsiaTheme="minorEastAsia"/>
          <w:color w:val="auto"/>
          <w:szCs w:val="21"/>
          <w:highlight w:val="none"/>
        </w:rPr>
        <w:t>:_____</w:t>
      </w:r>
      <w:r>
        <w:rPr>
          <w:rFonts w:hint="eastAsia" w:asciiTheme="minorEastAsia" w:hAnsiTheme="minorEastAsia" w:eastAsiaTheme="minorEastAsia"/>
          <w:color w:val="auto"/>
          <w:szCs w:val="21"/>
          <w:highlight w:val="none"/>
        </w:rPr>
        <w:t>年</w:t>
      </w:r>
      <w:r>
        <w:rPr>
          <w:rFonts w:asciiTheme="minorEastAsia" w:hAnsiTheme="minorEastAsia" w:eastAsiaTheme="minorEastAsia"/>
          <w:color w:val="auto"/>
          <w:szCs w:val="21"/>
          <w:highlight w:val="none"/>
        </w:rPr>
        <w:t>___</w:t>
      </w:r>
      <w:r>
        <w:rPr>
          <w:rFonts w:hint="eastAsia" w:asciiTheme="minorEastAsia" w:hAnsiTheme="minorEastAsia" w:eastAsiaTheme="minorEastAsia"/>
          <w:color w:val="auto"/>
          <w:szCs w:val="21"/>
          <w:highlight w:val="none"/>
        </w:rPr>
        <w:t>月</w:t>
      </w:r>
      <w:r>
        <w:rPr>
          <w:rFonts w:asciiTheme="minorEastAsia" w:hAnsiTheme="minorEastAsia" w:eastAsiaTheme="minorEastAsia"/>
          <w:color w:val="auto"/>
          <w:szCs w:val="21"/>
          <w:highlight w:val="none"/>
        </w:rPr>
        <w:t>___</w:t>
      </w:r>
      <w:r>
        <w:rPr>
          <w:rFonts w:hint="eastAsia" w:asciiTheme="minorEastAsia" w:hAnsiTheme="minorEastAsia" w:eastAsiaTheme="minorEastAsia"/>
          <w:color w:val="auto"/>
          <w:szCs w:val="21"/>
          <w:highlight w:val="none"/>
        </w:rPr>
        <w:t>日</w:t>
      </w:r>
    </w:p>
    <w:p w14:paraId="3E0617BB">
      <w:pPr>
        <w:pStyle w:val="51"/>
        <w:ind w:right="42" w:rightChars="20" w:firstLine="464"/>
        <w:rPr>
          <w:rFonts w:asciiTheme="minorEastAsia" w:hAnsiTheme="minorEastAsia" w:eastAsiaTheme="minorEastAsia"/>
          <w:color w:val="auto"/>
          <w:szCs w:val="21"/>
          <w:highlight w:val="none"/>
        </w:rPr>
      </w:pPr>
    </w:p>
    <w:p w14:paraId="5A09C961">
      <w:pPr>
        <w:pStyle w:val="51"/>
        <w:ind w:right="42" w:rightChars="20" w:firstLine="464"/>
        <w:rPr>
          <w:rFonts w:asciiTheme="minorEastAsia" w:hAnsiTheme="minorEastAsia" w:eastAsiaTheme="minorEastAsia"/>
          <w:color w:val="auto"/>
          <w:szCs w:val="21"/>
          <w:highlight w:val="none"/>
        </w:rPr>
      </w:pPr>
    </w:p>
    <w:p w14:paraId="2F0BDE16">
      <w:pPr>
        <w:pStyle w:val="51"/>
        <w:ind w:right="42" w:rightChars="20" w:firstLine="464"/>
        <w:rPr>
          <w:rFonts w:asciiTheme="minorEastAsia" w:hAnsiTheme="minorEastAsia" w:eastAsiaTheme="minorEastAsia"/>
          <w:color w:val="auto"/>
          <w:szCs w:val="21"/>
          <w:highlight w:val="none"/>
        </w:rPr>
      </w:pPr>
    </w:p>
    <w:p w14:paraId="79D274BD">
      <w:pPr>
        <w:pStyle w:val="51"/>
        <w:ind w:right="42" w:rightChars="20" w:firstLine="464"/>
        <w:rPr>
          <w:rFonts w:asciiTheme="minorEastAsia" w:hAnsiTheme="minorEastAsia" w:eastAsiaTheme="minorEastAsia"/>
          <w:color w:val="auto"/>
          <w:szCs w:val="21"/>
          <w:highlight w:val="none"/>
        </w:rPr>
      </w:pPr>
    </w:p>
    <w:p w14:paraId="711C9737">
      <w:pPr>
        <w:pStyle w:val="51"/>
        <w:ind w:right="42" w:rightChars="20" w:firstLine="464"/>
        <w:rPr>
          <w:rFonts w:asciiTheme="minorEastAsia" w:hAnsiTheme="minorEastAsia" w:eastAsiaTheme="minorEastAsia"/>
          <w:color w:val="auto"/>
          <w:szCs w:val="21"/>
          <w:highlight w:val="none"/>
        </w:rPr>
      </w:pPr>
    </w:p>
    <w:p w14:paraId="73825008">
      <w:pPr>
        <w:pStyle w:val="51"/>
        <w:ind w:right="42" w:rightChars="20" w:firstLine="464"/>
        <w:rPr>
          <w:rFonts w:asciiTheme="minorEastAsia" w:hAnsiTheme="minorEastAsia" w:eastAsiaTheme="minorEastAsia"/>
          <w:color w:val="auto"/>
          <w:szCs w:val="21"/>
          <w:highlight w:val="none"/>
        </w:rPr>
      </w:pPr>
    </w:p>
    <w:p w14:paraId="024D0A10">
      <w:pPr>
        <w:snapToGrid w:val="0"/>
        <w:spacing w:line="360" w:lineRule="auto"/>
        <w:ind w:right="42" w:rightChars="20"/>
        <w:rPr>
          <w:rFonts w:asciiTheme="minorEastAsia" w:hAnsiTheme="minorEastAsia" w:eastAsiaTheme="minorEastAsia"/>
          <w:color w:val="auto"/>
          <w:szCs w:val="21"/>
          <w:highlight w:val="none"/>
        </w:rPr>
      </w:pPr>
    </w:p>
    <w:p w14:paraId="17B66B25">
      <w:pPr>
        <w:snapToGrid w:val="0"/>
        <w:spacing w:line="360" w:lineRule="auto"/>
        <w:ind w:right="42" w:rightChars="20" w:firstLine="422" w:firstLineChars="200"/>
        <w:jc w:val="center"/>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开标一览表</w:t>
      </w:r>
    </w:p>
    <w:p w14:paraId="7131135B">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77320DC4">
      <w:pPr>
        <w:snapToGrid w:val="0"/>
        <w:spacing w:line="360" w:lineRule="auto"/>
        <w:ind w:right="42" w:rightChars="2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招标编号： 投标人名称：</w:t>
      </w:r>
    </w:p>
    <w:tbl>
      <w:tblPr>
        <w:tblStyle w:val="52"/>
        <w:tblW w:w="7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527"/>
        <w:gridCol w:w="4087"/>
      </w:tblGrid>
      <w:tr w14:paraId="158C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180" w:type="dxa"/>
            <w:vAlign w:val="center"/>
          </w:tcPr>
          <w:p w14:paraId="440CF96E">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1527" w:type="dxa"/>
            <w:vAlign w:val="center"/>
          </w:tcPr>
          <w:p w14:paraId="62AB6687">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 xml:space="preserve">数量 </w:t>
            </w:r>
          </w:p>
        </w:tc>
        <w:tc>
          <w:tcPr>
            <w:tcW w:w="4087" w:type="dxa"/>
            <w:vAlign w:val="center"/>
          </w:tcPr>
          <w:p w14:paraId="37C450FE">
            <w:pPr>
              <w:snapToGrid w:val="0"/>
              <w:spacing w:line="360" w:lineRule="auto"/>
              <w:jc w:val="center"/>
              <w:rPr>
                <w:rFonts w:ascii="宋体" w:hAnsi="宋体"/>
                <w:color w:val="auto"/>
                <w:szCs w:val="21"/>
                <w:highlight w:val="none"/>
              </w:rPr>
            </w:pPr>
            <w:r>
              <w:rPr>
                <w:rFonts w:hint="eastAsia" w:ascii="宋体" w:hAnsi="宋体"/>
                <w:color w:val="auto"/>
                <w:szCs w:val="21"/>
                <w:highlight w:val="none"/>
                <w:shd w:val="clear" w:color="auto" w:fill="FFFFFF"/>
              </w:rPr>
              <w:t>投标报总价</w:t>
            </w:r>
          </w:p>
        </w:tc>
      </w:tr>
      <w:tr w14:paraId="7955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2180" w:type="dxa"/>
            <w:vAlign w:val="center"/>
          </w:tcPr>
          <w:p w14:paraId="134D04ED">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秀洲区宁静小区建设项目</w:t>
            </w:r>
          </w:p>
        </w:tc>
        <w:tc>
          <w:tcPr>
            <w:tcW w:w="1527" w:type="dxa"/>
            <w:vAlign w:val="center"/>
          </w:tcPr>
          <w:p w14:paraId="469A8812">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1项</w:t>
            </w:r>
          </w:p>
        </w:tc>
        <w:tc>
          <w:tcPr>
            <w:tcW w:w="4087" w:type="dxa"/>
            <w:vAlign w:val="center"/>
          </w:tcPr>
          <w:p w14:paraId="7DAD1884">
            <w:pPr>
              <w:adjustRightInd w:val="0"/>
              <w:spacing w:line="440" w:lineRule="exact"/>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大写（人民币）：</w:t>
            </w:r>
            <w:r>
              <w:rPr>
                <w:rFonts w:hint="eastAsia" w:ascii="宋体" w:hAnsi="宋体"/>
                <w:color w:val="auto"/>
                <w:szCs w:val="21"/>
                <w:highlight w:val="none"/>
                <w:u w:val="single"/>
                <w:shd w:val="clear" w:color="auto" w:fill="FFFFFF"/>
              </w:rPr>
              <w:t xml:space="preserve">            </w:t>
            </w:r>
          </w:p>
          <w:p w14:paraId="6674E5B8">
            <w:pPr>
              <w:snapToGrid w:val="0"/>
              <w:spacing w:line="360" w:lineRule="auto"/>
              <w:jc w:val="left"/>
              <w:rPr>
                <w:rFonts w:ascii="宋体" w:hAnsi="宋体"/>
                <w:color w:val="auto"/>
                <w:szCs w:val="21"/>
                <w:highlight w:val="none"/>
              </w:rPr>
            </w:pPr>
            <w:r>
              <w:rPr>
                <w:rFonts w:hint="eastAsia" w:ascii="宋体" w:hAnsi="宋体"/>
                <w:color w:val="auto"/>
                <w:szCs w:val="21"/>
                <w:highlight w:val="none"/>
                <w:shd w:val="clear" w:color="auto" w:fill="FFFFFF"/>
              </w:rPr>
              <w:t>小写：¥</w:t>
            </w:r>
            <w:r>
              <w:rPr>
                <w:rFonts w:hint="eastAsia" w:ascii="宋体" w:hAnsi="宋体"/>
                <w:color w:val="auto"/>
                <w:szCs w:val="21"/>
                <w:highlight w:val="none"/>
                <w:u w:val="single"/>
                <w:shd w:val="clear" w:color="auto" w:fill="FFFFFF"/>
              </w:rPr>
              <w:t xml:space="preserve">                    </w:t>
            </w:r>
          </w:p>
        </w:tc>
      </w:tr>
      <w:tr w14:paraId="1854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2180" w:type="dxa"/>
            <w:vAlign w:val="center"/>
          </w:tcPr>
          <w:p w14:paraId="525B84A8">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服务期</w:t>
            </w:r>
          </w:p>
        </w:tc>
        <w:tc>
          <w:tcPr>
            <w:tcW w:w="5614" w:type="dxa"/>
            <w:gridSpan w:val="2"/>
            <w:vAlign w:val="center"/>
          </w:tcPr>
          <w:p w14:paraId="46332B9A">
            <w:pPr>
              <w:snapToGrid w:val="0"/>
              <w:spacing w:line="360" w:lineRule="auto"/>
              <w:jc w:val="left"/>
              <w:rPr>
                <w:rFonts w:ascii="宋体" w:hAnsi="宋体"/>
                <w:color w:val="auto"/>
                <w:szCs w:val="21"/>
                <w:highlight w:val="none"/>
                <w:shd w:val="clear" w:color="auto" w:fill="FFFFFF"/>
              </w:rPr>
            </w:pPr>
          </w:p>
        </w:tc>
      </w:tr>
      <w:tr w14:paraId="3B4E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2180" w:type="dxa"/>
            <w:vAlign w:val="center"/>
          </w:tcPr>
          <w:p w14:paraId="06F4E0FD">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5614" w:type="dxa"/>
            <w:gridSpan w:val="2"/>
            <w:vAlign w:val="center"/>
          </w:tcPr>
          <w:p w14:paraId="5E89B603">
            <w:pPr>
              <w:snapToGrid w:val="0"/>
              <w:spacing w:line="360" w:lineRule="auto"/>
              <w:jc w:val="left"/>
              <w:rPr>
                <w:rFonts w:ascii="宋体" w:hAnsi="宋体"/>
                <w:color w:val="auto"/>
                <w:szCs w:val="21"/>
                <w:highlight w:val="none"/>
                <w:shd w:val="clear" w:color="auto" w:fill="FFFFFF"/>
              </w:rPr>
            </w:pPr>
          </w:p>
        </w:tc>
      </w:tr>
    </w:tbl>
    <w:p w14:paraId="008BAA6C">
      <w:pPr>
        <w:snapToGrid w:val="0"/>
        <w:spacing w:line="360" w:lineRule="auto"/>
        <w:ind w:right="42" w:rightChars="20"/>
        <w:rPr>
          <w:rFonts w:asciiTheme="minorEastAsia" w:hAnsiTheme="minorEastAsia" w:eastAsiaTheme="minorEastAsia"/>
          <w:color w:val="auto"/>
          <w:szCs w:val="21"/>
          <w:highlight w:val="none"/>
        </w:rPr>
      </w:pPr>
    </w:p>
    <w:p w14:paraId="6A5A75E1">
      <w:pPr>
        <w:pStyle w:val="29"/>
        <w:snapToGrid w:val="0"/>
        <w:spacing w:line="360" w:lineRule="auto"/>
        <w:ind w:left="420" w:right="42" w:rightChars="20" w:hanging="42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注: 1、报价一经涂改，应在涂改处加盖单位公章或者由法定代表人或授权委托人签字或盖章，否则其投标作无效标处理。</w:t>
      </w:r>
    </w:p>
    <w:p w14:paraId="181D565A">
      <w:pPr>
        <w:spacing w:line="360" w:lineRule="auto"/>
        <w:ind w:firstLine="420" w:firstLineChars="200"/>
        <w:contextualSpacing/>
        <w:rPr>
          <w:rFonts w:asciiTheme="minorEastAsia" w:hAnsiTheme="minorEastAsia" w:eastAsiaTheme="minorEastAsia"/>
          <w:b/>
          <w:bCs/>
          <w:color w:val="auto"/>
          <w:szCs w:val="21"/>
          <w:highlight w:val="non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b/>
          <w:bCs/>
          <w:color w:val="auto"/>
          <w:szCs w:val="21"/>
          <w:highlight w:val="none"/>
        </w:rPr>
        <w:t>预算价：700000元，投标报价超过预算价的作无效标处理。</w:t>
      </w:r>
    </w:p>
    <w:p w14:paraId="77390626">
      <w:pPr>
        <w:spacing w:line="360" w:lineRule="auto"/>
        <w:ind w:firstLine="422" w:firstLineChars="200"/>
        <w:contextualSpacing/>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 xml:space="preserve"> 3、必须包括提供项目服务所需的一切人员费用（人员工资、奖金、各种加班费、各种社会保险（基本养老保险、基本医疗保险、工伤保险、失业保险、公积金等）、专家评审费、考察费、调研费、食宿与交通、高温补偿费）、会务费用、管理费用（意外保险、车辆、培训、税费、利润等完成合同所需的一切本身和不可或缺的所有工作开支、政策性文件规定及合同包含的所有风险、责任等各项全部费用并承担一切风险责任。</w:t>
      </w:r>
    </w:p>
    <w:p w14:paraId="762FA429">
      <w:pPr>
        <w:widowControl/>
        <w:spacing w:line="460" w:lineRule="exact"/>
        <w:ind w:right="42" w:rightChars="20" w:firstLine="480"/>
        <w:rPr>
          <w:rFonts w:asciiTheme="minorEastAsia" w:hAnsiTheme="minorEastAsia" w:eastAsiaTheme="minorEastAsia"/>
          <w:b/>
          <w:color w:val="auto"/>
          <w:szCs w:val="21"/>
          <w:highlight w:val="none"/>
        </w:rPr>
      </w:pPr>
    </w:p>
    <w:p w14:paraId="12CF8FFD">
      <w:pPr>
        <w:pStyle w:val="29"/>
        <w:snapToGrid w:val="0"/>
        <w:spacing w:line="360" w:lineRule="auto"/>
        <w:ind w:right="42" w:rightChars="20"/>
        <w:rPr>
          <w:rFonts w:asciiTheme="minorEastAsia" w:hAnsiTheme="minorEastAsia" w:eastAsiaTheme="minorEastAsia"/>
          <w:color w:val="auto"/>
          <w:szCs w:val="21"/>
          <w:highlight w:val="none"/>
        </w:rPr>
      </w:pPr>
    </w:p>
    <w:p w14:paraId="7B83EC85">
      <w:pPr>
        <w:pStyle w:val="29"/>
        <w:snapToGrid w:val="0"/>
        <w:spacing w:line="360" w:lineRule="auto"/>
        <w:ind w:right="42" w:rightChars="20"/>
        <w:rPr>
          <w:rFonts w:asciiTheme="minorEastAsia" w:hAnsiTheme="minorEastAsia" w:eastAsiaTheme="minorEastAsia"/>
          <w:color w:val="auto"/>
          <w:szCs w:val="21"/>
          <w:highlight w:val="none"/>
        </w:rPr>
      </w:pPr>
    </w:p>
    <w:p w14:paraId="597EF0C5">
      <w:pPr>
        <w:pStyle w:val="29"/>
        <w:snapToGrid w:val="0"/>
        <w:spacing w:line="360" w:lineRule="auto"/>
        <w:ind w:right="42" w:rightChars="20"/>
        <w:rPr>
          <w:rFonts w:asciiTheme="minorEastAsia" w:hAnsiTheme="minorEastAsia" w:eastAsiaTheme="minorEastAsia"/>
          <w:color w:val="auto"/>
          <w:szCs w:val="21"/>
          <w:highlight w:val="none"/>
          <w:shd w:val="clear" w:color="auto" w:fill="FFFFFF"/>
        </w:rPr>
      </w:pPr>
      <w:r>
        <w:rPr>
          <w:rFonts w:asciiTheme="minorEastAsia" w:hAnsiTheme="minorEastAsia" w:eastAsiaTheme="minorEastAsia"/>
          <w:color w:val="auto"/>
          <w:szCs w:val="21"/>
          <w:highlight w:val="none"/>
          <w:shd w:val="clear" w:color="auto" w:fill="FFFFFF"/>
        </w:rPr>
        <w:t xml:space="preserve">法定代表人或授权代表（签字或盖章）： </w:t>
      </w:r>
    </w:p>
    <w:p w14:paraId="0C752B6C">
      <w:pPr>
        <w:pStyle w:val="29"/>
        <w:snapToGrid w:val="0"/>
        <w:spacing w:line="360" w:lineRule="auto"/>
        <w:ind w:right="42" w:rightChars="20"/>
        <w:rPr>
          <w:rFonts w:asciiTheme="minorEastAsia" w:hAnsiTheme="minorEastAsia" w:eastAsiaTheme="minorEastAsia"/>
          <w:color w:val="auto"/>
          <w:szCs w:val="21"/>
          <w:highlight w:val="none"/>
          <w:shd w:val="clear" w:color="auto" w:fill="FFFFFF"/>
        </w:rPr>
      </w:pPr>
    </w:p>
    <w:p w14:paraId="5ECA8E8F">
      <w:pPr>
        <w:pStyle w:val="29"/>
        <w:snapToGrid w:val="0"/>
        <w:spacing w:line="360" w:lineRule="auto"/>
        <w:ind w:right="42" w:rightChars="20"/>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投标人名称（CA签章）</w:t>
      </w:r>
      <w:r>
        <w:rPr>
          <w:rFonts w:asciiTheme="minorEastAsia" w:hAnsiTheme="minorEastAsia" w:eastAsiaTheme="minorEastAsia"/>
          <w:color w:val="auto"/>
          <w:szCs w:val="21"/>
          <w:highlight w:val="none"/>
          <w:shd w:val="clear" w:color="auto" w:fill="FFFFFF"/>
        </w:rPr>
        <w:t>：</w:t>
      </w:r>
    </w:p>
    <w:p w14:paraId="573C54C2">
      <w:pPr>
        <w:pStyle w:val="29"/>
        <w:snapToGrid w:val="0"/>
        <w:spacing w:line="360" w:lineRule="auto"/>
        <w:ind w:right="42" w:rightChars="20"/>
        <w:rPr>
          <w:rFonts w:asciiTheme="minorEastAsia" w:hAnsiTheme="minorEastAsia" w:eastAsiaTheme="minorEastAsia"/>
          <w:color w:val="auto"/>
          <w:szCs w:val="21"/>
          <w:highlight w:val="none"/>
        </w:rPr>
      </w:pPr>
    </w:p>
    <w:p w14:paraId="1FA418A2">
      <w:pPr>
        <w:pStyle w:val="29"/>
        <w:snapToGrid w:val="0"/>
        <w:spacing w:line="360" w:lineRule="auto"/>
        <w:ind w:right="42" w:rightChars="20"/>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日期：</w:t>
      </w:r>
    </w:p>
    <w:p w14:paraId="3EE2A94B">
      <w:pPr>
        <w:spacing w:line="360" w:lineRule="auto"/>
        <w:ind w:right="42" w:rightChars="2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分项报价明细表</w:t>
      </w:r>
    </w:p>
    <w:tbl>
      <w:tblPr>
        <w:tblStyle w:val="52"/>
        <w:tblW w:w="89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274"/>
        <w:gridCol w:w="1010"/>
        <w:gridCol w:w="1008"/>
        <w:gridCol w:w="2640"/>
      </w:tblGrid>
      <w:tr w14:paraId="1F11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1008" w:type="dxa"/>
            <w:vAlign w:val="center"/>
          </w:tcPr>
          <w:p w14:paraId="0259709C">
            <w:pPr>
              <w:spacing w:line="360" w:lineRule="auto"/>
              <w:ind w:right="42" w:rightChars="2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bCs/>
                <w:color w:val="auto"/>
                <w:szCs w:val="21"/>
                <w:highlight w:val="none"/>
              </w:rPr>
              <w:t>序号</w:t>
            </w:r>
          </w:p>
        </w:tc>
        <w:tc>
          <w:tcPr>
            <w:tcW w:w="3274" w:type="dxa"/>
            <w:vAlign w:val="center"/>
          </w:tcPr>
          <w:p w14:paraId="42F2A2F9">
            <w:pPr>
              <w:spacing w:line="360" w:lineRule="auto"/>
              <w:ind w:left="102" w:right="42" w:rightChars="2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分项内容（包括人员、设备、场地等）</w:t>
            </w:r>
          </w:p>
        </w:tc>
        <w:tc>
          <w:tcPr>
            <w:tcW w:w="1010" w:type="dxa"/>
            <w:vAlign w:val="center"/>
          </w:tcPr>
          <w:p w14:paraId="68C4735E">
            <w:pPr>
              <w:spacing w:line="360" w:lineRule="auto"/>
              <w:ind w:right="42" w:rightChars="2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单位</w:t>
            </w:r>
          </w:p>
        </w:tc>
        <w:tc>
          <w:tcPr>
            <w:tcW w:w="1008" w:type="dxa"/>
            <w:vAlign w:val="center"/>
          </w:tcPr>
          <w:p w14:paraId="44A353F7">
            <w:pPr>
              <w:spacing w:line="360" w:lineRule="auto"/>
              <w:ind w:right="42" w:rightChars="2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数量</w:t>
            </w:r>
          </w:p>
        </w:tc>
        <w:tc>
          <w:tcPr>
            <w:tcW w:w="2640" w:type="dxa"/>
            <w:vAlign w:val="center"/>
          </w:tcPr>
          <w:p w14:paraId="1BD87921">
            <w:pPr>
              <w:spacing w:line="360" w:lineRule="auto"/>
              <w:ind w:right="42" w:rightChars="2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投标报价</w:t>
            </w:r>
          </w:p>
        </w:tc>
      </w:tr>
      <w:tr w14:paraId="394B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14:paraId="73559E5D">
            <w:pPr>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3274" w:type="dxa"/>
            <w:vAlign w:val="center"/>
          </w:tcPr>
          <w:p w14:paraId="69AD90C6">
            <w:pPr>
              <w:spacing w:line="360" w:lineRule="auto"/>
              <w:ind w:right="42" w:rightChars="20"/>
              <w:jc w:val="center"/>
              <w:rPr>
                <w:rFonts w:asciiTheme="minorEastAsia" w:hAnsiTheme="minorEastAsia" w:eastAsiaTheme="minorEastAsia"/>
                <w:color w:val="auto"/>
                <w:szCs w:val="21"/>
                <w:highlight w:val="none"/>
              </w:rPr>
            </w:pPr>
          </w:p>
        </w:tc>
        <w:tc>
          <w:tcPr>
            <w:tcW w:w="1010" w:type="dxa"/>
            <w:vAlign w:val="center"/>
          </w:tcPr>
          <w:p w14:paraId="736A383D">
            <w:pPr>
              <w:spacing w:line="360" w:lineRule="auto"/>
              <w:ind w:right="42" w:rightChars="20"/>
              <w:jc w:val="center"/>
              <w:rPr>
                <w:rFonts w:asciiTheme="minorEastAsia" w:hAnsiTheme="minorEastAsia" w:eastAsiaTheme="minorEastAsia"/>
                <w:color w:val="auto"/>
                <w:szCs w:val="21"/>
                <w:highlight w:val="none"/>
              </w:rPr>
            </w:pPr>
          </w:p>
        </w:tc>
        <w:tc>
          <w:tcPr>
            <w:tcW w:w="1008" w:type="dxa"/>
            <w:vAlign w:val="center"/>
          </w:tcPr>
          <w:p w14:paraId="1CCF7B7F">
            <w:pPr>
              <w:spacing w:line="360" w:lineRule="auto"/>
              <w:ind w:right="42" w:rightChars="20"/>
              <w:jc w:val="center"/>
              <w:rPr>
                <w:rFonts w:asciiTheme="minorEastAsia" w:hAnsiTheme="minorEastAsia" w:eastAsiaTheme="minorEastAsia"/>
                <w:color w:val="auto"/>
                <w:szCs w:val="21"/>
                <w:highlight w:val="none"/>
              </w:rPr>
            </w:pPr>
          </w:p>
        </w:tc>
        <w:tc>
          <w:tcPr>
            <w:tcW w:w="2640" w:type="dxa"/>
            <w:vAlign w:val="center"/>
          </w:tcPr>
          <w:p w14:paraId="23EF8025">
            <w:pPr>
              <w:spacing w:line="360" w:lineRule="auto"/>
              <w:ind w:right="42" w:rightChars="20"/>
              <w:jc w:val="center"/>
              <w:rPr>
                <w:rFonts w:asciiTheme="minorEastAsia" w:hAnsiTheme="minorEastAsia" w:eastAsiaTheme="minorEastAsia"/>
                <w:color w:val="auto"/>
                <w:szCs w:val="21"/>
                <w:highlight w:val="none"/>
              </w:rPr>
            </w:pPr>
          </w:p>
        </w:tc>
      </w:tr>
      <w:tr w14:paraId="10CD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14:paraId="21C2AA51">
            <w:pPr>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3274" w:type="dxa"/>
            <w:vAlign w:val="center"/>
          </w:tcPr>
          <w:p w14:paraId="0C075975">
            <w:pPr>
              <w:spacing w:line="360" w:lineRule="auto"/>
              <w:ind w:right="42" w:rightChars="20"/>
              <w:jc w:val="center"/>
              <w:rPr>
                <w:rFonts w:asciiTheme="minorEastAsia" w:hAnsiTheme="minorEastAsia" w:eastAsiaTheme="minorEastAsia"/>
                <w:color w:val="auto"/>
                <w:szCs w:val="21"/>
                <w:highlight w:val="none"/>
              </w:rPr>
            </w:pPr>
          </w:p>
        </w:tc>
        <w:tc>
          <w:tcPr>
            <w:tcW w:w="1010" w:type="dxa"/>
            <w:vAlign w:val="center"/>
          </w:tcPr>
          <w:p w14:paraId="79E23BA7">
            <w:pPr>
              <w:spacing w:line="360" w:lineRule="auto"/>
              <w:ind w:right="42" w:rightChars="20"/>
              <w:jc w:val="center"/>
              <w:rPr>
                <w:rFonts w:asciiTheme="minorEastAsia" w:hAnsiTheme="minorEastAsia" w:eastAsiaTheme="minorEastAsia"/>
                <w:color w:val="auto"/>
                <w:szCs w:val="21"/>
                <w:highlight w:val="none"/>
              </w:rPr>
            </w:pPr>
          </w:p>
        </w:tc>
        <w:tc>
          <w:tcPr>
            <w:tcW w:w="1008" w:type="dxa"/>
            <w:vAlign w:val="center"/>
          </w:tcPr>
          <w:p w14:paraId="2DD9DDC8">
            <w:pPr>
              <w:spacing w:line="360" w:lineRule="auto"/>
              <w:ind w:right="42" w:rightChars="20"/>
              <w:jc w:val="center"/>
              <w:rPr>
                <w:rFonts w:asciiTheme="minorEastAsia" w:hAnsiTheme="minorEastAsia" w:eastAsiaTheme="minorEastAsia"/>
                <w:color w:val="auto"/>
                <w:szCs w:val="21"/>
                <w:highlight w:val="none"/>
              </w:rPr>
            </w:pPr>
          </w:p>
        </w:tc>
        <w:tc>
          <w:tcPr>
            <w:tcW w:w="2640" w:type="dxa"/>
            <w:vAlign w:val="center"/>
          </w:tcPr>
          <w:p w14:paraId="5C315F77">
            <w:pPr>
              <w:spacing w:line="360" w:lineRule="auto"/>
              <w:ind w:right="42" w:rightChars="20"/>
              <w:jc w:val="center"/>
              <w:rPr>
                <w:rFonts w:asciiTheme="minorEastAsia" w:hAnsiTheme="minorEastAsia" w:eastAsiaTheme="minorEastAsia"/>
                <w:color w:val="auto"/>
                <w:szCs w:val="21"/>
                <w:highlight w:val="none"/>
              </w:rPr>
            </w:pPr>
          </w:p>
        </w:tc>
      </w:tr>
      <w:tr w14:paraId="4B93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14:paraId="5B9AE131">
            <w:pPr>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3274" w:type="dxa"/>
            <w:vAlign w:val="center"/>
          </w:tcPr>
          <w:p w14:paraId="5D82E44E">
            <w:pPr>
              <w:spacing w:line="360" w:lineRule="auto"/>
              <w:ind w:right="42" w:rightChars="20"/>
              <w:jc w:val="center"/>
              <w:rPr>
                <w:rFonts w:asciiTheme="minorEastAsia" w:hAnsiTheme="minorEastAsia" w:eastAsiaTheme="minorEastAsia"/>
                <w:color w:val="auto"/>
                <w:szCs w:val="21"/>
                <w:highlight w:val="none"/>
              </w:rPr>
            </w:pPr>
          </w:p>
        </w:tc>
        <w:tc>
          <w:tcPr>
            <w:tcW w:w="1010" w:type="dxa"/>
            <w:vAlign w:val="center"/>
          </w:tcPr>
          <w:p w14:paraId="5849E8ED">
            <w:pPr>
              <w:spacing w:line="360" w:lineRule="auto"/>
              <w:ind w:right="42" w:rightChars="20"/>
              <w:jc w:val="center"/>
              <w:rPr>
                <w:rFonts w:asciiTheme="minorEastAsia" w:hAnsiTheme="minorEastAsia" w:eastAsiaTheme="minorEastAsia"/>
                <w:color w:val="auto"/>
                <w:szCs w:val="21"/>
                <w:highlight w:val="none"/>
              </w:rPr>
            </w:pPr>
          </w:p>
        </w:tc>
        <w:tc>
          <w:tcPr>
            <w:tcW w:w="1008" w:type="dxa"/>
            <w:vAlign w:val="center"/>
          </w:tcPr>
          <w:p w14:paraId="1B94EE31">
            <w:pPr>
              <w:spacing w:line="360" w:lineRule="auto"/>
              <w:ind w:right="42" w:rightChars="20"/>
              <w:jc w:val="center"/>
              <w:rPr>
                <w:rFonts w:asciiTheme="minorEastAsia" w:hAnsiTheme="minorEastAsia" w:eastAsiaTheme="minorEastAsia"/>
                <w:color w:val="auto"/>
                <w:szCs w:val="21"/>
                <w:highlight w:val="none"/>
              </w:rPr>
            </w:pPr>
          </w:p>
        </w:tc>
        <w:tc>
          <w:tcPr>
            <w:tcW w:w="2640" w:type="dxa"/>
            <w:vAlign w:val="center"/>
          </w:tcPr>
          <w:p w14:paraId="0F300E48">
            <w:pPr>
              <w:spacing w:line="360" w:lineRule="auto"/>
              <w:ind w:right="42" w:rightChars="20"/>
              <w:jc w:val="center"/>
              <w:rPr>
                <w:rFonts w:asciiTheme="minorEastAsia" w:hAnsiTheme="minorEastAsia" w:eastAsiaTheme="minorEastAsia"/>
                <w:color w:val="auto"/>
                <w:szCs w:val="21"/>
                <w:highlight w:val="none"/>
              </w:rPr>
            </w:pPr>
          </w:p>
        </w:tc>
      </w:tr>
      <w:tr w14:paraId="7BCF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14:paraId="1CEF4FF8">
            <w:pPr>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3274" w:type="dxa"/>
            <w:vAlign w:val="center"/>
          </w:tcPr>
          <w:p w14:paraId="7793D03E">
            <w:pPr>
              <w:spacing w:line="360" w:lineRule="auto"/>
              <w:ind w:right="42" w:rightChars="20"/>
              <w:jc w:val="center"/>
              <w:rPr>
                <w:rFonts w:asciiTheme="minorEastAsia" w:hAnsiTheme="minorEastAsia" w:eastAsiaTheme="minorEastAsia"/>
                <w:color w:val="auto"/>
                <w:szCs w:val="21"/>
                <w:highlight w:val="none"/>
              </w:rPr>
            </w:pPr>
          </w:p>
        </w:tc>
        <w:tc>
          <w:tcPr>
            <w:tcW w:w="1010" w:type="dxa"/>
            <w:vAlign w:val="center"/>
          </w:tcPr>
          <w:p w14:paraId="7D5DFA14">
            <w:pPr>
              <w:spacing w:line="360" w:lineRule="auto"/>
              <w:ind w:right="42" w:rightChars="20"/>
              <w:jc w:val="center"/>
              <w:rPr>
                <w:rFonts w:asciiTheme="minorEastAsia" w:hAnsiTheme="minorEastAsia" w:eastAsiaTheme="minorEastAsia"/>
                <w:color w:val="auto"/>
                <w:szCs w:val="21"/>
                <w:highlight w:val="none"/>
              </w:rPr>
            </w:pPr>
          </w:p>
        </w:tc>
        <w:tc>
          <w:tcPr>
            <w:tcW w:w="1008" w:type="dxa"/>
            <w:vAlign w:val="center"/>
          </w:tcPr>
          <w:p w14:paraId="7A663022">
            <w:pPr>
              <w:spacing w:line="360" w:lineRule="auto"/>
              <w:ind w:right="42" w:rightChars="20"/>
              <w:jc w:val="center"/>
              <w:rPr>
                <w:rFonts w:asciiTheme="minorEastAsia" w:hAnsiTheme="minorEastAsia" w:eastAsiaTheme="minorEastAsia"/>
                <w:color w:val="auto"/>
                <w:szCs w:val="21"/>
                <w:highlight w:val="none"/>
              </w:rPr>
            </w:pPr>
          </w:p>
        </w:tc>
        <w:tc>
          <w:tcPr>
            <w:tcW w:w="2640" w:type="dxa"/>
            <w:vAlign w:val="center"/>
          </w:tcPr>
          <w:p w14:paraId="59DF65B8">
            <w:pPr>
              <w:spacing w:line="360" w:lineRule="auto"/>
              <w:ind w:right="42" w:rightChars="20"/>
              <w:jc w:val="center"/>
              <w:rPr>
                <w:rFonts w:asciiTheme="minorEastAsia" w:hAnsiTheme="minorEastAsia" w:eastAsiaTheme="minorEastAsia"/>
                <w:color w:val="auto"/>
                <w:szCs w:val="21"/>
                <w:highlight w:val="none"/>
              </w:rPr>
            </w:pPr>
          </w:p>
        </w:tc>
      </w:tr>
      <w:tr w14:paraId="2E63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14:paraId="05437C43">
            <w:pPr>
              <w:spacing w:line="360" w:lineRule="auto"/>
              <w:ind w:right="42" w:rightChars="2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w:t>
            </w:r>
          </w:p>
        </w:tc>
        <w:tc>
          <w:tcPr>
            <w:tcW w:w="3274" w:type="dxa"/>
            <w:vAlign w:val="center"/>
          </w:tcPr>
          <w:p w14:paraId="617E8117">
            <w:pPr>
              <w:spacing w:line="360" w:lineRule="auto"/>
              <w:ind w:right="42" w:rightChars="20"/>
              <w:jc w:val="center"/>
              <w:rPr>
                <w:rFonts w:asciiTheme="minorEastAsia" w:hAnsiTheme="minorEastAsia" w:eastAsiaTheme="minorEastAsia"/>
                <w:color w:val="auto"/>
                <w:szCs w:val="21"/>
                <w:highlight w:val="none"/>
              </w:rPr>
            </w:pPr>
          </w:p>
        </w:tc>
        <w:tc>
          <w:tcPr>
            <w:tcW w:w="1010" w:type="dxa"/>
            <w:vAlign w:val="center"/>
          </w:tcPr>
          <w:p w14:paraId="5D0A3A27">
            <w:pPr>
              <w:spacing w:line="360" w:lineRule="auto"/>
              <w:ind w:right="42" w:rightChars="20"/>
              <w:jc w:val="center"/>
              <w:rPr>
                <w:rFonts w:asciiTheme="minorEastAsia" w:hAnsiTheme="minorEastAsia" w:eastAsiaTheme="minorEastAsia"/>
                <w:color w:val="auto"/>
                <w:szCs w:val="21"/>
                <w:highlight w:val="none"/>
              </w:rPr>
            </w:pPr>
          </w:p>
        </w:tc>
        <w:tc>
          <w:tcPr>
            <w:tcW w:w="1008" w:type="dxa"/>
            <w:vAlign w:val="center"/>
          </w:tcPr>
          <w:p w14:paraId="210F8E6E">
            <w:pPr>
              <w:spacing w:line="360" w:lineRule="auto"/>
              <w:ind w:right="42" w:rightChars="20"/>
              <w:jc w:val="center"/>
              <w:rPr>
                <w:rFonts w:asciiTheme="minorEastAsia" w:hAnsiTheme="minorEastAsia" w:eastAsiaTheme="minorEastAsia"/>
                <w:color w:val="auto"/>
                <w:szCs w:val="21"/>
                <w:highlight w:val="none"/>
              </w:rPr>
            </w:pPr>
          </w:p>
        </w:tc>
        <w:tc>
          <w:tcPr>
            <w:tcW w:w="2640" w:type="dxa"/>
            <w:vAlign w:val="center"/>
          </w:tcPr>
          <w:p w14:paraId="784B640B">
            <w:pPr>
              <w:spacing w:line="360" w:lineRule="auto"/>
              <w:ind w:right="42" w:rightChars="20"/>
              <w:jc w:val="center"/>
              <w:rPr>
                <w:rFonts w:asciiTheme="minorEastAsia" w:hAnsiTheme="minorEastAsia" w:eastAsiaTheme="minorEastAsia"/>
                <w:color w:val="auto"/>
                <w:szCs w:val="21"/>
                <w:highlight w:val="none"/>
              </w:rPr>
            </w:pPr>
          </w:p>
        </w:tc>
      </w:tr>
      <w:tr w14:paraId="6154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14:paraId="49EFA42F">
            <w:pPr>
              <w:spacing w:line="360" w:lineRule="auto"/>
              <w:ind w:right="42" w:rightChars="20"/>
              <w:jc w:val="center"/>
              <w:rPr>
                <w:rFonts w:asciiTheme="minorEastAsia" w:hAnsiTheme="minorEastAsia" w:eastAsiaTheme="minorEastAsia"/>
                <w:color w:val="auto"/>
                <w:szCs w:val="21"/>
                <w:highlight w:val="none"/>
              </w:rPr>
            </w:pPr>
          </w:p>
        </w:tc>
        <w:tc>
          <w:tcPr>
            <w:tcW w:w="5292" w:type="dxa"/>
            <w:gridSpan w:val="3"/>
            <w:vAlign w:val="center"/>
          </w:tcPr>
          <w:p w14:paraId="23B35C71">
            <w:pPr>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合计总价</w:t>
            </w:r>
          </w:p>
        </w:tc>
        <w:tc>
          <w:tcPr>
            <w:tcW w:w="2640" w:type="dxa"/>
            <w:vAlign w:val="center"/>
          </w:tcPr>
          <w:p w14:paraId="6EC8A614">
            <w:pPr>
              <w:spacing w:line="360" w:lineRule="auto"/>
              <w:ind w:right="42" w:rightChars="20"/>
              <w:jc w:val="center"/>
              <w:rPr>
                <w:rFonts w:asciiTheme="minorEastAsia" w:hAnsiTheme="minorEastAsia" w:eastAsiaTheme="minorEastAsia"/>
                <w:color w:val="auto"/>
                <w:szCs w:val="21"/>
                <w:highlight w:val="none"/>
              </w:rPr>
            </w:pPr>
          </w:p>
        </w:tc>
      </w:tr>
    </w:tbl>
    <w:p w14:paraId="429AF9F1">
      <w:pPr>
        <w:pStyle w:val="96"/>
        <w:rPr>
          <w:color w:val="auto"/>
          <w:highlight w:val="none"/>
        </w:rPr>
      </w:pPr>
    </w:p>
    <w:p w14:paraId="7686191D">
      <w:pPr>
        <w:tabs>
          <w:tab w:val="left" w:pos="540"/>
        </w:tabs>
        <w:autoSpaceDE w:val="0"/>
        <w:autoSpaceDN w:val="0"/>
        <w:adjustRightInd w:val="0"/>
        <w:spacing w:line="360" w:lineRule="auto"/>
        <w:ind w:right="42" w:rightChars="20" w:firstLine="411" w:firstLineChars="196"/>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 1、以上表格中各项可进一步细分，栏数不够可自加，要求服务内容细分项目及报价。本投标文件及其所附文件涵盖了我方要约的全部内容。</w:t>
      </w:r>
    </w:p>
    <w:p w14:paraId="230B149F">
      <w:pPr>
        <w:spacing w:line="360" w:lineRule="auto"/>
        <w:ind w:left="-2" w:leftChars="-1" w:right="42" w:rightChars="20" w:firstLine="945" w:firstLineChars="45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2、本明细清单合计总价应与投标（开标）一览表报价保持一致。</w:t>
      </w:r>
    </w:p>
    <w:p w14:paraId="328F0D7A">
      <w:pPr>
        <w:snapToGrid w:val="0"/>
        <w:spacing w:before="50" w:after="50" w:line="360" w:lineRule="auto"/>
        <w:ind w:right="42" w:rightChars="20"/>
        <w:rPr>
          <w:rFonts w:asciiTheme="minorEastAsia" w:hAnsiTheme="minorEastAsia" w:eastAsiaTheme="minorEastAsia"/>
          <w:color w:val="auto"/>
          <w:spacing w:val="20"/>
          <w:sz w:val="22"/>
          <w:szCs w:val="22"/>
          <w:highlight w:val="none"/>
        </w:rPr>
      </w:pPr>
    </w:p>
    <w:p w14:paraId="6B94A2DE">
      <w:pPr>
        <w:snapToGrid w:val="0"/>
        <w:spacing w:before="50" w:after="50" w:line="360" w:lineRule="auto"/>
        <w:ind w:right="42" w:rightChars="20"/>
        <w:rPr>
          <w:rFonts w:asciiTheme="minorEastAsia" w:hAnsiTheme="minorEastAsia" w:eastAsiaTheme="minorEastAsia"/>
          <w:color w:val="auto"/>
          <w:spacing w:val="20"/>
          <w:sz w:val="22"/>
          <w:szCs w:val="22"/>
          <w:highlight w:val="none"/>
        </w:rPr>
      </w:pPr>
    </w:p>
    <w:p w14:paraId="0CC13E24">
      <w:pPr>
        <w:snapToGrid w:val="0"/>
        <w:spacing w:before="50" w:after="50" w:line="360" w:lineRule="auto"/>
        <w:ind w:right="42" w:rightChars="20"/>
        <w:rPr>
          <w:rFonts w:asciiTheme="minorEastAsia" w:hAnsiTheme="minorEastAsia" w:eastAsiaTheme="minorEastAsia"/>
          <w:color w:val="auto"/>
          <w:spacing w:val="20"/>
          <w:sz w:val="22"/>
          <w:szCs w:val="22"/>
          <w:highlight w:val="none"/>
        </w:rPr>
      </w:pPr>
    </w:p>
    <w:p w14:paraId="28C50331">
      <w:pPr>
        <w:pStyle w:val="29"/>
        <w:snapToGrid w:val="0"/>
        <w:spacing w:line="360" w:lineRule="auto"/>
        <w:ind w:right="42" w:rightChars="20"/>
        <w:rPr>
          <w:rFonts w:asciiTheme="minorEastAsia" w:hAnsiTheme="minorEastAsia" w:eastAsiaTheme="minorEastAsia"/>
          <w:color w:val="auto"/>
          <w:szCs w:val="21"/>
          <w:highlight w:val="none"/>
          <w:shd w:val="clear" w:color="auto" w:fill="FFFFFF"/>
        </w:rPr>
      </w:pPr>
      <w:r>
        <w:rPr>
          <w:rFonts w:asciiTheme="minorEastAsia" w:hAnsiTheme="minorEastAsia" w:eastAsiaTheme="minorEastAsia"/>
          <w:color w:val="auto"/>
          <w:szCs w:val="21"/>
          <w:highlight w:val="none"/>
          <w:shd w:val="clear" w:color="auto" w:fill="FFFFFF"/>
        </w:rPr>
        <w:t xml:space="preserve">法定代表人或授权代表（签字或盖章）： </w:t>
      </w:r>
    </w:p>
    <w:p w14:paraId="3985B150">
      <w:pPr>
        <w:pStyle w:val="29"/>
        <w:snapToGrid w:val="0"/>
        <w:spacing w:line="360" w:lineRule="auto"/>
        <w:ind w:right="42" w:rightChars="20"/>
        <w:rPr>
          <w:rFonts w:asciiTheme="minorEastAsia" w:hAnsiTheme="minorEastAsia" w:eastAsiaTheme="minorEastAsia"/>
          <w:color w:val="auto"/>
          <w:szCs w:val="21"/>
          <w:highlight w:val="none"/>
          <w:shd w:val="clear" w:color="auto" w:fill="FFFFFF"/>
        </w:rPr>
      </w:pPr>
    </w:p>
    <w:p w14:paraId="4B9250C8">
      <w:pPr>
        <w:pStyle w:val="29"/>
        <w:snapToGrid w:val="0"/>
        <w:spacing w:line="360" w:lineRule="auto"/>
        <w:ind w:right="42" w:rightChars="20"/>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投标人名称（CA签章）</w:t>
      </w:r>
      <w:r>
        <w:rPr>
          <w:rFonts w:asciiTheme="minorEastAsia" w:hAnsiTheme="minorEastAsia" w:eastAsiaTheme="minorEastAsia"/>
          <w:color w:val="auto"/>
          <w:szCs w:val="21"/>
          <w:highlight w:val="none"/>
          <w:shd w:val="clear" w:color="auto" w:fill="FFFFFF"/>
        </w:rPr>
        <w:t>：</w:t>
      </w:r>
    </w:p>
    <w:p w14:paraId="4D35373C">
      <w:pPr>
        <w:pStyle w:val="29"/>
        <w:snapToGrid w:val="0"/>
        <w:spacing w:line="360" w:lineRule="auto"/>
        <w:ind w:right="42" w:rightChars="20"/>
        <w:rPr>
          <w:rFonts w:asciiTheme="minorEastAsia" w:hAnsiTheme="minorEastAsia" w:eastAsiaTheme="minorEastAsia"/>
          <w:color w:val="auto"/>
          <w:szCs w:val="21"/>
          <w:highlight w:val="none"/>
          <w:shd w:val="clear" w:color="auto" w:fill="FFFFFF"/>
        </w:rPr>
      </w:pPr>
    </w:p>
    <w:p w14:paraId="6B2B38A0">
      <w:pPr>
        <w:pStyle w:val="29"/>
        <w:snapToGrid w:val="0"/>
        <w:spacing w:line="360" w:lineRule="auto"/>
        <w:ind w:right="42" w:rightChars="20"/>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日期：</w:t>
      </w:r>
    </w:p>
    <w:p w14:paraId="73746653">
      <w:pPr>
        <w:pStyle w:val="96"/>
        <w:rPr>
          <w:color w:val="auto"/>
          <w:highlight w:val="none"/>
        </w:rPr>
      </w:pPr>
    </w:p>
    <w:p w14:paraId="05A3D18A">
      <w:pPr>
        <w:pStyle w:val="96"/>
        <w:rPr>
          <w:color w:val="auto"/>
          <w:highlight w:val="none"/>
        </w:rPr>
        <w:sectPr>
          <w:pgSz w:w="11905" w:h="16838"/>
          <w:pgMar w:top="1440" w:right="1803" w:bottom="1440" w:left="1803" w:header="851" w:footer="992" w:gutter="0"/>
          <w:cols w:space="0" w:num="1"/>
          <w:docGrid w:type="lines" w:linePitch="319" w:charSpace="0"/>
        </w:sectPr>
      </w:pPr>
    </w:p>
    <w:p w14:paraId="78E1F667">
      <w:pPr>
        <w:pStyle w:val="96"/>
        <w:rPr>
          <w:color w:val="auto"/>
          <w:highlight w:val="none"/>
        </w:rPr>
      </w:pPr>
    </w:p>
    <w:p w14:paraId="15B91BB0">
      <w:pPr>
        <w:shd w:val="clear" w:color="auto" w:fill="FFFFFF"/>
        <w:spacing w:before="156" w:line="330" w:lineRule="atLeast"/>
        <w:rPr>
          <w:rFonts w:ascii="宋体" w:hAnsi="宋体" w:cs="宋体"/>
          <w:b/>
          <w:color w:val="auto"/>
          <w:sz w:val="24"/>
          <w:highlight w:val="none"/>
        </w:rPr>
      </w:pPr>
      <w:r>
        <w:rPr>
          <w:rFonts w:hint="eastAsia" w:ascii="宋体" w:hAnsi="宋体" w:cs="宋体"/>
          <w:b/>
          <w:color w:val="auto"/>
          <w:sz w:val="24"/>
          <w:highlight w:val="none"/>
        </w:rPr>
        <w:t>附件：</w:t>
      </w:r>
    </w:p>
    <w:p w14:paraId="6F8C78B7">
      <w:pPr>
        <w:shd w:val="clear" w:color="auto" w:fill="FFFFFF"/>
        <w:spacing w:before="156" w:line="330" w:lineRule="atLeast"/>
        <w:ind w:firstLine="482"/>
        <w:jc w:val="center"/>
        <w:rPr>
          <w:rFonts w:ascii="宋体" w:hAnsi="宋体" w:cs="宋体"/>
          <w:b/>
          <w:color w:val="auto"/>
          <w:sz w:val="24"/>
          <w:highlight w:val="none"/>
        </w:rPr>
      </w:pPr>
    </w:p>
    <w:p w14:paraId="3497A0A1">
      <w:pPr>
        <w:shd w:val="clear" w:color="auto" w:fill="FFFFFF"/>
        <w:spacing w:before="156" w:line="330" w:lineRule="atLeast"/>
        <w:ind w:firstLine="482"/>
        <w:jc w:val="center"/>
        <w:rPr>
          <w:rFonts w:ascii="宋体" w:hAnsi="宋体" w:cs="宋体"/>
          <w:bCs/>
          <w:color w:val="auto"/>
          <w:sz w:val="24"/>
          <w:highlight w:val="none"/>
        </w:rPr>
      </w:pPr>
      <w:r>
        <w:rPr>
          <w:rFonts w:hint="eastAsia" w:ascii="宋体" w:hAnsi="宋体" w:cs="宋体"/>
          <w:b/>
          <w:color w:val="auto"/>
          <w:sz w:val="24"/>
          <w:highlight w:val="none"/>
        </w:rPr>
        <w:t>国家统计局关于印发统计上大中小微型企业划分办法的通知</w:t>
      </w:r>
    </w:p>
    <w:p w14:paraId="6447617B">
      <w:pPr>
        <w:shd w:val="clear" w:color="auto" w:fill="FFFFFF"/>
        <w:spacing w:line="330" w:lineRule="atLeast"/>
        <w:jc w:val="center"/>
        <w:rPr>
          <w:rFonts w:ascii="宋体" w:hAnsi="宋体" w:cs="宋体"/>
          <w:bCs/>
          <w:color w:val="auto"/>
          <w:sz w:val="24"/>
          <w:highlight w:val="none"/>
        </w:rPr>
      </w:pPr>
      <w:r>
        <w:rPr>
          <w:rFonts w:hint="eastAsia" w:ascii="宋体" w:hAnsi="宋体" w:cs="宋体"/>
          <w:color w:val="auto"/>
          <w:sz w:val="24"/>
          <w:highlight w:val="none"/>
        </w:rPr>
        <w:t>国统字〔</w:t>
      </w:r>
      <w:r>
        <w:rPr>
          <w:color w:val="auto"/>
          <w:sz w:val="24"/>
          <w:highlight w:val="none"/>
        </w:rPr>
        <w:t>2011</w:t>
      </w:r>
      <w:r>
        <w:rPr>
          <w:rFonts w:hint="eastAsia" w:ascii="宋体" w:hAnsi="宋体" w:cs="宋体"/>
          <w:color w:val="auto"/>
          <w:sz w:val="24"/>
          <w:highlight w:val="none"/>
        </w:rPr>
        <w:t>〕</w:t>
      </w:r>
      <w:r>
        <w:rPr>
          <w:color w:val="auto"/>
          <w:sz w:val="24"/>
          <w:highlight w:val="none"/>
        </w:rPr>
        <w:t>75</w:t>
      </w:r>
      <w:r>
        <w:rPr>
          <w:rFonts w:hint="eastAsia" w:ascii="宋体" w:hAnsi="宋体" w:cs="宋体"/>
          <w:color w:val="auto"/>
          <w:sz w:val="24"/>
          <w:highlight w:val="none"/>
        </w:rPr>
        <w:t>号</w:t>
      </w:r>
    </w:p>
    <w:p w14:paraId="2E7DB802">
      <w:pPr>
        <w:shd w:val="clear" w:color="auto" w:fill="FFFFFF"/>
        <w:spacing w:line="330" w:lineRule="atLeast"/>
        <w:rPr>
          <w:rFonts w:ascii="宋体" w:hAnsi="宋体" w:cs="宋体"/>
          <w:bCs/>
          <w:color w:val="auto"/>
          <w:sz w:val="24"/>
          <w:highlight w:val="none"/>
        </w:rPr>
      </w:pPr>
      <w:r>
        <w:rPr>
          <w:color w:val="auto"/>
          <w:sz w:val="24"/>
          <w:highlight w:val="none"/>
        </w:rPr>
        <w:t> </w:t>
      </w:r>
    </w:p>
    <w:p w14:paraId="169E8801">
      <w:pPr>
        <w:shd w:val="clear" w:color="auto" w:fill="FFFFFF"/>
        <w:spacing w:line="330" w:lineRule="atLeast"/>
        <w:rPr>
          <w:rFonts w:ascii="宋体" w:hAnsi="宋体" w:cs="宋体"/>
          <w:bCs/>
          <w:color w:val="auto"/>
          <w:sz w:val="24"/>
          <w:highlight w:val="none"/>
        </w:rPr>
      </w:pPr>
      <w:r>
        <w:rPr>
          <w:rFonts w:hint="eastAsia" w:ascii="宋体" w:hAnsi="宋体" w:cs="宋体"/>
          <w:color w:val="auto"/>
          <w:sz w:val="24"/>
          <w:highlight w:val="none"/>
        </w:rPr>
        <w:t>各省、自治区、直辖市统计局，新疆生产建设兵团统计局，国家统计局各调查总队，国务院有关部门：</w:t>
      </w:r>
    </w:p>
    <w:p w14:paraId="329F03CD">
      <w:pPr>
        <w:shd w:val="clear" w:color="auto" w:fill="FFFFFF"/>
        <w:spacing w:line="330" w:lineRule="atLeast"/>
        <w:rPr>
          <w:rFonts w:ascii="宋体" w:hAnsi="宋体" w:cs="宋体"/>
          <w:bCs/>
          <w:color w:val="auto"/>
          <w:sz w:val="24"/>
          <w:highlight w:val="none"/>
        </w:rPr>
      </w:pPr>
      <w:r>
        <w:rPr>
          <w:color w:val="auto"/>
          <w:sz w:val="24"/>
          <w:highlight w:val="none"/>
        </w:rPr>
        <w:t> </w:t>
      </w:r>
    </w:p>
    <w:p w14:paraId="2D86BA2E">
      <w:pPr>
        <w:shd w:val="clear" w:color="auto" w:fill="FFFFFF"/>
        <w:spacing w:line="330" w:lineRule="atLeast"/>
        <w:rPr>
          <w:rFonts w:ascii="宋体" w:hAnsi="宋体" w:cs="宋体"/>
          <w:bCs/>
          <w:color w:val="auto"/>
          <w:sz w:val="24"/>
          <w:highlight w:val="none"/>
        </w:rPr>
      </w:pPr>
      <w:r>
        <w:rPr>
          <w:rFonts w:hint="eastAsia" w:ascii="宋体" w:hAnsi="宋体" w:cs="宋体"/>
          <w:color w:val="auto"/>
          <w:sz w:val="24"/>
          <w:highlight w:val="none"/>
        </w:rPr>
        <w:t>　　为贯彻落实工业和信息化部、国家统计局、国家发展改革委、财政部《关于印发中小企业划型标准规定的通知》（工信部联企业〔</w:t>
      </w:r>
      <w:r>
        <w:rPr>
          <w:color w:val="auto"/>
          <w:sz w:val="24"/>
          <w:highlight w:val="none"/>
        </w:rPr>
        <w:t>2011</w:t>
      </w:r>
      <w:r>
        <w:rPr>
          <w:rFonts w:hint="eastAsia" w:ascii="宋体" w:hAnsi="宋体" w:cs="宋体"/>
          <w:color w:val="auto"/>
          <w:sz w:val="24"/>
          <w:highlight w:val="none"/>
        </w:rPr>
        <w:t>〕</w:t>
      </w:r>
      <w:r>
        <w:rPr>
          <w:color w:val="auto"/>
          <w:sz w:val="24"/>
          <w:highlight w:val="none"/>
        </w:rPr>
        <w:t>300</w:t>
      </w:r>
      <w:r>
        <w:rPr>
          <w:rFonts w:hint="eastAsia" w:ascii="宋体" w:hAnsi="宋体" w:cs="宋体"/>
          <w:color w:val="auto"/>
          <w:sz w:val="24"/>
          <w:highlight w:val="none"/>
        </w:rPr>
        <w:t>号），结合统计工作的实际情况，我们制定了《统计上大中小微型企业划分办法》。现印发给你们，请遵照执行。</w:t>
      </w:r>
    </w:p>
    <w:p w14:paraId="433CA4CB">
      <w:pPr>
        <w:shd w:val="clear" w:color="auto" w:fill="FFFFFF"/>
        <w:spacing w:line="330" w:lineRule="atLeast"/>
        <w:rPr>
          <w:rFonts w:ascii="宋体" w:hAnsi="宋体" w:cs="宋体"/>
          <w:bCs/>
          <w:color w:val="auto"/>
          <w:sz w:val="24"/>
          <w:highlight w:val="none"/>
        </w:rPr>
      </w:pPr>
      <w:r>
        <w:rPr>
          <w:color w:val="auto"/>
          <w:sz w:val="24"/>
          <w:highlight w:val="none"/>
        </w:rPr>
        <w:t> </w:t>
      </w:r>
    </w:p>
    <w:p w14:paraId="638588F0">
      <w:pPr>
        <w:shd w:val="clear" w:color="auto" w:fill="FFFFFF"/>
        <w:wordWrap w:val="0"/>
        <w:spacing w:line="330" w:lineRule="atLeast"/>
        <w:jc w:val="right"/>
        <w:rPr>
          <w:rFonts w:ascii="宋体" w:hAnsi="宋体" w:cs="宋体"/>
          <w:bCs/>
          <w:color w:val="auto"/>
          <w:sz w:val="24"/>
          <w:highlight w:val="none"/>
        </w:rPr>
      </w:pPr>
      <w:r>
        <w:rPr>
          <w:rFonts w:hint="eastAsia" w:ascii="宋体" w:hAnsi="宋体" w:cs="宋体"/>
          <w:color w:val="auto"/>
          <w:sz w:val="24"/>
          <w:highlight w:val="none"/>
        </w:rPr>
        <w:t>　　国家统计局</w:t>
      </w:r>
      <w:r>
        <w:rPr>
          <w:color w:val="auto"/>
          <w:sz w:val="24"/>
          <w:highlight w:val="none"/>
        </w:rPr>
        <w:t> </w:t>
      </w:r>
    </w:p>
    <w:p w14:paraId="08CB9C29">
      <w:pPr>
        <w:shd w:val="clear" w:color="auto" w:fill="FFFFFF"/>
        <w:spacing w:line="330" w:lineRule="atLeast"/>
        <w:jc w:val="right"/>
        <w:rPr>
          <w:rFonts w:ascii="宋体" w:hAnsi="宋体" w:cs="宋体"/>
          <w:bCs/>
          <w:color w:val="auto"/>
          <w:sz w:val="24"/>
          <w:highlight w:val="none"/>
        </w:rPr>
      </w:pPr>
      <w:r>
        <w:rPr>
          <w:rFonts w:hint="eastAsia" w:ascii="宋体" w:hAnsi="宋体" w:cs="宋体"/>
          <w:color w:val="auto"/>
          <w:sz w:val="24"/>
          <w:highlight w:val="none"/>
        </w:rPr>
        <w:t>　　二〇一一年九月二日</w:t>
      </w:r>
    </w:p>
    <w:p w14:paraId="250801E5">
      <w:pPr>
        <w:shd w:val="clear" w:color="auto" w:fill="FFFFFF"/>
        <w:spacing w:line="330" w:lineRule="atLeast"/>
        <w:rPr>
          <w:rFonts w:ascii="宋体" w:hAnsi="宋体" w:cs="宋体"/>
          <w:bCs/>
          <w:color w:val="auto"/>
          <w:sz w:val="24"/>
          <w:highlight w:val="none"/>
        </w:rPr>
      </w:pPr>
      <w:r>
        <w:rPr>
          <w:color w:val="auto"/>
          <w:sz w:val="24"/>
          <w:highlight w:val="none"/>
        </w:rPr>
        <w:t> </w:t>
      </w:r>
    </w:p>
    <w:p w14:paraId="03068B98">
      <w:pPr>
        <w:shd w:val="clear" w:color="auto" w:fill="FFFFFF"/>
        <w:spacing w:line="330" w:lineRule="atLeast"/>
        <w:ind w:firstLine="482"/>
        <w:jc w:val="center"/>
        <w:rPr>
          <w:rFonts w:ascii="宋体" w:hAnsi="宋体" w:cs="宋体"/>
          <w:bCs/>
          <w:color w:val="auto"/>
          <w:sz w:val="24"/>
          <w:highlight w:val="none"/>
        </w:rPr>
      </w:pPr>
      <w:r>
        <w:rPr>
          <w:rFonts w:hint="eastAsia" w:ascii="宋体" w:hAnsi="宋体" w:cs="宋体"/>
          <w:b/>
          <w:color w:val="auto"/>
          <w:sz w:val="24"/>
          <w:highlight w:val="none"/>
        </w:rPr>
        <w:t>统计上大中小微型企业划分办法</w:t>
      </w:r>
    </w:p>
    <w:p w14:paraId="1E646AE2">
      <w:pPr>
        <w:shd w:val="clear" w:color="auto" w:fill="FFFFFF"/>
        <w:spacing w:line="330" w:lineRule="atLeast"/>
        <w:rPr>
          <w:rFonts w:ascii="宋体" w:hAnsi="宋体" w:cs="宋体"/>
          <w:bCs/>
          <w:color w:val="auto"/>
          <w:sz w:val="24"/>
          <w:highlight w:val="none"/>
        </w:rPr>
      </w:pPr>
      <w:r>
        <w:rPr>
          <w:rFonts w:hint="eastAsia" w:ascii="宋体" w:hAnsi="宋体" w:cs="宋体"/>
          <w:color w:val="auto"/>
          <w:sz w:val="24"/>
          <w:highlight w:val="none"/>
        </w:rPr>
        <w:t> </w:t>
      </w:r>
    </w:p>
    <w:p w14:paraId="3832CE00">
      <w:pPr>
        <w:shd w:val="clear" w:color="auto" w:fill="FFFFFF"/>
        <w:spacing w:line="330" w:lineRule="atLeast"/>
        <w:rPr>
          <w:rFonts w:ascii="宋体" w:hAnsi="宋体" w:cs="宋体"/>
          <w:bCs/>
          <w:color w:val="auto"/>
          <w:sz w:val="24"/>
          <w:highlight w:val="none"/>
        </w:rPr>
      </w:pPr>
      <w:r>
        <w:rPr>
          <w:rFonts w:hint="eastAsia" w:ascii="宋体" w:hAnsi="宋体" w:cs="宋体"/>
          <w:color w:val="auto"/>
          <w:sz w:val="24"/>
          <w:highlight w:val="none"/>
        </w:rPr>
        <w:t>一、根据工业和信息化部、国家统计局、国家发展改革委、财政部《关于印发中小企业划型标准规定的通知》（工信部联企业〔</w:t>
      </w:r>
      <w:r>
        <w:rPr>
          <w:color w:val="auto"/>
          <w:sz w:val="24"/>
          <w:highlight w:val="none"/>
        </w:rPr>
        <w:t>2011</w:t>
      </w:r>
      <w:r>
        <w:rPr>
          <w:rFonts w:hint="eastAsia" w:ascii="宋体" w:hAnsi="宋体" w:cs="宋体"/>
          <w:color w:val="auto"/>
          <w:sz w:val="24"/>
          <w:highlight w:val="none"/>
        </w:rPr>
        <w:t>〕</w:t>
      </w:r>
      <w:r>
        <w:rPr>
          <w:color w:val="auto"/>
          <w:sz w:val="24"/>
          <w:highlight w:val="none"/>
        </w:rPr>
        <w:t>300</w:t>
      </w:r>
      <w:r>
        <w:rPr>
          <w:rFonts w:hint="eastAsia" w:ascii="宋体" w:hAnsi="宋体" w:cs="宋体"/>
          <w:color w:val="auto"/>
          <w:sz w:val="24"/>
          <w:highlight w:val="none"/>
        </w:rPr>
        <w:t>号），结合统计工作的实际情况，特制定本办法。</w:t>
      </w:r>
    </w:p>
    <w:p w14:paraId="03F7B475">
      <w:pPr>
        <w:shd w:val="clear" w:color="auto" w:fill="FFFFFF"/>
        <w:spacing w:line="330" w:lineRule="atLeast"/>
        <w:rPr>
          <w:rFonts w:ascii="宋体" w:hAnsi="宋体" w:cs="宋体"/>
          <w:bCs/>
          <w:color w:val="auto"/>
          <w:sz w:val="24"/>
          <w:highlight w:val="none"/>
        </w:rPr>
      </w:pPr>
      <w:r>
        <w:rPr>
          <w:color w:val="auto"/>
          <w:sz w:val="24"/>
          <w:highlight w:val="none"/>
        </w:rPr>
        <w:t> </w:t>
      </w:r>
    </w:p>
    <w:p w14:paraId="72028693">
      <w:pPr>
        <w:shd w:val="clear" w:color="auto" w:fill="FFFFFF"/>
        <w:spacing w:line="330" w:lineRule="atLeast"/>
        <w:rPr>
          <w:rFonts w:ascii="宋体" w:hAnsi="宋体" w:cs="宋体"/>
          <w:bCs/>
          <w:color w:val="auto"/>
          <w:sz w:val="24"/>
          <w:highlight w:val="none"/>
        </w:rPr>
      </w:pPr>
      <w:r>
        <w:rPr>
          <w:rFonts w:hint="eastAsia" w:ascii="宋体" w:hAnsi="宋体" w:cs="宋体"/>
          <w:color w:val="auto"/>
          <w:sz w:val="24"/>
          <w:highlight w:val="none"/>
        </w:rPr>
        <w:t>二、本办法适用对象为在中华人民共和国境内依法设立的各种组织形式的法人企业或单位。个体工商户参照本办法进行划分。</w:t>
      </w:r>
    </w:p>
    <w:p w14:paraId="79A65F7C">
      <w:pPr>
        <w:shd w:val="clear" w:color="auto" w:fill="FFFFFF"/>
        <w:spacing w:line="330" w:lineRule="atLeast"/>
        <w:rPr>
          <w:rFonts w:ascii="宋体" w:hAnsi="宋体" w:cs="宋体"/>
          <w:bCs/>
          <w:color w:val="auto"/>
          <w:sz w:val="24"/>
          <w:highlight w:val="none"/>
        </w:rPr>
      </w:pPr>
      <w:r>
        <w:rPr>
          <w:color w:val="auto"/>
          <w:sz w:val="24"/>
          <w:highlight w:val="none"/>
        </w:rPr>
        <w:t> </w:t>
      </w:r>
    </w:p>
    <w:p w14:paraId="67D97743">
      <w:pPr>
        <w:shd w:val="clear" w:color="auto" w:fill="FFFFFF"/>
        <w:spacing w:line="330" w:lineRule="atLeast"/>
        <w:rPr>
          <w:rFonts w:ascii="宋体" w:hAnsi="宋体" w:cs="宋体"/>
          <w:bCs/>
          <w:color w:val="auto"/>
          <w:sz w:val="24"/>
          <w:highlight w:val="none"/>
        </w:rPr>
      </w:pPr>
      <w:r>
        <w:rPr>
          <w:rFonts w:hint="eastAsia" w:ascii="宋体" w:hAnsi="宋体" w:cs="宋体"/>
          <w:color w:val="auto"/>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color w:val="auto"/>
          <w:sz w:val="24"/>
          <w:highlight w:val="none"/>
        </w:rPr>
        <w:t>15</w:t>
      </w:r>
      <w:r>
        <w:rPr>
          <w:rFonts w:hint="eastAsia" w:ascii="宋体" w:hAnsi="宋体" w:cs="宋体"/>
          <w:color w:val="auto"/>
          <w:sz w:val="24"/>
          <w:highlight w:val="none"/>
        </w:rPr>
        <w:t>个行业门类以及社会工作行业大类。</w:t>
      </w:r>
    </w:p>
    <w:p w14:paraId="35C3BF3E">
      <w:pPr>
        <w:shd w:val="clear" w:color="auto" w:fill="FFFFFF"/>
        <w:spacing w:line="330" w:lineRule="atLeast"/>
        <w:rPr>
          <w:rFonts w:ascii="宋体" w:hAnsi="宋体" w:cs="宋体"/>
          <w:bCs/>
          <w:color w:val="auto"/>
          <w:sz w:val="24"/>
          <w:highlight w:val="none"/>
        </w:rPr>
      </w:pPr>
      <w:r>
        <w:rPr>
          <w:color w:val="auto"/>
          <w:sz w:val="24"/>
          <w:highlight w:val="none"/>
        </w:rPr>
        <w:t> </w:t>
      </w:r>
    </w:p>
    <w:p w14:paraId="6253D386">
      <w:pPr>
        <w:shd w:val="clear" w:color="auto" w:fill="FFFFFF"/>
        <w:spacing w:line="330" w:lineRule="atLeast"/>
        <w:rPr>
          <w:rFonts w:ascii="宋体" w:hAnsi="宋体" w:cs="宋体"/>
          <w:bCs/>
          <w:color w:val="auto"/>
          <w:sz w:val="24"/>
          <w:highlight w:val="none"/>
        </w:rPr>
      </w:pPr>
      <w:r>
        <w:rPr>
          <w:rFonts w:hint="eastAsia" w:ascii="宋体" w:hAnsi="宋体" w:cs="宋体"/>
          <w:color w:val="auto"/>
          <w:sz w:val="24"/>
          <w:highlight w:val="none"/>
        </w:rPr>
        <w:t>四、本办法按照行业门类、大类、中类和组合类别，依据从业人员、营业收入、资产总额等指标或替代指标，将我国的企业划分为大型、中型、小型、微型等四种类型。具体划分标准见附表。</w:t>
      </w:r>
    </w:p>
    <w:p w14:paraId="3FEC2B24">
      <w:pPr>
        <w:shd w:val="clear" w:color="auto" w:fill="FFFFFF"/>
        <w:spacing w:line="330" w:lineRule="atLeast"/>
        <w:rPr>
          <w:rFonts w:ascii="宋体" w:hAnsi="宋体" w:cs="宋体"/>
          <w:bCs/>
          <w:color w:val="auto"/>
          <w:sz w:val="24"/>
          <w:highlight w:val="none"/>
        </w:rPr>
      </w:pPr>
      <w:r>
        <w:rPr>
          <w:color w:val="auto"/>
          <w:sz w:val="24"/>
          <w:highlight w:val="none"/>
        </w:rPr>
        <w:t> </w:t>
      </w:r>
    </w:p>
    <w:p w14:paraId="18334730">
      <w:pPr>
        <w:shd w:val="clear" w:color="auto" w:fill="FFFFFF"/>
        <w:spacing w:line="330" w:lineRule="atLeast"/>
        <w:rPr>
          <w:rFonts w:ascii="宋体" w:hAnsi="宋体" w:cs="宋体"/>
          <w:bCs/>
          <w:color w:val="auto"/>
          <w:sz w:val="24"/>
          <w:highlight w:val="none"/>
        </w:rPr>
      </w:pPr>
      <w:r>
        <w:rPr>
          <w:rFonts w:hint="eastAsia" w:ascii="宋体" w:hAnsi="宋体" w:cs="宋体"/>
          <w:color w:val="auto"/>
          <w:sz w:val="24"/>
          <w:highlight w:val="none"/>
        </w:rPr>
        <w:t>五、企业划分由政府综合统计部门根据统计年报每年确定一次，定报统计原则上不进行调整。</w:t>
      </w:r>
    </w:p>
    <w:p w14:paraId="7848D14E">
      <w:pPr>
        <w:shd w:val="clear" w:color="auto" w:fill="FFFFFF"/>
        <w:spacing w:line="330" w:lineRule="atLeast"/>
        <w:rPr>
          <w:rFonts w:ascii="宋体" w:hAnsi="宋体" w:cs="宋体"/>
          <w:bCs/>
          <w:color w:val="auto"/>
          <w:sz w:val="24"/>
          <w:highlight w:val="none"/>
        </w:rPr>
      </w:pPr>
      <w:r>
        <w:rPr>
          <w:color w:val="auto"/>
          <w:sz w:val="24"/>
          <w:highlight w:val="none"/>
        </w:rPr>
        <w:t> </w:t>
      </w:r>
    </w:p>
    <w:p w14:paraId="72864929">
      <w:pPr>
        <w:shd w:val="clear" w:color="auto" w:fill="FFFFFF"/>
        <w:spacing w:line="330" w:lineRule="atLeast"/>
        <w:rPr>
          <w:rFonts w:ascii="宋体" w:hAnsi="宋体" w:cs="宋体"/>
          <w:bCs/>
          <w:color w:val="auto"/>
          <w:sz w:val="24"/>
          <w:highlight w:val="none"/>
        </w:rPr>
      </w:pPr>
      <w:r>
        <w:rPr>
          <w:rFonts w:hint="eastAsia" w:ascii="宋体" w:hAnsi="宋体" w:cs="宋体"/>
          <w:color w:val="auto"/>
          <w:sz w:val="24"/>
          <w:highlight w:val="none"/>
        </w:rPr>
        <w:t>六、本办法自印发之日起执行，国家统计局</w:t>
      </w:r>
      <w:r>
        <w:rPr>
          <w:color w:val="auto"/>
          <w:sz w:val="24"/>
          <w:highlight w:val="none"/>
        </w:rPr>
        <w:t>2003</w:t>
      </w:r>
      <w:r>
        <w:rPr>
          <w:rFonts w:hint="eastAsia" w:ascii="宋体" w:hAnsi="宋体" w:cs="宋体"/>
          <w:color w:val="auto"/>
          <w:sz w:val="24"/>
          <w:highlight w:val="none"/>
        </w:rPr>
        <w:t>年印发的《统计上大中小型企业划分办法（暂行）》（国统字〔</w:t>
      </w:r>
      <w:r>
        <w:rPr>
          <w:color w:val="auto"/>
          <w:sz w:val="24"/>
          <w:highlight w:val="none"/>
        </w:rPr>
        <w:t>2003</w:t>
      </w:r>
      <w:r>
        <w:rPr>
          <w:rFonts w:hint="eastAsia" w:ascii="宋体" w:hAnsi="宋体" w:cs="宋体"/>
          <w:color w:val="auto"/>
          <w:sz w:val="24"/>
          <w:highlight w:val="none"/>
        </w:rPr>
        <w:t>〕</w:t>
      </w:r>
      <w:r>
        <w:rPr>
          <w:color w:val="auto"/>
          <w:sz w:val="24"/>
          <w:highlight w:val="none"/>
        </w:rPr>
        <w:t>17</w:t>
      </w:r>
      <w:r>
        <w:rPr>
          <w:rFonts w:hint="eastAsia" w:ascii="宋体" w:hAnsi="宋体" w:cs="宋体"/>
          <w:color w:val="auto"/>
          <w:sz w:val="24"/>
          <w:highlight w:val="none"/>
        </w:rPr>
        <w:t>号）同时废止。</w:t>
      </w:r>
    </w:p>
    <w:p w14:paraId="3CB973B8">
      <w:pPr>
        <w:shd w:val="clear" w:color="auto" w:fill="FFFFFF"/>
        <w:spacing w:line="330" w:lineRule="atLeast"/>
        <w:ind w:firstLine="482"/>
        <w:rPr>
          <w:rFonts w:ascii="宋体" w:hAnsi="宋体" w:cs="宋体"/>
          <w:bCs/>
          <w:color w:val="auto"/>
          <w:sz w:val="24"/>
          <w:highlight w:val="none"/>
        </w:rPr>
      </w:pPr>
      <w:r>
        <w:rPr>
          <w:b/>
          <w:color w:val="auto"/>
          <w:sz w:val="24"/>
          <w:highlight w:val="none"/>
        </w:rPr>
        <w:t> </w:t>
      </w:r>
    </w:p>
    <w:p w14:paraId="2368E3ED">
      <w:pPr>
        <w:shd w:val="clear" w:color="auto" w:fill="FFFFFF"/>
        <w:spacing w:line="330" w:lineRule="atLeast"/>
        <w:rPr>
          <w:rFonts w:ascii="宋体" w:hAnsi="宋体" w:cs="宋体"/>
          <w:bCs/>
          <w:color w:val="auto"/>
          <w:sz w:val="24"/>
          <w:highlight w:val="none"/>
        </w:rPr>
      </w:pPr>
      <w:r>
        <w:rPr>
          <w:rFonts w:hint="eastAsia" w:ascii="宋体" w:hAnsi="宋体" w:cs="宋体"/>
          <w:color w:val="auto"/>
          <w:sz w:val="24"/>
          <w:highlight w:val="none"/>
        </w:rPr>
        <w:t>　　附表：</w:t>
      </w:r>
    </w:p>
    <w:p w14:paraId="19D8E2E3">
      <w:pPr>
        <w:shd w:val="clear" w:color="auto" w:fill="FFFFFF"/>
        <w:spacing w:line="330" w:lineRule="atLeast"/>
        <w:rPr>
          <w:rFonts w:ascii="宋体" w:hAnsi="宋体" w:cs="宋体"/>
          <w:bCs/>
          <w:color w:val="auto"/>
          <w:sz w:val="24"/>
          <w:highlight w:val="none"/>
        </w:rPr>
      </w:pPr>
      <w:r>
        <w:rPr>
          <w:color w:val="auto"/>
          <w:sz w:val="24"/>
          <w:highlight w:val="none"/>
        </w:rPr>
        <w:t> </w:t>
      </w:r>
    </w:p>
    <w:p w14:paraId="66D029AF">
      <w:pPr>
        <w:shd w:val="clear" w:color="auto" w:fill="FFFFFF"/>
        <w:spacing w:line="330" w:lineRule="atLeast"/>
        <w:ind w:firstLine="482"/>
        <w:jc w:val="center"/>
        <w:rPr>
          <w:rFonts w:ascii="宋体" w:hAnsi="宋体" w:cs="宋体"/>
          <w:bCs/>
          <w:color w:val="auto"/>
          <w:sz w:val="24"/>
          <w:highlight w:val="none"/>
        </w:rPr>
      </w:pPr>
      <w:r>
        <w:rPr>
          <w:rFonts w:hint="eastAsia" w:ascii="宋体" w:hAnsi="宋体" w:cs="宋体"/>
          <w:b/>
          <w:color w:val="auto"/>
          <w:sz w:val="24"/>
          <w:highlight w:val="none"/>
        </w:rPr>
        <w:t>统计上大中小微型企业划分标准</w:t>
      </w:r>
    </w:p>
    <w:p w14:paraId="652F99D6">
      <w:pPr>
        <w:shd w:val="clear" w:color="auto" w:fill="FFFFFF"/>
        <w:spacing w:line="330" w:lineRule="atLeast"/>
        <w:rPr>
          <w:rFonts w:ascii="宋体" w:hAnsi="宋体" w:cs="宋体"/>
          <w:bCs/>
          <w:color w:val="auto"/>
          <w:sz w:val="24"/>
          <w:highlight w:val="none"/>
        </w:rPr>
      </w:pPr>
      <w:r>
        <w:rPr>
          <w:color w:val="auto"/>
          <w:sz w:val="24"/>
          <w:highlight w:val="none"/>
        </w:rPr>
        <w:t> </w:t>
      </w:r>
    </w:p>
    <w:tbl>
      <w:tblPr>
        <w:tblStyle w:val="52"/>
        <w:tblW w:w="0" w:type="auto"/>
        <w:jc w:val="center"/>
        <w:tblLayout w:type="autofit"/>
        <w:tblCellMar>
          <w:top w:w="0" w:type="dxa"/>
          <w:left w:w="0" w:type="dxa"/>
          <w:bottom w:w="0" w:type="dxa"/>
          <w:right w:w="0" w:type="dxa"/>
        </w:tblCellMar>
      </w:tblPr>
      <w:tblGrid>
        <w:gridCol w:w="1560"/>
        <w:gridCol w:w="1281"/>
        <w:gridCol w:w="758"/>
        <w:gridCol w:w="993"/>
        <w:gridCol w:w="1491"/>
        <w:gridCol w:w="1315"/>
        <w:gridCol w:w="908"/>
      </w:tblGrid>
      <w:tr w14:paraId="65892CC2">
        <w:trPr>
          <w:trHeight w:val="454" w:hRule="atLeast"/>
          <w:jc w:val="center"/>
        </w:trPr>
        <w:tc>
          <w:tcPr>
            <w:tcW w:w="15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19C627B">
            <w:pPr>
              <w:spacing w:line="240" w:lineRule="atLeast"/>
              <w:jc w:val="center"/>
              <w:rPr>
                <w:rFonts w:ascii="宋体" w:hAnsi="宋体" w:cs="宋体"/>
                <w:bCs/>
                <w:color w:val="auto"/>
                <w:sz w:val="24"/>
                <w:highlight w:val="none"/>
              </w:rPr>
            </w:pPr>
            <w:r>
              <w:rPr>
                <w:rFonts w:hint="eastAsia" w:ascii="宋体" w:hAnsi="宋体" w:cs="宋体"/>
                <w:b/>
                <w:color w:val="auto"/>
                <w:sz w:val="18"/>
                <w:szCs w:val="18"/>
                <w:highlight w:val="none"/>
              </w:rPr>
              <w:t>行业名称</w:t>
            </w:r>
          </w:p>
        </w:tc>
        <w:tc>
          <w:tcPr>
            <w:tcW w:w="12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5BC73C5">
            <w:pPr>
              <w:jc w:val="center"/>
              <w:rPr>
                <w:rFonts w:ascii="宋体" w:hAnsi="宋体" w:cs="宋体"/>
                <w:bCs/>
                <w:color w:val="auto"/>
                <w:sz w:val="24"/>
                <w:highlight w:val="none"/>
              </w:rPr>
            </w:pPr>
            <w:r>
              <w:rPr>
                <w:rFonts w:hint="eastAsia" w:ascii="宋体" w:hAnsi="宋体" w:cs="宋体"/>
                <w:b/>
                <w:color w:val="auto"/>
                <w:sz w:val="18"/>
                <w:szCs w:val="18"/>
                <w:highlight w:val="none"/>
              </w:rPr>
              <w:t>指标名称</w:t>
            </w:r>
          </w:p>
        </w:tc>
        <w:tc>
          <w:tcPr>
            <w:tcW w:w="75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480B739">
            <w:pPr>
              <w:jc w:val="center"/>
              <w:rPr>
                <w:rFonts w:ascii="宋体" w:hAnsi="宋体" w:cs="宋体"/>
                <w:bCs/>
                <w:color w:val="auto"/>
                <w:sz w:val="24"/>
                <w:highlight w:val="none"/>
              </w:rPr>
            </w:pPr>
            <w:r>
              <w:rPr>
                <w:rFonts w:hint="eastAsia" w:ascii="宋体" w:hAnsi="宋体" w:cs="宋体"/>
                <w:b/>
                <w:color w:val="auto"/>
                <w:sz w:val="18"/>
                <w:szCs w:val="18"/>
                <w:highlight w:val="none"/>
              </w:rPr>
              <w:t>计量</w:t>
            </w:r>
            <w:r>
              <w:rPr>
                <w:rFonts w:hint="eastAsia" w:ascii="宋体" w:hAnsi="宋体" w:cs="宋体"/>
                <w:b/>
                <w:color w:val="auto"/>
                <w:sz w:val="18"/>
                <w:szCs w:val="18"/>
                <w:highlight w:val="none"/>
              </w:rPr>
              <w:br w:type="textWrapping"/>
            </w:r>
            <w:r>
              <w:rPr>
                <w:rFonts w:hint="eastAsia" w:ascii="宋体" w:hAnsi="宋体" w:cs="宋体"/>
                <w:b/>
                <w:color w:val="auto"/>
                <w:sz w:val="18"/>
                <w:szCs w:val="18"/>
                <w:highlight w:val="none"/>
              </w:rPr>
              <w:t>单位</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5A600F7">
            <w:pPr>
              <w:jc w:val="center"/>
              <w:rPr>
                <w:rFonts w:ascii="宋体" w:hAnsi="宋体" w:cs="宋体"/>
                <w:bCs/>
                <w:color w:val="auto"/>
                <w:sz w:val="24"/>
                <w:highlight w:val="none"/>
              </w:rPr>
            </w:pPr>
            <w:r>
              <w:rPr>
                <w:rFonts w:hint="eastAsia" w:ascii="宋体" w:hAnsi="宋体" w:cs="宋体"/>
                <w:b/>
                <w:color w:val="auto"/>
                <w:sz w:val="18"/>
                <w:szCs w:val="18"/>
                <w:highlight w:val="none"/>
              </w:rPr>
              <w:t>大型</w:t>
            </w:r>
          </w:p>
        </w:tc>
        <w:tc>
          <w:tcPr>
            <w:tcW w:w="149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A2EF726">
            <w:pPr>
              <w:jc w:val="center"/>
              <w:rPr>
                <w:rFonts w:ascii="宋体" w:hAnsi="宋体" w:cs="宋体"/>
                <w:bCs/>
                <w:color w:val="auto"/>
                <w:sz w:val="24"/>
                <w:highlight w:val="none"/>
              </w:rPr>
            </w:pPr>
            <w:r>
              <w:rPr>
                <w:rFonts w:hint="eastAsia" w:ascii="宋体" w:hAnsi="宋体" w:cs="宋体"/>
                <w:b/>
                <w:color w:val="auto"/>
                <w:sz w:val="18"/>
                <w:szCs w:val="18"/>
                <w:highlight w:val="none"/>
              </w:rPr>
              <w:t>中型</w:t>
            </w:r>
          </w:p>
        </w:tc>
        <w:tc>
          <w:tcPr>
            <w:tcW w:w="13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C05BAA9">
            <w:pPr>
              <w:jc w:val="center"/>
              <w:rPr>
                <w:rFonts w:ascii="宋体" w:hAnsi="宋体" w:cs="宋体"/>
                <w:bCs/>
                <w:color w:val="auto"/>
                <w:sz w:val="24"/>
                <w:highlight w:val="none"/>
              </w:rPr>
            </w:pPr>
            <w:r>
              <w:rPr>
                <w:rFonts w:hint="eastAsia" w:ascii="宋体" w:hAnsi="宋体" w:cs="宋体"/>
                <w:b/>
                <w:color w:val="auto"/>
                <w:sz w:val="18"/>
                <w:szCs w:val="18"/>
                <w:highlight w:val="none"/>
              </w:rPr>
              <w:t>小型</w:t>
            </w:r>
          </w:p>
        </w:tc>
        <w:tc>
          <w:tcPr>
            <w:tcW w:w="908" w:type="dxa"/>
            <w:tcBorders>
              <w:top w:val="single" w:color="auto" w:sz="8" w:space="0"/>
              <w:left w:val="nil"/>
              <w:bottom w:val="single" w:color="auto" w:sz="8" w:space="0"/>
              <w:right w:val="nil"/>
            </w:tcBorders>
            <w:tcMar>
              <w:top w:w="0" w:type="dxa"/>
              <w:left w:w="108" w:type="dxa"/>
              <w:bottom w:w="0" w:type="dxa"/>
              <w:right w:w="108" w:type="dxa"/>
            </w:tcMar>
            <w:vAlign w:val="center"/>
          </w:tcPr>
          <w:p w14:paraId="3069F56D">
            <w:pPr>
              <w:jc w:val="center"/>
              <w:rPr>
                <w:rFonts w:ascii="宋体" w:hAnsi="宋体" w:cs="宋体"/>
                <w:bCs/>
                <w:color w:val="auto"/>
                <w:sz w:val="24"/>
                <w:highlight w:val="none"/>
              </w:rPr>
            </w:pPr>
            <w:r>
              <w:rPr>
                <w:rFonts w:hint="eastAsia" w:ascii="宋体" w:hAnsi="宋体" w:cs="宋体"/>
                <w:b/>
                <w:color w:val="auto"/>
                <w:sz w:val="18"/>
                <w:szCs w:val="18"/>
                <w:highlight w:val="none"/>
              </w:rPr>
              <w:t>微型</w:t>
            </w:r>
          </w:p>
        </w:tc>
      </w:tr>
      <w:tr w14:paraId="646B940A">
        <w:tblPrEx>
          <w:tblCellMar>
            <w:top w:w="0" w:type="dxa"/>
            <w:left w:w="0" w:type="dxa"/>
            <w:bottom w:w="0" w:type="dxa"/>
            <w:right w:w="0" w:type="dxa"/>
          </w:tblCellMar>
        </w:tblPrEx>
        <w:trPr>
          <w:trHeight w:val="397" w:hRule="atLeast"/>
          <w:jc w:val="center"/>
        </w:trPr>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7A9E134">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农、林、牧、渔业</w:t>
            </w: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14:paraId="483974EB">
            <w:pPr>
              <w:rPr>
                <w:rFonts w:ascii="宋体" w:hAnsi="宋体" w:cs="宋体"/>
                <w:bCs/>
                <w:color w:val="auto"/>
                <w:sz w:val="24"/>
                <w:highlight w:val="none"/>
              </w:rPr>
            </w:pPr>
            <w:r>
              <w:rPr>
                <w:rFonts w:hint="eastAsia" w:ascii="宋体" w:hAnsi="宋体" w:cs="宋体"/>
                <w:color w:val="auto"/>
                <w:sz w:val="18"/>
                <w:szCs w:val="18"/>
                <w:highlight w:val="none"/>
              </w:rPr>
              <w:t>营业收入(Y)</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14:paraId="7D80BD80">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14:paraId="001B5089">
            <w:pPr>
              <w:rPr>
                <w:rFonts w:ascii="宋体" w:hAnsi="宋体" w:cs="宋体"/>
                <w:bCs/>
                <w:color w:val="auto"/>
                <w:sz w:val="24"/>
                <w:highlight w:val="none"/>
              </w:rPr>
            </w:pPr>
            <w:r>
              <w:rPr>
                <w:rFonts w:hint="eastAsia" w:ascii="宋体" w:hAnsi="宋体" w:cs="宋体"/>
                <w:color w:val="auto"/>
                <w:sz w:val="18"/>
                <w:szCs w:val="18"/>
                <w:highlight w:val="none"/>
              </w:rPr>
              <w:t>Y≥20000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14:paraId="05855C04">
            <w:pPr>
              <w:rPr>
                <w:rFonts w:ascii="宋体" w:hAnsi="宋体" w:cs="宋体"/>
                <w:bCs/>
                <w:color w:val="auto"/>
                <w:sz w:val="24"/>
                <w:highlight w:val="none"/>
              </w:rPr>
            </w:pPr>
            <w:r>
              <w:rPr>
                <w:rFonts w:hint="eastAsia" w:ascii="宋体" w:hAnsi="宋体" w:cs="宋体"/>
                <w:color w:val="auto"/>
                <w:sz w:val="18"/>
                <w:szCs w:val="18"/>
                <w:highlight w:val="none"/>
              </w:rPr>
              <w:t>500≤Y＜20000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14:paraId="649B9183">
            <w:pPr>
              <w:rPr>
                <w:rFonts w:ascii="宋体" w:hAnsi="宋体" w:cs="宋体"/>
                <w:bCs/>
                <w:color w:val="auto"/>
                <w:sz w:val="24"/>
                <w:highlight w:val="none"/>
              </w:rPr>
            </w:pPr>
            <w:r>
              <w:rPr>
                <w:rFonts w:hint="eastAsia" w:ascii="宋体" w:hAnsi="宋体" w:cs="宋体"/>
                <w:color w:val="auto"/>
                <w:sz w:val="18"/>
                <w:szCs w:val="18"/>
                <w:highlight w:val="none"/>
              </w:rPr>
              <w:t>50≤Y＜500</w:t>
            </w:r>
          </w:p>
        </w:tc>
        <w:tc>
          <w:tcPr>
            <w:tcW w:w="908" w:type="dxa"/>
            <w:tcBorders>
              <w:top w:val="nil"/>
              <w:left w:val="nil"/>
              <w:bottom w:val="single" w:color="auto" w:sz="8" w:space="0"/>
              <w:right w:val="nil"/>
            </w:tcBorders>
            <w:tcMar>
              <w:top w:w="0" w:type="dxa"/>
              <w:left w:w="108" w:type="dxa"/>
              <w:bottom w:w="0" w:type="dxa"/>
              <w:right w:w="108" w:type="dxa"/>
            </w:tcMar>
            <w:vAlign w:val="center"/>
          </w:tcPr>
          <w:p w14:paraId="3CA64EB5">
            <w:pPr>
              <w:rPr>
                <w:rFonts w:ascii="宋体" w:hAnsi="宋体" w:cs="宋体"/>
                <w:bCs/>
                <w:color w:val="auto"/>
                <w:sz w:val="24"/>
                <w:highlight w:val="none"/>
              </w:rPr>
            </w:pPr>
            <w:r>
              <w:rPr>
                <w:rFonts w:hint="eastAsia" w:ascii="宋体" w:hAnsi="宋体" w:cs="宋体"/>
                <w:color w:val="auto"/>
                <w:sz w:val="18"/>
                <w:szCs w:val="18"/>
                <w:highlight w:val="none"/>
              </w:rPr>
              <w:t>Y＜50</w:t>
            </w:r>
          </w:p>
        </w:tc>
      </w:tr>
      <w:tr w14:paraId="20829FC2">
        <w:tblPrEx>
          <w:tblCellMar>
            <w:top w:w="0" w:type="dxa"/>
            <w:left w:w="0" w:type="dxa"/>
            <w:bottom w:w="0" w:type="dxa"/>
            <w:right w:w="0" w:type="dxa"/>
          </w:tblCellMar>
        </w:tblPrEx>
        <w:trPr>
          <w:trHeight w:val="397" w:hRule="atLeast"/>
          <w:jc w:val="center"/>
        </w:trPr>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0E2A0D87">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工业 *</w:t>
            </w:r>
          </w:p>
        </w:tc>
        <w:tc>
          <w:tcPr>
            <w:tcW w:w="1281" w:type="dxa"/>
            <w:tcBorders>
              <w:top w:val="nil"/>
              <w:left w:val="nil"/>
              <w:bottom w:val="nil"/>
              <w:right w:val="single" w:color="auto" w:sz="8" w:space="0"/>
            </w:tcBorders>
            <w:tcMar>
              <w:top w:w="0" w:type="dxa"/>
              <w:left w:w="108" w:type="dxa"/>
              <w:bottom w:w="0" w:type="dxa"/>
              <w:right w:w="108" w:type="dxa"/>
            </w:tcMar>
            <w:vAlign w:val="center"/>
          </w:tcPr>
          <w:p w14:paraId="172A5FE0">
            <w:pPr>
              <w:rPr>
                <w:rFonts w:ascii="宋体" w:hAnsi="宋体" w:cs="宋体"/>
                <w:bCs/>
                <w:color w:val="auto"/>
                <w:sz w:val="24"/>
                <w:highlight w:val="none"/>
              </w:rPr>
            </w:pPr>
            <w:r>
              <w:rPr>
                <w:rFonts w:hint="eastAsia" w:ascii="宋体" w:hAnsi="宋体" w:cs="宋体"/>
                <w:color w:val="auto"/>
                <w:sz w:val="18"/>
                <w:szCs w:val="18"/>
                <w:highlight w:val="none"/>
              </w:rPr>
              <w:t>从业人员(X)</w:t>
            </w:r>
          </w:p>
        </w:tc>
        <w:tc>
          <w:tcPr>
            <w:tcW w:w="758" w:type="dxa"/>
            <w:tcBorders>
              <w:top w:val="nil"/>
              <w:left w:val="nil"/>
              <w:bottom w:val="nil"/>
              <w:right w:val="single" w:color="auto" w:sz="8" w:space="0"/>
            </w:tcBorders>
            <w:tcMar>
              <w:top w:w="0" w:type="dxa"/>
              <w:left w:w="108" w:type="dxa"/>
              <w:bottom w:w="0" w:type="dxa"/>
              <w:right w:w="108" w:type="dxa"/>
            </w:tcMar>
            <w:vAlign w:val="center"/>
          </w:tcPr>
          <w:p w14:paraId="205028EC">
            <w:pPr>
              <w:rPr>
                <w:rFonts w:ascii="宋体" w:hAnsi="宋体" w:cs="宋体"/>
                <w:bCs/>
                <w:color w:val="auto"/>
                <w:sz w:val="24"/>
                <w:highlight w:val="none"/>
              </w:rPr>
            </w:pPr>
            <w:r>
              <w:rPr>
                <w:rFonts w:hint="eastAsia" w:ascii="宋体" w:hAnsi="宋体" w:cs="宋体"/>
                <w:color w:val="auto"/>
                <w:sz w:val="18"/>
                <w:szCs w:val="18"/>
                <w:highlight w:val="none"/>
              </w:rPr>
              <w:t>人</w:t>
            </w:r>
          </w:p>
        </w:tc>
        <w:tc>
          <w:tcPr>
            <w:tcW w:w="993" w:type="dxa"/>
            <w:tcBorders>
              <w:top w:val="nil"/>
              <w:left w:val="nil"/>
              <w:bottom w:val="nil"/>
              <w:right w:val="single" w:color="auto" w:sz="8" w:space="0"/>
            </w:tcBorders>
            <w:tcMar>
              <w:top w:w="0" w:type="dxa"/>
              <w:left w:w="108" w:type="dxa"/>
              <w:bottom w:w="0" w:type="dxa"/>
              <w:right w:w="108" w:type="dxa"/>
            </w:tcMar>
            <w:vAlign w:val="center"/>
          </w:tcPr>
          <w:p w14:paraId="7FABD908">
            <w:pPr>
              <w:rPr>
                <w:rFonts w:ascii="宋体" w:hAnsi="宋体" w:cs="宋体"/>
                <w:bCs/>
                <w:color w:val="auto"/>
                <w:sz w:val="24"/>
                <w:highlight w:val="none"/>
              </w:rPr>
            </w:pPr>
            <w:r>
              <w:rPr>
                <w:rFonts w:hint="eastAsia" w:ascii="宋体" w:hAnsi="宋体" w:cs="宋体"/>
                <w:color w:val="auto"/>
                <w:sz w:val="18"/>
                <w:szCs w:val="18"/>
                <w:highlight w:val="none"/>
              </w:rPr>
              <w:t>X≥1000</w:t>
            </w:r>
          </w:p>
        </w:tc>
        <w:tc>
          <w:tcPr>
            <w:tcW w:w="1491" w:type="dxa"/>
            <w:tcBorders>
              <w:top w:val="nil"/>
              <w:left w:val="nil"/>
              <w:bottom w:val="nil"/>
              <w:right w:val="single" w:color="auto" w:sz="8" w:space="0"/>
            </w:tcBorders>
            <w:tcMar>
              <w:top w:w="0" w:type="dxa"/>
              <w:left w:w="108" w:type="dxa"/>
              <w:bottom w:w="0" w:type="dxa"/>
              <w:right w:w="108" w:type="dxa"/>
            </w:tcMar>
            <w:vAlign w:val="center"/>
          </w:tcPr>
          <w:p w14:paraId="38156DAC">
            <w:pPr>
              <w:rPr>
                <w:rFonts w:ascii="宋体" w:hAnsi="宋体" w:cs="宋体"/>
                <w:bCs/>
                <w:color w:val="auto"/>
                <w:sz w:val="24"/>
                <w:highlight w:val="none"/>
              </w:rPr>
            </w:pPr>
            <w:r>
              <w:rPr>
                <w:rFonts w:hint="eastAsia" w:ascii="宋体" w:hAnsi="宋体" w:cs="宋体"/>
                <w:color w:val="auto"/>
                <w:sz w:val="18"/>
                <w:szCs w:val="18"/>
                <w:highlight w:val="none"/>
              </w:rPr>
              <w:t>300≤X＜1000</w:t>
            </w:r>
          </w:p>
        </w:tc>
        <w:tc>
          <w:tcPr>
            <w:tcW w:w="1315" w:type="dxa"/>
            <w:tcBorders>
              <w:top w:val="nil"/>
              <w:left w:val="nil"/>
              <w:bottom w:val="nil"/>
              <w:right w:val="single" w:color="auto" w:sz="8" w:space="0"/>
            </w:tcBorders>
            <w:tcMar>
              <w:top w:w="0" w:type="dxa"/>
              <w:left w:w="108" w:type="dxa"/>
              <w:bottom w:w="0" w:type="dxa"/>
              <w:right w:w="108" w:type="dxa"/>
            </w:tcMar>
            <w:vAlign w:val="center"/>
          </w:tcPr>
          <w:p w14:paraId="0382C14B">
            <w:pPr>
              <w:rPr>
                <w:rFonts w:ascii="宋体" w:hAnsi="宋体" w:cs="宋体"/>
                <w:bCs/>
                <w:color w:val="auto"/>
                <w:sz w:val="24"/>
                <w:highlight w:val="none"/>
              </w:rPr>
            </w:pPr>
            <w:r>
              <w:rPr>
                <w:rFonts w:hint="eastAsia" w:ascii="宋体" w:hAnsi="宋体" w:cs="宋体"/>
                <w:color w:val="auto"/>
                <w:sz w:val="18"/>
                <w:szCs w:val="18"/>
                <w:highlight w:val="none"/>
              </w:rPr>
              <w:t>20≤X＜300</w:t>
            </w:r>
          </w:p>
        </w:tc>
        <w:tc>
          <w:tcPr>
            <w:tcW w:w="908" w:type="dxa"/>
            <w:tcMar>
              <w:top w:w="0" w:type="dxa"/>
              <w:left w:w="108" w:type="dxa"/>
              <w:bottom w:w="0" w:type="dxa"/>
              <w:right w:w="108" w:type="dxa"/>
            </w:tcMar>
            <w:vAlign w:val="center"/>
          </w:tcPr>
          <w:p w14:paraId="73117452">
            <w:pPr>
              <w:rPr>
                <w:rFonts w:ascii="宋体" w:hAnsi="宋体" w:cs="宋体"/>
                <w:bCs/>
                <w:color w:val="auto"/>
                <w:sz w:val="24"/>
                <w:highlight w:val="none"/>
              </w:rPr>
            </w:pPr>
            <w:r>
              <w:rPr>
                <w:rFonts w:hint="eastAsia" w:ascii="宋体" w:hAnsi="宋体" w:cs="宋体"/>
                <w:color w:val="auto"/>
                <w:sz w:val="18"/>
                <w:szCs w:val="18"/>
                <w:highlight w:val="none"/>
              </w:rPr>
              <w:t>X＜20</w:t>
            </w:r>
          </w:p>
        </w:tc>
      </w:tr>
      <w:tr w14:paraId="503857DA">
        <w:tblPrEx>
          <w:tblCellMar>
            <w:top w:w="0" w:type="dxa"/>
            <w:left w:w="0" w:type="dxa"/>
            <w:bottom w:w="0" w:type="dxa"/>
            <w:right w:w="0" w:type="dxa"/>
          </w:tblCellMar>
        </w:tblPrEx>
        <w:trPr>
          <w:trHeight w:val="397" w:hRule="atLeast"/>
          <w:jc w:val="center"/>
        </w:trPr>
        <w:tc>
          <w:tcPr>
            <w:tcW w:w="0" w:type="auto"/>
            <w:vMerge w:val="continue"/>
            <w:tcBorders>
              <w:top w:val="nil"/>
              <w:left w:val="nil"/>
              <w:bottom w:val="single" w:color="auto" w:sz="8" w:space="0"/>
              <w:right w:val="single" w:color="auto" w:sz="8" w:space="0"/>
            </w:tcBorders>
            <w:vAlign w:val="center"/>
          </w:tcPr>
          <w:p w14:paraId="0B7973A1">
            <w:pPr>
              <w:widowControl/>
              <w:rPr>
                <w:rFonts w:ascii="宋体" w:hAnsi="宋体" w:cs="宋体"/>
                <w:bCs/>
                <w:color w:val="auto"/>
                <w:sz w:val="24"/>
                <w:highlight w:val="none"/>
              </w:rPr>
            </w:pP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14:paraId="2AC2445C">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营业收入(Y)</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14:paraId="6E4EC865">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14:paraId="79C9A9F9">
            <w:pPr>
              <w:rPr>
                <w:rFonts w:ascii="宋体" w:hAnsi="宋体" w:cs="宋体"/>
                <w:bCs/>
                <w:color w:val="auto"/>
                <w:sz w:val="24"/>
                <w:highlight w:val="none"/>
              </w:rPr>
            </w:pPr>
            <w:r>
              <w:rPr>
                <w:rFonts w:hint="eastAsia" w:ascii="宋体" w:hAnsi="宋体" w:cs="宋体"/>
                <w:color w:val="auto"/>
                <w:sz w:val="18"/>
                <w:szCs w:val="18"/>
                <w:highlight w:val="none"/>
              </w:rPr>
              <w:t>Y≥40000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14:paraId="542E9240">
            <w:pPr>
              <w:rPr>
                <w:rFonts w:ascii="宋体" w:hAnsi="宋体" w:cs="宋体"/>
                <w:bCs/>
                <w:color w:val="auto"/>
                <w:sz w:val="24"/>
                <w:highlight w:val="none"/>
              </w:rPr>
            </w:pPr>
            <w:r>
              <w:rPr>
                <w:rFonts w:hint="eastAsia" w:ascii="宋体" w:hAnsi="宋体" w:cs="宋体"/>
                <w:color w:val="auto"/>
                <w:sz w:val="18"/>
                <w:szCs w:val="18"/>
                <w:highlight w:val="none"/>
              </w:rPr>
              <w:t>2000≤Y＜40000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14:paraId="4D2AD0CB">
            <w:pPr>
              <w:rPr>
                <w:rFonts w:ascii="宋体" w:hAnsi="宋体" w:cs="宋体"/>
                <w:bCs/>
                <w:color w:val="auto"/>
                <w:sz w:val="24"/>
                <w:highlight w:val="none"/>
              </w:rPr>
            </w:pPr>
            <w:r>
              <w:rPr>
                <w:rFonts w:hint="eastAsia" w:ascii="宋体" w:hAnsi="宋体" w:cs="宋体"/>
                <w:color w:val="auto"/>
                <w:sz w:val="18"/>
                <w:szCs w:val="18"/>
                <w:highlight w:val="none"/>
              </w:rPr>
              <w:t>300≤Y＜2000</w:t>
            </w:r>
          </w:p>
        </w:tc>
        <w:tc>
          <w:tcPr>
            <w:tcW w:w="908" w:type="dxa"/>
            <w:tcBorders>
              <w:top w:val="nil"/>
              <w:left w:val="nil"/>
              <w:bottom w:val="single" w:color="auto" w:sz="8" w:space="0"/>
              <w:right w:val="nil"/>
            </w:tcBorders>
            <w:tcMar>
              <w:top w:w="0" w:type="dxa"/>
              <w:left w:w="108" w:type="dxa"/>
              <w:bottom w:w="0" w:type="dxa"/>
              <w:right w:w="108" w:type="dxa"/>
            </w:tcMar>
            <w:vAlign w:val="center"/>
          </w:tcPr>
          <w:p w14:paraId="19F126F8">
            <w:pPr>
              <w:rPr>
                <w:rFonts w:ascii="宋体" w:hAnsi="宋体" w:cs="宋体"/>
                <w:bCs/>
                <w:color w:val="auto"/>
                <w:sz w:val="24"/>
                <w:highlight w:val="none"/>
              </w:rPr>
            </w:pPr>
            <w:r>
              <w:rPr>
                <w:rFonts w:hint="eastAsia" w:ascii="宋体" w:hAnsi="宋体" w:cs="宋体"/>
                <w:color w:val="auto"/>
                <w:sz w:val="18"/>
                <w:szCs w:val="18"/>
                <w:highlight w:val="none"/>
              </w:rPr>
              <w:t>Y＜300</w:t>
            </w:r>
          </w:p>
        </w:tc>
      </w:tr>
      <w:tr w14:paraId="1018BE43">
        <w:tblPrEx>
          <w:tblCellMar>
            <w:top w:w="0" w:type="dxa"/>
            <w:left w:w="0" w:type="dxa"/>
            <w:bottom w:w="0" w:type="dxa"/>
            <w:right w:w="0" w:type="dxa"/>
          </w:tblCellMar>
        </w:tblPrEx>
        <w:trPr>
          <w:trHeight w:val="397" w:hRule="atLeast"/>
          <w:jc w:val="center"/>
        </w:trPr>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74D5C047">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建筑业</w:t>
            </w:r>
          </w:p>
        </w:tc>
        <w:tc>
          <w:tcPr>
            <w:tcW w:w="1281" w:type="dxa"/>
            <w:tcBorders>
              <w:top w:val="nil"/>
              <w:left w:val="nil"/>
              <w:bottom w:val="nil"/>
              <w:right w:val="single" w:color="auto" w:sz="8" w:space="0"/>
            </w:tcBorders>
            <w:tcMar>
              <w:top w:w="0" w:type="dxa"/>
              <w:left w:w="108" w:type="dxa"/>
              <w:bottom w:w="0" w:type="dxa"/>
              <w:right w:w="108" w:type="dxa"/>
            </w:tcMar>
            <w:vAlign w:val="center"/>
          </w:tcPr>
          <w:p w14:paraId="3658E62E">
            <w:pPr>
              <w:rPr>
                <w:rFonts w:ascii="宋体" w:hAnsi="宋体" w:cs="宋体"/>
                <w:bCs/>
                <w:color w:val="auto"/>
                <w:sz w:val="24"/>
                <w:highlight w:val="none"/>
              </w:rPr>
            </w:pPr>
            <w:r>
              <w:rPr>
                <w:rFonts w:hint="eastAsia" w:ascii="宋体" w:hAnsi="宋体" w:cs="宋体"/>
                <w:color w:val="auto"/>
                <w:sz w:val="18"/>
                <w:szCs w:val="18"/>
                <w:highlight w:val="none"/>
              </w:rPr>
              <w:t>营业收入(Y)</w:t>
            </w:r>
          </w:p>
        </w:tc>
        <w:tc>
          <w:tcPr>
            <w:tcW w:w="758" w:type="dxa"/>
            <w:tcBorders>
              <w:top w:val="nil"/>
              <w:left w:val="nil"/>
              <w:bottom w:val="nil"/>
              <w:right w:val="single" w:color="auto" w:sz="8" w:space="0"/>
            </w:tcBorders>
            <w:tcMar>
              <w:top w:w="0" w:type="dxa"/>
              <w:left w:w="108" w:type="dxa"/>
              <w:bottom w:w="0" w:type="dxa"/>
              <w:right w:w="108" w:type="dxa"/>
            </w:tcMar>
            <w:vAlign w:val="center"/>
          </w:tcPr>
          <w:p w14:paraId="42885A4C">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nil"/>
              <w:right w:val="single" w:color="auto" w:sz="8" w:space="0"/>
            </w:tcBorders>
            <w:tcMar>
              <w:top w:w="0" w:type="dxa"/>
              <w:left w:w="108" w:type="dxa"/>
              <w:bottom w:w="0" w:type="dxa"/>
              <w:right w:w="108" w:type="dxa"/>
            </w:tcMar>
            <w:vAlign w:val="center"/>
          </w:tcPr>
          <w:p w14:paraId="37FEDFA3">
            <w:pPr>
              <w:rPr>
                <w:rFonts w:ascii="宋体" w:hAnsi="宋体" w:cs="宋体"/>
                <w:bCs/>
                <w:color w:val="auto"/>
                <w:sz w:val="24"/>
                <w:highlight w:val="none"/>
              </w:rPr>
            </w:pPr>
            <w:r>
              <w:rPr>
                <w:rFonts w:hint="eastAsia" w:ascii="宋体" w:hAnsi="宋体" w:cs="宋体"/>
                <w:color w:val="auto"/>
                <w:sz w:val="18"/>
                <w:szCs w:val="18"/>
                <w:highlight w:val="none"/>
              </w:rPr>
              <w:t>Y≥80000</w:t>
            </w:r>
          </w:p>
        </w:tc>
        <w:tc>
          <w:tcPr>
            <w:tcW w:w="1491" w:type="dxa"/>
            <w:tcBorders>
              <w:top w:val="nil"/>
              <w:left w:val="nil"/>
              <w:bottom w:val="nil"/>
              <w:right w:val="single" w:color="auto" w:sz="8" w:space="0"/>
            </w:tcBorders>
            <w:tcMar>
              <w:top w:w="0" w:type="dxa"/>
              <w:left w:w="108" w:type="dxa"/>
              <w:bottom w:w="0" w:type="dxa"/>
              <w:right w:w="108" w:type="dxa"/>
            </w:tcMar>
            <w:vAlign w:val="center"/>
          </w:tcPr>
          <w:p w14:paraId="2746A415">
            <w:pPr>
              <w:rPr>
                <w:rFonts w:ascii="宋体" w:hAnsi="宋体" w:cs="宋体"/>
                <w:bCs/>
                <w:color w:val="auto"/>
                <w:sz w:val="24"/>
                <w:highlight w:val="none"/>
              </w:rPr>
            </w:pPr>
            <w:r>
              <w:rPr>
                <w:rFonts w:hint="eastAsia" w:ascii="宋体" w:hAnsi="宋体" w:cs="宋体"/>
                <w:color w:val="auto"/>
                <w:sz w:val="18"/>
                <w:szCs w:val="18"/>
                <w:highlight w:val="none"/>
              </w:rPr>
              <w:t>6000≤Y＜80000</w:t>
            </w:r>
          </w:p>
        </w:tc>
        <w:tc>
          <w:tcPr>
            <w:tcW w:w="1315" w:type="dxa"/>
            <w:tcBorders>
              <w:top w:val="nil"/>
              <w:left w:val="nil"/>
              <w:bottom w:val="nil"/>
              <w:right w:val="single" w:color="auto" w:sz="8" w:space="0"/>
            </w:tcBorders>
            <w:tcMar>
              <w:top w:w="0" w:type="dxa"/>
              <w:left w:w="108" w:type="dxa"/>
              <w:bottom w:w="0" w:type="dxa"/>
              <w:right w:w="108" w:type="dxa"/>
            </w:tcMar>
            <w:vAlign w:val="center"/>
          </w:tcPr>
          <w:p w14:paraId="24FD1247">
            <w:pPr>
              <w:rPr>
                <w:rFonts w:ascii="宋体" w:hAnsi="宋体" w:cs="宋体"/>
                <w:bCs/>
                <w:color w:val="auto"/>
                <w:sz w:val="24"/>
                <w:highlight w:val="none"/>
              </w:rPr>
            </w:pPr>
            <w:r>
              <w:rPr>
                <w:rFonts w:hint="eastAsia" w:ascii="宋体" w:hAnsi="宋体" w:cs="宋体"/>
                <w:color w:val="auto"/>
                <w:sz w:val="18"/>
                <w:szCs w:val="18"/>
                <w:highlight w:val="none"/>
              </w:rPr>
              <w:t>300≤Y＜6000</w:t>
            </w:r>
          </w:p>
        </w:tc>
        <w:tc>
          <w:tcPr>
            <w:tcW w:w="908" w:type="dxa"/>
            <w:tcMar>
              <w:top w:w="0" w:type="dxa"/>
              <w:left w:w="108" w:type="dxa"/>
              <w:bottom w:w="0" w:type="dxa"/>
              <w:right w:w="108" w:type="dxa"/>
            </w:tcMar>
            <w:vAlign w:val="center"/>
          </w:tcPr>
          <w:p w14:paraId="2A351EC4">
            <w:pPr>
              <w:rPr>
                <w:rFonts w:ascii="宋体" w:hAnsi="宋体" w:cs="宋体"/>
                <w:bCs/>
                <w:color w:val="auto"/>
                <w:sz w:val="24"/>
                <w:highlight w:val="none"/>
              </w:rPr>
            </w:pPr>
            <w:r>
              <w:rPr>
                <w:rFonts w:hint="eastAsia" w:ascii="宋体" w:hAnsi="宋体" w:cs="宋体"/>
                <w:color w:val="auto"/>
                <w:sz w:val="18"/>
                <w:szCs w:val="18"/>
                <w:highlight w:val="none"/>
              </w:rPr>
              <w:t>Y＜300</w:t>
            </w:r>
          </w:p>
        </w:tc>
      </w:tr>
      <w:tr w14:paraId="403250D2">
        <w:tblPrEx>
          <w:tblCellMar>
            <w:top w:w="0" w:type="dxa"/>
            <w:left w:w="0" w:type="dxa"/>
            <w:bottom w:w="0" w:type="dxa"/>
            <w:right w:w="0" w:type="dxa"/>
          </w:tblCellMar>
        </w:tblPrEx>
        <w:trPr>
          <w:trHeight w:val="397" w:hRule="atLeast"/>
          <w:jc w:val="center"/>
        </w:trPr>
        <w:tc>
          <w:tcPr>
            <w:tcW w:w="0" w:type="auto"/>
            <w:vMerge w:val="continue"/>
            <w:tcBorders>
              <w:top w:val="nil"/>
              <w:left w:val="nil"/>
              <w:bottom w:val="single" w:color="auto" w:sz="8" w:space="0"/>
              <w:right w:val="single" w:color="auto" w:sz="8" w:space="0"/>
            </w:tcBorders>
            <w:vAlign w:val="center"/>
          </w:tcPr>
          <w:p w14:paraId="5639BE89">
            <w:pPr>
              <w:widowControl/>
              <w:rPr>
                <w:rFonts w:ascii="宋体" w:hAnsi="宋体" w:cs="宋体"/>
                <w:bCs/>
                <w:color w:val="auto"/>
                <w:sz w:val="24"/>
                <w:highlight w:val="none"/>
              </w:rPr>
            </w:pP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14:paraId="78762DB3">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资产总额(Z)</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14:paraId="3598A666">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14:paraId="517E8F8D">
            <w:pPr>
              <w:rPr>
                <w:rFonts w:ascii="宋体" w:hAnsi="宋体" w:cs="宋体"/>
                <w:bCs/>
                <w:color w:val="auto"/>
                <w:sz w:val="24"/>
                <w:highlight w:val="none"/>
              </w:rPr>
            </w:pPr>
            <w:r>
              <w:rPr>
                <w:rFonts w:hint="eastAsia" w:ascii="宋体" w:hAnsi="宋体" w:cs="宋体"/>
                <w:color w:val="auto"/>
                <w:sz w:val="18"/>
                <w:szCs w:val="18"/>
                <w:highlight w:val="none"/>
              </w:rPr>
              <w:t>Z≥80000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14:paraId="0A3C3759">
            <w:pPr>
              <w:rPr>
                <w:rFonts w:ascii="宋体" w:hAnsi="宋体" w:cs="宋体"/>
                <w:bCs/>
                <w:color w:val="auto"/>
                <w:sz w:val="24"/>
                <w:highlight w:val="none"/>
              </w:rPr>
            </w:pPr>
            <w:r>
              <w:rPr>
                <w:rFonts w:hint="eastAsia" w:ascii="宋体" w:hAnsi="宋体" w:cs="宋体"/>
                <w:color w:val="auto"/>
                <w:sz w:val="18"/>
                <w:szCs w:val="18"/>
                <w:highlight w:val="none"/>
              </w:rPr>
              <w:t>5000≤Z＜80000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14:paraId="17209EE7">
            <w:pPr>
              <w:rPr>
                <w:rFonts w:ascii="宋体" w:hAnsi="宋体" w:cs="宋体"/>
                <w:bCs/>
                <w:color w:val="auto"/>
                <w:sz w:val="24"/>
                <w:highlight w:val="none"/>
              </w:rPr>
            </w:pPr>
            <w:r>
              <w:rPr>
                <w:rFonts w:hint="eastAsia" w:ascii="宋体" w:hAnsi="宋体" w:cs="宋体"/>
                <w:color w:val="auto"/>
                <w:sz w:val="18"/>
                <w:szCs w:val="18"/>
                <w:highlight w:val="none"/>
              </w:rPr>
              <w:t>300≤Z＜5000</w:t>
            </w:r>
          </w:p>
        </w:tc>
        <w:tc>
          <w:tcPr>
            <w:tcW w:w="908" w:type="dxa"/>
            <w:tcBorders>
              <w:top w:val="nil"/>
              <w:left w:val="nil"/>
              <w:bottom w:val="single" w:color="auto" w:sz="8" w:space="0"/>
              <w:right w:val="nil"/>
            </w:tcBorders>
            <w:tcMar>
              <w:top w:w="0" w:type="dxa"/>
              <w:left w:w="108" w:type="dxa"/>
              <w:bottom w:w="0" w:type="dxa"/>
              <w:right w:w="108" w:type="dxa"/>
            </w:tcMar>
            <w:vAlign w:val="center"/>
          </w:tcPr>
          <w:p w14:paraId="00E05E5B">
            <w:pPr>
              <w:rPr>
                <w:rFonts w:ascii="宋体" w:hAnsi="宋体" w:cs="宋体"/>
                <w:bCs/>
                <w:color w:val="auto"/>
                <w:sz w:val="24"/>
                <w:highlight w:val="none"/>
              </w:rPr>
            </w:pPr>
            <w:r>
              <w:rPr>
                <w:rFonts w:hint="eastAsia" w:ascii="宋体" w:hAnsi="宋体" w:cs="宋体"/>
                <w:color w:val="auto"/>
                <w:sz w:val="18"/>
                <w:szCs w:val="18"/>
                <w:highlight w:val="none"/>
              </w:rPr>
              <w:t>Z＜300</w:t>
            </w:r>
          </w:p>
        </w:tc>
      </w:tr>
      <w:tr w14:paraId="2C23BB60">
        <w:tblPrEx>
          <w:tblCellMar>
            <w:top w:w="0" w:type="dxa"/>
            <w:left w:w="0" w:type="dxa"/>
            <w:bottom w:w="0" w:type="dxa"/>
            <w:right w:w="0" w:type="dxa"/>
          </w:tblCellMar>
        </w:tblPrEx>
        <w:trPr>
          <w:trHeight w:val="397" w:hRule="atLeast"/>
          <w:jc w:val="center"/>
        </w:trPr>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1FB439C2">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批发业</w:t>
            </w:r>
          </w:p>
        </w:tc>
        <w:tc>
          <w:tcPr>
            <w:tcW w:w="1281" w:type="dxa"/>
            <w:tcBorders>
              <w:top w:val="nil"/>
              <w:left w:val="nil"/>
              <w:bottom w:val="nil"/>
              <w:right w:val="single" w:color="auto" w:sz="8" w:space="0"/>
            </w:tcBorders>
            <w:tcMar>
              <w:top w:w="0" w:type="dxa"/>
              <w:left w:w="108" w:type="dxa"/>
              <w:bottom w:w="0" w:type="dxa"/>
              <w:right w:w="108" w:type="dxa"/>
            </w:tcMar>
            <w:vAlign w:val="center"/>
          </w:tcPr>
          <w:p w14:paraId="637B7F08">
            <w:pPr>
              <w:rPr>
                <w:rFonts w:ascii="宋体" w:hAnsi="宋体" w:cs="宋体"/>
                <w:bCs/>
                <w:color w:val="auto"/>
                <w:sz w:val="24"/>
                <w:highlight w:val="none"/>
              </w:rPr>
            </w:pPr>
            <w:r>
              <w:rPr>
                <w:rFonts w:hint="eastAsia" w:ascii="宋体" w:hAnsi="宋体" w:cs="宋体"/>
                <w:color w:val="auto"/>
                <w:sz w:val="18"/>
                <w:szCs w:val="18"/>
                <w:highlight w:val="none"/>
              </w:rPr>
              <w:t>从业人员(X)</w:t>
            </w:r>
          </w:p>
        </w:tc>
        <w:tc>
          <w:tcPr>
            <w:tcW w:w="758" w:type="dxa"/>
            <w:tcBorders>
              <w:top w:val="nil"/>
              <w:left w:val="nil"/>
              <w:bottom w:val="nil"/>
              <w:right w:val="single" w:color="auto" w:sz="8" w:space="0"/>
            </w:tcBorders>
            <w:tcMar>
              <w:top w:w="0" w:type="dxa"/>
              <w:left w:w="108" w:type="dxa"/>
              <w:bottom w:w="0" w:type="dxa"/>
              <w:right w:w="108" w:type="dxa"/>
            </w:tcMar>
            <w:vAlign w:val="center"/>
          </w:tcPr>
          <w:p w14:paraId="2BF4C974">
            <w:pPr>
              <w:rPr>
                <w:rFonts w:ascii="宋体" w:hAnsi="宋体" w:cs="宋体"/>
                <w:bCs/>
                <w:color w:val="auto"/>
                <w:sz w:val="24"/>
                <w:highlight w:val="none"/>
              </w:rPr>
            </w:pPr>
            <w:r>
              <w:rPr>
                <w:rFonts w:hint="eastAsia" w:ascii="宋体" w:hAnsi="宋体" w:cs="宋体"/>
                <w:color w:val="auto"/>
                <w:sz w:val="18"/>
                <w:szCs w:val="18"/>
                <w:highlight w:val="none"/>
              </w:rPr>
              <w:t>人</w:t>
            </w:r>
          </w:p>
        </w:tc>
        <w:tc>
          <w:tcPr>
            <w:tcW w:w="993" w:type="dxa"/>
            <w:tcBorders>
              <w:top w:val="nil"/>
              <w:left w:val="nil"/>
              <w:bottom w:val="nil"/>
              <w:right w:val="single" w:color="auto" w:sz="8" w:space="0"/>
            </w:tcBorders>
            <w:tcMar>
              <w:top w:w="0" w:type="dxa"/>
              <w:left w:w="108" w:type="dxa"/>
              <w:bottom w:w="0" w:type="dxa"/>
              <w:right w:w="108" w:type="dxa"/>
            </w:tcMar>
            <w:vAlign w:val="center"/>
          </w:tcPr>
          <w:p w14:paraId="6D048EDE">
            <w:pPr>
              <w:rPr>
                <w:rFonts w:ascii="宋体" w:hAnsi="宋体" w:cs="宋体"/>
                <w:bCs/>
                <w:color w:val="auto"/>
                <w:sz w:val="24"/>
                <w:highlight w:val="none"/>
              </w:rPr>
            </w:pPr>
            <w:r>
              <w:rPr>
                <w:rFonts w:hint="eastAsia" w:ascii="宋体" w:hAnsi="宋体" w:cs="宋体"/>
                <w:color w:val="auto"/>
                <w:sz w:val="18"/>
                <w:szCs w:val="18"/>
                <w:highlight w:val="none"/>
              </w:rPr>
              <w:t>X≥200</w:t>
            </w:r>
          </w:p>
        </w:tc>
        <w:tc>
          <w:tcPr>
            <w:tcW w:w="1491" w:type="dxa"/>
            <w:tcBorders>
              <w:top w:val="nil"/>
              <w:left w:val="nil"/>
              <w:bottom w:val="nil"/>
              <w:right w:val="single" w:color="auto" w:sz="8" w:space="0"/>
            </w:tcBorders>
            <w:tcMar>
              <w:top w:w="0" w:type="dxa"/>
              <w:left w:w="108" w:type="dxa"/>
              <w:bottom w:w="0" w:type="dxa"/>
              <w:right w:w="108" w:type="dxa"/>
            </w:tcMar>
            <w:vAlign w:val="center"/>
          </w:tcPr>
          <w:p w14:paraId="39BBE3B6">
            <w:pPr>
              <w:rPr>
                <w:rFonts w:ascii="宋体" w:hAnsi="宋体" w:cs="宋体"/>
                <w:bCs/>
                <w:color w:val="auto"/>
                <w:sz w:val="24"/>
                <w:highlight w:val="none"/>
              </w:rPr>
            </w:pPr>
            <w:r>
              <w:rPr>
                <w:rFonts w:hint="eastAsia" w:ascii="宋体" w:hAnsi="宋体" w:cs="宋体"/>
                <w:color w:val="auto"/>
                <w:sz w:val="18"/>
                <w:szCs w:val="18"/>
                <w:highlight w:val="none"/>
              </w:rPr>
              <w:t>20≤X＜200</w:t>
            </w:r>
          </w:p>
        </w:tc>
        <w:tc>
          <w:tcPr>
            <w:tcW w:w="1315" w:type="dxa"/>
            <w:tcBorders>
              <w:top w:val="nil"/>
              <w:left w:val="nil"/>
              <w:bottom w:val="nil"/>
              <w:right w:val="single" w:color="auto" w:sz="8" w:space="0"/>
            </w:tcBorders>
            <w:tcMar>
              <w:top w:w="0" w:type="dxa"/>
              <w:left w:w="108" w:type="dxa"/>
              <w:bottom w:w="0" w:type="dxa"/>
              <w:right w:w="108" w:type="dxa"/>
            </w:tcMar>
            <w:vAlign w:val="center"/>
          </w:tcPr>
          <w:p w14:paraId="462B5F0B">
            <w:pPr>
              <w:rPr>
                <w:rFonts w:ascii="宋体" w:hAnsi="宋体" w:cs="宋体"/>
                <w:bCs/>
                <w:color w:val="auto"/>
                <w:sz w:val="24"/>
                <w:highlight w:val="none"/>
              </w:rPr>
            </w:pPr>
            <w:r>
              <w:rPr>
                <w:rFonts w:hint="eastAsia" w:ascii="宋体" w:hAnsi="宋体" w:cs="宋体"/>
                <w:color w:val="auto"/>
                <w:sz w:val="18"/>
                <w:szCs w:val="18"/>
                <w:highlight w:val="none"/>
              </w:rPr>
              <w:t>5≤X＜20</w:t>
            </w:r>
          </w:p>
        </w:tc>
        <w:tc>
          <w:tcPr>
            <w:tcW w:w="908" w:type="dxa"/>
            <w:tcMar>
              <w:top w:w="0" w:type="dxa"/>
              <w:left w:w="108" w:type="dxa"/>
              <w:bottom w:w="0" w:type="dxa"/>
              <w:right w:w="108" w:type="dxa"/>
            </w:tcMar>
            <w:vAlign w:val="center"/>
          </w:tcPr>
          <w:p w14:paraId="66B6E447">
            <w:pPr>
              <w:rPr>
                <w:rFonts w:ascii="宋体" w:hAnsi="宋体" w:cs="宋体"/>
                <w:bCs/>
                <w:color w:val="auto"/>
                <w:sz w:val="24"/>
                <w:highlight w:val="none"/>
              </w:rPr>
            </w:pPr>
            <w:r>
              <w:rPr>
                <w:rFonts w:hint="eastAsia" w:ascii="宋体" w:hAnsi="宋体" w:cs="宋体"/>
                <w:color w:val="auto"/>
                <w:sz w:val="18"/>
                <w:szCs w:val="18"/>
                <w:highlight w:val="none"/>
              </w:rPr>
              <w:t>X＜5</w:t>
            </w:r>
          </w:p>
        </w:tc>
      </w:tr>
      <w:tr w14:paraId="5D1273F7">
        <w:tblPrEx>
          <w:tblCellMar>
            <w:top w:w="0" w:type="dxa"/>
            <w:left w:w="0" w:type="dxa"/>
            <w:bottom w:w="0" w:type="dxa"/>
            <w:right w:w="0" w:type="dxa"/>
          </w:tblCellMar>
        </w:tblPrEx>
        <w:trPr>
          <w:trHeight w:val="397" w:hRule="atLeast"/>
          <w:jc w:val="center"/>
        </w:trPr>
        <w:tc>
          <w:tcPr>
            <w:tcW w:w="0" w:type="auto"/>
            <w:vMerge w:val="continue"/>
            <w:tcBorders>
              <w:top w:val="nil"/>
              <w:left w:val="nil"/>
              <w:bottom w:val="single" w:color="auto" w:sz="8" w:space="0"/>
              <w:right w:val="single" w:color="auto" w:sz="8" w:space="0"/>
            </w:tcBorders>
            <w:vAlign w:val="center"/>
          </w:tcPr>
          <w:p w14:paraId="4C15C7EC">
            <w:pPr>
              <w:widowControl/>
              <w:rPr>
                <w:rFonts w:ascii="宋体" w:hAnsi="宋体" w:cs="宋体"/>
                <w:bCs/>
                <w:color w:val="auto"/>
                <w:sz w:val="24"/>
                <w:highlight w:val="none"/>
              </w:rPr>
            </w:pP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14:paraId="03FA8888">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营业收入(Y)</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14:paraId="5FD48829">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14:paraId="361E380E">
            <w:pPr>
              <w:rPr>
                <w:rFonts w:ascii="宋体" w:hAnsi="宋体" w:cs="宋体"/>
                <w:bCs/>
                <w:color w:val="auto"/>
                <w:sz w:val="24"/>
                <w:highlight w:val="none"/>
              </w:rPr>
            </w:pPr>
            <w:r>
              <w:rPr>
                <w:rFonts w:hint="eastAsia" w:ascii="宋体" w:hAnsi="宋体" w:cs="宋体"/>
                <w:color w:val="auto"/>
                <w:sz w:val="18"/>
                <w:szCs w:val="18"/>
                <w:highlight w:val="none"/>
              </w:rPr>
              <w:t>Y≥40000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14:paraId="6F78D5F4">
            <w:pPr>
              <w:rPr>
                <w:rFonts w:ascii="宋体" w:hAnsi="宋体" w:cs="宋体"/>
                <w:bCs/>
                <w:color w:val="auto"/>
                <w:sz w:val="24"/>
                <w:highlight w:val="none"/>
              </w:rPr>
            </w:pPr>
            <w:r>
              <w:rPr>
                <w:rFonts w:hint="eastAsia" w:ascii="宋体" w:hAnsi="宋体" w:cs="宋体"/>
                <w:color w:val="auto"/>
                <w:sz w:val="18"/>
                <w:szCs w:val="18"/>
                <w:highlight w:val="none"/>
              </w:rPr>
              <w:t>5000≤Y＜40000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14:paraId="705E5637">
            <w:pPr>
              <w:ind w:left="-1"/>
              <w:rPr>
                <w:rFonts w:ascii="宋体" w:hAnsi="宋体" w:cs="宋体"/>
                <w:bCs/>
                <w:color w:val="auto"/>
                <w:sz w:val="24"/>
                <w:highlight w:val="none"/>
              </w:rPr>
            </w:pPr>
            <w:r>
              <w:rPr>
                <w:rFonts w:hint="eastAsia" w:ascii="宋体" w:hAnsi="宋体" w:cs="宋体"/>
                <w:color w:val="auto"/>
                <w:sz w:val="18"/>
                <w:szCs w:val="18"/>
                <w:highlight w:val="none"/>
              </w:rPr>
              <w:t>1000≤Y＜5000</w:t>
            </w:r>
          </w:p>
        </w:tc>
        <w:tc>
          <w:tcPr>
            <w:tcW w:w="908" w:type="dxa"/>
            <w:tcBorders>
              <w:top w:val="nil"/>
              <w:left w:val="nil"/>
              <w:bottom w:val="single" w:color="auto" w:sz="8" w:space="0"/>
              <w:right w:val="nil"/>
            </w:tcBorders>
            <w:tcMar>
              <w:top w:w="0" w:type="dxa"/>
              <w:left w:w="108" w:type="dxa"/>
              <w:bottom w:w="0" w:type="dxa"/>
              <w:right w:w="108" w:type="dxa"/>
            </w:tcMar>
            <w:vAlign w:val="center"/>
          </w:tcPr>
          <w:p w14:paraId="7CA6CF3E">
            <w:pPr>
              <w:rPr>
                <w:rFonts w:ascii="宋体" w:hAnsi="宋体" w:cs="宋体"/>
                <w:bCs/>
                <w:color w:val="auto"/>
                <w:sz w:val="24"/>
                <w:highlight w:val="none"/>
              </w:rPr>
            </w:pPr>
            <w:r>
              <w:rPr>
                <w:rFonts w:hint="eastAsia" w:ascii="宋体" w:hAnsi="宋体" w:cs="宋体"/>
                <w:color w:val="auto"/>
                <w:sz w:val="18"/>
                <w:szCs w:val="18"/>
                <w:highlight w:val="none"/>
              </w:rPr>
              <w:t>Y＜1000</w:t>
            </w:r>
          </w:p>
        </w:tc>
      </w:tr>
      <w:tr w14:paraId="6E02CAC3">
        <w:tblPrEx>
          <w:tblCellMar>
            <w:top w:w="0" w:type="dxa"/>
            <w:left w:w="0" w:type="dxa"/>
            <w:bottom w:w="0" w:type="dxa"/>
            <w:right w:w="0" w:type="dxa"/>
          </w:tblCellMar>
        </w:tblPrEx>
        <w:trPr>
          <w:trHeight w:val="397" w:hRule="atLeast"/>
          <w:jc w:val="center"/>
        </w:trPr>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5EEC1BC6">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零售业</w:t>
            </w:r>
          </w:p>
        </w:tc>
        <w:tc>
          <w:tcPr>
            <w:tcW w:w="1281" w:type="dxa"/>
            <w:tcBorders>
              <w:top w:val="nil"/>
              <w:left w:val="nil"/>
              <w:bottom w:val="nil"/>
              <w:right w:val="single" w:color="auto" w:sz="8" w:space="0"/>
            </w:tcBorders>
            <w:tcMar>
              <w:top w:w="0" w:type="dxa"/>
              <w:left w:w="108" w:type="dxa"/>
              <w:bottom w:w="0" w:type="dxa"/>
              <w:right w:w="108" w:type="dxa"/>
            </w:tcMar>
            <w:vAlign w:val="center"/>
          </w:tcPr>
          <w:p w14:paraId="0DCB4067">
            <w:pPr>
              <w:rPr>
                <w:rFonts w:ascii="宋体" w:hAnsi="宋体" w:cs="宋体"/>
                <w:bCs/>
                <w:color w:val="auto"/>
                <w:sz w:val="24"/>
                <w:highlight w:val="none"/>
              </w:rPr>
            </w:pPr>
            <w:r>
              <w:rPr>
                <w:rFonts w:hint="eastAsia" w:ascii="宋体" w:hAnsi="宋体" w:cs="宋体"/>
                <w:color w:val="auto"/>
                <w:sz w:val="18"/>
                <w:szCs w:val="18"/>
                <w:highlight w:val="none"/>
              </w:rPr>
              <w:t>从业人员(X)</w:t>
            </w:r>
          </w:p>
        </w:tc>
        <w:tc>
          <w:tcPr>
            <w:tcW w:w="758" w:type="dxa"/>
            <w:tcBorders>
              <w:top w:val="nil"/>
              <w:left w:val="nil"/>
              <w:bottom w:val="nil"/>
              <w:right w:val="single" w:color="auto" w:sz="8" w:space="0"/>
            </w:tcBorders>
            <w:tcMar>
              <w:top w:w="0" w:type="dxa"/>
              <w:left w:w="108" w:type="dxa"/>
              <w:bottom w:w="0" w:type="dxa"/>
              <w:right w:w="108" w:type="dxa"/>
            </w:tcMar>
            <w:vAlign w:val="center"/>
          </w:tcPr>
          <w:p w14:paraId="0D3E8B93">
            <w:pPr>
              <w:rPr>
                <w:rFonts w:ascii="宋体" w:hAnsi="宋体" w:cs="宋体"/>
                <w:bCs/>
                <w:color w:val="auto"/>
                <w:sz w:val="24"/>
                <w:highlight w:val="none"/>
              </w:rPr>
            </w:pPr>
            <w:r>
              <w:rPr>
                <w:rFonts w:hint="eastAsia" w:ascii="宋体" w:hAnsi="宋体" w:cs="宋体"/>
                <w:color w:val="auto"/>
                <w:sz w:val="18"/>
                <w:szCs w:val="18"/>
                <w:highlight w:val="none"/>
              </w:rPr>
              <w:t>人</w:t>
            </w:r>
          </w:p>
        </w:tc>
        <w:tc>
          <w:tcPr>
            <w:tcW w:w="993" w:type="dxa"/>
            <w:tcBorders>
              <w:top w:val="nil"/>
              <w:left w:val="nil"/>
              <w:bottom w:val="nil"/>
              <w:right w:val="single" w:color="auto" w:sz="8" w:space="0"/>
            </w:tcBorders>
            <w:tcMar>
              <w:top w:w="0" w:type="dxa"/>
              <w:left w:w="108" w:type="dxa"/>
              <w:bottom w:w="0" w:type="dxa"/>
              <w:right w:w="108" w:type="dxa"/>
            </w:tcMar>
            <w:vAlign w:val="center"/>
          </w:tcPr>
          <w:p w14:paraId="50630402">
            <w:pPr>
              <w:rPr>
                <w:rFonts w:ascii="宋体" w:hAnsi="宋体" w:cs="宋体"/>
                <w:bCs/>
                <w:color w:val="auto"/>
                <w:sz w:val="24"/>
                <w:highlight w:val="none"/>
              </w:rPr>
            </w:pPr>
            <w:r>
              <w:rPr>
                <w:rFonts w:hint="eastAsia" w:ascii="宋体" w:hAnsi="宋体" w:cs="宋体"/>
                <w:color w:val="auto"/>
                <w:sz w:val="18"/>
                <w:szCs w:val="18"/>
                <w:highlight w:val="none"/>
              </w:rPr>
              <w:t>X≥300</w:t>
            </w:r>
          </w:p>
        </w:tc>
        <w:tc>
          <w:tcPr>
            <w:tcW w:w="1491" w:type="dxa"/>
            <w:tcBorders>
              <w:top w:val="nil"/>
              <w:left w:val="nil"/>
              <w:bottom w:val="nil"/>
              <w:right w:val="single" w:color="auto" w:sz="8" w:space="0"/>
            </w:tcBorders>
            <w:tcMar>
              <w:top w:w="0" w:type="dxa"/>
              <w:left w:w="108" w:type="dxa"/>
              <w:bottom w:w="0" w:type="dxa"/>
              <w:right w:w="108" w:type="dxa"/>
            </w:tcMar>
            <w:vAlign w:val="center"/>
          </w:tcPr>
          <w:p w14:paraId="7695EB76">
            <w:pPr>
              <w:rPr>
                <w:rFonts w:ascii="宋体" w:hAnsi="宋体" w:cs="宋体"/>
                <w:bCs/>
                <w:color w:val="auto"/>
                <w:sz w:val="24"/>
                <w:highlight w:val="none"/>
              </w:rPr>
            </w:pPr>
            <w:r>
              <w:rPr>
                <w:rFonts w:hint="eastAsia" w:ascii="宋体" w:hAnsi="宋体" w:cs="宋体"/>
                <w:color w:val="auto"/>
                <w:sz w:val="18"/>
                <w:szCs w:val="18"/>
                <w:highlight w:val="none"/>
              </w:rPr>
              <w:t>50≤X＜300</w:t>
            </w:r>
          </w:p>
        </w:tc>
        <w:tc>
          <w:tcPr>
            <w:tcW w:w="1315" w:type="dxa"/>
            <w:tcBorders>
              <w:top w:val="nil"/>
              <w:left w:val="nil"/>
              <w:bottom w:val="nil"/>
              <w:right w:val="single" w:color="auto" w:sz="8" w:space="0"/>
            </w:tcBorders>
            <w:tcMar>
              <w:top w:w="0" w:type="dxa"/>
              <w:left w:w="108" w:type="dxa"/>
              <w:bottom w:w="0" w:type="dxa"/>
              <w:right w:w="108" w:type="dxa"/>
            </w:tcMar>
            <w:vAlign w:val="center"/>
          </w:tcPr>
          <w:p w14:paraId="7C90BD1E">
            <w:pPr>
              <w:ind w:left="-1"/>
              <w:rPr>
                <w:rFonts w:ascii="宋体" w:hAnsi="宋体" w:cs="宋体"/>
                <w:bCs/>
                <w:color w:val="auto"/>
                <w:sz w:val="24"/>
                <w:highlight w:val="none"/>
              </w:rPr>
            </w:pPr>
            <w:r>
              <w:rPr>
                <w:rFonts w:hint="eastAsia" w:ascii="宋体" w:hAnsi="宋体" w:cs="宋体"/>
                <w:color w:val="auto"/>
                <w:sz w:val="18"/>
                <w:szCs w:val="18"/>
                <w:highlight w:val="none"/>
              </w:rPr>
              <w:t>10≤X＜50</w:t>
            </w:r>
          </w:p>
        </w:tc>
        <w:tc>
          <w:tcPr>
            <w:tcW w:w="908" w:type="dxa"/>
            <w:tcMar>
              <w:top w:w="0" w:type="dxa"/>
              <w:left w:w="108" w:type="dxa"/>
              <w:bottom w:w="0" w:type="dxa"/>
              <w:right w:w="108" w:type="dxa"/>
            </w:tcMar>
            <w:vAlign w:val="center"/>
          </w:tcPr>
          <w:p w14:paraId="5CE4CF19">
            <w:pPr>
              <w:rPr>
                <w:rFonts w:ascii="宋体" w:hAnsi="宋体" w:cs="宋体"/>
                <w:bCs/>
                <w:color w:val="auto"/>
                <w:sz w:val="24"/>
                <w:highlight w:val="none"/>
              </w:rPr>
            </w:pPr>
            <w:r>
              <w:rPr>
                <w:rFonts w:hint="eastAsia" w:ascii="宋体" w:hAnsi="宋体" w:cs="宋体"/>
                <w:color w:val="auto"/>
                <w:sz w:val="18"/>
                <w:szCs w:val="18"/>
                <w:highlight w:val="none"/>
              </w:rPr>
              <w:t>X＜10</w:t>
            </w:r>
          </w:p>
        </w:tc>
      </w:tr>
      <w:tr w14:paraId="51DF32CB">
        <w:tblPrEx>
          <w:tblCellMar>
            <w:top w:w="0" w:type="dxa"/>
            <w:left w:w="0" w:type="dxa"/>
            <w:bottom w:w="0" w:type="dxa"/>
            <w:right w:w="0" w:type="dxa"/>
          </w:tblCellMar>
        </w:tblPrEx>
        <w:trPr>
          <w:trHeight w:val="397" w:hRule="atLeast"/>
          <w:jc w:val="center"/>
        </w:trPr>
        <w:tc>
          <w:tcPr>
            <w:tcW w:w="0" w:type="auto"/>
            <w:vMerge w:val="continue"/>
            <w:tcBorders>
              <w:top w:val="nil"/>
              <w:left w:val="nil"/>
              <w:bottom w:val="single" w:color="auto" w:sz="8" w:space="0"/>
              <w:right w:val="single" w:color="auto" w:sz="8" w:space="0"/>
            </w:tcBorders>
            <w:vAlign w:val="center"/>
          </w:tcPr>
          <w:p w14:paraId="6A2297F2">
            <w:pPr>
              <w:widowControl/>
              <w:rPr>
                <w:rFonts w:ascii="宋体" w:hAnsi="宋体" w:cs="宋体"/>
                <w:bCs/>
                <w:color w:val="auto"/>
                <w:sz w:val="24"/>
                <w:highlight w:val="none"/>
              </w:rPr>
            </w:pP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14:paraId="360CE9FF">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营业收入(Y)</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14:paraId="50107451">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14:paraId="331CBDD8">
            <w:pPr>
              <w:rPr>
                <w:rFonts w:ascii="宋体" w:hAnsi="宋体" w:cs="宋体"/>
                <w:bCs/>
                <w:color w:val="auto"/>
                <w:sz w:val="24"/>
                <w:highlight w:val="none"/>
              </w:rPr>
            </w:pPr>
            <w:r>
              <w:rPr>
                <w:rFonts w:hint="eastAsia" w:ascii="宋体" w:hAnsi="宋体" w:cs="宋体"/>
                <w:color w:val="auto"/>
                <w:sz w:val="18"/>
                <w:szCs w:val="18"/>
                <w:highlight w:val="none"/>
              </w:rPr>
              <w:t>Y≥20000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14:paraId="4060160F">
            <w:pPr>
              <w:rPr>
                <w:rFonts w:ascii="宋体" w:hAnsi="宋体" w:cs="宋体"/>
                <w:bCs/>
                <w:color w:val="auto"/>
                <w:sz w:val="24"/>
                <w:highlight w:val="none"/>
              </w:rPr>
            </w:pPr>
            <w:r>
              <w:rPr>
                <w:rFonts w:hint="eastAsia" w:ascii="宋体" w:hAnsi="宋体" w:cs="宋体"/>
                <w:color w:val="auto"/>
                <w:sz w:val="18"/>
                <w:szCs w:val="18"/>
                <w:highlight w:val="none"/>
              </w:rPr>
              <w:t>500≤Y＜20000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14:paraId="35690919">
            <w:pPr>
              <w:ind w:left="-1"/>
              <w:rPr>
                <w:rFonts w:ascii="宋体" w:hAnsi="宋体" w:cs="宋体"/>
                <w:bCs/>
                <w:color w:val="auto"/>
                <w:sz w:val="24"/>
                <w:highlight w:val="none"/>
              </w:rPr>
            </w:pPr>
            <w:r>
              <w:rPr>
                <w:rFonts w:hint="eastAsia" w:ascii="宋体" w:hAnsi="宋体" w:cs="宋体"/>
                <w:color w:val="auto"/>
                <w:sz w:val="18"/>
                <w:szCs w:val="18"/>
                <w:highlight w:val="none"/>
              </w:rPr>
              <w:t>100≤Y＜500</w:t>
            </w:r>
          </w:p>
        </w:tc>
        <w:tc>
          <w:tcPr>
            <w:tcW w:w="908" w:type="dxa"/>
            <w:tcBorders>
              <w:top w:val="nil"/>
              <w:left w:val="nil"/>
              <w:bottom w:val="single" w:color="auto" w:sz="8" w:space="0"/>
              <w:right w:val="nil"/>
            </w:tcBorders>
            <w:tcMar>
              <w:top w:w="0" w:type="dxa"/>
              <w:left w:w="108" w:type="dxa"/>
              <w:bottom w:w="0" w:type="dxa"/>
              <w:right w:w="108" w:type="dxa"/>
            </w:tcMar>
            <w:vAlign w:val="center"/>
          </w:tcPr>
          <w:p w14:paraId="2E672738">
            <w:pPr>
              <w:rPr>
                <w:rFonts w:ascii="宋体" w:hAnsi="宋体" w:cs="宋体"/>
                <w:bCs/>
                <w:color w:val="auto"/>
                <w:sz w:val="24"/>
                <w:highlight w:val="none"/>
              </w:rPr>
            </w:pPr>
            <w:r>
              <w:rPr>
                <w:rFonts w:hint="eastAsia" w:ascii="宋体" w:hAnsi="宋体" w:cs="宋体"/>
                <w:color w:val="auto"/>
                <w:sz w:val="18"/>
                <w:szCs w:val="18"/>
                <w:highlight w:val="none"/>
              </w:rPr>
              <w:t>Y＜100</w:t>
            </w:r>
          </w:p>
        </w:tc>
      </w:tr>
      <w:tr w14:paraId="0AB8649A">
        <w:tblPrEx>
          <w:tblCellMar>
            <w:top w:w="0" w:type="dxa"/>
            <w:left w:w="0" w:type="dxa"/>
            <w:bottom w:w="0" w:type="dxa"/>
            <w:right w:w="0" w:type="dxa"/>
          </w:tblCellMar>
        </w:tblPrEx>
        <w:trPr>
          <w:trHeight w:val="397" w:hRule="atLeast"/>
          <w:jc w:val="center"/>
        </w:trPr>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2C806683">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交通运输业 *</w:t>
            </w:r>
          </w:p>
        </w:tc>
        <w:tc>
          <w:tcPr>
            <w:tcW w:w="1281" w:type="dxa"/>
            <w:tcBorders>
              <w:top w:val="nil"/>
              <w:left w:val="nil"/>
              <w:bottom w:val="nil"/>
              <w:right w:val="single" w:color="auto" w:sz="8" w:space="0"/>
            </w:tcBorders>
            <w:tcMar>
              <w:top w:w="0" w:type="dxa"/>
              <w:left w:w="108" w:type="dxa"/>
              <w:bottom w:w="0" w:type="dxa"/>
              <w:right w:w="108" w:type="dxa"/>
            </w:tcMar>
            <w:vAlign w:val="center"/>
          </w:tcPr>
          <w:p w14:paraId="5771C019">
            <w:pPr>
              <w:rPr>
                <w:rFonts w:ascii="宋体" w:hAnsi="宋体" w:cs="宋体"/>
                <w:bCs/>
                <w:color w:val="auto"/>
                <w:sz w:val="24"/>
                <w:highlight w:val="none"/>
              </w:rPr>
            </w:pPr>
            <w:r>
              <w:rPr>
                <w:rFonts w:hint="eastAsia" w:ascii="宋体" w:hAnsi="宋体" w:cs="宋体"/>
                <w:color w:val="auto"/>
                <w:sz w:val="18"/>
                <w:szCs w:val="18"/>
                <w:highlight w:val="none"/>
              </w:rPr>
              <w:t>从业人员(X)</w:t>
            </w:r>
          </w:p>
        </w:tc>
        <w:tc>
          <w:tcPr>
            <w:tcW w:w="758" w:type="dxa"/>
            <w:tcBorders>
              <w:top w:val="nil"/>
              <w:left w:val="nil"/>
              <w:bottom w:val="nil"/>
              <w:right w:val="single" w:color="auto" w:sz="8" w:space="0"/>
            </w:tcBorders>
            <w:tcMar>
              <w:top w:w="0" w:type="dxa"/>
              <w:left w:w="108" w:type="dxa"/>
              <w:bottom w:w="0" w:type="dxa"/>
              <w:right w:w="108" w:type="dxa"/>
            </w:tcMar>
            <w:vAlign w:val="center"/>
          </w:tcPr>
          <w:p w14:paraId="743C7D3C">
            <w:pPr>
              <w:rPr>
                <w:rFonts w:ascii="宋体" w:hAnsi="宋体" w:cs="宋体"/>
                <w:bCs/>
                <w:color w:val="auto"/>
                <w:sz w:val="24"/>
                <w:highlight w:val="none"/>
              </w:rPr>
            </w:pPr>
            <w:r>
              <w:rPr>
                <w:rFonts w:hint="eastAsia" w:ascii="宋体" w:hAnsi="宋体" w:cs="宋体"/>
                <w:color w:val="auto"/>
                <w:sz w:val="18"/>
                <w:szCs w:val="18"/>
                <w:highlight w:val="none"/>
              </w:rPr>
              <w:t>人</w:t>
            </w:r>
          </w:p>
        </w:tc>
        <w:tc>
          <w:tcPr>
            <w:tcW w:w="993" w:type="dxa"/>
            <w:tcBorders>
              <w:top w:val="nil"/>
              <w:left w:val="nil"/>
              <w:bottom w:val="nil"/>
              <w:right w:val="single" w:color="auto" w:sz="8" w:space="0"/>
            </w:tcBorders>
            <w:tcMar>
              <w:top w:w="0" w:type="dxa"/>
              <w:left w:w="108" w:type="dxa"/>
              <w:bottom w:w="0" w:type="dxa"/>
              <w:right w:w="108" w:type="dxa"/>
            </w:tcMar>
            <w:vAlign w:val="center"/>
          </w:tcPr>
          <w:p w14:paraId="4BF439EC">
            <w:pPr>
              <w:rPr>
                <w:rFonts w:ascii="宋体" w:hAnsi="宋体" w:cs="宋体"/>
                <w:bCs/>
                <w:color w:val="auto"/>
                <w:sz w:val="24"/>
                <w:highlight w:val="none"/>
              </w:rPr>
            </w:pPr>
            <w:r>
              <w:rPr>
                <w:rFonts w:hint="eastAsia" w:ascii="宋体" w:hAnsi="宋体" w:cs="宋体"/>
                <w:color w:val="auto"/>
                <w:sz w:val="18"/>
                <w:szCs w:val="18"/>
                <w:highlight w:val="none"/>
              </w:rPr>
              <w:t>X≥1000</w:t>
            </w:r>
          </w:p>
        </w:tc>
        <w:tc>
          <w:tcPr>
            <w:tcW w:w="1491" w:type="dxa"/>
            <w:tcBorders>
              <w:top w:val="nil"/>
              <w:left w:val="nil"/>
              <w:bottom w:val="nil"/>
              <w:right w:val="single" w:color="auto" w:sz="8" w:space="0"/>
            </w:tcBorders>
            <w:tcMar>
              <w:top w:w="0" w:type="dxa"/>
              <w:left w:w="108" w:type="dxa"/>
              <w:bottom w:w="0" w:type="dxa"/>
              <w:right w:w="108" w:type="dxa"/>
            </w:tcMar>
            <w:vAlign w:val="center"/>
          </w:tcPr>
          <w:p w14:paraId="4F31719A">
            <w:pPr>
              <w:rPr>
                <w:rFonts w:ascii="宋体" w:hAnsi="宋体" w:cs="宋体"/>
                <w:bCs/>
                <w:color w:val="auto"/>
                <w:sz w:val="24"/>
                <w:highlight w:val="none"/>
              </w:rPr>
            </w:pPr>
            <w:r>
              <w:rPr>
                <w:rFonts w:hint="eastAsia" w:ascii="宋体" w:hAnsi="宋体" w:cs="宋体"/>
                <w:color w:val="auto"/>
                <w:sz w:val="18"/>
                <w:szCs w:val="18"/>
                <w:highlight w:val="none"/>
              </w:rPr>
              <w:t>300≤X＜1000</w:t>
            </w:r>
          </w:p>
        </w:tc>
        <w:tc>
          <w:tcPr>
            <w:tcW w:w="1315" w:type="dxa"/>
            <w:tcBorders>
              <w:top w:val="nil"/>
              <w:left w:val="nil"/>
              <w:bottom w:val="nil"/>
              <w:right w:val="single" w:color="auto" w:sz="8" w:space="0"/>
            </w:tcBorders>
            <w:tcMar>
              <w:top w:w="0" w:type="dxa"/>
              <w:left w:w="108" w:type="dxa"/>
              <w:bottom w:w="0" w:type="dxa"/>
              <w:right w:w="108" w:type="dxa"/>
            </w:tcMar>
            <w:vAlign w:val="center"/>
          </w:tcPr>
          <w:p w14:paraId="2B069AAE">
            <w:pPr>
              <w:rPr>
                <w:rFonts w:ascii="宋体" w:hAnsi="宋体" w:cs="宋体"/>
                <w:bCs/>
                <w:color w:val="auto"/>
                <w:sz w:val="24"/>
                <w:highlight w:val="none"/>
              </w:rPr>
            </w:pPr>
            <w:r>
              <w:rPr>
                <w:rFonts w:hint="eastAsia" w:ascii="宋体" w:hAnsi="宋体" w:cs="宋体"/>
                <w:color w:val="auto"/>
                <w:sz w:val="18"/>
                <w:szCs w:val="18"/>
                <w:highlight w:val="none"/>
              </w:rPr>
              <w:t>20≤X＜300</w:t>
            </w:r>
          </w:p>
        </w:tc>
        <w:tc>
          <w:tcPr>
            <w:tcW w:w="908" w:type="dxa"/>
            <w:tcMar>
              <w:top w:w="0" w:type="dxa"/>
              <w:left w:w="108" w:type="dxa"/>
              <w:bottom w:w="0" w:type="dxa"/>
              <w:right w:w="108" w:type="dxa"/>
            </w:tcMar>
            <w:vAlign w:val="center"/>
          </w:tcPr>
          <w:p w14:paraId="5AEFAF61">
            <w:pPr>
              <w:rPr>
                <w:rFonts w:ascii="宋体" w:hAnsi="宋体" w:cs="宋体"/>
                <w:bCs/>
                <w:color w:val="auto"/>
                <w:sz w:val="24"/>
                <w:highlight w:val="none"/>
              </w:rPr>
            </w:pPr>
            <w:r>
              <w:rPr>
                <w:rFonts w:hint="eastAsia" w:ascii="宋体" w:hAnsi="宋体" w:cs="宋体"/>
                <w:color w:val="auto"/>
                <w:sz w:val="18"/>
                <w:szCs w:val="18"/>
                <w:highlight w:val="none"/>
              </w:rPr>
              <w:t>X＜20</w:t>
            </w:r>
          </w:p>
        </w:tc>
      </w:tr>
      <w:tr w14:paraId="3A23D0F1">
        <w:tblPrEx>
          <w:tblCellMar>
            <w:top w:w="0" w:type="dxa"/>
            <w:left w:w="0" w:type="dxa"/>
            <w:bottom w:w="0" w:type="dxa"/>
            <w:right w:w="0" w:type="dxa"/>
          </w:tblCellMar>
        </w:tblPrEx>
        <w:trPr>
          <w:trHeight w:val="397" w:hRule="atLeast"/>
          <w:jc w:val="center"/>
        </w:trPr>
        <w:tc>
          <w:tcPr>
            <w:tcW w:w="0" w:type="auto"/>
            <w:vMerge w:val="continue"/>
            <w:tcBorders>
              <w:top w:val="nil"/>
              <w:left w:val="nil"/>
              <w:bottom w:val="single" w:color="auto" w:sz="8" w:space="0"/>
              <w:right w:val="single" w:color="auto" w:sz="8" w:space="0"/>
            </w:tcBorders>
            <w:vAlign w:val="center"/>
          </w:tcPr>
          <w:p w14:paraId="4E5210D7">
            <w:pPr>
              <w:widowControl/>
              <w:rPr>
                <w:rFonts w:ascii="宋体" w:hAnsi="宋体" w:cs="宋体"/>
                <w:bCs/>
                <w:color w:val="auto"/>
                <w:sz w:val="24"/>
                <w:highlight w:val="none"/>
              </w:rPr>
            </w:pP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14:paraId="3D7224A5">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营业收入(Y)</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14:paraId="495E7F53">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14:paraId="076D32A4">
            <w:pPr>
              <w:rPr>
                <w:rFonts w:ascii="宋体" w:hAnsi="宋体" w:cs="宋体"/>
                <w:bCs/>
                <w:color w:val="auto"/>
                <w:sz w:val="24"/>
                <w:highlight w:val="none"/>
              </w:rPr>
            </w:pPr>
            <w:r>
              <w:rPr>
                <w:rFonts w:hint="eastAsia" w:ascii="宋体" w:hAnsi="宋体" w:cs="宋体"/>
                <w:color w:val="auto"/>
                <w:sz w:val="18"/>
                <w:szCs w:val="18"/>
                <w:highlight w:val="none"/>
              </w:rPr>
              <w:t>Y≥30000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14:paraId="74F532C7">
            <w:pPr>
              <w:rPr>
                <w:rFonts w:ascii="宋体" w:hAnsi="宋体" w:cs="宋体"/>
                <w:bCs/>
                <w:color w:val="auto"/>
                <w:sz w:val="24"/>
                <w:highlight w:val="none"/>
              </w:rPr>
            </w:pPr>
            <w:r>
              <w:rPr>
                <w:rFonts w:hint="eastAsia" w:ascii="宋体" w:hAnsi="宋体" w:cs="宋体"/>
                <w:color w:val="auto"/>
                <w:sz w:val="18"/>
                <w:szCs w:val="18"/>
                <w:highlight w:val="none"/>
              </w:rPr>
              <w:t>3000≤Y＜30000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14:paraId="604B59CF">
            <w:pPr>
              <w:rPr>
                <w:rFonts w:ascii="宋体" w:hAnsi="宋体" w:cs="宋体"/>
                <w:bCs/>
                <w:color w:val="auto"/>
                <w:sz w:val="24"/>
                <w:highlight w:val="none"/>
              </w:rPr>
            </w:pPr>
            <w:r>
              <w:rPr>
                <w:rFonts w:hint="eastAsia" w:ascii="宋体" w:hAnsi="宋体" w:cs="宋体"/>
                <w:color w:val="auto"/>
                <w:sz w:val="18"/>
                <w:szCs w:val="18"/>
                <w:highlight w:val="none"/>
              </w:rPr>
              <w:t>200≤Y＜3000</w:t>
            </w:r>
          </w:p>
        </w:tc>
        <w:tc>
          <w:tcPr>
            <w:tcW w:w="908" w:type="dxa"/>
            <w:tcBorders>
              <w:top w:val="nil"/>
              <w:left w:val="nil"/>
              <w:bottom w:val="single" w:color="auto" w:sz="8" w:space="0"/>
              <w:right w:val="nil"/>
            </w:tcBorders>
            <w:tcMar>
              <w:top w:w="0" w:type="dxa"/>
              <w:left w:w="108" w:type="dxa"/>
              <w:bottom w:w="0" w:type="dxa"/>
              <w:right w:w="108" w:type="dxa"/>
            </w:tcMar>
            <w:vAlign w:val="center"/>
          </w:tcPr>
          <w:p w14:paraId="34D9A183">
            <w:pPr>
              <w:rPr>
                <w:rFonts w:ascii="宋体" w:hAnsi="宋体" w:cs="宋体"/>
                <w:bCs/>
                <w:color w:val="auto"/>
                <w:sz w:val="24"/>
                <w:highlight w:val="none"/>
              </w:rPr>
            </w:pPr>
            <w:r>
              <w:rPr>
                <w:rFonts w:hint="eastAsia" w:ascii="宋体" w:hAnsi="宋体" w:cs="宋体"/>
                <w:color w:val="auto"/>
                <w:sz w:val="18"/>
                <w:szCs w:val="18"/>
                <w:highlight w:val="none"/>
              </w:rPr>
              <w:t>Y＜200</w:t>
            </w:r>
          </w:p>
        </w:tc>
      </w:tr>
      <w:tr w14:paraId="6C9E6C86">
        <w:tblPrEx>
          <w:tblCellMar>
            <w:top w:w="0" w:type="dxa"/>
            <w:left w:w="0" w:type="dxa"/>
            <w:bottom w:w="0" w:type="dxa"/>
            <w:right w:w="0" w:type="dxa"/>
          </w:tblCellMar>
        </w:tblPrEx>
        <w:trPr>
          <w:trHeight w:val="397" w:hRule="atLeast"/>
          <w:jc w:val="center"/>
        </w:trPr>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665A7602">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仓储业</w:t>
            </w:r>
          </w:p>
        </w:tc>
        <w:tc>
          <w:tcPr>
            <w:tcW w:w="1281" w:type="dxa"/>
            <w:tcBorders>
              <w:top w:val="nil"/>
              <w:left w:val="nil"/>
              <w:bottom w:val="nil"/>
              <w:right w:val="single" w:color="auto" w:sz="8" w:space="0"/>
            </w:tcBorders>
            <w:tcMar>
              <w:top w:w="0" w:type="dxa"/>
              <w:left w:w="108" w:type="dxa"/>
              <w:bottom w:w="0" w:type="dxa"/>
              <w:right w:w="108" w:type="dxa"/>
            </w:tcMar>
            <w:vAlign w:val="center"/>
          </w:tcPr>
          <w:p w14:paraId="689784E0">
            <w:pPr>
              <w:rPr>
                <w:rFonts w:ascii="宋体" w:hAnsi="宋体" w:cs="宋体"/>
                <w:bCs/>
                <w:color w:val="auto"/>
                <w:sz w:val="24"/>
                <w:highlight w:val="none"/>
              </w:rPr>
            </w:pPr>
            <w:r>
              <w:rPr>
                <w:rFonts w:hint="eastAsia" w:ascii="宋体" w:hAnsi="宋体" w:cs="宋体"/>
                <w:color w:val="auto"/>
                <w:sz w:val="18"/>
                <w:szCs w:val="18"/>
                <w:highlight w:val="none"/>
              </w:rPr>
              <w:t>从业人员(X)</w:t>
            </w:r>
          </w:p>
        </w:tc>
        <w:tc>
          <w:tcPr>
            <w:tcW w:w="758" w:type="dxa"/>
            <w:tcBorders>
              <w:top w:val="nil"/>
              <w:left w:val="nil"/>
              <w:bottom w:val="nil"/>
              <w:right w:val="single" w:color="auto" w:sz="8" w:space="0"/>
            </w:tcBorders>
            <w:tcMar>
              <w:top w:w="0" w:type="dxa"/>
              <w:left w:w="108" w:type="dxa"/>
              <w:bottom w:w="0" w:type="dxa"/>
              <w:right w:w="108" w:type="dxa"/>
            </w:tcMar>
            <w:vAlign w:val="center"/>
          </w:tcPr>
          <w:p w14:paraId="42911431">
            <w:pPr>
              <w:rPr>
                <w:rFonts w:ascii="宋体" w:hAnsi="宋体" w:cs="宋体"/>
                <w:bCs/>
                <w:color w:val="auto"/>
                <w:sz w:val="24"/>
                <w:highlight w:val="none"/>
              </w:rPr>
            </w:pPr>
            <w:r>
              <w:rPr>
                <w:rFonts w:hint="eastAsia" w:ascii="宋体" w:hAnsi="宋体" w:cs="宋体"/>
                <w:color w:val="auto"/>
                <w:sz w:val="18"/>
                <w:szCs w:val="18"/>
                <w:highlight w:val="none"/>
              </w:rPr>
              <w:t>人</w:t>
            </w:r>
          </w:p>
        </w:tc>
        <w:tc>
          <w:tcPr>
            <w:tcW w:w="993" w:type="dxa"/>
            <w:tcBorders>
              <w:top w:val="nil"/>
              <w:left w:val="nil"/>
              <w:bottom w:val="nil"/>
              <w:right w:val="single" w:color="auto" w:sz="8" w:space="0"/>
            </w:tcBorders>
            <w:tcMar>
              <w:top w:w="0" w:type="dxa"/>
              <w:left w:w="108" w:type="dxa"/>
              <w:bottom w:w="0" w:type="dxa"/>
              <w:right w:w="108" w:type="dxa"/>
            </w:tcMar>
            <w:vAlign w:val="center"/>
          </w:tcPr>
          <w:p w14:paraId="769AA095">
            <w:pPr>
              <w:rPr>
                <w:rFonts w:ascii="宋体" w:hAnsi="宋体" w:cs="宋体"/>
                <w:bCs/>
                <w:color w:val="auto"/>
                <w:sz w:val="24"/>
                <w:highlight w:val="none"/>
              </w:rPr>
            </w:pPr>
            <w:r>
              <w:rPr>
                <w:rFonts w:hint="eastAsia" w:ascii="宋体" w:hAnsi="宋体" w:cs="宋体"/>
                <w:color w:val="auto"/>
                <w:sz w:val="18"/>
                <w:szCs w:val="18"/>
                <w:highlight w:val="none"/>
              </w:rPr>
              <w:t>X≥200</w:t>
            </w:r>
          </w:p>
        </w:tc>
        <w:tc>
          <w:tcPr>
            <w:tcW w:w="1491" w:type="dxa"/>
            <w:tcBorders>
              <w:top w:val="nil"/>
              <w:left w:val="nil"/>
              <w:bottom w:val="nil"/>
              <w:right w:val="single" w:color="auto" w:sz="8" w:space="0"/>
            </w:tcBorders>
            <w:tcMar>
              <w:top w:w="0" w:type="dxa"/>
              <w:left w:w="108" w:type="dxa"/>
              <w:bottom w:w="0" w:type="dxa"/>
              <w:right w:w="108" w:type="dxa"/>
            </w:tcMar>
            <w:vAlign w:val="center"/>
          </w:tcPr>
          <w:p w14:paraId="2445356A">
            <w:pPr>
              <w:ind w:left="1"/>
              <w:rPr>
                <w:rFonts w:ascii="宋体" w:hAnsi="宋体" w:cs="宋体"/>
                <w:bCs/>
                <w:color w:val="auto"/>
                <w:sz w:val="24"/>
                <w:highlight w:val="none"/>
              </w:rPr>
            </w:pPr>
            <w:r>
              <w:rPr>
                <w:rFonts w:hint="eastAsia" w:ascii="宋体" w:hAnsi="宋体" w:cs="宋体"/>
                <w:color w:val="auto"/>
                <w:sz w:val="18"/>
                <w:szCs w:val="18"/>
                <w:highlight w:val="none"/>
              </w:rPr>
              <w:t>100≤X＜200</w:t>
            </w:r>
          </w:p>
        </w:tc>
        <w:tc>
          <w:tcPr>
            <w:tcW w:w="1315" w:type="dxa"/>
            <w:tcBorders>
              <w:top w:val="nil"/>
              <w:left w:val="nil"/>
              <w:bottom w:val="nil"/>
              <w:right w:val="single" w:color="auto" w:sz="8" w:space="0"/>
            </w:tcBorders>
            <w:tcMar>
              <w:top w:w="0" w:type="dxa"/>
              <w:left w:w="108" w:type="dxa"/>
              <w:bottom w:w="0" w:type="dxa"/>
              <w:right w:w="108" w:type="dxa"/>
            </w:tcMar>
            <w:vAlign w:val="center"/>
          </w:tcPr>
          <w:p w14:paraId="524692FB">
            <w:pPr>
              <w:rPr>
                <w:rFonts w:ascii="宋体" w:hAnsi="宋体" w:cs="宋体"/>
                <w:bCs/>
                <w:color w:val="auto"/>
                <w:sz w:val="24"/>
                <w:highlight w:val="none"/>
              </w:rPr>
            </w:pPr>
            <w:r>
              <w:rPr>
                <w:rFonts w:hint="eastAsia" w:ascii="宋体" w:hAnsi="宋体" w:cs="宋体"/>
                <w:color w:val="auto"/>
                <w:sz w:val="18"/>
                <w:szCs w:val="18"/>
                <w:highlight w:val="none"/>
              </w:rPr>
              <w:t>20≤X＜100</w:t>
            </w:r>
          </w:p>
        </w:tc>
        <w:tc>
          <w:tcPr>
            <w:tcW w:w="908" w:type="dxa"/>
            <w:tcMar>
              <w:top w:w="0" w:type="dxa"/>
              <w:left w:w="108" w:type="dxa"/>
              <w:bottom w:w="0" w:type="dxa"/>
              <w:right w:w="108" w:type="dxa"/>
            </w:tcMar>
            <w:vAlign w:val="center"/>
          </w:tcPr>
          <w:p w14:paraId="780B2D57">
            <w:pPr>
              <w:rPr>
                <w:rFonts w:ascii="宋体" w:hAnsi="宋体" w:cs="宋体"/>
                <w:bCs/>
                <w:color w:val="auto"/>
                <w:sz w:val="24"/>
                <w:highlight w:val="none"/>
              </w:rPr>
            </w:pPr>
            <w:r>
              <w:rPr>
                <w:rFonts w:hint="eastAsia" w:ascii="宋体" w:hAnsi="宋体" w:cs="宋体"/>
                <w:color w:val="auto"/>
                <w:sz w:val="18"/>
                <w:szCs w:val="18"/>
                <w:highlight w:val="none"/>
              </w:rPr>
              <w:t>X＜20</w:t>
            </w:r>
          </w:p>
        </w:tc>
      </w:tr>
      <w:tr w14:paraId="65C4A87D">
        <w:tblPrEx>
          <w:tblCellMar>
            <w:top w:w="0" w:type="dxa"/>
            <w:left w:w="0" w:type="dxa"/>
            <w:bottom w:w="0" w:type="dxa"/>
            <w:right w:w="0" w:type="dxa"/>
          </w:tblCellMar>
        </w:tblPrEx>
        <w:trPr>
          <w:trHeight w:val="397" w:hRule="atLeast"/>
          <w:jc w:val="center"/>
        </w:trPr>
        <w:tc>
          <w:tcPr>
            <w:tcW w:w="0" w:type="auto"/>
            <w:vMerge w:val="continue"/>
            <w:tcBorders>
              <w:top w:val="nil"/>
              <w:left w:val="nil"/>
              <w:bottom w:val="single" w:color="auto" w:sz="8" w:space="0"/>
              <w:right w:val="single" w:color="auto" w:sz="8" w:space="0"/>
            </w:tcBorders>
            <w:vAlign w:val="center"/>
          </w:tcPr>
          <w:p w14:paraId="62D2D2BB">
            <w:pPr>
              <w:widowControl/>
              <w:rPr>
                <w:rFonts w:ascii="宋体" w:hAnsi="宋体" w:cs="宋体"/>
                <w:bCs/>
                <w:color w:val="auto"/>
                <w:sz w:val="24"/>
                <w:highlight w:val="none"/>
              </w:rPr>
            </w:pP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14:paraId="7429D790">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营业收入(Y)</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14:paraId="0C508163">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14:paraId="1420B0F0">
            <w:pPr>
              <w:rPr>
                <w:rFonts w:ascii="宋体" w:hAnsi="宋体" w:cs="宋体"/>
                <w:bCs/>
                <w:color w:val="auto"/>
                <w:sz w:val="24"/>
                <w:highlight w:val="none"/>
              </w:rPr>
            </w:pPr>
            <w:r>
              <w:rPr>
                <w:rFonts w:hint="eastAsia" w:ascii="宋体" w:hAnsi="宋体" w:cs="宋体"/>
                <w:color w:val="auto"/>
                <w:sz w:val="18"/>
                <w:szCs w:val="18"/>
                <w:highlight w:val="none"/>
              </w:rPr>
              <w:t>Y≥30000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14:paraId="5376B0C8">
            <w:pPr>
              <w:rPr>
                <w:rFonts w:ascii="宋体" w:hAnsi="宋体" w:cs="宋体"/>
                <w:bCs/>
                <w:color w:val="auto"/>
                <w:sz w:val="24"/>
                <w:highlight w:val="none"/>
              </w:rPr>
            </w:pPr>
            <w:r>
              <w:rPr>
                <w:rFonts w:hint="eastAsia" w:ascii="宋体" w:hAnsi="宋体" w:cs="宋体"/>
                <w:color w:val="auto"/>
                <w:sz w:val="18"/>
                <w:szCs w:val="18"/>
                <w:highlight w:val="none"/>
              </w:rPr>
              <w:t>1000≤Y＜30000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14:paraId="0E061C9C">
            <w:pPr>
              <w:rPr>
                <w:rFonts w:ascii="宋体" w:hAnsi="宋体" w:cs="宋体"/>
                <w:bCs/>
                <w:color w:val="auto"/>
                <w:sz w:val="24"/>
                <w:highlight w:val="none"/>
              </w:rPr>
            </w:pPr>
            <w:r>
              <w:rPr>
                <w:rFonts w:hint="eastAsia" w:ascii="宋体" w:hAnsi="宋体" w:cs="宋体"/>
                <w:color w:val="auto"/>
                <w:sz w:val="18"/>
                <w:szCs w:val="18"/>
                <w:highlight w:val="none"/>
              </w:rPr>
              <w:t>100≤Y＜1000</w:t>
            </w:r>
          </w:p>
        </w:tc>
        <w:tc>
          <w:tcPr>
            <w:tcW w:w="908" w:type="dxa"/>
            <w:tcBorders>
              <w:top w:val="nil"/>
              <w:left w:val="nil"/>
              <w:bottom w:val="single" w:color="auto" w:sz="8" w:space="0"/>
              <w:right w:val="nil"/>
            </w:tcBorders>
            <w:tcMar>
              <w:top w:w="0" w:type="dxa"/>
              <w:left w:w="108" w:type="dxa"/>
              <w:bottom w:w="0" w:type="dxa"/>
              <w:right w:w="108" w:type="dxa"/>
            </w:tcMar>
            <w:vAlign w:val="center"/>
          </w:tcPr>
          <w:p w14:paraId="5C98DD00">
            <w:pPr>
              <w:rPr>
                <w:rFonts w:ascii="宋体" w:hAnsi="宋体" w:cs="宋体"/>
                <w:bCs/>
                <w:color w:val="auto"/>
                <w:sz w:val="24"/>
                <w:highlight w:val="none"/>
              </w:rPr>
            </w:pPr>
            <w:r>
              <w:rPr>
                <w:rFonts w:hint="eastAsia" w:ascii="宋体" w:hAnsi="宋体" w:cs="宋体"/>
                <w:color w:val="auto"/>
                <w:sz w:val="18"/>
                <w:szCs w:val="18"/>
                <w:highlight w:val="none"/>
              </w:rPr>
              <w:t>Y＜100</w:t>
            </w:r>
          </w:p>
        </w:tc>
      </w:tr>
      <w:tr w14:paraId="1420510C">
        <w:tblPrEx>
          <w:tblCellMar>
            <w:top w:w="0" w:type="dxa"/>
            <w:left w:w="0" w:type="dxa"/>
            <w:bottom w:w="0" w:type="dxa"/>
            <w:right w:w="0" w:type="dxa"/>
          </w:tblCellMar>
        </w:tblPrEx>
        <w:trPr>
          <w:trHeight w:val="397" w:hRule="atLeast"/>
          <w:jc w:val="center"/>
        </w:trPr>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6859419A">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邮政业</w:t>
            </w:r>
          </w:p>
        </w:tc>
        <w:tc>
          <w:tcPr>
            <w:tcW w:w="1281" w:type="dxa"/>
            <w:tcBorders>
              <w:top w:val="nil"/>
              <w:left w:val="nil"/>
              <w:bottom w:val="nil"/>
              <w:right w:val="single" w:color="auto" w:sz="8" w:space="0"/>
            </w:tcBorders>
            <w:tcMar>
              <w:top w:w="0" w:type="dxa"/>
              <w:left w:w="108" w:type="dxa"/>
              <w:bottom w:w="0" w:type="dxa"/>
              <w:right w:w="108" w:type="dxa"/>
            </w:tcMar>
            <w:vAlign w:val="center"/>
          </w:tcPr>
          <w:p w14:paraId="7B88404B">
            <w:pPr>
              <w:rPr>
                <w:rFonts w:ascii="宋体" w:hAnsi="宋体" w:cs="宋体"/>
                <w:bCs/>
                <w:color w:val="auto"/>
                <w:sz w:val="24"/>
                <w:highlight w:val="none"/>
              </w:rPr>
            </w:pPr>
            <w:r>
              <w:rPr>
                <w:rFonts w:hint="eastAsia" w:ascii="宋体" w:hAnsi="宋体" w:cs="宋体"/>
                <w:color w:val="auto"/>
                <w:sz w:val="18"/>
                <w:szCs w:val="18"/>
                <w:highlight w:val="none"/>
              </w:rPr>
              <w:t>从业人员(X)</w:t>
            </w:r>
          </w:p>
        </w:tc>
        <w:tc>
          <w:tcPr>
            <w:tcW w:w="758" w:type="dxa"/>
            <w:tcBorders>
              <w:top w:val="nil"/>
              <w:left w:val="nil"/>
              <w:bottom w:val="nil"/>
              <w:right w:val="single" w:color="auto" w:sz="8" w:space="0"/>
            </w:tcBorders>
            <w:tcMar>
              <w:top w:w="0" w:type="dxa"/>
              <w:left w:w="108" w:type="dxa"/>
              <w:bottom w:w="0" w:type="dxa"/>
              <w:right w:w="108" w:type="dxa"/>
            </w:tcMar>
            <w:vAlign w:val="center"/>
          </w:tcPr>
          <w:p w14:paraId="1CAEC9E6">
            <w:pPr>
              <w:rPr>
                <w:rFonts w:ascii="宋体" w:hAnsi="宋体" w:cs="宋体"/>
                <w:bCs/>
                <w:color w:val="auto"/>
                <w:sz w:val="24"/>
                <w:highlight w:val="none"/>
              </w:rPr>
            </w:pPr>
            <w:r>
              <w:rPr>
                <w:rFonts w:hint="eastAsia" w:ascii="宋体" w:hAnsi="宋体" w:cs="宋体"/>
                <w:color w:val="auto"/>
                <w:sz w:val="18"/>
                <w:szCs w:val="18"/>
                <w:highlight w:val="none"/>
              </w:rPr>
              <w:t>人</w:t>
            </w:r>
          </w:p>
        </w:tc>
        <w:tc>
          <w:tcPr>
            <w:tcW w:w="993" w:type="dxa"/>
            <w:tcBorders>
              <w:top w:val="nil"/>
              <w:left w:val="nil"/>
              <w:bottom w:val="nil"/>
              <w:right w:val="single" w:color="auto" w:sz="8" w:space="0"/>
            </w:tcBorders>
            <w:tcMar>
              <w:top w:w="0" w:type="dxa"/>
              <w:left w:w="108" w:type="dxa"/>
              <w:bottom w:w="0" w:type="dxa"/>
              <w:right w:w="108" w:type="dxa"/>
            </w:tcMar>
            <w:vAlign w:val="center"/>
          </w:tcPr>
          <w:p w14:paraId="13005997">
            <w:pPr>
              <w:rPr>
                <w:rFonts w:ascii="宋体" w:hAnsi="宋体" w:cs="宋体"/>
                <w:bCs/>
                <w:color w:val="auto"/>
                <w:sz w:val="24"/>
                <w:highlight w:val="none"/>
              </w:rPr>
            </w:pPr>
            <w:r>
              <w:rPr>
                <w:rFonts w:hint="eastAsia" w:ascii="宋体" w:hAnsi="宋体" w:cs="宋体"/>
                <w:color w:val="auto"/>
                <w:sz w:val="18"/>
                <w:szCs w:val="18"/>
                <w:highlight w:val="none"/>
              </w:rPr>
              <w:t>X≥1000</w:t>
            </w:r>
          </w:p>
        </w:tc>
        <w:tc>
          <w:tcPr>
            <w:tcW w:w="1491" w:type="dxa"/>
            <w:tcBorders>
              <w:top w:val="nil"/>
              <w:left w:val="nil"/>
              <w:bottom w:val="nil"/>
              <w:right w:val="single" w:color="auto" w:sz="8" w:space="0"/>
            </w:tcBorders>
            <w:tcMar>
              <w:top w:w="0" w:type="dxa"/>
              <w:left w:w="108" w:type="dxa"/>
              <w:bottom w:w="0" w:type="dxa"/>
              <w:right w:w="108" w:type="dxa"/>
            </w:tcMar>
            <w:vAlign w:val="center"/>
          </w:tcPr>
          <w:p w14:paraId="699B0275">
            <w:pPr>
              <w:rPr>
                <w:rFonts w:ascii="宋体" w:hAnsi="宋体" w:cs="宋体"/>
                <w:bCs/>
                <w:color w:val="auto"/>
                <w:sz w:val="24"/>
                <w:highlight w:val="none"/>
              </w:rPr>
            </w:pPr>
            <w:r>
              <w:rPr>
                <w:rFonts w:hint="eastAsia" w:ascii="宋体" w:hAnsi="宋体" w:cs="宋体"/>
                <w:color w:val="auto"/>
                <w:sz w:val="18"/>
                <w:szCs w:val="18"/>
                <w:highlight w:val="none"/>
              </w:rPr>
              <w:t>300≤X＜1000</w:t>
            </w:r>
          </w:p>
        </w:tc>
        <w:tc>
          <w:tcPr>
            <w:tcW w:w="1315" w:type="dxa"/>
            <w:tcBorders>
              <w:top w:val="nil"/>
              <w:left w:val="nil"/>
              <w:bottom w:val="nil"/>
              <w:right w:val="single" w:color="auto" w:sz="8" w:space="0"/>
            </w:tcBorders>
            <w:tcMar>
              <w:top w:w="0" w:type="dxa"/>
              <w:left w:w="108" w:type="dxa"/>
              <w:bottom w:w="0" w:type="dxa"/>
              <w:right w:w="108" w:type="dxa"/>
            </w:tcMar>
            <w:vAlign w:val="center"/>
          </w:tcPr>
          <w:p w14:paraId="631B2D14">
            <w:pPr>
              <w:rPr>
                <w:rFonts w:ascii="宋体" w:hAnsi="宋体" w:cs="宋体"/>
                <w:bCs/>
                <w:color w:val="auto"/>
                <w:sz w:val="24"/>
                <w:highlight w:val="none"/>
              </w:rPr>
            </w:pPr>
            <w:r>
              <w:rPr>
                <w:rFonts w:hint="eastAsia" w:ascii="宋体" w:hAnsi="宋体" w:cs="宋体"/>
                <w:color w:val="auto"/>
                <w:sz w:val="18"/>
                <w:szCs w:val="18"/>
                <w:highlight w:val="none"/>
              </w:rPr>
              <w:t>20≤X＜300</w:t>
            </w:r>
          </w:p>
        </w:tc>
        <w:tc>
          <w:tcPr>
            <w:tcW w:w="908" w:type="dxa"/>
            <w:tcMar>
              <w:top w:w="0" w:type="dxa"/>
              <w:left w:w="108" w:type="dxa"/>
              <w:bottom w:w="0" w:type="dxa"/>
              <w:right w:w="108" w:type="dxa"/>
            </w:tcMar>
            <w:vAlign w:val="center"/>
          </w:tcPr>
          <w:p w14:paraId="548264A7">
            <w:pPr>
              <w:rPr>
                <w:rFonts w:ascii="宋体" w:hAnsi="宋体" w:cs="宋体"/>
                <w:bCs/>
                <w:color w:val="auto"/>
                <w:sz w:val="24"/>
                <w:highlight w:val="none"/>
              </w:rPr>
            </w:pPr>
            <w:r>
              <w:rPr>
                <w:rFonts w:hint="eastAsia" w:ascii="宋体" w:hAnsi="宋体" w:cs="宋体"/>
                <w:color w:val="auto"/>
                <w:sz w:val="18"/>
                <w:szCs w:val="18"/>
                <w:highlight w:val="none"/>
              </w:rPr>
              <w:t>X＜20</w:t>
            </w:r>
          </w:p>
        </w:tc>
      </w:tr>
      <w:tr w14:paraId="542BC6E0">
        <w:tblPrEx>
          <w:tblCellMar>
            <w:top w:w="0" w:type="dxa"/>
            <w:left w:w="0" w:type="dxa"/>
            <w:bottom w:w="0" w:type="dxa"/>
            <w:right w:w="0" w:type="dxa"/>
          </w:tblCellMar>
        </w:tblPrEx>
        <w:trPr>
          <w:trHeight w:val="397" w:hRule="atLeast"/>
          <w:jc w:val="center"/>
        </w:trPr>
        <w:tc>
          <w:tcPr>
            <w:tcW w:w="0" w:type="auto"/>
            <w:vMerge w:val="continue"/>
            <w:tcBorders>
              <w:top w:val="nil"/>
              <w:left w:val="nil"/>
              <w:bottom w:val="single" w:color="auto" w:sz="8" w:space="0"/>
              <w:right w:val="single" w:color="auto" w:sz="8" w:space="0"/>
            </w:tcBorders>
            <w:vAlign w:val="center"/>
          </w:tcPr>
          <w:p w14:paraId="1C412A31">
            <w:pPr>
              <w:widowControl/>
              <w:rPr>
                <w:rFonts w:ascii="宋体" w:hAnsi="宋体" w:cs="宋体"/>
                <w:bCs/>
                <w:color w:val="auto"/>
                <w:sz w:val="24"/>
                <w:highlight w:val="none"/>
              </w:rPr>
            </w:pP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14:paraId="3F957743">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营业收入(Y)</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14:paraId="45E21184">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14:paraId="26F10981">
            <w:pPr>
              <w:rPr>
                <w:rFonts w:ascii="宋体" w:hAnsi="宋体" w:cs="宋体"/>
                <w:bCs/>
                <w:color w:val="auto"/>
                <w:sz w:val="24"/>
                <w:highlight w:val="none"/>
              </w:rPr>
            </w:pPr>
            <w:r>
              <w:rPr>
                <w:rFonts w:hint="eastAsia" w:ascii="宋体" w:hAnsi="宋体" w:cs="宋体"/>
                <w:color w:val="auto"/>
                <w:sz w:val="18"/>
                <w:szCs w:val="18"/>
                <w:highlight w:val="none"/>
              </w:rPr>
              <w:t>Y≥30000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14:paraId="74223B6C">
            <w:pPr>
              <w:rPr>
                <w:rFonts w:ascii="宋体" w:hAnsi="宋体" w:cs="宋体"/>
                <w:bCs/>
                <w:color w:val="auto"/>
                <w:sz w:val="24"/>
                <w:highlight w:val="none"/>
              </w:rPr>
            </w:pPr>
            <w:r>
              <w:rPr>
                <w:rFonts w:hint="eastAsia" w:ascii="宋体" w:hAnsi="宋体" w:cs="宋体"/>
                <w:color w:val="auto"/>
                <w:sz w:val="18"/>
                <w:szCs w:val="18"/>
                <w:highlight w:val="none"/>
              </w:rPr>
              <w:t>2000≤Y＜30000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14:paraId="7F7D498F">
            <w:pPr>
              <w:rPr>
                <w:rFonts w:ascii="宋体" w:hAnsi="宋体" w:cs="宋体"/>
                <w:bCs/>
                <w:color w:val="auto"/>
                <w:sz w:val="24"/>
                <w:highlight w:val="none"/>
              </w:rPr>
            </w:pPr>
            <w:r>
              <w:rPr>
                <w:rFonts w:hint="eastAsia" w:ascii="宋体" w:hAnsi="宋体" w:cs="宋体"/>
                <w:color w:val="auto"/>
                <w:sz w:val="18"/>
                <w:szCs w:val="18"/>
                <w:highlight w:val="none"/>
              </w:rPr>
              <w:t>100≤Y＜2000</w:t>
            </w:r>
          </w:p>
        </w:tc>
        <w:tc>
          <w:tcPr>
            <w:tcW w:w="908" w:type="dxa"/>
            <w:tcBorders>
              <w:top w:val="nil"/>
              <w:left w:val="nil"/>
              <w:bottom w:val="single" w:color="auto" w:sz="8" w:space="0"/>
              <w:right w:val="nil"/>
            </w:tcBorders>
            <w:tcMar>
              <w:top w:w="0" w:type="dxa"/>
              <w:left w:w="108" w:type="dxa"/>
              <w:bottom w:w="0" w:type="dxa"/>
              <w:right w:w="108" w:type="dxa"/>
            </w:tcMar>
            <w:vAlign w:val="center"/>
          </w:tcPr>
          <w:p w14:paraId="1BAACEF3">
            <w:pPr>
              <w:rPr>
                <w:rFonts w:ascii="宋体" w:hAnsi="宋体" w:cs="宋体"/>
                <w:bCs/>
                <w:color w:val="auto"/>
                <w:sz w:val="24"/>
                <w:highlight w:val="none"/>
              </w:rPr>
            </w:pPr>
            <w:r>
              <w:rPr>
                <w:rFonts w:hint="eastAsia" w:ascii="宋体" w:hAnsi="宋体" w:cs="宋体"/>
                <w:color w:val="auto"/>
                <w:sz w:val="18"/>
                <w:szCs w:val="18"/>
                <w:highlight w:val="none"/>
              </w:rPr>
              <w:t>Y＜100</w:t>
            </w:r>
          </w:p>
        </w:tc>
      </w:tr>
      <w:tr w14:paraId="39C97D95">
        <w:tblPrEx>
          <w:tblCellMar>
            <w:top w:w="0" w:type="dxa"/>
            <w:left w:w="0" w:type="dxa"/>
            <w:bottom w:w="0" w:type="dxa"/>
            <w:right w:w="0" w:type="dxa"/>
          </w:tblCellMar>
        </w:tblPrEx>
        <w:trPr>
          <w:trHeight w:val="397" w:hRule="atLeast"/>
          <w:jc w:val="center"/>
        </w:trPr>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6E65AB18">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住宿业</w:t>
            </w:r>
          </w:p>
        </w:tc>
        <w:tc>
          <w:tcPr>
            <w:tcW w:w="1281" w:type="dxa"/>
            <w:tcBorders>
              <w:top w:val="nil"/>
              <w:left w:val="nil"/>
              <w:bottom w:val="nil"/>
              <w:right w:val="single" w:color="auto" w:sz="8" w:space="0"/>
            </w:tcBorders>
            <w:tcMar>
              <w:top w:w="0" w:type="dxa"/>
              <w:left w:w="108" w:type="dxa"/>
              <w:bottom w:w="0" w:type="dxa"/>
              <w:right w:w="108" w:type="dxa"/>
            </w:tcMar>
            <w:vAlign w:val="center"/>
          </w:tcPr>
          <w:p w14:paraId="52DC7460">
            <w:pPr>
              <w:rPr>
                <w:rFonts w:ascii="宋体" w:hAnsi="宋体" w:cs="宋体"/>
                <w:bCs/>
                <w:color w:val="auto"/>
                <w:sz w:val="24"/>
                <w:highlight w:val="none"/>
              </w:rPr>
            </w:pPr>
            <w:r>
              <w:rPr>
                <w:rFonts w:hint="eastAsia" w:ascii="宋体" w:hAnsi="宋体" w:cs="宋体"/>
                <w:color w:val="auto"/>
                <w:sz w:val="18"/>
                <w:szCs w:val="18"/>
                <w:highlight w:val="none"/>
              </w:rPr>
              <w:t>从业人员(X)</w:t>
            </w:r>
          </w:p>
        </w:tc>
        <w:tc>
          <w:tcPr>
            <w:tcW w:w="758" w:type="dxa"/>
            <w:tcBorders>
              <w:top w:val="nil"/>
              <w:left w:val="nil"/>
              <w:bottom w:val="nil"/>
              <w:right w:val="single" w:color="auto" w:sz="8" w:space="0"/>
            </w:tcBorders>
            <w:tcMar>
              <w:top w:w="0" w:type="dxa"/>
              <w:left w:w="108" w:type="dxa"/>
              <w:bottom w:w="0" w:type="dxa"/>
              <w:right w:w="108" w:type="dxa"/>
            </w:tcMar>
            <w:vAlign w:val="center"/>
          </w:tcPr>
          <w:p w14:paraId="5D9EDC97">
            <w:pPr>
              <w:rPr>
                <w:rFonts w:ascii="宋体" w:hAnsi="宋体" w:cs="宋体"/>
                <w:bCs/>
                <w:color w:val="auto"/>
                <w:sz w:val="24"/>
                <w:highlight w:val="none"/>
              </w:rPr>
            </w:pPr>
            <w:r>
              <w:rPr>
                <w:rFonts w:hint="eastAsia" w:ascii="宋体" w:hAnsi="宋体" w:cs="宋体"/>
                <w:color w:val="auto"/>
                <w:sz w:val="18"/>
                <w:szCs w:val="18"/>
                <w:highlight w:val="none"/>
              </w:rPr>
              <w:t>人</w:t>
            </w:r>
          </w:p>
        </w:tc>
        <w:tc>
          <w:tcPr>
            <w:tcW w:w="993" w:type="dxa"/>
            <w:tcBorders>
              <w:top w:val="nil"/>
              <w:left w:val="nil"/>
              <w:bottom w:val="nil"/>
              <w:right w:val="single" w:color="auto" w:sz="8" w:space="0"/>
            </w:tcBorders>
            <w:tcMar>
              <w:top w:w="0" w:type="dxa"/>
              <w:left w:w="108" w:type="dxa"/>
              <w:bottom w:w="0" w:type="dxa"/>
              <w:right w:w="108" w:type="dxa"/>
            </w:tcMar>
            <w:vAlign w:val="center"/>
          </w:tcPr>
          <w:p w14:paraId="543DA2AE">
            <w:pPr>
              <w:rPr>
                <w:rFonts w:ascii="宋体" w:hAnsi="宋体" w:cs="宋体"/>
                <w:bCs/>
                <w:color w:val="auto"/>
                <w:sz w:val="24"/>
                <w:highlight w:val="none"/>
              </w:rPr>
            </w:pPr>
            <w:r>
              <w:rPr>
                <w:rFonts w:hint="eastAsia" w:ascii="宋体" w:hAnsi="宋体" w:cs="宋体"/>
                <w:color w:val="auto"/>
                <w:sz w:val="18"/>
                <w:szCs w:val="18"/>
                <w:highlight w:val="none"/>
              </w:rPr>
              <w:t>X≥300</w:t>
            </w:r>
          </w:p>
        </w:tc>
        <w:tc>
          <w:tcPr>
            <w:tcW w:w="1491" w:type="dxa"/>
            <w:tcBorders>
              <w:top w:val="nil"/>
              <w:left w:val="nil"/>
              <w:bottom w:val="nil"/>
              <w:right w:val="single" w:color="auto" w:sz="8" w:space="0"/>
            </w:tcBorders>
            <w:tcMar>
              <w:top w:w="0" w:type="dxa"/>
              <w:left w:w="108" w:type="dxa"/>
              <w:bottom w:w="0" w:type="dxa"/>
              <w:right w:w="108" w:type="dxa"/>
            </w:tcMar>
            <w:vAlign w:val="center"/>
          </w:tcPr>
          <w:p w14:paraId="1B2B4FCE">
            <w:pPr>
              <w:ind w:left="1"/>
              <w:rPr>
                <w:rFonts w:ascii="宋体" w:hAnsi="宋体" w:cs="宋体"/>
                <w:bCs/>
                <w:color w:val="auto"/>
                <w:sz w:val="24"/>
                <w:highlight w:val="none"/>
              </w:rPr>
            </w:pPr>
            <w:r>
              <w:rPr>
                <w:rFonts w:hint="eastAsia" w:ascii="宋体" w:hAnsi="宋体" w:cs="宋体"/>
                <w:color w:val="auto"/>
                <w:sz w:val="18"/>
                <w:szCs w:val="18"/>
                <w:highlight w:val="none"/>
              </w:rPr>
              <w:t>100≤X＜300</w:t>
            </w:r>
          </w:p>
        </w:tc>
        <w:tc>
          <w:tcPr>
            <w:tcW w:w="1315" w:type="dxa"/>
            <w:tcBorders>
              <w:top w:val="nil"/>
              <w:left w:val="nil"/>
              <w:bottom w:val="nil"/>
              <w:right w:val="single" w:color="auto" w:sz="8" w:space="0"/>
            </w:tcBorders>
            <w:tcMar>
              <w:top w:w="0" w:type="dxa"/>
              <w:left w:w="108" w:type="dxa"/>
              <w:bottom w:w="0" w:type="dxa"/>
              <w:right w:w="108" w:type="dxa"/>
            </w:tcMar>
            <w:vAlign w:val="center"/>
          </w:tcPr>
          <w:p w14:paraId="41F2841A">
            <w:pPr>
              <w:rPr>
                <w:rFonts w:ascii="宋体" w:hAnsi="宋体" w:cs="宋体"/>
                <w:bCs/>
                <w:color w:val="auto"/>
                <w:sz w:val="24"/>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14:paraId="6C7B697F">
            <w:pPr>
              <w:rPr>
                <w:rFonts w:ascii="宋体" w:hAnsi="宋体" w:cs="宋体"/>
                <w:bCs/>
                <w:color w:val="auto"/>
                <w:sz w:val="24"/>
                <w:highlight w:val="none"/>
              </w:rPr>
            </w:pPr>
            <w:r>
              <w:rPr>
                <w:rFonts w:hint="eastAsia" w:ascii="宋体" w:hAnsi="宋体" w:cs="宋体"/>
                <w:color w:val="auto"/>
                <w:sz w:val="18"/>
                <w:szCs w:val="18"/>
                <w:highlight w:val="none"/>
              </w:rPr>
              <w:t>X＜10</w:t>
            </w:r>
          </w:p>
        </w:tc>
      </w:tr>
      <w:tr w14:paraId="07C29D98">
        <w:tblPrEx>
          <w:tblCellMar>
            <w:top w:w="0" w:type="dxa"/>
            <w:left w:w="0" w:type="dxa"/>
            <w:bottom w:w="0" w:type="dxa"/>
            <w:right w:w="0" w:type="dxa"/>
          </w:tblCellMar>
        </w:tblPrEx>
        <w:trPr>
          <w:trHeight w:val="397" w:hRule="atLeast"/>
          <w:jc w:val="center"/>
        </w:trPr>
        <w:tc>
          <w:tcPr>
            <w:tcW w:w="0" w:type="auto"/>
            <w:vMerge w:val="continue"/>
            <w:tcBorders>
              <w:top w:val="nil"/>
              <w:left w:val="nil"/>
              <w:bottom w:val="single" w:color="auto" w:sz="8" w:space="0"/>
              <w:right w:val="single" w:color="auto" w:sz="8" w:space="0"/>
            </w:tcBorders>
            <w:vAlign w:val="center"/>
          </w:tcPr>
          <w:p w14:paraId="29088E10">
            <w:pPr>
              <w:widowControl/>
              <w:rPr>
                <w:rFonts w:ascii="宋体" w:hAnsi="宋体" w:cs="宋体"/>
                <w:bCs/>
                <w:color w:val="auto"/>
                <w:sz w:val="24"/>
                <w:highlight w:val="none"/>
              </w:rPr>
            </w:pP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14:paraId="768D4A36">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营业收入(Y)</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14:paraId="3C3C06B3">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14:paraId="298293B9">
            <w:pPr>
              <w:rPr>
                <w:rFonts w:ascii="宋体" w:hAnsi="宋体" w:cs="宋体"/>
                <w:bCs/>
                <w:color w:val="auto"/>
                <w:sz w:val="24"/>
                <w:highlight w:val="none"/>
              </w:rPr>
            </w:pPr>
            <w:r>
              <w:rPr>
                <w:rFonts w:hint="eastAsia" w:ascii="宋体" w:hAnsi="宋体" w:cs="宋体"/>
                <w:color w:val="auto"/>
                <w:sz w:val="18"/>
                <w:szCs w:val="18"/>
                <w:highlight w:val="none"/>
              </w:rPr>
              <w:t>Y≥10000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14:paraId="571F95B0">
            <w:pPr>
              <w:rPr>
                <w:rFonts w:ascii="宋体" w:hAnsi="宋体" w:cs="宋体"/>
                <w:bCs/>
                <w:color w:val="auto"/>
                <w:sz w:val="24"/>
                <w:highlight w:val="none"/>
              </w:rPr>
            </w:pPr>
            <w:r>
              <w:rPr>
                <w:rFonts w:hint="eastAsia" w:ascii="宋体" w:hAnsi="宋体" w:cs="宋体"/>
                <w:color w:val="auto"/>
                <w:sz w:val="18"/>
                <w:szCs w:val="18"/>
                <w:highlight w:val="none"/>
              </w:rPr>
              <w:t>2000≤Y＜10000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14:paraId="01466D61">
            <w:pPr>
              <w:rPr>
                <w:rFonts w:ascii="宋体" w:hAnsi="宋体" w:cs="宋体"/>
                <w:bCs/>
                <w:color w:val="auto"/>
                <w:sz w:val="24"/>
                <w:highlight w:val="none"/>
              </w:rPr>
            </w:pPr>
            <w:r>
              <w:rPr>
                <w:rFonts w:hint="eastAsia" w:ascii="宋体" w:hAnsi="宋体" w:cs="宋体"/>
                <w:color w:val="auto"/>
                <w:sz w:val="18"/>
                <w:szCs w:val="18"/>
                <w:highlight w:val="none"/>
              </w:rPr>
              <w:t>100≤Y＜2000</w:t>
            </w:r>
          </w:p>
        </w:tc>
        <w:tc>
          <w:tcPr>
            <w:tcW w:w="908" w:type="dxa"/>
            <w:tcBorders>
              <w:top w:val="nil"/>
              <w:left w:val="nil"/>
              <w:bottom w:val="single" w:color="auto" w:sz="8" w:space="0"/>
              <w:right w:val="nil"/>
            </w:tcBorders>
            <w:tcMar>
              <w:top w:w="0" w:type="dxa"/>
              <w:left w:w="108" w:type="dxa"/>
              <w:bottom w:w="0" w:type="dxa"/>
              <w:right w:w="108" w:type="dxa"/>
            </w:tcMar>
            <w:vAlign w:val="center"/>
          </w:tcPr>
          <w:p w14:paraId="3A010ABE">
            <w:pPr>
              <w:rPr>
                <w:rFonts w:ascii="宋体" w:hAnsi="宋体" w:cs="宋体"/>
                <w:bCs/>
                <w:color w:val="auto"/>
                <w:sz w:val="24"/>
                <w:highlight w:val="none"/>
              </w:rPr>
            </w:pPr>
            <w:r>
              <w:rPr>
                <w:rFonts w:hint="eastAsia" w:ascii="宋体" w:hAnsi="宋体" w:cs="宋体"/>
                <w:color w:val="auto"/>
                <w:sz w:val="18"/>
                <w:szCs w:val="18"/>
                <w:highlight w:val="none"/>
              </w:rPr>
              <w:t>Y＜100</w:t>
            </w:r>
          </w:p>
        </w:tc>
      </w:tr>
      <w:tr w14:paraId="6B2F4E05">
        <w:tblPrEx>
          <w:tblCellMar>
            <w:top w:w="0" w:type="dxa"/>
            <w:left w:w="0" w:type="dxa"/>
            <w:bottom w:w="0" w:type="dxa"/>
            <w:right w:w="0" w:type="dxa"/>
          </w:tblCellMar>
        </w:tblPrEx>
        <w:trPr>
          <w:trHeight w:val="397" w:hRule="atLeast"/>
          <w:jc w:val="center"/>
        </w:trPr>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3A4DDC46">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餐饮业</w:t>
            </w:r>
          </w:p>
        </w:tc>
        <w:tc>
          <w:tcPr>
            <w:tcW w:w="1281" w:type="dxa"/>
            <w:tcBorders>
              <w:top w:val="nil"/>
              <w:left w:val="nil"/>
              <w:bottom w:val="nil"/>
              <w:right w:val="single" w:color="auto" w:sz="8" w:space="0"/>
            </w:tcBorders>
            <w:tcMar>
              <w:top w:w="0" w:type="dxa"/>
              <w:left w:w="108" w:type="dxa"/>
              <w:bottom w:w="0" w:type="dxa"/>
              <w:right w:w="108" w:type="dxa"/>
            </w:tcMar>
            <w:vAlign w:val="center"/>
          </w:tcPr>
          <w:p w14:paraId="0372C4F3">
            <w:pPr>
              <w:rPr>
                <w:rFonts w:ascii="宋体" w:hAnsi="宋体" w:cs="宋体"/>
                <w:bCs/>
                <w:color w:val="auto"/>
                <w:sz w:val="24"/>
                <w:highlight w:val="none"/>
              </w:rPr>
            </w:pPr>
            <w:r>
              <w:rPr>
                <w:rFonts w:hint="eastAsia" w:ascii="宋体" w:hAnsi="宋体" w:cs="宋体"/>
                <w:color w:val="auto"/>
                <w:sz w:val="18"/>
                <w:szCs w:val="18"/>
                <w:highlight w:val="none"/>
              </w:rPr>
              <w:t>从业人员(X)</w:t>
            </w:r>
          </w:p>
        </w:tc>
        <w:tc>
          <w:tcPr>
            <w:tcW w:w="758" w:type="dxa"/>
            <w:tcBorders>
              <w:top w:val="nil"/>
              <w:left w:val="nil"/>
              <w:bottom w:val="nil"/>
              <w:right w:val="single" w:color="auto" w:sz="8" w:space="0"/>
            </w:tcBorders>
            <w:tcMar>
              <w:top w:w="0" w:type="dxa"/>
              <w:left w:w="108" w:type="dxa"/>
              <w:bottom w:w="0" w:type="dxa"/>
              <w:right w:w="108" w:type="dxa"/>
            </w:tcMar>
            <w:vAlign w:val="center"/>
          </w:tcPr>
          <w:p w14:paraId="6BC8C3E4">
            <w:pPr>
              <w:rPr>
                <w:rFonts w:ascii="宋体" w:hAnsi="宋体" w:cs="宋体"/>
                <w:bCs/>
                <w:color w:val="auto"/>
                <w:sz w:val="24"/>
                <w:highlight w:val="none"/>
              </w:rPr>
            </w:pPr>
            <w:r>
              <w:rPr>
                <w:rFonts w:hint="eastAsia" w:ascii="宋体" w:hAnsi="宋体" w:cs="宋体"/>
                <w:color w:val="auto"/>
                <w:sz w:val="18"/>
                <w:szCs w:val="18"/>
                <w:highlight w:val="none"/>
              </w:rPr>
              <w:t>人</w:t>
            </w:r>
          </w:p>
        </w:tc>
        <w:tc>
          <w:tcPr>
            <w:tcW w:w="993" w:type="dxa"/>
            <w:tcBorders>
              <w:top w:val="nil"/>
              <w:left w:val="nil"/>
              <w:bottom w:val="nil"/>
              <w:right w:val="single" w:color="auto" w:sz="8" w:space="0"/>
            </w:tcBorders>
            <w:tcMar>
              <w:top w:w="0" w:type="dxa"/>
              <w:left w:w="108" w:type="dxa"/>
              <w:bottom w:w="0" w:type="dxa"/>
              <w:right w:w="108" w:type="dxa"/>
            </w:tcMar>
            <w:vAlign w:val="center"/>
          </w:tcPr>
          <w:p w14:paraId="671AE038">
            <w:pPr>
              <w:rPr>
                <w:rFonts w:ascii="宋体" w:hAnsi="宋体" w:cs="宋体"/>
                <w:bCs/>
                <w:color w:val="auto"/>
                <w:sz w:val="24"/>
                <w:highlight w:val="none"/>
              </w:rPr>
            </w:pPr>
            <w:r>
              <w:rPr>
                <w:rFonts w:hint="eastAsia" w:ascii="宋体" w:hAnsi="宋体" w:cs="宋体"/>
                <w:color w:val="auto"/>
                <w:sz w:val="18"/>
                <w:szCs w:val="18"/>
                <w:highlight w:val="none"/>
              </w:rPr>
              <w:t>X≥300</w:t>
            </w:r>
          </w:p>
        </w:tc>
        <w:tc>
          <w:tcPr>
            <w:tcW w:w="1491" w:type="dxa"/>
            <w:tcBorders>
              <w:top w:val="nil"/>
              <w:left w:val="nil"/>
              <w:bottom w:val="nil"/>
              <w:right w:val="single" w:color="auto" w:sz="8" w:space="0"/>
            </w:tcBorders>
            <w:tcMar>
              <w:top w:w="0" w:type="dxa"/>
              <w:left w:w="108" w:type="dxa"/>
              <w:bottom w:w="0" w:type="dxa"/>
              <w:right w:w="108" w:type="dxa"/>
            </w:tcMar>
            <w:vAlign w:val="center"/>
          </w:tcPr>
          <w:p w14:paraId="767C3742">
            <w:pPr>
              <w:ind w:left="1"/>
              <w:rPr>
                <w:rFonts w:ascii="宋体" w:hAnsi="宋体" w:cs="宋体"/>
                <w:bCs/>
                <w:color w:val="auto"/>
                <w:sz w:val="24"/>
                <w:highlight w:val="none"/>
              </w:rPr>
            </w:pPr>
            <w:r>
              <w:rPr>
                <w:rFonts w:hint="eastAsia" w:ascii="宋体" w:hAnsi="宋体" w:cs="宋体"/>
                <w:color w:val="auto"/>
                <w:sz w:val="18"/>
                <w:szCs w:val="18"/>
                <w:highlight w:val="none"/>
              </w:rPr>
              <w:t>100≤X＜300</w:t>
            </w:r>
          </w:p>
        </w:tc>
        <w:tc>
          <w:tcPr>
            <w:tcW w:w="1315" w:type="dxa"/>
            <w:tcBorders>
              <w:top w:val="nil"/>
              <w:left w:val="nil"/>
              <w:bottom w:val="nil"/>
              <w:right w:val="single" w:color="auto" w:sz="8" w:space="0"/>
            </w:tcBorders>
            <w:tcMar>
              <w:top w:w="0" w:type="dxa"/>
              <w:left w:w="108" w:type="dxa"/>
              <w:bottom w:w="0" w:type="dxa"/>
              <w:right w:w="108" w:type="dxa"/>
            </w:tcMar>
            <w:vAlign w:val="center"/>
          </w:tcPr>
          <w:p w14:paraId="22E7701F">
            <w:pPr>
              <w:rPr>
                <w:rFonts w:ascii="宋体" w:hAnsi="宋体" w:cs="宋体"/>
                <w:bCs/>
                <w:color w:val="auto"/>
                <w:sz w:val="24"/>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14:paraId="51B47B85">
            <w:pPr>
              <w:rPr>
                <w:rFonts w:ascii="宋体" w:hAnsi="宋体" w:cs="宋体"/>
                <w:bCs/>
                <w:color w:val="auto"/>
                <w:sz w:val="24"/>
                <w:highlight w:val="none"/>
              </w:rPr>
            </w:pPr>
            <w:r>
              <w:rPr>
                <w:rFonts w:hint="eastAsia" w:ascii="宋体" w:hAnsi="宋体" w:cs="宋体"/>
                <w:color w:val="auto"/>
                <w:sz w:val="18"/>
                <w:szCs w:val="18"/>
                <w:highlight w:val="none"/>
              </w:rPr>
              <w:t>X＜10</w:t>
            </w:r>
          </w:p>
        </w:tc>
      </w:tr>
      <w:tr w14:paraId="74C44789">
        <w:tblPrEx>
          <w:tblCellMar>
            <w:top w:w="0" w:type="dxa"/>
            <w:left w:w="0" w:type="dxa"/>
            <w:bottom w:w="0" w:type="dxa"/>
            <w:right w:w="0" w:type="dxa"/>
          </w:tblCellMar>
        </w:tblPrEx>
        <w:trPr>
          <w:trHeight w:val="397" w:hRule="atLeast"/>
          <w:jc w:val="center"/>
        </w:trPr>
        <w:tc>
          <w:tcPr>
            <w:tcW w:w="0" w:type="auto"/>
            <w:vMerge w:val="continue"/>
            <w:tcBorders>
              <w:top w:val="nil"/>
              <w:left w:val="nil"/>
              <w:bottom w:val="single" w:color="auto" w:sz="8" w:space="0"/>
              <w:right w:val="single" w:color="auto" w:sz="8" w:space="0"/>
            </w:tcBorders>
            <w:vAlign w:val="center"/>
          </w:tcPr>
          <w:p w14:paraId="1C95C293">
            <w:pPr>
              <w:widowControl/>
              <w:rPr>
                <w:rFonts w:ascii="宋体" w:hAnsi="宋体" w:cs="宋体"/>
                <w:bCs/>
                <w:color w:val="auto"/>
                <w:sz w:val="24"/>
                <w:highlight w:val="none"/>
              </w:rPr>
            </w:pP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14:paraId="56D7D6B6">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营业收入(Y)</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14:paraId="555C02AE">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14:paraId="45506D93">
            <w:pPr>
              <w:rPr>
                <w:rFonts w:ascii="宋体" w:hAnsi="宋体" w:cs="宋体"/>
                <w:bCs/>
                <w:color w:val="auto"/>
                <w:sz w:val="24"/>
                <w:highlight w:val="none"/>
              </w:rPr>
            </w:pPr>
            <w:r>
              <w:rPr>
                <w:rFonts w:hint="eastAsia" w:ascii="宋体" w:hAnsi="宋体" w:cs="宋体"/>
                <w:color w:val="auto"/>
                <w:sz w:val="18"/>
                <w:szCs w:val="18"/>
                <w:highlight w:val="none"/>
              </w:rPr>
              <w:t>Y≥10000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14:paraId="49BE4E31">
            <w:pPr>
              <w:rPr>
                <w:rFonts w:ascii="宋体" w:hAnsi="宋体" w:cs="宋体"/>
                <w:bCs/>
                <w:color w:val="auto"/>
                <w:sz w:val="24"/>
                <w:highlight w:val="none"/>
              </w:rPr>
            </w:pPr>
            <w:r>
              <w:rPr>
                <w:rFonts w:hint="eastAsia" w:ascii="宋体" w:hAnsi="宋体" w:cs="宋体"/>
                <w:color w:val="auto"/>
                <w:sz w:val="18"/>
                <w:szCs w:val="18"/>
                <w:highlight w:val="none"/>
              </w:rPr>
              <w:t>2000≤Y＜10000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14:paraId="4E2A74B0">
            <w:pPr>
              <w:ind w:firstLine="360"/>
              <w:jc w:val="center"/>
              <w:rPr>
                <w:rFonts w:ascii="宋体" w:hAnsi="宋体" w:cs="宋体"/>
                <w:bCs/>
                <w:color w:val="auto"/>
                <w:sz w:val="24"/>
                <w:highlight w:val="none"/>
              </w:rPr>
            </w:pPr>
            <w:r>
              <w:rPr>
                <w:rFonts w:hint="eastAsia" w:ascii="宋体" w:hAnsi="宋体" w:cs="宋体"/>
                <w:color w:val="auto"/>
                <w:sz w:val="18"/>
                <w:szCs w:val="18"/>
                <w:highlight w:val="none"/>
              </w:rPr>
              <w:t> 100≤Y＜2000</w:t>
            </w:r>
          </w:p>
        </w:tc>
        <w:tc>
          <w:tcPr>
            <w:tcW w:w="908" w:type="dxa"/>
            <w:tcBorders>
              <w:top w:val="nil"/>
              <w:left w:val="nil"/>
              <w:bottom w:val="single" w:color="auto" w:sz="8" w:space="0"/>
              <w:right w:val="nil"/>
            </w:tcBorders>
            <w:tcMar>
              <w:top w:w="0" w:type="dxa"/>
              <w:left w:w="108" w:type="dxa"/>
              <w:bottom w:w="0" w:type="dxa"/>
              <w:right w:w="108" w:type="dxa"/>
            </w:tcMar>
            <w:vAlign w:val="center"/>
          </w:tcPr>
          <w:p w14:paraId="704DA978">
            <w:pPr>
              <w:rPr>
                <w:rFonts w:ascii="宋体" w:hAnsi="宋体" w:cs="宋体"/>
                <w:bCs/>
                <w:color w:val="auto"/>
                <w:sz w:val="24"/>
                <w:highlight w:val="none"/>
              </w:rPr>
            </w:pPr>
            <w:r>
              <w:rPr>
                <w:rFonts w:hint="eastAsia" w:ascii="宋体" w:hAnsi="宋体" w:cs="宋体"/>
                <w:color w:val="auto"/>
                <w:sz w:val="18"/>
                <w:szCs w:val="18"/>
                <w:highlight w:val="none"/>
              </w:rPr>
              <w:t>Y＜100</w:t>
            </w:r>
          </w:p>
        </w:tc>
      </w:tr>
      <w:tr w14:paraId="3498A420">
        <w:tblPrEx>
          <w:tblCellMar>
            <w:top w:w="0" w:type="dxa"/>
            <w:left w:w="0" w:type="dxa"/>
            <w:bottom w:w="0" w:type="dxa"/>
            <w:right w:w="0" w:type="dxa"/>
          </w:tblCellMar>
        </w:tblPrEx>
        <w:trPr>
          <w:trHeight w:val="397" w:hRule="atLeast"/>
          <w:jc w:val="center"/>
        </w:trPr>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157A9C4E">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信息传输业 *</w:t>
            </w:r>
          </w:p>
        </w:tc>
        <w:tc>
          <w:tcPr>
            <w:tcW w:w="1281" w:type="dxa"/>
            <w:tcBorders>
              <w:top w:val="nil"/>
              <w:left w:val="nil"/>
              <w:bottom w:val="nil"/>
              <w:right w:val="single" w:color="auto" w:sz="8" w:space="0"/>
            </w:tcBorders>
            <w:tcMar>
              <w:top w:w="0" w:type="dxa"/>
              <w:left w:w="108" w:type="dxa"/>
              <w:bottom w:w="0" w:type="dxa"/>
              <w:right w:w="108" w:type="dxa"/>
            </w:tcMar>
            <w:vAlign w:val="center"/>
          </w:tcPr>
          <w:p w14:paraId="0D4F3465">
            <w:pPr>
              <w:rPr>
                <w:rFonts w:ascii="宋体" w:hAnsi="宋体" w:cs="宋体"/>
                <w:bCs/>
                <w:color w:val="auto"/>
                <w:sz w:val="24"/>
                <w:highlight w:val="none"/>
              </w:rPr>
            </w:pPr>
            <w:r>
              <w:rPr>
                <w:rFonts w:hint="eastAsia" w:ascii="宋体" w:hAnsi="宋体" w:cs="宋体"/>
                <w:color w:val="auto"/>
                <w:sz w:val="18"/>
                <w:szCs w:val="18"/>
                <w:highlight w:val="none"/>
              </w:rPr>
              <w:t>从业人员(X)</w:t>
            </w:r>
          </w:p>
        </w:tc>
        <w:tc>
          <w:tcPr>
            <w:tcW w:w="758" w:type="dxa"/>
            <w:tcBorders>
              <w:top w:val="nil"/>
              <w:left w:val="nil"/>
              <w:bottom w:val="nil"/>
              <w:right w:val="single" w:color="auto" w:sz="8" w:space="0"/>
            </w:tcBorders>
            <w:tcMar>
              <w:top w:w="0" w:type="dxa"/>
              <w:left w:w="108" w:type="dxa"/>
              <w:bottom w:w="0" w:type="dxa"/>
              <w:right w:w="108" w:type="dxa"/>
            </w:tcMar>
            <w:vAlign w:val="center"/>
          </w:tcPr>
          <w:p w14:paraId="5062DC6A">
            <w:pPr>
              <w:rPr>
                <w:rFonts w:ascii="宋体" w:hAnsi="宋体" w:cs="宋体"/>
                <w:bCs/>
                <w:color w:val="auto"/>
                <w:sz w:val="24"/>
                <w:highlight w:val="none"/>
              </w:rPr>
            </w:pPr>
            <w:r>
              <w:rPr>
                <w:rFonts w:hint="eastAsia" w:ascii="宋体" w:hAnsi="宋体" w:cs="宋体"/>
                <w:color w:val="auto"/>
                <w:sz w:val="18"/>
                <w:szCs w:val="18"/>
                <w:highlight w:val="none"/>
              </w:rPr>
              <w:t>人</w:t>
            </w:r>
          </w:p>
        </w:tc>
        <w:tc>
          <w:tcPr>
            <w:tcW w:w="993" w:type="dxa"/>
            <w:tcBorders>
              <w:top w:val="nil"/>
              <w:left w:val="nil"/>
              <w:bottom w:val="nil"/>
              <w:right w:val="single" w:color="auto" w:sz="8" w:space="0"/>
            </w:tcBorders>
            <w:tcMar>
              <w:top w:w="0" w:type="dxa"/>
              <w:left w:w="108" w:type="dxa"/>
              <w:bottom w:w="0" w:type="dxa"/>
              <w:right w:w="108" w:type="dxa"/>
            </w:tcMar>
            <w:vAlign w:val="center"/>
          </w:tcPr>
          <w:p w14:paraId="2223A873">
            <w:pPr>
              <w:rPr>
                <w:rFonts w:ascii="宋体" w:hAnsi="宋体" w:cs="宋体"/>
                <w:bCs/>
                <w:color w:val="auto"/>
                <w:sz w:val="24"/>
                <w:highlight w:val="none"/>
              </w:rPr>
            </w:pPr>
            <w:r>
              <w:rPr>
                <w:rFonts w:hint="eastAsia" w:ascii="宋体" w:hAnsi="宋体" w:cs="宋体"/>
                <w:color w:val="auto"/>
                <w:sz w:val="18"/>
                <w:szCs w:val="18"/>
                <w:highlight w:val="none"/>
              </w:rPr>
              <w:t>X≥2000</w:t>
            </w:r>
          </w:p>
        </w:tc>
        <w:tc>
          <w:tcPr>
            <w:tcW w:w="1491" w:type="dxa"/>
            <w:tcBorders>
              <w:top w:val="nil"/>
              <w:left w:val="nil"/>
              <w:bottom w:val="nil"/>
              <w:right w:val="single" w:color="auto" w:sz="8" w:space="0"/>
            </w:tcBorders>
            <w:tcMar>
              <w:top w:w="0" w:type="dxa"/>
              <w:left w:w="108" w:type="dxa"/>
              <w:bottom w:w="0" w:type="dxa"/>
              <w:right w:w="108" w:type="dxa"/>
            </w:tcMar>
            <w:vAlign w:val="center"/>
          </w:tcPr>
          <w:p w14:paraId="73B67A34">
            <w:pPr>
              <w:rPr>
                <w:rFonts w:ascii="宋体" w:hAnsi="宋体" w:cs="宋体"/>
                <w:bCs/>
                <w:color w:val="auto"/>
                <w:sz w:val="24"/>
                <w:highlight w:val="none"/>
              </w:rPr>
            </w:pPr>
            <w:r>
              <w:rPr>
                <w:rFonts w:hint="eastAsia" w:ascii="宋体" w:hAnsi="宋体" w:cs="宋体"/>
                <w:color w:val="auto"/>
                <w:sz w:val="18"/>
                <w:szCs w:val="18"/>
                <w:highlight w:val="none"/>
              </w:rPr>
              <w:t>100≤X＜2000</w:t>
            </w:r>
          </w:p>
        </w:tc>
        <w:tc>
          <w:tcPr>
            <w:tcW w:w="1315" w:type="dxa"/>
            <w:tcBorders>
              <w:top w:val="nil"/>
              <w:left w:val="nil"/>
              <w:bottom w:val="nil"/>
              <w:right w:val="single" w:color="auto" w:sz="8" w:space="0"/>
            </w:tcBorders>
            <w:tcMar>
              <w:top w:w="0" w:type="dxa"/>
              <w:left w:w="108" w:type="dxa"/>
              <w:bottom w:w="0" w:type="dxa"/>
              <w:right w:w="108" w:type="dxa"/>
            </w:tcMar>
            <w:vAlign w:val="center"/>
          </w:tcPr>
          <w:p w14:paraId="61985223">
            <w:pPr>
              <w:rPr>
                <w:rFonts w:ascii="宋体" w:hAnsi="宋体" w:cs="宋体"/>
                <w:bCs/>
                <w:color w:val="auto"/>
                <w:sz w:val="24"/>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14:paraId="43D4025E">
            <w:pPr>
              <w:rPr>
                <w:rFonts w:ascii="宋体" w:hAnsi="宋体" w:cs="宋体"/>
                <w:bCs/>
                <w:color w:val="auto"/>
                <w:sz w:val="24"/>
                <w:highlight w:val="none"/>
              </w:rPr>
            </w:pPr>
            <w:r>
              <w:rPr>
                <w:rFonts w:hint="eastAsia" w:ascii="宋体" w:hAnsi="宋体" w:cs="宋体"/>
                <w:color w:val="auto"/>
                <w:sz w:val="18"/>
                <w:szCs w:val="18"/>
                <w:highlight w:val="none"/>
              </w:rPr>
              <w:t>X＜10</w:t>
            </w:r>
          </w:p>
        </w:tc>
      </w:tr>
      <w:tr w14:paraId="609EB1DF">
        <w:tblPrEx>
          <w:tblCellMar>
            <w:top w:w="0" w:type="dxa"/>
            <w:left w:w="0" w:type="dxa"/>
            <w:bottom w:w="0" w:type="dxa"/>
            <w:right w:w="0" w:type="dxa"/>
          </w:tblCellMar>
        </w:tblPrEx>
        <w:trPr>
          <w:trHeight w:val="397" w:hRule="atLeast"/>
          <w:jc w:val="center"/>
        </w:trPr>
        <w:tc>
          <w:tcPr>
            <w:tcW w:w="0" w:type="auto"/>
            <w:vMerge w:val="continue"/>
            <w:tcBorders>
              <w:top w:val="nil"/>
              <w:left w:val="nil"/>
              <w:bottom w:val="single" w:color="auto" w:sz="8" w:space="0"/>
              <w:right w:val="single" w:color="auto" w:sz="8" w:space="0"/>
            </w:tcBorders>
            <w:vAlign w:val="center"/>
          </w:tcPr>
          <w:p w14:paraId="04FE623B">
            <w:pPr>
              <w:widowControl/>
              <w:rPr>
                <w:rFonts w:ascii="宋体" w:hAnsi="宋体" w:cs="宋体"/>
                <w:bCs/>
                <w:color w:val="auto"/>
                <w:sz w:val="24"/>
                <w:highlight w:val="none"/>
              </w:rPr>
            </w:pP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14:paraId="471D54DF">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营业收入(Y)</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14:paraId="04871752">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14:paraId="6BA4E7A3">
            <w:pPr>
              <w:rPr>
                <w:rFonts w:ascii="宋体" w:hAnsi="宋体" w:cs="宋体"/>
                <w:bCs/>
                <w:color w:val="auto"/>
                <w:sz w:val="24"/>
                <w:highlight w:val="none"/>
              </w:rPr>
            </w:pPr>
            <w:r>
              <w:rPr>
                <w:rFonts w:hint="eastAsia" w:ascii="宋体" w:hAnsi="宋体" w:cs="宋体"/>
                <w:color w:val="auto"/>
                <w:sz w:val="18"/>
                <w:szCs w:val="18"/>
                <w:highlight w:val="none"/>
              </w:rPr>
              <w:t>Y≥100000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14:paraId="7D4F4096">
            <w:pPr>
              <w:rPr>
                <w:rFonts w:ascii="宋体" w:hAnsi="宋体" w:cs="宋体"/>
                <w:bCs/>
                <w:color w:val="auto"/>
                <w:sz w:val="24"/>
                <w:highlight w:val="none"/>
              </w:rPr>
            </w:pPr>
            <w:r>
              <w:rPr>
                <w:rFonts w:hint="eastAsia" w:ascii="宋体" w:hAnsi="宋体" w:cs="宋体"/>
                <w:color w:val="auto"/>
                <w:sz w:val="18"/>
                <w:szCs w:val="18"/>
                <w:highlight w:val="none"/>
              </w:rPr>
              <w:t>1000≤Y＜100000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14:paraId="79AF1862">
            <w:pPr>
              <w:rPr>
                <w:rFonts w:ascii="宋体" w:hAnsi="宋体" w:cs="宋体"/>
                <w:bCs/>
                <w:color w:val="auto"/>
                <w:sz w:val="24"/>
                <w:highlight w:val="none"/>
              </w:rPr>
            </w:pPr>
            <w:r>
              <w:rPr>
                <w:rFonts w:hint="eastAsia" w:ascii="宋体" w:hAnsi="宋体" w:cs="宋体"/>
                <w:color w:val="auto"/>
                <w:sz w:val="18"/>
                <w:szCs w:val="18"/>
                <w:highlight w:val="none"/>
              </w:rPr>
              <w:t>100≤Y＜1000</w:t>
            </w:r>
          </w:p>
        </w:tc>
        <w:tc>
          <w:tcPr>
            <w:tcW w:w="908" w:type="dxa"/>
            <w:tcBorders>
              <w:top w:val="nil"/>
              <w:left w:val="nil"/>
              <w:bottom w:val="single" w:color="auto" w:sz="8" w:space="0"/>
              <w:right w:val="nil"/>
            </w:tcBorders>
            <w:tcMar>
              <w:top w:w="0" w:type="dxa"/>
              <w:left w:w="108" w:type="dxa"/>
              <w:bottom w:w="0" w:type="dxa"/>
              <w:right w:w="108" w:type="dxa"/>
            </w:tcMar>
            <w:vAlign w:val="center"/>
          </w:tcPr>
          <w:p w14:paraId="059C2BAD">
            <w:pPr>
              <w:rPr>
                <w:rFonts w:ascii="宋体" w:hAnsi="宋体" w:cs="宋体"/>
                <w:bCs/>
                <w:color w:val="auto"/>
                <w:sz w:val="24"/>
                <w:highlight w:val="none"/>
              </w:rPr>
            </w:pPr>
            <w:r>
              <w:rPr>
                <w:rFonts w:hint="eastAsia" w:ascii="宋体" w:hAnsi="宋体" w:cs="宋体"/>
                <w:color w:val="auto"/>
                <w:sz w:val="18"/>
                <w:szCs w:val="18"/>
                <w:highlight w:val="none"/>
              </w:rPr>
              <w:t>Y＜100</w:t>
            </w:r>
          </w:p>
        </w:tc>
      </w:tr>
      <w:tr w14:paraId="14980667">
        <w:tblPrEx>
          <w:tblCellMar>
            <w:top w:w="0" w:type="dxa"/>
            <w:left w:w="0" w:type="dxa"/>
            <w:bottom w:w="0" w:type="dxa"/>
            <w:right w:w="0" w:type="dxa"/>
          </w:tblCellMar>
        </w:tblPrEx>
        <w:trPr>
          <w:trHeight w:val="340" w:hRule="atLeast"/>
          <w:jc w:val="center"/>
        </w:trPr>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16F9F0C0">
            <w:pPr>
              <w:spacing w:line="240" w:lineRule="atLeast"/>
              <w:rPr>
                <w:rFonts w:ascii="宋体" w:hAnsi="宋体" w:cs="宋体"/>
                <w:bCs/>
                <w:color w:val="auto"/>
                <w:sz w:val="24"/>
                <w:highlight w:val="none"/>
              </w:rPr>
            </w:pPr>
            <w:r>
              <w:rPr>
                <w:rFonts w:hint="eastAsia" w:ascii="宋体" w:hAnsi="宋体" w:cs="宋体"/>
                <w:color w:val="auto"/>
                <w:spacing w:val="-12"/>
                <w:sz w:val="18"/>
                <w:szCs w:val="18"/>
                <w:highlight w:val="none"/>
              </w:rPr>
              <w:t>软件和信息技术服</w:t>
            </w:r>
            <w:r>
              <w:rPr>
                <w:rFonts w:hint="eastAsia" w:ascii="宋体" w:hAnsi="宋体" w:cs="宋体"/>
                <w:color w:val="auto"/>
                <w:sz w:val="18"/>
                <w:szCs w:val="18"/>
                <w:highlight w:val="none"/>
              </w:rPr>
              <w:t>务业</w:t>
            </w:r>
          </w:p>
        </w:tc>
        <w:tc>
          <w:tcPr>
            <w:tcW w:w="1281" w:type="dxa"/>
            <w:tcBorders>
              <w:top w:val="nil"/>
              <w:left w:val="nil"/>
              <w:bottom w:val="nil"/>
              <w:right w:val="single" w:color="auto" w:sz="8" w:space="0"/>
            </w:tcBorders>
            <w:tcMar>
              <w:top w:w="0" w:type="dxa"/>
              <w:left w:w="108" w:type="dxa"/>
              <w:bottom w:w="0" w:type="dxa"/>
              <w:right w:w="108" w:type="dxa"/>
            </w:tcMar>
            <w:vAlign w:val="center"/>
          </w:tcPr>
          <w:p w14:paraId="2BC8AF1E">
            <w:pPr>
              <w:rPr>
                <w:rFonts w:ascii="宋体" w:hAnsi="宋体" w:cs="宋体"/>
                <w:bCs/>
                <w:color w:val="auto"/>
                <w:sz w:val="24"/>
                <w:highlight w:val="none"/>
              </w:rPr>
            </w:pPr>
            <w:r>
              <w:rPr>
                <w:rFonts w:hint="eastAsia" w:ascii="宋体" w:hAnsi="宋体" w:cs="宋体"/>
                <w:color w:val="auto"/>
                <w:sz w:val="18"/>
                <w:szCs w:val="18"/>
                <w:highlight w:val="none"/>
              </w:rPr>
              <w:t>从业人员(X)</w:t>
            </w:r>
          </w:p>
        </w:tc>
        <w:tc>
          <w:tcPr>
            <w:tcW w:w="758" w:type="dxa"/>
            <w:tcBorders>
              <w:top w:val="nil"/>
              <w:left w:val="nil"/>
              <w:bottom w:val="nil"/>
              <w:right w:val="single" w:color="auto" w:sz="8" w:space="0"/>
            </w:tcBorders>
            <w:tcMar>
              <w:top w:w="0" w:type="dxa"/>
              <w:left w:w="108" w:type="dxa"/>
              <w:bottom w:w="0" w:type="dxa"/>
              <w:right w:w="108" w:type="dxa"/>
            </w:tcMar>
            <w:vAlign w:val="center"/>
          </w:tcPr>
          <w:p w14:paraId="0DE0801E">
            <w:pPr>
              <w:rPr>
                <w:rFonts w:ascii="宋体" w:hAnsi="宋体" w:cs="宋体"/>
                <w:bCs/>
                <w:color w:val="auto"/>
                <w:sz w:val="24"/>
                <w:highlight w:val="none"/>
              </w:rPr>
            </w:pPr>
            <w:r>
              <w:rPr>
                <w:rFonts w:hint="eastAsia" w:ascii="宋体" w:hAnsi="宋体" w:cs="宋体"/>
                <w:color w:val="auto"/>
                <w:sz w:val="18"/>
                <w:szCs w:val="18"/>
                <w:highlight w:val="none"/>
              </w:rPr>
              <w:t>人</w:t>
            </w:r>
          </w:p>
        </w:tc>
        <w:tc>
          <w:tcPr>
            <w:tcW w:w="993" w:type="dxa"/>
            <w:tcBorders>
              <w:top w:val="nil"/>
              <w:left w:val="nil"/>
              <w:bottom w:val="nil"/>
              <w:right w:val="single" w:color="auto" w:sz="8" w:space="0"/>
            </w:tcBorders>
            <w:tcMar>
              <w:top w:w="0" w:type="dxa"/>
              <w:left w:w="108" w:type="dxa"/>
              <w:bottom w:w="0" w:type="dxa"/>
              <w:right w:w="108" w:type="dxa"/>
            </w:tcMar>
            <w:vAlign w:val="center"/>
          </w:tcPr>
          <w:p w14:paraId="5EBA55FD">
            <w:pPr>
              <w:rPr>
                <w:rFonts w:ascii="宋体" w:hAnsi="宋体" w:cs="宋体"/>
                <w:bCs/>
                <w:color w:val="auto"/>
                <w:sz w:val="24"/>
                <w:highlight w:val="none"/>
              </w:rPr>
            </w:pPr>
            <w:r>
              <w:rPr>
                <w:rFonts w:hint="eastAsia" w:ascii="宋体" w:hAnsi="宋体" w:cs="宋体"/>
                <w:color w:val="auto"/>
                <w:sz w:val="18"/>
                <w:szCs w:val="18"/>
                <w:highlight w:val="none"/>
              </w:rPr>
              <w:t>X≥300</w:t>
            </w:r>
          </w:p>
        </w:tc>
        <w:tc>
          <w:tcPr>
            <w:tcW w:w="1491" w:type="dxa"/>
            <w:tcBorders>
              <w:top w:val="nil"/>
              <w:left w:val="nil"/>
              <w:bottom w:val="nil"/>
              <w:right w:val="single" w:color="auto" w:sz="8" w:space="0"/>
            </w:tcBorders>
            <w:tcMar>
              <w:top w:w="0" w:type="dxa"/>
              <w:left w:w="108" w:type="dxa"/>
              <w:bottom w:w="0" w:type="dxa"/>
              <w:right w:w="108" w:type="dxa"/>
            </w:tcMar>
            <w:vAlign w:val="center"/>
          </w:tcPr>
          <w:p w14:paraId="2CFEE36B">
            <w:pPr>
              <w:ind w:left="1"/>
              <w:rPr>
                <w:rFonts w:ascii="宋体" w:hAnsi="宋体" w:cs="宋体"/>
                <w:bCs/>
                <w:color w:val="auto"/>
                <w:sz w:val="24"/>
                <w:highlight w:val="none"/>
              </w:rPr>
            </w:pPr>
            <w:r>
              <w:rPr>
                <w:rFonts w:hint="eastAsia" w:ascii="宋体" w:hAnsi="宋体" w:cs="宋体"/>
                <w:color w:val="auto"/>
                <w:sz w:val="18"/>
                <w:szCs w:val="18"/>
                <w:highlight w:val="none"/>
              </w:rPr>
              <w:t>100≤X＜300</w:t>
            </w:r>
          </w:p>
        </w:tc>
        <w:tc>
          <w:tcPr>
            <w:tcW w:w="1315" w:type="dxa"/>
            <w:tcBorders>
              <w:top w:val="nil"/>
              <w:left w:val="nil"/>
              <w:bottom w:val="nil"/>
              <w:right w:val="single" w:color="auto" w:sz="8" w:space="0"/>
            </w:tcBorders>
            <w:tcMar>
              <w:top w:w="0" w:type="dxa"/>
              <w:left w:w="108" w:type="dxa"/>
              <w:bottom w:w="0" w:type="dxa"/>
              <w:right w:w="108" w:type="dxa"/>
            </w:tcMar>
            <w:vAlign w:val="center"/>
          </w:tcPr>
          <w:p w14:paraId="37CD6913">
            <w:pPr>
              <w:rPr>
                <w:rFonts w:ascii="宋体" w:hAnsi="宋体" w:cs="宋体"/>
                <w:bCs/>
                <w:color w:val="auto"/>
                <w:sz w:val="24"/>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14:paraId="1F85F6CC">
            <w:pPr>
              <w:rPr>
                <w:rFonts w:ascii="宋体" w:hAnsi="宋体" w:cs="宋体"/>
                <w:bCs/>
                <w:color w:val="auto"/>
                <w:sz w:val="24"/>
                <w:highlight w:val="none"/>
              </w:rPr>
            </w:pPr>
            <w:r>
              <w:rPr>
                <w:rFonts w:hint="eastAsia" w:ascii="宋体" w:hAnsi="宋体" w:cs="宋体"/>
                <w:color w:val="auto"/>
                <w:sz w:val="18"/>
                <w:szCs w:val="18"/>
                <w:highlight w:val="none"/>
              </w:rPr>
              <w:t>X＜10</w:t>
            </w:r>
          </w:p>
        </w:tc>
      </w:tr>
      <w:tr w14:paraId="52829F28">
        <w:tblPrEx>
          <w:tblCellMar>
            <w:top w:w="0" w:type="dxa"/>
            <w:left w:w="0" w:type="dxa"/>
            <w:bottom w:w="0" w:type="dxa"/>
            <w:right w:w="0" w:type="dxa"/>
          </w:tblCellMar>
        </w:tblPrEx>
        <w:trPr>
          <w:trHeight w:val="340" w:hRule="atLeast"/>
          <w:jc w:val="center"/>
        </w:trPr>
        <w:tc>
          <w:tcPr>
            <w:tcW w:w="0" w:type="auto"/>
            <w:vMerge w:val="continue"/>
            <w:tcBorders>
              <w:top w:val="nil"/>
              <w:left w:val="nil"/>
              <w:bottom w:val="single" w:color="auto" w:sz="8" w:space="0"/>
              <w:right w:val="single" w:color="auto" w:sz="8" w:space="0"/>
            </w:tcBorders>
            <w:vAlign w:val="center"/>
          </w:tcPr>
          <w:p w14:paraId="2683398E">
            <w:pPr>
              <w:widowControl/>
              <w:rPr>
                <w:rFonts w:ascii="宋体" w:hAnsi="宋体" w:cs="宋体"/>
                <w:bCs/>
                <w:color w:val="auto"/>
                <w:sz w:val="24"/>
                <w:highlight w:val="none"/>
              </w:rPr>
            </w:pP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14:paraId="3DE37135">
            <w:pPr>
              <w:rPr>
                <w:rFonts w:ascii="宋体" w:hAnsi="宋体" w:cs="宋体"/>
                <w:bCs/>
                <w:color w:val="auto"/>
                <w:sz w:val="24"/>
                <w:highlight w:val="none"/>
              </w:rPr>
            </w:pPr>
            <w:r>
              <w:rPr>
                <w:rFonts w:hint="eastAsia" w:ascii="宋体" w:hAnsi="宋体" w:cs="宋体"/>
                <w:color w:val="auto"/>
                <w:sz w:val="18"/>
                <w:szCs w:val="18"/>
                <w:highlight w:val="none"/>
              </w:rPr>
              <w:t>营业收入(Y)</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14:paraId="1433B202">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14:paraId="35EC12F0">
            <w:pPr>
              <w:rPr>
                <w:rFonts w:ascii="宋体" w:hAnsi="宋体" w:cs="宋体"/>
                <w:bCs/>
                <w:color w:val="auto"/>
                <w:sz w:val="24"/>
                <w:highlight w:val="none"/>
              </w:rPr>
            </w:pPr>
            <w:r>
              <w:rPr>
                <w:rFonts w:hint="eastAsia" w:ascii="宋体" w:hAnsi="宋体" w:cs="宋体"/>
                <w:color w:val="auto"/>
                <w:sz w:val="18"/>
                <w:szCs w:val="18"/>
                <w:highlight w:val="none"/>
              </w:rPr>
              <w:t>Y≥10000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14:paraId="705D8475">
            <w:pPr>
              <w:rPr>
                <w:rFonts w:ascii="宋体" w:hAnsi="宋体" w:cs="宋体"/>
                <w:bCs/>
                <w:color w:val="auto"/>
                <w:sz w:val="24"/>
                <w:highlight w:val="none"/>
              </w:rPr>
            </w:pPr>
            <w:r>
              <w:rPr>
                <w:rFonts w:hint="eastAsia" w:ascii="宋体" w:hAnsi="宋体" w:cs="宋体"/>
                <w:color w:val="auto"/>
                <w:sz w:val="18"/>
                <w:szCs w:val="18"/>
                <w:highlight w:val="none"/>
              </w:rPr>
              <w:t>1000≤Y＜10000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14:paraId="02D4CCCD">
            <w:pPr>
              <w:rPr>
                <w:rFonts w:ascii="宋体" w:hAnsi="宋体" w:cs="宋体"/>
                <w:bCs/>
                <w:color w:val="auto"/>
                <w:sz w:val="24"/>
                <w:highlight w:val="none"/>
              </w:rPr>
            </w:pPr>
            <w:r>
              <w:rPr>
                <w:rFonts w:hint="eastAsia" w:ascii="宋体" w:hAnsi="宋体" w:cs="宋体"/>
                <w:color w:val="auto"/>
                <w:sz w:val="18"/>
                <w:szCs w:val="18"/>
                <w:highlight w:val="none"/>
              </w:rPr>
              <w:t>50≤Y＜1000</w:t>
            </w:r>
          </w:p>
        </w:tc>
        <w:tc>
          <w:tcPr>
            <w:tcW w:w="908" w:type="dxa"/>
            <w:tcBorders>
              <w:top w:val="nil"/>
              <w:left w:val="nil"/>
              <w:bottom w:val="single" w:color="auto" w:sz="8" w:space="0"/>
              <w:right w:val="nil"/>
            </w:tcBorders>
            <w:tcMar>
              <w:top w:w="0" w:type="dxa"/>
              <w:left w:w="108" w:type="dxa"/>
              <w:bottom w:w="0" w:type="dxa"/>
              <w:right w:w="108" w:type="dxa"/>
            </w:tcMar>
            <w:vAlign w:val="center"/>
          </w:tcPr>
          <w:p w14:paraId="45D9F803">
            <w:pPr>
              <w:rPr>
                <w:rFonts w:ascii="宋体" w:hAnsi="宋体" w:cs="宋体"/>
                <w:bCs/>
                <w:color w:val="auto"/>
                <w:sz w:val="24"/>
                <w:highlight w:val="none"/>
              </w:rPr>
            </w:pPr>
            <w:r>
              <w:rPr>
                <w:rFonts w:hint="eastAsia" w:ascii="宋体" w:hAnsi="宋体" w:cs="宋体"/>
                <w:color w:val="auto"/>
                <w:sz w:val="18"/>
                <w:szCs w:val="18"/>
                <w:highlight w:val="none"/>
              </w:rPr>
              <w:t>Y＜50</w:t>
            </w:r>
          </w:p>
        </w:tc>
      </w:tr>
      <w:tr w14:paraId="1A3D902F">
        <w:tblPrEx>
          <w:tblCellMar>
            <w:top w:w="0" w:type="dxa"/>
            <w:left w:w="0" w:type="dxa"/>
            <w:bottom w:w="0" w:type="dxa"/>
            <w:right w:w="0" w:type="dxa"/>
          </w:tblCellMar>
        </w:tblPrEx>
        <w:trPr>
          <w:trHeight w:val="340" w:hRule="atLeast"/>
          <w:jc w:val="center"/>
        </w:trPr>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38E262CC">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房地产开发经营</w:t>
            </w:r>
          </w:p>
        </w:tc>
        <w:tc>
          <w:tcPr>
            <w:tcW w:w="1281" w:type="dxa"/>
            <w:tcBorders>
              <w:top w:val="nil"/>
              <w:left w:val="nil"/>
              <w:bottom w:val="nil"/>
              <w:right w:val="single" w:color="auto" w:sz="8" w:space="0"/>
            </w:tcBorders>
            <w:tcMar>
              <w:top w:w="0" w:type="dxa"/>
              <w:left w:w="108" w:type="dxa"/>
              <w:bottom w:w="0" w:type="dxa"/>
              <w:right w:w="108" w:type="dxa"/>
            </w:tcMar>
            <w:vAlign w:val="center"/>
          </w:tcPr>
          <w:p w14:paraId="31CAE55C">
            <w:pPr>
              <w:rPr>
                <w:rFonts w:ascii="宋体" w:hAnsi="宋体" w:cs="宋体"/>
                <w:bCs/>
                <w:color w:val="auto"/>
                <w:sz w:val="24"/>
                <w:highlight w:val="none"/>
              </w:rPr>
            </w:pPr>
            <w:r>
              <w:rPr>
                <w:rFonts w:hint="eastAsia" w:ascii="宋体" w:hAnsi="宋体" w:cs="宋体"/>
                <w:color w:val="auto"/>
                <w:sz w:val="18"/>
                <w:szCs w:val="18"/>
                <w:highlight w:val="none"/>
              </w:rPr>
              <w:t>营业收入(Y)</w:t>
            </w:r>
          </w:p>
        </w:tc>
        <w:tc>
          <w:tcPr>
            <w:tcW w:w="758" w:type="dxa"/>
            <w:tcBorders>
              <w:top w:val="nil"/>
              <w:left w:val="nil"/>
              <w:bottom w:val="nil"/>
              <w:right w:val="single" w:color="auto" w:sz="8" w:space="0"/>
            </w:tcBorders>
            <w:tcMar>
              <w:top w:w="0" w:type="dxa"/>
              <w:left w:w="108" w:type="dxa"/>
              <w:bottom w:w="0" w:type="dxa"/>
              <w:right w:w="108" w:type="dxa"/>
            </w:tcMar>
            <w:vAlign w:val="center"/>
          </w:tcPr>
          <w:p w14:paraId="46195A75">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nil"/>
              <w:right w:val="single" w:color="auto" w:sz="8" w:space="0"/>
            </w:tcBorders>
            <w:tcMar>
              <w:top w:w="0" w:type="dxa"/>
              <w:left w:w="108" w:type="dxa"/>
              <w:bottom w:w="0" w:type="dxa"/>
              <w:right w:w="108" w:type="dxa"/>
            </w:tcMar>
            <w:vAlign w:val="center"/>
          </w:tcPr>
          <w:p w14:paraId="2F265FD1">
            <w:pPr>
              <w:rPr>
                <w:rFonts w:ascii="宋体" w:hAnsi="宋体" w:cs="宋体"/>
                <w:bCs/>
                <w:color w:val="auto"/>
                <w:sz w:val="24"/>
                <w:highlight w:val="none"/>
              </w:rPr>
            </w:pPr>
            <w:r>
              <w:rPr>
                <w:rFonts w:hint="eastAsia" w:ascii="宋体" w:hAnsi="宋体" w:cs="宋体"/>
                <w:color w:val="auto"/>
                <w:sz w:val="18"/>
                <w:szCs w:val="18"/>
                <w:highlight w:val="none"/>
              </w:rPr>
              <w:t>Y≥200000</w:t>
            </w:r>
          </w:p>
        </w:tc>
        <w:tc>
          <w:tcPr>
            <w:tcW w:w="1491" w:type="dxa"/>
            <w:tcBorders>
              <w:top w:val="nil"/>
              <w:left w:val="nil"/>
              <w:bottom w:val="nil"/>
              <w:right w:val="single" w:color="auto" w:sz="8" w:space="0"/>
            </w:tcBorders>
            <w:tcMar>
              <w:top w:w="0" w:type="dxa"/>
              <w:left w:w="108" w:type="dxa"/>
              <w:bottom w:w="0" w:type="dxa"/>
              <w:right w:w="108" w:type="dxa"/>
            </w:tcMar>
            <w:vAlign w:val="center"/>
          </w:tcPr>
          <w:p w14:paraId="51DF8BEB">
            <w:pPr>
              <w:rPr>
                <w:rFonts w:ascii="宋体" w:hAnsi="宋体" w:cs="宋体"/>
                <w:bCs/>
                <w:color w:val="auto"/>
                <w:sz w:val="24"/>
                <w:highlight w:val="none"/>
              </w:rPr>
            </w:pPr>
            <w:r>
              <w:rPr>
                <w:rFonts w:hint="eastAsia" w:ascii="宋体" w:hAnsi="宋体" w:cs="宋体"/>
                <w:color w:val="auto"/>
                <w:sz w:val="18"/>
                <w:szCs w:val="18"/>
                <w:highlight w:val="none"/>
              </w:rPr>
              <w:t>1000≤Y＜200000</w:t>
            </w:r>
          </w:p>
        </w:tc>
        <w:tc>
          <w:tcPr>
            <w:tcW w:w="1315" w:type="dxa"/>
            <w:tcBorders>
              <w:top w:val="nil"/>
              <w:left w:val="nil"/>
              <w:bottom w:val="nil"/>
              <w:right w:val="single" w:color="auto" w:sz="8" w:space="0"/>
            </w:tcBorders>
            <w:tcMar>
              <w:top w:w="0" w:type="dxa"/>
              <w:left w:w="108" w:type="dxa"/>
              <w:bottom w:w="0" w:type="dxa"/>
              <w:right w:w="108" w:type="dxa"/>
            </w:tcMar>
            <w:vAlign w:val="center"/>
          </w:tcPr>
          <w:p w14:paraId="6C664F18">
            <w:pPr>
              <w:rPr>
                <w:rFonts w:ascii="宋体" w:hAnsi="宋体" w:cs="宋体"/>
                <w:bCs/>
                <w:color w:val="auto"/>
                <w:sz w:val="24"/>
                <w:highlight w:val="none"/>
              </w:rPr>
            </w:pPr>
            <w:r>
              <w:rPr>
                <w:rFonts w:hint="eastAsia" w:ascii="宋体" w:hAnsi="宋体" w:cs="宋体"/>
                <w:color w:val="auto"/>
                <w:sz w:val="18"/>
                <w:szCs w:val="18"/>
                <w:highlight w:val="none"/>
              </w:rPr>
              <w:t>100≤Y＜1000</w:t>
            </w:r>
          </w:p>
        </w:tc>
        <w:tc>
          <w:tcPr>
            <w:tcW w:w="908" w:type="dxa"/>
            <w:tcMar>
              <w:top w:w="0" w:type="dxa"/>
              <w:left w:w="108" w:type="dxa"/>
              <w:bottom w:w="0" w:type="dxa"/>
              <w:right w:w="108" w:type="dxa"/>
            </w:tcMar>
            <w:vAlign w:val="center"/>
          </w:tcPr>
          <w:p w14:paraId="358C2AEB">
            <w:pPr>
              <w:rPr>
                <w:rFonts w:ascii="宋体" w:hAnsi="宋体" w:cs="宋体"/>
                <w:bCs/>
                <w:color w:val="auto"/>
                <w:sz w:val="24"/>
                <w:highlight w:val="none"/>
              </w:rPr>
            </w:pPr>
            <w:r>
              <w:rPr>
                <w:rFonts w:hint="eastAsia" w:ascii="宋体" w:hAnsi="宋体" w:cs="宋体"/>
                <w:color w:val="auto"/>
                <w:sz w:val="18"/>
                <w:szCs w:val="18"/>
                <w:highlight w:val="none"/>
              </w:rPr>
              <w:t>Y＜100</w:t>
            </w:r>
          </w:p>
        </w:tc>
      </w:tr>
      <w:tr w14:paraId="68C7245C">
        <w:tblPrEx>
          <w:tblCellMar>
            <w:top w:w="0" w:type="dxa"/>
            <w:left w:w="0" w:type="dxa"/>
            <w:bottom w:w="0" w:type="dxa"/>
            <w:right w:w="0" w:type="dxa"/>
          </w:tblCellMar>
        </w:tblPrEx>
        <w:trPr>
          <w:trHeight w:val="340" w:hRule="atLeast"/>
          <w:jc w:val="center"/>
        </w:trPr>
        <w:tc>
          <w:tcPr>
            <w:tcW w:w="0" w:type="auto"/>
            <w:vMerge w:val="continue"/>
            <w:tcBorders>
              <w:top w:val="nil"/>
              <w:left w:val="nil"/>
              <w:bottom w:val="single" w:color="auto" w:sz="8" w:space="0"/>
              <w:right w:val="single" w:color="auto" w:sz="8" w:space="0"/>
            </w:tcBorders>
            <w:vAlign w:val="center"/>
          </w:tcPr>
          <w:p w14:paraId="0DCB6C84">
            <w:pPr>
              <w:widowControl/>
              <w:rPr>
                <w:rFonts w:ascii="宋体" w:hAnsi="宋体" w:cs="宋体"/>
                <w:bCs/>
                <w:color w:val="auto"/>
                <w:sz w:val="24"/>
                <w:highlight w:val="none"/>
              </w:rPr>
            </w:pP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14:paraId="1D29525E">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资产总额(Z)</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14:paraId="39117814">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14:paraId="01E7ED69">
            <w:pPr>
              <w:rPr>
                <w:rFonts w:ascii="宋体" w:hAnsi="宋体" w:cs="宋体"/>
                <w:bCs/>
                <w:color w:val="auto"/>
                <w:sz w:val="24"/>
                <w:highlight w:val="none"/>
              </w:rPr>
            </w:pPr>
            <w:r>
              <w:rPr>
                <w:rFonts w:hint="eastAsia" w:ascii="宋体" w:hAnsi="宋体" w:cs="宋体"/>
                <w:color w:val="auto"/>
                <w:sz w:val="18"/>
                <w:szCs w:val="18"/>
                <w:highlight w:val="none"/>
              </w:rPr>
              <w:t>Z≥10000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14:paraId="1E674670">
            <w:pPr>
              <w:ind w:firstLine="360"/>
              <w:jc w:val="center"/>
              <w:rPr>
                <w:rFonts w:ascii="宋体" w:hAnsi="宋体" w:cs="宋体"/>
                <w:bCs/>
                <w:color w:val="auto"/>
                <w:sz w:val="24"/>
                <w:highlight w:val="none"/>
              </w:rPr>
            </w:pPr>
            <w:r>
              <w:rPr>
                <w:rFonts w:hint="eastAsia" w:ascii="宋体" w:hAnsi="宋体" w:cs="宋体"/>
                <w:color w:val="auto"/>
                <w:sz w:val="18"/>
                <w:szCs w:val="18"/>
                <w:highlight w:val="none"/>
              </w:rPr>
              <w:t>5000≤Z＜10000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14:paraId="3BC43FB6">
            <w:pPr>
              <w:rPr>
                <w:rFonts w:ascii="宋体" w:hAnsi="宋体" w:cs="宋体"/>
                <w:bCs/>
                <w:color w:val="auto"/>
                <w:sz w:val="24"/>
                <w:highlight w:val="none"/>
              </w:rPr>
            </w:pPr>
            <w:r>
              <w:rPr>
                <w:rFonts w:hint="eastAsia" w:ascii="宋体" w:hAnsi="宋体" w:cs="宋体"/>
                <w:color w:val="auto"/>
                <w:sz w:val="18"/>
                <w:szCs w:val="18"/>
                <w:highlight w:val="none"/>
              </w:rPr>
              <w:t>2000≤Z＜5000  </w:t>
            </w:r>
          </w:p>
        </w:tc>
        <w:tc>
          <w:tcPr>
            <w:tcW w:w="908" w:type="dxa"/>
            <w:tcBorders>
              <w:top w:val="nil"/>
              <w:left w:val="nil"/>
              <w:bottom w:val="single" w:color="auto" w:sz="8" w:space="0"/>
              <w:right w:val="nil"/>
            </w:tcBorders>
            <w:tcMar>
              <w:top w:w="0" w:type="dxa"/>
              <w:left w:w="108" w:type="dxa"/>
              <w:bottom w:w="0" w:type="dxa"/>
              <w:right w:w="108" w:type="dxa"/>
            </w:tcMar>
            <w:vAlign w:val="center"/>
          </w:tcPr>
          <w:p w14:paraId="5085A6B4">
            <w:pPr>
              <w:rPr>
                <w:rFonts w:ascii="宋体" w:hAnsi="宋体" w:cs="宋体"/>
                <w:bCs/>
                <w:color w:val="auto"/>
                <w:sz w:val="24"/>
                <w:highlight w:val="none"/>
              </w:rPr>
            </w:pPr>
            <w:r>
              <w:rPr>
                <w:rFonts w:hint="eastAsia" w:ascii="宋体" w:hAnsi="宋体" w:cs="宋体"/>
                <w:color w:val="auto"/>
                <w:sz w:val="18"/>
                <w:szCs w:val="18"/>
                <w:highlight w:val="none"/>
              </w:rPr>
              <w:t>Z＜2000</w:t>
            </w:r>
          </w:p>
        </w:tc>
      </w:tr>
      <w:tr w14:paraId="0E3D44B1">
        <w:tblPrEx>
          <w:tblCellMar>
            <w:top w:w="0" w:type="dxa"/>
            <w:left w:w="0" w:type="dxa"/>
            <w:bottom w:w="0" w:type="dxa"/>
            <w:right w:w="0" w:type="dxa"/>
          </w:tblCellMar>
        </w:tblPrEx>
        <w:trPr>
          <w:trHeight w:val="340" w:hRule="atLeast"/>
          <w:jc w:val="center"/>
        </w:trPr>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3076FB22">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物业管理</w:t>
            </w:r>
          </w:p>
        </w:tc>
        <w:tc>
          <w:tcPr>
            <w:tcW w:w="1281" w:type="dxa"/>
            <w:tcBorders>
              <w:top w:val="nil"/>
              <w:left w:val="nil"/>
              <w:bottom w:val="nil"/>
              <w:right w:val="single" w:color="auto" w:sz="8" w:space="0"/>
            </w:tcBorders>
            <w:tcMar>
              <w:top w:w="0" w:type="dxa"/>
              <w:left w:w="108" w:type="dxa"/>
              <w:bottom w:w="0" w:type="dxa"/>
              <w:right w:w="108" w:type="dxa"/>
            </w:tcMar>
            <w:vAlign w:val="center"/>
          </w:tcPr>
          <w:p w14:paraId="733871DD">
            <w:pPr>
              <w:rPr>
                <w:rFonts w:ascii="宋体" w:hAnsi="宋体" w:cs="宋体"/>
                <w:bCs/>
                <w:color w:val="auto"/>
                <w:sz w:val="24"/>
                <w:highlight w:val="none"/>
              </w:rPr>
            </w:pPr>
            <w:r>
              <w:rPr>
                <w:rFonts w:hint="eastAsia" w:ascii="宋体" w:hAnsi="宋体" w:cs="宋体"/>
                <w:color w:val="auto"/>
                <w:sz w:val="18"/>
                <w:szCs w:val="18"/>
                <w:highlight w:val="none"/>
              </w:rPr>
              <w:t>从业人员(X)</w:t>
            </w:r>
          </w:p>
        </w:tc>
        <w:tc>
          <w:tcPr>
            <w:tcW w:w="758" w:type="dxa"/>
            <w:tcBorders>
              <w:top w:val="nil"/>
              <w:left w:val="nil"/>
              <w:bottom w:val="nil"/>
              <w:right w:val="single" w:color="auto" w:sz="8" w:space="0"/>
            </w:tcBorders>
            <w:tcMar>
              <w:top w:w="0" w:type="dxa"/>
              <w:left w:w="108" w:type="dxa"/>
              <w:bottom w:w="0" w:type="dxa"/>
              <w:right w:w="108" w:type="dxa"/>
            </w:tcMar>
            <w:vAlign w:val="center"/>
          </w:tcPr>
          <w:p w14:paraId="7FC1688D">
            <w:pPr>
              <w:rPr>
                <w:rFonts w:ascii="宋体" w:hAnsi="宋体" w:cs="宋体"/>
                <w:bCs/>
                <w:color w:val="auto"/>
                <w:sz w:val="24"/>
                <w:highlight w:val="none"/>
              </w:rPr>
            </w:pPr>
            <w:r>
              <w:rPr>
                <w:rFonts w:hint="eastAsia" w:ascii="宋体" w:hAnsi="宋体" w:cs="宋体"/>
                <w:color w:val="auto"/>
                <w:sz w:val="18"/>
                <w:szCs w:val="18"/>
                <w:highlight w:val="none"/>
              </w:rPr>
              <w:t>人</w:t>
            </w:r>
          </w:p>
        </w:tc>
        <w:tc>
          <w:tcPr>
            <w:tcW w:w="993" w:type="dxa"/>
            <w:tcBorders>
              <w:top w:val="nil"/>
              <w:left w:val="nil"/>
              <w:bottom w:val="nil"/>
              <w:right w:val="single" w:color="auto" w:sz="8" w:space="0"/>
            </w:tcBorders>
            <w:tcMar>
              <w:top w:w="0" w:type="dxa"/>
              <w:left w:w="108" w:type="dxa"/>
              <w:bottom w:w="0" w:type="dxa"/>
              <w:right w:w="108" w:type="dxa"/>
            </w:tcMar>
            <w:vAlign w:val="center"/>
          </w:tcPr>
          <w:p w14:paraId="1E20F2D9">
            <w:pPr>
              <w:rPr>
                <w:rFonts w:ascii="宋体" w:hAnsi="宋体" w:cs="宋体"/>
                <w:bCs/>
                <w:color w:val="auto"/>
                <w:sz w:val="24"/>
                <w:highlight w:val="none"/>
              </w:rPr>
            </w:pPr>
            <w:r>
              <w:rPr>
                <w:rFonts w:hint="eastAsia" w:ascii="宋体" w:hAnsi="宋体" w:cs="宋体"/>
                <w:color w:val="auto"/>
                <w:sz w:val="18"/>
                <w:szCs w:val="18"/>
                <w:highlight w:val="none"/>
              </w:rPr>
              <w:t>X≥1000</w:t>
            </w:r>
          </w:p>
        </w:tc>
        <w:tc>
          <w:tcPr>
            <w:tcW w:w="1491" w:type="dxa"/>
            <w:tcBorders>
              <w:top w:val="nil"/>
              <w:left w:val="nil"/>
              <w:bottom w:val="nil"/>
              <w:right w:val="single" w:color="auto" w:sz="8" w:space="0"/>
            </w:tcBorders>
            <w:tcMar>
              <w:top w:w="0" w:type="dxa"/>
              <w:left w:w="108" w:type="dxa"/>
              <w:bottom w:w="0" w:type="dxa"/>
              <w:right w:w="108" w:type="dxa"/>
            </w:tcMar>
            <w:vAlign w:val="center"/>
          </w:tcPr>
          <w:p w14:paraId="15351CCD">
            <w:pPr>
              <w:rPr>
                <w:rFonts w:ascii="宋体" w:hAnsi="宋体" w:cs="宋体"/>
                <w:bCs/>
                <w:color w:val="auto"/>
                <w:sz w:val="24"/>
                <w:highlight w:val="none"/>
              </w:rPr>
            </w:pPr>
            <w:r>
              <w:rPr>
                <w:rFonts w:hint="eastAsia" w:ascii="宋体" w:hAnsi="宋体" w:cs="宋体"/>
                <w:color w:val="auto"/>
                <w:sz w:val="18"/>
                <w:szCs w:val="18"/>
                <w:highlight w:val="none"/>
              </w:rPr>
              <w:t>300≤X＜1000</w:t>
            </w:r>
          </w:p>
        </w:tc>
        <w:tc>
          <w:tcPr>
            <w:tcW w:w="1315" w:type="dxa"/>
            <w:tcBorders>
              <w:top w:val="nil"/>
              <w:left w:val="nil"/>
              <w:bottom w:val="nil"/>
              <w:right w:val="single" w:color="auto" w:sz="8" w:space="0"/>
            </w:tcBorders>
            <w:tcMar>
              <w:top w:w="0" w:type="dxa"/>
              <w:left w:w="108" w:type="dxa"/>
              <w:bottom w:w="0" w:type="dxa"/>
              <w:right w:w="108" w:type="dxa"/>
            </w:tcMar>
            <w:vAlign w:val="center"/>
          </w:tcPr>
          <w:p w14:paraId="29DA55E4">
            <w:pPr>
              <w:rPr>
                <w:rFonts w:ascii="宋体" w:hAnsi="宋体" w:cs="宋体"/>
                <w:bCs/>
                <w:color w:val="auto"/>
                <w:sz w:val="24"/>
                <w:highlight w:val="none"/>
              </w:rPr>
            </w:pPr>
            <w:r>
              <w:rPr>
                <w:rFonts w:hint="eastAsia" w:ascii="宋体" w:hAnsi="宋体" w:cs="宋体"/>
                <w:color w:val="auto"/>
                <w:sz w:val="18"/>
                <w:szCs w:val="18"/>
                <w:highlight w:val="none"/>
              </w:rPr>
              <w:t>100≤X＜300</w:t>
            </w:r>
          </w:p>
        </w:tc>
        <w:tc>
          <w:tcPr>
            <w:tcW w:w="908" w:type="dxa"/>
            <w:tcMar>
              <w:top w:w="0" w:type="dxa"/>
              <w:left w:w="108" w:type="dxa"/>
              <w:bottom w:w="0" w:type="dxa"/>
              <w:right w:w="108" w:type="dxa"/>
            </w:tcMar>
            <w:vAlign w:val="center"/>
          </w:tcPr>
          <w:p w14:paraId="62F3AC17">
            <w:pPr>
              <w:rPr>
                <w:rFonts w:ascii="宋体" w:hAnsi="宋体" w:cs="宋体"/>
                <w:bCs/>
                <w:color w:val="auto"/>
                <w:sz w:val="24"/>
                <w:highlight w:val="none"/>
              </w:rPr>
            </w:pPr>
            <w:r>
              <w:rPr>
                <w:rFonts w:hint="eastAsia" w:ascii="宋体" w:hAnsi="宋体" w:cs="宋体"/>
                <w:color w:val="auto"/>
                <w:sz w:val="18"/>
                <w:szCs w:val="18"/>
                <w:highlight w:val="none"/>
              </w:rPr>
              <w:t>X＜100</w:t>
            </w:r>
          </w:p>
        </w:tc>
      </w:tr>
      <w:tr w14:paraId="48B4F7D5">
        <w:tblPrEx>
          <w:tblCellMar>
            <w:top w:w="0" w:type="dxa"/>
            <w:left w:w="0" w:type="dxa"/>
            <w:bottom w:w="0" w:type="dxa"/>
            <w:right w:w="0" w:type="dxa"/>
          </w:tblCellMar>
        </w:tblPrEx>
        <w:trPr>
          <w:trHeight w:val="340" w:hRule="atLeast"/>
          <w:jc w:val="center"/>
        </w:trPr>
        <w:tc>
          <w:tcPr>
            <w:tcW w:w="0" w:type="auto"/>
            <w:vMerge w:val="continue"/>
            <w:tcBorders>
              <w:top w:val="nil"/>
              <w:left w:val="nil"/>
              <w:bottom w:val="single" w:color="auto" w:sz="8" w:space="0"/>
              <w:right w:val="single" w:color="auto" w:sz="8" w:space="0"/>
            </w:tcBorders>
            <w:vAlign w:val="center"/>
          </w:tcPr>
          <w:p w14:paraId="1A6FC108">
            <w:pPr>
              <w:widowControl/>
              <w:rPr>
                <w:rFonts w:ascii="宋体" w:hAnsi="宋体" w:cs="宋体"/>
                <w:bCs/>
                <w:color w:val="auto"/>
                <w:sz w:val="24"/>
                <w:highlight w:val="none"/>
              </w:rPr>
            </w:pP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14:paraId="53C27107">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营业收入(Y)</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14:paraId="6837D2D7">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14:paraId="6888BF62">
            <w:pPr>
              <w:rPr>
                <w:rFonts w:ascii="宋体" w:hAnsi="宋体" w:cs="宋体"/>
                <w:bCs/>
                <w:color w:val="auto"/>
                <w:sz w:val="24"/>
                <w:highlight w:val="none"/>
              </w:rPr>
            </w:pPr>
            <w:r>
              <w:rPr>
                <w:rFonts w:hint="eastAsia" w:ascii="宋体" w:hAnsi="宋体" w:cs="宋体"/>
                <w:color w:val="auto"/>
                <w:sz w:val="18"/>
                <w:szCs w:val="18"/>
                <w:highlight w:val="none"/>
              </w:rPr>
              <w:t>Y≥5000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14:paraId="16235DB5">
            <w:pPr>
              <w:ind w:left="1"/>
              <w:rPr>
                <w:rFonts w:ascii="宋体" w:hAnsi="宋体" w:cs="宋体"/>
                <w:bCs/>
                <w:color w:val="auto"/>
                <w:sz w:val="24"/>
                <w:highlight w:val="none"/>
              </w:rPr>
            </w:pPr>
            <w:r>
              <w:rPr>
                <w:rFonts w:hint="eastAsia" w:ascii="宋体" w:hAnsi="宋体" w:cs="宋体"/>
                <w:color w:val="auto"/>
                <w:sz w:val="18"/>
                <w:szCs w:val="18"/>
                <w:highlight w:val="none"/>
              </w:rPr>
              <w:t>1000≤Y＜5000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14:paraId="58F8739C">
            <w:pPr>
              <w:rPr>
                <w:rFonts w:ascii="宋体" w:hAnsi="宋体" w:cs="宋体"/>
                <w:bCs/>
                <w:color w:val="auto"/>
                <w:sz w:val="24"/>
                <w:highlight w:val="none"/>
              </w:rPr>
            </w:pPr>
            <w:r>
              <w:rPr>
                <w:rFonts w:hint="eastAsia" w:ascii="宋体" w:hAnsi="宋体" w:cs="宋体"/>
                <w:color w:val="auto"/>
                <w:sz w:val="18"/>
                <w:szCs w:val="18"/>
                <w:highlight w:val="none"/>
              </w:rPr>
              <w:t>500≤Y＜1000</w:t>
            </w:r>
          </w:p>
        </w:tc>
        <w:tc>
          <w:tcPr>
            <w:tcW w:w="908" w:type="dxa"/>
            <w:tcBorders>
              <w:top w:val="nil"/>
              <w:left w:val="nil"/>
              <w:bottom w:val="single" w:color="auto" w:sz="8" w:space="0"/>
              <w:right w:val="nil"/>
            </w:tcBorders>
            <w:tcMar>
              <w:top w:w="0" w:type="dxa"/>
              <w:left w:w="108" w:type="dxa"/>
              <w:bottom w:w="0" w:type="dxa"/>
              <w:right w:w="108" w:type="dxa"/>
            </w:tcMar>
            <w:vAlign w:val="center"/>
          </w:tcPr>
          <w:p w14:paraId="6617247E">
            <w:pPr>
              <w:rPr>
                <w:rFonts w:ascii="宋体" w:hAnsi="宋体" w:cs="宋体"/>
                <w:bCs/>
                <w:color w:val="auto"/>
                <w:sz w:val="24"/>
                <w:highlight w:val="none"/>
              </w:rPr>
            </w:pPr>
            <w:r>
              <w:rPr>
                <w:rFonts w:hint="eastAsia" w:ascii="宋体" w:hAnsi="宋体" w:cs="宋体"/>
                <w:color w:val="auto"/>
                <w:sz w:val="18"/>
                <w:szCs w:val="18"/>
                <w:highlight w:val="none"/>
              </w:rPr>
              <w:t>Y＜500</w:t>
            </w:r>
          </w:p>
        </w:tc>
      </w:tr>
      <w:tr w14:paraId="4336B485">
        <w:tblPrEx>
          <w:tblCellMar>
            <w:top w:w="0" w:type="dxa"/>
            <w:left w:w="0" w:type="dxa"/>
            <w:bottom w:w="0" w:type="dxa"/>
            <w:right w:w="0" w:type="dxa"/>
          </w:tblCellMar>
        </w:tblPrEx>
        <w:trPr>
          <w:trHeight w:val="340" w:hRule="atLeast"/>
          <w:jc w:val="center"/>
        </w:trPr>
        <w:tc>
          <w:tcPr>
            <w:tcW w:w="156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433E8C80">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租赁和商务服务业</w:t>
            </w:r>
          </w:p>
        </w:tc>
        <w:tc>
          <w:tcPr>
            <w:tcW w:w="1281" w:type="dxa"/>
            <w:tcBorders>
              <w:top w:val="nil"/>
              <w:left w:val="nil"/>
              <w:bottom w:val="nil"/>
              <w:right w:val="single" w:color="auto" w:sz="8" w:space="0"/>
            </w:tcBorders>
            <w:tcMar>
              <w:top w:w="0" w:type="dxa"/>
              <w:left w:w="108" w:type="dxa"/>
              <w:bottom w:w="0" w:type="dxa"/>
              <w:right w:w="108" w:type="dxa"/>
            </w:tcMar>
            <w:vAlign w:val="center"/>
          </w:tcPr>
          <w:p w14:paraId="65A0709A">
            <w:pPr>
              <w:rPr>
                <w:rFonts w:ascii="宋体" w:hAnsi="宋体" w:cs="宋体"/>
                <w:bCs/>
                <w:color w:val="auto"/>
                <w:sz w:val="24"/>
                <w:highlight w:val="none"/>
              </w:rPr>
            </w:pPr>
            <w:r>
              <w:rPr>
                <w:rFonts w:hint="eastAsia" w:ascii="宋体" w:hAnsi="宋体" w:cs="宋体"/>
                <w:color w:val="auto"/>
                <w:sz w:val="18"/>
                <w:szCs w:val="18"/>
                <w:highlight w:val="none"/>
              </w:rPr>
              <w:t>从业人员(X)</w:t>
            </w:r>
          </w:p>
        </w:tc>
        <w:tc>
          <w:tcPr>
            <w:tcW w:w="758" w:type="dxa"/>
            <w:tcBorders>
              <w:top w:val="nil"/>
              <w:left w:val="nil"/>
              <w:bottom w:val="nil"/>
              <w:right w:val="single" w:color="auto" w:sz="8" w:space="0"/>
            </w:tcBorders>
            <w:tcMar>
              <w:top w:w="0" w:type="dxa"/>
              <w:left w:w="108" w:type="dxa"/>
              <w:bottom w:w="0" w:type="dxa"/>
              <w:right w:w="108" w:type="dxa"/>
            </w:tcMar>
            <w:vAlign w:val="center"/>
          </w:tcPr>
          <w:p w14:paraId="3364EACD">
            <w:pPr>
              <w:rPr>
                <w:rFonts w:ascii="宋体" w:hAnsi="宋体" w:cs="宋体"/>
                <w:bCs/>
                <w:color w:val="auto"/>
                <w:sz w:val="24"/>
                <w:highlight w:val="none"/>
              </w:rPr>
            </w:pPr>
            <w:r>
              <w:rPr>
                <w:rFonts w:hint="eastAsia" w:ascii="宋体" w:hAnsi="宋体" w:cs="宋体"/>
                <w:color w:val="auto"/>
                <w:sz w:val="18"/>
                <w:szCs w:val="18"/>
                <w:highlight w:val="none"/>
              </w:rPr>
              <w:t>人</w:t>
            </w:r>
          </w:p>
        </w:tc>
        <w:tc>
          <w:tcPr>
            <w:tcW w:w="993" w:type="dxa"/>
            <w:tcBorders>
              <w:top w:val="nil"/>
              <w:left w:val="nil"/>
              <w:bottom w:val="nil"/>
              <w:right w:val="single" w:color="auto" w:sz="8" w:space="0"/>
            </w:tcBorders>
            <w:tcMar>
              <w:top w:w="0" w:type="dxa"/>
              <w:left w:w="108" w:type="dxa"/>
              <w:bottom w:w="0" w:type="dxa"/>
              <w:right w:w="108" w:type="dxa"/>
            </w:tcMar>
            <w:vAlign w:val="center"/>
          </w:tcPr>
          <w:p w14:paraId="3A07521E">
            <w:pPr>
              <w:rPr>
                <w:rFonts w:ascii="宋体" w:hAnsi="宋体" w:cs="宋体"/>
                <w:bCs/>
                <w:color w:val="auto"/>
                <w:sz w:val="24"/>
                <w:highlight w:val="none"/>
              </w:rPr>
            </w:pPr>
            <w:r>
              <w:rPr>
                <w:rFonts w:hint="eastAsia" w:ascii="宋体" w:hAnsi="宋体" w:cs="宋体"/>
                <w:color w:val="auto"/>
                <w:sz w:val="18"/>
                <w:szCs w:val="18"/>
                <w:highlight w:val="none"/>
              </w:rPr>
              <w:t>X≥300</w:t>
            </w:r>
          </w:p>
        </w:tc>
        <w:tc>
          <w:tcPr>
            <w:tcW w:w="1491" w:type="dxa"/>
            <w:tcBorders>
              <w:top w:val="nil"/>
              <w:left w:val="nil"/>
              <w:bottom w:val="nil"/>
              <w:right w:val="single" w:color="auto" w:sz="8" w:space="0"/>
            </w:tcBorders>
            <w:tcMar>
              <w:top w:w="0" w:type="dxa"/>
              <w:left w:w="108" w:type="dxa"/>
              <w:bottom w:w="0" w:type="dxa"/>
              <w:right w:w="108" w:type="dxa"/>
            </w:tcMar>
            <w:vAlign w:val="center"/>
          </w:tcPr>
          <w:p w14:paraId="48BD0AAD">
            <w:pPr>
              <w:ind w:left="1"/>
              <w:rPr>
                <w:rFonts w:ascii="宋体" w:hAnsi="宋体" w:cs="宋体"/>
                <w:bCs/>
                <w:color w:val="auto"/>
                <w:sz w:val="24"/>
                <w:highlight w:val="none"/>
              </w:rPr>
            </w:pPr>
            <w:r>
              <w:rPr>
                <w:rFonts w:hint="eastAsia" w:ascii="宋体" w:hAnsi="宋体" w:cs="宋体"/>
                <w:color w:val="auto"/>
                <w:sz w:val="18"/>
                <w:szCs w:val="18"/>
                <w:highlight w:val="none"/>
              </w:rPr>
              <w:t>100≤X＜300</w:t>
            </w:r>
          </w:p>
        </w:tc>
        <w:tc>
          <w:tcPr>
            <w:tcW w:w="1315" w:type="dxa"/>
            <w:tcBorders>
              <w:top w:val="nil"/>
              <w:left w:val="nil"/>
              <w:bottom w:val="nil"/>
              <w:right w:val="single" w:color="auto" w:sz="8" w:space="0"/>
            </w:tcBorders>
            <w:tcMar>
              <w:top w:w="0" w:type="dxa"/>
              <w:left w:w="108" w:type="dxa"/>
              <w:bottom w:w="0" w:type="dxa"/>
              <w:right w:w="108" w:type="dxa"/>
            </w:tcMar>
            <w:vAlign w:val="center"/>
          </w:tcPr>
          <w:p w14:paraId="50850053">
            <w:pPr>
              <w:rPr>
                <w:rFonts w:ascii="宋体" w:hAnsi="宋体" w:cs="宋体"/>
                <w:bCs/>
                <w:color w:val="auto"/>
                <w:sz w:val="24"/>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14:paraId="4AC44BD5">
            <w:pPr>
              <w:rPr>
                <w:rFonts w:ascii="宋体" w:hAnsi="宋体" w:cs="宋体"/>
                <w:bCs/>
                <w:color w:val="auto"/>
                <w:sz w:val="24"/>
                <w:highlight w:val="none"/>
              </w:rPr>
            </w:pPr>
            <w:r>
              <w:rPr>
                <w:rFonts w:hint="eastAsia" w:ascii="宋体" w:hAnsi="宋体" w:cs="宋体"/>
                <w:color w:val="auto"/>
                <w:sz w:val="18"/>
                <w:szCs w:val="18"/>
                <w:highlight w:val="none"/>
              </w:rPr>
              <w:t>X＜10</w:t>
            </w:r>
          </w:p>
        </w:tc>
      </w:tr>
      <w:tr w14:paraId="15978744">
        <w:tblPrEx>
          <w:tblCellMar>
            <w:top w:w="0" w:type="dxa"/>
            <w:left w:w="0" w:type="dxa"/>
            <w:bottom w:w="0" w:type="dxa"/>
            <w:right w:w="0" w:type="dxa"/>
          </w:tblCellMar>
        </w:tblPrEx>
        <w:trPr>
          <w:trHeight w:val="340" w:hRule="atLeast"/>
          <w:jc w:val="center"/>
        </w:trPr>
        <w:tc>
          <w:tcPr>
            <w:tcW w:w="0" w:type="auto"/>
            <w:vMerge w:val="continue"/>
            <w:tcBorders>
              <w:top w:val="nil"/>
              <w:left w:val="nil"/>
              <w:bottom w:val="single" w:color="auto" w:sz="8" w:space="0"/>
              <w:right w:val="single" w:color="auto" w:sz="8" w:space="0"/>
            </w:tcBorders>
            <w:vAlign w:val="center"/>
          </w:tcPr>
          <w:p w14:paraId="58B36BE1">
            <w:pPr>
              <w:widowControl/>
              <w:rPr>
                <w:rFonts w:ascii="宋体" w:hAnsi="宋体" w:cs="宋体"/>
                <w:bCs/>
                <w:color w:val="auto"/>
                <w:sz w:val="24"/>
                <w:highlight w:val="none"/>
              </w:rPr>
            </w:pP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14:paraId="349E4A9D">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资产总额(Z)</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14:paraId="74D489CC">
            <w:pPr>
              <w:rPr>
                <w:rFonts w:ascii="宋体" w:hAnsi="宋体" w:cs="宋体"/>
                <w:bCs/>
                <w:color w:val="auto"/>
                <w:sz w:val="24"/>
                <w:highlight w:val="none"/>
              </w:rPr>
            </w:pPr>
            <w:r>
              <w:rPr>
                <w:rFonts w:hint="eastAsia" w:ascii="宋体" w:hAnsi="宋体" w:cs="宋体"/>
                <w:color w:val="auto"/>
                <w:sz w:val="18"/>
                <w:szCs w:val="18"/>
                <w:highlight w:val="none"/>
              </w:rPr>
              <w:t>万元</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14:paraId="7E435932">
            <w:pPr>
              <w:rPr>
                <w:rFonts w:ascii="宋体" w:hAnsi="宋体" w:cs="宋体"/>
                <w:bCs/>
                <w:color w:val="auto"/>
                <w:sz w:val="24"/>
                <w:highlight w:val="none"/>
              </w:rPr>
            </w:pPr>
            <w:r>
              <w:rPr>
                <w:rFonts w:hint="eastAsia" w:ascii="宋体" w:hAnsi="宋体" w:cs="宋体"/>
                <w:color w:val="auto"/>
                <w:sz w:val="18"/>
                <w:szCs w:val="18"/>
                <w:highlight w:val="none"/>
              </w:rPr>
              <w:t>Z≥120000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14:paraId="0DA8911C">
            <w:pPr>
              <w:rPr>
                <w:rFonts w:ascii="宋体" w:hAnsi="宋体" w:cs="宋体"/>
                <w:bCs/>
                <w:color w:val="auto"/>
                <w:sz w:val="24"/>
                <w:highlight w:val="none"/>
              </w:rPr>
            </w:pPr>
            <w:r>
              <w:rPr>
                <w:rFonts w:hint="eastAsia" w:ascii="宋体" w:hAnsi="宋体" w:cs="宋体"/>
                <w:color w:val="auto"/>
                <w:sz w:val="18"/>
                <w:szCs w:val="18"/>
                <w:highlight w:val="none"/>
              </w:rPr>
              <w:t>8000≤Z＜120000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14:paraId="1264E798">
            <w:pPr>
              <w:rPr>
                <w:rFonts w:ascii="宋体" w:hAnsi="宋体" w:cs="宋体"/>
                <w:bCs/>
                <w:color w:val="auto"/>
                <w:sz w:val="24"/>
                <w:highlight w:val="none"/>
              </w:rPr>
            </w:pPr>
            <w:r>
              <w:rPr>
                <w:rFonts w:hint="eastAsia" w:ascii="宋体" w:hAnsi="宋体" w:cs="宋体"/>
                <w:color w:val="auto"/>
                <w:sz w:val="18"/>
                <w:szCs w:val="18"/>
                <w:highlight w:val="none"/>
              </w:rPr>
              <w:t>100≤Z＜8000</w:t>
            </w:r>
          </w:p>
        </w:tc>
        <w:tc>
          <w:tcPr>
            <w:tcW w:w="908" w:type="dxa"/>
            <w:tcBorders>
              <w:top w:val="nil"/>
              <w:left w:val="nil"/>
              <w:bottom w:val="single" w:color="auto" w:sz="8" w:space="0"/>
              <w:right w:val="nil"/>
            </w:tcBorders>
            <w:tcMar>
              <w:top w:w="0" w:type="dxa"/>
              <w:left w:w="108" w:type="dxa"/>
              <w:bottom w:w="0" w:type="dxa"/>
              <w:right w:w="108" w:type="dxa"/>
            </w:tcMar>
            <w:vAlign w:val="center"/>
          </w:tcPr>
          <w:p w14:paraId="5C7D400A">
            <w:pPr>
              <w:rPr>
                <w:rFonts w:ascii="宋体" w:hAnsi="宋体" w:cs="宋体"/>
                <w:bCs/>
                <w:color w:val="auto"/>
                <w:sz w:val="24"/>
                <w:highlight w:val="none"/>
              </w:rPr>
            </w:pPr>
            <w:r>
              <w:rPr>
                <w:rFonts w:hint="eastAsia" w:ascii="宋体" w:hAnsi="宋体" w:cs="宋体"/>
                <w:color w:val="auto"/>
                <w:sz w:val="18"/>
                <w:szCs w:val="18"/>
                <w:highlight w:val="none"/>
              </w:rPr>
              <w:t>Z＜100</w:t>
            </w:r>
          </w:p>
        </w:tc>
      </w:tr>
      <w:tr w14:paraId="7E8B3ADD">
        <w:tblPrEx>
          <w:tblCellMar>
            <w:top w:w="0" w:type="dxa"/>
            <w:left w:w="0" w:type="dxa"/>
            <w:bottom w:w="0" w:type="dxa"/>
            <w:right w:w="0" w:type="dxa"/>
          </w:tblCellMar>
        </w:tblPrEx>
        <w:trPr>
          <w:trHeight w:val="397" w:hRule="atLeast"/>
          <w:jc w:val="center"/>
        </w:trPr>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819C752">
            <w:pPr>
              <w:spacing w:line="240" w:lineRule="atLeast"/>
              <w:rPr>
                <w:rFonts w:ascii="宋体" w:hAnsi="宋体" w:cs="宋体"/>
                <w:bCs/>
                <w:color w:val="auto"/>
                <w:sz w:val="24"/>
                <w:highlight w:val="none"/>
              </w:rPr>
            </w:pPr>
            <w:r>
              <w:rPr>
                <w:rFonts w:hint="eastAsia" w:ascii="宋体" w:hAnsi="宋体" w:cs="宋体"/>
                <w:color w:val="auto"/>
                <w:sz w:val="18"/>
                <w:szCs w:val="18"/>
                <w:highlight w:val="none"/>
              </w:rPr>
              <w:t>工业 *</w:t>
            </w: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14:paraId="5AD19CF4">
            <w:pPr>
              <w:rPr>
                <w:rFonts w:ascii="宋体" w:hAnsi="宋体" w:cs="宋体"/>
                <w:bCs/>
                <w:color w:val="auto"/>
                <w:sz w:val="24"/>
                <w:highlight w:val="none"/>
              </w:rPr>
            </w:pPr>
            <w:r>
              <w:rPr>
                <w:rFonts w:hint="eastAsia" w:ascii="宋体" w:hAnsi="宋体" w:cs="宋体"/>
                <w:color w:val="auto"/>
                <w:sz w:val="18"/>
                <w:szCs w:val="18"/>
                <w:highlight w:val="none"/>
              </w:rPr>
              <w:t>从业人员(X)</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14:paraId="1772F2D0">
            <w:pPr>
              <w:rPr>
                <w:rFonts w:ascii="宋体" w:hAnsi="宋体" w:cs="宋体"/>
                <w:bCs/>
                <w:color w:val="auto"/>
                <w:sz w:val="24"/>
                <w:highlight w:val="none"/>
              </w:rPr>
            </w:pPr>
            <w:r>
              <w:rPr>
                <w:rFonts w:hint="eastAsia" w:ascii="宋体" w:hAnsi="宋体" w:cs="宋体"/>
                <w:color w:val="auto"/>
                <w:sz w:val="18"/>
                <w:szCs w:val="18"/>
                <w:highlight w:val="none"/>
              </w:rPr>
              <w:t>人</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14:paraId="6D4CB374">
            <w:pPr>
              <w:rPr>
                <w:rFonts w:ascii="宋体" w:hAnsi="宋体" w:cs="宋体"/>
                <w:bCs/>
                <w:color w:val="auto"/>
                <w:sz w:val="24"/>
                <w:highlight w:val="none"/>
              </w:rPr>
            </w:pPr>
            <w:r>
              <w:rPr>
                <w:rFonts w:hint="eastAsia" w:ascii="宋体" w:hAnsi="宋体" w:cs="宋体"/>
                <w:color w:val="auto"/>
                <w:sz w:val="18"/>
                <w:szCs w:val="18"/>
                <w:highlight w:val="none"/>
              </w:rPr>
              <w:t>X≥300</w:t>
            </w:r>
          </w:p>
        </w:tc>
        <w:tc>
          <w:tcPr>
            <w:tcW w:w="1491" w:type="dxa"/>
            <w:tcBorders>
              <w:top w:val="nil"/>
              <w:left w:val="nil"/>
              <w:bottom w:val="single" w:color="auto" w:sz="8" w:space="0"/>
              <w:right w:val="single" w:color="auto" w:sz="8" w:space="0"/>
            </w:tcBorders>
            <w:tcMar>
              <w:top w:w="0" w:type="dxa"/>
              <w:left w:w="108" w:type="dxa"/>
              <w:bottom w:w="0" w:type="dxa"/>
              <w:right w:w="108" w:type="dxa"/>
            </w:tcMar>
            <w:vAlign w:val="center"/>
          </w:tcPr>
          <w:p w14:paraId="5F30C88E">
            <w:pPr>
              <w:ind w:left="1"/>
              <w:rPr>
                <w:rFonts w:ascii="宋体" w:hAnsi="宋体" w:cs="宋体"/>
                <w:bCs/>
                <w:color w:val="auto"/>
                <w:sz w:val="24"/>
                <w:highlight w:val="none"/>
              </w:rPr>
            </w:pPr>
            <w:r>
              <w:rPr>
                <w:rFonts w:hint="eastAsia" w:ascii="宋体" w:hAnsi="宋体" w:cs="宋体"/>
                <w:color w:val="auto"/>
                <w:sz w:val="18"/>
                <w:szCs w:val="18"/>
                <w:highlight w:val="none"/>
              </w:rPr>
              <w:t>100≤X＜300</w:t>
            </w:r>
          </w:p>
        </w:tc>
        <w:tc>
          <w:tcPr>
            <w:tcW w:w="1315" w:type="dxa"/>
            <w:tcBorders>
              <w:top w:val="nil"/>
              <w:left w:val="nil"/>
              <w:bottom w:val="single" w:color="auto" w:sz="8" w:space="0"/>
              <w:right w:val="single" w:color="auto" w:sz="8" w:space="0"/>
            </w:tcBorders>
            <w:tcMar>
              <w:top w:w="0" w:type="dxa"/>
              <w:left w:w="108" w:type="dxa"/>
              <w:bottom w:w="0" w:type="dxa"/>
              <w:right w:w="108" w:type="dxa"/>
            </w:tcMar>
            <w:vAlign w:val="center"/>
          </w:tcPr>
          <w:p w14:paraId="7889CB18">
            <w:pPr>
              <w:rPr>
                <w:rFonts w:ascii="宋体" w:hAnsi="宋体" w:cs="宋体"/>
                <w:bCs/>
                <w:color w:val="auto"/>
                <w:sz w:val="24"/>
                <w:highlight w:val="none"/>
              </w:rPr>
            </w:pPr>
            <w:r>
              <w:rPr>
                <w:rFonts w:hint="eastAsia" w:ascii="宋体" w:hAnsi="宋体" w:cs="宋体"/>
                <w:color w:val="auto"/>
                <w:sz w:val="18"/>
                <w:szCs w:val="18"/>
                <w:highlight w:val="none"/>
              </w:rPr>
              <w:t>10≤X＜100</w:t>
            </w:r>
          </w:p>
        </w:tc>
        <w:tc>
          <w:tcPr>
            <w:tcW w:w="908" w:type="dxa"/>
            <w:tcBorders>
              <w:top w:val="nil"/>
              <w:left w:val="nil"/>
              <w:bottom w:val="single" w:color="auto" w:sz="8" w:space="0"/>
              <w:right w:val="nil"/>
            </w:tcBorders>
            <w:tcMar>
              <w:top w:w="0" w:type="dxa"/>
              <w:left w:w="108" w:type="dxa"/>
              <w:bottom w:w="0" w:type="dxa"/>
              <w:right w:w="108" w:type="dxa"/>
            </w:tcMar>
            <w:vAlign w:val="center"/>
          </w:tcPr>
          <w:p w14:paraId="630DA2F7">
            <w:pPr>
              <w:rPr>
                <w:rFonts w:ascii="宋体" w:hAnsi="宋体" w:cs="宋体"/>
                <w:bCs/>
                <w:color w:val="auto"/>
                <w:sz w:val="24"/>
                <w:highlight w:val="none"/>
              </w:rPr>
            </w:pPr>
            <w:r>
              <w:rPr>
                <w:rFonts w:hint="eastAsia" w:ascii="宋体" w:hAnsi="宋体" w:cs="宋体"/>
                <w:color w:val="auto"/>
                <w:sz w:val="18"/>
                <w:szCs w:val="18"/>
                <w:highlight w:val="none"/>
              </w:rPr>
              <w:t>X＜10</w:t>
            </w:r>
          </w:p>
        </w:tc>
      </w:tr>
    </w:tbl>
    <w:p w14:paraId="22DF2479">
      <w:pPr>
        <w:shd w:val="clear" w:color="auto" w:fill="FFFFFF"/>
        <w:spacing w:line="375" w:lineRule="atLeast"/>
        <w:ind w:firstLine="600"/>
        <w:rPr>
          <w:rFonts w:ascii="宋体" w:hAnsi="宋体" w:cs="宋体"/>
          <w:bCs/>
          <w:color w:val="auto"/>
          <w:sz w:val="18"/>
          <w:szCs w:val="18"/>
          <w:highlight w:val="none"/>
        </w:rPr>
      </w:pPr>
      <w:r>
        <w:rPr>
          <w:rFonts w:hint="eastAsia" w:ascii="仿宋_GB2312" w:hAnsi="宋体" w:eastAsia="仿宋_GB2312" w:cs="宋体"/>
          <w:color w:val="auto"/>
          <w:sz w:val="30"/>
          <w:szCs w:val="30"/>
          <w:highlight w:val="none"/>
        </w:rPr>
        <w:br w:type="textWrapping" w:clear="all"/>
      </w:r>
      <w:r>
        <w:rPr>
          <w:rFonts w:hint="eastAsia" w:ascii="宋体" w:hAnsi="宋体" w:cs="宋体"/>
          <w:color w:val="auto"/>
          <w:sz w:val="18"/>
          <w:szCs w:val="18"/>
          <w:highlight w:val="none"/>
        </w:rPr>
        <w:t> </w:t>
      </w:r>
    </w:p>
    <w:p w14:paraId="08BEFD2F">
      <w:pPr>
        <w:shd w:val="clear" w:color="auto" w:fill="FFFFFF"/>
        <w:spacing w:line="330" w:lineRule="atLeast"/>
        <w:ind w:firstLine="512"/>
        <w:rPr>
          <w:rFonts w:ascii="宋体" w:hAnsi="宋体" w:cs="宋体"/>
          <w:bCs/>
          <w:color w:val="auto"/>
          <w:sz w:val="24"/>
          <w:highlight w:val="none"/>
        </w:rPr>
      </w:pPr>
      <w:r>
        <w:rPr>
          <w:rFonts w:hint="eastAsia" w:ascii="宋体" w:hAnsi="宋体" w:cs="宋体"/>
          <w:color w:val="auto"/>
          <w:spacing w:val="8"/>
          <w:sz w:val="24"/>
          <w:highlight w:val="none"/>
        </w:rPr>
        <w:t>　　说明：</w:t>
      </w:r>
    </w:p>
    <w:p w14:paraId="0ACF5D2A">
      <w:pPr>
        <w:shd w:val="clear" w:color="auto" w:fill="FFFFFF"/>
        <w:spacing w:line="330" w:lineRule="atLeast"/>
        <w:ind w:firstLine="512"/>
        <w:rPr>
          <w:rFonts w:ascii="宋体" w:hAnsi="宋体" w:cs="宋体"/>
          <w:bCs/>
          <w:color w:val="auto"/>
          <w:sz w:val="24"/>
          <w:highlight w:val="none"/>
        </w:rPr>
      </w:pPr>
      <w:r>
        <w:rPr>
          <w:color w:val="auto"/>
          <w:spacing w:val="8"/>
          <w:sz w:val="24"/>
          <w:highlight w:val="none"/>
        </w:rPr>
        <w:t> </w:t>
      </w:r>
    </w:p>
    <w:p w14:paraId="164632B9">
      <w:pPr>
        <w:shd w:val="clear" w:color="auto" w:fill="FFFFFF"/>
        <w:spacing w:line="330" w:lineRule="atLeast"/>
        <w:ind w:firstLine="512"/>
        <w:rPr>
          <w:rFonts w:ascii="宋体" w:hAnsi="宋体" w:cs="宋体"/>
          <w:bCs/>
          <w:color w:val="auto"/>
          <w:sz w:val="24"/>
          <w:highlight w:val="none"/>
        </w:rPr>
      </w:pPr>
      <w:r>
        <w:rPr>
          <w:rFonts w:hint="eastAsia" w:ascii="宋体" w:hAnsi="宋体" w:cs="宋体"/>
          <w:color w:val="auto"/>
          <w:spacing w:val="8"/>
          <w:sz w:val="24"/>
          <w:highlight w:val="none"/>
        </w:rPr>
        <w:t>　　</w:t>
      </w:r>
      <w:r>
        <w:rPr>
          <w:color w:val="auto"/>
          <w:spacing w:val="8"/>
          <w:sz w:val="24"/>
          <w:highlight w:val="none"/>
        </w:rPr>
        <w:t>1.</w:t>
      </w:r>
      <w:r>
        <w:rPr>
          <w:rFonts w:hint="eastAsia" w:ascii="宋体" w:hAnsi="宋体" w:cs="宋体"/>
          <w:color w:val="auto"/>
          <w:spacing w:val="8"/>
          <w:sz w:val="24"/>
          <w:highlight w:val="none"/>
        </w:rPr>
        <w:t>大型、中型和小型企业须同时满足所列指标的下限，否则下划一档；微型企业只须满足所列指标中的一项即可。</w:t>
      </w:r>
    </w:p>
    <w:p w14:paraId="63FEDA1B">
      <w:pPr>
        <w:shd w:val="clear" w:color="auto" w:fill="FFFFFF"/>
        <w:spacing w:line="330" w:lineRule="atLeast"/>
        <w:ind w:firstLine="512"/>
        <w:rPr>
          <w:rFonts w:ascii="宋体" w:hAnsi="宋体" w:cs="宋体"/>
          <w:bCs/>
          <w:color w:val="auto"/>
          <w:sz w:val="24"/>
          <w:highlight w:val="none"/>
        </w:rPr>
      </w:pPr>
      <w:r>
        <w:rPr>
          <w:color w:val="auto"/>
          <w:spacing w:val="8"/>
          <w:sz w:val="24"/>
          <w:highlight w:val="none"/>
        </w:rPr>
        <w:t> </w:t>
      </w:r>
    </w:p>
    <w:p w14:paraId="17D1BA04">
      <w:pPr>
        <w:shd w:val="clear" w:color="auto" w:fill="FFFFFF"/>
        <w:spacing w:line="330" w:lineRule="atLeast"/>
        <w:ind w:firstLine="512"/>
        <w:rPr>
          <w:rFonts w:ascii="宋体" w:hAnsi="宋体" w:cs="宋体"/>
          <w:bCs/>
          <w:color w:val="auto"/>
          <w:sz w:val="24"/>
          <w:highlight w:val="none"/>
        </w:rPr>
      </w:pPr>
      <w:r>
        <w:rPr>
          <w:rFonts w:hint="eastAsia" w:ascii="宋体" w:hAnsi="宋体" w:cs="宋体"/>
          <w:color w:val="auto"/>
          <w:spacing w:val="8"/>
          <w:sz w:val="24"/>
          <w:highlight w:val="none"/>
        </w:rPr>
        <w:t>　　</w:t>
      </w:r>
      <w:r>
        <w:rPr>
          <w:color w:val="auto"/>
          <w:spacing w:val="8"/>
          <w:sz w:val="24"/>
          <w:highlight w:val="none"/>
        </w:rPr>
        <w:t>2.</w:t>
      </w:r>
      <w:r>
        <w:rPr>
          <w:rFonts w:hint="eastAsia" w:ascii="宋体" w:hAnsi="宋体" w:cs="宋体"/>
          <w:color w:val="auto"/>
          <w:spacing w:val="8"/>
          <w:sz w:val="24"/>
          <w:highlight w:val="none"/>
        </w:rPr>
        <w:t>附表中各行业的范围以《国民经济行业分类》（</w:t>
      </w:r>
      <w:r>
        <w:rPr>
          <w:color w:val="auto"/>
          <w:spacing w:val="8"/>
          <w:sz w:val="24"/>
          <w:highlight w:val="none"/>
        </w:rPr>
        <w:t>GB/T4754-2011</w:t>
      </w:r>
      <w:r>
        <w:rPr>
          <w:rFonts w:hint="eastAsia" w:ascii="宋体" w:hAnsi="宋体" w:cs="宋体"/>
          <w:color w:val="auto"/>
          <w:spacing w:val="8"/>
          <w:sz w:val="24"/>
          <w:highlight w:val="none"/>
        </w:rPr>
        <w:t>）为准。带</w:t>
      </w:r>
      <w:r>
        <w:rPr>
          <w:color w:val="auto"/>
          <w:spacing w:val="8"/>
          <w:sz w:val="24"/>
          <w:highlight w:val="none"/>
        </w:rPr>
        <w:t>*</w:t>
      </w:r>
      <w:r>
        <w:rPr>
          <w:rFonts w:hint="eastAsia" w:ascii="宋体" w:hAnsi="宋体" w:cs="宋体"/>
          <w:color w:val="auto"/>
          <w:spacing w:val="8"/>
          <w:sz w:val="24"/>
          <w:highlight w:val="none"/>
        </w:rPr>
        <w:t>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工业包括科学研究和技术服务业，水利、环境和公共设施管理业，居民服务、修理和其他服务业，社会工作，文化、体育和娱乐业，以及房地产中介服务，其他房地产业等，不包括自有房地产经营活动。</w:t>
      </w:r>
    </w:p>
    <w:p w14:paraId="629A6D4F">
      <w:pPr>
        <w:shd w:val="clear" w:color="auto" w:fill="FFFFFF"/>
        <w:spacing w:line="330" w:lineRule="atLeast"/>
        <w:ind w:firstLine="512"/>
        <w:rPr>
          <w:rFonts w:ascii="宋体" w:hAnsi="宋体" w:cs="宋体"/>
          <w:bCs/>
          <w:color w:val="auto"/>
          <w:sz w:val="24"/>
          <w:highlight w:val="none"/>
        </w:rPr>
      </w:pPr>
      <w:r>
        <w:rPr>
          <w:color w:val="auto"/>
          <w:spacing w:val="8"/>
          <w:sz w:val="24"/>
          <w:highlight w:val="none"/>
        </w:rPr>
        <w:t> </w:t>
      </w:r>
    </w:p>
    <w:p w14:paraId="0F89070C">
      <w:pPr>
        <w:shd w:val="clear" w:color="auto" w:fill="FFFFFF"/>
        <w:spacing w:line="330" w:lineRule="atLeast"/>
        <w:ind w:firstLine="512"/>
        <w:rPr>
          <w:rFonts w:ascii="宋体" w:hAnsi="宋体" w:cs="宋体"/>
          <w:bCs/>
          <w:color w:val="auto"/>
          <w:sz w:val="24"/>
          <w:highlight w:val="none"/>
        </w:rPr>
      </w:pPr>
      <w:r>
        <w:rPr>
          <w:rFonts w:hint="eastAsia" w:ascii="宋体" w:hAnsi="宋体" w:cs="宋体"/>
          <w:color w:val="auto"/>
          <w:spacing w:val="8"/>
          <w:sz w:val="24"/>
          <w:highlight w:val="none"/>
        </w:rPr>
        <w:t>　　</w:t>
      </w:r>
      <w:r>
        <w:rPr>
          <w:color w:val="auto"/>
          <w:spacing w:val="8"/>
          <w:sz w:val="24"/>
          <w:highlight w:val="none"/>
        </w:rPr>
        <w:t>3.</w:t>
      </w:r>
      <w:r>
        <w:rPr>
          <w:rFonts w:hint="eastAsia" w:ascii="宋体" w:hAnsi="宋体" w:cs="宋体"/>
          <w:color w:val="auto"/>
          <w:spacing w:val="8"/>
          <w:sz w:val="24"/>
          <w:highlight w:val="none"/>
        </w:rPr>
        <w:t>企业划分指标以现行统计制度为准。（</w:t>
      </w:r>
      <w:r>
        <w:rPr>
          <w:color w:val="auto"/>
          <w:spacing w:val="8"/>
          <w:sz w:val="24"/>
          <w:highlight w:val="none"/>
        </w:rPr>
        <w:t>1</w:t>
      </w:r>
      <w:r>
        <w:rPr>
          <w:rFonts w:hint="eastAsia" w:ascii="宋体" w:hAnsi="宋体" w:cs="宋体"/>
          <w:color w:val="auto"/>
          <w:spacing w:val="8"/>
          <w:sz w:val="24"/>
          <w:highlight w:val="none"/>
        </w:rPr>
        <w:t>）从业人员，是指期末从业人员数，没有期末从业人员数的，采用全年平均人员数代替。（</w:t>
      </w:r>
      <w:r>
        <w:rPr>
          <w:color w:val="auto"/>
          <w:spacing w:val="8"/>
          <w:sz w:val="24"/>
          <w:highlight w:val="none"/>
        </w:rPr>
        <w:t>2</w:t>
      </w:r>
      <w:r>
        <w:rPr>
          <w:rFonts w:hint="eastAsia" w:ascii="宋体" w:hAnsi="宋体" w:cs="宋体"/>
          <w:color w:val="auto"/>
          <w:spacing w:val="8"/>
          <w:sz w:val="24"/>
          <w:highlight w:val="none"/>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color w:val="auto"/>
          <w:spacing w:val="8"/>
          <w:sz w:val="24"/>
          <w:highlight w:val="none"/>
        </w:rPr>
        <w:t>3</w:t>
      </w:r>
      <w:r>
        <w:rPr>
          <w:rFonts w:hint="eastAsia" w:ascii="宋体" w:hAnsi="宋体" w:cs="宋体"/>
          <w:color w:val="auto"/>
          <w:spacing w:val="8"/>
          <w:sz w:val="24"/>
          <w:highlight w:val="none"/>
        </w:rPr>
        <w:t>）资产总额，采用资产总计代替。</w:t>
      </w:r>
    </w:p>
    <w:p w14:paraId="43F9EB27">
      <w:pPr>
        <w:pStyle w:val="29"/>
        <w:snapToGrid w:val="0"/>
        <w:ind w:firstLine="420"/>
        <w:rPr>
          <w:rFonts w:ascii="微软雅黑" w:hAnsi="微软雅黑"/>
          <w:color w:val="auto"/>
          <w:szCs w:val="21"/>
          <w:highlight w:val="none"/>
        </w:rPr>
      </w:pPr>
    </w:p>
    <w:p w14:paraId="6DA3746F">
      <w:pPr>
        <w:pStyle w:val="29"/>
        <w:snapToGrid w:val="0"/>
        <w:ind w:firstLine="420"/>
        <w:rPr>
          <w:rFonts w:ascii="微软雅黑" w:hAnsi="微软雅黑"/>
          <w:color w:val="auto"/>
          <w:szCs w:val="21"/>
          <w:highlight w:val="none"/>
        </w:rPr>
      </w:pPr>
    </w:p>
    <w:p w14:paraId="655C752D">
      <w:pPr>
        <w:pStyle w:val="96"/>
        <w:rPr>
          <w:color w:val="auto"/>
          <w:highlight w:val="none"/>
        </w:rPr>
      </w:pPr>
    </w:p>
    <w:p w14:paraId="519E9755">
      <w:pPr>
        <w:pStyle w:val="96"/>
        <w:rPr>
          <w:color w:val="auto"/>
          <w:highlight w:val="none"/>
        </w:rPr>
      </w:pPr>
    </w:p>
    <w:sectPr>
      <w:pgSz w:w="11907" w:h="16839"/>
      <w:pgMar w:top="1440" w:right="1842"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MingLiU">
    <w:altName w:val="PMingLiU-ExtB"/>
    <w:panose1 w:val="02010609000101010101"/>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方正小标宋简体">
    <w:altName w:val="Arial Unicode MS"/>
    <w:panose1 w:val="02000000000000000000"/>
    <w:charset w:val="86"/>
    <w:family w:val="script"/>
    <w:pitch w:val="default"/>
    <w:sig w:usb0="00000000" w:usb1="00000000" w:usb2="00000012"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66517"/>
    </w:sdtPr>
    <w:sdtContent>
      <w:p w14:paraId="772604AF">
        <w:pPr>
          <w:pStyle w:val="35"/>
          <w:jc w:val="center"/>
        </w:pPr>
        <w:r>
          <w:fldChar w:fldCharType="begin"/>
        </w:r>
        <w:r>
          <w:instrText xml:space="preserve"> PAGE   \* MERGEFORMAT </w:instrText>
        </w:r>
        <w:r>
          <w:fldChar w:fldCharType="separate"/>
        </w:r>
        <w:r>
          <w:rPr>
            <w:lang w:val="zh-CN"/>
          </w:rPr>
          <w:t>12</w:t>
        </w:r>
        <w:r>
          <w:rPr>
            <w:lang w:val="zh-CN"/>
          </w:rPr>
          <w:fldChar w:fldCharType="end"/>
        </w:r>
      </w:p>
    </w:sdtContent>
  </w:sdt>
  <w:p w14:paraId="77F71FBE">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37799">
    <w:pPr>
      <w:pStyle w:val="36"/>
      <w:jc w:val="right"/>
      <w:rPr>
        <w:rFonts w:ascii="微软雅黑" w:hAnsi="微软雅黑"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1F112"/>
    <w:multiLevelType w:val="singleLevel"/>
    <w:tmpl w:val="9C71F112"/>
    <w:lvl w:ilvl="0" w:tentative="0">
      <w:start w:val="1"/>
      <w:numFmt w:val="chineseCounting"/>
      <w:suff w:val="nothing"/>
      <w:lvlText w:val="%1、"/>
      <w:lvlJc w:val="left"/>
      <w:rPr>
        <w:rFonts w:hint="eastAsia"/>
      </w:rPr>
    </w:lvl>
  </w:abstractNum>
  <w:abstractNum w:abstractNumId="1">
    <w:nsid w:val="319DA420"/>
    <w:multiLevelType w:val="singleLevel"/>
    <w:tmpl w:val="319DA420"/>
    <w:lvl w:ilvl="0" w:tentative="0">
      <w:start w:val="2"/>
      <w:numFmt w:val="chineseCounting"/>
      <w:suff w:val="space"/>
      <w:lvlText w:val="第%1章"/>
      <w:lvlJc w:val="left"/>
      <w:rPr>
        <w:rFonts w:hint="eastAsia"/>
      </w:rPr>
    </w:lvl>
  </w:abstractNum>
  <w:abstractNum w:abstractNumId="2">
    <w:nsid w:val="4036637C"/>
    <w:multiLevelType w:val="singleLevel"/>
    <w:tmpl w:val="4036637C"/>
    <w:lvl w:ilvl="0" w:tentative="0">
      <w:start w:val="2"/>
      <w:numFmt w:val="chineseCounting"/>
      <w:suff w:val="nothing"/>
      <w:lvlText w:val="（%1）"/>
      <w:lvlJc w:val="left"/>
      <w:rPr>
        <w:rFonts w:hint="eastAsia"/>
      </w:rPr>
    </w:lvl>
  </w:abstractNum>
  <w:abstractNum w:abstractNumId="3">
    <w:nsid w:val="48ECD156"/>
    <w:multiLevelType w:val="singleLevel"/>
    <w:tmpl w:val="48ECD156"/>
    <w:lvl w:ilvl="0" w:tentative="0">
      <w:start w:val="1"/>
      <w:numFmt w:val="bullet"/>
      <w:pStyle w:val="26"/>
      <w:lvlText w:val=""/>
      <w:lvlJc w:val="left"/>
      <w:pPr>
        <w:tabs>
          <w:tab w:val="left" w:pos="780"/>
        </w:tabs>
        <w:ind w:left="780" w:hanging="360"/>
      </w:pPr>
      <w:rPr>
        <w:rFonts w:hint="default" w:ascii="Wingdings" w:hAnsi="Wingdings"/>
      </w:r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1E3405"/>
    <w:multiLevelType w:val="multilevel"/>
    <w:tmpl w:val="551E3405"/>
    <w:lvl w:ilvl="0" w:tentative="0">
      <w:start w:val="1"/>
      <w:numFmt w:val="decimal"/>
      <w:lvlText w:val="%1、"/>
      <w:lvlJc w:val="left"/>
      <w:pPr>
        <w:ind w:left="1198"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7DAA347A"/>
    <w:multiLevelType w:val="multilevel"/>
    <w:tmpl w:val="7DAA347A"/>
    <w:lvl w:ilvl="0" w:tentative="0">
      <w:start w:val="1"/>
      <w:numFmt w:val="japaneseCounting"/>
      <w:lvlText w:val="第%1条"/>
      <w:lvlJc w:val="left"/>
      <w:pPr>
        <w:tabs>
          <w:tab w:val="left" w:pos="1157"/>
        </w:tabs>
        <w:ind w:left="1157" w:hanging="735"/>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3"/>
  </w:num>
  <w:num w:numId="2">
    <w:abstractNumId w:val="0"/>
  </w:num>
  <w:num w:numId="3">
    <w:abstractNumId w:val="1"/>
  </w:num>
  <w:num w:numId="4">
    <w:abstractNumId w:val="5"/>
  </w:num>
  <w:num w:numId="5">
    <w:abstractNumId w:val="2"/>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0NjEwMTJlYmM2ODk2NDkwNDFjNjAzMTYxODUxOGMifQ=="/>
  </w:docVars>
  <w:rsids>
    <w:rsidRoot w:val="00C67595"/>
    <w:rsid w:val="00000868"/>
    <w:rsid w:val="000012E1"/>
    <w:rsid w:val="00002FF3"/>
    <w:rsid w:val="00003C3C"/>
    <w:rsid w:val="000044F4"/>
    <w:rsid w:val="000050D6"/>
    <w:rsid w:val="0000517F"/>
    <w:rsid w:val="00005B6A"/>
    <w:rsid w:val="0000613F"/>
    <w:rsid w:val="00006676"/>
    <w:rsid w:val="00007A59"/>
    <w:rsid w:val="000101D3"/>
    <w:rsid w:val="00010B34"/>
    <w:rsid w:val="00010C43"/>
    <w:rsid w:val="000112E4"/>
    <w:rsid w:val="00011499"/>
    <w:rsid w:val="00011EDD"/>
    <w:rsid w:val="00012415"/>
    <w:rsid w:val="00014435"/>
    <w:rsid w:val="00015B12"/>
    <w:rsid w:val="00015C8C"/>
    <w:rsid w:val="00015EBA"/>
    <w:rsid w:val="00016F84"/>
    <w:rsid w:val="00017123"/>
    <w:rsid w:val="0001712E"/>
    <w:rsid w:val="0001791B"/>
    <w:rsid w:val="00020A3B"/>
    <w:rsid w:val="00022181"/>
    <w:rsid w:val="000234B2"/>
    <w:rsid w:val="00023EA6"/>
    <w:rsid w:val="00023F05"/>
    <w:rsid w:val="000249F2"/>
    <w:rsid w:val="00024B81"/>
    <w:rsid w:val="00026C81"/>
    <w:rsid w:val="0003103E"/>
    <w:rsid w:val="0003146C"/>
    <w:rsid w:val="00031953"/>
    <w:rsid w:val="0003293E"/>
    <w:rsid w:val="00034BAB"/>
    <w:rsid w:val="00034D4D"/>
    <w:rsid w:val="00035725"/>
    <w:rsid w:val="000370C9"/>
    <w:rsid w:val="0003713E"/>
    <w:rsid w:val="00037CD8"/>
    <w:rsid w:val="0004008C"/>
    <w:rsid w:val="000401D5"/>
    <w:rsid w:val="00041805"/>
    <w:rsid w:val="000420D3"/>
    <w:rsid w:val="00042977"/>
    <w:rsid w:val="00042AFD"/>
    <w:rsid w:val="00043120"/>
    <w:rsid w:val="00043142"/>
    <w:rsid w:val="000441CD"/>
    <w:rsid w:val="000462B4"/>
    <w:rsid w:val="0004692F"/>
    <w:rsid w:val="00046CEF"/>
    <w:rsid w:val="00047395"/>
    <w:rsid w:val="00047D1E"/>
    <w:rsid w:val="00047EDB"/>
    <w:rsid w:val="0005070C"/>
    <w:rsid w:val="000510C6"/>
    <w:rsid w:val="000518B8"/>
    <w:rsid w:val="00051FC1"/>
    <w:rsid w:val="00052067"/>
    <w:rsid w:val="00052F01"/>
    <w:rsid w:val="00052FA7"/>
    <w:rsid w:val="00055784"/>
    <w:rsid w:val="00055D20"/>
    <w:rsid w:val="00056CBF"/>
    <w:rsid w:val="000573EF"/>
    <w:rsid w:val="00057835"/>
    <w:rsid w:val="00060047"/>
    <w:rsid w:val="000623FD"/>
    <w:rsid w:val="00062990"/>
    <w:rsid w:val="00063364"/>
    <w:rsid w:val="00064222"/>
    <w:rsid w:val="00064829"/>
    <w:rsid w:val="00064E74"/>
    <w:rsid w:val="00065016"/>
    <w:rsid w:val="000651F4"/>
    <w:rsid w:val="00065E41"/>
    <w:rsid w:val="000662AD"/>
    <w:rsid w:val="00066842"/>
    <w:rsid w:val="00066EC4"/>
    <w:rsid w:val="00070876"/>
    <w:rsid w:val="00070891"/>
    <w:rsid w:val="000709B0"/>
    <w:rsid w:val="000718A7"/>
    <w:rsid w:val="00072638"/>
    <w:rsid w:val="000736C9"/>
    <w:rsid w:val="00073C4C"/>
    <w:rsid w:val="00074E55"/>
    <w:rsid w:val="00074FC4"/>
    <w:rsid w:val="00075771"/>
    <w:rsid w:val="00076500"/>
    <w:rsid w:val="00076C16"/>
    <w:rsid w:val="0007718F"/>
    <w:rsid w:val="0007759B"/>
    <w:rsid w:val="00080288"/>
    <w:rsid w:val="000806AE"/>
    <w:rsid w:val="0008113B"/>
    <w:rsid w:val="00081912"/>
    <w:rsid w:val="00083567"/>
    <w:rsid w:val="000845F6"/>
    <w:rsid w:val="00085D08"/>
    <w:rsid w:val="00086159"/>
    <w:rsid w:val="0008643D"/>
    <w:rsid w:val="000871CB"/>
    <w:rsid w:val="00087869"/>
    <w:rsid w:val="00087F2C"/>
    <w:rsid w:val="000901E0"/>
    <w:rsid w:val="00091F55"/>
    <w:rsid w:val="00092DE6"/>
    <w:rsid w:val="000932B2"/>
    <w:rsid w:val="00093B7D"/>
    <w:rsid w:val="00093EB5"/>
    <w:rsid w:val="000941A5"/>
    <w:rsid w:val="00095712"/>
    <w:rsid w:val="00096C1B"/>
    <w:rsid w:val="0009734B"/>
    <w:rsid w:val="000A0027"/>
    <w:rsid w:val="000A137F"/>
    <w:rsid w:val="000A24D3"/>
    <w:rsid w:val="000A29D9"/>
    <w:rsid w:val="000A4FF5"/>
    <w:rsid w:val="000A62A6"/>
    <w:rsid w:val="000A6697"/>
    <w:rsid w:val="000A69C1"/>
    <w:rsid w:val="000B09AE"/>
    <w:rsid w:val="000B1A3D"/>
    <w:rsid w:val="000B2508"/>
    <w:rsid w:val="000B2E80"/>
    <w:rsid w:val="000B39C4"/>
    <w:rsid w:val="000B4EDA"/>
    <w:rsid w:val="000B5BDD"/>
    <w:rsid w:val="000B60F2"/>
    <w:rsid w:val="000C0619"/>
    <w:rsid w:val="000C1788"/>
    <w:rsid w:val="000C1952"/>
    <w:rsid w:val="000C2260"/>
    <w:rsid w:val="000C2450"/>
    <w:rsid w:val="000C34D1"/>
    <w:rsid w:val="000C3A73"/>
    <w:rsid w:val="000C3CB6"/>
    <w:rsid w:val="000C400E"/>
    <w:rsid w:val="000C4636"/>
    <w:rsid w:val="000C4E12"/>
    <w:rsid w:val="000C5121"/>
    <w:rsid w:val="000C51F1"/>
    <w:rsid w:val="000C52F4"/>
    <w:rsid w:val="000C63D2"/>
    <w:rsid w:val="000C743A"/>
    <w:rsid w:val="000D00D5"/>
    <w:rsid w:val="000D0A89"/>
    <w:rsid w:val="000D0CCE"/>
    <w:rsid w:val="000D1BEF"/>
    <w:rsid w:val="000D270C"/>
    <w:rsid w:val="000D2959"/>
    <w:rsid w:val="000D3375"/>
    <w:rsid w:val="000D3BD8"/>
    <w:rsid w:val="000D3CA8"/>
    <w:rsid w:val="000D3DBC"/>
    <w:rsid w:val="000D3E83"/>
    <w:rsid w:val="000D4E06"/>
    <w:rsid w:val="000D51BB"/>
    <w:rsid w:val="000D5879"/>
    <w:rsid w:val="000D73FD"/>
    <w:rsid w:val="000E0758"/>
    <w:rsid w:val="000E0C03"/>
    <w:rsid w:val="000E1631"/>
    <w:rsid w:val="000E1EB6"/>
    <w:rsid w:val="000E2A99"/>
    <w:rsid w:val="000E4833"/>
    <w:rsid w:val="000E5B07"/>
    <w:rsid w:val="000E5B86"/>
    <w:rsid w:val="000E5BED"/>
    <w:rsid w:val="000E63B3"/>
    <w:rsid w:val="000F00C6"/>
    <w:rsid w:val="000F03BE"/>
    <w:rsid w:val="000F1174"/>
    <w:rsid w:val="000F200A"/>
    <w:rsid w:val="000F2A44"/>
    <w:rsid w:val="000F2E02"/>
    <w:rsid w:val="000F37FB"/>
    <w:rsid w:val="000F41DC"/>
    <w:rsid w:val="000F68B4"/>
    <w:rsid w:val="000F79F2"/>
    <w:rsid w:val="000F7AE1"/>
    <w:rsid w:val="000F7BE1"/>
    <w:rsid w:val="001001E6"/>
    <w:rsid w:val="00100BEF"/>
    <w:rsid w:val="00102032"/>
    <w:rsid w:val="00102946"/>
    <w:rsid w:val="001029B5"/>
    <w:rsid w:val="00104A23"/>
    <w:rsid w:val="00104E7B"/>
    <w:rsid w:val="001056B0"/>
    <w:rsid w:val="00106261"/>
    <w:rsid w:val="00106CA0"/>
    <w:rsid w:val="00111AC6"/>
    <w:rsid w:val="00111C03"/>
    <w:rsid w:val="00112C9C"/>
    <w:rsid w:val="001136F2"/>
    <w:rsid w:val="0011453D"/>
    <w:rsid w:val="001157FF"/>
    <w:rsid w:val="00115C70"/>
    <w:rsid w:val="00117042"/>
    <w:rsid w:val="0012000F"/>
    <w:rsid w:val="001204E0"/>
    <w:rsid w:val="00122DA4"/>
    <w:rsid w:val="001241CC"/>
    <w:rsid w:val="0012571C"/>
    <w:rsid w:val="00131164"/>
    <w:rsid w:val="0013190C"/>
    <w:rsid w:val="00131EB3"/>
    <w:rsid w:val="0013300D"/>
    <w:rsid w:val="001331D8"/>
    <w:rsid w:val="00136E52"/>
    <w:rsid w:val="001411A8"/>
    <w:rsid w:val="0014296B"/>
    <w:rsid w:val="0014548E"/>
    <w:rsid w:val="00145D66"/>
    <w:rsid w:val="00150C59"/>
    <w:rsid w:val="001512EB"/>
    <w:rsid w:val="00152126"/>
    <w:rsid w:val="00152CF7"/>
    <w:rsid w:val="001545E7"/>
    <w:rsid w:val="00155885"/>
    <w:rsid w:val="0015627F"/>
    <w:rsid w:val="0015639E"/>
    <w:rsid w:val="00157136"/>
    <w:rsid w:val="001608DD"/>
    <w:rsid w:val="00160CB6"/>
    <w:rsid w:val="00162430"/>
    <w:rsid w:val="00162AB9"/>
    <w:rsid w:val="001663C1"/>
    <w:rsid w:val="001670E7"/>
    <w:rsid w:val="00171130"/>
    <w:rsid w:val="001733E7"/>
    <w:rsid w:val="001737B3"/>
    <w:rsid w:val="00174657"/>
    <w:rsid w:val="001749E9"/>
    <w:rsid w:val="001749EA"/>
    <w:rsid w:val="00175ACF"/>
    <w:rsid w:val="00175FF0"/>
    <w:rsid w:val="00180135"/>
    <w:rsid w:val="001807AC"/>
    <w:rsid w:val="0018080D"/>
    <w:rsid w:val="00180B6C"/>
    <w:rsid w:val="00183A3B"/>
    <w:rsid w:val="00183E56"/>
    <w:rsid w:val="00184A25"/>
    <w:rsid w:val="00185BE6"/>
    <w:rsid w:val="00186C73"/>
    <w:rsid w:val="00190584"/>
    <w:rsid w:val="00190A51"/>
    <w:rsid w:val="00191C4B"/>
    <w:rsid w:val="001930F4"/>
    <w:rsid w:val="00193B68"/>
    <w:rsid w:val="001951A6"/>
    <w:rsid w:val="001952FF"/>
    <w:rsid w:val="001961BA"/>
    <w:rsid w:val="001963C7"/>
    <w:rsid w:val="00196943"/>
    <w:rsid w:val="00196E8A"/>
    <w:rsid w:val="001A1210"/>
    <w:rsid w:val="001A3799"/>
    <w:rsid w:val="001A385B"/>
    <w:rsid w:val="001A3D66"/>
    <w:rsid w:val="001A45C5"/>
    <w:rsid w:val="001A4752"/>
    <w:rsid w:val="001A5907"/>
    <w:rsid w:val="001A6FF0"/>
    <w:rsid w:val="001A7535"/>
    <w:rsid w:val="001A78E7"/>
    <w:rsid w:val="001B024B"/>
    <w:rsid w:val="001B0ECC"/>
    <w:rsid w:val="001B1149"/>
    <w:rsid w:val="001B31E0"/>
    <w:rsid w:val="001B333B"/>
    <w:rsid w:val="001B444A"/>
    <w:rsid w:val="001B4756"/>
    <w:rsid w:val="001B4BD3"/>
    <w:rsid w:val="001B52C5"/>
    <w:rsid w:val="001B598A"/>
    <w:rsid w:val="001B6161"/>
    <w:rsid w:val="001B6DF8"/>
    <w:rsid w:val="001B7633"/>
    <w:rsid w:val="001B7C02"/>
    <w:rsid w:val="001C01C4"/>
    <w:rsid w:val="001C1990"/>
    <w:rsid w:val="001C2AE0"/>
    <w:rsid w:val="001C2C06"/>
    <w:rsid w:val="001C2E1A"/>
    <w:rsid w:val="001C2F33"/>
    <w:rsid w:val="001C531A"/>
    <w:rsid w:val="001C585A"/>
    <w:rsid w:val="001C5F4C"/>
    <w:rsid w:val="001C70F2"/>
    <w:rsid w:val="001D0E96"/>
    <w:rsid w:val="001D15FA"/>
    <w:rsid w:val="001D2391"/>
    <w:rsid w:val="001D3D2D"/>
    <w:rsid w:val="001D6C3A"/>
    <w:rsid w:val="001D7FC4"/>
    <w:rsid w:val="001E0DAD"/>
    <w:rsid w:val="001E0ED4"/>
    <w:rsid w:val="001E14EA"/>
    <w:rsid w:val="001E23F2"/>
    <w:rsid w:val="001E2F45"/>
    <w:rsid w:val="001E31F8"/>
    <w:rsid w:val="001E3427"/>
    <w:rsid w:val="001E3FCE"/>
    <w:rsid w:val="001E4776"/>
    <w:rsid w:val="001E4978"/>
    <w:rsid w:val="001E5308"/>
    <w:rsid w:val="001E550F"/>
    <w:rsid w:val="001E7513"/>
    <w:rsid w:val="001F020B"/>
    <w:rsid w:val="001F02A5"/>
    <w:rsid w:val="001F2692"/>
    <w:rsid w:val="001F305F"/>
    <w:rsid w:val="001F32E4"/>
    <w:rsid w:val="001F3957"/>
    <w:rsid w:val="001F45BF"/>
    <w:rsid w:val="001F6A15"/>
    <w:rsid w:val="001F7159"/>
    <w:rsid w:val="001F7336"/>
    <w:rsid w:val="001F7D98"/>
    <w:rsid w:val="002001BC"/>
    <w:rsid w:val="002004C0"/>
    <w:rsid w:val="00200E8E"/>
    <w:rsid w:val="002012BC"/>
    <w:rsid w:val="00201E99"/>
    <w:rsid w:val="002033CF"/>
    <w:rsid w:val="00203654"/>
    <w:rsid w:val="00203D55"/>
    <w:rsid w:val="00204712"/>
    <w:rsid w:val="00204AFB"/>
    <w:rsid w:val="00205048"/>
    <w:rsid w:val="0020630C"/>
    <w:rsid w:val="002069E8"/>
    <w:rsid w:val="00206B06"/>
    <w:rsid w:val="00206FEC"/>
    <w:rsid w:val="00210A6D"/>
    <w:rsid w:val="002115EE"/>
    <w:rsid w:val="00211B35"/>
    <w:rsid w:val="00212194"/>
    <w:rsid w:val="002122A4"/>
    <w:rsid w:val="00214014"/>
    <w:rsid w:val="0021426B"/>
    <w:rsid w:val="00214F3B"/>
    <w:rsid w:val="00215167"/>
    <w:rsid w:val="00215261"/>
    <w:rsid w:val="0021582A"/>
    <w:rsid w:val="00216455"/>
    <w:rsid w:val="00216784"/>
    <w:rsid w:val="00216AF8"/>
    <w:rsid w:val="002172A3"/>
    <w:rsid w:val="002202C1"/>
    <w:rsid w:val="00221406"/>
    <w:rsid w:val="002214C3"/>
    <w:rsid w:val="00221609"/>
    <w:rsid w:val="00221DE0"/>
    <w:rsid w:val="00222725"/>
    <w:rsid w:val="0022501A"/>
    <w:rsid w:val="00225680"/>
    <w:rsid w:val="00225B70"/>
    <w:rsid w:val="0022638E"/>
    <w:rsid w:val="002266AF"/>
    <w:rsid w:val="00226F31"/>
    <w:rsid w:val="00227079"/>
    <w:rsid w:val="002272CC"/>
    <w:rsid w:val="0022764B"/>
    <w:rsid w:val="00230B44"/>
    <w:rsid w:val="002310E4"/>
    <w:rsid w:val="00231165"/>
    <w:rsid w:val="002321B2"/>
    <w:rsid w:val="00232532"/>
    <w:rsid w:val="002331D8"/>
    <w:rsid w:val="0023367C"/>
    <w:rsid w:val="0023556C"/>
    <w:rsid w:val="0023594C"/>
    <w:rsid w:val="0023766E"/>
    <w:rsid w:val="00241365"/>
    <w:rsid w:val="002450E8"/>
    <w:rsid w:val="00245739"/>
    <w:rsid w:val="0024712C"/>
    <w:rsid w:val="0024757D"/>
    <w:rsid w:val="00250561"/>
    <w:rsid w:val="0025074F"/>
    <w:rsid w:val="00250FF3"/>
    <w:rsid w:val="00251D1B"/>
    <w:rsid w:val="00251DDD"/>
    <w:rsid w:val="0025315C"/>
    <w:rsid w:val="00254D47"/>
    <w:rsid w:val="00255D0F"/>
    <w:rsid w:val="0025630A"/>
    <w:rsid w:val="0025717D"/>
    <w:rsid w:val="00257251"/>
    <w:rsid w:val="002576F9"/>
    <w:rsid w:val="00260090"/>
    <w:rsid w:val="00260141"/>
    <w:rsid w:val="00261255"/>
    <w:rsid w:val="00261B17"/>
    <w:rsid w:val="0026292E"/>
    <w:rsid w:val="00263428"/>
    <w:rsid w:val="00264367"/>
    <w:rsid w:val="00266055"/>
    <w:rsid w:val="0026746C"/>
    <w:rsid w:val="00270335"/>
    <w:rsid w:val="002705BE"/>
    <w:rsid w:val="00270CF7"/>
    <w:rsid w:val="00270F20"/>
    <w:rsid w:val="00272EC3"/>
    <w:rsid w:val="00273015"/>
    <w:rsid w:val="0027308B"/>
    <w:rsid w:val="0027337F"/>
    <w:rsid w:val="00274258"/>
    <w:rsid w:val="0027449C"/>
    <w:rsid w:val="00274F22"/>
    <w:rsid w:val="002754FB"/>
    <w:rsid w:val="00275E3B"/>
    <w:rsid w:val="00276170"/>
    <w:rsid w:val="00276513"/>
    <w:rsid w:val="002800F9"/>
    <w:rsid w:val="002801AF"/>
    <w:rsid w:val="00283B35"/>
    <w:rsid w:val="0028553D"/>
    <w:rsid w:val="0028590F"/>
    <w:rsid w:val="0028632D"/>
    <w:rsid w:val="002864B8"/>
    <w:rsid w:val="00286F4E"/>
    <w:rsid w:val="0029034A"/>
    <w:rsid w:val="00290975"/>
    <w:rsid w:val="0029223C"/>
    <w:rsid w:val="00293D33"/>
    <w:rsid w:val="0029485F"/>
    <w:rsid w:val="00294FC5"/>
    <w:rsid w:val="0029609E"/>
    <w:rsid w:val="00297229"/>
    <w:rsid w:val="002A0E86"/>
    <w:rsid w:val="002A3638"/>
    <w:rsid w:val="002A4614"/>
    <w:rsid w:val="002A5215"/>
    <w:rsid w:val="002A62CD"/>
    <w:rsid w:val="002A6348"/>
    <w:rsid w:val="002A673A"/>
    <w:rsid w:val="002A67D8"/>
    <w:rsid w:val="002B09B7"/>
    <w:rsid w:val="002B0D8A"/>
    <w:rsid w:val="002B4339"/>
    <w:rsid w:val="002B48C1"/>
    <w:rsid w:val="002B52C7"/>
    <w:rsid w:val="002B5598"/>
    <w:rsid w:val="002B5C0A"/>
    <w:rsid w:val="002B73C5"/>
    <w:rsid w:val="002B7CC9"/>
    <w:rsid w:val="002C2BFF"/>
    <w:rsid w:val="002C2C79"/>
    <w:rsid w:val="002C2D68"/>
    <w:rsid w:val="002C30B4"/>
    <w:rsid w:val="002C3195"/>
    <w:rsid w:val="002C3490"/>
    <w:rsid w:val="002C4048"/>
    <w:rsid w:val="002C4195"/>
    <w:rsid w:val="002C49C2"/>
    <w:rsid w:val="002C4CA1"/>
    <w:rsid w:val="002C518C"/>
    <w:rsid w:val="002C5920"/>
    <w:rsid w:val="002C5F4F"/>
    <w:rsid w:val="002C60A9"/>
    <w:rsid w:val="002C695B"/>
    <w:rsid w:val="002C7739"/>
    <w:rsid w:val="002C7D6C"/>
    <w:rsid w:val="002D0334"/>
    <w:rsid w:val="002D1096"/>
    <w:rsid w:val="002D1656"/>
    <w:rsid w:val="002D30D0"/>
    <w:rsid w:val="002D3A29"/>
    <w:rsid w:val="002D3DE7"/>
    <w:rsid w:val="002D40B4"/>
    <w:rsid w:val="002D4599"/>
    <w:rsid w:val="002D501A"/>
    <w:rsid w:val="002D6047"/>
    <w:rsid w:val="002D6ED5"/>
    <w:rsid w:val="002D7D1D"/>
    <w:rsid w:val="002D7E86"/>
    <w:rsid w:val="002E0380"/>
    <w:rsid w:val="002E3DB0"/>
    <w:rsid w:val="002E4582"/>
    <w:rsid w:val="002E608E"/>
    <w:rsid w:val="002E6D16"/>
    <w:rsid w:val="002E6D2B"/>
    <w:rsid w:val="002E78E6"/>
    <w:rsid w:val="002E7AFC"/>
    <w:rsid w:val="002E7CFC"/>
    <w:rsid w:val="002E7E1D"/>
    <w:rsid w:val="002F0064"/>
    <w:rsid w:val="002F0B10"/>
    <w:rsid w:val="002F176C"/>
    <w:rsid w:val="002F22D6"/>
    <w:rsid w:val="002F46AD"/>
    <w:rsid w:val="002F4F9C"/>
    <w:rsid w:val="002F52A4"/>
    <w:rsid w:val="002F6AA7"/>
    <w:rsid w:val="002F6D21"/>
    <w:rsid w:val="002F6FCC"/>
    <w:rsid w:val="003034C4"/>
    <w:rsid w:val="00303B30"/>
    <w:rsid w:val="00303CB3"/>
    <w:rsid w:val="003070E6"/>
    <w:rsid w:val="00312FB3"/>
    <w:rsid w:val="00313617"/>
    <w:rsid w:val="003146C2"/>
    <w:rsid w:val="00314A13"/>
    <w:rsid w:val="00314F8A"/>
    <w:rsid w:val="00315A4D"/>
    <w:rsid w:val="003163D4"/>
    <w:rsid w:val="00316CBA"/>
    <w:rsid w:val="00317ECF"/>
    <w:rsid w:val="00320024"/>
    <w:rsid w:val="003235A5"/>
    <w:rsid w:val="00323E19"/>
    <w:rsid w:val="0032517A"/>
    <w:rsid w:val="00326214"/>
    <w:rsid w:val="003262E3"/>
    <w:rsid w:val="0032659B"/>
    <w:rsid w:val="00326C39"/>
    <w:rsid w:val="00326F34"/>
    <w:rsid w:val="00327B44"/>
    <w:rsid w:val="00330637"/>
    <w:rsid w:val="00330B38"/>
    <w:rsid w:val="00331439"/>
    <w:rsid w:val="003314C8"/>
    <w:rsid w:val="0033382F"/>
    <w:rsid w:val="003339BF"/>
    <w:rsid w:val="0033557B"/>
    <w:rsid w:val="00337ABB"/>
    <w:rsid w:val="00340753"/>
    <w:rsid w:val="00340DCE"/>
    <w:rsid w:val="00340EF0"/>
    <w:rsid w:val="0034120C"/>
    <w:rsid w:val="00341BA6"/>
    <w:rsid w:val="0034299D"/>
    <w:rsid w:val="003446A7"/>
    <w:rsid w:val="0034565D"/>
    <w:rsid w:val="00345E93"/>
    <w:rsid w:val="003462B2"/>
    <w:rsid w:val="003471ED"/>
    <w:rsid w:val="00347CE9"/>
    <w:rsid w:val="00350320"/>
    <w:rsid w:val="00351958"/>
    <w:rsid w:val="0035270B"/>
    <w:rsid w:val="0035270E"/>
    <w:rsid w:val="00353D48"/>
    <w:rsid w:val="00353D4B"/>
    <w:rsid w:val="00357213"/>
    <w:rsid w:val="00360259"/>
    <w:rsid w:val="00360275"/>
    <w:rsid w:val="00360278"/>
    <w:rsid w:val="00361B16"/>
    <w:rsid w:val="00361F22"/>
    <w:rsid w:val="00363E2C"/>
    <w:rsid w:val="00364900"/>
    <w:rsid w:val="00367043"/>
    <w:rsid w:val="00367868"/>
    <w:rsid w:val="00367E68"/>
    <w:rsid w:val="003702DB"/>
    <w:rsid w:val="003726C9"/>
    <w:rsid w:val="00372EFB"/>
    <w:rsid w:val="00374661"/>
    <w:rsid w:val="00374AFA"/>
    <w:rsid w:val="00375F2E"/>
    <w:rsid w:val="0037623E"/>
    <w:rsid w:val="0037688E"/>
    <w:rsid w:val="00376CC4"/>
    <w:rsid w:val="00377A30"/>
    <w:rsid w:val="00377D87"/>
    <w:rsid w:val="00380F76"/>
    <w:rsid w:val="00381553"/>
    <w:rsid w:val="00381601"/>
    <w:rsid w:val="00381DC5"/>
    <w:rsid w:val="003827C0"/>
    <w:rsid w:val="00382D2E"/>
    <w:rsid w:val="003831B5"/>
    <w:rsid w:val="003833E2"/>
    <w:rsid w:val="003857B1"/>
    <w:rsid w:val="0038631D"/>
    <w:rsid w:val="00387D85"/>
    <w:rsid w:val="00391146"/>
    <w:rsid w:val="003913CC"/>
    <w:rsid w:val="0039180D"/>
    <w:rsid w:val="00392C38"/>
    <w:rsid w:val="00393B51"/>
    <w:rsid w:val="003940A9"/>
    <w:rsid w:val="00394485"/>
    <w:rsid w:val="003945FE"/>
    <w:rsid w:val="00394AE3"/>
    <w:rsid w:val="00395629"/>
    <w:rsid w:val="00396529"/>
    <w:rsid w:val="00397033"/>
    <w:rsid w:val="00397632"/>
    <w:rsid w:val="00397A22"/>
    <w:rsid w:val="003A08B8"/>
    <w:rsid w:val="003A0ACF"/>
    <w:rsid w:val="003A35DE"/>
    <w:rsid w:val="003A368B"/>
    <w:rsid w:val="003A3F1A"/>
    <w:rsid w:val="003A48E3"/>
    <w:rsid w:val="003A55E2"/>
    <w:rsid w:val="003A65FE"/>
    <w:rsid w:val="003A6EB4"/>
    <w:rsid w:val="003A7F12"/>
    <w:rsid w:val="003B2868"/>
    <w:rsid w:val="003B296C"/>
    <w:rsid w:val="003B6222"/>
    <w:rsid w:val="003C1488"/>
    <w:rsid w:val="003C17B9"/>
    <w:rsid w:val="003C2847"/>
    <w:rsid w:val="003C4C6A"/>
    <w:rsid w:val="003C542B"/>
    <w:rsid w:val="003C5CA6"/>
    <w:rsid w:val="003C6088"/>
    <w:rsid w:val="003C6925"/>
    <w:rsid w:val="003C6A7D"/>
    <w:rsid w:val="003C704B"/>
    <w:rsid w:val="003C7C88"/>
    <w:rsid w:val="003D1D29"/>
    <w:rsid w:val="003D1E74"/>
    <w:rsid w:val="003D38BD"/>
    <w:rsid w:val="003D3F8F"/>
    <w:rsid w:val="003D44ED"/>
    <w:rsid w:val="003D5BE8"/>
    <w:rsid w:val="003D6D0F"/>
    <w:rsid w:val="003D7B96"/>
    <w:rsid w:val="003E25C9"/>
    <w:rsid w:val="003E3291"/>
    <w:rsid w:val="003E4A05"/>
    <w:rsid w:val="003E4F44"/>
    <w:rsid w:val="003E62A6"/>
    <w:rsid w:val="003E6BD1"/>
    <w:rsid w:val="003E7580"/>
    <w:rsid w:val="003F00F1"/>
    <w:rsid w:val="003F08DD"/>
    <w:rsid w:val="003F095C"/>
    <w:rsid w:val="003F32EA"/>
    <w:rsid w:val="003F3578"/>
    <w:rsid w:val="003F361B"/>
    <w:rsid w:val="003F47CC"/>
    <w:rsid w:val="003F7A70"/>
    <w:rsid w:val="00400A18"/>
    <w:rsid w:val="00401095"/>
    <w:rsid w:val="00401627"/>
    <w:rsid w:val="00401A1A"/>
    <w:rsid w:val="00404445"/>
    <w:rsid w:val="00404C20"/>
    <w:rsid w:val="00405C98"/>
    <w:rsid w:val="00407E08"/>
    <w:rsid w:val="00407ED7"/>
    <w:rsid w:val="00410A0F"/>
    <w:rsid w:val="00410FAF"/>
    <w:rsid w:val="004114AA"/>
    <w:rsid w:val="0041237D"/>
    <w:rsid w:val="0041238F"/>
    <w:rsid w:val="00412CBD"/>
    <w:rsid w:val="00412CD1"/>
    <w:rsid w:val="004139D5"/>
    <w:rsid w:val="00413F4C"/>
    <w:rsid w:val="00415698"/>
    <w:rsid w:val="004156B5"/>
    <w:rsid w:val="00415CD0"/>
    <w:rsid w:val="00417BE9"/>
    <w:rsid w:val="00420F8D"/>
    <w:rsid w:val="004214B5"/>
    <w:rsid w:val="004225B5"/>
    <w:rsid w:val="0042297C"/>
    <w:rsid w:val="00423F7F"/>
    <w:rsid w:val="004250BA"/>
    <w:rsid w:val="004256E8"/>
    <w:rsid w:val="00425B57"/>
    <w:rsid w:val="004267A0"/>
    <w:rsid w:val="00426EEF"/>
    <w:rsid w:val="00430924"/>
    <w:rsid w:val="004317C7"/>
    <w:rsid w:val="00431C25"/>
    <w:rsid w:val="00431CF0"/>
    <w:rsid w:val="0043214E"/>
    <w:rsid w:val="00432879"/>
    <w:rsid w:val="00434060"/>
    <w:rsid w:val="004368EC"/>
    <w:rsid w:val="00437762"/>
    <w:rsid w:val="00440432"/>
    <w:rsid w:val="00440709"/>
    <w:rsid w:val="004409B0"/>
    <w:rsid w:val="004410F2"/>
    <w:rsid w:val="0044176C"/>
    <w:rsid w:val="004426D3"/>
    <w:rsid w:val="004432C4"/>
    <w:rsid w:val="00444BDC"/>
    <w:rsid w:val="00444E81"/>
    <w:rsid w:val="004461E1"/>
    <w:rsid w:val="0044624A"/>
    <w:rsid w:val="004466ED"/>
    <w:rsid w:val="00451372"/>
    <w:rsid w:val="00451D14"/>
    <w:rsid w:val="00453177"/>
    <w:rsid w:val="0045398A"/>
    <w:rsid w:val="004548E3"/>
    <w:rsid w:val="00454A5E"/>
    <w:rsid w:val="00454CAC"/>
    <w:rsid w:val="00454FEF"/>
    <w:rsid w:val="00455983"/>
    <w:rsid w:val="00455FB6"/>
    <w:rsid w:val="00456AB9"/>
    <w:rsid w:val="00456B40"/>
    <w:rsid w:val="00457A35"/>
    <w:rsid w:val="004621BB"/>
    <w:rsid w:val="00463AE4"/>
    <w:rsid w:val="00464141"/>
    <w:rsid w:val="00465CE3"/>
    <w:rsid w:val="00466865"/>
    <w:rsid w:val="0047000B"/>
    <w:rsid w:val="00470411"/>
    <w:rsid w:val="00470989"/>
    <w:rsid w:val="00472A6B"/>
    <w:rsid w:val="004730CD"/>
    <w:rsid w:val="00474463"/>
    <w:rsid w:val="004753EA"/>
    <w:rsid w:val="004756E5"/>
    <w:rsid w:val="00476950"/>
    <w:rsid w:val="00477067"/>
    <w:rsid w:val="0047747E"/>
    <w:rsid w:val="0047764D"/>
    <w:rsid w:val="00480837"/>
    <w:rsid w:val="00482362"/>
    <w:rsid w:val="00482D87"/>
    <w:rsid w:val="004837DF"/>
    <w:rsid w:val="00483A8C"/>
    <w:rsid w:val="00483AF6"/>
    <w:rsid w:val="004845BA"/>
    <w:rsid w:val="00485E36"/>
    <w:rsid w:val="00486130"/>
    <w:rsid w:val="00487EA8"/>
    <w:rsid w:val="00491467"/>
    <w:rsid w:val="00491686"/>
    <w:rsid w:val="00491C3D"/>
    <w:rsid w:val="00491CE5"/>
    <w:rsid w:val="00492C3D"/>
    <w:rsid w:val="004935E2"/>
    <w:rsid w:val="004935F5"/>
    <w:rsid w:val="00493D52"/>
    <w:rsid w:val="00494311"/>
    <w:rsid w:val="00494E09"/>
    <w:rsid w:val="00495508"/>
    <w:rsid w:val="00496347"/>
    <w:rsid w:val="0049757D"/>
    <w:rsid w:val="004A074A"/>
    <w:rsid w:val="004A081C"/>
    <w:rsid w:val="004A193D"/>
    <w:rsid w:val="004A29C6"/>
    <w:rsid w:val="004A339A"/>
    <w:rsid w:val="004A33C5"/>
    <w:rsid w:val="004A3408"/>
    <w:rsid w:val="004A3427"/>
    <w:rsid w:val="004A35EC"/>
    <w:rsid w:val="004A3D67"/>
    <w:rsid w:val="004A5FE4"/>
    <w:rsid w:val="004A63AD"/>
    <w:rsid w:val="004A664D"/>
    <w:rsid w:val="004A6CD4"/>
    <w:rsid w:val="004A763F"/>
    <w:rsid w:val="004A7686"/>
    <w:rsid w:val="004B1146"/>
    <w:rsid w:val="004B1B25"/>
    <w:rsid w:val="004B3872"/>
    <w:rsid w:val="004B5BDD"/>
    <w:rsid w:val="004B64CA"/>
    <w:rsid w:val="004B6D4D"/>
    <w:rsid w:val="004B7634"/>
    <w:rsid w:val="004B76FA"/>
    <w:rsid w:val="004C024F"/>
    <w:rsid w:val="004C08D1"/>
    <w:rsid w:val="004C09A2"/>
    <w:rsid w:val="004C2CFD"/>
    <w:rsid w:val="004C30F4"/>
    <w:rsid w:val="004C34B1"/>
    <w:rsid w:val="004C48CD"/>
    <w:rsid w:val="004C4F9B"/>
    <w:rsid w:val="004C6A4F"/>
    <w:rsid w:val="004D0473"/>
    <w:rsid w:val="004D07AC"/>
    <w:rsid w:val="004D3047"/>
    <w:rsid w:val="004D3105"/>
    <w:rsid w:val="004D39A3"/>
    <w:rsid w:val="004D46B5"/>
    <w:rsid w:val="004D4F09"/>
    <w:rsid w:val="004D5556"/>
    <w:rsid w:val="004D5665"/>
    <w:rsid w:val="004D688A"/>
    <w:rsid w:val="004D7812"/>
    <w:rsid w:val="004D7E27"/>
    <w:rsid w:val="004E0F43"/>
    <w:rsid w:val="004E180E"/>
    <w:rsid w:val="004E3AAC"/>
    <w:rsid w:val="004E3F53"/>
    <w:rsid w:val="004E443A"/>
    <w:rsid w:val="004E49CF"/>
    <w:rsid w:val="004E6C19"/>
    <w:rsid w:val="004E7946"/>
    <w:rsid w:val="004F054E"/>
    <w:rsid w:val="004F14AA"/>
    <w:rsid w:val="004F28FF"/>
    <w:rsid w:val="004F49C9"/>
    <w:rsid w:val="004F5EEB"/>
    <w:rsid w:val="004F6AAA"/>
    <w:rsid w:val="004F773C"/>
    <w:rsid w:val="004F7EA8"/>
    <w:rsid w:val="00500A89"/>
    <w:rsid w:val="00501FF8"/>
    <w:rsid w:val="005032B5"/>
    <w:rsid w:val="00503847"/>
    <w:rsid w:val="00504332"/>
    <w:rsid w:val="00504E3A"/>
    <w:rsid w:val="00505174"/>
    <w:rsid w:val="00507566"/>
    <w:rsid w:val="005101D0"/>
    <w:rsid w:val="00510670"/>
    <w:rsid w:val="0051205B"/>
    <w:rsid w:val="0051264D"/>
    <w:rsid w:val="00512C76"/>
    <w:rsid w:val="00512DE6"/>
    <w:rsid w:val="00513119"/>
    <w:rsid w:val="00513791"/>
    <w:rsid w:val="00513EE1"/>
    <w:rsid w:val="0051455D"/>
    <w:rsid w:val="00515FA8"/>
    <w:rsid w:val="005163A0"/>
    <w:rsid w:val="005167B7"/>
    <w:rsid w:val="005205BE"/>
    <w:rsid w:val="00520BD0"/>
    <w:rsid w:val="00520EB6"/>
    <w:rsid w:val="00521558"/>
    <w:rsid w:val="00521858"/>
    <w:rsid w:val="00521C5E"/>
    <w:rsid w:val="00521FA8"/>
    <w:rsid w:val="00521FF6"/>
    <w:rsid w:val="00523056"/>
    <w:rsid w:val="0052346E"/>
    <w:rsid w:val="005235A4"/>
    <w:rsid w:val="00525BDD"/>
    <w:rsid w:val="0052684A"/>
    <w:rsid w:val="00526FB9"/>
    <w:rsid w:val="00527687"/>
    <w:rsid w:val="005309B4"/>
    <w:rsid w:val="00531101"/>
    <w:rsid w:val="005312BB"/>
    <w:rsid w:val="00532778"/>
    <w:rsid w:val="00532B2C"/>
    <w:rsid w:val="00532F3A"/>
    <w:rsid w:val="00533812"/>
    <w:rsid w:val="00534342"/>
    <w:rsid w:val="00535AFE"/>
    <w:rsid w:val="00535CA4"/>
    <w:rsid w:val="00535F25"/>
    <w:rsid w:val="005363AD"/>
    <w:rsid w:val="00536684"/>
    <w:rsid w:val="00536B9E"/>
    <w:rsid w:val="00536EDE"/>
    <w:rsid w:val="00536FC0"/>
    <w:rsid w:val="00537646"/>
    <w:rsid w:val="00537B4B"/>
    <w:rsid w:val="00540F92"/>
    <w:rsid w:val="005432E2"/>
    <w:rsid w:val="0054336E"/>
    <w:rsid w:val="005445EF"/>
    <w:rsid w:val="00545D29"/>
    <w:rsid w:val="0054671E"/>
    <w:rsid w:val="00546ADF"/>
    <w:rsid w:val="00546C74"/>
    <w:rsid w:val="00547404"/>
    <w:rsid w:val="005474F2"/>
    <w:rsid w:val="00551A9F"/>
    <w:rsid w:val="00551FAE"/>
    <w:rsid w:val="005520FF"/>
    <w:rsid w:val="00553EF5"/>
    <w:rsid w:val="005574A3"/>
    <w:rsid w:val="005577EC"/>
    <w:rsid w:val="005579A1"/>
    <w:rsid w:val="00557B69"/>
    <w:rsid w:val="005608EF"/>
    <w:rsid w:val="00562FE2"/>
    <w:rsid w:val="00563341"/>
    <w:rsid w:val="00563D15"/>
    <w:rsid w:val="00564533"/>
    <w:rsid w:val="00566FF8"/>
    <w:rsid w:val="0056771B"/>
    <w:rsid w:val="0056780F"/>
    <w:rsid w:val="00567FD0"/>
    <w:rsid w:val="0057024F"/>
    <w:rsid w:val="005719F3"/>
    <w:rsid w:val="00571C2F"/>
    <w:rsid w:val="00572072"/>
    <w:rsid w:val="00572649"/>
    <w:rsid w:val="00573C43"/>
    <w:rsid w:val="005769D3"/>
    <w:rsid w:val="00576E0E"/>
    <w:rsid w:val="00576F27"/>
    <w:rsid w:val="005774DA"/>
    <w:rsid w:val="00577C05"/>
    <w:rsid w:val="00580329"/>
    <w:rsid w:val="00583887"/>
    <w:rsid w:val="00583E2C"/>
    <w:rsid w:val="005844A7"/>
    <w:rsid w:val="00584C25"/>
    <w:rsid w:val="00585467"/>
    <w:rsid w:val="0058575C"/>
    <w:rsid w:val="00585FD8"/>
    <w:rsid w:val="0059061B"/>
    <w:rsid w:val="005907E4"/>
    <w:rsid w:val="00591922"/>
    <w:rsid w:val="00591C01"/>
    <w:rsid w:val="005930F4"/>
    <w:rsid w:val="005955B8"/>
    <w:rsid w:val="00595BD6"/>
    <w:rsid w:val="005969CE"/>
    <w:rsid w:val="00596EB2"/>
    <w:rsid w:val="00597102"/>
    <w:rsid w:val="005976A0"/>
    <w:rsid w:val="00597843"/>
    <w:rsid w:val="005979E9"/>
    <w:rsid w:val="00597A7A"/>
    <w:rsid w:val="005A102D"/>
    <w:rsid w:val="005A182D"/>
    <w:rsid w:val="005A1858"/>
    <w:rsid w:val="005A2A66"/>
    <w:rsid w:val="005A422B"/>
    <w:rsid w:val="005A452F"/>
    <w:rsid w:val="005A4EA4"/>
    <w:rsid w:val="005A5D0F"/>
    <w:rsid w:val="005A74B8"/>
    <w:rsid w:val="005A76B0"/>
    <w:rsid w:val="005A78CB"/>
    <w:rsid w:val="005B067A"/>
    <w:rsid w:val="005B10FC"/>
    <w:rsid w:val="005B11F4"/>
    <w:rsid w:val="005B26C5"/>
    <w:rsid w:val="005B3970"/>
    <w:rsid w:val="005B6616"/>
    <w:rsid w:val="005B67AE"/>
    <w:rsid w:val="005B7C00"/>
    <w:rsid w:val="005B7EC3"/>
    <w:rsid w:val="005B7F47"/>
    <w:rsid w:val="005C020F"/>
    <w:rsid w:val="005C0785"/>
    <w:rsid w:val="005C0E52"/>
    <w:rsid w:val="005C1C87"/>
    <w:rsid w:val="005C25DD"/>
    <w:rsid w:val="005C34B9"/>
    <w:rsid w:val="005C35FC"/>
    <w:rsid w:val="005C3A36"/>
    <w:rsid w:val="005C4C43"/>
    <w:rsid w:val="005C5C63"/>
    <w:rsid w:val="005C6DB7"/>
    <w:rsid w:val="005C75FA"/>
    <w:rsid w:val="005D146E"/>
    <w:rsid w:val="005D2086"/>
    <w:rsid w:val="005D2694"/>
    <w:rsid w:val="005D2A4D"/>
    <w:rsid w:val="005D2A91"/>
    <w:rsid w:val="005D3740"/>
    <w:rsid w:val="005D46E1"/>
    <w:rsid w:val="005D4DE6"/>
    <w:rsid w:val="005D547F"/>
    <w:rsid w:val="005D5F44"/>
    <w:rsid w:val="005D6F33"/>
    <w:rsid w:val="005E250B"/>
    <w:rsid w:val="005E30E2"/>
    <w:rsid w:val="005E3AEC"/>
    <w:rsid w:val="005E60BB"/>
    <w:rsid w:val="005E7161"/>
    <w:rsid w:val="005E7ACC"/>
    <w:rsid w:val="005F05EE"/>
    <w:rsid w:val="005F0F42"/>
    <w:rsid w:val="005F1237"/>
    <w:rsid w:val="005F14C0"/>
    <w:rsid w:val="005F1A43"/>
    <w:rsid w:val="005F22D0"/>
    <w:rsid w:val="005F27D0"/>
    <w:rsid w:val="005F3F1A"/>
    <w:rsid w:val="005F51B4"/>
    <w:rsid w:val="005F5253"/>
    <w:rsid w:val="005F55D0"/>
    <w:rsid w:val="005F5636"/>
    <w:rsid w:val="005F6215"/>
    <w:rsid w:val="005F6F6C"/>
    <w:rsid w:val="005F6F8E"/>
    <w:rsid w:val="005F7B25"/>
    <w:rsid w:val="006003FA"/>
    <w:rsid w:val="00600451"/>
    <w:rsid w:val="006010E8"/>
    <w:rsid w:val="006016E9"/>
    <w:rsid w:val="00601FAB"/>
    <w:rsid w:val="006034DD"/>
    <w:rsid w:val="00603938"/>
    <w:rsid w:val="006061EE"/>
    <w:rsid w:val="00610BBA"/>
    <w:rsid w:val="006122BB"/>
    <w:rsid w:val="006127E7"/>
    <w:rsid w:val="006134C2"/>
    <w:rsid w:val="0061389F"/>
    <w:rsid w:val="00613CE4"/>
    <w:rsid w:val="00614DF0"/>
    <w:rsid w:val="00616792"/>
    <w:rsid w:val="00617CB5"/>
    <w:rsid w:val="00617E39"/>
    <w:rsid w:val="006212FF"/>
    <w:rsid w:val="006216C7"/>
    <w:rsid w:val="006239D2"/>
    <w:rsid w:val="0062434B"/>
    <w:rsid w:val="00625664"/>
    <w:rsid w:val="00626086"/>
    <w:rsid w:val="00627A20"/>
    <w:rsid w:val="00627BB3"/>
    <w:rsid w:val="00630160"/>
    <w:rsid w:val="00631638"/>
    <w:rsid w:val="0063192E"/>
    <w:rsid w:val="00632B93"/>
    <w:rsid w:val="00633F6D"/>
    <w:rsid w:val="006343E9"/>
    <w:rsid w:val="0063463C"/>
    <w:rsid w:val="006361F8"/>
    <w:rsid w:val="00636968"/>
    <w:rsid w:val="00636BB2"/>
    <w:rsid w:val="00637470"/>
    <w:rsid w:val="006374F5"/>
    <w:rsid w:val="00640596"/>
    <w:rsid w:val="0064089E"/>
    <w:rsid w:val="00640D1D"/>
    <w:rsid w:val="00643083"/>
    <w:rsid w:val="00643DDB"/>
    <w:rsid w:val="006450AA"/>
    <w:rsid w:val="0064553A"/>
    <w:rsid w:val="00647897"/>
    <w:rsid w:val="0065028A"/>
    <w:rsid w:val="00650D71"/>
    <w:rsid w:val="00650E2E"/>
    <w:rsid w:val="0065164A"/>
    <w:rsid w:val="00652459"/>
    <w:rsid w:val="006526B4"/>
    <w:rsid w:val="0065272A"/>
    <w:rsid w:val="00656DA8"/>
    <w:rsid w:val="00660207"/>
    <w:rsid w:val="0066034E"/>
    <w:rsid w:val="00660B7E"/>
    <w:rsid w:val="00660EF8"/>
    <w:rsid w:val="00661A0B"/>
    <w:rsid w:val="00662379"/>
    <w:rsid w:val="006625F1"/>
    <w:rsid w:val="006626E8"/>
    <w:rsid w:val="00662D47"/>
    <w:rsid w:val="00663202"/>
    <w:rsid w:val="0066420F"/>
    <w:rsid w:val="00665BF6"/>
    <w:rsid w:val="00665C33"/>
    <w:rsid w:val="00665D9C"/>
    <w:rsid w:val="00665EA4"/>
    <w:rsid w:val="0066619B"/>
    <w:rsid w:val="006674FA"/>
    <w:rsid w:val="006708E4"/>
    <w:rsid w:val="00670985"/>
    <w:rsid w:val="00670FB1"/>
    <w:rsid w:val="00672FAE"/>
    <w:rsid w:val="0067304C"/>
    <w:rsid w:val="006731F3"/>
    <w:rsid w:val="0067332C"/>
    <w:rsid w:val="006733E5"/>
    <w:rsid w:val="00673758"/>
    <w:rsid w:val="006756B6"/>
    <w:rsid w:val="00676B76"/>
    <w:rsid w:val="006779C7"/>
    <w:rsid w:val="00680D84"/>
    <w:rsid w:val="00683635"/>
    <w:rsid w:val="0068600C"/>
    <w:rsid w:val="006867FE"/>
    <w:rsid w:val="00686DEF"/>
    <w:rsid w:val="0069003B"/>
    <w:rsid w:val="00690265"/>
    <w:rsid w:val="006908CB"/>
    <w:rsid w:val="00693547"/>
    <w:rsid w:val="00693761"/>
    <w:rsid w:val="00693B4B"/>
    <w:rsid w:val="00694C0A"/>
    <w:rsid w:val="00695059"/>
    <w:rsid w:val="006951B6"/>
    <w:rsid w:val="00695242"/>
    <w:rsid w:val="00696549"/>
    <w:rsid w:val="0069692F"/>
    <w:rsid w:val="00696C84"/>
    <w:rsid w:val="0069719C"/>
    <w:rsid w:val="006973C0"/>
    <w:rsid w:val="0069768D"/>
    <w:rsid w:val="006A0193"/>
    <w:rsid w:val="006A0516"/>
    <w:rsid w:val="006A09E2"/>
    <w:rsid w:val="006A20B4"/>
    <w:rsid w:val="006A2CF4"/>
    <w:rsid w:val="006A506E"/>
    <w:rsid w:val="006A56B8"/>
    <w:rsid w:val="006A731A"/>
    <w:rsid w:val="006A73C5"/>
    <w:rsid w:val="006B2869"/>
    <w:rsid w:val="006B3051"/>
    <w:rsid w:val="006B429A"/>
    <w:rsid w:val="006B453A"/>
    <w:rsid w:val="006B4904"/>
    <w:rsid w:val="006B526A"/>
    <w:rsid w:val="006B5A6C"/>
    <w:rsid w:val="006B687A"/>
    <w:rsid w:val="006B7799"/>
    <w:rsid w:val="006C029A"/>
    <w:rsid w:val="006C0ED1"/>
    <w:rsid w:val="006C119A"/>
    <w:rsid w:val="006C2E01"/>
    <w:rsid w:val="006C3040"/>
    <w:rsid w:val="006C37A6"/>
    <w:rsid w:val="006C4979"/>
    <w:rsid w:val="006C4CD4"/>
    <w:rsid w:val="006C51AB"/>
    <w:rsid w:val="006C574A"/>
    <w:rsid w:val="006C6554"/>
    <w:rsid w:val="006C7114"/>
    <w:rsid w:val="006C7366"/>
    <w:rsid w:val="006C769A"/>
    <w:rsid w:val="006C7F22"/>
    <w:rsid w:val="006D0625"/>
    <w:rsid w:val="006D0E7E"/>
    <w:rsid w:val="006D1AB5"/>
    <w:rsid w:val="006D1C10"/>
    <w:rsid w:val="006D3EC2"/>
    <w:rsid w:val="006D41C9"/>
    <w:rsid w:val="006D48EB"/>
    <w:rsid w:val="006D4B04"/>
    <w:rsid w:val="006D4D8B"/>
    <w:rsid w:val="006D5C07"/>
    <w:rsid w:val="006D6571"/>
    <w:rsid w:val="006D7AA7"/>
    <w:rsid w:val="006E0134"/>
    <w:rsid w:val="006E0DFA"/>
    <w:rsid w:val="006E0FD3"/>
    <w:rsid w:val="006E1BA5"/>
    <w:rsid w:val="006E1C93"/>
    <w:rsid w:val="006E1D94"/>
    <w:rsid w:val="006E20B4"/>
    <w:rsid w:val="006E23C2"/>
    <w:rsid w:val="006E2473"/>
    <w:rsid w:val="006E33F0"/>
    <w:rsid w:val="006E3C08"/>
    <w:rsid w:val="006E46D1"/>
    <w:rsid w:val="006E4C23"/>
    <w:rsid w:val="006E5365"/>
    <w:rsid w:val="006E6113"/>
    <w:rsid w:val="006E6D37"/>
    <w:rsid w:val="006F1882"/>
    <w:rsid w:val="006F2296"/>
    <w:rsid w:val="006F271C"/>
    <w:rsid w:val="006F4BE4"/>
    <w:rsid w:val="006F5118"/>
    <w:rsid w:val="006F55BF"/>
    <w:rsid w:val="006F5954"/>
    <w:rsid w:val="00700127"/>
    <w:rsid w:val="007003DE"/>
    <w:rsid w:val="007006A7"/>
    <w:rsid w:val="00701B3B"/>
    <w:rsid w:val="007035AF"/>
    <w:rsid w:val="007046EF"/>
    <w:rsid w:val="007047D4"/>
    <w:rsid w:val="00704C7E"/>
    <w:rsid w:val="00704DB1"/>
    <w:rsid w:val="007107C9"/>
    <w:rsid w:val="00711632"/>
    <w:rsid w:val="007116D7"/>
    <w:rsid w:val="007122C6"/>
    <w:rsid w:val="00712E9E"/>
    <w:rsid w:val="00714040"/>
    <w:rsid w:val="00714D00"/>
    <w:rsid w:val="0071596C"/>
    <w:rsid w:val="00715C18"/>
    <w:rsid w:val="00715F64"/>
    <w:rsid w:val="00717FBC"/>
    <w:rsid w:val="00720042"/>
    <w:rsid w:val="00720D68"/>
    <w:rsid w:val="00721233"/>
    <w:rsid w:val="0072159D"/>
    <w:rsid w:val="007224ED"/>
    <w:rsid w:val="007227A5"/>
    <w:rsid w:val="00724F17"/>
    <w:rsid w:val="007267BA"/>
    <w:rsid w:val="00726FB9"/>
    <w:rsid w:val="00727D8A"/>
    <w:rsid w:val="00730833"/>
    <w:rsid w:val="00731A35"/>
    <w:rsid w:val="007325C3"/>
    <w:rsid w:val="0073287D"/>
    <w:rsid w:val="00732BBD"/>
    <w:rsid w:val="00733274"/>
    <w:rsid w:val="00734C56"/>
    <w:rsid w:val="00734F91"/>
    <w:rsid w:val="007354DB"/>
    <w:rsid w:val="007355FD"/>
    <w:rsid w:val="007365F1"/>
    <w:rsid w:val="0073703D"/>
    <w:rsid w:val="00737E26"/>
    <w:rsid w:val="00740E34"/>
    <w:rsid w:val="00741443"/>
    <w:rsid w:val="007428E1"/>
    <w:rsid w:val="0074472E"/>
    <w:rsid w:val="007477CD"/>
    <w:rsid w:val="0075085C"/>
    <w:rsid w:val="00750C53"/>
    <w:rsid w:val="00750F5D"/>
    <w:rsid w:val="00751F77"/>
    <w:rsid w:val="0075486D"/>
    <w:rsid w:val="0075542C"/>
    <w:rsid w:val="00755509"/>
    <w:rsid w:val="007556A3"/>
    <w:rsid w:val="00755EDC"/>
    <w:rsid w:val="0075681F"/>
    <w:rsid w:val="007602DE"/>
    <w:rsid w:val="00760565"/>
    <w:rsid w:val="00760AE5"/>
    <w:rsid w:val="0076277F"/>
    <w:rsid w:val="007641DC"/>
    <w:rsid w:val="0076501F"/>
    <w:rsid w:val="00765390"/>
    <w:rsid w:val="0076602C"/>
    <w:rsid w:val="007674A5"/>
    <w:rsid w:val="007674BE"/>
    <w:rsid w:val="007677DB"/>
    <w:rsid w:val="00771333"/>
    <w:rsid w:val="0077177C"/>
    <w:rsid w:val="00773806"/>
    <w:rsid w:val="007776CA"/>
    <w:rsid w:val="0078038B"/>
    <w:rsid w:val="00780D1C"/>
    <w:rsid w:val="007824BC"/>
    <w:rsid w:val="00782FEF"/>
    <w:rsid w:val="00783049"/>
    <w:rsid w:val="007831A0"/>
    <w:rsid w:val="00783A8A"/>
    <w:rsid w:val="0078417B"/>
    <w:rsid w:val="00786222"/>
    <w:rsid w:val="00786753"/>
    <w:rsid w:val="00787045"/>
    <w:rsid w:val="0079078D"/>
    <w:rsid w:val="00790F1A"/>
    <w:rsid w:val="00791058"/>
    <w:rsid w:val="007918EB"/>
    <w:rsid w:val="00792754"/>
    <w:rsid w:val="00792D5E"/>
    <w:rsid w:val="0079305E"/>
    <w:rsid w:val="00793CD6"/>
    <w:rsid w:val="007973CE"/>
    <w:rsid w:val="007A0048"/>
    <w:rsid w:val="007A1211"/>
    <w:rsid w:val="007A166C"/>
    <w:rsid w:val="007A1A85"/>
    <w:rsid w:val="007A2813"/>
    <w:rsid w:val="007A2979"/>
    <w:rsid w:val="007A29E6"/>
    <w:rsid w:val="007A39FD"/>
    <w:rsid w:val="007A523F"/>
    <w:rsid w:val="007A68F9"/>
    <w:rsid w:val="007A6FB4"/>
    <w:rsid w:val="007A7604"/>
    <w:rsid w:val="007B125D"/>
    <w:rsid w:val="007B158D"/>
    <w:rsid w:val="007B2033"/>
    <w:rsid w:val="007B2975"/>
    <w:rsid w:val="007B33D2"/>
    <w:rsid w:val="007B3A1C"/>
    <w:rsid w:val="007B4571"/>
    <w:rsid w:val="007B4BB8"/>
    <w:rsid w:val="007B4DC3"/>
    <w:rsid w:val="007B5F6E"/>
    <w:rsid w:val="007B6DE8"/>
    <w:rsid w:val="007B6E79"/>
    <w:rsid w:val="007B7AE9"/>
    <w:rsid w:val="007C0BC3"/>
    <w:rsid w:val="007C28D0"/>
    <w:rsid w:val="007C2BCC"/>
    <w:rsid w:val="007C3BD3"/>
    <w:rsid w:val="007C3D13"/>
    <w:rsid w:val="007C4DD4"/>
    <w:rsid w:val="007C7003"/>
    <w:rsid w:val="007C712C"/>
    <w:rsid w:val="007D04E8"/>
    <w:rsid w:val="007D0507"/>
    <w:rsid w:val="007D0D1C"/>
    <w:rsid w:val="007D149F"/>
    <w:rsid w:val="007D17C7"/>
    <w:rsid w:val="007D1D68"/>
    <w:rsid w:val="007D1DD1"/>
    <w:rsid w:val="007D1E3D"/>
    <w:rsid w:val="007D4CC7"/>
    <w:rsid w:val="007D4E6E"/>
    <w:rsid w:val="007D51DD"/>
    <w:rsid w:val="007D6377"/>
    <w:rsid w:val="007D69E1"/>
    <w:rsid w:val="007D6A5D"/>
    <w:rsid w:val="007D725A"/>
    <w:rsid w:val="007D72DD"/>
    <w:rsid w:val="007D78AF"/>
    <w:rsid w:val="007D799A"/>
    <w:rsid w:val="007E0CDD"/>
    <w:rsid w:val="007E1BEB"/>
    <w:rsid w:val="007E59D4"/>
    <w:rsid w:val="007E6EAB"/>
    <w:rsid w:val="007E7296"/>
    <w:rsid w:val="007E72D9"/>
    <w:rsid w:val="007F0274"/>
    <w:rsid w:val="007F12CD"/>
    <w:rsid w:val="007F1C24"/>
    <w:rsid w:val="007F3380"/>
    <w:rsid w:val="007F3C74"/>
    <w:rsid w:val="007F49DD"/>
    <w:rsid w:val="007F5EE7"/>
    <w:rsid w:val="007F707D"/>
    <w:rsid w:val="007F757C"/>
    <w:rsid w:val="007F75BA"/>
    <w:rsid w:val="00801661"/>
    <w:rsid w:val="0080173B"/>
    <w:rsid w:val="00802B0C"/>
    <w:rsid w:val="00803D5B"/>
    <w:rsid w:val="00804AC8"/>
    <w:rsid w:val="00805DB5"/>
    <w:rsid w:val="008062BD"/>
    <w:rsid w:val="008068D1"/>
    <w:rsid w:val="00807320"/>
    <w:rsid w:val="00807935"/>
    <w:rsid w:val="00807F93"/>
    <w:rsid w:val="008108E2"/>
    <w:rsid w:val="008109AF"/>
    <w:rsid w:val="00810B53"/>
    <w:rsid w:val="0081145A"/>
    <w:rsid w:val="00812DA6"/>
    <w:rsid w:val="00814678"/>
    <w:rsid w:val="0081505A"/>
    <w:rsid w:val="00815B82"/>
    <w:rsid w:val="00815E7F"/>
    <w:rsid w:val="00817109"/>
    <w:rsid w:val="008233B0"/>
    <w:rsid w:val="0082379B"/>
    <w:rsid w:val="008242DB"/>
    <w:rsid w:val="00824615"/>
    <w:rsid w:val="00824E78"/>
    <w:rsid w:val="00826EDE"/>
    <w:rsid w:val="00826F90"/>
    <w:rsid w:val="00827283"/>
    <w:rsid w:val="0083230F"/>
    <w:rsid w:val="00832A0B"/>
    <w:rsid w:val="00834221"/>
    <w:rsid w:val="0083477D"/>
    <w:rsid w:val="00837D28"/>
    <w:rsid w:val="008400FE"/>
    <w:rsid w:val="00840E53"/>
    <w:rsid w:val="0084100B"/>
    <w:rsid w:val="0084161D"/>
    <w:rsid w:val="00841E45"/>
    <w:rsid w:val="0084223A"/>
    <w:rsid w:val="0084364A"/>
    <w:rsid w:val="00844133"/>
    <w:rsid w:val="0084589A"/>
    <w:rsid w:val="0085149F"/>
    <w:rsid w:val="00852726"/>
    <w:rsid w:val="008529C4"/>
    <w:rsid w:val="00852AD5"/>
    <w:rsid w:val="00852D3F"/>
    <w:rsid w:val="00853144"/>
    <w:rsid w:val="00856156"/>
    <w:rsid w:val="00857444"/>
    <w:rsid w:val="00857E65"/>
    <w:rsid w:val="00861FE8"/>
    <w:rsid w:val="00862183"/>
    <w:rsid w:val="00863C21"/>
    <w:rsid w:val="00863EA8"/>
    <w:rsid w:val="00864368"/>
    <w:rsid w:val="00865389"/>
    <w:rsid w:val="00865BD0"/>
    <w:rsid w:val="008660BF"/>
    <w:rsid w:val="008670C0"/>
    <w:rsid w:val="0086763B"/>
    <w:rsid w:val="00867695"/>
    <w:rsid w:val="00867DB1"/>
    <w:rsid w:val="00870E9F"/>
    <w:rsid w:val="008715E2"/>
    <w:rsid w:val="0087228F"/>
    <w:rsid w:val="00873771"/>
    <w:rsid w:val="00874C34"/>
    <w:rsid w:val="00875CB0"/>
    <w:rsid w:val="008771EE"/>
    <w:rsid w:val="0087768F"/>
    <w:rsid w:val="0088024B"/>
    <w:rsid w:val="008802C1"/>
    <w:rsid w:val="00880ED4"/>
    <w:rsid w:val="00883807"/>
    <w:rsid w:val="00885117"/>
    <w:rsid w:val="00885F21"/>
    <w:rsid w:val="00886208"/>
    <w:rsid w:val="00887326"/>
    <w:rsid w:val="0088742D"/>
    <w:rsid w:val="008874B0"/>
    <w:rsid w:val="008879CF"/>
    <w:rsid w:val="0089028E"/>
    <w:rsid w:val="00890A34"/>
    <w:rsid w:val="008911FC"/>
    <w:rsid w:val="00891708"/>
    <w:rsid w:val="00891A03"/>
    <w:rsid w:val="00892213"/>
    <w:rsid w:val="0089268E"/>
    <w:rsid w:val="00892F9F"/>
    <w:rsid w:val="008934C7"/>
    <w:rsid w:val="00895693"/>
    <w:rsid w:val="0089600B"/>
    <w:rsid w:val="008A13C0"/>
    <w:rsid w:val="008A1501"/>
    <w:rsid w:val="008A1A66"/>
    <w:rsid w:val="008A263A"/>
    <w:rsid w:val="008A2D62"/>
    <w:rsid w:val="008A3428"/>
    <w:rsid w:val="008A3834"/>
    <w:rsid w:val="008A3F5A"/>
    <w:rsid w:val="008A7414"/>
    <w:rsid w:val="008B039E"/>
    <w:rsid w:val="008B1F00"/>
    <w:rsid w:val="008B2239"/>
    <w:rsid w:val="008B2446"/>
    <w:rsid w:val="008B333D"/>
    <w:rsid w:val="008B351C"/>
    <w:rsid w:val="008B47ED"/>
    <w:rsid w:val="008B6EDB"/>
    <w:rsid w:val="008C1649"/>
    <w:rsid w:val="008C1B09"/>
    <w:rsid w:val="008C2E7B"/>
    <w:rsid w:val="008C3389"/>
    <w:rsid w:val="008C35F5"/>
    <w:rsid w:val="008C3B3E"/>
    <w:rsid w:val="008C462C"/>
    <w:rsid w:val="008C4831"/>
    <w:rsid w:val="008C486C"/>
    <w:rsid w:val="008C5778"/>
    <w:rsid w:val="008D094C"/>
    <w:rsid w:val="008D0AD6"/>
    <w:rsid w:val="008D288A"/>
    <w:rsid w:val="008D3C76"/>
    <w:rsid w:val="008D40FE"/>
    <w:rsid w:val="008D44A6"/>
    <w:rsid w:val="008D5502"/>
    <w:rsid w:val="008D6764"/>
    <w:rsid w:val="008D6AE9"/>
    <w:rsid w:val="008D792D"/>
    <w:rsid w:val="008E13D5"/>
    <w:rsid w:val="008E3C9E"/>
    <w:rsid w:val="008E4205"/>
    <w:rsid w:val="008E4365"/>
    <w:rsid w:val="008E440F"/>
    <w:rsid w:val="008E459D"/>
    <w:rsid w:val="008E605F"/>
    <w:rsid w:val="008E7754"/>
    <w:rsid w:val="008F019A"/>
    <w:rsid w:val="008F3F27"/>
    <w:rsid w:val="008F425C"/>
    <w:rsid w:val="008F516B"/>
    <w:rsid w:val="008F5D87"/>
    <w:rsid w:val="008F6541"/>
    <w:rsid w:val="008F669A"/>
    <w:rsid w:val="008F6AFA"/>
    <w:rsid w:val="008F7C92"/>
    <w:rsid w:val="008F7D1A"/>
    <w:rsid w:val="009002CF"/>
    <w:rsid w:val="009019EB"/>
    <w:rsid w:val="00902056"/>
    <w:rsid w:val="00902097"/>
    <w:rsid w:val="00903445"/>
    <w:rsid w:val="009035A2"/>
    <w:rsid w:val="00903CAD"/>
    <w:rsid w:val="00904F2D"/>
    <w:rsid w:val="009063E7"/>
    <w:rsid w:val="00907B36"/>
    <w:rsid w:val="00911E6D"/>
    <w:rsid w:val="00911EC2"/>
    <w:rsid w:val="0091372B"/>
    <w:rsid w:val="00913AFB"/>
    <w:rsid w:val="009172A2"/>
    <w:rsid w:val="00917857"/>
    <w:rsid w:val="00917F98"/>
    <w:rsid w:val="009219BC"/>
    <w:rsid w:val="00922280"/>
    <w:rsid w:val="009232BB"/>
    <w:rsid w:val="00923DFD"/>
    <w:rsid w:val="00924527"/>
    <w:rsid w:val="00924F37"/>
    <w:rsid w:val="0092562D"/>
    <w:rsid w:val="00926352"/>
    <w:rsid w:val="00931AE8"/>
    <w:rsid w:val="00931ED7"/>
    <w:rsid w:val="00933D0C"/>
    <w:rsid w:val="00933EA0"/>
    <w:rsid w:val="00934086"/>
    <w:rsid w:val="0093431C"/>
    <w:rsid w:val="009356E6"/>
    <w:rsid w:val="0093634D"/>
    <w:rsid w:val="00937C7C"/>
    <w:rsid w:val="00940426"/>
    <w:rsid w:val="0094096B"/>
    <w:rsid w:val="0094184E"/>
    <w:rsid w:val="00942355"/>
    <w:rsid w:val="00942C97"/>
    <w:rsid w:val="00943512"/>
    <w:rsid w:val="00943B3E"/>
    <w:rsid w:val="00944743"/>
    <w:rsid w:val="00944AD4"/>
    <w:rsid w:val="00944E03"/>
    <w:rsid w:val="009455C7"/>
    <w:rsid w:val="00945A5A"/>
    <w:rsid w:val="00945D37"/>
    <w:rsid w:val="00950968"/>
    <w:rsid w:val="0095401B"/>
    <w:rsid w:val="009546FA"/>
    <w:rsid w:val="00954CC7"/>
    <w:rsid w:val="009550FB"/>
    <w:rsid w:val="00960F09"/>
    <w:rsid w:val="00961025"/>
    <w:rsid w:val="00961C89"/>
    <w:rsid w:val="00963B98"/>
    <w:rsid w:val="00963E8A"/>
    <w:rsid w:val="0096408B"/>
    <w:rsid w:val="00964E39"/>
    <w:rsid w:val="0096523F"/>
    <w:rsid w:val="0096541D"/>
    <w:rsid w:val="0096577B"/>
    <w:rsid w:val="0096586A"/>
    <w:rsid w:val="00967065"/>
    <w:rsid w:val="0096772B"/>
    <w:rsid w:val="009707D3"/>
    <w:rsid w:val="0097147D"/>
    <w:rsid w:val="009716D7"/>
    <w:rsid w:val="009717DC"/>
    <w:rsid w:val="00971C84"/>
    <w:rsid w:val="0097408E"/>
    <w:rsid w:val="0097581E"/>
    <w:rsid w:val="00976756"/>
    <w:rsid w:val="00977B42"/>
    <w:rsid w:val="009805B6"/>
    <w:rsid w:val="00980884"/>
    <w:rsid w:val="009812FB"/>
    <w:rsid w:val="00982CA1"/>
    <w:rsid w:val="00983BD8"/>
    <w:rsid w:val="00983EB7"/>
    <w:rsid w:val="0098421F"/>
    <w:rsid w:val="009851CF"/>
    <w:rsid w:val="00987241"/>
    <w:rsid w:val="00987B72"/>
    <w:rsid w:val="00990ACE"/>
    <w:rsid w:val="00991C50"/>
    <w:rsid w:val="009932FD"/>
    <w:rsid w:val="009953DA"/>
    <w:rsid w:val="00996A6A"/>
    <w:rsid w:val="0099730A"/>
    <w:rsid w:val="009A01A1"/>
    <w:rsid w:val="009A05B4"/>
    <w:rsid w:val="009A1026"/>
    <w:rsid w:val="009A1635"/>
    <w:rsid w:val="009A1B68"/>
    <w:rsid w:val="009A26DA"/>
    <w:rsid w:val="009A2F73"/>
    <w:rsid w:val="009A3D54"/>
    <w:rsid w:val="009A5858"/>
    <w:rsid w:val="009A5B9F"/>
    <w:rsid w:val="009A63DE"/>
    <w:rsid w:val="009B0745"/>
    <w:rsid w:val="009B1D19"/>
    <w:rsid w:val="009B2B19"/>
    <w:rsid w:val="009B44FE"/>
    <w:rsid w:val="009B4821"/>
    <w:rsid w:val="009B65FF"/>
    <w:rsid w:val="009B6700"/>
    <w:rsid w:val="009C1A76"/>
    <w:rsid w:val="009C1CD0"/>
    <w:rsid w:val="009C2218"/>
    <w:rsid w:val="009C317F"/>
    <w:rsid w:val="009C76CB"/>
    <w:rsid w:val="009D0F9C"/>
    <w:rsid w:val="009D12F8"/>
    <w:rsid w:val="009D15FF"/>
    <w:rsid w:val="009D2660"/>
    <w:rsid w:val="009D2C63"/>
    <w:rsid w:val="009D3830"/>
    <w:rsid w:val="009D39F5"/>
    <w:rsid w:val="009D3AEF"/>
    <w:rsid w:val="009D454F"/>
    <w:rsid w:val="009D47FF"/>
    <w:rsid w:val="009E034E"/>
    <w:rsid w:val="009E0A7A"/>
    <w:rsid w:val="009E24CB"/>
    <w:rsid w:val="009E422F"/>
    <w:rsid w:val="009E6421"/>
    <w:rsid w:val="009E6815"/>
    <w:rsid w:val="009E7148"/>
    <w:rsid w:val="009E7514"/>
    <w:rsid w:val="009F04B9"/>
    <w:rsid w:val="009F168F"/>
    <w:rsid w:val="009F19C3"/>
    <w:rsid w:val="009F2DC9"/>
    <w:rsid w:val="009F4180"/>
    <w:rsid w:val="009F4487"/>
    <w:rsid w:val="009F4AF1"/>
    <w:rsid w:val="009F5B28"/>
    <w:rsid w:val="009F5C2E"/>
    <w:rsid w:val="009F6DBF"/>
    <w:rsid w:val="009F757B"/>
    <w:rsid w:val="009F7948"/>
    <w:rsid w:val="00A009F7"/>
    <w:rsid w:val="00A01DFD"/>
    <w:rsid w:val="00A022AC"/>
    <w:rsid w:val="00A0423C"/>
    <w:rsid w:val="00A04CB9"/>
    <w:rsid w:val="00A0505C"/>
    <w:rsid w:val="00A067B2"/>
    <w:rsid w:val="00A06856"/>
    <w:rsid w:val="00A06AC4"/>
    <w:rsid w:val="00A0776D"/>
    <w:rsid w:val="00A07E6E"/>
    <w:rsid w:val="00A110CB"/>
    <w:rsid w:val="00A1297B"/>
    <w:rsid w:val="00A1304B"/>
    <w:rsid w:val="00A135C1"/>
    <w:rsid w:val="00A139BE"/>
    <w:rsid w:val="00A13EE0"/>
    <w:rsid w:val="00A140FC"/>
    <w:rsid w:val="00A14D57"/>
    <w:rsid w:val="00A14EBE"/>
    <w:rsid w:val="00A17DAF"/>
    <w:rsid w:val="00A206E5"/>
    <w:rsid w:val="00A20D42"/>
    <w:rsid w:val="00A20E15"/>
    <w:rsid w:val="00A217C0"/>
    <w:rsid w:val="00A22B19"/>
    <w:rsid w:val="00A22EDD"/>
    <w:rsid w:val="00A23CD6"/>
    <w:rsid w:val="00A24EE6"/>
    <w:rsid w:val="00A27898"/>
    <w:rsid w:val="00A30301"/>
    <w:rsid w:val="00A31827"/>
    <w:rsid w:val="00A34B44"/>
    <w:rsid w:val="00A35282"/>
    <w:rsid w:val="00A35A0B"/>
    <w:rsid w:val="00A40F71"/>
    <w:rsid w:val="00A415F5"/>
    <w:rsid w:val="00A41BCB"/>
    <w:rsid w:val="00A41E16"/>
    <w:rsid w:val="00A43625"/>
    <w:rsid w:val="00A43832"/>
    <w:rsid w:val="00A43DC1"/>
    <w:rsid w:val="00A4581F"/>
    <w:rsid w:val="00A4595F"/>
    <w:rsid w:val="00A46CF7"/>
    <w:rsid w:val="00A477EC"/>
    <w:rsid w:val="00A50701"/>
    <w:rsid w:val="00A50AE8"/>
    <w:rsid w:val="00A50FD4"/>
    <w:rsid w:val="00A5175B"/>
    <w:rsid w:val="00A522E7"/>
    <w:rsid w:val="00A53356"/>
    <w:rsid w:val="00A540FA"/>
    <w:rsid w:val="00A553B3"/>
    <w:rsid w:val="00A5586F"/>
    <w:rsid w:val="00A55C89"/>
    <w:rsid w:val="00A560B4"/>
    <w:rsid w:val="00A5672A"/>
    <w:rsid w:val="00A57653"/>
    <w:rsid w:val="00A57AA2"/>
    <w:rsid w:val="00A60679"/>
    <w:rsid w:val="00A622E4"/>
    <w:rsid w:val="00A62591"/>
    <w:rsid w:val="00A6391F"/>
    <w:rsid w:val="00A639F6"/>
    <w:rsid w:val="00A640C6"/>
    <w:rsid w:val="00A66BE6"/>
    <w:rsid w:val="00A672D9"/>
    <w:rsid w:val="00A67BF2"/>
    <w:rsid w:val="00A67DE3"/>
    <w:rsid w:val="00A70002"/>
    <w:rsid w:val="00A700DC"/>
    <w:rsid w:val="00A70891"/>
    <w:rsid w:val="00A72156"/>
    <w:rsid w:val="00A72211"/>
    <w:rsid w:val="00A73EE2"/>
    <w:rsid w:val="00A740FB"/>
    <w:rsid w:val="00A74173"/>
    <w:rsid w:val="00A746A3"/>
    <w:rsid w:val="00A74B20"/>
    <w:rsid w:val="00A74C43"/>
    <w:rsid w:val="00A74D3D"/>
    <w:rsid w:val="00A74F9C"/>
    <w:rsid w:val="00A771A3"/>
    <w:rsid w:val="00A778D0"/>
    <w:rsid w:val="00A80F72"/>
    <w:rsid w:val="00A81798"/>
    <w:rsid w:val="00A83A12"/>
    <w:rsid w:val="00A83B7A"/>
    <w:rsid w:val="00A83F83"/>
    <w:rsid w:val="00A84669"/>
    <w:rsid w:val="00A846A9"/>
    <w:rsid w:val="00A850BE"/>
    <w:rsid w:val="00A856C5"/>
    <w:rsid w:val="00A863DD"/>
    <w:rsid w:val="00A9096F"/>
    <w:rsid w:val="00A90B18"/>
    <w:rsid w:val="00A921F2"/>
    <w:rsid w:val="00A92E4A"/>
    <w:rsid w:val="00A944D2"/>
    <w:rsid w:val="00A947D5"/>
    <w:rsid w:val="00A95969"/>
    <w:rsid w:val="00A96260"/>
    <w:rsid w:val="00A96EE8"/>
    <w:rsid w:val="00A9703C"/>
    <w:rsid w:val="00AA030E"/>
    <w:rsid w:val="00AA3143"/>
    <w:rsid w:val="00AA37B0"/>
    <w:rsid w:val="00AA3C98"/>
    <w:rsid w:val="00AA3F9B"/>
    <w:rsid w:val="00AA42C7"/>
    <w:rsid w:val="00AA49CC"/>
    <w:rsid w:val="00AA5C83"/>
    <w:rsid w:val="00AA66B6"/>
    <w:rsid w:val="00AA6A0B"/>
    <w:rsid w:val="00AA7670"/>
    <w:rsid w:val="00AB00D5"/>
    <w:rsid w:val="00AB052B"/>
    <w:rsid w:val="00AB3B96"/>
    <w:rsid w:val="00AB5926"/>
    <w:rsid w:val="00AB758B"/>
    <w:rsid w:val="00AC0D28"/>
    <w:rsid w:val="00AC1327"/>
    <w:rsid w:val="00AC153F"/>
    <w:rsid w:val="00AC1A60"/>
    <w:rsid w:val="00AC2340"/>
    <w:rsid w:val="00AC3FD1"/>
    <w:rsid w:val="00AC424A"/>
    <w:rsid w:val="00AC5810"/>
    <w:rsid w:val="00AC5FFB"/>
    <w:rsid w:val="00AC695E"/>
    <w:rsid w:val="00AD0933"/>
    <w:rsid w:val="00AD210E"/>
    <w:rsid w:val="00AD2370"/>
    <w:rsid w:val="00AD28B6"/>
    <w:rsid w:val="00AD303A"/>
    <w:rsid w:val="00AD3E5A"/>
    <w:rsid w:val="00AD441C"/>
    <w:rsid w:val="00AD4FDE"/>
    <w:rsid w:val="00AD6904"/>
    <w:rsid w:val="00AD694B"/>
    <w:rsid w:val="00AE2548"/>
    <w:rsid w:val="00AE3B00"/>
    <w:rsid w:val="00AE42D3"/>
    <w:rsid w:val="00AE46C1"/>
    <w:rsid w:val="00AE5870"/>
    <w:rsid w:val="00AE5CBA"/>
    <w:rsid w:val="00AE630A"/>
    <w:rsid w:val="00AE672E"/>
    <w:rsid w:val="00AE6B42"/>
    <w:rsid w:val="00AE782E"/>
    <w:rsid w:val="00AE7BC9"/>
    <w:rsid w:val="00AF0C03"/>
    <w:rsid w:val="00AF0CED"/>
    <w:rsid w:val="00AF1358"/>
    <w:rsid w:val="00AF31BD"/>
    <w:rsid w:val="00AF3C70"/>
    <w:rsid w:val="00AF3D89"/>
    <w:rsid w:val="00AF5A26"/>
    <w:rsid w:val="00AF6438"/>
    <w:rsid w:val="00AF6972"/>
    <w:rsid w:val="00AF79AE"/>
    <w:rsid w:val="00B0131C"/>
    <w:rsid w:val="00B01F1C"/>
    <w:rsid w:val="00B02D24"/>
    <w:rsid w:val="00B02EA7"/>
    <w:rsid w:val="00B031CB"/>
    <w:rsid w:val="00B0495D"/>
    <w:rsid w:val="00B058B5"/>
    <w:rsid w:val="00B059B1"/>
    <w:rsid w:val="00B07171"/>
    <w:rsid w:val="00B073BC"/>
    <w:rsid w:val="00B07739"/>
    <w:rsid w:val="00B07C8A"/>
    <w:rsid w:val="00B10013"/>
    <w:rsid w:val="00B10322"/>
    <w:rsid w:val="00B10E1E"/>
    <w:rsid w:val="00B11E3E"/>
    <w:rsid w:val="00B11F0D"/>
    <w:rsid w:val="00B11FF9"/>
    <w:rsid w:val="00B1217E"/>
    <w:rsid w:val="00B12333"/>
    <w:rsid w:val="00B13A91"/>
    <w:rsid w:val="00B1419C"/>
    <w:rsid w:val="00B1687F"/>
    <w:rsid w:val="00B20276"/>
    <w:rsid w:val="00B20963"/>
    <w:rsid w:val="00B212CC"/>
    <w:rsid w:val="00B22C33"/>
    <w:rsid w:val="00B24110"/>
    <w:rsid w:val="00B2434A"/>
    <w:rsid w:val="00B24C1A"/>
    <w:rsid w:val="00B2508D"/>
    <w:rsid w:val="00B25528"/>
    <w:rsid w:val="00B258C4"/>
    <w:rsid w:val="00B267B0"/>
    <w:rsid w:val="00B2782D"/>
    <w:rsid w:val="00B30AD4"/>
    <w:rsid w:val="00B30FF4"/>
    <w:rsid w:val="00B3190F"/>
    <w:rsid w:val="00B31AF4"/>
    <w:rsid w:val="00B31EC3"/>
    <w:rsid w:val="00B3265D"/>
    <w:rsid w:val="00B33198"/>
    <w:rsid w:val="00B333F3"/>
    <w:rsid w:val="00B3381D"/>
    <w:rsid w:val="00B345E0"/>
    <w:rsid w:val="00B34FF6"/>
    <w:rsid w:val="00B354FD"/>
    <w:rsid w:val="00B400C5"/>
    <w:rsid w:val="00B4010B"/>
    <w:rsid w:val="00B41CCB"/>
    <w:rsid w:val="00B43B34"/>
    <w:rsid w:val="00B44E02"/>
    <w:rsid w:val="00B450DE"/>
    <w:rsid w:val="00B46ADF"/>
    <w:rsid w:val="00B46B89"/>
    <w:rsid w:val="00B50697"/>
    <w:rsid w:val="00B50A8B"/>
    <w:rsid w:val="00B51BFB"/>
    <w:rsid w:val="00B52619"/>
    <w:rsid w:val="00B531F8"/>
    <w:rsid w:val="00B53DC3"/>
    <w:rsid w:val="00B54B48"/>
    <w:rsid w:val="00B564FD"/>
    <w:rsid w:val="00B56C2B"/>
    <w:rsid w:val="00B56E20"/>
    <w:rsid w:val="00B57BD7"/>
    <w:rsid w:val="00B61D63"/>
    <w:rsid w:val="00B63CA4"/>
    <w:rsid w:val="00B644CE"/>
    <w:rsid w:val="00B6478F"/>
    <w:rsid w:val="00B64E75"/>
    <w:rsid w:val="00B66126"/>
    <w:rsid w:val="00B67C85"/>
    <w:rsid w:val="00B67FCB"/>
    <w:rsid w:val="00B705B5"/>
    <w:rsid w:val="00B70714"/>
    <w:rsid w:val="00B70C75"/>
    <w:rsid w:val="00B717DC"/>
    <w:rsid w:val="00B720E3"/>
    <w:rsid w:val="00B727EA"/>
    <w:rsid w:val="00B73403"/>
    <w:rsid w:val="00B739A7"/>
    <w:rsid w:val="00B73E0B"/>
    <w:rsid w:val="00B767D1"/>
    <w:rsid w:val="00B77287"/>
    <w:rsid w:val="00B833F4"/>
    <w:rsid w:val="00B8363B"/>
    <w:rsid w:val="00B84CA9"/>
    <w:rsid w:val="00B85EF8"/>
    <w:rsid w:val="00B8668D"/>
    <w:rsid w:val="00B8687E"/>
    <w:rsid w:val="00B86D63"/>
    <w:rsid w:val="00B877E8"/>
    <w:rsid w:val="00B87822"/>
    <w:rsid w:val="00B902DB"/>
    <w:rsid w:val="00B90445"/>
    <w:rsid w:val="00B90CE7"/>
    <w:rsid w:val="00B951D3"/>
    <w:rsid w:val="00B95669"/>
    <w:rsid w:val="00B95A0E"/>
    <w:rsid w:val="00B95D82"/>
    <w:rsid w:val="00B96341"/>
    <w:rsid w:val="00B96AD3"/>
    <w:rsid w:val="00B97977"/>
    <w:rsid w:val="00B97F02"/>
    <w:rsid w:val="00BA148F"/>
    <w:rsid w:val="00BA252C"/>
    <w:rsid w:val="00BA36F9"/>
    <w:rsid w:val="00BA45F4"/>
    <w:rsid w:val="00BA4DE2"/>
    <w:rsid w:val="00BA57C2"/>
    <w:rsid w:val="00BA6A79"/>
    <w:rsid w:val="00BA6D65"/>
    <w:rsid w:val="00BA7C9F"/>
    <w:rsid w:val="00BB0ACD"/>
    <w:rsid w:val="00BB1514"/>
    <w:rsid w:val="00BB1A45"/>
    <w:rsid w:val="00BB241A"/>
    <w:rsid w:val="00BB27C8"/>
    <w:rsid w:val="00BB377E"/>
    <w:rsid w:val="00BB3868"/>
    <w:rsid w:val="00BB449E"/>
    <w:rsid w:val="00BB5155"/>
    <w:rsid w:val="00BB5419"/>
    <w:rsid w:val="00BB578C"/>
    <w:rsid w:val="00BB6398"/>
    <w:rsid w:val="00BB72E5"/>
    <w:rsid w:val="00BB77C6"/>
    <w:rsid w:val="00BB7AA9"/>
    <w:rsid w:val="00BB7CD1"/>
    <w:rsid w:val="00BC206C"/>
    <w:rsid w:val="00BC2C8E"/>
    <w:rsid w:val="00BC3AEC"/>
    <w:rsid w:val="00BC3B06"/>
    <w:rsid w:val="00BC4506"/>
    <w:rsid w:val="00BC4F53"/>
    <w:rsid w:val="00BC55AE"/>
    <w:rsid w:val="00BC6B41"/>
    <w:rsid w:val="00BC7726"/>
    <w:rsid w:val="00BC784D"/>
    <w:rsid w:val="00BD00F3"/>
    <w:rsid w:val="00BD049D"/>
    <w:rsid w:val="00BD04F0"/>
    <w:rsid w:val="00BD068D"/>
    <w:rsid w:val="00BD11D3"/>
    <w:rsid w:val="00BD2170"/>
    <w:rsid w:val="00BD25B3"/>
    <w:rsid w:val="00BD3BC3"/>
    <w:rsid w:val="00BD438B"/>
    <w:rsid w:val="00BD4C0D"/>
    <w:rsid w:val="00BD638A"/>
    <w:rsid w:val="00BD6483"/>
    <w:rsid w:val="00BE067C"/>
    <w:rsid w:val="00BE07A0"/>
    <w:rsid w:val="00BE19AE"/>
    <w:rsid w:val="00BE20E2"/>
    <w:rsid w:val="00BE2A7B"/>
    <w:rsid w:val="00BE405F"/>
    <w:rsid w:val="00BE4129"/>
    <w:rsid w:val="00BE44E8"/>
    <w:rsid w:val="00BE471E"/>
    <w:rsid w:val="00BE4FD6"/>
    <w:rsid w:val="00BE5314"/>
    <w:rsid w:val="00BE5F2B"/>
    <w:rsid w:val="00BE66CD"/>
    <w:rsid w:val="00BE76E2"/>
    <w:rsid w:val="00BF0819"/>
    <w:rsid w:val="00BF0C84"/>
    <w:rsid w:val="00BF1F84"/>
    <w:rsid w:val="00BF2121"/>
    <w:rsid w:val="00BF3222"/>
    <w:rsid w:val="00BF3325"/>
    <w:rsid w:val="00BF3445"/>
    <w:rsid w:val="00BF3821"/>
    <w:rsid w:val="00BF60AE"/>
    <w:rsid w:val="00BF6496"/>
    <w:rsid w:val="00BF6DA5"/>
    <w:rsid w:val="00BF6E09"/>
    <w:rsid w:val="00C00750"/>
    <w:rsid w:val="00C03817"/>
    <w:rsid w:val="00C03ED8"/>
    <w:rsid w:val="00C040B6"/>
    <w:rsid w:val="00C04C8F"/>
    <w:rsid w:val="00C06CCC"/>
    <w:rsid w:val="00C07536"/>
    <w:rsid w:val="00C07842"/>
    <w:rsid w:val="00C07925"/>
    <w:rsid w:val="00C07934"/>
    <w:rsid w:val="00C101CD"/>
    <w:rsid w:val="00C1205B"/>
    <w:rsid w:val="00C1212A"/>
    <w:rsid w:val="00C12356"/>
    <w:rsid w:val="00C130E4"/>
    <w:rsid w:val="00C13EF5"/>
    <w:rsid w:val="00C1583D"/>
    <w:rsid w:val="00C17027"/>
    <w:rsid w:val="00C1740C"/>
    <w:rsid w:val="00C17609"/>
    <w:rsid w:val="00C17F41"/>
    <w:rsid w:val="00C20367"/>
    <w:rsid w:val="00C20D08"/>
    <w:rsid w:val="00C232BC"/>
    <w:rsid w:val="00C24074"/>
    <w:rsid w:val="00C2493B"/>
    <w:rsid w:val="00C25ADA"/>
    <w:rsid w:val="00C26995"/>
    <w:rsid w:val="00C27678"/>
    <w:rsid w:val="00C30504"/>
    <w:rsid w:val="00C308B6"/>
    <w:rsid w:val="00C31177"/>
    <w:rsid w:val="00C31346"/>
    <w:rsid w:val="00C31DC1"/>
    <w:rsid w:val="00C33162"/>
    <w:rsid w:val="00C34216"/>
    <w:rsid w:val="00C3460D"/>
    <w:rsid w:val="00C349E0"/>
    <w:rsid w:val="00C356A9"/>
    <w:rsid w:val="00C36950"/>
    <w:rsid w:val="00C41797"/>
    <w:rsid w:val="00C4452D"/>
    <w:rsid w:val="00C47DC3"/>
    <w:rsid w:val="00C5109A"/>
    <w:rsid w:val="00C51755"/>
    <w:rsid w:val="00C51E13"/>
    <w:rsid w:val="00C52765"/>
    <w:rsid w:val="00C52A6B"/>
    <w:rsid w:val="00C53DB6"/>
    <w:rsid w:val="00C54167"/>
    <w:rsid w:val="00C541FB"/>
    <w:rsid w:val="00C54B89"/>
    <w:rsid w:val="00C54EB8"/>
    <w:rsid w:val="00C57E71"/>
    <w:rsid w:val="00C60816"/>
    <w:rsid w:val="00C60F04"/>
    <w:rsid w:val="00C614C2"/>
    <w:rsid w:val="00C61B31"/>
    <w:rsid w:val="00C61F0D"/>
    <w:rsid w:val="00C62285"/>
    <w:rsid w:val="00C635D2"/>
    <w:rsid w:val="00C63C49"/>
    <w:rsid w:val="00C63D09"/>
    <w:rsid w:val="00C6407F"/>
    <w:rsid w:val="00C64172"/>
    <w:rsid w:val="00C652DC"/>
    <w:rsid w:val="00C65F2F"/>
    <w:rsid w:val="00C662A5"/>
    <w:rsid w:val="00C67595"/>
    <w:rsid w:val="00C677E7"/>
    <w:rsid w:val="00C720E4"/>
    <w:rsid w:val="00C74A70"/>
    <w:rsid w:val="00C758F9"/>
    <w:rsid w:val="00C76EBA"/>
    <w:rsid w:val="00C77E32"/>
    <w:rsid w:val="00C803CE"/>
    <w:rsid w:val="00C8084B"/>
    <w:rsid w:val="00C819F9"/>
    <w:rsid w:val="00C81F22"/>
    <w:rsid w:val="00C82BC8"/>
    <w:rsid w:val="00C85AA3"/>
    <w:rsid w:val="00C85E77"/>
    <w:rsid w:val="00C86B5C"/>
    <w:rsid w:val="00C86E6D"/>
    <w:rsid w:val="00C9092A"/>
    <w:rsid w:val="00C911D4"/>
    <w:rsid w:val="00C91287"/>
    <w:rsid w:val="00C93521"/>
    <w:rsid w:val="00C93888"/>
    <w:rsid w:val="00C93BB4"/>
    <w:rsid w:val="00C94090"/>
    <w:rsid w:val="00C947AD"/>
    <w:rsid w:val="00C94D3F"/>
    <w:rsid w:val="00C96459"/>
    <w:rsid w:val="00C96E38"/>
    <w:rsid w:val="00C9731B"/>
    <w:rsid w:val="00C97C92"/>
    <w:rsid w:val="00CA0401"/>
    <w:rsid w:val="00CA0A89"/>
    <w:rsid w:val="00CA0B59"/>
    <w:rsid w:val="00CA1375"/>
    <w:rsid w:val="00CA179C"/>
    <w:rsid w:val="00CA48F1"/>
    <w:rsid w:val="00CA4C9C"/>
    <w:rsid w:val="00CA55D0"/>
    <w:rsid w:val="00CA5B1E"/>
    <w:rsid w:val="00CA6289"/>
    <w:rsid w:val="00CA7C4D"/>
    <w:rsid w:val="00CB04EB"/>
    <w:rsid w:val="00CB2777"/>
    <w:rsid w:val="00CB333C"/>
    <w:rsid w:val="00CB478B"/>
    <w:rsid w:val="00CB54C8"/>
    <w:rsid w:val="00CB6525"/>
    <w:rsid w:val="00CB728B"/>
    <w:rsid w:val="00CC027E"/>
    <w:rsid w:val="00CC2027"/>
    <w:rsid w:val="00CC26F5"/>
    <w:rsid w:val="00CC2C1B"/>
    <w:rsid w:val="00CC3B42"/>
    <w:rsid w:val="00CC42AB"/>
    <w:rsid w:val="00CC44F4"/>
    <w:rsid w:val="00CC66B9"/>
    <w:rsid w:val="00CC6847"/>
    <w:rsid w:val="00CC6D78"/>
    <w:rsid w:val="00CC7F58"/>
    <w:rsid w:val="00CD01CF"/>
    <w:rsid w:val="00CD088F"/>
    <w:rsid w:val="00CD186C"/>
    <w:rsid w:val="00CD1FC9"/>
    <w:rsid w:val="00CD1FE4"/>
    <w:rsid w:val="00CD2E19"/>
    <w:rsid w:val="00CD2FC2"/>
    <w:rsid w:val="00CD3717"/>
    <w:rsid w:val="00CD3A53"/>
    <w:rsid w:val="00CD3B17"/>
    <w:rsid w:val="00CD3BC9"/>
    <w:rsid w:val="00CD4DF8"/>
    <w:rsid w:val="00CE0432"/>
    <w:rsid w:val="00CE0C86"/>
    <w:rsid w:val="00CE14CE"/>
    <w:rsid w:val="00CE1C4C"/>
    <w:rsid w:val="00CE3A57"/>
    <w:rsid w:val="00CE3C06"/>
    <w:rsid w:val="00CE6F12"/>
    <w:rsid w:val="00CE743A"/>
    <w:rsid w:val="00CE7812"/>
    <w:rsid w:val="00CF08D3"/>
    <w:rsid w:val="00CF0EA2"/>
    <w:rsid w:val="00CF1299"/>
    <w:rsid w:val="00CF29E3"/>
    <w:rsid w:val="00CF34B8"/>
    <w:rsid w:val="00CF3ABC"/>
    <w:rsid w:val="00CF4957"/>
    <w:rsid w:val="00CF6FCE"/>
    <w:rsid w:val="00CF7043"/>
    <w:rsid w:val="00CF727C"/>
    <w:rsid w:val="00CF754D"/>
    <w:rsid w:val="00CF77E7"/>
    <w:rsid w:val="00D02675"/>
    <w:rsid w:val="00D02DFC"/>
    <w:rsid w:val="00D02EE4"/>
    <w:rsid w:val="00D04651"/>
    <w:rsid w:val="00D04E21"/>
    <w:rsid w:val="00D0655D"/>
    <w:rsid w:val="00D073F3"/>
    <w:rsid w:val="00D077B7"/>
    <w:rsid w:val="00D10427"/>
    <w:rsid w:val="00D1066A"/>
    <w:rsid w:val="00D10A35"/>
    <w:rsid w:val="00D10A83"/>
    <w:rsid w:val="00D10ED1"/>
    <w:rsid w:val="00D11DA0"/>
    <w:rsid w:val="00D1209F"/>
    <w:rsid w:val="00D12713"/>
    <w:rsid w:val="00D12EC1"/>
    <w:rsid w:val="00D138E6"/>
    <w:rsid w:val="00D1431C"/>
    <w:rsid w:val="00D16327"/>
    <w:rsid w:val="00D166EA"/>
    <w:rsid w:val="00D16CFB"/>
    <w:rsid w:val="00D16DE6"/>
    <w:rsid w:val="00D17BA4"/>
    <w:rsid w:val="00D208A6"/>
    <w:rsid w:val="00D20EAC"/>
    <w:rsid w:val="00D213E6"/>
    <w:rsid w:val="00D213F4"/>
    <w:rsid w:val="00D22F77"/>
    <w:rsid w:val="00D243A2"/>
    <w:rsid w:val="00D25DF2"/>
    <w:rsid w:val="00D26BAA"/>
    <w:rsid w:val="00D2720E"/>
    <w:rsid w:val="00D2788C"/>
    <w:rsid w:val="00D30090"/>
    <w:rsid w:val="00D31123"/>
    <w:rsid w:val="00D31A9C"/>
    <w:rsid w:val="00D31B8D"/>
    <w:rsid w:val="00D3309D"/>
    <w:rsid w:val="00D34708"/>
    <w:rsid w:val="00D351A2"/>
    <w:rsid w:val="00D36209"/>
    <w:rsid w:val="00D36496"/>
    <w:rsid w:val="00D370DD"/>
    <w:rsid w:val="00D37D21"/>
    <w:rsid w:val="00D40186"/>
    <w:rsid w:val="00D40A92"/>
    <w:rsid w:val="00D460AC"/>
    <w:rsid w:val="00D460E5"/>
    <w:rsid w:val="00D46CD3"/>
    <w:rsid w:val="00D46D80"/>
    <w:rsid w:val="00D476CE"/>
    <w:rsid w:val="00D479A4"/>
    <w:rsid w:val="00D506E1"/>
    <w:rsid w:val="00D50CFD"/>
    <w:rsid w:val="00D510E0"/>
    <w:rsid w:val="00D52F53"/>
    <w:rsid w:val="00D534E2"/>
    <w:rsid w:val="00D5534B"/>
    <w:rsid w:val="00D56B2D"/>
    <w:rsid w:val="00D56E13"/>
    <w:rsid w:val="00D570F4"/>
    <w:rsid w:val="00D607C2"/>
    <w:rsid w:val="00D60B78"/>
    <w:rsid w:val="00D61068"/>
    <w:rsid w:val="00D61199"/>
    <w:rsid w:val="00D61F40"/>
    <w:rsid w:val="00D62259"/>
    <w:rsid w:val="00D622EC"/>
    <w:rsid w:val="00D623AF"/>
    <w:rsid w:val="00D64982"/>
    <w:rsid w:val="00D65953"/>
    <w:rsid w:val="00D65A78"/>
    <w:rsid w:val="00D71C7E"/>
    <w:rsid w:val="00D71E3A"/>
    <w:rsid w:val="00D73444"/>
    <w:rsid w:val="00D73633"/>
    <w:rsid w:val="00D73FDF"/>
    <w:rsid w:val="00D75813"/>
    <w:rsid w:val="00D76018"/>
    <w:rsid w:val="00D76083"/>
    <w:rsid w:val="00D76A87"/>
    <w:rsid w:val="00D76F54"/>
    <w:rsid w:val="00D7779A"/>
    <w:rsid w:val="00D8040E"/>
    <w:rsid w:val="00D808AE"/>
    <w:rsid w:val="00D82051"/>
    <w:rsid w:val="00D83251"/>
    <w:rsid w:val="00D85744"/>
    <w:rsid w:val="00D863F8"/>
    <w:rsid w:val="00D90682"/>
    <w:rsid w:val="00D90FDA"/>
    <w:rsid w:val="00D92D20"/>
    <w:rsid w:val="00D92FAC"/>
    <w:rsid w:val="00D943A3"/>
    <w:rsid w:val="00D968C5"/>
    <w:rsid w:val="00D96D49"/>
    <w:rsid w:val="00D97408"/>
    <w:rsid w:val="00D9761B"/>
    <w:rsid w:val="00D9780E"/>
    <w:rsid w:val="00DA049C"/>
    <w:rsid w:val="00DA1430"/>
    <w:rsid w:val="00DA2F03"/>
    <w:rsid w:val="00DA4AB1"/>
    <w:rsid w:val="00DA4E28"/>
    <w:rsid w:val="00DA657E"/>
    <w:rsid w:val="00DA68F6"/>
    <w:rsid w:val="00DA6D2D"/>
    <w:rsid w:val="00DA6F72"/>
    <w:rsid w:val="00DB03D9"/>
    <w:rsid w:val="00DB0ED2"/>
    <w:rsid w:val="00DB1159"/>
    <w:rsid w:val="00DB3587"/>
    <w:rsid w:val="00DB4DC9"/>
    <w:rsid w:val="00DB52EA"/>
    <w:rsid w:val="00DB5427"/>
    <w:rsid w:val="00DB5510"/>
    <w:rsid w:val="00DB7330"/>
    <w:rsid w:val="00DB7BD6"/>
    <w:rsid w:val="00DC01CF"/>
    <w:rsid w:val="00DC0304"/>
    <w:rsid w:val="00DC05AA"/>
    <w:rsid w:val="00DC05C9"/>
    <w:rsid w:val="00DC07E6"/>
    <w:rsid w:val="00DC1625"/>
    <w:rsid w:val="00DC2245"/>
    <w:rsid w:val="00DC3292"/>
    <w:rsid w:val="00DC34CA"/>
    <w:rsid w:val="00DC3758"/>
    <w:rsid w:val="00DC5EF3"/>
    <w:rsid w:val="00DC7EE0"/>
    <w:rsid w:val="00DD1CB4"/>
    <w:rsid w:val="00DD1D88"/>
    <w:rsid w:val="00DD1DFE"/>
    <w:rsid w:val="00DD22A5"/>
    <w:rsid w:val="00DD25AF"/>
    <w:rsid w:val="00DD4618"/>
    <w:rsid w:val="00DD4911"/>
    <w:rsid w:val="00DD4FA5"/>
    <w:rsid w:val="00DD6099"/>
    <w:rsid w:val="00DD63EA"/>
    <w:rsid w:val="00DD708E"/>
    <w:rsid w:val="00DD7942"/>
    <w:rsid w:val="00DE0C29"/>
    <w:rsid w:val="00DE0F91"/>
    <w:rsid w:val="00DE1EB2"/>
    <w:rsid w:val="00DE260A"/>
    <w:rsid w:val="00DE3126"/>
    <w:rsid w:val="00DE3142"/>
    <w:rsid w:val="00DE3271"/>
    <w:rsid w:val="00DE4301"/>
    <w:rsid w:val="00DE4336"/>
    <w:rsid w:val="00DE4F7E"/>
    <w:rsid w:val="00DE51AF"/>
    <w:rsid w:val="00DE54A2"/>
    <w:rsid w:val="00DE54E1"/>
    <w:rsid w:val="00DE60D8"/>
    <w:rsid w:val="00DE6415"/>
    <w:rsid w:val="00DE6BFE"/>
    <w:rsid w:val="00DE75CE"/>
    <w:rsid w:val="00DF02CF"/>
    <w:rsid w:val="00DF054C"/>
    <w:rsid w:val="00DF0696"/>
    <w:rsid w:val="00DF10DE"/>
    <w:rsid w:val="00DF18EA"/>
    <w:rsid w:val="00DF2554"/>
    <w:rsid w:val="00DF42F2"/>
    <w:rsid w:val="00DF4BFB"/>
    <w:rsid w:val="00DF51F1"/>
    <w:rsid w:val="00DF5223"/>
    <w:rsid w:val="00DF5E5E"/>
    <w:rsid w:val="00DF665C"/>
    <w:rsid w:val="00DF7250"/>
    <w:rsid w:val="00DF72A5"/>
    <w:rsid w:val="00DF7367"/>
    <w:rsid w:val="00E00549"/>
    <w:rsid w:val="00E00BCE"/>
    <w:rsid w:val="00E0154C"/>
    <w:rsid w:val="00E031E4"/>
    <w:rsid w:val="00E04341"/>
    <w:rsid w:val="00E04D37"/>
    <w:rsid w:val="00E04F98"/>
    <w:rsid w:val="00E05BBE"/>
    <w:rsid w:val="00E05C5C"/>
    <w:rsid w:val="00E060D6"/>
    <w:rsid w:val="00E06342"/>
    <w:rsid w:val="00E06AB9"/>
    <w:rsid w:val="00E07ED7"/>
    <w:rsid w:val="00E100B6"/>
    <w:rsid w:val="00E10188"/>
    <w:rsid w:val="00E10C8D"/>
    <w:rsid w:val="00E1153C"/>
    <w:rsid w:val="00E11A31"/>
    <w:rsid w:val="00E11B4B"/>
    <w:rsid w:val="00E13035"/>
    <w:rsid w:val="00E134B3"/>
    <w:rsid w:val="00E1363E"/>
    <w:rsid w:val="00E140C7"/>
    <w:rsid w:val="00E143C7"/>
    <w:rsid w:val="00E15207"/>
    <w:rsid w:val="00E1529C"/>
    <w:rsid w:val="00E1579C"/>
    <w:rsid w:val="00E15D47"/>
    <w:rsid w:val="00E16995"/>
    <w:rsid w:val="00E16DDA"/>
    <w:rsid w:val="00E16FE8"/>
    <w:rsid w:val="00E20949"/>
    <w:rsid w:val="00E21088"/>
    <w:rsid w:val="00E21B5B"/>
    <w:rsid w:val="00E22095"/>
    <w:rsid w:val="00E22184"/>
    <w:rsid w:val="00E230CE"/>
    <w:rsid w:val="00E24F6E"/>
    <w:rsid w:val="00E25417"/>
    <w:rsid w:val="00E26FF4"/>
    <w:rsid w:val="00E271C1"/>
    <w:rsid w:val="00E2760F"/>
    <w:rsid w:val="00E27C67"/>
    <w:rsid w:val="00E3064D"/>
    <w:rsid w:val="00E329D2"/>
    <w:rsid w:val="00E33458"/>
    <w:rsid w:val="00E33AFA"/>
    <w:rsid w:val="00E34041"/>
    <w:rsid w:val="00E34D99"/>
    <w:rsid w:val="00E352DF"/>
    <w:rsid w:val="00E36CA0"/>
    <w:rsid w:val="00E37057"/>
    <w:rsid w:val="00E40836"/>
    <w:rsid w:val="00E41464"/>
    <w:rsid w:val="00E4185F"/>
    <w:rsid w:val="00E418A7"/>
    <w:rsid w:val="00E41E7D"/>
    <w:rsid w:val="00E430C1"/>
    <w:rsid w:val="00E4395B"/>
    <w:rsid w:val="00E44086"/>
    <w:rsid w:val="00E4417C"/>
    <w:rsid w:val="00E45518"/>
    <w:rsid w:val="00E45D67"/>
    <w:rsid w:val="00E50D22"/>
    <w:rsid w:val="00E51237"/>
    <w:rsid w:val="00E514E1"/>
    <w:rsid w:val="00E51D03"/>
    <w:rsid w:val="00E52070"/>
    <w:rsid w:val="00E55CD7"/>
    <w:rsid w:val="00E56118"/>
    <w:rsid w:val="00E56C65"/>
    <w:rsid w:val="00E60023"/>
    <w:rsid w:val="00E600D6"/>
    <w:rsid w:val="00E605AE"/>
    <w:rsid w:val="00E609BB"/>
    <w:rsid w:val="00E61031"/>
    <w:rsid w:val="00E613A0"/>
    <w:rsid w:val="00E6235E"/>
    <w:rsid w:val="00E636C0"/>
    <w:rsid w:val="00E64383"/>
    <w:rsid w:val="00E66C45"/>
    <w:rsid w:val="00E674E5"/>
    <w:rsid w:val="00E675D0"/>
    <w:rsid w:val="00E702C4"/>
    <w:rsid w:val="00E70B8C"/>
    <w:rsid w:val="00E71EFD"/>
    <w:rsid w:val="00E741D5"/>
    <w:rsid w:val="00E74412"/>
    <w:rsid w:val="00E74EEC"/>
    <w:rsid w:val="00E74FFA"/>
    <w:rsid w:val="00E76683"/>
    <w:rsid w:val="00E767D2"/>
    <w:rsid w:val="00E81AB3"/>
    <w:rsid w:val="00E83F56"/>
    <w:rsid w:val="00E841DE"/>
    <w:rsid w:val="00E8455F"/>
    <w:rsid w:val="00E85A3B"/>
    <w:rsid w:val="00E874B4"/>
    <w:rsid w:val="00E90301"/>
    <w:rsid w:val="00E90F8A"/>
    <w:rsid w:val="00E9259D"/>
    <w:rsid w:val="00E92B74"/>
    <w:rsid w:val="00E93101"/>
    <w:rsid w:val="00E9313E"/>
    <w:rsid w:val="00E93761"/>
    <w:rsid w:val="00E948A5"/>
    <w:rsid w:val="00E95067"/>
    <w:rsid w:val="00E95E3E"/>
    <w:rsid w:val="00E95E76"/>
    <w:rsid w:val="00E962F2"/>
    <w:rsid w:val="00E970CA"/>
    <w:rsid w:val="00E973D5"/>
    <w:rsid w:val="00EA010D"/>
    <w:rsid w:val="00EA0ED1"/>
    <w:rsid w:val="00EA12B5"/>
    <w:rsid w:val="00EA1523"/>
    <w:rsid w:val="00EA279A"/>
    <w:rsid w:val="00EA2F8B"/>
    <w:rsid w:val="00EA3A1D"/>
    <w:rsid w:val="00EA57D0"/>
    <w:rsid w:val="00EA6445"/>
    <w:rsid w:val="00EA6973"/>
    <w:rsid w:val="00EA70CB"/>
    <w:rsid w:val="00EA7D98"/>
    <w:rsid w:val="00EB2483"/>
    <w:rsid w:val="00EB2F51"/>
    <w:rsid w:val="00EB41DA"/>
    <w:rsid w:val="00EB4759"/>
    <w:rsid w:val="00EB5B14"/>
    <w:rsid w:val="00EB683C"/>
    <w:rsid w:val="00EB734F"/>
    <w:rsid w:val="00EB75C2"/>
    <w:rsid w:val="00EC0019"/>
    <w:rsid w:val="00EC02A2"/>
    <w:rsid w:val="00EC0520"/>
    <w:rsid w:val="00EC070C"/>
    <w:rsid w:val="00EC0E05"/>
    <w:rsid w:val="00EC17B5"/>
    <w:rsid w:val="00EC23BF"/>
    <w:rsid w:val="00EC2428"/>
    <w:rsid w:val="00EC3BFD"/>
    <w:rsid w:val="00EC3E45"/>
    <w:rsid w:val="00EC439B"/>
    <w:rsid w:val="00EC5E5E"/>
    <w:rsid w:val="00EC7FDD"/>
    <w:rsid w:val="00ED0996"/>
    <w:rsid w:val="00ED1312"/>
    <w:rsid w:val="00ED1A64"/>
    <w:rsid w:val="00ED3E13"/>
    <w:rsid w:val="00ED5F31"/>
    <w:rsid w:val="00ED64EE"/>
    <w:rsid w:val="00EE0049"/>
    <w:rsid w:val="00EE01D0"/>
    <w:rsid w:val="00EE055B"/>
    <w:rsid w:val="00EE05B8"/>
    <w:rsid w:val="00EE0E63"/>
    <w:rsid w:val="00EE10A5"/>
    <w:rsid w:val="00EE1BA6"/>
    <w:rsid w:val="00EE2AC6"/>
    <w:rsid w:val="00EE2EBF"/>
    <w:rsid w:val="00EE5274"/>
    <w:rsid w:val="00EE55CB"/>
    <w:rsid w:val="00EE6081"/>
    <w:rsid w:val="00EE6375"/>
    <w:rsid w:val="00EE6A96"/>
    <w:rsid w:val="00EE71C2"/>
    <w:rsid w:val="00EF05FD"/>
    <w:rsid w:val="00EF1219"/>
    <w:rsid w:val="00EF1B3B"/>
    <w:rsid w:val="00EF231F"/>
    <w:rsid w:val="00EF3C22"/>
    <w:rsid w:val="00EF4657"/>
    <w:rsid w:val="00EF4C37"/>
    <w:rsid w:val="00EF4F0B"/>
    <w:rsid w:val="00EF5217"/>
    <w:rsid w:val="00EF5378"/>
    <w:rsid w:val="00EF54AC"/>
    <w:rsid w:val="00EF59F0"/>
    <w:rsid w:val="00EF5EF3"/>
    <w:rsid w:val="00EF6F47"/>
    <w:rsid w:val="00F007BC"/>
    <w:rsid w:val="00F01733"/>
    <w:rsid w:val="00F02EA7"/>
    <w:rsid w:val="00F033F2"/>
    <w:rsid w:val="00F045F2"/>
    <w:rsid w:val="00F051A2"/>
    <w:rsid w:val="00F055FE"/>
    <w:rsid w:val="00F05AF4"/>
    <w:rsid w:val="00F05C68"/>
    <w:rsid w:val="00F05FD8"/>
    <w:rsid w:val="00F10B41"/>
    <w:rsid w:val="00F10CB6"/>
    <w:rsid w:val="00F113B5"/>
    <w:rsid w:val="00F1154F"/>
    <w:rsid w:val="00F11DDD"/>
    <w:rsid w:val="00F12106"/>
    <w:rsid w:val="00F13231"/>
    <w:rsid w:val="00F15101"/>
    <w:rsid w:val="00F15307"/>
    <w:rsid w:val="00F15AB4"/>
    <w:rsid w:val="00F15D05"/>
    <w:rsid w:val="00F15ED8"/>
    <w:rsid w:val="00F164E6"/>
    <w:rsid w:val="00F16DC2"/>
    <w:rsid w:val="00F16E89"/>
    <w:rsid w:val="00F178C8"/>
    <w:rsid w:val="00F17B63"/>
    <w:rsid w:val="00F20B5D"/>
    <w:rsid w:val="00F21756"/>
    <w:rsid w:val="00F2296F"/>
    <w:rsid w:val="00F22DC4"/>
    <w:rsid w:val="00F24D45"/>
    <w:rsid w:val="00F252E5"/>
    <w:rsid w:val="00F26AA1"/>
    <w:rsid w:val="00F30CF8"/>
    <w:rsid w:val="00F31F04"/>
    <w:rsid w:val="00F34292"/>
    <w:rsid w:val="00F35F54"/>
    <w:rsid w:val="00F362B5"/>
    <w:rsid w:val="00F40A99"/>
    <w:rsid w:val="00F42FEF"/>
    <w:rsid w:val="00F46E21"/>
    <w:rsid w:val="00F4723C"/>
    <w:rsid w:val="00F47F3F"/>
    <w:rsid w:val="00F50D7A"/>
    <w:rsid w:val="00F520A9"/>
    <w:rsid w:val="00F52F66"/>
    <w:rsid w:val="00F53AA0"/>
    <w:rsid w:val="00F54B7A"/>
    <w:rsid w:val="00F5519F"/>
    <w:rsid w:val="00F553B1"/>
    <w:rsid w:val="00F55B94"/>
    <w:rsid w:val="00F5716E"/>
    <w:rsid w:val="00F57471"/>
    <w:rsid w:val="00F57672"/>
    <w:rsid w:val="00F57978"/>
    <w:rsid w:val="00F60260"/>
    <w:rsid w:val="00F608E2"/>
    <w:rsid w:val="00F612B1"/>
    <w:rsid w:val="00F61A41"/>
    <w:rsid w:val="00F61E95"/>
    <w:rsid w:val="00F63934"/>
    <w:rsid w:val="00F64BE6"/>
    <w:rsid w:val="00F64DD5"/>
    <w:rsid w:val="00F64F8E"/>
    <w:rsid w:val="00F65ED9"/>
    <w:rsid w:val="00F66501"/>
    <w:rsid w:val="00F7014A"/>
    <w:rsid w:val="00F715BA"/>
    <w:rsid w:val="00F72CAC"/>
    <w:rsid w:val="00F74C4E"/>
    <w:rsid w:val="00F750A2"/>
    <w:rsid w:val="00F76109"/>
    <w:rsid w:val="00F76B24"/>
    <w:rsid w:val="00F76B4C"/>
    <w:rsid w:val="00F7719C"/>
    <w:rsid w:val="00F777F3"/>
    <w:rsid w:val="00F80155"/>
    <w:rsid w:val="00F804F9"/>
    <w:rsid w:val="00F8118E"/>
    <w:rsid w:val="00F84C34"/>
    <w:rsid w:val="00F8609A"/>
    <w:rsid w:val="00F86B1B"/>
    <w:rsid w:val="00F873D2"/>
    <w:rsid w:val="00F8764E"/>
    <w:rsid w:val="00F877ED"/>
    <w:rsid w:val="00F878A5"/>
    <w:rsid w:val="00F87F71"/>
    <w:rsid w:val="00F90589"/>
    <w:rsid w:val="00F90A8F"/>
    <w:rsid w:val="00F91D2F"/>
    <w:rsid w:val="00F923DE"/>
    <w:rsid w:val="00F9332C"/>
    <w:rsid w:val="00F95529"/>
    <w:rsid w:val="00F966D4"/>
    <w:rsid w:val="00F96CC1"/>
    <w:rsid w:val="00F977F7"/>
    <w:rsid w:val="00FA108E"/>
    <w:rsid w:val="00FA2C7A"/>
    <w:rsid w:val="00FA2F73"/>
    <w:rsid w:val="00FA3EB0"/>
    <w:rsid w:val="00FA49D9"/>
    <w:rsid w:val="00FA4A08"/>
    <w:rsid w:val="00FA4CAB"/>
    <w:rsid w:val="00FA4DB9"/>
    <w:rsid w:val="00FA59B4"/>
    <w:rsid w:val="00FA60BF"/>
    <w:rsid w:val="00FA67E6"/>
    <w:rsid w:val="00FA7D6D"/>
    <w:rsid w:val="00FB06AC"/>
    <w:rsid w:val="00FB13C0"/>
    <w:rsid w:val="00FB204D"/>
    <w:rsid w:val="00FB25FB"/>
    <w:rsid w:val="00FB2AE1"/>
    <w:rsid w:val="00FB36F3"/>
    <w:rsid w:val="00FB4486"/>
    <w:rsid w:val="00FB4BAB"/>
    <w:rsid w:val="00FB4C7F"/>
    <w:rsid w:val="00FB4DFC"/>
    <w:rsid w:val="00FB4E8D"/>
    <w:rsid w:val="00FB6606"/>
    <w:rsid w:val="00FB6C2C"/>
    <w:rsid w:val="00FB6F40"/>
    <w:rsid w:val="00FB6FB1"/>
    <w:rsid w:val="00FB7CD5"/>
    <w:rsid w:val="00FC057E"/>
    <w:rsid w:val="00FC09B6"/>
    <w:rsid w:val="00FC1ED9"/>
    <w:rsid w:val="00FC23EF"/>
    <w:rsid w:val="00FC55B3"/>
    <w:rsid w:val="00FC5B0E"/>
    <w:rsid w:val="00FC5F72"/>
    <w:rsid w:val="00FC692E"/>
    <w:rsid w:val="00FC6A64"/>
    <w:rsid w:val="00FD00AF"/>
    <w:rsid w:val="00FD0635"/>
    <w:rsid w:val="00FD1E0C"/>
    <w:rsid w:val="00FD2604"/>
    <w:rsid w:val="00FD2728"/>
    <w:rsid w:val="00FD2A1B"/>
    <w:rsid w:val="00FD326B"/>
    <w:rsid w:val="00FD5416"/>
    <w:rsid w:val="00FD6FA6"/>
    <w:rsid w:val="00FD7CE2"/>
    <w:rsid w:val="00FE0090"/>
    <w:rsid w:val="00FE0490"/>
    <w:rsid w:val="00FE14CB"/>
    <w:rsid w:val="00FE21E3"/>
    <w:rsid w:val="00FE25D0"/>
    <w:rsid w:val="00FE3C8C"/>
    <w:rsid w:val="00FE571D"/>
    <w:rsid w:val="00FE585E"/>
    <w:rsid w:val="00FE5999"/>
    <w:rsid w:val="00FE5A74"/>
    <w:rsid w:val="00FE5EF4"/>
    <w:rsid w:val="00FE6508"/>
    <w:rsid w:val="00FE6905"/>
    <w:rsid w:val="00FE7EE4"/>
    <w:rsid w:val="00FF13A4"/>
    <w:rsid w:val="00FF1496"/>
    <w:rsid w:val="00FF32A1"/>
    <w:rsid w:val="00FF37E9"/>
    <w:rsid w:val="00FF3FA1"/>
    <w:rsid w:val="00FF5D23"/>
    <w:rsid w:val="00FF615D"/>
    <w:rsid w:val="00FF6511"/>
    <w:rsid w:val="00FF6D98"/>
    <w:rsid w:val="00FF7475"/>
    <w:rsid w:val="00FF7D2B"/>
    <w:rsid w:val="01E274E0"/>
    <w:rsid w:val="021F2E8D"/>
    <w:rsid w:val="02AA5B7D"/>
    <w:rsid w:val="02E23B82"/>
    <w:rsid w:val="03433A15"/>
    <w:rsid w:val="03554F68"/>
    <w:rsid w:val="03DE7AE9"/>
    <w:rsid w:val="040F3D70"/>
    <w:rsid w:val="04B66128"/>
    <w:rsid w:val="05B970E0"/>
    <w:rsid w:val="06311428"/>
    <w:rsid w:val="064B660F"/>
    <w:rsid w:val="064C3F14"/>
    <w:rsid w:val="06D1098D"/>
    <w:rsid w:val="07344756"/>
    <w:rsid w:val="080D768A"/>
    <w:rsid w:val="083D4F1A"/>
    <w:rsid w:val="089321E6"/>
    <w:rsid w:val="08AB601E"/>
    <w:rsid w:val="0A6E1588"/>
    <w:rsid w:val="0B657B94"/>
    <w:rsid w:val="0BBB6595"/>
    <w:rsid w:val="0BC52A4B"/>
    <w:rsid w:val="0C471254"/>
    <w:rsid w:val="0C6726D1"/>
    <w:rsid w:val="0C857FD9"/>
    <w:rsid w:val="0CDA4765"/>
    <w:rsid w:val="0CE17F47"/>
    <w:rsid w:val="0CFF716D"/>
    <w:rsid w:val="0D011B3A"/>
    <w:rsid w:val="0D1E1C95"/>
    <w:rsid w:val="0E697D19"/>
    <w:rsid w:val="0E950C63"/>
    <w:rsid w:val="0EBF3E76"/>
    <w:rsid w:val="0EF67745"/>
    <w:rsid w:val="0F3747BA"/>
    <w:rsid w:val="0F6B0B59"/>
    <w:rsid w:val="0FB02CFE"/>
    <w:rsid w:val="0FC5251F"/>
    <w:rsid w:val="10666255"/>
    <w:rsid w:val="10C62872"/>
    <w:rsid w:val="10FB6B90"/>
    <w:rsid w:val="113960BC"/>
    <w:rsid w:val="130E5924"/>
    <w:rsid w:val="132B2B4B"/>
    <w:rsid w:val="13A638EA"/>
    <w:rsid w:val="13AC6670"/>
    <w:rsid w:val="13BE0704"/>
    <w:rsid w:val="13EC7465"/>
    <w:rsid w:val="1464040F"/>
    <w:rsid w:val="146411B3"/>
    <w:rsid w:val="14770F16"/>
    <w:rsid w:val="14F52FE5"/>
    <w:rsid w:val="150A0CB5"/>
    <w:rsid w:val="151D606A"/>
    <w:rsid w:val="156E4926"/>
    <w:rsid w:val="16285816"/>
    <w:rsid w:val="16927D0C"/>
    <w:rsid w:val="17420DF1"/>
    <w:rsid w:val="175672E8"/>
    <w:rsid w:val="17E55AD7"/>
    <w:rsid w:val="182E2909"/>
    <w:rsid w:val="185C1FA2"/>
    <w:rsid w:val="18D25C6E"/>
    <w:rsid w:val="1A3732E0"/>
    <w:rsid w:val="1A7333D4"/>
    <w:rsid w:val="1B176618"/>
    <w:rsid w:val="1B311555"/>
    <w:rsid w:val="1BDE2731"/>
    <w:rsid w:val="1C6D67B6"/>
    <w:rsid w:val="1C6E114D"/>
    <w:rsid w:val="1CB6273E"/>
    <w:rsid w:val="1D9E3913"/>
    <w:rsid w:val="1D9F75EB"/>
    <w:rsid w:val="1DAB2D6B"/>
    <w:rsid w:val="1E457FA5"/>
    <w:rsid w:val="1E703E8C"/>
    <w:rsid w:val="1E8577B5"/>
    <w:rsid w:val="1EEB72DF"/>
    <w:rsid w:val="1F25374F"/>
    <w:rsid w:val="1FD00E3E"/>
    <w:rsid w:val="1FE1254C"/>
    <w:rsid w:val="20960049"/>
    <w:rsid w:val="213327DD"/>
    <w:rsid w:val="213837AC"/>
    <w:rsid w:val="21444B65"/>
    <w:rsid w:val="22525555"/>
    <w:rsid w:val="22954160"/>
    <w:rsid w:val="23346271"/>
    <w:rsid w:val="23A871EB"/>
    <w:rsid w:val="24085B1D"/>
    <w:rsid w:val="24AB2CF8"/>
    <w:rsid w:val="25801E28"/>
    <w:rsid w:val="25B368EF"/>
    <w:rsid w:val="25DD2D5E"/>
    <w:rsid w:val="26112049"/>
    <w:rsid w:val="26A45B8A"/>
    <w:rsid w:val="276D0CBA"/>
    <w:rsid w:val="278F43F8"/>
    <w:rsid w:val="2799320E"/>
    <w:rsid w:val="28A112BE"/>
    <w:rsid w:val="29055E8C"/>
    <w:rsid w:val="29591F3F"/>
    <w:rsid w:val="297C4317"/>
    <w:rsid w:val="2A8D33C0"/>
    <w:rsid w:val="2A905451"/>
    <w:rsid w:val="2AB772D9"/>
    <w:rsid w:val="2B0A01F9"/>
    <w:rsid w:val="2B733F06"/>
    <w:rsid w:val="2BC060EA"/>
    <w:rsid w:val="2BCA663C"/>
    <w:rsid w:val="2C4172EA"/>
    <w:rsid w:val="2CED25AE"/>
    <w:rsid w:val="2CFC6971"/>
    <w:rsid w:val="2E204B94"/>
    <w:rsid w:val="2EF759D2"/>
    <w:rsid w:val="2FC14016"/>
    <w:rsid w:val="3121636C"/>
    <w:rsid w:val="313B5858"/>
    <w:rsid w:val="31A35157"/>
    <w:rsid w:val="31CF708E"/>
    <w:rsid w:val="32A57649"/>
    <w:rsid w:val="32E86094"/>
    <w:rsid w:val="332778E6"/>
    <w:rsid w:val="33351062"/>
    <w:rsid w:val="341E7787"/>
    <w:rsid w:val="35254AE9"/>
    <w:rsid w:val="357E6C66"/>
    <w:rsid w:val="36075561"/>
    <w:rsid w:val="36161B60"/>
    <w:rsid w:val="36541C94"/>
    <w:rsid w:val="368C0D3F"/>
    <w:rsid w:val="36D32766"/>
    <w:rsid w:val="37340B1D"/>
    <w:rsid w:val="37631917"/>
    <w:rsid w:val="37AD46B1"/>
    <w:rsid w:val="37C74D9D"/>
    <w:rsid w:val="37F401F0"/>
    <w:rsid w:val="38893E4C"/>
    <w:rsid w:val="38A17ABD"/>
    <w:rsid w:val="38BC79E1"/>
    <w:rsid w:val="39017DC5"/>
    <w:rsid w:val="39375943"/>
    <w:rsid w:val="394C24B0"/>
    <w:rsid w:val="39505E8F"/>
    <w:rsid w:val="395D00CC"/>
    <w:rsid w:val="39C75948"/>
    <w:rsid w:val="3A8D3E1B"/>
    <w:rsid w:val="3B0C300B"/>
    <w:rsid w:val="3B491927"/>
    <w:rsid w:val="3B494567"/>
    <w:rsid w:val="3B6002E9"/>
    <w:rsid w:val="3C66681A"/>
    <w:rsid w:val="3C7B7C45"/>
    <w:rsid w:val="3D215DC0"/>
    <w:rsid w:val="3E07382C"/>
    <w:rsid w:val="3E931DC5"/>
    <w:rsid w:val="3F377165"/>
    <w:rsid w:val="3F7C70EB"/>
    <w:rsid w:val="3F7D014F"/>
    <w:rsid w:val="3FD04097"/>
    <w:rsid w:val="402406BD"/>
    <w:rsid w:val="409449B1"/>
    <w:rsid w:val="40F168FB"/>
    <w:rsid w:val="41581837"/>
    <w:rsid w:val="418D1537"/>
    <w:rsid w:val="42606FB0"/>
    <w:rsid w:val="42DD0C8B"/>
    <w:rsid w:val="432C46F2"/>
    <w:rsid w:val="433F07FF"/>
    <w:rsid w:val="435B690C"/>
    <w:rsid w:val="43772C44"/>
    <w:rsid w:val="43EE444C"/>
    <w:rsid w:val="4481511F"/>
    <w:rsid w:val="44C1345F"/>
    <w:rsid w:val="450338D7"/>
    <w:rsid w:val="45235D66"/>
    <w:rsid w:val="454A3D0E"/>
    <w:rsid w:val="456E5F95"/>
    <w:rsid w:val="459C373C"/>
    <w:rsid w:val="467731D4"/>
    <w:rsid w:val="46897320"/>
    <w:rsid w:val="46D85EA2"/>
    <w:rsid w:val="47075239"/>
    <w:rsid w:val="479D2A2E"/>
    <w:rsid w:val="48223734"/>
    <w:rsid w:val="48A65D93"/>
    <w:rsid w:val="49555AFB"/>
    <w:rsid w:val="498C237F"/>
    <w:rsid w:val="49911941"/>
    <w:rsid w:val="49AF10F0"/>
    <w:rsid w:val="49BD39F5"/>
    <w:rsid w:val="4A2603A5"/>
    <w:rsid w:val="4AC8574D"/>
    <w:rsid w:val="4B3B30DB"/>
    <w:rsid w:val="4B421DA5"/>
    <w:rsid w:val="4C1435A8"/>
    <w:rsid w:val="4C267596"/>
    <w:rsid w:val="4C913325"/>
    <w:rsid w:val="4CA14F0B"/>
    <w:rsid w:val="4CAB57D4"/>
    <w:rsid w:val="4CB62598"/>
    <w:rsid w:val="4CED2FB9"/>
    <w:rsid w:val="4D16390E"/>
    <w:rsid w:val="4D893F5F"/>
    <w:rsid w:val="4D8945CB"/>
    <w:rsid w:val="4E2B70BB"/>
    <w:rsid w:val="4E710ABB"/>
    <w:rsid w:val="4E7858DA"/>
    <w:rsid w:val="4F132E30"/>
    <w:rsid w:val="4FA727D4"/>
    <w:rsid w:val="4FDD5D43"/>
    <w:rsid w:val="50DD7F4B"/>
    <w:rsid w:val="511F7529"/>
    <w:rsid w:val="518C2659"/>
    <w:rsid w:val="51F67C28"/>
    <w:rsid w:val="5412063E"/>
    <w:rsid w:val="54150E83"/>
    <w:rsid w:val="54E11E02"/>
    <w:rsid w:val="54E95CD8"/>
    <w:rsid w:val="5508216F"/>
    <w:rsid w:val="55186680"/>
    <w:rsid w:val="551F6180"/>
    <w:rsid w:val="56312EDB"/>
    <w:rsid w:val="56564561"/>
    <w:rsid w:val="567A0087"/>
    <w:rsid w:val="587E56DD"/>
    <w:rsid w:val="58E171CF"/>
    <w:rsid w:val="58ED5BCE"/>
    <w:rsid w:val="59AB2C3C"/>
    <w:rsid w:val="5B8D0B13"/>
    <w:rsid w:val="5BFF1155"/>
    <w:rsid w:val="5D27015D"/>
    <w:rsid w:val="5D5B5065"/>
    <w:rsid w:val="5E7104C8"/>
    <w:rsid w:val="5EA467FA"/>
    <w:rsid w:val="5EA65DEF"/>
    <w:rsid w:val="5EB80508"/>
    <w:rsid w:val="5FF612D7"/>
    <w:rsid w:val="603B19B4"/>
    <w:rsid w:val="60724208"/>
    <w:rsid w:val="60DF56E6"/>
    <w:rsid w:val="60F229B9"/>
    <w:rsid w:val="61092A40"/>
    <w:rsid w:val="61BE21CF"/>
    <w:rsid w:val="61C82338"/>
    <w:rsid w:val="622B131D"/>
    <w:rsid w:val="62320BDE"/>
    <w:rsid w:val="626D134A"/>
    <w:rsid w:val="62700640"/>
    <w:rsid w:val="627D1683"/>
    <w:rsid w:val="628559C8"/>
    <w:rsid w:val="62C90385"/>
    <w:rsid w:val="62E72A4C"/>
    <w:rsid w:val="63D61797"/>
    <w:rsid w:val="644C495D"/>
    <w:rsid w:val="648B25EF"/>
    <w:rsid w:val="64EC1E5C"/>
    <w:rsid w:val="65FA31A1"/>
    <w:rsid w:val="66B27B10"/>
    <w:rsid w:val="66F41243"/>
    <w:rsid w:val="679436C4"/>
    <w:rsid w:val="683A03FE"/>
    <w:rsid w:val="68C46AF0"/>
    <w:rsid w:val="68F230AD"/>
    <w:rsid w:val="6942338E"/>
    <w:rsid w:val="69CB780F"/>
    <w:rsid w:val="6A1F5CD0"/>
    <w:rsid w:val="6ACC4E6D"/>
    <w:rsid w:val="6AF9611F"/>
    <w:rsid w:val="6C520652"/>
    <w:rsid w:val="6C574D88"/>
    <w:rsid w:val="6D304694"/>
    <w:rsid w:val="6D7C5FAF"/>
    <w:rsid w:val="6E6A23B4"/>
    <w:rsid w:val="6EF6637F"/>
    <w:rsid w:val="6F0C1E15"/>
    <w:rsid w:val="6F9208F0"/>
    <w:rsid w:val="6FD46890"/>
    <w:rsid w:val="6FD64A60"/>
    <w:rsid w:val="70650505"/>
    <w:rsid w:val="70651D96"/>
    <w:rsid w:val="70D1630B"/>
    <w:rsid w:val="71772B56"/>
    <w:rsid w:val="722F3441"/>
    <w:rsid w:val="7231586C"/>
    <w:rsid w:val="72696558"/>
    <w:rsid w:val="72B01C6E"/>
    <w:rsid w:val="72F247EE"/>
    <w:rsid w:val="734D3F2E"/>
    <w:rsid w:val="73AF4C17"/>
    <w:rsid w:val="748E78D8"/>
    <w:rsid w:val="74D51DF0"/>
    <w:rsid w:val="74DB07F0"/>
    <w:rsid w:val="74E12E70"/>
    <w:rsid w:val="750151C3"/>
    <w:rsid w:val="750E0484"/>
    <w:rsid w:val="76966FA4"/>
    <w:rsid w:val="76F601A6"/>
    <w:rsid w:val="77396964"/>
    <w:rsid w:val="773B2023"/>
    <w:rsid w:val="775E6DD8"/>
    <w:rsid w:val="776D5A49"/>
    <w:rsid w:val="77C600FB"/>
    <w:rsid w:val="78717D6C"/>
    <w:rsid w:val="796B4919"/>
    <w:rsid w:val="7A560E98"/>
    <w:rsid w:val="7ADD4B45"/>
    <w:rsid w:val="7B7A34C4"/>
    <w:rsid w:val="7BFF1ADD"/>
    <w:rsid w:val="7C1242B5"/>
    <w:rsid w:val="7C30041C"/>
    <w:rsid w:val="7C9018CA"/>
    <w:rsid w:val="7CA41DB2"/>
    <w:rsid w:val="7CAB43D5"/>
    <w:rsid w:val="7D6350C7"/>
    <w:rsid w:val="7D8B4F86"/>
    <w:rsid w:val="7D9B5DFB"/>
    <w:rsid w:val="7DBD129F"/>
    <w:rsid w:val="7DC31F48"/>
    <w:rsid w:val="7DEB177B"/>
    <w:rsid w:val="7E100532"/>
    <w:rsid w:val="7E133FBA"/>
    <w:rsid w:val="7E483DBE"/>
    <w:rsid w:val="7E53034C"/>
    <w:rsid w:val="7E560A5B"/>
    <w:rsid w:val="7E600616"/>
    <w:rsid w:val="7E696E35"/>
    <w:rsid w:val="7F782745"/>
    <w:rsid w:val="ECF794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66"/>
    <w:autoRedefine/>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65"/>
    <w:autoRedefine/>
    <w:qFormat/>
    <w:uiPriority w:val="9"/>
    <w:pPr>
      <w:keepNext/>
      <w:adjustRightInd w:val="0"/>
      <w:snapToGrid w:val="0"/>
      <w:spacing w:before="120" w:after="120" w:line="360" w:lineRule="auto"/>
      <w:jc w:val="center"/>
      <w:textAlignment w:val="baseline"/>
      <w:outlineLvl w:val="1"/>
    </w:pPr>
    <w:rPr>
      <w:rFonts w:ascii="仿宋_GB2312" w:eastAsia="仿宋_GB2312"/>
      <w:kern w:val="0"/>
      <w:sz w:val="36"/>
      <w:szCs w:val="20"/>
    </w:rPr>
  </w:style>
  <w:style w:type="paragraph" w:styleId="8">
    <w:name w:val="heading 3"/>
    <w:basedOn w:val="1"/>
    <w:next w:val="1"/>
    <w:link w:val="68"/>
    <w:autoRedefine/>
    <w:qFormat/>
    <w:uiPriority w:val="9"/>
    <w:pPr>
      <w:keepNext/>
      <w:keepLines/>
      <w:spacing w:before="260" w:after="260" w:line="360" w:lineRule="auto"/>
      <w:ind w:firstLine="602" w:firstLineChars="200"/>
      <w:outlineLvl w:val="2"/>
    </w:pPr>
    <w:rPr>
      <w:rFonts w:ascii="仿宋_GB2312" w:eastAsia="仿宋_GB2312"/>
      <w:b/>
      <w:bCs/>
      <w:sz w:val="30"/>
      <w:szCs w:val="20"/>
    </w:rPr>
  </w:style>
  <w:style w:type="paragraph" w:styleId="9">
    <w:name w:val="heading 4"/>
    <w:basedOn w:val="1"/>
    <w:next w:val="1"/>
    <w:link w:val="69"/>
    <w:autoRedefine/>
    <w:qFormat/>
    <w:uiPriority w:val="9"/>
    <w:pPr>
      <w:keepNext/>
      <w:keepLines/>
      <w:spacing w:before="280" w:after="290" w:line="376" w:lineRule="auto"/>
      <w:outlineLvl w:val="3"/>
    </w:pPr>
    <w:rPr>
      <w:rFonts w:ascii="Cambria" w:hAnsi="Cambria"/>
      <w:b/>
      <w:bCs/>
      <w:sz w:val="28"/>
      <w:szCs w:val="28"/>
    </w:rPr>
  </w:style>
  <w:style w:type="paragraph" w:styleId="10">
    <w:name w:val="heading 5"/>
    <w:basedOn w:val="1"/>
    <w:next w:val="1"/>
    <w:link w:val="70"/>
    <w:autoRedefine/>
    <w:qFormat/>
    <w:uiPriority w:val="0"/>
    <w:pPr>
      <w:keepNext/>
      <w:keepLines/>
      <w:spacing w:beforeLines="100" w:afterLines="100" w:line="360" w:lineRule="auto"/>
      <w:outlineLvl w:val="4"/>
    </w:pPr>
    <w:rPr>
      <w:b/>
      <w:bCs/>
      <w:sz w:val="28"/>
      <w:szCs w:val="28"/>
    </w:rPr>
  </w:style>
  <w:style w:type="paragraph" w:styleId="11">
    <w:name w:val="heading 6"/>
    <w:basedOn w:val="1"/>
    <w:next w:val="1"/>
    <w:link w:val="71"/>
    <w:autoRedefine/>
    <w:qFormat/>
    <w:uiPriority w:val="9"/>
    <w:pPr>
      <w:keepNext/>
      <w:keepLines/>
      <w:spacing w:beforeLines="100" w:afterLines="100" w:line="360" w:lineRule="auto"/>
      <w:outlineLvl w:val="5"/>
    </w:pPr>
    <w:rPr>
      <w:rFonts w:ascii="Cambria" w:hAnsi="Cambria"/>
      <w:b/>
      <w:bCs/>
      <w:sz w:val="24"/>
    </w:rPr>
  </w:style>
  <w:style w:type="paragraph" w:styleId="12">
    <w:name w:val="heading 7"/>
    <w:basedOn w:val="1"/>
    <w:next w:val="1"/>
    <w:link w:val="72"/>
    <w:autoRedefine/>
    <w:qFormat/>
    <w:uiPriority w:val="0"/>
    <w:pPr>
      <w:keepNext/>
      <w:keepLines/>
      <w:spacing w:beforeLines="100" w:afterLines="100" w:line="360" w:lineRule="auto"/>
      <w:outlineLvl w:val="6"/>
    </w:pPr>
    <w:rPr>
      <w:b/>
      <w:bCs/>
      <w:sz w:val="24"/>
    </w:rPr>
  </w:style>
  <w:style w:type="paragraph" w:styleId="13">
    <w:name w:val="heading 8"/>
    <w:basedOn w:val="1"/>
    <w:next w:val="1"/>
    <w:link w:val="73"/>
    <w:autoRedefine/>
    <w:qFormat/>
    <w:uiPriority w:val="0"/>
    <w:pPr>
      <w:keepNext/>
      <w:keepLines/>
      <w:spacing w:beforeLines="100" w:afterLines="100" w:line="360" w:lineRule="auto"/>
      <w:outlineLvl w:val="7"/>
    </w:pPr>
    <w:rPr>
      <w:rFonts w:ascii="Cambria" w:hAnsi="Cambria"/>
      <w:b/>
      <w:sz w:val="24"/>
    </w:rPr>
  </w:style>
  <w:style w:type="paragraph" w:styleId="14">
    <w:name w:val="heading 9"/>
    <w:basedOn w:val="1"/>
    <w:next w:val="1"/>
    <w:link w:val="74"/>
    <w:autoRedefine/>
    <w:qFormat/>
    <w:uiPriority w:val="0"/>
    <w:pPr>
      <w:keepNext/>
      <w:keepLines/>
      <w:spacing w:beforeLines="100" w:afterLines="100" w:line="360" w:lineRule="auto"/>
      <w:outlineLvl w:val="8"/>
    </w:pPr>
    <w:rPr>
      <w:rFonts w:ascii="Cambria" w:hAnsi="Cambria"/>
      <w:b/>
      <w:sz w:val="24"/>
      <w:szCs w:val="21"/>
    </w:rPr>
  </w:style>
  <w:style w:type="character" w:default="1" w:styleId="55">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link w:val="192"/>
    <w:autoRedefine/>
    <w:qFormat/>
    <w:uiPriority w:val="0"/>
    <w:pPr>
      <w:jc w:val="left"/>
      <w:textAlignment w:val="top"/>
    </w:pPr>
    <w:rPr>
      <w:sz w:val="18"/>
    </w:rPr>
  </w:style>
  <w:style w:type="paragraph" w:customStyle="1" w:styleId="3">
    <w:name w:val="表格文字（两侧对齐）"/>
    <w:basedOn w:val="1"/>
    <w:autoRedefine/>
    <w:qFormat/>
    <w:uiPriority w:val="0"/>
    <w:pPr>
      <w:snapToGrid w:val="0"/>
    </w:pPr>
    <w:rPr>
      <w:sz w:val="20"/>
    </w:rPr>
  </w:style>
  <w:style w:type="paragraph" w:styleId="4">
    <w:name w:val="Body Text"/>
    <w:basedOn w:val="1"/>
    <w:next w:val="5"/>
    <w:link w:val="79"/>
    <w:autoRedefine/>
    <w:qFormat/>
    <w:uiPriority w:val="0"/>
    <w:pPr>
      <w:spacing w:after="120"/>
    </w:pPr>
  </w:style>
  <w:style w:type="paragraph" w:styleId="5">
    <w:name w:val="Body Text First Indent"/>
    <w:basedOn w:val="4"/>
    <w:link w:val="94"/>
    <w:autoRedefine/>
    <w:qFormat/>
    <w:uiPriority w:val="0"/>
    <w:pPr>
      <w:ind w:firstLine="420" w:firstLineChars="100"/>
    </w:pPr>
  </w:style>
  <w:style w:type="paragraph" w:styleId="15">
    <w:name w:val="toc 7"/>
    <w:basedOn w:val="1"/>
    <w:next w:val="1"/>
    <w:autoRedefine/>
    <w:unhideWhenUsed/>
    <w:qFormat/>
    <w:uiPriority w:val="39"/>
    <w:pPr>
      <w:ind w:left="2520" w:leftChars="1200"/>
    </w:pPr>
    <w:rPr>
      <w:rFonts w:ascii="Calibri" w:hAnsi="Calibri"/>
      <w:szCs w:val="22"/>
    </w:rPr>
  </w:style>
  <w:style w:type="paragraph" w:styleId="16">
    <w:name w:val="table of authorities"/>
    <w:basedOn w:val="1"/>
    <w:next w:val="1"/>
    <w:qFormat/>
    <w:uiPriority w:val="0"/>
    <w:pPr>
      <w:spacing w:line="440" w:lineRule="exact"/>
      <w:ind w:left="420" w:leftChars="200" w:firstLine="883" w:firstLineChars="200"/>
    </w:pPr>
    <w:rPr>
      <w:sz w:val="28"/>
    </w:rPr>
  </w:style>
  <w:style w:type="paragraph" w:styleId="17">
    <w:name w:val="List Number"/>
    <w:basedOn w:val="1"/>
    <w:autoRedefine/>
    <w:qFormat/>
    <w:uiPriority w:val="0"/>
    <w:pPr>
      <w:widowControl/>
      <w:tabs>
        <w:tab w:val="left" w:pos="454"/>
        <w:tab w:val="left" w:pos="720"/>
      </w:tabs>
      <w:spacing w:afterLines="50"/>
      <w:ind w:left="720" w:hanging="720"/>
      <w:jc w:val="left"/>
    </w:pPr>
    <w:rPr>
      <w:kern w:val="0"/>
      <w:sz w:val="24"/>
      <w:szCs w:val="20"/>
    </w:rPr>
  </w:style>
  <w:style w:type="paragraph" w:styleId="18">
    <w:name w:val="Normal Indent"/>
    <w:basedOn w:val="1"/>
    <w:next w:val="19"/>
    <w:link w:val="67"/>
    <w:autoRedefine/>
    <w:qFormat/>
    <w:uiPriority w:val="0"/>
    <w:pPr>
      <w:ind w:firstLine="420"/>
    </w:pPr>
    <w:rPr>
      <w:szCs w:val="20"/>
    </w:rPr>
  </w:style>
  <w:style w:type="paragraph" w:styleId="19">
    <w:name w:val="Body Text Indent"/>
    <w:basedOn w:val="1"/>
    <w:next w:val="18"/>
    <w:link w:val="80"/>
    <w:autoRedefine/>
    <w:qFormat/>
    <w:uiPriority w:val="0"/>
    <w:pPr>
      <w:spacing w:line="200" w:lineRule="exact"/>
      <w:ind w:firstLine="301"/>
    </w:pPr>
    <w:rPr>
      <w:rFonts w:ascii="宋体" w:hAnsi="Courier New"/>
      <w:spacing w:val="-4"/>
      <w:sz w:val="18"/>
      <w:szCs w:val="20"/>
    </w:rPr>
  </w:style>
  <w:style w:type="paragraph" w:styleId="20">
    <w:name w:val="caption"/>
    <w:basedOn w:val="1"/>
    <w:next w:val="1"/>
    <w:link w:val="75"/>
    <w:autoRedefine/>
    <w:qFormat/>
    <w:uiPriority w:val="0"/>
    <w:pPr>
      <w:spacing w:before="152" w:after="160"/>
    </w:pPr>
    <w:rPr>
      <w:rFonts w:ascii="Arial" w:hAnsi="Arial" w:eastAsia="黑体"/>
      <w:sz w:val="20"/>
      <w:szCs w:val="20"/>
    </w:rPr>
  </w:style>
  <w:style w:type="paragraph" w:styleId="21">
    <w:name w:val="Document Map"/>
    <w:basedOn w:val="1"/>
    <w:link w:val="76"/>
    <w:autoRedefine/>
    <w:semiHidden/>
    <w:qFormat/>
    <w:uiPriority w:val="0"/>
    <w:pPr>
      <w:shd w:val="clear" w:color="auto" w:fill="000080"/>
    </w:pPr>
  </w:style>
  <w:style w:type="paragraph" w:styleId="22">
    <w:name w:val="annotation text"/>
    <w:basedOn w:val="1"/>
    <w:link w:val="77"/>
    <w:autoRedefine/>
    <w:qFormat/>
    <w:uiPriority w:val="0"/>
    <w:pPr>
      <w:jc w:val="left"/>
    </w:pPr>
  </w:style>
  <w:style w:type="paragraph" w:styleId="23">
    <w:name w:val="Body Text 3"/>
    <w:basedOn w:val="1"/>
    <w:link w:val="78"/>
    <w:autoRedefine/>
    <w:qFormat/>
    <w:uiPriority w:val="0"/>
    <w:pPr>
      <w:spacing w:after="120"/>
    </w:pPr>
    <w:rPr>
      <w:sz w:val="16"/>
      <w:szCs w:val="16"/>
    </w:rPr>
  </w:style>
  <w:style w:type="paragraph" w:styleId="24">
    <w:name w:val="List Number 3"/>
    <w:basedOn w:val="1"/>
    <w:autoRedefine/>
    <w:qFormat/>
    <w:uiPriority w:val="0"/>
    <w:pPr>
      <w:tabs>
        <w:tab w:val="left" w:pos="1200"/>
      </w:tabs>
      <w:ind w:left="1200" w:hanging="360"/>
    </w:pPr>
  </w:style>
  <w:style w:type="paragraph" w:styleId="25">
    <w:name w:val="List 2"/>
    <w:basedOn w:val="1"/>
    <w:autoRedefine/>
    <w:qFormat/>
    <w:uiPriority w:val="0"/>
    <w:pPr>
      <w:ind w:left="566" w:hanging="283"/>
      <w:contextualSpacing/>
    </w:pPr>
  </w:style>
  <w:style w:type="paragraph" w:styleId="26">
    <w:name w:val="List Bullet 2"/>
    <w:basedOn w:val="1"/>
    <w:autoRedefine/>
    <w:semiHidden/>
    <w:unhideWhenUsed/>
    <w:qFormat/>
    <w:uiPriority w:val="0"/>
    <w:pPr>
      <w:numPr>
        <w:ilvl w:val="0"/>
        <w:numId w:val="1"/>
      </w:numPr>
    </w:pPr>
  </w:style>
  <w:style w:type="paragraph" w:styleId="27">
    <w:name w:val="toc 5"/>
    <w:basedOn w:val="1"/>
    <w:next w:val="1"/>
    <w:autoRedefine/>
    <w:unhideWhenUsed/>
    <w:qFormat/>
    <w:uiPriority w:val="39"/>
    <w:pPr>
      <w:ind w:left="1680" w:leftChars="800"/>
    </w:pPr>
    <w:rPr>
      <w:rFonts w:ascii="Calibri" w:hAnsi="Calibri"/>
      <w:szCs w:val="22"/>
    </w:rPr>
  </w:style>
  <w:style w:type="paragraph" w:styleId="28">
    <w:name w:val="toc 3"/>
    <w:basedOn w:val="1"/>
    <w:next w:val="1"/>
    <w:autoRedefine/>
    <w:qFormat/>
    <w:uiPriority w:val="39"/>
    <w:pPr>
      <w:ind w:left="840" w:leftChars="400"/>
    </w:pPr>
  </w:style>
  <w:style w:type="paragraph" w:styleId="29">
    <w:name w:val="Plain Text"/>
    <w:basedOn w:val="1"/>
    <w:next w:val="30"/>
    <w:link w:val="81"/>
    <w:autoRedefine/>
    <w:qFormat/>
    <w:uiPriority w:val="0"/>
    <w:rPr>
      <w:rFonts w:ascii="宋体" w:hAnsi="Courier New"/>
      <w:szCs w:val="20"/>
    </w:rPr>
  </w:style>
  <w:style w:type="paragraph" w:styleId="30">
    <w:name w:val="toc 2"/>
    <w:basedOn w:val="1"/>
    <w:next w:val="1"/>
    <w:autoRedefine/>
    <w:qFormat/>
    <w:uiPriority w:val="39"/>
    <w:pPr>
      <w:ind w:left="420" w:leftChars="200"/>
    </w:pPr>
  </w:style>
  <w:style w:type="paragraph" w:styleId="31">
    <w:name w:val="toc 8"/>
    <w:basedOn w:val="1"/>
    <w:next w:val="1"/>
    <w:autoRedefine/>
    <w:unhideWhenUsed/>
    <w:qFormat/>
    <w:uiPriority w:val="39"/>
    <w:pPr>
      <w:ind w:left="2940" w:leftChars="1400"/>
    </w:pPr>
    <w:rPr>
      <w:rFonts w:ascii="Calibri" w:hAnsi="Calibri"/>
      <w:szCs w:val="22"/>
    </w:rPr>
  </w:style>
  <w:style w:type="paragraph" w:styleId="32">
    <w:name w:val="Date"/>
    <w:basedOn w:val="1"/>
    <w:next w:val="1"/>
    <w:link w:val="82"/>
    <w:autoRedefine/>
    <w:qFormat/>
    <w:uiPriority w:val="0"/>
    <w:pPr>
      <w:ind w:left="2500" w:leftChars="2500"/>
    </w:pPr>
    <w:rPr>
      <w:rFonts w:eastAsia="楷体_GB2312"/>
      <w:sz w:val="32"/>
      <w:szCs w:val="20"/>
    </w:rPr>
  </w:style>
  <w:style w:type="paragraph" w:styleId="33">
    <w:name w:val="Body Text Indent 2"/>
    <w:basedOn w:val="1"/>
    <w:link w:val="83"/>
    <w:autoRedefine/>
    <w:qFormat/>
    <w:uiPriority w:val="0"/>
    <w:pPr>
      <w:snapToGrid w:val="0"/>
      <w:ind w:firstLine="542" w:firstLineChars="225"/>
    </w:pPr>
    <w:rPr>
      <w:rFonts w:ascii="仿宋_GB2312" w:hAnsi="宋体"/>
      <w:b/>
      <w:bCs/>
      <w:color w:val="000000"/>
      <w:sz w:val="24"/>
    </w:rPr>
  </w:style>
  <w:style w:type="paragraph" w:styleId="34">
    <w:name w:val="Balloon Text"/>
    <w:basedOn w:val="1"/>
    <w:link w:val="84"/>
    <w:autoRedefine/>
    <w:qFormat/>
    <w:uiPriority w:val="0"/>
    <w:rPr>
      <w:sz w:val="18"/>
      <w:szCs w:val="18"/>
    </w:rPr>
  </w:style>
  <w:style w:type="paragraph" w:styleId="35">
    <w:name w:val="footer"/>
    <w:basedOn w:val="1"/>
    <w:link w:val="85"/>
    <w:autoRedefine/>
    <w:qFormat/>
    <w:uiPriority w:val="99"/>
    <w:pPr>
      <w:tabs>
        <w:tab w:val="center" w:pos="4153"/>
        <w:tab w:val="right" w:pos="8306"/>
      </w:tabs>
      <w:snapToGrid w:val="0"/>
      <w:jc w:val="left"/>
    </w:pPr>
    <w:rPr>
      <w:sz w:val="18"/>
      <w:szCs w:val="18"/>
    </w:rPr>
  </w:style>
  <w:style w:type="paragraph" w:styleId="36">
    <w:name w:val="header"/>
    <w:basedOn w:val="1"/>
    <w:link w:val="86"/>
    <w:autoRedefine/>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autoRedefine/>
    <w:qFormat/>
    <w:uiPriority w:val="39"/>
  </w:style>
  <w:style w:type="paragraph" w:styleId="38">
    <w:name w:val="toc 4"/>
    <w:basedOn w:val="1"/>
    <w:next w:val="1"/>
    <w:autoRedefine/>
    <w:unhideWhenUsed/>
    <w:qFormat/>
    <w:uiPriority w:val="39"/>
    <w:pPr>
      <w:ind w:left="1260" w:leftChars="600"/>
    </w:pPr>
    <w:rPr>
      <w:rFonts w:ascii="Calibri" w:hAnsi="Calibri"/>
      <w:szCs w:val="22"/>
    </w:rPr>
  </w:style>
  <w:style w:type="paragraph" w:styleId="39">
    <w:name w:val="Subtitle"/>
    <w:basedOn w:val="1"/>
    <w:next w:val="1"/>
    <w:link w:val="87"/>
    <w:autoRedefine/>
    <w:qFormat/>
    <w:uiPriority w:val="0"/>
    <w:pPr>
      <w:spacing w:before="240" w:after="60" w:line="312" w:lineRule="auto"/>
      <w:jc w:val="center"/>
      <w:outlineLvl w:val="1"/>
    </w:pPr>
    <w:rPr>
      <w:rFonts w:ascii="Cambria" w:hAnsi="Cambria"/>
      <w:b/>
      <w:bCs/>
      <w:kern w:val="28"/>
      <w:sz w:val="32"/>
      <w:szCs w:val="32"/>
    </w:rPr>
  </w:style>
  <w:style w:type="paragraph" w:styleId="40">
    <w:name w:val="List"/>
    <w:basedOn w:val="1"/>
    <w:autoRedefine/>
    <w:qFormat/>
    <w:uiPriority w:val="0"/>
    <w:pPr>
      <w:ind w:left="283" w:hanging="283"/>
      <w:contextualSpacing/>
    </w:pPr>
  </w:style>
  <w:style w:type="paragraph" w:styleId="41">
    <w:name w:val="footnote text"/>
    <w:basedOn w:val="1"/>
    <w:link w:val="88"/>
    <w:autoRedefine/>
    <w:qFormat/>
    <w:uiPriority w:val="99"/>
    <w:pPr>
      <w:jc w:val="left"/>
    </w:pPr>
    <w:rPr>
      <w:kern w:val="1"/>
      <w:sz w:val="18"/>
      <w:szCs w:val="18"/>
    </w:rPr>
  </w:style>
  <w:style w:type="paragraph" w:styleId="42">
    <w:name w:val="toc 6"/>
    <w:basedOn w:val="1"/>
    <w:next w:val="1"/>
    <w:autoRedefine/>
    <w:unhideWhenUsed/>
    <w:qFormat/>
    <w:uiPriority w:val="39"/>
    <w:pPr>
      <w:ind w:left="2100" w:leftChars="1000"/>
    </w:pPr>
    <w:rPr>
      <w:rFonts w:ascii="Calibri" w:hAnsi="Calibri"/>
      <w:szCs w:val="22"/>
    </w:rPr>
  </w:style>
  <w:style w:type="paragraph" w:styleId="43">
    <w:name w:val="Body Text Indent 3"/>
    <w:basedOn w:val="1"/>
    <w:link w:val="89"/>
    <w:autoRedefine/>
    <w:qFormat/>
    <w:uiPriority w:val="0"/>
    <w:pPr>
      <w:snapToGrid w:val="0"/>
      <w:ind w:firstLine="480" w:firstLineChars="200"/>
      <w:jc w:val="left"/>
    </w:pPr>
    <w:rPr>
      <w:rFonts w:ascii="仿宋_GB2312" w:hAnsi="宋体" w:eastAsia="仿宋_GB2312"/>
      <w:color w:val="000000"/>
      <w:sz w:val="24"/>
    </w:rPr>
  </w:style>
  <w:style w:type="paragraph" w:styleId="44">
    <w:name w:val="table of figures"/>
    <w:basedOn w:val="1"/>
    <w:next w:val="1"/>
    <w:autoRedefine/>
    <w:qFormat/>
    <w:uiPriority w:val="99"/>
    <w:pPr>
      <w:widowControl/>
      <w:tabs>
        <w:tab w:val="left" w:pos="1270"/>
      </w:tabs>
      <w:spacing w:line="360" w:lineRule="auto"/>
      <w:ind w:left="1270" w:hanging="420"/>
      <w:jc w:val="left"/>
    </w:pPr>
    <w:rPr>
      <w:rFonts w:ascii="宋体" w:hAnsi="宋体" w:cs="宋体"/>
      <w:smallCaps/>
      <w:kern w:val="0"/>
      <w:sz w:val="20"/>
      <w:szCs w:val="20"/>
    </w:rPr>
  </w:style>
  <w:style w:type="paragraph" w:styleId="45">
    <w:name w:val="toc 9"/>
    <w:basedOn w:val="1"/>
    <w:next w:val="1"/>
    <w:autoRedefine/>
    <w:unhideWhenUsed/>
    <w:qFormat/>
    <w:uiPriority w:val="39"/>
    <w:pPr>
      <w:ind w:left="3360" w:leftChars="1600"/>
    </w:pPr>
    <w:rPr>
      <w:rFonts w:ascii="Calibri" w:hAnsi="Calibri"/>
      <w:szCs w:val="22"/>
    </w:rPr>
  </w:style>
  <w:style w:type="paragraph" w:styleId="46">
    <w:name w:val="Body Text 2"/>
    <w:basedOn w:val="1"/>
    <w:link w:val="90"/>
    <w:autoRedefine/>
    <w:qFormat/>
    <w:uiPriority w:val="0"/>
    <w:pPr>
      <w:widowControl/>
      <w:snapToGrid w:val="0"/>
      <w:spacing w:before="50" w:afterLines="50" w:line="400" w:lineRule="exact"/>
      <w:jc w:val="left"/>
    </w:pPr>
    <w:rPr>
      <w:rFonts w:ascii="宋体" w:hAnsi="宋体"/>
      <w:color w:val="000000"/>
      <w:sz w:val="24"/>
    </w:rPr>
  </w:style>
  <w:style w:type="paragraph" w:styleId="4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8">
    <w:name w:val="Normal (Web)"/>
    <w:basedOn w:val="1"/>
    <w:link w:val="91"/>
    <w:autoRedefine/>
    <w:qFormat/>
    <w:uiPriority w:val="99"/>
    <w:pPr>
      <w:widowControl/>
      <w:spacing w:before="100" w:beforeAutospacing="1" w:after="100" w:afterAutospacing="1"/>
      <w:jc w:val="left"/>
    </w:pPr>
    <w:rPr>
      <w:rFonts w:ascii="宋体" w:hAnsi="宋体"/>
      <w:kern w:val="0"/>
      <w:sz w:val="24"/>
    </w:rPr>
  </w:style>
  <w:style w:type="paragraph" w:styleId="49">
    <w:name w:val="Title"/>
    <w:basedOn w:val="1"/>
    <w:next w:val="1"/>
    <w:link w:val="92"/>
    <w:autoRedefine/>
    <w:qFormat/>
    <w:uiPriority w:val="0"/>
    <w:pPr>
      <w:spacing w:before="240" w:after="60"/>
      <w:jc w:val="center"/>
      <w:outlineLvl w:val="0"/>
    </w:pPr>
    <w:rPr>
      <w:rFonts w:ascii="Cambria" w:hAnsi="Cambria"/>
      <w:b/>
      <w:bCs/>
      <w:sz w:val="32"/>
      <w:szCs w:val="32"/>
    </w:rPr>
  </w:style>
  <w:style w:type="paragraph" w:styleId="50">
    <w:name w:val="annotation subject"/>
    <w:basedOn w:val="22"/>
    <w:next w:val="22"/>
    <w:link w:val="93"/>
    <w:autoRedefine/>
    <w:qFormat/>
    <w:uiPriority w:val="99"/>
    <w:rPr>
      <w:b/>
      <w:bCs/>
    </w:rPr>
  </w:style>
  <w:style w:type="paragraph" w:styleId="51">
    <w:name w:val="Body Text First Indent 2"/>
    <w:basedOn w:val="19"/>
    <w:link w:val="95"/>
    <w:autoRedefine/>
    <w:unhideWhenUsed/>
    <w:qFormat/>
    <w:uiPriority w:val="0"/>
    <w:pPr>
      <w:spacing w:after="120" w:line="360" w:lineRule="auto"/>
      <w:ind w:left="420" w:leftChars="200" w:firstLine="420" w:firstLineChars="200"/>
    </w:pPr>
    <w:rPr>
      <w:sz w:val="24"/>
    </w:rPr>
  </w:style>
  <w:style w:type="table" w:styleId="53">
    <w:name w:val="Table Grid"/>
    <w:basedOn w:val="5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4">
    <w:name w:val="Table Grid 8"/>
    <w:basedOn w:val="52"/>
    <w:autoRedefine/>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6">
    <w:name w:val="Strong"/>
    <w:autoRedefine/>
    <w:qFormat/>
    <w:uiPriority w:val="22"/>
    <w:rPr>
      <w:b/>
      <w:bCs/>
    </w:rPr>
  </w:style>
  <w:style w:type="character" w:styleId="57">
    <w:name w:val="page number"/>
    <w:basedOn w:val="55"/>
    <w:autoRedefine/>
    <w:qFormat/>
    <w:uiPriority w:val="0"/>
  </w:style>
  <w:style w:type="character" w:styleId="58">
    <w:name w:val="FollowedHyperlink"/>
    <w:autoRedefine/>
    <w:qFormat/>
    <w:uiPriority w:val="99"/>
    <w:rPr>
      <w:color w:val="800080"/>
      <w:u w:val="single"/>
    </w:rPr>
  </w:style>
  <w:style w:type="character" w:styleId="59">
    <w:name w:val="Hyperlink"/>
    <w:autoRedefine/>
    <w:qFormat/>
    <w:uiPriority w:val="99"/>
    <w:rPr>
      <w:color w:val="0000FF"/>
      <w:u w:val="single"/>
    </w:rPr>
  </w:style>
  <w:style w:type="character" w:styleId="60">
    <w:name w:val="annotation reference"/>
    <w:autoRedefine/>
    <w:qFormat/>
    <w:uiPriority w:val="99"/>
    <w:rPr>
      <w:sz w:val="21"/>
      <w:szCs w:val="21"/>
    </w:rPr>
  </w:style>
  <w:style w:type="character" w:styleId="61">
    <w:name w:val="footnote reference"/>
    <w:autoRedefine/>
    <w:qFormat/>
    <w:uiPriority w:val="99"/>
    <w:rPr>
      <w:position w:val="-2"/>
      <w:vertAlign w:val="superscript"/>
    </w:rPr>
  </w:style>
  <w:style w:type="character" w:styleId="62">
    <w:name w:val="HTML Sample"/>
    <w:basedOn w:val="55"/>
    <w:autoRedefine/>
    <w:semiHidden/>
    <w:unhideWhenUsed/>
    <w:qFormat/>
    <w:uiPriority w:val="0"/>
    <w:rPr>
      <w:rFonts w:ascii="Courier New" w:hAnsi="Courier New"/>
    </w:rPr>
  </w:style>
  <w:style w:type="paragraph" w:customStyle="1" w:styleId="63">
    <w:name w:val="标准正文"/>
    <w:basedOn w:val="1"/>
    <w:autoRedefine/>
    <w:qFormat/>
    <w:uiPriority w:val="0"/>
    <w:pPr>
      <w:spacing w:line="360" w:lineRule="auto"/>
      <w:ind w:firstLine="200" w:firstLineChars="200"/>
    </w:pPr>
    <w:rPr>
      <w:sz w:val="24"/>
      <w:szCs w:val="20"/>
    </w:rPr>
  </w:style>
  <w:style w:type="paragraph" w:customStyle="1" w:styleId="64">
    <w:name w:val="一级标题"/>
    <w:basedOn w:val="1"/>
    <w:next w:val="4"/>
    <w:autoRedefine/>
    <w:qFormat/>
    <w:uiPriority w:val="0"/>
    <w:pPr>
      <w:outlineLvl w:val="0"/>
    </w:pPr>
    <w:rPr>
      <w:b/>
      <w:bCs/>
      <w:sz w:val="32"/>
    </w:rPr>
  </w:style>
  <w:style w:type="character" w:customStyle="1" w:styleId="65">
    <w:name w:val="标题 2 字符"/>
    <w:link w:val="7"/>
    <w:autoRedefine/>
    <w:qFormat/>
    <w:uiPriority w:val="9"/>
    <w:rPr>
      <w:rFonts w:ascii="仿宋_GB2312" w:eastAsia="仿宋_GB2312"/>
      <w:b/>
      <w:sz w:val="36"/>
    </w:rPr>
  </w:style>
  <w:style w:type="character" w:customStyle="1" w:styleId="66">
    <w:name w:val="标题 1 字符"/>
    <w:link w:val="6"/>
    <w:autoRedefine/>
    <w:qFormat/>
    <w:uiPriority w:val="9"/>
    <w:rPr>
      <w:b/>
      <w:bCs/>
      <w:kern w:val="44"/>
      <w:sz w:val="44"/>
      <w:szCs w:val="44"/>
    </w:rPr>
  </w:style>
  <w:style w:type="character" w:customStyle="1" w:styleId="67">
    <w:name w:val="正文缩进 字符"/>
    <w:link w:val="18"/>
    <w:autoRedefine/>
    <w:qFormat/>
    <w:uiPriority w:val="0"/>
    <w:rPr>
      <w:kern w:val="2"/>
      <w:sz w:val="21"/>
    </w:rPr>
  </w:style>
  <w:style w:type="character" w:customStyle="1" w:styleId="68">
    <w:name w:val="标题 3 字符"/>
    <w:link w:val="8"/>
    <w:autoRedefine/>
    <w:qFormat/>
    <w:uiPriority w:val="9"/>
    <w:rPr>
      <w:rFonts w:ascii="仿宋_GB2312" w:eastAsia="仿宋_GB2312"/>
      <w:b/>
      <w:bCs/>
      <w:kern w:val="2"/>
      <w:sz w:val="30"/>
    </w:rPr>
  </w:style>
  <w:style w:type="character" w:customStyle="1" w:styleId="69">
    <w:name w:val="标题 4 字符"/>
    <w:link w:val="9"/>
    <w:autoRedefine/>
    <w:qFormat/>
    <w:uiPriority w:val="9"/>
    <w:rPr>
      <w:rFonts w:ascii="Cambria" w:hAnsi="Cambria" w:eastAsia="宋体" w:cs="Times New Roman"/>
      <w:b/>
      <w:bCs/>
      <w:kern w:val="2"/>
      <w:sz w:val="28"/>
      <w:szCs w:val="28"/>
    </w:rPr>
  </w:style>
  <w:style w:type="character" w:customStyle="1" w:styleId="70">
    <w:name w:val="标题 5 字符"/>
    <w:link w:val="10"/>
    <w:autoRedefine/>
    <w:qFormat/>
    <w:uiPriority w:val="9"/>
    <w:rPr>
      <w:rFonts w:eastAsia="宋体"/>
      <w:b/>
      <w:bCs/>
      <w:kern w:val="2"/>
      <w:sz w:val="28"/>
      <w:szCs w:val="28"/>
    </w:rPr>
  </w:style>
  <w:style w:type="character" w:customStyle="1" w:styleId="71">
    <w:name w:val="标题 6 字符"/>
    <w:link w:val="11"/>
    <w:autoRedefine/>
    <w:qFormat/>
    <w:uiPriority w:val="9"/>
    <w:rPr>
      <w:rFonts w:ascii="Cambria" w:hAnsi="Cambria" w:eastAsia="宋体" w:cs="Times New Roman"/>
      <w:b/>
      <w:bCs/>
      <w:kern w:val="2"/>
      <w:sz w:val="24"/>
      <w:szCs w:val="24"/>
    </w:rPr>
  </w:style>
  <w:style w:type="character" w:customStyle="1" w:styleId="72">
    <w:name w:val="标题 7 字符"/>
    <w:link w:val="12"/>
    <w:autoRedefine/>
    <w:qFormat/>
    <w:uiPriority w:val="0"/>
    <w:rPr>
      <w:rFonts w:eastAsia="宋体"/>
      <w:b/>
      <w:bCs/>
      <w:kern w:val="2"/>
      <w:sz w:val="24"/>
      <w:szCs w:val="24"/>
    </w:rPr>
  </w:style>
  <w:style w:type="character" w:customStyle="1" w:styleId="73">
    <w:name w:val="标题 8 字符"/>
    <w:link w:val="13"/>
    <w:autoRedefine/>
    <w:qFormat/>
    <w:uiPriority w:val="0"/>
    <w:rPr>
      <w:rFonts w:ascii="Cambria" w:hAnsi="Cambria" w:eastAsia="宋体" w:cs="Times New Roman"/>
      <w:b/>
      <w:kern w:val="2"/>
      <w:sz w:val="24"/>
      <w:szCs w:val="24"/>
    </w:rPr>
  </w:style>
  <w:style w:type="character" w:customStyle="1" w:styleId="74">
    <w:name w:val="标题 9 字符"/>
    <w:link w:val="14"/>
    <w:autoRedefine/>
    <w:qFormat/>
    <w:uiPriority w:val="0"/>
    <w:rPr>
      <w:rFonts w:ascii="Cambria" w:hAnsi="Cambria" w:eastAsia="宋体" w:cs="Times New Roman"/>
      <w:b/>
      <w:kern w:val="2"/>
      <w:sz w:val="24"/>
      <w:szCs w:val="21"/>
    </w:rPr>
  </w:style>
  <w:style w:type="character" w:customStyle="1" w:styleId="75">
    <w:name w:val="题注 字符"/>
    <w:link w:val="20"/>
    <w:autoRedefine/>
    <w:qFormat/>
    <w:locked/>
    <w:uiPriority w:val="0"/>
    <w:rPr>
      <w:rFonts w:ascii="Arial" w:hAnsi="Arial" w:eastAsia="黑体" w:cs="Arial"/>
      <w:kern w:val="2"/>
    </w:rPr>
  </w:style>
  <w:style w:type="character" w:customStyle="1" w:styleId="76">
    <w:name w:val="文档结构图 字符"/>
    <w:link w:val="21"/>
    <w:autoRedefine/>
    <w:semiHidden/>
    <w:qFormat/>
    <w:uiPriority w:val="0"/>
    <w:rPr>
      <w:kern w:val="2"/>
      <w:sz w:val="21"/>
      <w:szCs w:val="24"/>
      <w:shd w:val="clear" w:color="auto" w:fill="000080"/>
    </w:rPr>
  </w:style>
  <w:style w:type="character" w:customStyle="1" w:styleId="77">
    <w:name w:val="批注文字 字符"/>
    <w:link w:val="22"/>
    <w:autoRedefine/>
    <w:qFormat/>
    <w:uiPriority w:val="0"/>
    <w:rPr>
      <w:kern w:val="2"/>
      <w:sz w:val="21"/>
      <w:szCs w:val="24"/>
    </w:rPr>
  </w:style>
  <w:style w:type="character" w:customStyle="1" w:styleId="78">
    <w:name w:val="正文文本 3 字符"/>
    <w:link w:val="23"/>
    <w:autoRedefine/>
    <w:qFormat/>
    <w:uiPriority w:val="0"/>
    <w:rPr>
      <w:kern w:val="2"/>
      <w:sz w:val="16"/>
      <w:szCs w:val="16"/>
    </w:rPr>
  </w:style>
  <w:style w:type="character" w:customStyle="1" w:styleId="79">
    <w:name w:val="正文文本 字符"/>
    <w:link w:val="4"/>
    <w:autoRedefine/>
    <w:qFormat/>
    <w:uiPriority w:val="0"/>
    <w:rPr>
      <w:kern w:val="2"/>
      <w:sz w:val="21"/>
      <w:szCs w:val="24"/>
    </w:rPr>
  </w:style>
  <w:style w:type="character" w:customStyle="1" w:styleId="80">
    <w:name w:val="正文文本缩进 字符"/>
    <w:link w:val="19"/>
    <w:autoRedefine/>
    <w:qFormat/>
    <w:uiPriority w:val="0"/>
    <w:rPr>
      <w:rFonts w:ascii="宋体" w:hAnsi="Courier New"/>
      <w:spacing w:val="-4"/>
      <w:kern w:val="2"/>
      <w:sz w:val="18"/>
    </w:rPr>
  </w:style>
  <w:style w:type="character" w:customStyle="1" w:styleId="81">
    <w:name w:val="纯文本 字符1"/>
    <w:link w:val="29"/>
    <w:autoRedefine/>
    <w:qFormat/>
    <w:uiPriority w:val="0"/>
    <w:rPr>
      <w:rFonts w:ascii="宋体" w:hAnsi="Courier New"/>
      <w:kern w:val="2"/>
      <w:sz w:val="21"/>
    </w:rPr>
  </w:style>
  <w:style w:type="character" w:customStyle="1" w:styleId="82">
    <w:name w:val="日期 字符"/>
    <w:link w:val="32"/>
    <w:autoRedefine/>
    <w:qFormat/>
    <w:uiPriority w:val="0"/>
    <w:rPr>
      <w:rFonts w:eastAsia="楷体_GB2312"/>
      <w:kern w:val="2"/>
      <w:sz w:val="32"/>
    </w:rPr>
  </w:style>
  <w:style w:type="character" w:customStyle="1" w:styleId="83">
    <w:name w:val="正文文本缩进 2 字符"/>
    <w:link w:val="33"/>
    <w:autoRedefine/>
    <w:qFormat/>
    <w:uiPriority w:val="0"/>
    <w:rPr>
      <w:rFonts w:ascii="仿宋_GB2312" w:hAnsi="宋体" w:cs="Arial"/>
      <w:b/>
      <w:bCs/>
      <w:color w:val="000000"/>
      <w:kern w:val="2"/>
      <w:sz w:val="24"/>
      <w:szCs w:val="24"/>
    </w:rPr>
  </w:style>
  <w:style w:type="character" w:customStyle="1" w:styleId="84">
    <w:name w:val="批注框文本 字符"/>
    <w:link w:val="34"/>
    <w:autoRedefine/>
    <w:qFormat/>
    <w:uiPriority w:val="0"/>
    <w:rPr>
      <w:kern w:val="2"/>
      <w:sz w:val="18"/>
      <w:szCs w:val="18"/>
    </w:rPr>
  </w:style>
  <w:style w:type="character" w:customStyle="1" w:styleId="85">
    <w:name w:val="页脚 字符"/>
    <w:link w:val="35"/>
    <w:autoRedefine/>
    <w:qFormat/>
    <w:locked/>
    <w:uiPriority w:val="99"/>
    <w:rPr>
      <w:kern w:val="2"/>
      <w:sz w:val="18"/>
      <w:szCs w:val="18"/>
    </w:rPr>
  </w:style>
  <w:style w:type="character" w:customStyle="1" w:styleId="86">
    <w:name w:val="页眉 字符"/>
    <w:link w:val="36"/>
    <w:autoRedefine/>
    <w:qFormat/>
    <w:uiPriority w:val="99"/>
    <w:rPr>
      <w:rFonts w:eastAsia="宋体"/>
      <w:kern w:val="2"/>
      <w:sz w:val="18"/>
      <w:szCs w:val="18"/>
      <w:lang w:val="en-US" w:eastAsia="zh-CN" w:bidi="ar-SA"/>
    </w:rPr>
  </w:style>
  <w:style w:type="character" w:customStyle="1" w:styleId="87">
    <w:name w:val="副标题 字符"/>
    <w:link w:val="39"/>
    <w:autoRedefine/>
    <w:qFormat/>
    <w:uiPriority w:val="0"/>
    <w:rPr>
      <w:rFonts w:ascii="Cambria" w:hAnsi="Cambria"/>
      <w:b/>
      <w:bCs/>
      <w:kern w:val="28"/>
      <w:sz w:val="32"/>
      <w:szCs w:val="32"/>
    </w:rPr>
  </w:style>
  <w:style w:type="character" w:customStyle="1" w:styleId="88">
    <w:name w:val="脚注文本 字符"/>
    <w:basedOn w:val="55"/>
    <w:link w:val="41"/>
    <w:autoRedefine/>
    <w:qFormat/>
    <w:uiPriority w:val="99"/>
    <w:rPr>
      <w:kern w:val="1"/>
      <w:sz w:val="18"/>
      <w:szCs w:val="18"/>
    </w:rPr>
  </w:style>
  <w:style w:type="character" w:customStyle="1" w:styleId="89">
    <w:name w:val="正文文本缩进 3 字符"/>
    <w:link w:val="43"/>
    <w:autoRedefine/>
    <w:qFormat/>
    <w:uiPriority w:val="0"/>
    <w:rPr>
      <w:rFonts w:ascii="仿宋_GB2312" w:hAnsi="宋体" w:eastAsia="仿宋_GB2312"/>
      <w:color w:val="000000"/>
      <w:kern w:val="2"/>
      <w:sz w:val="24"/>
      <w:szCs w:val="24"/>
    </w:rPr>
  </w:style>
  <w:style w:type="character" w:customStyle="1" w:styleId="90">
    <w:name w:val="正文文本 2 字符"/>
    <w:link w:val="46"/>
    <w:autoRedefine/>
    <w:qFormat/>
    <w:uiPriority w:val="0"/>
    <w:rPr>
      <w:rFonts w:ascii="宋体" w:hAnsi="宋体"/>
      <w:color w:val="000000"/>
      <w:kern w:val="2"/>
      <w:sz w:val="24"/>
      <w:szCs w:val="24"/>
    </w:rPr>
  </w:style>
  <w:style w:type="character" w:customStyle="1" w:styleId="91">
    <w:name w:val="普通(网站) 字符"/>
    <w:link w:val="48"/>
    <w:autoRedefine/>
    <w:qFormat/>
    <w:locked/>
    <w:uiPriority w:val="0"/>
    <w:rPr>
      <w:rFonts w:ascii="宋体" w:hAnsi="宋体" w:cs="宋体"/>
      <w:sz w:val="24"/>
      <w:szCs w:val="24"/>
    </w:rPr>
  </w:style>
  <w:style w:type="character" w:customStyle="1" w:styleId="92">
    <w:name w:val="标题 字符"/>
    <w:link w:val="49"/>
    <w:autoRedefine/>
    <w:qFormat/>
    <w:uiPriority w:val="0"/>
    <w:rPr>
      <w:rFonts w:ascii="Cambria" w:hAnsi="Cambria"/>
      <w:b/>
      <w:bCs/>
      <w:kern w:val="2"/>
      <w:sz w:val="32"/>
      <w:szCs w:val="32"/>
    </w:rPr>
  </w:style>
  <w:style w:type="character" w:customStyle="1" w:styleId="93">
    <w:name w:val="批注主题 字符"/>
    <w:link w:val="50"/>
    <w:autoRedefine/>
    <w:qFormat/>
    <w:uiPriority w:val="99"/>
    <w:rPr>
      <w:b/>
      <w:bCs/>
      <w:kern w:val="2"/>
      <w:sz w:val="21"/>
      <w:szCs w:val="24"/>
    </w:rPr>
  </w:style>
  <w:style w:type="character" w:customStyle="1" w:styleId="94">
    <w:name w:val="正文文本首行缩进 字符"/>
    <w:basedOn w:val="79"/>
    <w:link w:val="5"/>
    <w:autoRedefine/>
    <w:qFormat/>
    <w:uiPriority w:val="0"/>
    <w:rPr>
      <w:kern w:val="2"/>
      <w:sz w:val="21"/>
      <w:szCs w:val="24"/>
    </w:rPr>
  </w:style>
  <w:style w:type="character" w:customStyle="1" w:styleId="95">
    <w:name w:val="正文文本首行缩进 2 字符"/>
    <w:link w:val="51"/>
    <w:autoRedefine/>
    <w:qFormat/>
    <w:uiPriority w:val="0"/>
    <w:rPr>
      <w:rFonts w:ascii="宋体" w:hAnsi="Courier New"/>
      <w:spacing w:val="-4"/>
      <w:kern w:val="2"/>
      <w:sz w:val="24"/>
    </w:rPr>
  </w:style>
  <w:style w:type="paragraph" w:customStyle="1" w:styleId="96">
    <w:name w:val="_Style 3"/>
    <w:autoRedefine/>
    <w:qFormat/>
    <w:uiPriority w:val="1"/>
    <w:pPr>
      <w:widowControl w:val="0"/>
      <w:spacing w:line="360" w:lineRule="auto"/>
      <w:jc w:val="both"/>
    </w:pPr>
    <w:rPr>
      <w:rFonts w:cs="Times New Roman" w:asciiTheme="minorEastAsia" w:hAnsiTheme="minorEastAsia" w:eastAsiaTheme="minorEastAsia"/>
      <w:kern w:val="2"/>
      <w:sz w:val="21"/>
      <w:szCs w:val="22"/>
      <w:lang w:val="en-US" w:eastAsia="zh-CN" w:bidi="ar-SA"/>
    </w:rPr>
  </w:style>
  <w:style w:type="character" w:customStyle="1" w:styleId="97">
    <w:name w:val="页眉 Char1"/>
    <w:autoRedefine/>
    <w:qFormat/>
    <w:uiPriority w:val="0"/>
    <w:rPr>
      <w:kern w:val="2"/>
      <w:sz w:val="18"/>
      <w:szCs w:val="18"/>
    </w:rPr>
  </w:style>
  <w:style w:type="character" w:customStyle="1" w:styleId="98">
    <w:name w:val="hover"/>
    <w:autoRedefine/>
    <w:qFormat/>
    <w:uiPriority w:val="0"/>
    <w:rPr>
      <w:color w:val="4178BE"/>
    </w:rPr>
  </w:style>
  <w:style w:type="character" w:customStyle="1" w:styleId="99">
    <w:name w:val="页眉 字符1"/>
    <w:autoRedefine/>
    <w:qFormat/>
    <w:uiPriority w:val="99"/>
    <w:rPr>
      <w:rFonts w:eastAsia="宋体"/>
      <w:sz w:val="18"/>
      <w:szCs w:val="18"/>
    </w:rPr>
  </w:style>
  <w:style w:type="character" w:customStyle="1" w:styleId="100">
    <w:name w:val="font111"/>
    <w:autoRedefine/>
    <w:qFormat/>
    <w:uiPriority w:val="0"/>
    <w:rPr>
      <w:rFonts w:ascii="宋体" w:hAnsi="宋体" w:eastAsia="宋体" w:cs="宋体"/>
      <w:color w:val="FF0000"/>
      <w:sz w:val="18"/>
      <w:szCs w:val="18"/>
      <w:u w:val="none"/>
    </w:rPr>
  </w:style>
  <w:style w:type="character" w:customStyle="1" w:styleId="101">
    <w:name w:val="页脚 字符1"/>
    <w:autoRedefine/>
    <w:qFormat/>
    <w:locked/>
    <w:uiPriority w:val="99"/>
    <w:rPr>
      <w:sz w:val="18"/>
      <w:szCs w:val="18"/>
    </w:rPr>
  </w:style>
  <w:style w:type="character" w:customStyle="1" w:styleId="102">
    <w:name w:val="font21"/>
    <w:autoRedefine/>
    <w:qFormat/>
    <w:uiPriority w:val="0"/>
    <w:rPr>
      <w:rFonts w:hint="eastAsia" w:ascii="微软雅黑" w:hAnsi="微软雅黑" w:eastAsia="微软雅黑" w:cs="微软雅黑"/>
      <w:color w:val="000000"/>
      <w:sz w:val="18"/>
      <w:szCs w:val="18"/>
      <w:u w:val="none"/>
    </w:rPr>
  </w:style>
  <w:style w:type="character" w:customStyle="1" w:styleId="103">
    <w:name w:val="样式一"/>
    <w:autoRedefine/>
    <w:qFormat/>
    <w:uiPriority w:val="0"/>
    <w:rPr>
      <w:rFonts w:ascii="宋体" w:hAnsi="宋体"/>
      <w:b/>
      <w:bCs/>
      <w:color w:val="000000"/>
      <w:sz w:val="36"/>
    </w:rPr>
  </w:style>
  <w:style w:type="character" w:customStyle="1" w:styleId="104">
    <w:name w:val="optnmoresets"/>
    <w:autoRedefine/>
    <w:qFormat/>
    <w:uiPriority w:val="0"/>
    <w:rPr>
      <w:color w:val="5596E6"/>
    </w:rPr>
  </w:style>
  <w:style w:type="character" w:customStyle="1" w:styleId="105">
    <w:name w:val="ca-92"/>
    <w:basedOn w:val="55"/>
    <w:autoRedefine/>
    <w:qFormat/>
    <w:uiPriority w:val="0"/>
  </w:style>
  <w:style w:type="character" w:customStyle="1" w:styleId="106">
    <w:name w:val="font91"/>
    <w:autoRedefine/>
    <w:qFormat/>
    <w:uiPriority w:val="0"/>
    <w:rPr>
      <w:rFonts w:ascii="宋体" w:hAnsi="宋体" w:eastAsia="宋体" w:cs="宋体"/>
      <w:color w:val="auto"/>
      <w:sz w:val="18"/>
      <w:szCs w:val="18"/>
      <w:u w:val="none"/>
    </w:rPr>
  </w:style>
  <w:style w:type="character" w:customStyle="1" w:styleId="107">
    <w:name w:val="纯文本 Char3"/>
    <w:autoRedefine/>
    <w:qFormat/>
    <w:uiPriority w:val="0"/>
    <w:rPr>
      <w:rFonts w:ascii="宋体" w:hAnsi="Courier New" w:eastAsia="宋体"/>
      <w:kern w:val="2"/>
      <w:sz w:val="24"/>
      <w:szCs w:val="24"/>
      <w:lang w:val="en-US" w:eastAsia="zh-CN" w:bidi="ar-SA"/>
    </w:rPr>
  </w:style>
  <w:style w:type="character" w:customStyle="1" w:styleId="108">
    <w:name w:val="列出段落 Char1"/>
    <w:autoRedefine/>
    <w:qFormat/>
    <w:uiPriority w:val="34"/>
    <w:rPr>
      <w:sz w:val="24"/>
    </w:rPr>
  </w:style>
  <w:style w:type="character" w:customStyle="1" w:styleId="109">
    <w:name w:val="标题字符1"/>
    <w:autoRedefine/>
    <w:qFormat/>
    <w:uiPriority w:val="0"/>
    <w:rPr>
      <w:rFonts w:ascii="Cambria" w:hAnsi="Cambria" w:cs="Times New Roman"/>
      <w:b/>
      <w:bCs/>
      <w:snapToGrid w:val="0"/>
      <w:sz w:val="32"/>
      <w:szCs w:val="32"/>
    </w:rPr>
  </w:style>
  <w:style w:type="character" w:customStyle="1" w:styleId="110">
    <w:name w:val="sub"/>
    <w:basedOn w:val="55"/>
    <w:autoRedefine/>
    <w:qFormat/>
    <w:uiPriority w:val="0"/>
  </w:style>
  <w:style w:type="character" w:customStyle="1" w:styleId="111">
    <w:name w:val="lotusbtndisabled2"/>
    <w:basedOn w:val="55"/>
    <w:autoRedefine/>
    <w:qFormat/>
    <w:uiPriority w:val="0"/>
  </w:style>
  <w:style w:type="character" w:customStyle="1" w:styleId="112">
    <w:name w:val="列出段落 Char"/>
    <w:autoRedefine/>
    <w:qFormat/>
    <w:uiPriority w:val="34"/>
    <w:rPr>
      <w:kern w:val="2"/>
      <w:sz w:val="21"/>
      <w:szCs w:val="22"/>
    </w:rPr>
  </w:style>
  <w:style w:type="character" w:customStyle="1" w:styleId="113">
    <w:name w:val="dijitarrowbuttoninner"/>
    <w:autoRedefine/>
    <w:qFormat/>
    <w:uiPriority w:val="0"/>
    <w:rPr>
      <w:vanish/>
    </w:rPr>
  </w:style>
  <w:style w:type="character" w:customStyle="1" w:styleId="114">
    <w:name w:val="hover21"/>
    <w:autoRedefine/>
    <w:qFormat/>
    <w:uiPriority w:val="0"/>
    <w:rPr>
      <w:color w:val="4178BE"/>
    </w:rPr>
  </w:style>
  <w:style w:type="character" w:customStyle="1" w:styleId="115">
    <w:name w:val="普通文字 Char Char2"/>
    <w:autoRedefine/>
    <w:qFormat/>
    <w:uiPriority w:val="0"/>
    <w:rPr>
      <w:rFonts w:ascii="宋体" w:hAnsi="Courier New" w:eastAsia="宋体"/>
      <w:kern w:val="2"/>
      <w:sz w:val="24"/>
      <w:szCs w:val="24"/>
      <w:lang w:val="en-US" w:eastAsia="zh-CN" w:bidi="ar-SA"/>
    </w:rPr>
  </w:style>
  <w:style w:type="character" w:customStyle="1" w:styleId="116">
    <w:name w:val="font11"/>
    <w:autoRedefine/>
    <w:qFormat/>
    <w:uiPriority w:val="0"/>
    <w:rPr>
      <w:rFonts w:hint="eastAsia" w:ascii="微软雅黑" w:hAnsi="微软雅黑" w:eastAsia="微软雅黑" w:cs="微软雅黑"/>
      <w:color w:val="FF0000"/>
      <w:sz w:val="18"/>
      <w:szCs w:val="18"/>
      <w:u w:val="none"/>
    </w:rPr>
  </w:style>
  <w:style w:type="character" w:customStyle="1" w:styleId="117">
    <w:name w:val="纯文本 Char1"/>
    <w:autoRedefine/>
    <w:qFormat/>
    <w:uiPriority w:val="99"/>
    <w:rPr>
      <w:rFonts w:ascii="宋体" w:hAnsi="Courier New" w:eastAsia="宋体" w:cs="Times New Roman"/>
      <w:sz w:val="24"/>
      <w:szCs w:val="24"/>
    </w:rPr>
  </w:style>
  <w:style w:type="character" w:customStyle="1" w:styleId="118">
    <w:name w:val="lotusalttext10"/>
    <w:basedOn w:val="55"/>
    <w:autoRedefine/>
    <w:qFormat/>
    <w:uiPriority w:val="0"/>
  </w:style>
  <w:style w:type="character" w:customStyle="1" w:styleId="119">
    <w:name w:val="纯文本 字符"/>
    <w:autoRedefine/>
    <w:qFormat/>
    <w:uiPriority w:val="0"/>
    <w:rPr>
      <w:rFonts w:ascii="宋体" w:hAnsi="Courier New" w:eastAsia="宋体" w:cs="Courier New"/>
      <w:kern w:val="2"/>
      <w:sz w:val="21"/>
      <w:szCs w:val="24"/>
    </w:rPr>
  </w:style>
  <w:style w:type="character" w:customStyle="1" w:styleId="120">
    <w:name w:val="*正文 Char"/>
    <w:link w:val="121"/>
    <w:autoRedefine/>
    <w:qFormat/>
    <w:uiPriority w:val="99"/>
    <w:rPr>
      <w:rFonts w:ascii="宋体" w:hAnsi="宋体"/>
      <w:sz w:val="24"/>
    </w:rPr>
  </w:style>
  <w:style w:type="paragraph" w:customStyle="1" w:styleId="121">
    <w:name w:val="*正文"/>
    <w:basedOn w:val="1"/>
    <w:link w:val="120"/>
    <w:autoRedefine/>
    <w:qFormat/>
    <w:uiPriority w:val="99"/>
    <w:pPr>
      <w:spacing w:line="360" w:lineRule="auto"/>
      <w:ind w:firstLine="482"/>
    </w:pPr>
    <w:rPr>
      <w:rFonts w:ascii="宋体" w:hAnsi="宋体"/>
      <w:kern w:val="0"/>
      <w:sz w:val="24"/>
      <w:szCs w:val="20"/>
    </w:rPr>
  </w:style>
  <w:style w:type="character" w:customStyle="1" w:styleId="122">
    <w:name w:val="before"/>
    <w:basedOn w:val="55"/>
    <w:autoRedefine/>
    <w:qFormat/>
    <w:uiPriority w:val="0"/>
  </w:style>
  <w:style w:type="character" w:customStyle="1" w:styleId="123">
    <w:name w:val="font101"/>
    <w:autoRedefine/>
    <w:qFormat/>
    <w:uiPriority w:val="0"/>
    <w:rPr>
      <w:rFonts w:ascii="Times New Roman" w:hAnsi="Times New Roman" w:cs="Times New Roman"/>
      <w:color w:val="auto"/>
      <w:sz w:val="24"/>
      <w:szCs w:val="24"/>
      <w:u w:val="none"/>
    </w:rPr>
  </w:style>
  <w:style w:type="character" w:customStyle="1" w:styleId="124">
    <w:name w:val="font81"/>
    <w:autoRedefine/>
    <w:qFormat/>
    <w:uiPriority w:val="0"/>
    <w:rPr>
      <w:rFonts w:ascii="Times New Roman" w:hAnsi="Times New Roman" w:cs="Times New Roman"/>
      <w:color w:val="FF0000"/>
      <w:sz w:val="18"/>
      <w:szCs w:val="18"/>
      <w:u w:val="none"/>
    </w:rPr>
  </w:style>
  <w:style w:type="character" w:customStyle="1" w:styleId="125">
    <w:name w:val="正文文本缩进字符1"/>
    <w:autoRedefine/>
    <w:semiHidden/>
    <w:qFormat/>
    <w:uiPriority w:val="0"/>
    <w:rPr>
      <w:snapToGrid w:val="0"/>
      <w:sz w:val="21"/>
      <w:szCs w:val="21"/>
    </w:rPr>
  </w:style>
  <w:style w:type="character" w:customStyle="1" w:styleId="126">
    <w:name w:val="before1"/>
    <w:autoRedefine/>
    <w:qFormat/>
    <w:uiPriority w:val="0"/>
    <w:rPr>
      <w:shd w:val="clear" w:color="auto" w:fill="4178BE"/>
    </w:rPr>
  </w:style>
  <w:style w:type="character" w:customStyle="1" w:styleId="127">
    <w:name w:val="font51"/>
    <w:autoRedefine/>
    <w:qFormat/>
    <w:uiPriority w:val="0"/>
    <w:rPr>
      <w:rFonts w:hint="eastAsia" w:ascii="微软雅黑" w:hAnsi="微软雅黑" w:eastAsia="微软雅黑" w:cs="微软雅黑"/>
      <w:i/>
      <w:color w:val="FF0000"/>
      <w:sz w:val="18"/>
      <w:szCs w:val="18"/>
      <w:u w:val="none"/>
    </w:rPr>
  </w:style>
  <w:style w:type="character" w:customStyle="1" w:styleId="128">
    <w:name w:val="optnless"/>
    <w:autoRedefine/>
    <w:qFormat/>
    <w:uiPriority w:val="0"/>
    <w:rPr>
      <w:color w:val="5596E6"/>
    </w:rPr>
  </w:style>
  <w:style w:type="character" w:customStyle="1" w:styleId="129">
    <w:name w:val="font01"/>
    <w:autoRedefine/>
    <w:qFormat/>
    <w:uiPriority w:val="0"/>
    <w:rPr>
      <w:rFonts w:hint="eastAsia" w:ascii="微软雅黑" w:hAnsi="微软雅黑" w:eastAsia="微软雅黑" w:cs="微软雅黑"/>
      <w:color w:val="000000"/>
      <w:sz w:val="18"/>
      <w:szCs w:val="18"/>
      <w:u w:val="none"/>
    </w:rPr>
  </w:style>
  <w:style w:type="character" w:customStyle="1" w:styleId="130">
    <w:name w:val="列表段落 字符"/>
    <w:link w:val="131"/>
    <w:autoRedefine/>
    <w:qFormat/>
    <w:uiPriority w:val="34"/>
    <w:rPr>
      <w:kern w:val="2"/>
      <w:sz w:val="21"/>
      <w:szCs w:val="22"/>
    </w:rPr>
  </w:style>
  <w:style w:type="paragraph" w:styleId="131">
    <w:name w:val="List Paragraph"/>
    <w:basedOn w:val="1"/>
    <w:link w:val="130"/>
    <w:autoRedefine/>
    <w:qFormat/>
    <w:uiPriority w:val="34"/>
    <w:pPr>
      <w:ind w:firstLine="420" w:firstLineChars="200"/>
    </w:pPr>
    <w:rPr>
      <w:szCs w:val="22"/>
    </w:rPr>
  </w:style>
  <w:style w:type="character" w:customStyle="1" w:styleId="132">
    <w:name w:val="bookmark-item"/>
    <w:basedOn w:val="55"/>
    <w:autoRedefine/>
    <w:qFormat/>
    <w:uiPriority w:val="0"/>
  </w:style>
  <w:style w:type="character" w:customStyle="1" w:styleId="133">
    <w:name w:val="lotusalttext"/>
    <w:basedOn w:val="55"/>
    <w:autoRedefine/>
    <w:qFormat/>
    <w:uiPriority w:val="0"/>
  </w:style>
  <w:style w:type="character" w:customStyle="1" w:styleId="134">
    <w:name w:val="optnmore"/>
    <w:autoRedefine/>
    <w:qFormat/>
    <w:uiPriority w:val="0"/>
    <w:rPr>
      <w:color w:val="5596E6"/>
    </w:rPr>
  </w:style>
  <w:style w:type="character" w:customStyle="1" w:styleId="135">
    <w:name w:val="纯文本字符1"/>
    <w:autoRedefine/>
    <w:semiHidden/>
    <w:qFormat/>
    <w:uiPriority w:val="0"/>
    <w:rPr>
      <w:rFonts w:ascii="宋体" w:hAnsi="Courier"/>
      <w:snapToGrid w:val="0"/>
      <w:sz w:val="24"/>
      <w:szCs w:val="24"/>
    </w:rPr>
  </w:style>
  <w:style w:type="character" w:customStyle="1" w:styleId="136">
    <w:name w:val="GW-正文 Char"/>
    <w:link w:val="137"/>
    <w:autoRedefine/>
    <w:qFormat/>
    <w:uiPriority w:val="0"/>
    <w:rPr>
      <w:rFonts w:eastAsia="仿宋_GB2312"/>
      <w:sz w:val="24"/>
      <w:szCs w:val="24"/>
      <w:lang w:val="en-US" w:eastAsia="zh-CN" w:bidi="ar-SA"/>
    </w:rPr>
  </w:style>
  <w:style w:type="paragraph" w:customStyle="1" w:styleId="137">
    <w:name w:val="GW-正文"/>
    <w:link w:val="136"/>
    <w:autoRedefine/>
    <w:qFormat/>
    <w:uiPriority w:val="0"/>
    <w:pPr>
      <w:spacing w:line="300" w:lineRule="auto"/>
      <w:ind w:firstLine="200" w:firstLineChars="200"/>
    </w:pPr>
    <w:rPr>
      <w:rFonts w:ascii="Times New Roman" w:hAnsi="Times New Roman" w:eastAsia="仿宋_GB2312" w:cs="Times New Roman"/>
      <w:sz w:val="24"/>
      <w:szCs w:val="24"/>
      <w:lang w:val="en-US" w:eastAsia="zh-CN" w:bidi="ar-SA"/>
    </w:rPr>
  </w:style>
  <w:style w:type="character" w:customStyle="1" w:styleId="138">
    <w:name w:val="optnsets"/>
    <w:autoRedefine/>
    <w:qFormat/>
    <w:uiPriority w:val="0"/>
    <w:rPr>
      <w:color w:val="5596E6"/>
    </w:rPr>
  </w:style>
  <w:style w:type="character" w:customStyle="1" w:styleId="139">
    <w:name w:val="批注文字 Char"/>
    <w:autoRedefine/>
    <w:qFormat/>
    <w:uiPriority w:val="99"/>
    <w:rPr>
      <w:kern w:val="2"/>
      <w:sz w:val="21"/>
      <w:szCs w:val="24"/>
    </w:rPr>
  </w:style>
  <w:style w:type="character" w:customStyle="1" w:styleId="140">
    <w:name w:val="标题 Char3"/>
    <w:autoRedefine/>
    <w:qFormat/>
    <w:uiPriority w:val="0"/>
    <w:rPr>
      <w:rFonts w:ascii="Calibri Light" w:hAnsi="Calibri Light"/>
      <w:b/>
      <w:bCs/>
      <w:kern w:val="2"/>
      <w:sz w:val="32"/>
      <w:szCs w:val="32"/>
    </w:rPr>
  </w:style>
  <w:style w:type="character" w:customStyle="1" w:styleId="141">
    <w:name w:val="样式二"/>
    <w:basedOn w:val="103"/>
    <w:autoRedefine/>
    <w:qFormat/>
    <w:uiPriority w:val="0"/>
    <w:rPr>
      <w:rFonts w:ascii="宋体" w:hAnsi="宋体"/>
      <w:color w:val="000000"/>
      <w:sz w:val="36"/>
    </w:rPr>
  </w:style>
  <w:style w:type="character" w:customStyle="1" w:styleId="142">
    <w:name w:val="after1"/>
    <w:basedOn w:val="55"/>
    <w:autoRedefine/>
    <w:qFormat/>
    <w:uiPriority w:val="0"/>
  </w:style>
  <w:style w:type="character" w:customStyle="1" w:styleId="143">
    <w:name w:val="after"/>
    <w:autoRedefine/>
    <w:qFormat/>
    <w:uiPriority w:val="0"/>
    <w:rPr>
      <w:shd w:val="clear" w:color="auto" w:fill="008571"/>
    </w:rPr>
  </w:style>
  <w:style w:type="paragraph" w:customStyle="1" w:styleId="144">
    <w:name w:val="TOC 标题1"/>
    <w:basedOn w:val="6"/>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5">
    <w:name w:val="表头文本"/>
    <w:autoRedefine/>
    <w:qFormat/>
    <w:uiPriority w:val="0"/>
    <w:pPr>
      <w:jc w:val="center"/>
    </w:pPr>
    <w:rPr>
      <w:rFonts w:ascii="Arial" w:hAnsi="Arial" w:eastAsia="宋体" w:cs="Times New Roman"/>
      <w:b/>
      <w:sz w:val="21"/>
      <w:szCs w:val="21"/>
      <w:lang w:val="en-US" w:eastAsia="zh-CN" w:bidi="ar-SA"/>
    </w:rPr>
  </w:style>
  <w:style w:type="paragraph" w:customStyle="1" w:styleId="146">
    <w:name w:val="节"/>
    <w:basedOn w:val="7"/>
    <w:autoRedefine/>
    <w:qFormat/>
    <w:uiPriority w:val="99"/>
    <w:pPr>
      <w:keepLines/>
      <w:tabs>
        <w:tab w:val="left" w:pos="432"/>
        <w:tab w:val="left" w:pos="576"/>
      </w:tabs>
      <w:adjustRightInd/>
      <w:snapToGrid/>
      <w:spacing w:beforeLines="100" w:afterLines="100" w:line="240" w:lineRule="auto"/>
      <w:ind w:left="576" w:hanging="576"/>
      <w:jc w:val="both"/>
      <w:textAlignment w:val="auto"/>
    </w:pPr>
    <w:rPr>
      <w:rFonts w:ascii="黑体" w:hAnsi="Arial" w:eastAsia="黑体"/>
      <w:kern w:val="2"/>
      <w:sz w:val="28"/>
      <w:szCs w:val="28"/>
      <w:lang w:val="zh-CN"/>
    </w:rPr>
  </w:style>
  <w:style w:type="paragraph" w:customStyle="1" w:styleId="147">
    <w:name w:val="正文段"/>
    <w:basedOn w:val="1"/>
    <w:autoRedefine/>
    <w:qFormat/>
    <w:uiPriority w:val="0"/>
    <w:pPr>
      <w:widowControl/>
      <w:snapToGrid w:val="0"/>
      <w:spacing w:afterLines="50"/>
      <w:ind w:firstLine="200" w:firstLineChars="200"/>
    </w:pPr>
    <w:rPr>
      <w:kern w:val="0"/>
      <w:sz w:val="24"/>
      <w:szCs w:val="20"/>
    </w:rPr>
  </w:style>
  <w:style w:type="paragraph" w:customStyle="1" w:styleId="148">
    <w:name w:val="--规划正文"/>
    <w:basedOn w:val="1"/>
    <w:autoRedefine/>
    <w:qFormat/>
    <w:uiPriority w:val="0"/>
    <w:pPr>
      <w:widowControl/>
      <w:suppressAutoHyphens/>
      <w:spacing w:line="360" w:lineRule="auto"/>
      <w:ind w:firstLine="200"/>
      <w:jc w:val="left"/>
    </w:pPr>
    <w:rPr>
      <w:kern w:val="1"/>
      <w:szCs w:val="20"/>
      <w:lang w:eastAsia="ar-SA"/>
    </w:rPr>
  </w:style>
  <w:style w:type="paragraph" w:customStyle="1" w:styleId="149">
    <w:name w:val="Char Char Char Char Char Char Char"/>
    <w:basedOn w:val="1"/>
    <w:autoRedefine/>
    <w:qFormat/>
    <w:uiPriority w:val="0"/>
    <w:rPr>
      <w:szCs w:val="21"/>
    </w:rPr>
  </w:style>
  <w:style w:type="paragraph" w:customStyle="1" w:styleId="150">
    <w:name w:val="_Style 2"/>
    <w:basedOn w:val="1"/>
    <w:autoRedefine/>
    <w:qFormat/>
    <w:uiPriority w:val="0"/>
    <w:pPr>
      <w:adjustRightInd w:val="0"/>
      <w:snapToGrid w:val="0"/>
      <w:spacing w:line="360" w:lineRule="auto"/>
      <w:ind w:firstLine="200" w:firstLineChars="200"/>
      <w:jc w:val="center"/>
    </w:pPr>
    <w:rPr>
      <w:rFonts w:ascii="Calibri" w:hAnsi="Calibri" w:eastAsia="微软雅黑"/>
      <w:sz w:val="30"/>
    </w:rPr>
  </w:style>
  <w:style w:type="paragraph" w:customStyle="1" w:styleId="151">
    <w:name w:val="【正文】"/>
    <w:basedOn w:val="1"/>
    <w:autoRedefine/>
    <w:qFormat/>
    <w:uiPriority w:val="0"/>
    <w:pPr>
      <w:spacing w:beforeAutospacing="1" w:afterAutospacing="1" w:line="360" w:lineRule="auto"/>
      <w:ind w:firstLine="200" w:firstLineChars="200"/>
      <w:contextualSpacing/>
    </w:pPr>
    <w:rPr>
      <w:rFonts w:ascii="Calibri" w:hAnsi="Calibri" w:cs="黑体"/>
      <w:sz w:val="24"/>
      <w:szCs w:val="22"/>
    </w:rPr>
  </w:style>
  <w:style w:type="paragraph" w:customStyle="1" w:styleId="152">
    <w:name w:val="样式 正文1 + 段前: 0.1 行"/>
    <w:basedOn w:val="1"/>
    <w:autoRedefine/>
    <w:qFormat/>
    <w:uiPriority w:val="0"/>
    <w:pPr>
      <w:snapToGrid w:val="0"/>
      <w:spacing w:beforeLines="10" w:line="440" w:lineRule="atLeast"/>
      <w:ind w:firstLine="510"/>
    </w:pPr>
    <w:rPr>
      <w:sz w:val="24"/>
    </w:rPr>
  </w:style>
  <w:style w:type="paragraph" w:customStyle="1" w:styleId="153">
    <w:name w:val="图样式"/>
    <w:basedOn w:val="1"/>
    <w:autoRedefine/>
    <w:qFormat/>
    <w:uiPriority w:val="0"/>
    <w:pPr>
      <w:keepNext/>
      <w:widowControl/>
      <w:autoSpaceDE w:val="0"/>
      <w:autoSpaceDN w:val="0"/>
      <w:adjustRightInd w:val="0"/>
      <w:spacing w:before="80" w:after="80" w:line="360" w:lineRule="auto"/>
      <w:jc w:val="center"/>
    </w:pPr>
    <w:rPr>
      <w:snapToGrid w:val="0"/>
      <w:kern w:val="0"/>
      <w:sz w:val="24"/>
      <w:szCs w:val="21"/>
    </w:rPr>
  </w:style>
  <w:style w:type="paragraph" w:customStyle="1" w:styleId="154">
    <w:name w:val="正文2"/>
    <w:basedOn w:val="1"/>
    <w:autoRedefine/>
    <w:qFormat/>
    <w:uiPriority w:val="0"/>
    <w:pPr>
      <w:spacing w:before="156" w:line="360" w:lineRule="auto"/>
      <w:ind w:firstLine="510" w:firstLineChars="200"/>
    </w:pPr>
    <w:rPr>
      <w:sz w:val="24"/>
      <w:szCs w:val="20"/>
    </w:rPr>
  </w:style>
  <w:style w:type="paragraph" w:customStyle="1" w:styleId="155">
    <w:name w:val="列出段落1"/>
    <w:basedOn w:val="1"/>
    <w:autoRedefine/>
    <w:qFormat/>
    <w:uiPriority w:val="0"/>
    <w:pPr>
      <w:ind w:firstLine="420" w:firstLineChars="200"/>
    </w:pPr>
    <w:rPr>
      <w:szCs w:val="21"/>
    </w:rPr>
  </w:style>
  <w:style w:type="paragraph" w:customStyle="1" w:styleId="156">
    <w:name w:val="表格文本"/>
    <w:autoRedefine/>
    <w:qFormat/>
    <w:uiPriority w:val="0"/>
    <w:pPr>
      <w:tabs>
        <w:tab w:val="decimal" w:pos="0"/>
      </w:tabs>
    </w:pPr>
    <w:rPr>
      <w:rFonts w:ascii="Arial" w:hAnsi="Arial" w:eastAsia="宋体" w:cs="Times New Roman"/>
      <w:sz w:val="21"/>
      <w:szCs w:val="21"/>
      <w:lang w:val="en-US" w:eastAsia="zh-CN" w:bidi="ar-SA"/>
    </w:rPr>
  </w:style>
  <w:style w:type="paragraph" w:customStyle="1" w:styleId="157">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58">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159">
    <w:name w:val="6级标题"/>
    <w:basedOn w:val="1"/>
    <w:autoRedefine/>
    <w:qFormat/>
    <w:uiPriority w:val="0"/>
    <w:pPr>
      <w:keepNext/>
      <w:spacing w:line="360" w:lineRule="auto"/>
      <w:ind w:left="1151" w:hanging="431"/>
      <w:jc w:val="center"/>
      <w:outlineLvl w:val="5"/>
    </w:pPr>
    <w:rPr>
      <w:rFonts w:ascii="黑体" w:hAnsi="宋体" w:eastAsia="微软雅黑"/>
      <w:b/>
      <w:bCs/>
      <w:sz w:val="24"/>
      <w:szCs w:val="52"/>
    </w:rPr>
  </w:style>
  <w:style w:type="paragraph" w:customStyle="1" w:styleId="16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1">
    <w:name w:val="_Style 58"/>
    <w:basedOn w:val="1"/>
    <w:next w:val="131"/>
    <w:autoRedefine/>
    <w:qFormat/>
    <w:uiPriority w:val="0"/>
    <w:pPr>
      <w:ind w:firstLine="420" w:firstLineChars="200"/>
    </w:pPr>
    <w:rPr>
      <w:rFonts w:ascii="Calibri" w:hAnsi="Calibri"/>
      <w:szCs w:val="22"/>
    </w:rPr>
  </w:style>
  <w:style w:type="paragraph" w:customStyle="1" w:styleId="162">
    <w:name w:val="Body text|1"/>
    <w:basedOn w:val="1"/>
    <w:autoRedefine/>
    <w:qFormat/>
    <w:uiPriority w:val="0"/>
    <w:pPr>
      <w:autoSpaceDE w:val="0"/>
      <w:autoSpaceDN w:val="0"/>
      <w:adjustRightInd w:val="0"/>
      <w:spacing w:after="200" w:line="314" w:lineRule="auto"/>
      <w:jc w:val="left"/>
    </w:pPr>
    <w:rPr>
      <w:rFonts w:ascii="MingLiU" w:hAnsi="MingLiU" w:eastAsia="MingLiU" w:cs="MingLiU"/>
      <w:snapToGrid w:val="0"/>
      <w:color w:val="000963"/>
      <w:kern w:val="0"/>
      <w:sz w:val="19"/>
      <w:szCs w:val="19"/>
      <w:lang w:val="zh-TW" w:eastAsia="zh-TW" w:bidi="zh-TW"/>
    </w:rPr>
  </w:style>
  <w:style w:type="paragraph" w:customStyle="1" w:styleId="163">
    <w:name w:val="纯文本1"/>
    <w:basedOn w:val="1"/>
    <w:autoRedefine/>
    <w:qFormat/>
    <w:uiPriority w:val="0"/>
    <w:pPr>
      <w:adjustRightInd w:val="0"/>
      <w:textAlignment w:val="baseline"/>
    </w:pPr>
    <w:rPr>
      <w:rFonts w:ascii="宋体" w:hAnsi="Courier New" w:eastAsia="楷体_GB2312"/>
      <w:sz w:val="26"/>
      <w:szCs w:val="20"/>
    </w:rPr>
  </w:style>
  <w:style w:type="paragraph" w:customStyle="1" w:styleId="164">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 w:val="24"/>
      <w:szCs w:val="21"/>
    </w:rPr>
  </w:style>
  <w:style w:type="paragraph" w:customStyle="1" w:styleId="165">
    <w:name w:val="CM11"/>
    <w:basedOn w:val="166"/>
    <w:next w:val="166"/>
    <w:autoRedefine/>
    <w:unhideWhenUsed/>
    <w:qFormat/>
    <w:uiPriority w:val="99"/>
    <w:pPr>
      <w:spacing w:line="520" w:lineRule="atLeast"/>
    </w:pPr>
  </w:style>
  <w:style w:type="paragraph" w:customStyle="1" w:styleId="166">
    <w:name w:val="Default"/>
    <w:autoRedefine/>
    <w:unhideWhenUsed/>
    <w:qFormat/>
    <w:uiPriority w:val="99"/>
    <w:pPr>
      <w:widowControl w:val="0"/>
      <w:autoSpaceDE w:val="0"/>
      <w:autoSpaceDN w:val="0"/>
      <w:adjustRightInd w:val="0"/>
    </w:pPr>
    <w:rPr>
      <w:rFonts w:hint="eastAsia" w:ascii="仿宋" w:hAnsi="Times New Roman" w:eastAsia="仿宋" w:cs="Times New Roman"/>
      <w:color w:val="000000"/>
      <w:sz w:val="24"/>
      <w:lang w:val="en-US" w:eastAsia="zh-CN" w:bidi="ar-SA"/>
    </w:rPr>
  </w:style>
  <w:style w:type="paragraph" w:customStyle="1" w:styleId="167">
    <w:name w:val="正文11"/>
    <w:basedOn w:val="1"/>
    <w:next w:val="1"/>
    <w:autoRedefine/>
    <w:qFormat/>
    <w:uiPriority w:val="0"/>
    <w:pPr>
      <w:spacing w:before="120" w:line="360" w:lineRule="auto"/>
      <w:ind w:left="420" w:firstLine="527"/>
    </w:pPr>
    <w:rPr>
      <w:rFonts w:ascii="宋体" w:hAnsi="宋体"/>
    </w:rPr>
  </w:style>
  <w:style w:type="paragraph" w:customStyle="1" w:styleId="168">
    <w:name w:val="_Style 54"/>
    <w:basedOn w:val="1"/>
    <w:autoRedefine/>
    <w:qFormat/>
    <w:uiPriority w:val="0"/>
    <w:pPr>
      <w:adjustRightInd w:val="0"/>
      <w:snapToGrid w:val="0"/>
      <w:spacing w:line="360" w:lineRule="auto"/>
      <w:ind w:firstLine="420" w:firstLineChars="200"/>
    </w:pPr>
    <w:rPr>
      <w:rFonts w:ascii="Calibri" w:hAnsi="Calibri"/>
      <w:sz w:val="24"/>
    </w:rPr>
  </w:style>
  <w:style w:type="paragraph" w:customStyle="1" w:styleId="169">
    <w:name w:val="注示头"/>
    <w:basedOn w:val="1"/>
    <w:autoRedefine/>
    <w:qFormat/>
    <w:uiPriority w:val="0"/>
    <w:pPr>
      <w:pBdr>
        <w:top w:val="single" w:color="000000" w:sz="4" w:space="1"/>
      </w:pBdr>
      <w:autoSpaceDE w:val="0"/>
      <w:autoSpaceDN w:val="0"/>
      <w:adjustRightInd w:val="0"/>
      <w:spacing w:line="360" w:lineRule="auto"/>
    </w:pPr>
    <w:rPr>
      <w:rFonts w:ascii="Arial" w:hAnsi="Arial" w:eastAsia="黑体"/>
      <w:snapToGrid w:val="0"/>
      <w:kern w:val="0"/>
      <w:sz w:val="18"/>
      <w:szCs w:val="21"/>
    </w:rPr>
  </w:style>
  <w:style w:type="paragraph" w:customStyle="1" w:styleId="170">
    <w:name w:val="5级标题"/>
    <w:basedOn w:val="1"/>
    <w:autoRedefine/>
    <w:qFormat/>
    <w:uiPriority w:val="0"/>
    <w:pPr>
      <w:keepNext/>
      <w:ind w:left="148" w:leftChars="-52" w:right="-7" w:rightChars="-7" w:hanging="200" w:hangingChars="200"/>
      <w:jc w:val="left"/>
      <w:outlineLvl w:val="4"/>
    </w:pPr>
    <w:rPr>
      <w:rFonts w:ascii="宋体" w:hAnsi="宋体"/>
      <w:bCs/>
      <w:sz w:val="24"/>
      <w:szCs w:val="30"/>
    </w:rPr>
  </w:style>
  <w:style w:type="paragraph" w:customStyle="1" w:styleId="171">
    <w:name w:val="表内文字"/>
    <w:basedOn w:val="1"/>
    <w:autoRedefine/>
    <w:qFormat/>
    <w:uiPriority w:val="0"/>
    <w:pPr>
      <w:jc w:val="center"/>
    </w:pPr>
    <w:rPr>
      <w:rFonts w:ascii="仿宋_GB2312" w:eastAsia="仿宋_GB2312"/>
      <w:sz w:val="24"/>
    </w:rPr>
  </w:style>
  <w:style w:type="paragraph" w:customStyle="1" w:styleId="172">
    <w:name w:val="Char Char9 Char Char"/>
    <w:basedOn w:val="1"/>
    <w:autoRedefine/>
    <w:qFormat/>
    <w:uiPriority w:val="0"/>
    <w:pPr>
      <w:tabs>
        <w:tab w:val="left" w:pos="360"/>
      </w:tabs>
    </w:pPr>
  </w:style>
  <w:style w:type="paragraph" w:customStyle="1" w:styleId="173">
    <w:name w:val="纯文本11"/>
    <w:basedOn w:val="1"/>
    <w:autoRedefine/>
    <w:qFormat/>
    <w:uiPriority w:val="0"/>
    <w:pPr>
      <w:adjustRightInd w:val="0"/>
      <w:textAlignment w:val="baseline"/>
    </w:pPr>
    <w:rPr>
      <w:rFonts w:ascii="宋体" w:hAnsi="Courier New" w:eastAsia="楷体_GB2312"/>
      <w:sz w:val="26"/>
      <w:szCs w:val="20"/>
    </w:rPr>
  </w:style>
  <w:style w:type="paragraph" w:customStyle="1" w:styleId="174">
    <w:name w:val="正文（首行不缩进）"/>
    <w:basedOn w:val="1"/>
    <w:autoRedefine/>
    <w:qFormat/>
    <w:uiPriority w:val="0"/>
    <w:pPr>
      <w:autoSpaceDE w:val="0"/>
      <w:autoSpaceDN w:val="0"/>
      <w:adjustRightInd w:val="0"/>
      <w:spacing w:line="360" w:lineRule="auto"/>
      <w:jc w:val="left"/>
    </w:pPr>
    <w:rPr>
      <w:snapToGrid w:val="0"/>
      <w:kern w:val="0"/>
      <w:sz w:val="24"/>
      <w:szCs w:val="21"/>
    </w:rPr>
  </w:style>
  <w:style w:type="paragraph" w:customStyle="1" w:styleId="175">
    <w:name w:val="封面标题"/>
    <w:autoRedefine/>
    <w:qFormat/>
    <w:uiPriority w:val="0"/>
    <w:pPr>
      <w:spacing w:beforeLines="500" w:afterLines="300"/>
      <w:jc w:val="center"/>
    </w:pPr>
    <w:rPr>
      <w:rFonts w:ascii="Times New Roman" w:hAnsi="Times New Roman" w:eastAsia="黑体" w:cs="Times New Roman"/>
      <w:b/>
      <w:kern w:val="2"/>
      <w:sz w:val="52"/>
      <w:szCs w:val="22"/>
      <w:lang w:val="en-US" w:eastAsia="zh-CN" w:bidi="ar-SA"/>
    </w:rPr>
  </w:style>
  <w:style w:type="paragraph" w:customStyle="1" w:styleId="176">
    <w:name w:val="列出段落11"/>
    <w:basedOn w:val="1"/>
    <w:autoRedefine/>
    <w:qFormat/>
    <w:uiPriority w:val="0"/>
    <w:pPr>
      <w:ind w:firstLine="420" w:firstLineChars="200"/>
    </w:pPr>
    <w:rPr>
      <w:rFonts w:ascii="Calibri" w:hAnsi="Calibri"/>
      <w:szCs w:val="20"/>
    </w:rPr>
  </w:style>
  <w:style w:type="paragraph" w:customStyle="1" w:styleId="177">
    <w:name w:val="FBY-表格文字"/>
    <w:basedOn w:val="1"/>
    <w:autoRedefine/>
    <w:qFormat/>
    <w:uiPriority w:val="99"/>
    <w:pPr>
      <w:adjustRightInd w:val="0"/>
      <w:jc w:val="left"/>
      <w:textAlignment w:val="top"/>
    </w:pPr>
    <w:rPr>
      <w:szCs w:val="20"/>
    </w:rPr>
  </w:style>
  <w:style w:type="paragraph" w:customStyle="1" w:styleId="178">
    <w:name w:val="默认段落字体 Para Char Char Char Char Char Char Char Char Char1 Char Char Char Char"/>
    <w:basedOn w:val="1"/>
    <w:autoRedefine/>
    <w:qFormat/>
    <w:uiPriority w:val="0"/>
    <w:rPr>
      <w:rFonts w:ascii="Tahoma" w:hAnsi="Tahoma"/>
      <w:sz w:val="24"/>
      <w:szCs w:val="20"/>
    </w:rPr>
  </w:style>
  <w:style w:type="paragraph" w:customStyle="1" w:styleId="179">
    <w:name w:val="文档标题"/>
    <w:basedOn w:val="1"/>
    <w:autoRedefine/>
    <w:qFormat/>
    <w:uiPriority w:val="0"/>
    <w:pPr>
      <w:tabs>
        <w:tab w:val="left" w:pos="0"/>
      </w:tabs>
      <w:autoSpaceDE w:val="0"/>
      <w:autoSpaceDN w:val="0"/>
      <w:adjustRightInd w:val="0"/>
      <w:spacing w:before="300" w:after="300" w:line="360" w:lineRule="auto"/>
      <w:jc w:val="center"/>
    </w:pPr>
    <w:rPr>
      <w:rFonts w:ascii="Arial" w:hAnsi="Arial" w:eastAsia="黑体"/>
      <w:snapToGrid w:val="0"/>
      <w:kern w:val="0"/>
      <w:sz w:val="36"/>
      <w:szCs w:val="36"/>
    </w:rPr>
  </w:style>
  <w:style w:type="paragraph" w:customStyle="1" w:styleId="180">
    <w:name w:val="1 Char Char Char Char"/>
    <w:basedOn w:val="1"/>
    <w:autoRedefine/>
    <w:qFormat/>
    <w:uiPriority w:val="0"/>
    <w:rPr>
      <w:rFonts w:ascii="Tahoma" w:hAnsi="Tahoma"/>
      <w:sz w:val="24"/>
      <w:szCs w:val="20"/>
    </w:rPr>
  </w:style>
  <w:style w:type="paragraph" w:customStyle="1" w:styleId="181">
    <w:name w:val="默认段落字体 Para Char Char Char Char"/>
    <w:basedOn w:val="1"/>
    <w:autoRedefine/>
    <w:qFormat/>
    <w:uiPriority w:val="0"/>
    <w:rPr>
      <w:rFonts w:ascii="Arial" w:hAnsi="Arial" w:cs="Arial"/>
      <w:szCs w:val="21"/>
    </w:rPr>
  </w:style>
  <w:style w:type="paragraph" w:customStyle="1" w:styleId="182">
    <w:name w:val="注示文本"/>
    <w:basedOn w:val="1"/>
    <w:autoRedefine/>
    <w:qFormat/>
    <w:uiPriority w:val="0"/>
    <w:pPr>
      <w:pBdr>
        <w:bottom w:val="single" w:color="000000" w:sz="4" w:space="1"/>
      </w:pBdr>
      <w:autoSpaceDE w:val="0"/>
      <w:autoSpaceDN w:val="0"/>
      <w:adjustRightInd w:val="0"/>
      <w:spacing w:line="360" w:lineRule="auto"/>
      <w:ind w:firstLine="360"/>
    </w:pPr>
    <w:rPr>
      <w:rFonts w:ascii="Arial" w:hAnsi="Arial" w:eastAsia="楷体_GB2312"/>
      <w:snapToGrid w:val="0"/>
      <w:kern w:val="0"/>
      <w:sz w:val="18"/>
      <w:szCs w:val="18"/>
    </w:rPr>
  </w:style>
  <w:style w:type="paragraph" w:customStyle="1" w:styleId="183">
    <w:name w:val="插图题注"/>
    <w:next w:val="1"/>
    <w:autoRedefine/>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184">
    <w:name w:val="TOC 标题11"/>
    <w:basedOn w:val="6"/>
    <w:next w:val="1"/>
    <w:autoRedefine/>
    <w:unhideWhenUsed/>
    <w:qFormat/>
    <w:uiPriority w:val="39"/>
    <w:pPr>
      <w:widowControl/>
      <w:spacing w:beforeLines="100" w:afterLines="100" w:line="259" w:lineRule="auto"/>
      <w:jc w:val="left"/>
      <w:outlineLvl w:val="9"/>
    </w:pPr>
    <w:rPr>
      <w:rFonts w:ascii="Cambria" w:hAnsi="Cambria"/>
      <w:b w:val="0"/>
      <w:bCs w:val="0"/>
      <w:color w:val="365F91"/>
      <w:kern w:val="0"/>
      <w:sz w:val="32"/>
      <w:szCs w:val="32"/>
    </w:rPr>
  </w:style>
  <w:style w:type="paragraph" w:customStyle="1" w:styleId="185">
    <w:name w:val="表格题注"/>
    <w:next w:val="1"/>
    <w:autoRedefine/>
    <w:qFormat/>
    <w:uiPriority w:val="0"/>
    <w:pPr>
      <w:keepLines/>
      <w:spacing w:beforeLines="100"/>
      <w:ind w:left="1089" w:hanging="369"/>
      <w:jc w:val="center"/>
    </w:pPr>
    <w:rPr>
      <w:rFonts w:ascii="Arial" w:hAnsi="Arial" w:eastAsia="宋体" w:cs="Times New Roman"/>
      <w:sz w:val="18"/>
      <w:szCs w:val="18"/>
      <w:lang w:val="en-US" w:eastAsia="zh-CN" w:bidi="ar-SA"/>
    </w:rPr>
  </w:style>
  <w:style w:type="table" w:customStyle="1" w:styleId="186">
    <w:name w:val="表样式"/>
    <w:basedOn w:val="52"/>
    <w:autoRedefine/>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87">
    <w:name w:val="浅色列表1"/>
    <w:basedOn w:val="52"/>
    <w:autoRedefine/>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88">
    <w:name w:val="Table Normal"/>
    <w:autoRedefine/>
    <w:qFormat/>
    <w:uiPriority w:val="0"/>
    <w:tblPr>
      <w:tblCellMar>
        <w:top w:w="0" w:type="dxa"/>
        <w:left w:w="0" w:type="dxa"/>
        <w:bottom w:w="0" w:type="dxa"/>
        <w:right w:w="0" w:type="dxa"/>
      </w:tblCellMar>
    </w:tblPr>
  </w:style>
  <w:style w:type="paragraph" w:customStyle="1" w:styleId="189">
    <w:name w:val="122222222"/>
    <w:basedOn w:val="18"/>
    <w:autoRedefine/>
    <w:qFormat/>
    <w:uiPriority w:val="0"/>
    <w:pPr>
      <w:autoSpaceDE w:val="0"/>
      <w:autoSpaceDN w:val="0"/>
      <w:adjustRightInd w:val="0"/>
      <w:spacing w:line="360" w:lineRule="auto"/>
      <w:ind w:firstLine="552" w:firstLineChars="197"/>
      <w:textAlignment w:val="baseline"/>
    </w:pPr>
    <w:rPr>
      <w:rFonts w:ascii="Calibri" w:hAnsi="Calibri"/>
      <w:color w:val="000000"/>
    </w:rPr>
  </w:style>
  <w:style w:type="character" w:customStyle="1" w:styleId="190">
    <w:name w:val="无间隔 字符"/>
    <w:link w:val="191"/>
    <w:autoRedefine/>
    <w:qFormat/>
    <w:uiPriority w:val="1"/>
    <w:rPr>
      <w:kern w:val="2"/>
      <w:sz w:val="21"/>
      <w:szCs w:val="22"/>
    </w:rPr>
  </w:style>
  <w:style w:type="paragraph" w:styleId="191">
    <w:name w:val="No Spacing"/>
    <w:link w:val="190"/>
    <w:autoRedefine/>
    <w:qFormat/>
    <w:uiPriority w:val="1"/>
    <w:pPr>
      <w:widowControl w:val="0"/>
    </w:pPr>
    <w:rPr>
      <w:rFonts w:ascii="Times New Roman" w:hAnsi="Times New Roman" w:eastAsia="宋体" w:cs="Times New Roman"/>
      <w:kern w:val="2"/>
      <w:sz w:val="21"/>
      <w:szCs w:val="22"/>
      <w:lang w:val="en-US" w:eastAsia="zh-CN" w:bidi="ar-SA"/>
    </w:rPr>
  </w:style>
  <w:style w:type="character" w:customStyle="1" w:styleId="192">
    <w:name w:val="表格文字 Char"/>
    <w:link w:val="2"/>
    <w:autoRedefine/>
    <w:qFormat/>
    <w:uiPriority w:val="0"/>
    <w:rPr>
      <w:kern w:val="2"/>
      <w:sz w:val="18"/>
      <w:szCs w:val="24"/>
    </w:rPr>
  </w:style>
  <w:style w:type="paragraph" w:customStyle="1" w:styleId="193">
    <w:name w:val="样式1"/>
    <w:basedOn w:val="6"/>
    <w:next w:val="1"/>
    <w:link w:val="194"/>
    <w:autoRedefine/>
    <w:qFormat/>
    <w:uiPriority w:val="0"/>
    <w:pPr>
      <w:spacing w:line="240" w:lineRule="auto"/>
    </w:pPr>
    <w:rPr>
      <w:rFonts w:ascii="宋体" w:hAnsi="宋体" w:cstheme="minorBidi"/>
      <w:sz w:val="24"/>
    </w:rPr>
  </w:style>
  <w:style w:type="character" w:customStyle="1" w:styleId="194">
    <w:name w:val="样式1 字符"/>
    <w:basedOn w:val="66"/>
    <w:link w:val="193"/>
    <w:autoRedefine/>
    <w:qFormat/>
    <w:uiPriority w:val="0"/>
    <w:rPr>
      <w:rFonts w:ascii="宋体" w:hAnsi="宋体" w:cstheme="minorBidi"/>
      <w:kern w:val="44"/>
      <w:sz w:val="24"/>
      <w:szCs w:val="44"/>
    </w:rPr>
  </w:style>
  <w:style w:type="paragraph" w:customStyle="1" w:styleId="195">
    <w:name w:val="样式2"/>
    <w:basedOn w:val="7"/>
    <w:next w:val="1"/>
    <w:link w:val="196"/>
    <w:autoRedefine/>
    <w:qFormat/>
    <w:uiPriority w:val="0"/>
    <w:pPr>
      <w:keepLines/>
      <w:adjustRightInd/>
      <w:snapToGrid/>
      <w:spacing w:before="260" w:after="260" w:line="240" w:lineRule="auto"/>
      <w:jc w:val="both"/>
      <w:textAlignment w:val="auto"/>
    </w:pPr>
    <w:rPr>
      <w:rFonts w:eastAsia="宋体" w:asciiTheme="majorHAnsi" w:hAnsiTheme="majorHAnsi" w:cstheme="majorBidi"/>
      <w:kern w:val="2"/>
      <w:sz w:val="24"/>
      <w:szCs w:val="32"/>
    </w:rPr>
  </w:style>
  <w:style w:type="character" w:customStyle="1" w:styleId="196">
    <w:name w:val="样式2 字符"/>
    <w:basedOn w:val="65"/>
    <w:link w:val="195"/>
    <w:autoRedefine/>
    <w:qFormat/>
    <w:uiPriority w:val="0"/>
    <w:rPr>
      <w:rFonts w:eastAsia="仿宋_GB2312" w:asciiTheme="majorHAnsi" w:hAnsiTheme="majorHAnsi" w:cstheme="majorBidi"/>
      <w:bCs/>
      <w:kern w:val="2"/>
      <w:sz w:val="24"/>
      <w:szCs w:val="32"/>
    </w:rPr>
  </w:style>
  <w:style w:type="paragraph" w:customStyle="1" w:styleId="197">
    <w:name w:val="样式3"/>
    <w:basedOn w:val="8"/>
    <w:next w:val="1"/>
    <w:link w:val="198"/>
    <w:autoRedefine/>
    <w:qFormat/>
    <w:uiPriority w:val="0"/>
    <w:pPr>
      <w:spacing w:line="240" w:lineRule="auto"/>
      <w:ind w:firstLine="0" w:firstLineChars="0"/>
    </w:pPr>
    <w:rPr>
      <w:rFonts w:ascii="宋体" w:hAnsi="宋体" w:eastAsia="宋体" w:cstheme="minorBidi"/>
      <w:sz w:val="24"/>
      <w:szCs w:val="32"/>
    </w:rPr>
  </w:style>
  <w:style w:type="character" w:customStyle="1" w:styleId="198">
    <w:name w:val="样式3 字符"/>
    <w:basedOn w:val="68"/>
    <w:link w:val="197"/>
    <w:autoRedefine/>
    <w:qFormat/>
    <w:uiPriority w:val="0"/>
    <w:rPr>
      <w:rFonts w:ascii="宋体" w:hAnsi="宋体" w:eastAsia="仿宋_GB2312" w:cstheme="minorBidi"/>
      <w:kern w:val="2"/>
      <w:sz w:val="24"/>
      <w:szCs w:val="32"/>
    </w:rPr>
  </w:style>
  <w:style w:type="paragraph" w:customStyle="1" w:styleId="199">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正文3"/>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1">
    <w:name w:val="正文缩进2格"/>
    <w:basedOn w:val="1"/>
    <w:autoRedefine/>
    <w:qFormat/>
    <w:uiPriority w:val="0"/>
    <w:pPr>
      <w:widowControl/>
      <w:spacing w:line="600" w:lineRule="exact"/>
      <w:ind w:firstLine="639" w:firstLineChars="206"/>
      <w:jc w:val="left"/>
    </w:pPr>
    <w:rPr>
      <w:rFonts w:ascii="仿宋_GB2312" w:hAnsi="宋体" w:eastAsia="仿宋_GB2312"/>
      <w:kern w:val="0"/>
      <w:sz w:val="31"/>
      <w:szCs w:val="28"/>
    </w:rPr>
  </w:style>
  <w:style w:type="character" w:customStyle="1" w:styleId="202">
    <w:name w:val="日期 Char3"/>
    <w:autoRedefine/>
    <w:qFormat/>
    <w:uiPriority w:val="0"/>
    <w:rPr>
      <w:rFonts w:eastAsia="仿宋_GB2312" w:cs="Times New Roman"/>
      <w:kern w:val="2"/>
      <w:sz w:val="28"/>
      <w:lang w:val="en-US" w:eastAsia="zh-CN" w:bidi="ar-SA"/>
    </w:rPr>
  </w:style>
  <w:style w:type="character" w:customStyle="1" w:styleId="203">
    <w:name w:val="纯文本 Char2"/>
    <w:autoRedefine/>
    <w:qFormat/>
    <w:locked/>
    <w:uiPriority w:val="0"/>
    <w:rPr>
      <w:rFonts w:ascii="宋体" w:hAnsi="Courier New" w:cs="Courier New"/>
      <w:szCs w:val="21"/>
    </w:rPr>
  </w:style>
  <w:style w:type="paragraph" w:customStyle="1" w:styleId="204">
    <w:name w:val="Char Char Char Char"/>
    <w:basedOn w:val="1"/>
    <w:autoRedefine/>
    <w:qFormat/>
    <w:uiPriority w:val="99"/>
    <w:pPr>
      <w:widowControl/>
      <w:jc w:val="left"/>
    </w:pPr>
    <w:rPr>
      <w:rFonts w:ascii="Calibri" w:hAnsi="Calibri" w:cs="宋体"/>
      <w:kern w:val="0"/>
      <w:sz w:val="24"/>
    </w:rPr>
  </w:style>
  <w:style w:type="character" w:customStyle="1" w:styleId="205">
    <w:name w:val="NormalCharacter"/>
    <w:autoRedefine/>
    <w:qFormat/>
    <w:uiPriority w:val="0"/>
    <w:rPr>
      <w:rFonts w:ascii="Calibri" w:hAnsi="Calibri" w:eastAsia="宋体"/>
    </w:rPr>
  </w:style>
  <w:style w:type="paragraph" w:customStyle="1" w:styleId="20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07">
    <w:name w:val="Table Paragraph"/>
    <w:basedOn w:val="1"/>
    <w:autoRedefine/>
    <w:qFormat/>
    <w:uiPriority w:val="1"/>
    <w:rPr>
      <w:rFonts w:ascii="宋体" w:hAnsi="宋体" w:cs="宋体"/>
      <w:sz w:val="24"/>
      <w:lang w:val="zh-CN" w:bidi="zh-CN"/>
    </w:rPr>
  </w:style>
  <w:style w:type="paragraph" w:customStyle="1" w:styleId="208">
    <w:name w:val="CM13"/>
    <w:basedOn w:val="166"/>
    <w:next w:val="166"/>
    <w:autoRedefine/>
    <w:unhideWhenUsed/>
    <w:qFormat/>
    <w:uiPriority w:val="99"/>
    <w:pPr>
      <w:spacing w:line="520" w:lineRule="atLeast"/>
    </w:pPr>
  </w:style>
  <w:style w:type="paragraph" w:customStyle="1" w:styleId="209">
    <w:name w:val="msolistparagraph"/>
    <w:basedOn w:val="1"/>
    <w:autoRedefine/>
    <w:qFormat/>
    <w:uiPriority w:val="0"/>
    <w:pPr>
      <w:ind w:firstLine="420" w:firstLineChars="200"/>
    </w:pPr>
  </w:style>
  <w:style w:type="character" w:customStyle="1" w:styleId="210">
    <w:name w:val="font71"/>
    <w:basedOn w:val="55"/>
    <w:autoRedefine/>
    <w:qFormat/>
    <w:uiPriority w:val="0"/>
    <w:rPr>
      <w:rFonts w:hint="eastAsia" w:ascii="宋体" w:hAnsi="宋体" w:eastAsia="宋体" w:cs="宋体"/>
      <w:color w:val="000000"/>
      <w:sz w:val="18"/>
      <w:szCs w:val="18"/>
      <w:u w:val="none"/>
    </w:rPr>
  </w:style>
  <w:style w:type="character" w:customStyle="1" w:styleId="211">
    <w:name w:val="font31"/>
    <w:basedOn w:val="55"/>
    <w:autoRedefine/>
    <w:qFormat/>
    <w:uiPriority w:val="0"/>
    <w:rPr>
      <w:rFonts w:hint="default" w:ascii="Helvetica" w:hAnsi="Helvetica" w:eastAsia="Helvetica" w:cs="Helvetica"/>
      <w:b/>
      <w:bCs/>
      <w:color w:val="000000"/>
      <w:sz w:val="18"/>
      <w:szCs w:val="18"/>
      <w:u w:val="none"/>
    </w:rPr>
  </w:style>
  <w:style w:type="character" w:customStyle="1" w:styleId="212">
    <w:name w:val="font41"/>
    <w:basedOn w:val="55"/>
    <w:autoRedefine/>
    <w:qFormat/>
    <w:uiPriority w:val="0"/>
    <w:rPr>
      <w:rFonts w:hint="eastAsia" w:ascii="宋体" w:hAnsi="宋体" w:eastAsia="宋体" w:cs="宋体"/>
      <w:b/>
      <w:bCs/>
      <w:color w:val="000000"/>
      <w:sz w:val="18"/>
      <w:szCs w:val="18"/>
      <w:u w:val="none"/>
    </w:rPr>
  </w:style>
  <w:style w:type="paragraph" w:customStyle="1" w:styleId="213">
    <w:name w:val="纯文本_0"/>
    <w:basedOn w:val="1"/>
    <w:autoRedefine/>
    <w:qFormat/>
    <w:uiPriority w:val="0"/>
    <w:pPr>
      <w:spacing w:before="50" w:after="50"/>
    </w:pPr>
    <w:rPr>
      <w:rFonts w:ascii="宋体" w:hAnsi="Courier New"/>
      <w:kern w:val="0"/>
      <w:sz w:val="20"/>
      <w:szCs w:val="20"/>
    </w:rPr>
  </w:style>
  <w:style w:type="paragraph" w:customStyle="1" w:styleId="214">
    <w:name w:val="BodyText1I2"/>
    <w:basedOn w:val="215"/>
    <w:autoRedefine/>
    <w:qFormat/>
    <w:uiPriority w:val="0"/>
    <w:pPr>
      <w:ind w:firstLine="420" w:firstLineChars="200"/>
    </w:pPr>
    <w:rPr>
      <w:rFonts w:ascii="仿宋_GB2312"/>
    </w:rPr>
  </w:style>
  <w:style w:type="paragraph" w:customStyle="1" w:styleId="215">
    <w:name w:val="BodyTextIndent"/>
    <w:basedOn w:val="1"/>
    <w:autoRedefine/>
    <w:qFormat/>
    <w:uiPriority w:val="0"/>
    <w:pPr>
      <w:ind w:firstLine="645"/>
      <w:textAlignment w:val="baseline"/>
    </w:pPr>
  </w:style>
  <w:style w:type="paragraph" w:customStyle="1" w:styleId="216">
    <w:name w:val="样式 仿宋_GB2312 四号 居中"/>
    <w:basedOn w:val="1"/>
    <w:qFormat/>
    <w:uiPriority w:val="0"/>
    <w:pPr>
      <w:jc w:val="center"/>
    </w:pPr>
    <w:rPr>
      <w:rFonts w:ascii="仿宋_GB2312" w:hAnsi="仿宋_GB2312" w:eastAsia="Times New Roman" w:cs="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9FDB3384-0C67-4A67-B2B1-73C926EE2C1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28558</Words>
  <Characters>30280</Characters>
  <Lines>240</Lines>
  <Paragraphs>67</Paragraphs>
  <TotalTime>51</TotalTime>
  <ScaleCrop>false</ScaleCrop>
  <LinksUpToDate>false</LinksUpToDate>
  <CharactersWithSpaces>31981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2022-06-18T03:02:00Z</dcterms:created>
  <dc:creator>微软用户</dc:creator>
  <cp:lastModifiedBy>夕</cp:lastModifiedBy>
  <cp:lastPrinted>2022-10-01T08:29:00Z</cp:lastPrinted>
  <dcterms:modified xsi:type="dcterms:W3CDTF">2024-09-23T07:39:33Z</dcterms:modified>
  <dc:title>1</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C7C7BA6AB51774A37461E2668B382A74_43</vt:lpwstr>
  </property>
</Properties>
</file>