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4D67B">
      <w:pPr>
        <w:spacing w:line="360" w:lineRule="auto"/>
        <w:jc w:val="center"/>
        <w:rPr>
          <w:rFonts w:ascii="宋体" w:hAnsi="宋体" w:cs="宋体"/>
          <w:b/>
          <w:color w:val="auto"/>
          <w:sz w:val="24"/>
          <w:highlight w:val="none"/>
        </w:rPr>
      </w:pPr>
    </w:p>
    <w:p w14:paraId="35FFC301">
      <w:pPr>
        <w:spacing w:line="360" w:lineRule="auto"/>
        <w:jc w:val="center"/>
        <w:rPr>
          <w:rFonts w:ascii="宋体" w:hAnsi="宋体" w:cs="宋体"/>
          <w:b/>
          <w:color w:val="auto"/>
          <w:sz w:val="24"/>
          <w:highlight w:val="none"/>
        </w:rPr>
      </w:pPr>
    </w:p>
    <w:p w14:paraId="78A7C9F9">
      <w:pPr>
        <w:adjustRightInd/>
        <w:spacing w:line="360" w:lineRule="auto"/>
        <w:jc w:val="center"/>
        <w:rPr>
          <w:rFonts w:ascii="宋体" w:hAnsi="宋体" w:cs="宋体"/>
          <w:b/>
          <w:color w:val="auto"/>
          <w:sz w:val="44"/>
          <w:szCs w:val="44"/>
          <w:highlight w:val="none"/>
        </w:rPr>
      </w:pPr>
    </w:p>
    <w:p w14:paraId="0CBBCD55">
      <w:pPr>
        <w:spacing w:line="360" w:lineRule="auto"/>
        <w:jc w:val="center"/>
        <w:rPr>
          <w:rFonts w:ascii="宋体" w:hAnsi="宋体" w:cs="宋体"/>
          <w:b/>
          <w:color w:val="auto"/>
          <w:sz w:val="44"/>
          <w:szCs w:val="44"/>
          <w:highlight w:val="none"/>
        </w:rPr>
      </w:pPr>
    </w:p>
    <w:p w14:paraId="73A5A16F">
      <w:pPr>
        <w:adjustRightInd/>
        <w:spacing w:line="360" w:lineRule="auto"/>
        <w:jc w:val="center"/>
        <w:rPr>
          <w:rFonts w:ascii="宋体" w:hAnsi="宋体" w:cs="宋体"/>
          <w:b/>
          <w:color w:val="auto"/>
          <w:sz w:val="48"/>
          <w:szCs w:val="48"/>
          <w:highlight w:val="none"/>
        </w:rPr>
      </w:pPr>
    </w:p>
    <w:p w14:paraId="690E7E7E">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4"/>
          <w:szCs w:val="44"/>
          <w:highlight w:val="none"/>
          <w:lang w:eastAsia="zh-CN"/>
        </w:rPr>
        <w:t>浙江万里学院同声传译实验室建设项目【重发】</w:t>
      </w:r>
    </w:p>
    <w:p w14:paraId="09A2D5F3">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34C8623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5B938206">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 xml:space="preserve">编号: </w:t>
      </w:r>
      <w:r>
        <w:rPr>
          <w:rFonts w:hint="eastAsia" w:ascii="宋体" w:hAnsi="宋体" w:cs="宋体"/>
          <w:color w:val="auto"/>
          <w:sz w:val="30"/>
          <w:szCs w:val="30"/>
          <w:highlight w:val="none"/>
          <w:lang w:eastAsia="zh-CN"/>
        </w:rPr>
        <w:t>CTZB-2024070151-01</w:t>
      </w:r>
    </w:p>
    <w:p w14:paraId="46CEA97E">
      <w:pPr>
        <w:adjustRightInd/>
        <w:spacing w:line="360" w:lineRule="auto"/>
        <w:rPr>
          <w:rFonts w:ascii="宋体" w:hAnsi="宋体" w:cs="宋体"/>
          <w:color w:val="auto"/>
          <w:sz w:val="28"/>
          <w:szCs w:val="20"/>
          <w:highlight w:val="none"/>
        </w:rPr>
      </w:pPr>
    </w:p>
    <w:p w14:paraId="4F45BAE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61EC1F6A">
      <w:pPr>
        <w:spacing w:line="360" w:lineRule="auto"/>
        <w:jc w:val="center"/>
        <w:rPr>
          <w:rFonts w:ascii="宋体" w:hAnsi="宋体" w:cs="宋体"/>
          <w:b/>
          <w:color w:val="auto"/>
          <w:sz w:val="44"/>
          <w:szCs w:val="44"/>
          <w:highlight w:val="none"/>
        </w:rPr>
      </w:pPr>
    </w:p>
    <w:p w14:paraId="3B84BE68">
      <w:pPr>
        <w:spacing w:line="360" w:lineRule="auto"/>
        <w:jc w:val="center"/>
        <w:rPr>
          <w:rFonts w:ascii="宋体" w:hAnsi="宋体" w:cs="宋体"/>
          <w:color w:val="auto"/>
          <w:sz w:val="24"/>
          <w:highlight w:val="none"/>
        </w:rPr>
      </w:pPr>
    </w:p>
    <w:p w14:paraId="5723A297">
      <w:pPr>
        <w:spacing w:line="360" w:lineRule="auto"/>
        <w:jc w:val="center"/>
        <w:rPr>
          <w:rFonts w:ascii="宋体" w:hAnsi="宋体" w:cs="宋体"/>
          <w:color w:val="auto"/>
          <w:sz w:val="24"/>
          <w:highlight w:val="none"/>
        </w:rPr>
      </w:pPr>
    </w:p>
    <w:p w14:paraId="2F8350F2">
      <w:pPr>
        <w:spacing w:line="360" w:lineRule="auto"/>
        <w:rPr>
          <w:rFonts w:ascii="宋体" w:hAnsi="宋体" w:cs="宋体"/>
          <w:color w:val="auto"/>
          <w:sz w:val="32"/>
          <w:szCs w:val="32"/>
          <w:highlight w:val="none"/>
        </w:rPr>
      </w:pPr>
    </w:p>
    <w:p w14:paraId="2CA3C099">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浙江万里学院</w:t>
      </w:r>
    </w:p>
    <w:p w14:paraId="06B23F1C">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浙江省成套招标代理有限公司</w:t>
      </w:r>
    </w:p>
    <w:p w14:paraId="20368937">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p>
    <w:p w14:paraId="1D0F3F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51B6EE2">
      <w:pPr>
        <w:pStyle w:val="637"/>
        <w:rPr>
          <w:color w:val="auto"/>
          <w:highlight w:val="none"/>
        </w:rPr>
      </w:pPr>
    </w:p>
    <w:p w14:paraId="0301B0B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B0FB562">
      <w:pPr>
        <w:spacing w:line="360" w:lineRule="auto"/>
        <w:rPr>
          <w:rFonts w:ascii="宋体" w:hAnsi="宋体" w:cs="宋体"/>
          <w:color w:val="auto"/>
          <w:sz w:val="32"/>
          <w:szCs w:val="32"/>
          <w:highlight w:val="none"/>
        </w:rPr>
      </w:pPr>
    </w:p>
    <w:p w14:paraId="02DFA92C">
      <w:pPr>
        <w:spacing w:line="360" w:lineRule="auto"/>
        <w:rPr>
          <w:rFonts w:ascii="宋体" w:hAnsi="宋体" w:cs="宋体"/>
          <w:color w:val="auto"/>
          <w:sz w:val="32"/>
          <w:szCs w:val="32"/>
          <w:highlight w:val="none"/>
        </w:rPr>
      </w:pPr>
    </w:p>
    <w:p w14:paraId="49EBDCE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799D1F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5D95698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6AC472E">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4A9B785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185E30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064DCA07">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1ACD435C">
      <w:pPr>
        <w:spacing w:line="360" w:lineRule="auto"/>
        <w:ind w:firstLine="549" w:firstLineChars="229"/>
        <w:rPr>
          <w:rFonts w:ascii="宋体" w:hAnsi="宋体" w:cs="宋体"/>
          <w:color w:val="auto"/>
          <w:sz w:val="24"/>
          <w:highlight w:val="none"/>
        </w:rPr>
      </w:pPr>
    </w:p>
    <w:p w14:paraId="23BAEFB2">
      <w:pPr>
        <w:spacing w:line="360" w:lineRule="auto"/>
        <w:ind w:firstLine="549" w:firstLineChars="229"/>
        <w:rPr>
          <w:rFonts w:ascii="宋体" w:hAnsi="宋体" w:cs="宋体"/>
          <w:color w:val="auto"/>
          <w:sz w:val="24"/>
          <w:highlight w:val="none"/>
        </w:rPr>
      </w:pPr>
    </w:p>
    <w:p w14:paraId="40198D63">
      <w:pPr>
        <w:spacing w:line="360" w:lineRule="auto"/>
        <w:ind w:firstLine="549" w:firstLineChars="229"/>
        <w:rPr>
          <w:rFonts w:ascii="宋体" w:hAnsi="宋体" w:cs="宋体"/>
          <w:color w:val="auto"/>
          <w:sz w:val="24"/>
          <w:highlight w:val="none"/>
        </w:rPr>
      </w:pPr>
    </w:p>
    <w:p w14:paraId="3ABA3298">
      <w:pPr>
        <w:spacing w:line="360" w:lineRule="auto"/>
        <w:ind w:firstLine="549" w:firstLineChars="229"/>
        <w:rPr>
          <w:rFonts w:ascii="宋体" w:hAnsi="宋体" w:cs="宋体"/>
          <w:color w:val="auto"/>
          <w:sz w:val="24"/>
          <w:highlight w:val="none"/>
        </w:rPr>
      </w:pPr>
    </w:p>
    <w:p w14:paraId="6D1D510C">
      <w:pPr>
        <w:spacing w:line="360" w:lineRule="auto"/>
        <w:ind w:firstLine="549" w:firstLineChars="229"/>
        <w:rPr>
          <w:rFonts w:ascii="宋体" w:hAnsi="宋体" w:cs="宋体"/>
          <w:color w:val="auto"/>
          <w:sz w:val="24"/>
          <w:highlight w:val="none"/>
        </w:rPr>
      </w:pPr>
    </w:p>
    <w:p w14:paraId="2506DDA7">
      <w:pPr>
        <w:spacing w:line="360" w:lineRule="auto"/>
        <w:ind w:firstLine="549" w:firstLineChars="229"/>
        <w:rPr>
          <w:rFonts w:ascii="宋体" w:hAnsi="宋体" w:cs="宋体"/>
          <w:color w:val="auto"/>
          <w:sz w:val="24"/>
          <w:highlight w:val="none"/>
        </w:rPr>
      </w:pPr>
    </w:p>
    <w:p w14:paraId="696A9182">
      <w:pPr>
        <w:spacing w:line="360" w:lineRule="auto"/>
        <w:ind w:firstLine="549" w:firstLineChars="229"/>
        <w:rPr>
          <w:rFonts w:ascii="宋体" w:hAnsi="宋体" w:cs="宋体"/>
          <w:color w:val="auto"/>
          <w:sz w:val="24"/>
          <w:highlight w:val="none"/>
        </w:rPr>
      </w:pPr>
    </w:p>
    <w:p w14:paraId="4B626F1B">
      <w:pPr>
        <w:spacing w:line="360" w:lineRule="auto"/>
        <w:ind w:firstLine="549" w:firstLineChars="229"/>
        <w:rPr>
          <w:rFonts w:ascii="宋体" w:hAnsi="宋体" w:cs="宋体"/>
          <w:color w:val="auto"/>
          <w:sz w:val="24"/>
          <w:highlight w:val="none"/>
        </w:rPr>
      </w:pPr>
    </w:p>
    <w:p w14:paraId="4696A12B">
      <w:pPr>
        <w:spacing w:line="360" w:lineRule="auto"/>
        <w:ind w:firstLine="549" w:firstLineChars="229"/>
        <w:rPr>
          <w:rFonts w:ascii="宋体" w:hAnsi="宋体" w:cs="宋体"/>
          <w:color w:val="auto"/>
          <w:sz w:val="24"/>
          <w:highlight w:val="none"/>
        </w:rPr>
      </w:pPr>
    </w:p>
    <w:p w14:paraId="3B04A88B">
      <w:pPr>
        <w:spacing w:line="360" w:lineRule="auto"/>
        <w:ind w:firstLine="549" w:firstLineChars="229"/>
        <w:rPr>
          <w:rFonts w:ascii="宋体" w:hAnsi="宋体" w:cs="宋体"/>
          <w:color w:val="auto"/>
          <w:sz w:val="24"/>
          <w:highlight w:val="none"/>
        </w:rPr>
      </w:pPr>
    </w:p>
    <w:p w14:paraId="1B397F37">
      <w:pPr>
        <w:spacing w:line="360" w:lineRule="auto"/>
        <w:ind w:firstLine="549" w:firstLineChars="229"/>
        <w:rPr>
          <w:rFonts w:ascii="宋体" w:hAnsi="宋体" w:cs="宋体"/>
          <w:color w:val="auto"/>
          <w:sz w:val="24"/>
          <w:highlight w:val="none"/>
        </w:rPr>
      </w:pPr>
    </w:p>
    <w:p w14:paraId="76EBC4D8">
      <w:pPr>
        <w:spacing w:line="360" w:lineRule="auto"/>
        <w:ind w:firstLine="549" w:firstLineChars="229"/>
        <w:rPr>
          <w:rFonts w:ascii="宋体" w:hAnsi="宋体" w:cs="宋体"/>
          <w:color w:val="auto"/>
          <w:sz w:val="24"/>
          <w:highlight w:val="none"/>
        </w:rPr>
      </w:pPr>
    </w:p>
    <w:p w14:paraId="6BEA7D9B">
      <w:pPr>
        <w:spacing w:line="360" w:lineRule="auto"/>
        <w:rPr>
          <w:rFonts w:ascii="宋体" w:hAnsi="宋体" w:cs="宋体"/>
          <w:color w:val="auto"/>
          <w:sz w:val="24"/>
          <w:highlight w:val="none"/>
        </w:rPr>
      </w:pPr>
    </w:p>
    <w:p w14:paraId="57CADBF0">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30A50C0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项目概况</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lang w:eastAsia="zh-CN"/>
        </w:rPr>
        <w:t>浙江万里学院同声传译实验室建设项目【重发】</w:t>
      </w:r>
      <w:r>
        <w:rPr>
          <w:rFonts w:hint="eastAsia" w:ascii="宋体" w:hAnsi="宋体" w:cs="宋体"/>
          <w:color w:val="auto"/>
          <w:szCs w:val="21"/>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snapToGrid/>
          <w:color w:val="auto"/>
          <w:kern w:val="2"/>
          <w:sz w:val="21"/>
          <w:szCs w:val="21"/>
          <w:highlight w:val="none"/>
        </w:rPr>
        <w:t>https://www.zcygov.cn/）获取（下载）招标文件，并于</w:t>
      </w:r>
      <w:r>
        <w:rPr>
          <w:rStyle w:val="77"/>
          <w:rFonts w:hint="eastAsia" w:ascii="宋体" w:hAnsi="宋体" w:cs="宋体"/>
          <w:snapToGrid/>
          <w:color w:val="auto"/>
          <w:kern w:val="2"/>
          <w:sz w:val="21"/>
          <w:szCs w:val="21"/>
          <w:highlight w:val="none"/>
        </w:rPr>
        <w:t>2024</w:t>
      </w:r>
      <w:r>
        <w:rPr>
          <w:rStyle w:val="77"/>
          <w:rFonts w:hint="eastAsia" w:ascii="宋体" w:hAnsi="宋体" w:eastAsia="宋体" w:cs="宋体"/>
          <w:snapToGrid/>
          <w:color w:val="auto"/>
          <w:kern w:val="2"/>
          <w:sz w:val="21"/>
          <w:szCs w:val="21"/>
          <w:highlight w:val="none"/>
        </w:rPr>
        <w:t>年</w:t>
      </w:r>
      <w:r>
        <w:rPr>
          <w:rStyle w:val="77"/>
          <w:rFonts w:hint="eastAsia" w:ascii="宋体" w:hAnsi="宋体" w:cs="宋体"/>
          <w:snapToGrid/>
          <w:color w:val="auto"/>
          <w:kern w:val="2"/>
          <w:sz w:val="21"/>
          <w:szCs w:val="21"/>
          <w:highlight w:val="none"/>
          <w:lang w:val="en-US" w:eastAsia="zh-CN"/>
        </w:rPr>
        <w:t>8</w:t>
      </w:r>
      <w:r>
        <w:rPr>
          <w:rStyle w:val="77"/>
          <w:rFonts w:hint="eastAsia" w:ascii="宋体" w:hAnsi="宋体" w:eastAsia="宋体" w:cs="宋体"/>
          <w:snapToGrid/>
          <w:color w:val="auto"/>
          <w:kern w:val="2"/>
          <w:sz w:val="21"/>
          <w:szCs w:val="21"/>
          <w:highlight w:val="none"/>
        </w:rPr>
        <w:t>月</w:t>
      </w:r>
      <w:r>
        <w:rPr>
          <w:rStyle w:val="77"/>
          <w:rFonts w:hint="eastAsia" w:ascii="宋体" w:hAnsi="宋体" w:cs="宋体"/>
          <w:snapToGrid/>
          <w:color w:val="auto"/>
          <w:kern w:val="2"/>
          <w:sz w:val="21"/>
          <w:szCs w:val="21"/>
          <w:highlight w:val="none"/>
          <w:lang w:val="en-US" w:eastAsia="zh-CN"/>
        </w:rPr>
        <w:t>19</w:t>
      </w:r>
      <w:r>
        <w:rPr>
          <w:rStyle w:val="77"/>
          <w:rFonts w:hint="eastAsia" w:ascii="宋体" w:hAnsi="宋体" w:eastAsia="宋体" w:cs="宋体"/>
          <w:snapToGrid/>
          <w:color w:val="auto"/>
          <w:kern w:val="2"/>
          <w:sz w:val="21"/>
          <w:szCs w:val="21"/>
          <w:highlight w:val="none"/>
        </w:rPr>
        <w:t>日</w:t>
      </w:r>
      <w:r>
        <w:rPr>
          <w:rStyle w:val="77"/>
          <w:rFonts w:hint="eastAsia" w:ascii="宋体" w:hAnsi="宋体" w:cs="宋体"/>
          <w:snapToGrid/>
          <w:color w:val="auto"/>
          <w:kern w:val="2"/>
          <w:sz w:val="21"/>
          <w:szCs w:val="21"/>
          <w:highlight w:val="none"/>
        </w:rPr>
        <w:t>14</w:t>
      </w:r>
      <w:r>
        <w:rPr>
          <w:rStyle w:val="77"/>
          <w:rFonts w:hint="eastAsia" w:ascii="宋体" w:hAnsi="宋体" w:eastAsia="宋体" w:cs="宋体"/>
          <w:snapToGrid/>
          <w:color w:val="auto"/>
          <w:kern w:val="2"/>
          <w:sz w:val="21"/>
          <w:szCs w:val="21"/>
          <w:highlight w:val="none"/>
        </w:rPr>
        <w:t>点</w:t>
      </w:r>
      <w:r>
        <w:rPr>
          <w:rStyle w:val="77"/>
          <w:rFonts w:hint="eastAsia" w:ascii="宋体" w:hAnsi="宋体" w:cs="宋体"/>
          <w:snapToGrid/>
          <w:color w:val="auto"/>
          <w:kern w:val="2"/>
          <w:sz w:val="21"/>
          <w:szCs w:val="21"/>
          <w:highlight w:val="none"/>
        </w:rPr>
        <w:t>00</w:t>
      </w:r>
      <w:r>
        <w:rPr>
          <w:rStyle w:val="77"/>
          <w:rFonts w:hint="eastAsia" w:ascii="宋体" w:hAnsi="宋体" w:eastAsia="宋体" w:cs="宋体"/>
          <w:snapToGrid/>
          <w:color w:val="auto"/>
          <w:kern w:val="2"/>
          <w:sz w:val="21"/>
          <w:szCs w:val="21"/>
          <w:highlight w:val="none"/>
        </w:rPr>
        <w:t>分</w:t>
      </w:r>
      <w:r>
        <w:rPr>
          <w:rStyle w:val="77"/>
          <w:rFonts w:hint="eastAsia" w:ascii="宋体" w:hAnsi="宋体" w:eastAsia="宋体" w:cs="宋体"/>
          <w:bCs/>
          <w:snapToGrid/>
          <w:color w:val="auto"/>
          <w:kern w:val="2"/>
          <w:sz w:val="21"/>
          <w:szCs w:val="21"/>
          <w:highlight w:val="none"/>
        </w:rPr>
        <w:t>00秒</w:t>
      </w:r>
      <w:r>
        <w:rPr>
          <w:rStyle w:val="77"/>
          <w:rFonts w:hint="eastAsia" w:ascii="宋体" w:hAnsi="宋体" w:eastAsia="宋体" w:cs="宋体"/>
          <w:bCs/>
          <w:snapToGrid/>
          <w:color w:val="auto"/>
          <w:kern w:val="2"/>
          <w:sz w:val="21"/>
          <w:szCs w:val="21"/>
          <w:highlight w:val="none"/>
        </w:rPr>
        <w:fldChar w:fldCharType="end"/>
      </w:r>
      <w:r>
        <w:rPr>
          <w:rFonts w:hint="eastAsia" w:ascii="宋体" w:hAnsi="宋体" w:cs="宋体"/>
          <w:bCs/>
          <w:color w:val="auto"/>
          <w:szCs w:val="21"/>
          <w:highlight w:val="none"/>
        </w:rPr>
        <w:t>（北京时间）前</w:t>
      </w:r>
      <w:r>
        <w:rPr>
          <w:rFonts w:hint="eastAsia" w:ascii="宋体" w:hAnsi="宋体" w:cs="宋体"/>
          <w:color w:val="auto"/>
          <w:szCs w:val="21"/>
          <w:highlight w:val="none"/>
        </w:rPr>
        <w:t>递交（上传）投标文件。</w:t>
      </w:r>
    </w:p>
    <w:p w14:paraId="64404E76">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一、项目基本情况                                            </w:t>
      </w:r>
    </w:p>
    <w:p w14:paraId="04228D6F">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项目编号：</w:t>
      </w:r>
      <w:r>
        <w:rPr>
          <w:rFonts w:hint="eastAsia" w:ascii="宋体" w:hAnsi="宋体" w:cs="宋体"/>
          <w:bCs/>
          <w:color w:val="auto"/>
          <w:szCs w:val="21"/>
          <w:highlight w:val="none"/>
          <w:lang w:eastAsia="zh-CN"/>
        </w:rPr>
        <w:t>CTZB-2024070151-01</w:t>
      </w:r>
    </w:p>
    <w:p w14:paraId="210EADF2">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项目名称：</w:t>
      </w:r>
      <w:r>
        <w:rPr>
          <w:rFonts w:hint="eastAsia" w:ascii="宋体" w:hAnsi="宋体" w:cs="宋体"/>
          <w:bCs/>
          <w:color w:val="auto"/>
          <w:szCs w:val="21"/>
          <w:highlight w:val="none"/>
          <w:lang w:eastAsia="zh-CN"/>
        </w:rPr>
        <w:t>浙江万里学院同声传译实验室建设项目【重发】</w:t>
      </w:r>
    </w:p>
    <w:p w14:paraId="2035A07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预算金额（元）：</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00000</w:t>
      </w:r>
    </w:p>
    <w:p w14:paraId="106A2A27">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最高限价（元）：</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00000</w:t>
      </w:r>
    </w:p>
    <w:p w14:paraId="0966F567">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采购需求：</w:t>
      </w:r>
    </w:p>
    <w:p w14:paraId="4AAE5A84">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标项名称：同声传译实验室建设</w:t>
      </w:r>
    </w:p>
    <w:p w14:paraId="132BF1B4">
      <w:pPr>
        <w:pStyle w:val="5"/>
        <w:spacing w:line="360" w:lineRule="auto"/>
        <w:ind w:firstLine="420" w:firstLineChars="200"/>
        <w:rPr>
          <w:rFonts w:ascii="Arial" w:hAnsi="Arial" w:cs="Arial"/>
          <w:bCs/>
          <w:color w:val="auto"/>
          <w:sz w:val="21"/>
          <w:szCs w:val="21"/>
          <w:highlight w:val="none"/>
        </w:rPr>
      </w:pPr>
      <w:r>
        <w:rPr>
          <w:rFonts w:hint="eastAsia" w:ascii="Arial" w:hAnsi="Arial" w:cs="Arial"/>
          <w:bCs/>
          <w:color w:val="auto"/>
          <w:sz w:val="21"/>
          <w:szCs w:val="21"/>
          <w:highlight w:val="none"/>
        </w:rPr>
        <w:t>数量： 1  </w:t>
      </w:r>
    </w:p>
    <w:p w14:paraId="339E4A68">
      <w:pPr>
        <w:pStyle w:val="5"/>
        <w:spacing w:line="360" w:lineRule="auto"/>
        <w:ind w:firstLine="420" w:firstLineChars="200"/>
        <w:rPr>
          <w:rFonts w:hAnsi="宋体" w:cs="宋体"/>
          <w:bCs/>
          <w:snapToGrid/>
          <w:color w:val="auto"/>
          <w:kern w:val="2"/>
          <w:sz w:val="21"/>
          <w:szCs w:val="21"/>
          <w:highlight w:val="none"/>
        </w:rPr>
      </w:pPr>
      <w:r>
        <w:rPr>
          <w:rFonts w:ascii="Arial" w:hAnsi="Arial" w:cs="Arial"/>
          <w:bCs/>
          <w:color w:val="auto"/>
          <w:sz w:val="21"/>
          <w:szCs w:val="21"/>
          <w:highlight w:val="none"/>
        </w:rPr>
        <w:t>简要规格描述或项目基本概况介绍、用途：</w:t>
      </w:r>
      <w:r>
        <w:rPr>
          <w:rFonts w:hint="eastAsia" w:hAnsi="宋体" w:cs="宋体"/>
          <w:bCs/>
          <w:snapToGrid/>
          <w:color w:val="auto"/>
          <w:kern w:val="2"/>
          <w:sz w:val="21"/>
          <w:szCs w:val="21"/>
          <w:highlight w:val="none"/>
          <w:lang w:eastAsia="zh-CN"/>
        </w:rPr>
        <w:t>浙江万里学院同声传译实验室建设</w:t>
      </w:r>
      <w:r>
        <w:rPr>
          <w:rFonts w:hint="eastAsia" w:hAnsi="宋体" w:cs="宋体"/>
          <w:bCs/>
          <w:snapToGrid/>
          <w:color w:val="auto"/>
          <w:kern w:val="2"/>
          <w:sz w:val="21"/>
          <w:szCs w:val="21"/>
          <w:highlight w:val="none"/>
        </w:rPr>
        <w:t>，具体详见招标文件。</w:t>
      </w:r>
      <w:r>
        <w:rPr>
          <w:rFonts w:hint="eastAsia" w:asciiTheme="minorEastAsia" w:hAnsiTheme="minorEastAsia" w:eastAsiaTheme="minorEastAsia"/>
          <w:bCs/>
          <w:snapToGrid/>
          <w:color w:val="auto"/>
          <w:kern w:val="2"/>
          <w:sz w:val="21"/>
          <w:szCs w:val="21"/>
          <w:highlight w:val="none"/>
        </w:rPr>
        <w:t>具体以招标文件第三部分采购需求为准，供应商可点击本公告下方“浏览采购文件”查看采购需求。</w:t>
      </w:r>
    </w:p>
    <w:p w14:paraId="6D31AC0B">
      <w:pPr>
        <w:pStyle w:val="5"/>
        <w:spacing w:line="360" w:lineRule="auto"/>
        <w:ind w:firstLine="420" w:firstLineChars="200"/>
        <w:rPr>
          <w:rFonts w:hAnsi="宋体" w:cs="宋体"/>
          <w:bCs/>
          <w:color w:val="auto"/>
          <w:sz w:val="21"/>
          <w:szCs w:val="21"/>
          <w:highlight w:val="none"/>
        </w:rPr>
      </w:pPr>
      <w:r>
        <w:rPr>
          <w:rFonts w:hint="eastAsia" w:hAnsi="宋体" w:cs="宋体"/>
          <w:bCs/>
          <w:color w:val="auto"/>
          <w:sz w:val="21"/>
          <w:szCs w:val="21"/>
          <w:highlight w:val="none"/>
        </w:rPr>
        <w:t>备注：</w:t>
      </w:r>
    </w:p>
    <w:p w14:paraId="45038C72">
      <w:pPr>
        <w:pStyle w:val="131"/>
        <w:spacing w:before="0"/>
        <w:ind w:firstLine="420"/>
        <w:outlineLvl w:val="2"/>
        <w:rPr>
          <w:rFonts w:ascii="宋体" w:hAnsi="宋体" w:cs="宋体"/>
          <w:bCs/>
          <w:color w:val="auto"/>
          <w:sz w:val="21"/>
          <w:szCs w:val="21"/>
          <w:highlight w:val="none"/>
        </w:rPr>
      </w:pPr>
      <w:r>
        <w:rPr>
          <w:rFonts w:hint="eastAsia" w:ascii="宋体" w:hAnsi="宋体" w:cs="宋体"/>
          <w:bCs/>
          <w:color w:val="auto"/>
          <w:sz w:val="21"/>
          <w:szCs w:val="21"/>
          <w:highlight w:val="none"/>
        </w:rPr>
        <w:t>合同履约期限：</w:t>
      </w:r>
      <w:r>
        <w:rPr>
          <w:rFonts w:hint="eastAsia" w:ascii="Arial" w:hAnsi="Arial" w:cs="Arial"/>
          <w:bCs/>
          <w:color w:val="auto"/>
          <w:sz w:val="21"/>
          <w:szCs w:val="21"/>
          <w:highlight w:val="none"/>
        </w:rPr>
        <w:t>自合同签订之日起30天内完成全部产品的供货，安装调试期为1周，并具备验收条件</w:t>
      </w:r>
      <w:r>
        <w:rPr>
          <w:rFonts w:ascii="Arial" w:hAnsi="Arial" w:cs="Arial"/>
          <w:bCs/>
          <w:color w:val="auto"/>
          <w:sz w:val="21"/>
          <w:szCs w:val="21"/>
          <w:highlight w:val="none"/>
        </w:rPr>
        <w:t>。</w:t>
      </w:r>
    </w:p>
    <w:p w14:paraId="2C91D601">
      <w:pPr>
        <w:pStyle w:val="5"/>
        <w:spacing w:line="360" w:lineRule="auto"/>
        <w:ind w:firstLine="440"/>
        <w:rPr>
          <w:rFonts w:hAnsi="宋体" w:cs="宋体"/>
          <w:bCs/>
          <w:color w:val="auto"/>
          <w:sz w:val="21"/>
          <w:szCs w:val="21"/>
          <w:highlight w:val="none"/>
        </w:rPr>
      </w:pPr>
      <w:r>
        <w:rPr>
          <w:rFonts w:ascii="Arial" w:hAnsi="Arial" w:cs="Arial"/>
          <w:bCs/>
          <w:color w:val="auto"/>
          <w:sz w:val="21"/>
          <w:szCs w:val="21"/>
          <w:highlight w:val="none"/>
        </w:rPr>
        <w:t>本项目</w:t>
      </w:r>
      <w:r>
        <w:rPr>
          <w:rFonts w:hint="eastAsia" w:ascii="Arial" w:hAnsi="Arial" w:cs="Arial"/>
          <w:bCs/>
          <w:color w:val="auto"/>
          <w:sz w:val="21"/>
          <w:szCs w:val="21"/>
          <w:highlight w:val="none"/>
        </w:rPr>
        <w:t>（是）</w:t>
      </w:r>
      <w:r>
        <w:rPr>
          <w:rFonts w:ascii="Arial" w:hAnsi="Arial" w:cs="Arial"/>
          <w:bCs/>
          <w:color w:val="auto"/>
          <w:sz w:val="21"/>
          <w:szCs w:val="21"/>
          <w:highlight w:val="none"/>
        </w:rPr>
        <w:t>接受联合体投标。</w:t>
      </w:r>
    </w:p>
    <w:p w14:paraId="1D4BFBB2">
      <w:pPr>
        <w:spacing w:line="360" w:lineRule="auto"/>
        <w:rPr>
          <w:rFonts w:ascii="宋体" w:hAnsi="宋体" w:cs="宋体"/>
          <w:b/>
          <w:color w:val="auto"/>
          <w:szCs w:val="21"/>
          <w:highlight w:val="none"/>
        </w:rPr>
      </w:pPr>
      <w:r>
        <w:rPr>
          <w:rFonts w:hint="eastAsia" w:ascii="宋体" w:hAnsi="宋体" w:cs="宋体"/>
          <w:b/>
          <w:color w:val="auto"/>
          <w:szCs w:val="21"/>
          <w:highlight w:val="none"/>
        </w:rPr>
        <w:t>二、申请人的资格要求：</w:t>
      </w:r>
    </w:p>
    <w:p w14:paraId="75C985B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w:t>
      </w:r>
      <w:r>
        <w:rPr>
          <w:rFonts w:hint="eastAsia" w:ascii="Arial" w:hAnsi="Arial" w:cs="Arial" w:eastAsiaTheme="minorEastAsia"/>
          <w:color w:val="auto"/>
          <w:szCs w:val="27"/>
          <w:highlight w:val="none"/>
        </w:rPr>
        <w:t>重大税收违法失信主体</w:t>
      </w:r>
      <w:r>
        <w:rPr>
          <w:rFonts w:hint="eastAsia" w:ascii="宋体" w:hAnsi="宋体" w:cs="宋体"/>
          <w:color w:val="auto"/>
          <w:szCs w:val="21"/>
          <w:highlight w:val="none"/>
        </w:rPr>
        <w:t>、政府采购严重违法失信行为记录名单。</w:t>
      </w:r>
    </w:p>
    <w:p w14:paraId="3A4776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3D405C4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2、实行资格后审。</w:t>
      </w:r>
    </w:p>
    <w:p w14:paraId="20045582">
      <w:pPr>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三、获取招标文件 </w:t>
      </w:r>
    </w:p>
    <w:p w14:paraId="25A3744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时间：公告发布时间起至投标截止时间止，每天上午00:00至12:00，下午12:00至23:59（北京时间，线上获取法定节假日均可）</w:t>
      </w:r>
    </w:p>
    <w:p w14:paraId="5090F744">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地点（网址）：政采云平台（http://zfcg.czt.zj.gov.cn/） </w:t>
      </w:r>
    </w:p>
    <w:p w14:paraId="4CDFB6EF">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方式：（1）本项目不提供纸制版招标文件，供应商可通过“浙江政府采购网”在线获取（采购公告下方选取“潜在供应商”处“获取招标文件”）；供应商只有在“浙江政府采购网”完成获取招标文件申请并下载了招标文件后才视作依法获取招标文件（法律法规所指的供应商获取招标文件时间以供应商完成获取招标文件申请后下载招标文件的时间为准）。</w:t>
      </w:r>
    </w:p>
    <w:p w14:paraId="5976B842">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（2）通过本公告下方“游客，浏览招标文件”下载的招标文件仅供浏览，不视作依法获取招标文件，不得就招标文件提出质疑投诉,未按规定获取招标文件者的投标将被拒绝。</w:t>
      </w:r>
    </w:p>
    <w:p w14:paraId="32FFBAB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（3）招标文件及更正补充公告请自行登录浙江政府采购网，在招标公告及更正公告页面中下载。</w:t>
      </w:r>
    </w:p>
    <w:p w14:paraId="4DC5AE66">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售价（元）：0</w:t>
      </w:r>
    </w:p>
    <w:p w14:paraId="10AB33F3">
      <w:pPr>
        <w:spacing w:line="360" w:lineRule="auto"/>
        <w:rPr>
          <w:rFonts w:ascii="宋体" w:hAnsi="宋体" w:cs="宋体"/>
          <w:b/>
          <w:color w:val="auto"/>
          <w:szCs w:val="21"/>
          <w:highlight w:val="none"/>
        </w:rPr>
      </w:pPr>
      <w:r>
        <w:rPr>
          <w:rFonts w:hint="eastAsia" w:ascii="宋体" w:hAnsi="宋体" w:cs="宋体"/>
          <w:b/>
          <w:color w:val="auto"/>
          <w:szCs w:val="21"/>
          <w:highlight w:val="none"/>
        </w:rPr>
        <w:t>四、提交投标文件截止时间、开标时间和地点</w:t>
      </w:r>
    </w:p>
    <w:p w14:paraId="709E416B">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提交投标文件截止时间：</w:t>
      </w:r>
      <w:r>
        <w:rPr>
          <w:rFonts w:hint="eastAsia" w:ascii="宋体" w:hAnsi="宋体" w:cs="宋体"/>
          <w:color w:val="auto"/>
          <w:szCs w:val="21"/>
          <w:highlight w:val="none"/>
          <w:u w:val="single"/>
        </w:rPr>
        <w:t xml:space="preserve"> 2024年</w:t>
      </w:r>
      <w:r>
        <w:rPr>
          <w:rFonts w:hint="eastAsia" w:ascii="宋体" w:hAnsi="宋体" w:cs="宋体"/>
          <w:color w:val="auto"/>
          <w:szCs w:val="21"/>
          <w:highlight w:val="none"/>
          <w:u w:val="single"/>
          <w:lang w:val="en-US" w:eastAsia="zh-CN"/>
        </w:rPr>
        <w:t xml:space="preserve">8 </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 xml:space="preserve">19 </w:t>
      </w:r>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14:paraId="1292C8E6">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投标地点（网址）：</w:t>
      </w:r>
      <w:r>
        <w:rPr>
          <w:rFonts w:hint="eastAsia" w:ascii="宋体" w:hAnsi="宋体" w:cs="宋体"/>
          <w:color w:val="auto"/>
          <w:szCs w:val="21"/>
          <w:highlight w:val="none"/>
        </w:rPr>
        <w:t>政采云平台（https://www.zcygov.cn/）</w:t>
      </w:r>
      <w:r>
        <w:rPr>
          <w:rFonts w:hint="eastAsia" w:ascii="Arial" w:hAnsi="Arial" w:cs="Arial"/>
          <w:color w:val="auto"/>
          <w:szCs w:val="21"/>
          <w:highlight w:val="none"/>
        </w:rPr>
        <w:t>。</w:t>
      </w:r>
      <w:r>
        <w:rPr>
          <w:rFonts w:hint="eastAsia" w:ascii="宋体" w:hAnsi="宋体" w:cs="宋体"/>
          <w:color w:val="auto"/>
          <w:szCs w:val="21"/>
          <w:highlight w:val="none"/>
        </w:rPr>
        <w:t xml:space="preserve"> </w:t>
      </w:r>
    </w:p>
    <w:p w14:paraId="1C8C49C0">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开标时间：</w:t>
      </w:r>
      <w:r>
        <w:rPr>
          <w:rFonts w:hint="eastAsia" w:ascii="宋体" w:hAnsi="宋体" w:cs="宋体"/>
          <w:color w:val="auto"/>
          <w:szCs w:val="21"/>
          <w:highlight w:val="none"/>
          <w:u w:val="single"/>
        </w:rPr>
        <w:t>2024年</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19</w:t>
      </w:r>
      <w:r>
        <w:rPr>
          <w:rFonts w:hint="eastAsia" w:ascii="宋体" w:hAnsi="宋体" w:cs="宋体"/>
          <w:color w:val="auto"/>
          <w:szCs w:val="21"/>
          <w:highlight w:val="none"/>
          <w:u w:val="single"/>
        </w:rPr>
        <w:t>日14点00分00秒</w:t>
      </w:r>
      <w:r>
        <w:rPr>
          <w:rFonts w:hint="eastAsia" w:ascii="宋体" w:hAnsi="宋体" w:cs="宋体"/>
          <w:color w:val="auto"/>
          <w:szCs w:val="21"/>
          <w:highlight w:val="none"/>
        </w:rPr>
        <w:t>（北京时间）</w:t>
      </w:r>
    </w:p>
    <w:p w14:paraId="647223F9">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开标地点（网址）：</w:t>
      </w:r>
      <w:r>
        <w:rPr>
          <w:rFonts w:hint="eastAsia" w:ascii="宋体" w:hAnsi="宋体" w:cs="宋体"/>
          <w:color w:val="auto"/>
          <w:szCs w:val="21"/>
          <w:highlight w:val="none"/>
        </w:rPr>
        <w:t>政采云平台（https://www.zcygov.cn/）。</w:t>
      </w:r>
      <w:r>
        <w:rPr>
          <w:rFonts w:hint="eastAsia" w:ascii="宋体" w:hAnsi="宋体" w:cs="宋体"/>
          <w:bCs/>
          <w:color w:val="auto"/>
          <w:szCs w:val="21"/>
          <w:highlight w:val="none"/>
        </w:rPr>
        <w:t>开标地址：浙江省成套招标代理有限公司（宁波市海曙区翠柏路89号工程学院西校区C栋8楼）。</w:t>
      </w:r>
    </w:p>
    <w:p w14:paraId="05459B66">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五、公告期限 </w:t>
      </w:r>
    </w:p>
    <w:p w14:paraId="1D0FDD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自本公告发布之日起5个工作日。</w:t>
      </w:r>
    </w:p>
    <w:p w14:paraId="7E7271A8">
      <w:pPr>
        <w:spacing w:line="360" w:lineRule="auto"/>
        <w:rPr>
          <w:rFonts w:ascii="宋体" w:hAnsi="宋体" w:cs="宋体"/>
          <w:b/>
          <w:color w:val="auto"/>
          <w:szCs w:val="21"/>
          <w:highlight w:val="none"/>
        </w:rPr>
      </w:pPr>
      <w:r>
        <w:rPr>
          <w:rFonts w:hint="eastAsia" w:ascii="宋体" w:hAnsi="宋体" w:cs="宋体"/>
          <w:b/>
          <w:color w:val="auto"/>
          <w:szCs w:val="21"/>
          <w:highlight w:val="none"/>
        </w:rPr>
        <w:t>六、其他补充事宜</w:t>
      </w:r>
    </w:p>
    <w:p w14:paraId="3387C2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w:t>
      </w:r>
      <w:r>
        <w:rPr>
          <w:rFonts w:ascii="宋体" w:hAnsi="宋体" w:cs="宋体"/>
          <w:color w:val="auto"/>
          <w:szCs w:val="21"/>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Cs w:val="21"/>
          <w:highlight w:val="none"/>
        </w:rPr>
        <w:t>。</w:t>
      </w:r>
    </w:p>
    <w:p w14:paraId="1835AB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2F42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20A05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供应商在投标截止时间前将加密的投标文件上传至政府采购云平台；⑨投标文件的解密：供应商按照平台提示和招标文件的规定在半小时内完成在线解密。通过“政府采购云平台”上传递交的投标文件无法按时解密视为投标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子招投标-政府采购项目电子交易管理操作指南-供应商”。（3）招标文件公告期限与招标公告的公告期限一致。</w:t>
      </w:r>
    </w:p>
    <w:p w14:paraId="4D4B0F7C">
      <w:pPr>
        <w:spacing w:line="360" w:lineRule="auto"/>
        <w:rPr>
          <w:rFonts w:ascii="宋体" w:hAnsi="宋体" w:cs="宋体"/>
          <w:b/>
          <w:color w:val="auto"/>
          <w:szCs w:val="21"/>
          <w:highlight w:val="none"/>
        </w:rPr>
      </w:pPr>
      <w:r>
        <w:rPr>
          <w:rFonts w:hint="eastAsia" w:ascii="宋体" w:hAnsi="宋体" w:cs="宋体"/>
          <w:b/>
          <w:color w:val="auto"/>
          <w:szCs w:val="21"/>
          <w:highlight w:val="none"/>
        </w:rPr>
        <w:t>七、对本次采购提出询问、质疑、投诉，请按以下方式联系</w:t>
      </w:r>
    </w:p>
    <w:p w14:paraId="301BDAF6">
      <w:pPr>
        <w:spacing w:line="360" w:lineRule="auto"/>
        <w:ind w:firstLine="420" w:firstLineChars="200"/>
        <w:rPr>
          <w:rFonts w:ascii="宋体" w:hAnsi="宋体" w:cs="宋体"/>
          <w:color w:val="auto"/>
          <w:szCs w:val="21"/>
          <w:highlight w:val="none"/>
        </w:rPr>
      </w:pPr>
      <w:r>
        <w:rPr>
          <w:rFonts w:ascii="Arial" w:hAnsi="Arial" w:cs="Arial"/>
          <w:color w:val="auto"/>
          <w:szCs w:val="21"/>
          <w:highlight w:val="none"/>
        </w:rPr>
        <w:t>1.采购人信息</w:t>
      </w:r>
    </w:p>
    <w:p w14:paraId="57B18F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称：浙江万里学院 </w:t>
      </w:r>
    </w:p>
    <w:p w14:paraId="538F93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址：宁波市钱湖南路8号 </w:t>
      </w:r>
    </w:p>
    <w:p w14:paraId="20F69A3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  </w:t>
      </w:r>
    </w:p>
    <w:p w14:paraId="0EAB539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项目联系人（询问）：于老师  </w:t>
      </w:r>
    </w:p>
    <w:p w14:paraId="256FEF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项目联系方式（询问）：0574-88223169 </w:t>
      </w:r>
    </w:p>
    <w:p w14:paraId="750B8A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质疑联系人：杨老师    </w:t>
      </w:r>
    </w:p>
    <w:p w14:paraId="4FD45F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质疑联系方式：0574-88222077 </w:t>
      </w:r>
    </w:p>
    <w:p w14:paraId="32D2FD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5B1CD2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2.采购代理机构信息            </w:t>
      </w:r>
    </w:p>
    <w:p w14:paraId="5D0BC3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称：浙江省成套招标代理有限公司             </w:t>
      </w:r>
    </w:p>
    <w:p w14:paraId="5CA137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址：宁波市海曙区翠柏路89号工程学院西校区C栋8楼    </w:t>
      </w:r>
    </w:p>
    <w:p w14:paraId="34E2DD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项目联系人（询问）：陈彦、钱聪</w:t>
      </w:r>
    </w:p>
    <w:p w14:paraId="5E5FD59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项目联系方式（询问）：0574-87127967 </w:t>
      </w:r>
    </w:p>
    <w:p w14:paraId="169705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质疑联系人：毛宇兰 </w:t>
      </w:r>
    </w:p>
    <w:p w14:paraId="385477B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质疑联系方式：0574-87127713 </w:t>
      </w:r>
    </w:p>
    <w:p w14:paraId="732F86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w:t>
      </w:r>
    </w:p>
    <w:p w14:paraId="04CF560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3.同级政府采购监督管理部门            </w:t>
      </w:r>
    </w:p>
    <w:p w14:paraId="2B6681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称：浙江省财政厅政府采购监管处、浙江省政府采购行政裁决服务中心（杭州）</w:t>
      </w:r>
    </w:p>
    <w:p w14:paraId="4D494C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址：杭州市上城区四季青街道新业路市民之家G03办公室</w:t>
      </w:r>
    </w:p>
    <w:p w14:paraId="06FD0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传    真：/</w:t>
      </w:r>
    </w:p>
    <w:p w14:paraId="0E214E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 系 人：朱女士、王女士</w:t>
      </w:r>
    </w:p>
    <w:p w14:paraId="583826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监督投诉电话：0571-85252453</w:t>
      </w:r>
    </w:p>
    <w:p w14:paraId="2817C247">
      <w:pPr>
        <w:spacing w:line="360" w:lineRule="auto"/>
        <w:ind w:firstLine="420" w:firstLineChars="200"/>
        <w:rPr>
          <w:rFonts w:ascii="宋体" w:hAnsi="宋体" w:cs="宋体"/>
          <w:color w:val="auto"/>
          <w:szCs w:val="21"/>
          <w:highlight w:val="none"/>
        </w:rPr>
      </w:pPr>
    </w:p>
    <w:p w14:paraId="1C16D3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政策咨询：何一平、冯华，0571-87058424、87055741</w:t>
      </w:r>
    </w:p>
    <w:p w14:paraId="225526F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预算金额未达100万元的采购项目，由采购人处理采购争议。</w:t>
      </w:r>
    </w:p>
    <w:p w14:paraId="5A0A144F">
      <w:pPr>
        <w:spacing w:line="360" w:lineRule="auto"/>
        <w:ind w:firstLine="420" w:firstLineChars="200"/>
        <w:rPr>
          <w:rFonts w:ascii="宋体" w:hAnsi="宋体" w:cs="宋体"/>
          <w:color w:val="auto"/>
          <w:szCs w:val="21"/>
          <w:highlight w:val="none"/>
        </w:rPr>
      </w:pPr>
    </w:p>
    <w:p w14:paraId="7789D27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若对项目采购电子交易系统操作有疑问，可登录政采云（https://www.zcygov.cn/），点击右侧咨询小采，获取采小蜜智能服务管家帮助，或拨打政采云服务热线400-881-7190获取热线服务帮助。       </w:t>
      </w:r>
    </w:p>
    <w:p w14:paraId="6C072D7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CA问题联系电话（人工）：汇信CA 400-888-4636；天谷CA 400-087-8198。</w:t>
      </w:r>
    </w:p>
    <w:p w14:paraId="3FC7839F">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7105B76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供应商须知</w:t>
      </w:r>
      <w:bookmarkEnd w:id="9"/>
    </w:p>
    <w:p w14:paraId="75679C4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391"/>
        <w:gridCol w:w="5547"/>
      </w:tblGrid>
      <w:tr w14:paraId="02B13E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blHeader/>
        </w:trPr>
        <w:tc>
          <w:tcPr>
            <w:tcW w:w="629" w:type="dxa"/>
            <w:tcBorders>
              <w:top w:val="single" w:color="auto" w:sz="4" w:space="0"/>
              <w:left w:val="single" w:color="auto" w:sz="4" w:space="0"/>
              <w:bottom w:val="single" w:color="auto" w:sz="4" w:space="0"/>
              <w:right w:val="single" w:color="auto" w:sz="4" w:space="0"/>
            </w:tcBorders>
          </w:tcPr>
          <w:p w14:paraId="0637AEB3">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391" w:type="dxa"/>
            <w:tcBorders>
              <w:top w:val="single" w:color="000000" w:sz="8" w:space="0"/>
              <w:left w:val="single" w:color="auto" w:sz="4" w:space="0"/>
              <w:bottom w:val="single" w:color="000000" w:sz="8" w:space="0"/>
              <w:right w:val="single" w:color="000000" w:sz="8" w:space="0"/>
            </w:tcBorders>
            <w:vAlign w:val="center"/>
          </w:tcPr>
          <w:p w14:paraId="18CC8C1A">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事项</w:t>
            </w:r>
          </w:p>
        </w:tc>
        <w:tc>
          <w:tcPr>
            <w:tcW w:w="5547" w:type="dxa"/>
            <w:tcBorders>
              <w:top w:val="single" w:color="000000" w:sz="8" w:space="0"/>
              <w:left w:val="single" w:color="000000" w:sz="2" w:space="0"/>
              <w:bottom w:val="single" w:color="000000" w:sz="8" w:space="0"/>
              <w:right w:val="single" w:color="000000" w:sz="8" w:space="0"/>
            </w:tcBorders>
            <w:vAlign w:val="center"/>
          </w:tcPr>
          <w:p w14:paraId="71DBEB1C">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本项目的特别规定</w:t>
            </w:r>
          </w:p>
        </w:tc>
      </w:tr>
      <w:tr w14:paraId="04289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 w:hRule="atLeast"/>
        </w:trPr>
        <w:tc>
          <w:tcPr>
            <w:tcW w:w="629" w:type="dxa"/>
            <w:tcBorders>
              <w:top w:val="single" w:color="auto" w:sz="4" w:space="0"/>
              <w:left w:val="single" w:color="auto" w:sz="4" w:space="0"/>
              <w:bottom w:val="single" w:color="auto" w:sz="4" w:space="0"/>
              <w:right w:val="single" w:color="auto" w:sz="4" w:space="0"/>
            </w:tcBorders>
            <w:vAlign w:val="center"/>
          </w:tcPr>
          <w:p w14:paraId="31417DEC">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2391" w:type="dxa"/>
            <w:tcBorders>
              <w:top w:val="single" w:color="000000" w:sz="8" w:space="0"/>
              <w:left w:val="single" w:color="auto" w:sz="4" w:space="0"/>
              <w:bottom w:val="single" w:color="000000" w:sz="8" w:space="0"/>
              <w:right w:val="single" w:color="000000" w:sz="8" w:space="0"/>
            </w:tcBorders>
            <w:vAlign w:val="center"/>
          </w:tcPr>
          <w:p w14:paraId="59674663">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项目属性与核心产品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168F0D02">
            <w:pPr>
              <w:spacing w:line="400" w:lineRule="exact"/>
              <w:rPr>
                <w:rFonts w:ascii="宋体" w:hAnsi="宋体" w:cs="宋体"/>
                <w:color w:val="auto"/>
                <w:szCs w:val="21"/>
                <w:highlight w:val="none"/>
              </w:rPr>
            </w:pPr>
            <w:r>
              <w:rPr>
                <w:rFonts w:hint="eastAsia" w:ascii="宋体" w:hAnsi="宋体" w:cs="宋体"/>
                <w:color w:val="auto"/>
                <w:szCs w:val="21"/>
                <w:highlight w:val="none"/>
              </w:rPr>
              <w:t>货物类，单一产品或</w:t>
            </w:r>
            <w:r>
              <w:rPr>
                <w:rFonts w:hint="eastAsia" w:ascii="宋体" w:hAnsi="宋体" w:cs="宋体"/>
                <w:color w:val="auto"/>
                <w:kern w:val="0"/>
                <w:szCs w:val="21"/>
                <w:highlight w:val="none"/>
              </w:rPr>
              <w:t>核心产品为：</w:t>
            </w:r>
            <w:r>
              <w:rPr>
                <w:rFonts w:hint="eastAsia" w:ascii="宋体" w:hAnsi="宋体" w:cs="宋体"/>
                <w:color w:val="auto"/>
                <w:szCs w:val="21"/>
                <w:highlight w:val="none"/>
                <w:u w:val="single"/>
              </w:rPr>
              <w:t>同声传译实验室</w:t>
            </w:r>
            <w:r>
              <w:rPr>
                <w:rFonts w:hint="eastAsia" w:ascii="宋体" w:hAnsi="宋体" w:cs="宋体"/>
                <w:color w:val="auto"/>
                <w:szCs w:val="21"/>
                <w:highlight w:val="none"/>
              </w:rPr>
              <w:t>。</w:t>
            </w:r>
          </w:p>
        </w:tc>
      </w:tr>
      <w:tr w14:paraId="6F40F3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63FA1A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2391" w:type="dxa"/>
            <w:tcBorders>
              <w:top w:val="single" w:color="000000" w:sz="8" w:space="0"/>
              <w:left w:val="single" w:color="auto" w:sz="4" w:space="0"/>
              <w:bottom w:val="single" w:color="000000" w:sz="8" w:space="0"/>
              <w:right w:val="single" w:color="000000" w:sz="8" w:space="0"/>
            </w:tcBorders>
            <w:vAlign w:val="center"/>
          </w:tcPr>
          <w:p w14:paraId="6C7C33B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采购标的及其对应的中小企业划分标准所属行业</w:t>
            </w:r>
          </w:p>
        </w:tc>
        <w:tc>
          <w:tcPr>
            <w:tcW w:w="5547" w:type="dxa"/>
            <w:tcBorders>
              <w:top w:val="single" w:color="000000" w:sz="8" w:space="0"/>
              <w:left w:val="single" w:color="000000" w:sz="2" w:space="0"/>
              <w:bottom w:val="single" w:color="000000" w:sz="8" w:space="0"/>
              <w:right w:val="single" w:color="000000" w:sz="8" w:space="0"/>
            </w:tcBorders>
            <w:vAlign w:val="center"/>
          </w:tcPr>
          <w:p w14:paraId="11E244C1">
            <w:pPr>
              <w:pStyle w:val="3"/>
              <w:spacing w:line="400" w:lineRule="exact"/>
              <w:ind w:left="0" w:firstLine="0"/>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（1）标的：</w:t>
            </w:r>
            <w:r>
              <w:rPr>
                <w:rFonts w:hint="eastAsia" w:ascii="宋体" w:hAnsi="宋体" w:eastAsia="宋体" w:cs="宋体"/>
                <w:b w:val="0"/>
                <w:bCs w:val="0"/>
                <w:color w:val="auto"/>
                <w:sz w:val="21"/>
                <w:szCs w:val="21"/>
                <w:highlight w:val="none"/>
                <w:u w:val="single"/>
                <w:lang w:val="en-US" w:eastAsia="zh-CN"/>
              </w:rPr>
              <w:t>浙江万里学院同声传译实验室建设项目【重发】</w:t>
            </w:r>
            <w:r>
              <w:rPr>
                <w:rFonts w:hint="eastAsia" w:ascii="宋体" w:hAnsi="宋体" w:eastAsia="宋体" w:cs="宋体"/>
                <w:b w:val="0"/>
                <w:bCs w:val="0"/>
                <w:color w:val="auto"/>
                <w:sz w:val="21"/>
                <w:szCs w:val="21"/>
                <w:highlight w:val="none"/>
                <w:lang w:val="en-US"/>
              </w:rPr>
              <w:t>，属于</w:t>
            </w:r>
            <w:r>
              <w:rPr>
                <w:rFonts w:hint="eastAsia" w:ascii="宋体" w:hAnsi="宋体" w:eastAsia="宋体" w:cs="宋体"/>
                <w:color w:val="auto"/>
                <w:sz w:val="21"/>
                <w:szCs w:val="21"/>
                <w:highlight w:val="none"/>
                <w:u w:val="single"/>
                <w:lang w:val="en-US"/>
              </w:rPr>
              <w:t>工业</w:t>
            </w:r>
            <w:r>
              <w:rPr>
                <w:rFonts w:hint="eastAsia" w:ascii="宋体" w:hAnsi="宋体" w:eastAsia="宋体" w:cs="宋体"/>
                <w:b w:val="0"/>
                <w:bCs w:val="0"/>
                <w:color w:val="auto"/>
                <w:sz w:val="21"/>
                <w:szCs w:val="21"/>
                <w:highlight w:val="none"/>
                <w:lang w:val="en-US"/>
              </w:rPr>
              <w:t>行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65A69E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1B6D86D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2391" w:type="dxa"/>
            <w:tcBorders>
              <w:top w:val="single" w:color="000000" w:sz="8" w:space="0"/>
              <w:left w:val="single" w:color="auto" w:sz="4" w:space="0"/>
              <w:bottom w:val="single" w:color="000000" w:sz="8" w:space="0"/>
              <w:right w:val="single" w:color="000000" w:sz="8" w:space="0"/>
            </w:tcBorders>
            <w:vAlign w:val="center"/>
          </w:tcPr>
          <w:p w14:paraId="56B2F1D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是否允许采购进口产品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2971AD1C">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sym w:font="Wingdings" w:char="F0FE"/>
                </w:r>
              </w:sdtContent>
            </w:sdt>
            <w:r>
              <w:rPr>
                <w:rFonts w:hint="eastAsia" w:ascii="宋体" w:hAnsi="宋体" w:cs="宋体"/>
                <w:color w:val="auto"/>
                <w:kern w:val="0"/>
                <w:szCs w:val="21"/>
                <w:highlight w:val="none"/>
              </w:rPr>
              <w:t>本项目不允许采购进口产品。</w:t>
            </w:r>
          </w:p>
          <w:p w14:paraId="08AD52E1">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可以就</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采购进口产品。</w:t>
            </w:r>
          </w:p>
        </w:tc>
      </w:tr>
      <w:tr w14:paraId="52E0EA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426A4F86">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2391" w:type="dxa"/>
            <w:tcBorders>
              <w:top w:val="single" w:color="000000" w:sz="8" w:space="0"/>
              <w:left w:val="single" w:color="auto" w:sz="4" w:space="0"/>
              <w:bottom w:val="single" w:color="000000" w:sz="8" w:space="0"/>
              <w:right w:val="single" w:color="000000" w:sz="8" w:space="0"/>
            </w:tcBorders>
            <w:vAlign w:val="center"/>
          </w:tcPr>
          <w:p w14:paraId="7924EFA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分包</w:t>
            </w:r>
          </w:p>
        </w:tc>
        <w:tc>
          <w:tcPr>
            <w:tcW w:w="5547" w:type="dxa"/>
            <w:tcBorders>
              <w:top w:val="single" w:color="000000" w:sz="8" w:space="0"/>
              <w:left w:val="single" w:color="000000" w:sz="2" w:space="0"/>
              <w:bottom w:val="single" w:color="000000" w:sz="8" w:space="0"/>
              <w:right w:val="single" w:color="000000" w:sz="8" w:space="0"/>
            </w:tcBorders>
            <w:vAlign w:val="center"/>
          </w:tcPr>
          <w:p w14:paraId="22521E34">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477286927"/>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cs="宋体"/>
                    <w:color w:val="auto"/>
                    <w:kern w:val="0"/>
                    <w:szCs w:val="21"/>
                    <w:highlight w:val="none"/>
                  </w:rPr>
                  <w:t>☐</w:t>
                </w:r>
              </w:sdtContent>
            </w:sdt>
            <w:r>
              <w:rPr>
                <w:rFonts w:hint="eastAsia" w:ascii="宋体" w:hAnsi="宋体" w:cs="宋体"/>
                <w:color w:val="auto"/>
                <w:kern w:val="0"/>
                <w:szCs w:val="21"/>
                <w:highlight w:val="none"/>
              </w:rPr>
              <w:t xml:space="preserve"> A</w:t>
            </w:r>
            <w:r>
              <w:rPr>
                <w:rFonts w:hint="eastAsia" w:ascii="宋体" w:hAnsi="宋体" w:cs="宋体"/>
                <w:color w:val="auto"/>
                <w:szCs w:val="21"/>
                <w:highlight w:val="none"/>
              </w:rPr>
              <w:t>同意将非主体、非关键性的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工作分包。</w:t>
            </w:r>
            <w:sdt>
              <w:sdtPr>
                <w:rPr>
                  <w:rFonts w:hint="eastAsia" w:ascii="宋体" w:hAnsi="宋体" w:cs="宋体"/>
                  <w:color w:val="auto"/>
                  <w:kern w:val="0"/>
                  <w:szCs w:val="21"/>
                  <w:highlight w:val="none"/>
                </w:rPr>
                <w:id w:val="-1276331357"/>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 xml:space="preserve"> B</w:t>
            </w:r>
            <w:r>
              <w:rPr>
                <w:rFonts w:hint="eastAsia" w:ascii="宋体" w:hAnsi="宋体" w:cs="宋体"/>
                <w:color w:val="auto"/>
                <w:szCs w:val="21"/>
                <w:highlight w:val="none"/>
              </w:rPr>
              <w:t>不同意分包。</w:t>
            </w:r>
          </w:p>
          <w:p w14:paraId="12753B78">
            <w:pPr>
              <w:spacing w:line="400" w:lineRule="exact"/>
              <w:rPr>
                <w:rFonts w:ascii="宋体" w:hAnsi="宋体" w:cs="宋体"/>
                <w:color w:val="auto"/>
                <w:szCs w:val="21"/>
                <w:highlight w:val="none"/>
              </w:rPr>
            </w:pPr>
            <w:r>
              <w:rPr>
                <w:rFonts w:hint="eastAsia" w:ascii="宋体" w:hAnsi="宋体" w:cs="宋体"/>
                <w:color w:val="auto"/>
                <w:szCs w:val="21"/>
                <w:highlight w:val="none"/>
              </w:rPr>
              <w:t>注：不得限制大中型企业向小微企业合理分包。</w:t>
            </w:r>
          </w:p>
        </w:tc>
      </w:tr>
      <w:tr w14:paraId="13F809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73F647B8">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2391" w:type="dxa"/>
            <w:tcBorders>
              <w:top w:val="single" w:color="000000" w:sz="8" w:space="0"/>
              <w:left w:val="single" w:color="auto" w:sz="4" w:space="0"/>
              <w:bottom w:val="single" w:color="000000" w:sz="8" w:space="0"/>
              <w:right w:val="single" w:color="000000" w:sz="8" w:space="0"/>
            </w:tcBorders>
            <w:vAlign w:val="center"/>
          </w:tcPr>
          <w:p w14:paraId="7B6A2D7B">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开标前答疑会或现场考察</w:t>
            </w:r>
          </w:p>
        </w:tc>
        <w:tc>
          <w:tcPr>
            <w:tcW w:w="5547" w:type="dxa"/>
            <w:tcBorders>
              <w:top w:val="single" w:color="000000" w:sz="8" w:space="0"/>
              <w:left w:val="single" w:color="000000" w:sz="2" w:space="0"/>
              <w:bottom w:val="single" w:color="000000" w:sz="8" w:space="0"/>
              <w:right w:val="single" w:color="000000" w:sz="8" w:space="0"/>
            </w:tcBorders>
            <w:vAlign w:val="center"/>
          </w:tcPr>
          <w:p w14:paraId="062C0861">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7EDCCE6D">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B组织，</w:t>
            </w: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，联系方式：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tc>
      </w:tr>
      <w:tr w14:paraId="0F08CD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3C50515D">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2391" w:type="dxa"/>
            <w:tcBorders>
              <w:top w:val="single" w:color="000000" w:sz="8" w:space="0"/>
              <w:left w:val="single" w:color="auto" w:sz="4" w:space="0"/>
              <w:bottom w:val="single" w:color="000000" w:sz="8" w:space="0"/>
              <w:right w:val="single" w:color="000000" w:sz="8" w:space="0"/>
            </w:tcBorders>
            <w:vAlign w:val="center"/>
          </w:tcPr>
          <w:p w14:paraId="68D48631">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样品提供</w:t>
            </w:r>
          </w:p>
        </w:tc>
        <w:tc>
          <w:tcPr>
            <w:tcW w:w="5547" w:type="dxa"/>
            <w:tcBorders>
              <w:top w:val="single" w:color="000000" w:sz="8" w:space="0"/>
              <w:left w:val="single" w:color="000000" w:sz="2" w:space="0"/>
              <w:bottom w:val="single" w:color="000000" w:sz="8" w:space="0"/>
              <w:right w:val="single" w:color="000000" w:sz="8" w:space="0"/>
            </w:tcBorders>
            <w:vAlign w:val="center"/>
          </w:tcPr>
          <w:p w14:paraId="331FD7EB">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不要求提供。</w:t>
            </w:r>
          </w:p>
          <w:p w14:paraId="6C2082A6">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B要求提供，</w:t>
            </w:r>
          </w:p>
          <w:p w14:paraId="1AC0F7C6">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snapToGrid w:val="0"/>
                <w:color w:val="auto"/>
                <w:kern w:val="28"/>
                <w:szCs w:val="21"/>
                <w:highlight w:val="none"/>
              </w:rPr>
              <w:t>样品：</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43CE97D0">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snapToGrid w:val="0"/>
                <w:color w:val="auto"/>
                <w:kern w:val="28"/>
                <w:szCs w:val="21"/>
                <w:highlight w:val="none"/>
              </w:rPr>
              <w:t>样品制作的标准和要求：</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531F973B">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（3）样品的评审方法以及评审标准</w:t>
            </w:r>
            <w:r>
              <w:rPr>
                <w:rFonts w:hint="eastAsia" w:ascii="宋体" w:hAnsi="宋体" w:cs="宋体"/>
                <w:snapToGrid w:val="0"/>
                <w:color w:val="auto"/>
                <w:kern w:val="28"/>
                <w:szCs w:val="21"/>
                <w:highlight w:val="none"/>
              </w:rPr>
              <w:t>：详见</w:t>
            </w:r>
            <w:r>
              <w:rPr>
                <w:rFonts w:hint="eastAsia" w:ascii="宋体" w:hAnsi="宋体" w:cs="宋体"/>
                <w:color w:val="auto"/>
                <w:szCs w:val="21"/>
                <w:highlight w:val="none"/>
                <w:u w:val="single"/>
              </w:rPr>
              <w:t>评标办法</w:t>
            </w:r>
            <w:r>
              <w:rPr>
                <w:rFonts w:hint="eastAsia" w:ascii="宋体" w:hAnsi="宋体" w:cs="宋体"/>
                <w:color w:val="auto"/>
                <w:kern w:val="0"/>
                <w:szCs w:val="21"/>
                <w:highlight w:val="none"/>
              </w:rPr>
              <w:t>；</w:t>
            </w:r>
          </w:p>
          <w:p w14:paraId="19A77C28">
            <w:pPr>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（4）是否需要随样品提交检测报告：</w:t>
            </w:r>
            <w:sdt>
              <w:sdtPr>
                <w:rPr>
                  <w:rFonts w:hint="eastAsia" w:ascii="宋体" w:hAnsi="宋体" w:cs="宋体"/>
                  <w:color w:val="auto"/>
                  <w:kern w:val="0"/>
                  <w:szCs w:val="21"/>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否；</w:t>
            </w:r>
            <w:sdt>
              <w:sdtPr>
                <w:rPr>
                  <w:rFonts w:hint="eastAsia" w:ascii="宋体" w:hAnsi="宋体" w:cs="宋体"/>
                  <w:color w:val="auto"/>
                  <w:kern w:val="0"/>
                  <w:szCs w:val="21"/>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kern w:val="0"/>
                <w:szCs w:val="21"/>
                <w:highlight w:val="none"/>
              </w:rPr>
              <w:t>是，检测机构的要求</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；检测内容</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w:t>
            </w:r>
          </w:p>
          <w:p w14:paraId="751C5124">
            <w:pPr>
              <w:spacing w:line="400" w:lineRule="exact"/>
              <w:rPr>
                <w:rFonts w:ascii="宋体" w:hAnsi="宋体" w:cs="宋体"/>
                <w:color w:val="auto"/>
                <w:szCs w:val="21"/>
                <w:highlight w:val="none"/>
              </w:rPr>
            </w:pPr>
            <w:r>
              <w:rPr>
                <w:rFonts w:hint="eastAsia" w:ascii="宋体" w:hAnsi="宋体" w:cs="宋体"/>
                <w:color w:val="auto"/>
                <w:szCs w:val="21"/>
                <w:highlight w:val="none"/>
              </w:rPr>
              <w:t>（5）提供样品的时间：</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；地点：</w:t>
            </w:r>
            <w:r>
              <w:rPr>
                <w:rFonts w:hint="eastAsia" w:ascii="宋体" w:hAnsi="宋体" w:cs="宋体"/>
                <w:color w:val="auto"/>
                <w:szCs w:val="21"/>
                <w:highlight w:val="none"/>
                <w:u w:val="single"/>
              </w:rPr>
              <w:t xml:space="preserve">    </w:t>
            </w:r>
            <w:r>
              <w:rPr>
                <w:rFonts w:hint="eastAsia" w:ascii="宋体" w:hAnsi="宋体" w:cs="宋体"/>
                <w:color w:val="auto"/>
                <w:kern w:val="0"/>
                <w:szCs w:val="21"/>
                <w:highlight w:val="none"/>
              </w:rPr>
              <w:t>；联系人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r>
              <w:rPr>
                <w:rFonts w:hint="eastAsia" w:ascii="宋体" w:hAnsi="宋体" w:cs="宋体"/>
                <w:color w:val="auto"/>
                <w:kern w:val="28"/>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。请供应商在上述时间内提供样品并按规定位置安装完毕。超过截止时间的，采购人或采购代理机构将不予接收，并将清场并封闭样品现场。</w:t>
            </w:r>
          </w:p>
          <w:p w14:paraId="071A50FB">
            <w:pPr>
              <w:spacing w:line="400" w:lineRule="exact"/>
              <w:rPr>
                <w:rFonts w:ascii="宋体" w:hAnsi="宋体" w:cs="宋体"/>
                <w:color w:val="auto"/>
                <w:szCs w:val="21"/>
                <w:highlight w:val="none"/>
              </w:rPr>
            </w:pPr>
            <w:r>
              <w:rPr>
                <w:rFonts w:hint="eastAsia" w:ascii="宋体" w:hAnsi="宋体" w:cs="宋体"/>
                <w:color w:val="auto"/>
                <w:szCs w:val="21"/>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24060FD">
            <w:pPr>
              <w:spacing w:line="400" w:lineRule="exact"/>
              <w:rPr>
                <w:rFonts w:ascii="宋体" w:hAnsi="宋体" w:cs="宋体"/>
                <w:b/>
                <w:color w:val="auto"/>
                <w:szCs w:val="21"/>
                <w:highlight w:val="none"/>
              </w:rPr>
            </w:pPr>
            <w:r>
              <w:rPr>
                <w:rFonts w:hint="eastAsia" w:ascii="宋体" w:hAnsi="宋体" w:cs="宋体"/>
                <w:color w:val="auto"/>
                <w:szCs w:val="21"/>
                <w:highlight w:val="none"/>
              </w:rPr>
              <w:t>（7）制作、运输、安装和保管样品所发生的一切费用由供应商自理。</w:t>
            </w:r>
          </w:p>
        </w:tc>
      </w:tr>
      <w:tr w14:paraId="796E7D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auto" w:sz="4" w:space="0"/>
              <w:bottom w:val="single" w:color="auto" w:sz="4" w:space="0"/>
              <w:right w:val="single" w:color="auto" w:sz="4" w:space="0"/>
            </w:tcBorders>
            <w:vAlign w:val="center"/>
          </w:tcPr>
          <w:p w14:paraId="62E632C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2391" w:type="dxa"/>
            <w:tcBorders>
              <w:top w:val="single" w:color="000000" w:sz="8" w:space="0"/>
              <w:left w:val="single" w:color="auto" w:sz="4" w:space="0"/>
              <w:bottom w:val="single" w:color="000000" w:sz="8" w:space="0"/>
              <w:right w:val="single" w:color="000000" w:sz="8" w:space="0"/>
            </w:tcBorders>
            <w:vAlign w:val="center"/>
          </w:tcPr>
          <w:p w14:paraId="6014A2AF">
            <w:pPr>
              <w:snapToGrid w:val="0"/>
              <w:spacing w:line="400" w:lineRule="exact"/>
              <w:jc w:val="center"/>
              <w:rPr>
                <w:rFonts w:ascii="宋体" w:hAnsi="宋体" w:cs="宋体"/>
                <w:bCs/>
                <w:color w:val="auto"/>
                <w:szCs w:val="21"/>
                <w:highlight w:val="none"/>
              </w:rPr>
            </w:pPr>
            <w:r>
              <w:rPr>
                <w:rFonts w:hint="eastAsia" w:ascii="宋体" w:hAnsi="宋体" w:cs="宋体"/>
                <w:b/>
                <w:color w:val="auto"/>
                <w:szCs w:val="21"/>
                <w:highlight w:val="none"/>
              </w:rPr>
              <w:t>方案讲解演示</w:t>
            </w:r>
          </w:p>
        </w:tc>
        <w:tc>
          <w:tcPr>
            <w:tcW w:w="5547" w:type="dxa"/>
            <w:tcBorders>
              <w:top w:val="single" w:color="000000" w:sz="8" w:space="0"/>
              <w:left w:val="single" w:color="000000" w:sz="2" w:space="0"/>
              <w:bottom w:val="single" w:color="000000" w:sz="8" w:space="0"/>
              <w:right w:val="single" w:color="000000" w:sz="8" w:space="0"/>
            </w:tcBorders>
            <w:vAlign w:val="center"/>
          </w:tcPr>
          <w:p w14:paraId="780FAA58">
            <w:pPr>
              <w:spacing w:line="400" w:lineRule="exact"/>
              <w:rPr>
                <w:rFonts w:ascii="宋体" w:hAnsi="宋体" w:cs="宋体"/>
                <w:color w:val="auto"/>
                <w:szCs w:val="21"/>
                <w:highlight w:val="none"/>
              </w:rPr>
            </w:pPr>
            <w:sdt>
              <w:sdtPr>
                <w:rPr>
                  <w:rFonts w:hint="eastAsia" w:ascii="宋体" w:hAnsi="宋体" w:cs="宋体"/>
                  <w:color w:val="auto"/>
                  <w:kern w:val="0"/>
                  <w:szCs w:val="21"/>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MS Gothic" w:hAnsi="MS Gothic" w:eastAsia="MS Gothic" w:cs="宋体"/>
                    <w:color w:val="auto"/>
                    <w:kern w:val="0"/>
                    <w:szCs w:val="21"/>
                    <w:highlight w:val="none"/>
                  </w:rPr>
                  <w:t>☐</w:t>
                </w:r>
              </w:sdtContent>
            </w:sdt>
            <w:r>
              <w:rPr>
                <w:rFonts w:hint="eastAsia" w:ascii="宋体" w:hAnsi="宋体" w:cs="宋体"/>
                <w:color w:val="auto"/>
                <w:kern w:val="0"/>
                <w:szCs w:val="21"/>
                <w:highlight w:val="none"/>
              </w:rPr>
              <w:t>A</w:t>
            </w:r>
            <w:r>
              <w:rPr>
                <w:rFonts w:hint="eastAsia" w:ascii="宋体" w:hAnsi="宋体" w:cs="宋体"/>
                <w:color w:val="auto"/>
                <w:szCs w:val="21"/>
                <w:highlight w:val="none"/>
              </w:rPr>
              <w:t>不组织。</w:t>
            </w:r>
          </w:p>
          <w:p w14:paraId="1D5ADD8C">
            <w:pPr>
              <w:spacing w:line="400" w:lineRule="exact"/>
              <w:rPr>
                <w:rFonts w:ascii="宋体" w:hAnsi="宋体" w:cs="宋体"/>
                <w:color w:val="auto"/>
                <w:kern w:val="0"/>
                <w:szCs w:val="21"/>
                <w:highlight w:val="none"/>
              </w:rPr>
            </w:pPr>
            <w:sdt>
              <w:sdtPr>
                <w:rPr>
                  <w:rFonts w:hint="eastAsia" w:ascii="宋体" w:hAnsi="宋体" w:cs="宋体"/>
                  <w:color w:val="auto"/>
                  <w:kern w:val="0"/>
                  <w:szCs w:val="21"/>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kern w:val="0"/>
                <w:szCs w:val="21"/>
                <w:highlight w:val="none"/>
              </w:rPr>
              <w:t>B组织。</w:t>
            </w:r>
          </w:p>
          <w:p w14:paraId="77D03F5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（1）在评标时安排每个供应商进行方案讲解演示。每个供应商时间不超过</w:t>
            </w:r>
            <w:r>
              <w:rPr>
                <w:rFonts w:hint="eastAsia" w:ascii="宋体" w:hAnsi="宋体" w:cs="宋体"/>
                <w:color w:val="auto"/>
                <w:kern w:val="0"/>
                <w:szCs w:val="21"/>
                <w:highlight w:val="none"/>
                <w:u w:val="single"/>
                <w:lang w:val="en-US" w:eastAsia="zh-CN"/>
              </w:rPr>
              <w:t>15</w:t>
            </w:r>
            <w:r>
              <w:rPr>
                <w:rFonts w:hint="eastAsia" w:ascii="宋体" w:hAnsi="宋体" w:cs="宋体"/>
                <w:color w:val="auto"/>
                <w:kern w:val="0"/>
                <w:szCs w:val="21"/>
                <w:highlight w:val="none"/>
              </w:rPr>
              <w:t xml:space="preserve">分钟，讲解次序以投标文件解密时间先后次序为准。 </w:t>
            </w:r>
          </w:p>
          <w:p w14:paraId="20555A8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（2）方案讲解演示：</w:t>
            </w:r>
          </w:p>
          <w:p w14:paraId="636A32D5">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供应商需对第三部分采购需求</w:t>
            </w:r>
            <w:r>
              <w:rPr>
                <w:rFonts w:hint="eastAsia" w:ascii="宋体" w:hAnsi="宋体" w:cs="宋体"/>
                <w:color w:val="auto"/>
                <w:kern w:val="0"/>
                <w:szCs w:val="21"/>
                <w:highlight w:val="none"/>
                <w:lang w:val="en-US" w:eastAsia="zh-CN"/>
              </w:rPr>
              <w:t>要求的演示内容</w:t>
            </w:r>
            <w:r>
              <w:rPr>
                <w:rFonts w:hint="eastAsia" w:ascii="宋体" w:hAnsi="宋体" w:cs="宋体"/>
                <w:color w:val="auto"/>
                <w:kern w:val="0"/>
                <w:szCs w:val="21"/>
                <w:highlight w:val="none"/>
              </w:rPr>
              <w:t>录制演示视频（</w:t>
            </w:r>
            <w:r>
              <w:rPr>
                <w:rFonts w:hint="eastAsia" w:ascii="宋体" w:hAnsi="宋体" w:cs="宋体"/>
                <w:color w:val="auto"/>
                <w:kern w:val="0"/>
                <w:szCs w:val="21"/>
                <w:highlight w:val="none"/>
                <w:lang w:val="en-US" w:eastAsia="zh-CN"/>
              </w:rPr>
              <w:t>存录在</w:t>
            </w:r>
            <w:r>
              <w:rPr>
                <w:rFonts w:hint="eastAsia" w:ascii="宋体" w:hAnsi="宋体" w:cs="宋体"/>
                <w:color w:val="auto"/>
                <w:kern w:val="0"/>
                <w:szCs w:val="21"/>
                <w:highlight w:val="none"/>
              </w:rPr>
              <w:t>u盘），时间控制在</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5分钟内，对于超过</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5分钟后的内容，评审小组可停止播放。对是否提供方案的演示不做强制性要求，由供应商自行决定。演示文件应当单独密封包装，并在包装上标注采购项目编号、项目名称、供应商单位名称等并加盖公章</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rPr>
              <w:t>投标截止时间前以邮寄等方式送达至采购代理机构（地址：宁波市海曙区翠柏路89号工程学院西校区C栋8楼，接收人：陈彦，电话：0574-87127967），送达时间以采购代理机构工作人员实际签收时间为准。</w:t>
            </w:r>
          </w:p>
          <w:p w14:paraId="2C634F7A">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rPr>
              <w:t>注：因供应商自身原因导致无法演示或者演示效果不理想的，责任自负。</w:t>
            </w:r>
          </w:p>
        </w:tc>
      </w:tr>
      <w:tr w14:paraId="733211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auto" w:sz="4" w:space="0"/>
              <w:right w:val="single" w:color="auto" w:sz="4" w:space="0"/>
            </w:tcBorders>
            <w:vAlign w:val="center"/>
          </w:tcPr>
          <w:p w14:paraId="0F0A0A83">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2391" w:type="dxa"/>
            <w:vMerge w:val="restart"/>
            <w:tcBorders>
              <w:top w:val="single" w:color="000000" w:sz="8" w:space="0"/>
              <w:left w:val="single" w:color="auto" w:sz="4" w:space="0"/>
              <w:right w:val="single" w:color="000000" w:sz="8" w:space="0"/>
            </w:tcBorders>
            <w:vAlign w:val="center"/>
          </w:tcPr>
          <w:p w14:paraId="0A8502AE">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供应商应当提供的资格、资信证明文件</w:t>
            </w:r>
          </w:p>
        </w:tc>
        <w:tc>
          <w:tcPr>
            <w:tcW w:w="5547" w:type="dxa"/>
            <w:tcBorders>
              <w:top w:val="single" w:color="000000" w:sz="8" w:space="0"/>
              <w:left w:val="single" w:color="000000" w:sz="2" w:space="0"/>
              <w:bottom w:val="single" w:color="auto" w:sz="4" w:space="0"/>
              <w:right w:val="single" w:color="000000" w:sz="8" w:space="0"/>
            </w:tcBorders>
            <w:vAlign w:val="center"/>
          </w:tcPr>
          <w:p w14:paraId="6F2DA0CE">
            <w:pPr>
              <w:spacing w:line="400" w:lineRule="exact"/>
              <w:rPr>
                <w:rFonts w:ascii="宋体" w:hAnsi="宋体" w:cs="宋体"/>
                <w:color w:val="auto"/>
                <w:szCs w:val="21"/>
                <w:highlight w:val="none"/>
              </w:rPr>
            </w:pPr>
            <w:r>
              <w:rPr>
                <w:rFonts w:hint="eastAsia" w:ascii="宋体" w:hAnsi="宋体" w:cs="宋体"/>
                <w:color w:val="auto"/>
                <w:szCs w:val="21"/>
                <w:highlight w:val="none"/>
              </w:rPr>
              <w:t>（1）资格证明文件：见招标文件第二部分11.1。</w:t>
            </w:r>
          </w:p>
          <w:p w14:paraId="29777557">
            <w:pPr>
              <w:spacing w:line="400" w:lineRule="exact"/>
              <w:rPr>
                <w:rFonts w:ascii="宋体" w:hAnsi="宋体" w:cs="宋体"/>
                <w:snapToGrid w:val="0"/>
                <w:color w:val="auto"/>
                <w:kern w:val="0"/>
                <w:szCs w:val="21"/>
                <w:highlight w:val="none"/>
              </w:rPr>
            </w:pPr>
            <w:r>
              <w:rPr>
                <w:rFonts w:hint="eastAsia" w:ascii="宋体" w:hAnsi="宋体" w:cs="宋体"/>
                <w:color w:val="auto"/>
                <w:kern w:val="0"/>
                <w:szCs w:val="21"/>
                <w:highlight w:val="none"/>
                <w:lang w:val="zh-CN"/>
              </w:rPr>
              <w:t>供应商未提供有效的资格证明文件的，视为供应商不具备招标文件中规定的资格要求，投标无效。</w:t>
            </w:r>
          </w:p>
        </w:tc>
      </w:tr>
      <w:tr w14:paraId="3C6326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auto" w:sz="4" w:space="0"/>
              <w:bottom w:val="single" w:color="auto" w:sz="4" w:space="0"/>
              <w:right w:val="single" w:color="auto" w:sz="4" w:space="0"/>
            </w:tcBorders>
          </w:tcPr>
          <w:p w14:paraId="530ACCAA">
            <w:pPr>
              <w:snapToGrid w:val="0"/>
              <w:spacing w:line="400" w:lineRule="exact"/>
              <w:jc w:val="center"/>
              <w:rPr>
                <w:rFonts w:ascii="宋体" w:hAnsi="宋体" w:cs="宋体"/>
                <w:color w:val="auto"/>
                <w:szCs w:val="21"/>
                <w:highlight w:val="none"/>
              </w:rPr>
            </w:pPr>
          </w:p>
        </w:tc>
        <w:tc>
          <w:tcPr>
            <w:tcW w:w="2391" w:type="dxa"/>
            <w:vMerge w:val="continue"/>
            <w:tcBorders>
              <w:left w:val="single" w:color="auto" w:sz="4" w:space="0"/>
              <w:bottom w:val="single" w:color="000000" w:sz="8" w:space="0"/>
              <w:right w:val="single" w:color="000000" w:sz="8" w:space="0"/>
            </w:tcBorders>
            <w:vAlign w:val="center"/>
          </w:tcPr>
          <w:p w14:paraId="77EFF311">
            <w:pPr>
              <w:snapToGrid w:val="0"/>
              <w:spacing w:line="400" w:lineRule="exact"/>
              <w:jc w:val="center"/>
              <w:rPr>
                <w:rFonts w:ascii="宋体" w:hAnsi="宋体" w:cs="宋体"/>
                <w:b/>
                <w:color w:val="auto"/>
                <w:szCs w:val="21"/>
                <w:highlight w:val="none"/>
              </w:rPr>
            </w:pPr>
          </w:p>
        </w:tc>
        <w:tc>
          <w:tcPr>
            <w:tcW w:w="5547" w:type="dxa"/>
            <w:tcBorders>
              <w:top w:val="single" w:color="auto" w:sz="4" w:space="0"/>
              <w:left w:val="single" w:color="000000" w:sz="2" w:space="0"/>
              <w:bottom w:val="single" w:color="000000" w:sz="8" w:space="0"/>
              <w:right w:val="single" w:color="000000" w:sz="8" w:space="0"/>
            </w:tcBorders>
            <w:vAlign w:val="center"/>
          </w:tcPr>
          <w:p w14:paraId="07F5447D">
            <w:pPr>
              <w:spacing w:line="400" w:lineRule="exact"/>
              <w:rPr>
                <w:rFonts w:ascii="宋体" w:hAnsi="宋体" w:cs="宋体"/>
                <w:color w:val="auto"/>
                <w:szCs w:val="21"/>
                <w:highlight w:val="none"/>
              </w:rPr>
            </w:pPr>
            <w:r>
              <w:rPr>
                <w:rFonts w:hint="eastAsia" w:ascii="宋体" w:hAnsi="宋体" w:cs="宋体"/>
                <w:color w:val="auto"/>
                <w:szCs w:val="21"/>
                <w:highlight w:val="none"/>
              </w:rPr>
              <w:t>（2）资信证明文件：根据招标文件第四部分评标标准提供。</w:t>
            </w:r>
          </w:p>
        </w:tc>
      </w:tr>
      <w:tr w14:paraId="7D5AE4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44091C4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2391" w:type="dxa"/>
            <w:tcBorders>
              <w:top w:val="single" w:color="000000" w:sz="8" w:space="0"/>
              <w:left w:val="single" w:color="000000" w:sz="2" w:space="0"/>
              <w:bottom w:val="single" w:color="000000" w:sz="8" w:space="0"/>
              <w:right w:val="single" w:color="000000" w:sz="8" w:space="0"/>
            </w:tcBorders>
            <w:vAlign w:val="center"/>
          </w:tcPr>
          <w:p w14:paraId="01A76066">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节能产品、环境标志产品</w:t>
            </w:r>
          </w:p>
        </w:tc>
        <w:tc>
          <w:tcPr>
            <w:tcW w:w="5547" w:type="dxa"/>
            <w:tcBorders>
              <w:top w:val="single" w:color="000000" w:sz="8" w:space="0"/>
              <w:left w:val="single" w:color="000000" w:sz="2" w:space="0"/>
              <w:bottom w:val="single" w:color="000000" w:sz="8" w:space="0"/>
              <w:right w:val="single" w:color="000000" w:sz="8" w:space="0"/>
            </w:tcBorders>
            <w:vAlign w:val="center"/>
          </w:tcPr>
          <w:p w14:paraId="6A3EA55C">
            <w:pPr>
              <w:snapToGrid w:val="0"/>
              <w:spacing w:line="400" w:lineRule="exact"/>
              <w:rPr>
                <w:rFonts w:ascii="宋体" w:hAnsi="宋体" w:cs="宋体"/>
                <w:color w:val="auto"/>
                <w:szCs w:val="21"/>
                <w:highlight w:val="none"/>
              </w:rPr>
            </w:pPr>
            <w:r>
              <w:rPr>
                <w:rFonts w:hint="eastAsia" w:ascii="宋体" w:hAnsi="宋体" w:cs="宋体"/>
                <w:color w:val="auto"/>
                <w:kern w:val="0"/>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50B2B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6923D21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91" w:type="dxa"/>
            <w:tcBorders>
              <w:top w:val="single" w:color="000000" w:sz="8" w:space="0"/>
              <w:left w:val="single" w:color="000000" w:sz="2" w:space="0"/>
              <w:bottom w:val="single" w:color="000000" w:sz="8" w:space="0"/>
              <w:right w:val="single" w:color="000000" w:sz="8" w:space="0"/>
            </w:tcBorders>
            <w:vAlign w:val="center"/>
          </w:tcPr>
          <w:p w14:paraId="43C950A8">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报价要求</w:t>
            </w:r>
          </w:p>
        </w:tc>
        <w:tc>
          <w:tcPr>
            <w:tcW w:w="5547" w:type="dxa"/>
            <w:tcBorders>
              <w:top w:val="single" w:color="000000" w:sz="8" w:space="0"/>
              <w:left w:val="single" w:color="000000" w:sz="2" w:space="0"/>
              <w:bottom w:val="single" w:color="000000" w:sz="8" w:space="0"/>
              <w:right w:val="single" w:color="000000" w:sz="8" w:space="0"/>
            </w:tcBorders>
            <w:vAlign w:val="center"/>
          </w:tcPr>
          <w:p w14:paraId="5078E29D">
            <w:pPr>
              <w:snapToGrid w:val="0"/>
              <w:spacing w:line="400" w:lineRule="exact"/>
              <w:rPr>
                <w:rFonts w:ascii="宋体" w:hAnsi="宋体" w:cs="宋体"/>
                <w:b/>
                <w:color w:val="auto"/>
                <w:kern w:val="0"/>
                <w:szCs w:val="21"/>
                <w:highlight w:val="none"/>
                <w:lang w:val="zh-CN"/>
              </w:rPr>
            </w:pPr>
            <w:r>
              <w:rPr>
                <w:rFonts w:hint="eastAsia" w:ascii="宋体" w:hAnsi="宋体" w:cs="宋体"/>
                <w:color w:val="auto"/>
                <w:kern w:val="0"/>
                <w:szCs w:val="21"/>
                <w:highlight w:val="none"/>
                <w:lang w:val="zh-CN"/>
              </w:rPr>
              <w:t>有关本项目实施所需的所有费用（含税费）均计入报价。</w:t>
            </w:r>
            <w:r>
              <w:rPr>
                <w:rFonts w:hint="eastAsia" w:ascii="宋体" w:hAnsi="宋体" w:cs="宋体"/>
                <w:b/>
                <w:bCs/>
                <w:color w:val="auto"/>
                <w:kern w:val="0"/>
                <w:szCs w:val="21"/>
                <w:highlight w:val="none"/>
                <w:lang w:val="zh-CN"/>
              </w:rPr>
              <w:t>投标文件</w:t>
            </w:r>
            <w:r>
              <w:rPr>
                <w:rFonts w:hint="eastAsia" w:ascii="宋体" w:hAnsi="宋体" w:cs="宋体"/>
                <w:b/>
                <w:bCs/>
                <w:color w:val="auto"/>
                <w:szCs w:val="21"/>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Cs w:val="21"/>
                <w:highlight w:val="none"/>
                <w:lang w:val="zh-CN"/>
              </w:rPr>
              <w:t>投标文件中价格全部采用人民币报价。招标文件未列明，而供应商认为必需的费用也需列入报价。</w:t>
            </w:r>
            <w:r>
              <w:rPr>
                <w:rFonts w:hint="eastAsia" w:ascii="宋体" w:hAnsi="宋体" w:cs="宋体"/>
                <w:b/>
                <w:color w:val="auto"/>
                <w:kern w:val="0"/>
                <w:szCs w:val="21"/>
                <w:highlight w:val="none"/>
                <w:lang w:val="zh-CN"/>
              </w:rPr>
              <w:t>提醒：验收时检测费用由采购人承担，不包含在投标</w:t>
            </w:r>
            <w:r>
              <w:rPr>
                <w:rFonts w:hint="eastAsia"/>
                <w:b/>
                <w:bCs/>
                <w:color w:val="auto"/>
                <w:highlight w:val="none"/>
              </w:rPr>
              <w:t>报价</w:t>
            </w:r>
            <w:r>
              <w:rPr>
                <w:rFonts w:hint="eastAsia" w:ascii="宋体" w:hAnsi="宋体" w:cs="宋体"/>
                <w:b/>
                <w:color w:val="auto"/>
                <w:kern w:val="0"/>
                <w:szCs w:val="21"/>
                <w:highlight w:val="none"/>
                <w:lang w:val="zh-CN"/>
              </w:rPr>
              <w:t>中。</w:t>
            </w:r>
          </w:p>
          <w:p w14:paraId="40D8CF3E">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投标报价出现下列情形的，投标无效：</w:t>
            </w:r>
          </w:p>
          <w:p w14:paraId="06410D1A">
            <w:pPr>
              <w:snapToGrid w:val="0"/>
              <w:spacing w:line="400" w:lineRule="exact"/>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投标文件出现不是唯一的、有选择性投标报价的；</w:t>
            </w:r>
          </w:p>
          <w:p w14:paraId="54DD2962">
            <w:pPr>
              <w:snapToGrid w:val="0"/>
              <w:spacing w:line="400" w:lineRule="exact"/>
              <w:rPr>
                <w:rFonts w:ascii="宋体" w:hAnsi="宋体" w:cs="宋体"/>
                <w:color w:val="auto"/>
                <w:kern w:val="0"/>
                <w:szCs w:val="21"/>
                <w:highlight w:val="none"/>
                <w:lang w:val="zh-CN"/>
              </w:rPr>
            </w:pPr>
            <w:r>
              <w:rPr>
                <w:rFonts w:hint="eastAsia" w:ascii="宋体" w:hAnsi="宋体" w:cs="宋体"/>
                <w:b/>
                <w:color w:val="auto"/>
                <w:kern w:val="0"/>
                <w:szCs w:val="21"/>
                <w:highlight w:val="none"/>
                <w:lang w:val="zh-CN"/>
              </w:rPr>
              <w:t>投标报价超过招标文件中规定的预算金额或者最高限价的;</w:t>
            </w:r>
          </w:p>
          <w:p w14:paraId="5740EE54">
            <w:pPr>
              <w:spacing w:line="400" w:lineRule="exact"/>
              <w:rPr>
                <w:rFonts w:ascii="宋体" w:hAnsi="宋体" w:cs="宋体"/>
                <w:b/>
                <w:color w:val="auto"/>
                <w:szCs w:val="21"/>
                <w:highlight w:val="none"/>
              </w:rPr>
            </w:pPr>
            <w:r>
              <w:rPr>
                <w:rFonts w:hint="eastAsia" w:ascii="宋体" w:hAnsi="宋体" w:cs="宋体"/>
                <w:b/>
                <w:color w:val="auto"/>
                <w:kern w:val="0"/>
                <w:szCs w:val="21"/>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Cs w:val="21"/>
                <w:highlight w:val="none"/>
              </w:rPr>
              <w:t>;</w:t>
            </w:r>
          </w:p>
          <w:p w14:paraId="5F431F47">
            <w:pPr>
              <w:spacing w:line="400" w:lineRule="exact"/>
              <w:rPr>
                <w:rFonts w:ascii="宋体" w:hAnsi="宋体" w:cs="宋体"/>
                <w:color w:val="auto"/>
                <w:szCs w:val="21"/>
                <w:highlight w:val="none"/>
              </w:rPr>
            </w:pPr>
            <w:r>
              <w:rPr>
                <w:rFonts w:hint="eastAsia" w:ascii="宋体" w:hAnsi="宋体" w:cs="宋体"/>
                <w:b/>
                <w:color w:val="auto"/>
                <w:kern w:val="0"/>
                <w:szCs w:val="21"/>
                <w:highlight w:val="none"/>
              </w:rPr>
              <w:t>供应商对根据修正原则修正后的报价不确认的</w:t>
            </w:r>
            <w:r>
              <w:rPr>
                <w:rFonts w:hint="eastAsia" w:ascii="宋体" w:hAnsi="宋体" w:cs="宋体"/>
                <w:b/>
                <w:color w:val="auto"/>
                <w:szCs w:val="21"/>
                <w:highlight w:val="none"/>
              </w:rPr>
              <w:t>。</w:t>
            </w:r>
          </w:p>
        </w:tc>
      </w:tr>
      <w:tr w14:paraId="2E1266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5"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5575FDA1">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91" w:type="dxa"/>
            <w:tcBorders>
              <w:top w:val="single" w:color="000000" w:sz="8" w:space="0"/>
              <w:left w:val="single" w:color="000000" w:sz="2" w:space="0"/>
              <w:bottom w:val="single" w:color="000000" w:sz="8" w:space="0"/>
              <w:right w:val="single" w:color="000000" w:sz="8" w:space="0"/>
            </w:tcBorders>
            <w:vAlign w:val="center"/>
          </w:tcPr>
          <w:p w14:paraId="43E8C55C">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中标服务费</w:t>
            </w:r>
          </w:p>
        </w:tc>
        <w:tc>
          <w:tcPr>
            <w:tcW w:w="5547" w:type="dxa"/>
            <w:tcBorders>
              <w:top w:val="single" w:color="000000" w:sz="8" w:space="0"/>
              <w:left w:val="single" w:color="000000" w:sz="2" w:space="0"/>
              <w:bottom w:val="single" w:color="000000" w:sz="8" w:space="0"/>
              <w:right w:val="single" w:color="000000" w:sz="8" w:space="0"/>
            </w:tcBorders>
            <w:vAlign w:val="center"/>
          </w:tcPr>
          <w:p w14:paraId="6026A98F">
            <w:pPr>
              <w:spacing w:line="400" w:lineRule="exact"/>
              <w:rPr>
                <w:rFonts w:ascii="Arial" w:hAnsi="Arial" w:cs="Arial" w:eastAsiaTheme="minorEastAsia"/>
                <w:color w:val="auto"/>
                <w:szCs w:val="21"/>
                <w:highlight w:val="none"/>
              </w:rPr>
            </w:pPr>
            <w:r>
              <w:rPr>
                <w:rFonts w:ascii="Arial" w:hAnsi="Arial" w:cs="Arial" w:eastAsiaTheme="minorEastAsia"/>
                <w:color w:val="auto"/>
                <w:szCs w:val="21"/>
                <w:highlight w:val="none"/>
              </w:rPr>
              <w:t>招标代理服务费的收取标准：</w:t>
            </w:r>
            <w:r>
              <w:rPr>
                <w:rFonts w:hint="eastAsia" w:ascii="Arial" w:hAnsi="Arial" w:cs="Arial" w:eastAsiaTheme="minorEastAsia"/>
                <w:color w:val="auto"/>
                <w:szCs w:val="21"/>
                <w:highlight w:val="none"/>
              </w:rPr>
              <w:t>按下表下浮25%向中标人收取中标服务费，不低于3000元。</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0"/>
              <w:gridCol w:w="1095"/>
              <w:gridCol w:w="1104"/>
              <w:gridCol w:w="1064"/>
            </w:tblGrid>
            <w:tr w14:paraId="1C1B8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69005FEB">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中标金额（万元）</w:t>
                  </w:r>
                </w:p>
              </w:tc>
              <w:tc>
                <w:tcPr>
                  <w:tcW w:w="1095" w:type="dxa"/>
                  <w:vAlign w:val="center"/>
                </w:tcPr>
                <w:p w14:paraId="6BBA786F">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货物招标</w:t>
                  </w:r>
                </w:p>
              </w:tc>
              <w:tc>
                <w:tcPr>
                  <w:tcW w:w="1104" w:type="dxa"/>
                  <w:vAlign w:val="center"/>
                </w:tcPr>
                <w:p w14:paraId="1D008430">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服务招标</w:t>
                  </w:r>
                </w:p>
              </w:tc>
              <w:tc>
                <w:tcPr>
                  <w:tcW w:w="1064" w:type="dxa"/>
                  <w:vAlign w:val="center"/>
                </w:tcPr>
                <w:p w14:paraId="7AE40968">
                  <w:pPr>
                    <w:spacing w:line="400" w:lineRule="exact"/>
                    <w:jc w:val="center"/>
                    <w:rPr>
                      <w:rFonts w:ascii="Arial" w:hAnsi="Arial" w:cs="Arial" w:eastAsiaTheme="minorEastAsia"/>
                      <w:b/>
                      <w:bCs/>
                      <w:color w:val="auto"/>
                      <w:szCs w:val="21"/>
                      <w:highlight w:val="none"/>
                    </w:rPr>
                  </w:pPr>
                  <w:r>
                    <w:rPr>
                      <w:rFonts w:hint="eastAsia" w:ascii="Arial" w:hAnsi="Arial" w:cs="Arial" w:eastAsiaTheme="minorEastAsia"/>
                      <w:b/>
                      <w:bCs/>
                      <w:color w:val="auto"/>
                      <w:szCs w:val="21"/>
                      <w:highlight w:val="none"/>
                    </w:rPr>
                    <w:t>工程招标</w:t>
                  </w:r>
                </w:p>
              </w:tc>
            </w:tr>
            <w:tr w14:paraId="3EE3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B2F3113">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100以下（含）</w:t>
                  </w:r>
                </w:p>
              </w:tc>
              <w:tc>
                <w:tcPr>
                  <w:tcW w:w="1095" w:type="dxa"/>
                  <w:vAlign w:val="center"/>
                </w:tcPr>
                <w:p w14:paraId="06F70AD3">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104" w:type="dxa"/>
                  <w:vAlign w:val="center"/>
                </w:tcPr>
                <w:p w14:paraId="0E675E28">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1.6%</w:t>
                  </w:r>
                </w:p>
              </w:tc>
              <w:tc>
                <w:tcPr>
                  <w:tcW w:w="1064" w:type="dxa"/>
                  <w:vAlign w:val="center"/>
                </w:tcPr>
                <w:p w14:paraId="672E0816">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w:t>
                  </w:r>
                </w:p>
              </w:tc>
            </w:tr>
            <w:tr w14:paraId="678F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7B5C2157">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100-500（含）</w:t>
                  </w:r>
                </w:p>
              </w:tc>
              <w:tc>
                <w:tcPr>
                  <w:tcW w:w="1095" w:type="dxa"/>
                  <w:vAlign w:val="center"/>
                </w:tcPr>
                <w:p w14:paraId="5AAEF8F5">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1.2%</w:t>
                  </w:r>
                </w:p>
              </w:tc>
              <w:tc>
                <w:tcPr>
                  <w:tcW w:w="1104" w:type="dxa"/>
                  <w:vAlign w:val="center"/>
                </w:tcPr>
                <w:p w14:paraId="537E05F8">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064" w:type="dxa"/>
                  <w:vAlign w:val="center"/>
                </w:tcPr>
                <w:p w14:paraId="58355758">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0.7%</w:t>
                  </w:r>
                </w:p>
              </w:tc>
            </w:tr>
            <w:tr w14:paraId="112D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64F8C610">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500-1000（含）</w:t>
                  </w:r>
                </w:p>
              </w:tc>
              <w:tc>
                <w:tcPr>
                  <w:tcW w:w="1095" w:type="dxa"/>
                  <w:vAlign w:val="center"/>
                </w:tcPr>
                <w:p w14:paraId="2C94781F">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0.9%</w:t>
                  </w:r>
                </w:p>
              </w:tc>
              <w:tc>
                <w:tcPr>
                  <w:tcW w:w="1104" w:type="dxa"/>
                  <w:vAlign w:val="center"/>
                </w:tcPr>
                <w:p w14:paraId="5E9387E1">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w:t>
                  </w:r>
                </w:p>
              </w:tc>
              <w:tc>
                <w:tcPr>
                  <w:tcW w:w="1064" w:type="dxa"/>
                  <w:vAlign w:val="center"/>
                </w:tcPr>
                <w:p w14:paraId="68D1DDB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0.55%</w:t>
                  </w:r>
                </w:p>
              </w:tc>
            </w:tr>
            <w:tr w14:paraId="425F4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5E2C542B">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1000-5000（含）</w:t>
                  </w:r>
                </w:p>
              </w:tc>
              <w:tc>
                <w:tcPr>
                  <w:tcW w:w="1095" w:type="dxa"/>
                  <w:vAlign w:val="center"/>
                </w:tcPr>
                <w:p w14:paraId="47DCFB99">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0.6%</w:t>
                  </w:r>
                </w:p>
              </w:tc>
              <w:tc>
                <w:tcPr>
                  <w:tcW w:w="1104" w:type="dxa"/>
                  <w:vAlign w:val="center"/>
                </w:tcPr>
                <w:p w14:paraId="553E8D73">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064" w:type="dxa"/>
                  <w:vAlign w:val="center"/>
                </w:tcPr>
                <w:p w14:paraId="349F087F">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0.35%</w:t>
                  </w:r>
                </w:p>
              </w:tc>
            </w:tr>
            <w:tr w14:paraId="640AE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08896121">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5000-10000（含）</w:t>
                  </w:r>
                </w:p>
              </w:tc>
              <w:tc>
                <w:tcPr>
                  <w:tcW w:w="1095" w:type="dxa"/>
                  <w:vAlign w:val="center"/>
                </w:tcPr>
                <w:p w14:paraId="6E7FF2AC">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c>
                <w:tcPr>
                  <w:tcW w:w="1104" w:type="dxa"/>
                  <w:vAlign w:val="center"/>
                </w:tcPr>
                <w:p w14:paraId="000C44EE">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0.1%</w:t>
                  </w:r>
                </w:p>
              </w:tc>
              <w:tc>
                <w:tcPr>
                  <w:tcW w:w="1064" w:type="dxa"/>
                  <w:vAlign w:val="center"/>
                </w:tcPr>
                <w:p w14:paraId="5B9E527E">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0.2%</w:t>
                  </w:r>
                </w:p>
              </w:tc>
            </w:tr>
            <w:tr w14:paraId="10BE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121D9241">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10000-100000（含）</w:t>
                  </w:r>
                </w:p>
              </w:tc>
              <w:tc>
                <w:tcPr>
                  <w:tcW w:w="1095" w:type="dxa"/>
                  <w:vAlign w:val="center"/>
                </w:tcPr>
                <w:p w14:paraId="5EE9EA2E">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104" w:type="dxa"/>
                  <w:vAlign w:val="center"/>
                </w:tcPr>
                <w:p w14:paraId="2FB850EE">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0.05%</w:t>
                  </w:r>
                </w:p>
              </w:tc>
              <w:tc>
                <w:tcPr>
                  <w:tcW w:w="1064" w:type="dxa"/>
                  <w:vAlign w:val="center"/>
                </w:tcPr>
                <w:p w14:paraId="2C3C4342">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0.04%</w:t>
                  </w:r>
                </w:p>
              </w:tc>
            </w:tr>
            <w:tr w14:paraId="01558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0" w:type="dxa"/>
                  <w:vAlign w:val="center"/>
                </w:tcPr>
                <w:p w14:paraId="4068A055">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100000以上</w:t>
                  </w:r>
                </w:p>
              </w:tc>
              <w:tc>
                <w:tcPr>
                  <w:tcW w:w="1095" w:type="dxa"/>
                  <w:vAlign w:val="center"/>
                </w:tcPr>
                <w:p w14:paraId="05599520">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104" w:type="dxa"/>
                  <w:vAlign w:val="center"/>
                </w:tcPr>
                <w:p w14:paraId="09488DF7">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c>
                <w:tcPr>
                  <w:tcW w:w="1064" w:type="dxa"/>
                  <w:vAlign w:val="center"/>
                </w:tcPr>
                <w:p w14:paraId="7CE5E3B2">
                  <w:pPr>
                    <w:spacing w:line="400" w:lineRule="exact"/>
                    <w:jc w:val="center"/>
                    <w:rPr>
                      <w:rFonts w:ascii="Arial" w:hAnsi="Arial" w:cs="Arial" w:eastAsiaTheme="minorEastAsia"/>
                      <w:color w:val="auto"/>
                      <w:szCs w:val="21"/>
                      <w:highlight w:val="none"/>
                    </w:rPr>
                  </w:pPr>
                  <w:r>
                    <w:rPr>
                      <w:rFonts w:hint="eastAsia" w:ascii="Arial" w:hAnsi="Arial" w:cs="Arial" w:eastAsiaTheme="minorEastAsia"/>
                      <w:color w:val="auto"/>
                      <w:szCs w:val="21"/>
                      <w:highlight w:val="none"/>
                    </w:rPr>
                    <w:t>0.01%</w:t>
                  </w:r>
                </w:p>
              </w:tc>
            </w:tr>
          </w:tbl>
          <w:p w14:paraId="31801B38">
            <w:pPr>
              <w:spacing w:line="400" w:lineRule="exact"/>
              <w:rPr>
                <w:rFonts w:ascii="宋体" w:hAnsi="宋体" w:cs="宋体"/>
                <w:b/>
                <w:color w:val="auto"/>
                <w:kern w:val="0"/>
                <w:szCs w:val="21"/>
                <w:highlight w:val="none"/>
              </w:rPr>
            </w:pPr>
          </w:p>
        </w:tc>
      </w:tr>
      <w:tr w14:paraId="048477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right w:val="single" w:color="000000" w:sz="2" w:space="0"/>
            </w:tcBorders>
            <w:vAlign w:val="center"/>
          </w:tcPr>
          <w:p w14:paraId="797C05CA">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91" w:type="dxa"/>
            <w:tcBorders>
              <w:top w:val="single" w:color="000000" w:sz="8" w:space="0"/>
              <w:left w:val="single" w:color="000000" w:sz="2" w:space="0"/>
              <w:right w:val="single" w:color="000000" w:sz="8" w:space="0"/>
            </w:tcBorders>
            <w:vAlign w:val="center"/>
          </w:tcPr>
          <w:p w14:paraId="7ACD9F77">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中小企业信用融资</w:t>
            </w:r>
          </w:p>
        </w:tc>
        <w:tc>
          <w:tcPr>
            <w:tcW w:w="5547" w:type="dxa"/>
            <w:tcBorders>
              <w:top w:val="single" w:color="000000" w:sz="8" w:space="0"/>
              <w:left w:val="single" w:color="000000" w:sz="2" w:space="0"/>
              <w:right w:val="single" w:color="000000" w:sz="8" w:space="0"/>
            </w:tcBorders>
            <w:vAlign w:val="center"/>
          </w:tcPr>
          <w:p w14:paraId="58FA2B22">
            <w:pPr>
              <w:spacing w:line="400" w:lineRule="exact"/>
              <w:rPr>
                <w:rFonts w:ascii="宋体" w:hAnsi="宋体" w:cs="宋体"/>
                <w:color w:val="auto"/>
                <w:szCs w:val="21"/>
                <w:highlight w:val="none"/>
              </w:rPr>
            </w:pPr>
            <w:r>
              <w:rPr>
                <w:rFonts w:hint="eastAsia" w:ascii="宋体" w:hAnsi="宋体" w:cs="宋体"/>
                <w:snapToGrid w:val="0"/>
                <w:color w:val="auto"/>
                <w:kern w:val="28"/>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752C3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06D90A24">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91" w:type="dxa"/>
            <w:tcBorders>
              <w:top w:val="single" w:color="000000" w:sz="8" w:space="0"/>
              <w:left w:val="single" w:color="000000" w:sz="2" w:space="0"/>
              <w:bottom w:val="single" w:color="000000" w:sz="8" w:space="0"/>
              <w:right w:val="single" w:color="000000" w:sz="8" w:space="0"/>
            </w:tcBorders>
            <w:vAlign w:val="center"/>
          </w:tcPr>
          <w:p w14:paraId="18FA4941">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备份投标文件送达地点和签收人员</w:t>
            </w:r>
          </w:p>
        </w:tc>
        <w:tc>
          <w:tcPr>
            <w:tcW w:w="5547" w:type="dxa"/>
            <w:tcBorders>
              <w:top w:val="single" w:color="000000" w:sz="8" w:space="0"/>
              <w:left w:val="single" w:color="000000" w:sz="2" w:space="0"/>
              <w:bottom w:val="single" w:color="000000" w:sz="8" w:space="0"/>
              <w:right w:val="single" w:color="000000" w:sz="8" w:space="0"/>
            </w:tcBorders>
            <w:vAlign w:val="center"/>
          </w:tcPr>
          <w:p w14:paraId="26D111FA">
            <w:pPr>
              <w:pStyle w:val="6"/>
              <w:spacing w:line="400" w:lineRule="exact"/>
              <w:rPr>
                <w:rFonts w:hAnsi="宋体" w:cs="宋体"/>
                <w:color w:val="auto"/>
                <w:kern w:val="28"/>
                <w:highlight w:val="none"/>
                <w:u w:val="single"/>
              </w:rPr>
            </w:pPr>
            <w:r>
              <w:rPr>
                <w:rFonts w:hint="eastAsia" w:hAnsi="宋体" w:cs="宋体"/>
                <w:color w:val="auto"/>
                <w:kern w:val="28"/>
                <w:highlight w:val="none"/>
              </w:rPr>
              <w:t>供应商在“政府采购云平台”完成电子加密“投标文件”的在线传输递交后，还可以在投标截止时间前通过邮寄等方式送达以介质存储的数据电文形式的“备份投标文件”。</w:t>
            </w:r>
            <w:r>
              <w:rPr>
                <w:rFonts w:hint="eastAsia" w:hAnsi="宋体" w:cs="宋体"/>
                <w:color w:val="auto"/>
                <w:kern w:val="28"/>
                <w:highlight w:val="none"/>
                <w:u w:val="single"/>
              </w:rPr>
              <w:t>“备份投标文件”由供应商自愿提交，不作强制性要求，但供应商仅递交了“备份投标文件”的，投标无效。</w:t>
            </w:r>
          </w:p>
          <w:p w14:paraId="7B03C4E6">
            <w:pPr>
              <w:spacing w:line="276" w:lineRule="auto"/>
              <w:rPr>
                <w:rFonts w:ascii="宋体" w:hAnsi="宋体" w:cs="宋体"/>
                <w:b/>
                <w:color w:val="auto"/>
                <w:szCs w:val="21"/>
                <w:highlight w:val="none"/>
              </w:rPr>
            </w:pPr>
            <w:r>
              <w:rPr>
                <w:rFonts w:hint="eastAsia" w:ascii="宋体" w:hAnsi="宋体" w:cs="宋体"/>
                <w:b/>
                <w:color w:val="auto"/>
                <w:szCs w:val="21"/>
                <w:highlight w:val="none"/>
              </w:rPr>
              <w:t>（1）备份投标文件的存储：</w:t>
            </w:r>
            <w:r>
              <w:rPr>
                <w:rFonts w:hint="eastAsia" w:ascii="宋体" w:hAnsi="宋体" w:cs="宋体"/>
                <w:color w:val="auto"/>
                <w:szCs w:val="21"/>
                <w:highlight w:val="none"/>
                <w:u w:val="single"/>
              </w:rPr>
              <w:t>以U盘</w:t>
            </w:r>
            <w:r>
              <w:rPr>
                <w:rFonts w:hint="eastAsia" w:ascii="宋体" w:hAnsi="宋体" w:cs="宋体"/>
                <w:color w:val="auto"/>
                <w:szCs w:val="21"/>
                <w:highlight w:val="none"/>
              </w:rPr>
              <w:t>。</w:t>
            </w:r>
          </w:p>
          <w:p w14:paraId="5642DA4E">
            <w:pPr>
              <w:spacing w:line="276" w:lineRule="auto"/>
              <w:rPr>
                <w:rFonts w:ascii="宋体" w:hAnsi="宋体" w:cs="宋体"/>
                <w:b/>
                <w:color w:val="auto"/>
                <w:szCs w:val="21"/>
                <w:highlight w:val="none"/>
              </w:rPr>
            </w:pPr>
            <w:r>
              <w:rPr>
                <w:rFonts w:hint="eastAsia" w:ascii="宋体" w:hAnsi="宋体" w:cs="宋体"/>
                <w:b/>
                <w:color w:val="auto"/>
                <w:szCs w:val="21"/>
                <w:highlight w:val="none"/>
              </w:rPr>
              <w:t>（2）备份投标文件的份数：</w:t>
            </w:r>
            <w:r>
              <w:rPr>
                <w:rFonts w:hint="eastAsia" w:ascii="宋体" w:hAnsi="宋体" w:cs="宋体"/>
                <w:color w:val="auto"/>
                <w:szCs w:val="21"/>
                <w:highlight w:val="none"/>
                <w:u w:val="single"/>
              </w:rPr>
              <w:t>1份</w:t>
            </w:r>
            <w:r>
              <w:rPr>
                <w:rFonts w:hint="eastAsia" w:ascii="宋体" w:hAnsi="宋体" w:cs="宋体"/>
                <w:color w:val="auto"/>
                <w:szCs w:val="21"/>
                <w:highlight w:val="none"/>
              </w:rPr>
              <w:t>。</w:t>
            </w:r>
          </w:p>
          <w:p w14:paraId="1F506F67">
            <w:pPr>
              <w:spacing w:line="276" w:lineRule="auto"/>
              <w:rPr>
                <w:rFonts w:ascii="宋体" w:hAnsi="宋体" w:cs="宋体"/>
                <w:b/>
                <w:color w:val="auto"/>
                <w:szCs w:val="21"/>
                <w:highlight w:val="none"/>
              </w:rPr>
            </w:pPr>
            <w:r>
              <w:rPr>
                <w:rFonts w:hint="eastAsia" w:ascii="宋体" w:hAnsi="宋体" w:cs="宋体"/>
                <w:b/>
                <w:color w:val="auto"/>
                <w:szCs w:val="21"/>
                <w:highlight w:val="none"/>
              </w:rPr>
              <w:t>（3）备份投标文件的密封包装、标识：</w:t>
            </w:r>
            <w:r>
              <w:rPr>
                <w:rFonts w:hint="eastAsia" w:ascii="宋体" w:hAnsi="宋体" w:cs="宋体"/>
                <w:color w:val="auto"/>
                <w:szCs w:val="21"/>
                <w:highlight w:val="none"/>
              </w:rPr>
              <w:t>“备份投标文件”应当密封包装并在外包装上标注投标项目名称、投标单位名称并加盖公章。</w:t>
            </w:r>
            <w:r>
              <w:rPr>
                <w:rFonts w:hint="eastAsia" w:ascii="宋体" w:hAnsi="宋体" w:cs="宋体"/>
                <w:b/>
                <w:color w:val="auto"/>
                <w:szCs w:val="21"/>
                <w:highlight w:val="none"/>
                <w:u w:val="single"/>
              </w:rPr>
              <w:t>“备份投标文件”没有密封包装或标识或盖章的视为未递交</w:t>
            </w:r>
            <w:r>
              <w:rPr>
                <w:rFonts w:hint="eastAsia" w:ascii="宋体" w:hAnsi="宋体" w:cs="宋体"/>
                <w:b/>
                <w:color w:val="auto"/>
                <w:szCs w:val="21"/>
                <w:highlight w:val="none"/>
              </w:rPr>
              <w:t>。</w:t>
            </w:r>
          </w:p>
          <w:p w14:paraId="6D313CE1">
            <w:pPr>
              <w:pStyle w:val="6"/>
              <w:spacing w:line="400" w:lineRule="exact"/>
              <w:rPr>
                <w:rFonts w:hAnsi="宋体" w:cs="宋体"/>
                <w:color w:val="auto"/>
                <w:kern w:val="28"/>
                <w:highlight w:val="none"/>
                <w:u w:val="single"/>
              </w:rPr>
            </w:pPr>
            <w:r>
              <w:rPr>
                <w:rFonts w:hint="eastAsia" w:hAnsi="宋体" w:cs="宋体"/>
                <w:b/>
                <w:color w:val="auto"/>
                <w:highlight w:val="none"/>
              </w:rPr>
              <w:t>（4）备份投标文件的递交与接收：</w:t>
            </w:r>
            <w:r>
              <w:rPr>
                <w:rFonts w:hint="eastAsia" w:hAnsi="宋体" w:cs="宋体"/>
                <w:b/>
                <w:color w:val="auto"/>
                <w:highlight w:val="none"/>
                <w:u w:val="single"/>
              </w:rPr>
              <w:t>投标截止时间前以邮寄等方式送达至采购代理机构</w:t>
            </w:r>
            <w:r>
              <w:rPr>
                <w:rFonts w:hint="eastAsia" w:hAnsi="宋体" w:cs="宋体"/>
                <w:color w:val="auto"/>
                <w:highlight w:val="none"/>
                <w:u w:val="single"/>
              </w:rPr>
              <w:t>（地址：宁波市海曙区翠柏路89号工程学院西校区C栋8楼，接收人：陈彦，电话：0574-87127967）</w:t>
            </w:r>
            <w:r>
              <w:rPr>
                <w:rFonts w:hint="eastAsia" w:hAnsi="宋体" w:cs="宋体"/>
                <w:color w:val="auto"/>
                <w:highlight w:val="none"/>
              </w:rPr>
              <w:t>，送达时间以采购代理机构工作人员实际签收时间为准，</w:t>
            </w:r>
            <w:r>
              <w:rPr>
                <w:rFonts w:hint="eastAsia" w:hAnsi="宋体" w:cs="宋体"/>
                <w:b/>
                <w:color w:val="auto"/>
                <w:highlight w:val="none"/>
                <w:u w:val="single"/>
              </w:rPr>
              <w:t>“备份投标文件”逾期送达的视为未递交</w:t>
            </w:r>
            <w:r>
              <w:rPr>
                <w:rFonts w:hint="eastAsia" w:hAnsi="宋体" w:cs="宋体"/>
                <w:color w:val="auto"/>
                <w:highlight w:val="none"/>
              </w:rPr>
              <w:t>。采用邮寄方式送达的，建议供应商提前办理。</w:t>
            </w:r>
          </w:p>
        </w:tc>
      </w:tr>
      <w:tr w14:paraId="0F49D9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tcBorders>
              <w:top w:val="single" w:color="auto" w:sz="4" w:space="0"/>
              <w:left w:val="single" w:color="000000" w:sz="8" w:space="0"/>
              <w:bottom w:val="single" w:color="auto" w:sz="4" w:space="0"/>
              <w:right w:val="single" w:color="000000" w:sz="2" w:space="0"/>
            </w:tcBorders>
            <w:vAlign w:val="center"/>
          </w:tcPr>
          <w:p w14:paraId="2B804DEB">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14</w:t>
            </w:r>
          </w:p>
        </w:tc>
        <w:tc>
          <w:tcPr>
            <w:tcW w:w="2391" w:type="dxa"/>
            <w:tcBorders>
              <w:top w:val="single" w:color="000000" w:sz="8" w:space="0"/>
              <w:left w:val="single" w:color="000000" w:sz="2" w:space="0"/>
              <w:bottom w:val="single" w:color="000000" w:sz="8" w:space="0"/>
              <w:right w:val="single" w:color="000000" w:sz="8" w:space="0"/>
            </w:tcBorders>
            <w:vAlign w:val="center"/>
          </w:tcPr>
          <w:p w14:paraId="0740CE0C">
            <w:pPr>
              <w:snapToGrid w:val="0"/>
              <w:spacing w:line="400" w:lineRule="exact"/>
              <w:jc w:val="center"/>
              <w:rPr>
                <w:rFonts w:ascii="宋体" w:hAnsi="宋体" w:cs="宋体"/>
                <w:b/>
                <w:color w:val="auto"/>
                <w:szCs w:val="21"/>
                <w:highlight w:val="none"/>
              </w:rPr>
            </w:pPr>
            <w:r>
              <w:rPr>
                <w:rFonts w:hint="eastAsia" w:ascii="宋体" w:hAnsi="宋体" w:cs="宋体"/>
                <w:b/>
                <w:color w:val="auto"/>
                <w:szCs w:val="21"/>
                <w:highlight w:val="none"/>
              </w:rPr>
              <w:t>履约保证金</w:t>
            </w:r>
          </w:p>
        </w:tc>
        <w:tc>
          <w:tcPr>
            <w:tcW w:w="5547" w:type="dxa"/>
            <w:tcBorders>
              <w:top w:val="single" w:color="000000" w:sz="8" w:space="0"/>
              <w:left w:val="single" w:color="000000" w:sz="2" w:space="0"/>
              <w:bottom w:val="single" w:color="000000" w:sz="8" w:space="0"/>
              <w:right w:val="single" w:color="000000" w:sz="8" w:space="0"/>
            </w:tcBorders>
            <w:vAlign w:val="center"/>
          </w:tcPr>
          <w:p w14:paraId="7B78EE65">
            <w:pPr>
              <w:pStyle w:val="6"/>
              <w:spacing w:line="400" w:lineRule="exact"/>
              <w:rPr>
                <w:rFonts w:hAnsi="宋体" w:cs="宋体"/>
                <w:color w:val="auto"/>
                <w:kern w:val="28"/>
                <w:highlight w:val="none"/>
              </w:rPr>
            </w:pPr>
            <w:r>
              <w:rPr>
                <w:rFonts w:hint="eastAsia" w:hAnsi="宋体" w:cs="宋体"/>
                <w:color w:val="auto"/>
                <w:kern w:val="28"/>
                <w:highlight w:val="none"/>
              </w:rPr>
              <w:t>不适用</w:t>
            </w:r>
          </w:p>
        </w:tc>
      </w:tr>
      <w:tr w14:paraId="19684B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restart"/>
            <w:tcBorders>
              <w:top w:val="single" w:color="auto" w:sz="4" w:space="0"/>
              <w:left w:val="single" w:color="000000" w:sz="8" w:space="0"/>
              <w:right w:val="single" w:color="000000" w:sz="2" w:space="0"/>
            </w:tcBorders>
            <w:vAlign w:val="center"/>
          </w:tcPr>
          <w:p w14:paraId="57ED1105">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15</w:t>
            </w:r>
          </w:p>
        </w:tc>
        <w:tc>
          <w:tcPr>
            <w:tcW w:w="2391" w:type="dxa"/>
            <w:vMerge w:val="restart"/>
            <w:tcBorders>
              <w:top w:val="single" w:color="000000" w:sz="8" w:space="0"/>
              <w:left w:val="single" w:color="000000" w:sz="2" w:space="0"/>
              <w:right w:val="single" w:color="000000" w:sz="8" w:space="0"/>
            </w:tcBorders>
            <w:vAlign w:val="center"/>
          </w:tcPr>
          <w:p w14:paraId="5A9A6EAB">
            <w:pPr>
              <w:snapToGrid w:val="0"/>
              <w:spacing w:line="400" w:lineRule="exact"/>
              <w:jc w:val="center"/>
              <w:rPr>
                <w:rFonts w:ascii="宋体" w:hAnsi="宋体" w:cs="宋体"/>
                <w:b/>
                <w:color w:val="auto"/>
                <w:szCs w:val="21"/>
                <w:highlight w:val="none"/>
              </w:rPr>
            </w:pPr>
            <w:r>
              <w:rPr>
                <w:rFonts w:hint="eastAsia" w:cs="仿宋_GB2312" w:asciiTheme="minorEastAsia" w:hAnsiTheme="minorEastAsia" w:eastAsiaTheme="minorEastAsia"/>
                <w:b/>
                <w:color w:val="auto"/>
                <w:szCs w:val="21"/>
                <w:highlight w:val="none"/>
              </w:rPr>
              <w:t>特别说明</w:t>
            </w:r>
          </w:p>
        </w:tc>
        <w:tc>
          <w:tcPr>
            <w:tcW w:w="5547" w:type="dxa"/>
            <w:tcBorders>
              <w:top w:val="single" w:color="000000" w:sz="8" w:space="0"/>
              <w:left w:val="single" w:color="000000" w:sz="2" w:space="0"/>
              <w:bottom w:val="single" w:color="000000" w:sz="8" w:space="0"/>
              <w:right w:val="single" w:color="000000" w:sz="8" w:space="0"/>
            </w:tcBorders>
            <w:vAlign w:val="center"/>
          </w:tcPr>
          <w:p w14:paraId="47069404">
            <w:pPr>
              <w:spacing w:line="400" w:lineRule="exact"/>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联合体投标的，联合体各方分别提供与联合体协议中规定的分工内容相应的业绩证明材料，业绩数量以提供材料较少的一方为准。</w:t>
            </w:r>
          </w:p>
        </w:tc>
      </w:tr>
      <w:tr w14:paraId="33C162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 w:hRule="atLeast"/>
        </w:trPr>
        <w:tc>
          <w:tcPr>
            <w:tcW w:w="629" w:type="dxa"/>
            <w:vMerge w:val="continue"/>
            <w:tcBorders>
              <w:left w:val="single" w:color="000000" w:sz="8" w:space="0"/>
              <w:bottom w:val="single" w:color="auto" w:sz="4" w:space="0"/>
              <w:right w:val="single" w:color="000000" w:sz="2" w:space="0"/>
            </w:tcBorders>
          </w:tcPr>
          <w:p w14:paraId="218805C9">
            <w:pPr>
              <w:snapToGrid w:val="0"/>
              <w:spacing w:line="400" w:lineRule="exact"/>
              <w:jc w:val="center"/>
              <w:rPr>
                <w:rFonts w:ascii="宋体" w:hAnsi="宋体" w:cs="宋体"/>
                <w:color w:val="auto"/>
                <w:szCs w:val="21"/>
                <w:highlight w:val="none"/>
              </w:rPr>
            </w:pPr>
          </w:p>
        </w:tc>
        <w:tc>
          <w:tcPr>
            <w:tcW w:w="2391" w:type="dxa"/>
            <w:vMerge w:val="continue"/>
            <w:tcBorders>
              <w:left w:val="single" w:color="000000" w:sz="2" w:space="0"/>
              <w:bottom w:val="single" w:color="000000" w:sz="8" w:space="0"/>
              <w:right w:val="single" w:color="000000" w:sz="8" w:space="0"/>
            </w:tcBorders>
            <w:vAlign w:val="center"/>
          </w:tcPr>
          <w:p w14:paraId="1B10A09C">
            <w:pPr>
              <w:snapToGrid w:val="0"/>
              <w:spacing w:line="400" w:lineRule="exact"/>
              <w:jc w:val="center"/>
              <w:rPr>
                <w:rFonts w:ascii="宋体" w:hAnsi="宋体" w:cs="宋体"/>
                <w:b/>
                <w:color w:val="auto"/>
                <w:szCs w:val="21"/>
                <w:highlight w:val="none"/>
              </w:rPr>
            </w:pPr>
          </w:p>
        </w:tc>
        <w:tc>
          <w:tcPr>
            <w:tcW w:w="5547" w:type="dxa"/>
            <w:tcBorders>
              <w:top w:val="single" w:color="000000" w:sz="8" w:space="0"/>
              <w:left w:val="single" w:color="000000" w:sz="2" w:space="0"/>
              <w:bottom w:val="single" w:color="000000" w:sz="8" w:space="0"/>
              <w:right w:val="single" w:color="000000" w:sz="8" w:space="0"/>
            </w:tcBorders>
            <w:vAlign w:val="center"/>
          </w:tcPr>
          <w:p w14:paraId="74FBBD19">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1816336663"/>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ascii="Wingdings" w:hAnsi="Wingdings" w:eastAsia="MS Mincho" w:cs="MS Mincho"/>
                    <w:color w:val="auto"/>
                    <w:kern w:val="0"/>
                    <w:szCs w:val="21"/>
                    <w:highlight w:val="none"/>
                  </w:rPr>
                  <w:t></w:t>
                </w:r>
              </w:sdtContent>
            </w:sdt>
            <w:r>
              <w:rPr>
                <w:rFonts w:hint="eastAsia" w:ascii="宋体" w:hAnsi="宋体" w:cs="宋体"/>
                <w:snapToGrid w:val="0"/>
                <w:color w:val="auto"/>
                <w:kern w:val="28"/>
                <w:szCs w:val="21"/>
                <w:highlight w:val="none"/>
              </w:rPr>
              <w:t>联合体投标的，联合体各方均需按招标文件第四部分评标标准要求提供资信证明文件，否则视为不符合相关要求。</w:t>
            </w:r>
          </w:p>
          <w:p w14:paraId="16A305D3">
            <w:pPr>
              <w:spacing w:line="400" w:lineRule="exact"/>
              <w:rPr>
                <w:rFonts w:ascii="宋体" w:hAnsi="宋体" w:cs="宋体"/>
                <w:snapToGrid w:val="0"/>
                <w:color w:val="auto"/>
                <w:kern w:val="28"/>
                <w:szCs w:val="21"/>
                <w:highlight w:val="none"/>
              </w:rPr>
            </w:pPr>
            <w:sdt>
              <w:sdtPr>
                <w:rPr>
                  <w:rFonts w:hint="eastAsia" w:cs="Arial" w:asciiTheme="minorEastAsia" w:hAnsiTheme="minorEastAsia" w:eastAsiaTheme="minorEastAsia"/>
                  <w:color w:val="auto"/>
                  <w:kern w:val="0"/>
                  <w:szCs w:val="21"/>
                  <w:highlight w:val="none"/>
                </w:rPr>
                <w:id w:val="-232311894"/>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Cs w:val="21"/>
                  <w:highlight w:val="none"/>
                </w:rPr>
              </w:sdtEndPr>
              <w:sdtContent>
                <w:r>
                  <w:rPr>
                    <w:rFonts w:hint="eastAsia" w:ascii="MS Gothic" w:hAnsi="MS Gothic" w:cs="Arial" w:eastAsiaTheme="minorEastAsia"/>
                    <w:color w:val="auto"/>
                    <w:kern w:val="0"/>
                    <w:szCs w:val="21"/>
                    <w:highlight w:val="none"/>
                  </w:rPr>
                  <w:t>☐</w:t>
                </w:r>
              </w:sdtContent>
            </w:sdt>
            <w:r>
              <w:rPr>
                <w:rFonts w:hint="eastAsia" w:ascii="宋体" w:hAnsi="宋体" w:cs="宋体"/>
                <w:snapToGrid w:val="0"/>
                <w:color w:val="auto"/>
                <w:kern w:val="28"/>
                <w:szCs w:val="21"/>
                <w:highlight w:val="none"/>
              </w:rPr>
              <w:t>联合体投标的，联合体中有一方或者联合体成员根据分工按招标文件第四部分评标标准要求提供资信证明文件的，视为符合了相关要求。</w:t>
            </w:r>
          </w:p>
        </w:tc>
      </w:tr>
      <w:bookmarkEnd w:id="10"/>
    </w:tbl>
    <w:p w14:paraId="64D1E7F9">
      <w:pPr>
        <w:rPr>
          <w:rFonts w:ascii="宋体" w:hAnsi="宋体" w:cs="宋体"/>
          <w:b/>
          <w:color w:val="auto"/>
          <w:szCs w:val="21"/>
          <w:highlight w:val="none"/>
        </w:rPr>
      </w:pPr>
      <w:bookmarkStart w:id="11" w:name="第三部分"/>
      <w:bookmarkStart w:id="12" w:name="_Toc164416483"/>
      <w:r>
        <w:rPr>
          <w:rFonts w:hint="eastAsia" w:ascii="宋体" w:hAnsi="宋体" w:cs="宋体"/>
          <w:b/>
          <w:color w:val="auto"/>
          <w:szCs w:val="21"/>
          <w:highlight w:val="none"/>
        </w:rPr>
        <w:br w:type="page"/>
      </w:r>
    </w:p>
    <w:p w14:paraId="676275D9">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一、总则</w:t>
      </w:r>
    </w:p>
    <w:p w14:paraId="237E7284">
      <w:pPr>
        <w:snapToGrid w:val="0"/>
        <w:spacing w:line="360" w:lineRule="auto"/>
        <w:ind w:firstLine="316" w:firstLineChars="150"/>
        <w:jc w:val="left"/>
        <w:outlineLvl w:val="1"/>
        <w:rPr>
          <w:rFonts w:ascii="宋体" w:hAnsi="宋体" w:cs="宋体"/>
          <w:b/>
          <w:color w:val="auto"/>
          <w:szCs w:val="21"/>
          <w:highlight w:val="none"/>
        </w:rPr>
      </w:pPr>
      <w:r>
        <w:rPr>
          <w:rFonts w:hint="eastAsia" w:ascii="宋体" w:hAnsi="宋体" w:cs="宋体"/>
          <w:b/>
          <w:color w:val="auto"/>
          <w:szCs w:val="21"/>
          <w:highlight w:val="none"/>
        </w:rPr>
        <w:t>1. 适用范围</w:t>
      </w:r>
    </w:p>
    <w:p w14:paraId="3FAF061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本招标文件适用于该项目的招标、投标、开标、资格审查及信用信息查询、评标、定标、合同、验收等行为（法律、法规另有规定的，从其规定）。</w:t>
      </w:r>
    </w:p>
    <w:p w14:paraId="6993F01E">
      <w:pPr>
        <w:adjustRightInd/>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 xml:space="preserve">   2.定义</w:t>
      </w:r>
    </w:p>
    <w:p w14:paraId="0F2DBC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 “采购人”系指招标公告中载明的本项目的采购人。</w:t>
      </w:r>
    </w:p>
    <w:p w14:paraId="1E89B10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 “采购代理机构”系指招标公告中载明的本项目的采购代理机构。</w:t>
      </w:r>
    </w:p>
    <w:p w14:paraId="082F539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 “供应商”系指是指响应招标、参加投标竞争的法人、其他组织或者自然人。</w:t>
      </w:r>
    </w:p>
    <w:p w14:paraId="502C35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 “负责人”系指法人企业的法定负责人，或其他组织为法律、行政法规规定代表单位行使职权的主要负责人，或自然人本人。</w:t>
      </w:r>
    </w:p>
    <w:p w14:paraId="65431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7C69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2.6“电子交易平台”系指本项目政府采购活动所依托的政府采购云平台（https://www.zcygov.cn/）。</w:t>
      </w:r>
    </w:p>
    <w:p w14:paraId="0EBEE14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 “★” 系指实质性要求条款，“</w:t>
      </w:r>
      <w:sdt>
        <w:sdtPr>
          <w:rPr>
            <w:rFonts w:hint="eastAsia" w:ascii="宋体" w:hAnsi="宋体" w:cs="宋体"/>
            <w:color w:val="auto"/>
            <w:kern w:val="0"/>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ascii="Wingdings" w:hAnsi="Wingdings" w:cs="宋体"/>
              <w:color w:val="auto"/>
              <w:kern w:val="0"/>
              <w:szCs w:val="21"/>
              <w:highlight w:val="none"/>
            </w:rPr>
            <w:t></w:t>
          </w:r>
        </w:sdtContent>
      </w:sdt>
      <w:r>
        <w:rPr>
          <w:rFonts w:hint="eastAsia" w:ascii="宋体" w:hAnsi="宋体" w:cs="宋体"/>
          <w:color w:val="auto"/>
          <w:szCs w:val="21"/>
          <w:highlight w:val="none"/>
        </w:rPr>
        <w:t>” 系指适用本项目的要求，“</w:t>
      </w:r>
      <w:sdt>
        <w:sdtPr>
          <w:rPr>
            <w:rFonts w:hint="eastAsia" w:ascii="宋体" w:hAnsi="宋体" w:cs="宋体"/>
            <w:color w:val="auto"/>
            <w:kern w:val="0"/>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Cs w:val="21"/>
            <w:highlight w:val="none"/>
          </w:rPr>
        </w:sdtEndPr>
        <w:sdtContent>
          <w:r>
            <w:rPr>
              <w:rFonts w:hint="eastAsia" w:ascii="宋体" w:hAnsi="宋体" w:cs="宋体"/>
              <w:color w:val="auto"/>
              <w:kern w:val="0"/>
              <w:szCs w:val="21"/>
              <w:highlight w:val="none"/>
            </w:rPr>
            <w:t>☐</w:t>
          </w:r>
        </w:sdtContent>
      </w:sdt>
      <w:r>
        <w:rPr>
          <w:rFonts w:hint="eastAsia" w:ascii="宋体" w:hAnsi="宋体" w:cs="宋体"/>
          <w:color w:val="auto"/>
          <w:szCs w:val="21"/>
          <w:highlight w:val="none"/>
        </w:rPr>
        <w:t>” 系指不适用本项目的要求。</w:t>
      </w:r>
    </w:p>
    <w:p w14:paraId="75B16950">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3.</w:t>
      </w:r>
      <w:r>
        <w:rPr>
          <w:rFonts w:hint="eastAsia" w:ascii="宋体" w:hAnsi="宋体" w:cs="宋体"/>
          <w:color w:val="auto"/>
          <w:szCs w:val="21"/>
          <w:highlight w:val="none"/>
        </w:rPr>
        <w:t xml:space="preserve"> </w:t>
      </w:r>
      <w:r>
        <w:rPr>
          <w:rFonts w:hint="eastAsia" w:ascii="宋体" w:hAnsi="宋体" w:cs="宋体"/>
          <w:b/>
          <w:color w:val="auto"/>
          <w:szCs w:val="21"/>
          <w:highlight w:val="none"/>
        </w:rPr>
        <w:t>采购项目需要落实的政府采购政策</w:t>
      </w:r>
    </w:p>
    <w:p w14:paraId="2B29AF05">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Cs w:val="21"/>
          <w:highlight w:val="none"/>
        </w:rPr>
        <w:t>优先采购向我国企业转让技术、与我国企业签订消化吸收再创新方案的供应商的进口产品</w:t>
      </w:r>
      <w:r>
        <w:rPr>
          <w:rFonts w:hint="eastAsia" w:ascii="宋体" w:hAnsi="宋体" w:cs="宋体"/>
          <w:color w:val="auto"/>
          <w:szCs w:val="21"/>
          <w:highlight w:val="none"/>
        </w:rPr>
        <w:t>。</w:t>
      </w:r>
    </w:p>
    <w:p w14:paraId="640B366A">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3.2 支持绿色发展</w:t>
      </w:r>
    </w:p>
    <w:p w14:paraId="58A43390">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2C3219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1BBD98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2FC75B5">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 xml:space="preserve">3.2.4 </w:t>
      </w:r>
      <w:r>
        <w:rPr>
          <w:rFonts w:hint="eastAsia" w:ascii="宋体" w:hAnsi="宋体" w:cs="宋体"/>
          <w:color w:val="auto"/>
          <w:szCs w:val="21"/>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B1F96E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3.3支持中小企业发展</w:t>
      </w:r>
    </w:p>
    <w:p w14:paraId="0CD81C6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60E60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14:paraId="0ED842C6">
      <w:pPr>
        <w:widowControl/>
        <w:spacing w:line="360" w:lineRule="auto"/>
        <w:ind w:firstLine="420" w:firstLineChars="200"/>
        <w:jc w:val="left"/>
        <w:rPr>
          <w:rFonts w:ascii="宋体" w:hAnsi="宋体" w:cs="宋体"/>
          <w:color w:val="auto"/>
          <w:kern w:val="0"/>
          <w:szCs w:val="21"/>
          <w:highlight w:val="none"/>
        </w:rPr>
      </w:pPr>
      <w:r>
        <w:rPr>
          <w:rFonts w:ascii="宋体" w:hAnsi="宋体" w:cs="宋体"/>
          <w:bCs/>
          <w:color w:val="auto"/>
          <w:szCs w:val="21"/>
          <w:highlight w:val="none"/>
        </w:rPr>
        <w:t>3.3.2</w:t>
      </w:r>
      <w:r>
        <w:rPr>
          <w:rFonts w:hint="eastAsia" w:ascii="宋体" w:hAnsi="宋体" w:cs="宋体"/>
          <w:color w:val="auto"/>
          <w:kern w:val="0"/>
          <w:szCs w:val="21"/>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69A345F2">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以联合体形式参加政府采购活动，联合体各方均为中小企业的，联合体视同中小企业。其中，联合体各方均为小微企业的，联合体视同小微企业。</w:t>
      </w:r>
    </w:p>
    <w:p w14:paraId="38BAAC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3" w:name="_Hlk101132181"/>
      <w:r>
        <w:rPr>
          <w:rFonts w:hint="eastAsia" w:ascii="宋体" w:hAnsi="宋体" w:cs="宋体"/>
          <w:color w:val="auto"/>
          <w:szCs w:val="21"/>
          <w:highlight w:val="none"/>
        </w:rPr>
        <w:t>联合协议或者分包意向协议约定小微企业的合同份额占到合同总金额30%以上的</w:t>
      </w:r>
      <w:bookmarkEnd w:id="13"/>
      <w:r>
        <w:rPr>
          <w:rFonts w:hint="eastAsia" w:ascii="宋体" w:hAnsi="宋体" w:cs="宋体"/>
          <w:color w:val="auto"/>
          <w:szCs w:val="21"/>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2C8CF49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3.3.4符合《关于促进残疾人就业政府采购政策的通知》（财库〔2017〕141号）规定的条件并提供《残疾人福利性单位声明函》（附件1）的残疾人福利性单位视同小型、微型企业；</w:t>
      </w:r>
    </w:p>
    <w:p w14:paraId="128F313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87A2F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282C240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3.3.7中小企业享受扶持政策获得政府采购合同的，小微企业不得将合同分包给大中型企业，中型企业不得将合同分包给大型企业。</w:t>
      </w:r>
    </w:p>
    <w:p w14:paraId="4C645D0D">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3.4</w:t>
      </w:r>
      <w:r>
        <w:rPr>
          <w:rFonts w:hint="eastAsia" w:ascii="宋体" w:hAnsi="宋体" w:cs="宋体"/>
          <w:bCs/>
          <w:color w:val="auto"/>
          <w:szCs w:val="21"/>
          <w:highlight w:val="none"/>
        </w:rPr>
        <w:t>支持创新发展</w:t>
      </w:r>
    </w:p>
    <w:p w14:paraId="0E4C2A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3.4.1 采购人优先采购被认定为首台套产品和“制造精品”的自主创新产品。</w:t>
      </w:r>
    </w:p>
    <w:p w14:paraId="54C9E9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3.4.2首台套产品被纳入《首台套产品推广应用指导目录》之日起</w:t>
      </w:r>
      <w:r>
        <w:rPr>
          <w:rFonts w:ascii="宋体" w:hAnsi="宋体" w:cs="宋体"/>
          <w:color w:val="auto"/>
          <w:szCs w:val="21"/>
          <w:highlight w:val="none"/>
        </w:rPr>
        <w:t>3</w:t>
      </w:r>
      <w:r>
        <w:rPr>
          <w:rFonts w:hint="eastAsia" w:ascii="宋体" w:hAnsi="宋体" w:cs="宋体"/>
          <w:color w:val="auto"/>
          <w:szCs w:val="21"/>
          <w:highlight w:val="none"/>
        </w:rPr>
        <w:t>年内，以及产品核心技术高于国内领先水平，并具有明晰自主知识产权的“制造精品”产品，自认定之日起2年内视同已具备相应销售业绩，参加政府采购活动时业绩分值为满分。</w:t>
      </w:r>
    </w:p>
    <w:p w14:paraId="03CA9165">
      <w:pPr>
        <w:spacing w:line="360" w:lineRule="auto"/>
        <w:rPr>
          <w:rFonts w:ascii="宋体" w:hAnsi="宋体" w:cs="宋体"/>
          <w:color w:val="auto"/>
          <w:szCs w:val="21"/>
          <w:highlight w:val="none"/>
        </w:rPr>
      </w:pPr>
      <w:r>
        <w:rPr>
          <w:rFonts w:hint="eastAsia" w:ascii="宋体" w:hAnsi="宋体" w:cs="宋体"/>
          <w:color w:val="auto"/>
          <w:szCs w:val="21"/>
          <w:highlight w:val="none"/>
        </w:rPr>
        <w:t>3.5平等对待内外资企业和符合条件的破产重整企业</w:t>
      </w:r>
    </w:p>
    <w:p w14:paraId="22609714">
      <w:pPr>
        <w:spacing w:line="360" w:lineRule="auto"/>
        <w:ind w:firstLine="210" w:firstLineChars="100"/>
        <w:rPr>
          <w:rFonts w:ascii="宋体" w:hAnsi="宋体" w:cs="宋体"/>
          <w:b/>
          <w:color w:val="auto"/>
          <w:szCs w:val="21"/>
          <w:highlight w:val="none"/>
        </w:rPr>
      </w:pPr>
      <w:r>
        <w:rPr>
          <w:rFonts w:hint="eastAsia" w:ascii="宋体" w:hAnsi="宋体" w:cs="宋体"/>
          <w:color w:val="auto"/>
          <w:szCs w:val="21"/>
          <w:highlight w:val="none"/>
        </w:rPr>
        <w:t>平等对待内外资企业和符合条件的破产重整企业，切实保障企业公平竞争，平等维护企业的合法利益。</w:t>
      </w:r>
      <w:r>
        <w:rPr>
          <w:rFonts w:hint="eastAsia" w:ascii="宋体" w:hAnsi="宋体" w:cs="宋体"/>
          <w:color w:val="auto"/>
          <w:szCs w:val="21"/>
          <w:highlight w:val="none"/>
        </w:rPr>
        <w:cr/>
      </w:r>
      <w:r>
        <w:rPr>
          <w:rFonts w:hint="eastAsia" w:ascii="宋体" w:hAnsi="宋体" w:cs="宋体"/>
          <w:b/>
          <w:color w:val="auto"/>
          <w:szCs w:val="21"/>
          <w:highlight w:val="none"/>
        </w:rPr>
        <w:t>4. 询问、质疑、投诉</w:t>
      </w:r>
    </w:p>
    <w:p w14:paraId="2AD80633">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6894892">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4.2供应商询问</w:t>
      </w:r>
    </w:p>
    <w:p w14:paraId="4E0E6D49">
      <w:pPr>
        <w:autoSpaceDE w:val="0"/>
        <w:autoSpaceDN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85BB7E4">
      <w:pPr>
        <w:autoSpaceDE w:val="0"/>
        <w:autoSpaceDN w:val="0"/>
        <w:spacing w:line="360" w:lineRule="auto"/>
        <w:ind w:firstLine="210" w:firstLineChars="1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4.3供应商质疑</w:t>
      </w:r>
    </w:p>
    <w:p w14:paraId="331C328F">
      <w:pPr>
        <w:pStyle w:val="6"/>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.1提出质疑的供应商应当是参与所质疑项目采购活动的供应商。潜在供应商已依法获取其可质疑的招标文件的，可以对该文件提出质疑。</w:t>
      </w:r>
    </w:p>
    <w:p w14:paraId="7653A8CA">
      <w:pPr>
        <w:pStyle w:val="6"/>
        <w:spacing w:line="360" w:lineRule="auto"/>
        <w:ind w:firstLine="420" w:firstLineChars="200"/>
        <w:rPr>
          <w:rFonts w:hAnsi="宋体" w:cs="宋体"/>
          <w:color w:val="auto"/>
          <w:highlight w:val="none"/>
        </w:rPr>
      </w:pPr>
      <w:r>
        <w:rPr>
          <w:rFonts w:hint="eastAsia" w:hAnsi="宋体" w:cs="宋体"/>
          <w:color w:val="auto"/>
          <w:kern w:val="0"/>
          <w:highlight w:val="none"/>
          <w:lang w:val="zh-CN"/>
        </w:rPr>
        <w:t>4.3</w:t>
      </w:r>
      <w:r>
        <w:rPr>
          <w:rFonts w:hint="eastAsia" w:hAnsi="宋体" w:cs="宋体"/>
          <w:color w:val="auto"/>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FB6E4CB">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4.3.2.1对招标文件提出质疑的，质疑期限为供应商获得招标文件之日或者招标文件公告期限届满之日起计算。</w:t>
      </w:r>
    </w:p>
    <w:p w14:paraId="20C4FA9E">
      <w:pPr>
        <w:pStyle w:val="6"/>
        <w:spacing w:line="360" w:lineRule="auto"/>
        <w:ind w:left="479" w:leftChars="228"/>
        <w:rPr>
          <w:rFonts w:hAnsi="宋体" w:cs="宋体"/>
          <w:color w:val="auto"/>
          <w:highlight w:val="none"/>
        </w:rPr>
      </w:pPr>
      <w:r>
        <w:rPr>
          <w:rFonts w:hint="eastAsia" w:hAnsi="宋体" w:cs="宋体"/>
          <w:color w:val="auto"/>
          <w:highlight w:val="none"/>
        </w:rPr>
        <w:t>4.3.2.2对采购过程提出质疑的，质疑期限为各采购程序环节结束之日起计算。4.3.2.3对采购结果提出质疑的，质疑期限自采购结果公告期限届满之日起计算。</w:t>
      </w:r>
    </w:p>
    <w:p w14:paraId="24650FD4">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4.3.3</w:t>
      </w:r>
      <w:r>
        <w:rPr>
          <w:rFonts w:hint="eastAsia" w:hAnsi="宋体" w:cs="宋体"/>
          <w:color w:val="auto"/>
          <w:highlight w:val="none"/>
        </w:rPr>
        <w:t>供应商提出质疑应当提交质疑函和必要的证明材料。质疑函应当包括下列内容：</w:t>
      </w:r>
    </w:p>
    <w:p w14:paraId="10179529">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4.3.3.1供应商的姓名或者名称、地址、邮编、联系人及联系电话；</w:t>
      </w:r>
    </w:p>
    <w:p w14:paraId="454DEDC6">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4.3.3.2质疑项目的名称、编号；</w:t>
      </w:r>
    </w:p>
    <w:p w14:paraId="6A36AA43">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4.3.3.3具体、明确的质疑事项和与质疑事项相关的请求；</w:t>
      </w:r>
    </w:p>
    <w:p w14:paraId="0B10FEBA">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4.3.3.4事实依据；</w:t>
      </w:r>
    </w:p>
    <w:p w14:paraId="2AF63ADC">
      <w:pPr>
        <w:pStyle w:val="6"/>
        <w:spacing w:line="360" w:lineRule="auto"/>
        <w:ind w:firstLine="420" w:firstLineChars="200"/>
        <w:rPr>
          <w:rFonts w:hAnsi="宋体" w:cs="宋体"/>
          <w:color w:val="auto"/>
          <w:kern w:val="0"/>
          <w:highlight w:val="none"/>
          <w:lang w:val="zh-CN"/>
        </w:rPr>
      </w:pPr>
      <w:r>
        <w:rPr>
          <w:rFonts w:hint="eastAsia" w:hAnsi="宋体" w:cs="宋体"/>
          <w:color w:val="auto"/>
          <w:kern w:val="0"/>
          <w:highlight w:val="none"/>
          <w:lang w:val="zh-CN"/>
        </w:rPr>
        <w:t>　　4.3.3.5必要的法律依据；</w:t>
      </w:r>
    </w:p>
    <w:p w14:paraId="78FE19C1">
      <w:pPr>
        <w:pStyle w:val="6"/>
        <w:spacing w:line="360" w:lineRule="auto"/>
        <w:ind w:firstLine="840" w:firstLineChars="400"/>
        <w:rPr>
          <w:rFonts w:hAnsi="宋体" w:cs="宋体"/>
          <w:color w:val="auto"/>
          <w:kern w:val="0"/>
          <w:highlight w:val="none"/>
          <w:lang w:val="zh-CN"/>
        </w:rPr>
      </w:pPr>
      <w:r>
        <w:rPr>
          <w:rFonts w:hint="eastAsia" w:hAnsi="宋体" w:cs="宋体"/>
          <w:color w:val="auto"/>
          <w:kern w:val="0"/>
          <w:highlight w:val="none"/>
          <w:lang w:val="zh-CN"/>
        </w:rPr>
        <w:t>4.3.3.6提出质疑的日期。</w:t>
      </w:r>
    </w:p>
    <w:p w14:paraId="0DF53250">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A49FD70">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质疑函范本及制作说明详见附件2。</w:t>
      </w:r>
    </w:p>
    <w:p w14:paraId="2EF52FB3">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7BC1816D">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sz w:val="21"/>
          <w:szCs w:val="21"/>
          <w:highlight w:val="none"/>
        </w:rPr>
        <w:t>根据《浙江省财政厅关于进一步加强政府采购公平竞争打造最优营商环境的通知》（浙财采监〔</w:t>
      </w:r>
      <w:r>
        <w:rPr>
          <w:rFonts w:asciiTheme="minorEastAsia" w:hAnsiTheme="minorEastAsia" w:eastAsiaTheme="minorEastAsia"/>
          <w:color w:val="auto"/>
          <w:sz w:val="21"/>
          <w:szCs w:val="21"/>
          <w:highlight w:val="none"/>
        </w:rPr>
        <w:t>2021〕</w:t>
      </w:r>
      <w:r>
        <w:rPr>
          <w:rFonts w:hint="eastAsia" w:asciiTheme="minorEastAsia" w:hAnsiTheme="minorEastAsia" w:eastAsiaTheme="minorEastAsia"/>
          <w:color w:val="auto"/>
          <w:sz w:val="21"/>
          <w:szCs w:val="21"/>
          <w:highlight w:val="none"/>
        </w:rPr>
        <w:t>2</w:t>
      </w:r>
      <w:r>
        <w:rPr>
          <w:rFonts w:asciiTheme="minorEastAsia" w:hAnsiTheme="minorEastAsia" w:eastAsiaTheme="minorEastAsia"/>
          <w:color w:val="auto"/>
          <w:sz w:val="21"/>
          <w:szCs w:val="21"/>
          <w:highlight w:val="none"/>
        </w:rPr>
        <w:t>号）</w:t>
      </w:r>
      <w:r>
        <w:rPr>
          <w:rFonts w:hint="eastAsia"/>
          <w:color w:val="auto"/>
          <w:sz w:val="21"/>
          <w:szCs w:val="21"/>
          <w:highlight w:val="none"/>
        </w:rPr>
        <w:t>,采购人或者采购代理机构在质疑回复后5个工作日内，在浙江政府采购网的“其他公告”栏目公开质疑答复，答复内容应当完整。质疑函作为附件上传。</w:t>
      </w:r>
    </w:p>
    <w:p w14:paraId="760FC7A5">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58E8139">
      <w:pPr>
        <w:pStyle w:val="888"/>
        <w:shd w:val="clear" w:color="auto" w:fill="FFFFFF"/>
        <w:snapToGrid w:val="0"/>
        <w:spacing w:after="24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07AE48D4">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0A80AAB9">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0B521263">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37682173">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12E69F64">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4.4.5投诉材料可寄送至公告中同级政府采购监督管理部门。</w:t>
      </w:r>
    </w:p>
    <w:p w14:paraId="08473AF7">
      <w:pPr>
        <w:pStyle w:val="888"/>
        <w:shd w:val="clear" w:color="auto" w:fill="FFFFFF"/>
        <w:snapToGrid w:val="0"/>
        <w:spacing w:after="240" w:afterAutospacing="0" w:line="360" w:lineRule="auto"/>
        <w:ind w:firstLine="400"/>
        <w:contextualSpacing/>
        <w:rPr>
          <w:color w:val="auto"/>
          <w:sz w:val="21"/>
          <w:szCs w:val="21"/>
          <w:highlight w:val="none"/>
        </w:rPr>
      </w:pPr>
      <w:r>
        <w:rPr>
          <w:rFonts w:hint="eastAsia"/>
          <w:color w:val="auto"/>
          <w:sz w:val="21"/>
          <w:szCs w:val="21"/>
          <w:highlight w:val="none"/>
        </w:rPr>
        <w:t>投诉书范本及制作说明详见附件3。</w:t>
      </w:r>
    </w:p>
    <w:p w14:paraId="38EB9837">
      <w:pPr>
        <w:pStyle w:val="131"/>
        <w:snapToGrid w:val="0"/>
        <w:spacing w:before="0"/>
        <w:ind w:firstLine="360"/>
        <w:rPr>
          <w:rFonts w:ascii="宋体" w:hAnsi="宋体" w:cs="宋体"/>
          <w:color w:val="auto"/>
          <w:sz w:val="18"/>
          <w:szCs w:val="18"/>
          <w:highlight w:val="none"/>
        </w:rPr>
      </w:pPr>
    </w:p>
    <w:p w14:paraId="23CE69EE">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 w:val="32"/>
          <w:szCs w:val="20"/>
          <w:highlight w:val="none"/>
        </w:rPr>
        <w:t xml:space="preserve">    </w:t>
      </w:r>
      <w:r>
        <w:rPr>
          <w:rFonts w:hint="eastAsia" w:ascii="宋体" w:hAnsi="宋体" w:cs="宋体"/>
          <w:b/>
          <w:color w:val="auto"/>
          <w:szCs w:val="21"/>
          <w:highlight w:val="none"/>
        </w:rPr>
        <w:t xml:space="preserve">  二、招标文件的构成、澄清、修改</w:t>
      </w:r>
    </w:p>
    <w:p w14:paraId="24FAE7F5">
      <w:pPr>
        <w:pStyle w:val="6"/>
        <w:spacing w:line="360" w:lineRule="auto"/>
        <w:rPr>
          <w:rFonts w:hAnsi="宋体" w:cs="宋体"/>
          <w:b/>
          <w:color w:val="auto"/>
          <w:highlight w:val="none"/>
        </w:rPr>
      </w:pPr>
      <w:r>
        <w:rPr>
          <w:rFonts w:hint="eastAsia" w:hAnsi="宋体" w:cs="宋体"/>
          <w:b/>
          <w:color w:val="auto"/>
          <w:highlight w:val="none"/>
        </w:rPr>
        <w:t>5．招标文件的构成</w:t>
      </w:r>
    </w:p>
    <w:p w14:paraId="7DF84867">
      <w:pPr>
        <w:pStyle w:val="6"/>
        <w:spacing w:line="360" w:lineRule="auto"/>
        <w:ind w:firstLine="420" w:firstLineChars="200"/>
        <w:rPr>
          <w:rFonts w:hAnsi="宋体" w:cs="宋体"/>
          <w:color w:val="auto"/>
          <w:highlight w:val="none"/>
        </w:rPr>
      </w:pPr>
      <w:r>
        <w:rPr>
          <w:rFonts w:hint="eastAsia" w:hAnsi="宋体" w:cs="宋体"/>
          <w:color w:val="auto"/>
          <w:highlight w:val="none"/>
        </w:rPr>
        <w:t>5.1 招标文件包括下列文件及附件：</w:t>
      </w:r>
    </w:p>
    <w:p w14:paraId="5C86DBCE">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5.1.1招标公告；</w:t>
      </w:r>
    </w:p>
    <w:p w14:paraId="118EB0E0">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5.1.2供应商须知；</w:t>
      </w:r>
    </w:p>
    <w:p w14:paraId="0E88A4CB">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5.1.3采购需求；</w:t>
      </w:r>
    </w:p>
    <w:p w14:paraId="3AA87681">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5.1.4评标办法；</w:t>
      </w:r>
    </w:p>
    <w:p w14:paraId="4746ECCF">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5.1.5拟签订的合同文本；</w:t>
      </w:r>
    </w:p>
    <w:p w14:paraId="50C5BFF1">
      <w:pPr>
        <w:pStyle w:val="6"/>
        <w:tabs>
          <w:tab w:val="left" w:pos="840"/>
        </w:tabs>
        <w:spacing w:line="360" w:lineRule="auto"/>
        <w:ind w:firstLine="840" w:firstLineChars="400"/>
        <w:rPr>
          <w:rFonts w:hAnsi="宋体" w:cs="宋体"/>
          <w:color w:val="auto"/>
          <w:highlight w:val="none"/>
        </w:rPr>
      </w:pPr>
      <w:r>
        <w:rPr>
          <w:rFonts w:hint="eastAsia" w:hAnsi="宋体" w:cs="宋体"/>
          <w:color w:val="auto"/>
          <w:highlight w:val="none"/>
        </w:rPr>
        <w:t>5.1.6应提交的有关格式范例。</w:t>
      </w:r>
    </w:p>
    <w:p w14:paraId="27F402A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5.2与本项目有关的</w:t>
      </w:r>
      <w:r>
        <w:rPr>
          <w:rFonts w:hint="eastAsia" w:ascii="宋体" w:hAnsi="宋体" w:cs="宋体"/>
          <w:bCs/>
          <w:color w:val="auto"/>
          <w:szCs w:val="21"/>
          <w:highlight w:val="none"/>
        </w:rPr>
        <w:t>澄清或者修改的内容为招标文件的组成部分</w:t>
      </w:r>
      <w:r>
        <w:rPr>
          <w:rFonts w:hint="eastAsia" w:ascii="宋体" w:hAnsi="宋体" w:cs="宋体"/>
          <w:color w:val="auto"/>
          <w:szCs w:val="21"/>
          <w:highlight w:val="none"/>
        </w:rPr>
        <w:t>。</w:t>
      </w:r>
    </w:p>
    <w:p w14:paraId="7FF9A8D3">
      <w:pPr>
        <w:pStyle w:val="6"/>
        <w:spacing w:line="360" w:lineRule="auto"/>
        <w:rPr>
          <w:rFonts w:hAnsi="宋体" w:cs="宋体"/>
          <w:b/>
          <w:color w:val="auto"/>
          <w:highlight w:val="none"/>
        </w:rPr>
      </w:pPr>
      <w:r>
        <w:rPr>
          <w:rFonts w:hint="eastAsia" w:hAnsi="宋体" w:cs="宋体"/>
          <w:b/>
          <w:color w:val="auto"/>
          <w:highlight w:val="none"/>
        </w:rPr>
        <w:t>6. 招标文件的澄清、修改</w:t>
      </w:r>
    </w:p>
    <w:p w14:paraId="04BCB389">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6.1已获取招标文件的潜在供应商，若有问题需要澄清，应于投标截止时间前，以书面形式向采购代理机构提出。</w:t>
      </w:r>
    </w:p>
    <w:p w14:paraId="4A2AF37E">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6.2 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51DED438">
      <w:pPr>
        <w:pStyle w:val="24"/>
        <w:rPr>
          <w:rFonts w:hAnsi="宋体" w:cs="宋体"/>
          <w:color w:val="auto"/>
          <w:sz w:val="21"/>
          <w:highlight w:val="none"/>
          <w:lang w:val="en-US"/>
        </w:rPr>
      </w:pPr>
      <w:r>
        <w:rPr>
          <w:rFonts w:hint="eastAsia" w:hAnsi="宋体" w:cs="宋体"/>
          <w:color w:val="auto"/>
          <w:sz w:val="21"/>
          <w:highlight w:val="none"/>
          <w:lang w:val="en-US"/>
        </w:rPr>
        <w:t xml:space="preserve">    </w:t>
      </w:r>
    </w:p>
    <w:p w14:paraId="03DA4B1D">
      <w:pPr>
        <w:adjustRightInd/>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三、投标</w:t>
      </w:r>
    </w:p>
    <w:p w14:paraId="273F38F3">
      <w:pPr>
        <w:pStyle w:val="6"/>
        <w:spacing w:line="360" w:lineRule="auto"/>
        <w:rPr>
          <w:rFonts w:hAnsi="宋体" w:cs="宋体"/>
          <w:b/>
          <w:color w:val="auto"/>
          <w:highlight w:val="none"/>
        </w:rPr>
      </w:pPr>
      <w:r>
        <w:rPr>
          <w:rFonts w:hint="eastAsia" w:hAnsi="宋体" w:cs="宋体"/>
          <w:b/>
          <w:color w:val="auto"/>
          <w:highlight w:val="none"/>
        </w:rPr>
        <w:t>7. 招标文件的获取</w:t>
      </w:r>
    </w:p>
    <w:p w14:paraId="0A23160E">
      <w:pPr>
        <w:spacing w:line="360" w:lineRule="auto"/>
        <w:ind w:firstLine="420" w:firstLineChars="200"/>
        <w:rPr>
          <w:rFonts w:ascii="宋体" w:hAnsi="宋体" w:cs="宋体"/>
          <w:snapToGrid w:val="0"/>
          <w:color w:val="auto"/>
          <w:kern w:val="28"/>
          <w:szCs w:val="21"/>
          <w:highlight w:val="none"/>
        </w:rPr>
      </w:pPr>
      <w:r>
        <w:rPr>
          <w:rFonts w:hint="eastAsia" w:ascii="宋体" w:hAnsi="宋体" w:cs="宋体"/>
          <w:snapToGrid w:val="0"/>
          <w:color w:val="auto"/>
          <w:kern w:val="28"/>
          <w:szCs w:val="21"/>
          <w:highlight w:val="none"/>
        </w:rPr>
        <w:t>详见招标公告中获取招标文件的时间期限、地点、方式及招标文件售价。</w:t>
      </w:r>
    </w:p>
    <w:p w14:paraId="2D39D436">
      <w:pPr>
        <w:pStyle w:val="6"/>
        <w:spacing w:line="360" w:lineRule="auto"/>
        <w:rPr>
          <w:rFonts w:hAnsi="宋体" w:cs="宋体"/>
          <w:b/>
          <w:color w:val="auto"/>
          <w:highlight w:val="none"/>
        </w:rPr>
      </w:pPr>
      <w:r>
        <w:rPr>
          <w:rFonts w:hint="eastAsia" w:hAnsi="宋体" w:cs="宋体"/>
          <w:b/>
          <w:color w:val="auto"/>
          <w:highlight w:val="none"/>
        </w:rPr>
        <w:t>8.开标前答疑会或现场考察</w:t>
      </w:r>
    </w:p>
    <w:p w14:paraId="2A544F20">
      <w:pPr>
        <w:pStyle w:val="6"/>
        <w:spacing w:line="360" w:lineRule="auto"/>
        <w:ind w:firstLine="420" w:firstLineChars="200"/>
        <w:rPr>
          <w:rFonts w:hAnsi="宋体" w:cs="宋体"/>
          <w:color w:val="auto"/>
          <w:highlight w:val="none"/>
        </w:rPr>
      </w:pPr>
      <w:r>
        <w:rPr>
          <w:rFonts w:hint="eastAsia" w:hAnsi="宋体" w:cs="宋体"/>
          <w:color w:val="auto"/>
          <w:highlight w:val="none"/>
        </w:rPr>
        <w:t>采购人组织潜在供应商现场考察或者召开开标前答疑会的，潜在供应商按第二部分供应商须知前附表的规定参加现场考察或者开标前答疑会。</w:t>
      </w:r>
    </w:p>
    <w:p w14:paraId="2F36B90D">
      <w:pPr>
        <w:pStyle w:val="6"/>
        <w:spacing w:line="360" w:lineRule="auto"/>
        <w:rPr>
          <w:rFonts w:hAnsi="宋体" w:cs="宋体"/>
          <w:b/>
          <w:color w:val="auto"/>
          <w:highlight w:val="none"/>
        </w:rPr>
      </w:pPr>
      <w:r>
        <w:rPr>
          <w:rFonts w:hint="eastAsia" w:hAnsi="宋体" w:cs="宋体"/>
          <w:b/>
          <w:color w:val="auto"/>
          <w:kern w:val="28"/>
          <w:highlight w:val="none"/>
        </w:rPr>
        <w:t>9.投标保证金</w:t>
      </w:r>
    </w:p>
    <w:p w14:paraId="41DDCF69">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本项目不需缴纳投标保证金。</w:t>
      </w:r>
    </w:p>
    <w:p w14:paraId="2A34C74E">
      <w:pPr>
        <w:pStyle w:val="6"/>
        <w:spacing w:line="360" w:lineRule="auto"/>
        <w:rPr>
          <w:rFonts w:hAnsi="宋体" w:cs="宋体"/>
          <w:b/>
          <w:color w:val="auto"/>
          <w:highlight w:val="none"/>
        </w:rPr>
      </w:pPr>
      <w:r>
        <w:rPr>
          <w:rFonts w:hint="eastAsia" w:hAnsi="宋体" w:cs="宋体"/>
          <w:b/>
          <w:color w:val="auto"/>
          <w:highlight w:val="none"/>
        </w:rPr>
        <w:t>10. 投标文件的语言</w:t>
      </w:r>
    </w:p>
    <w:p w14:paraId="6E1C9BFF">
      <w:pPr>
        <w:autoSpaceDE w:val="0"/>
        <w:autoSpaceDN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rPr>
        <w:t>投标文件及供应商与采购有关的来往通知、函件和文件均应使用中文。</w:t>
      </w:r>
    </w:p>
    <w:p w14:paraId="3DCBC7A1">
      <w:pPr>
        <w:pStyle w:val="6"/>
        <w:spacing w:line="360" w:lineRule="auto"/>
        <w:rPr>
          <w:rFonts w:hAnsi="宋体" w:cs="宋体"/>
          <w:b/>
          <w:color w:val="auto"/>
          <w:highlight w:val="none"/>
        </w:rPr>
      </w:pPr>
      <w:r>
        <w:rPr>
          <w:rFonts w:hint="eastAsia" w:hAnsi="宋体" w:cs="宋体"/>
          <w:b/>
          <w:color w:val="auto"/>
          <w:highlight w:val="none"/>
        </w:rPr>
        <w:t>11. 投标文件的组成</w:t>
      </w:r>
    </w:p>
    <w:p w14:paraId="67300B2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11.1</w:t>
      </w:r>
      <w:r>
        <w:rPr>
          <w:rFonts w:hint="eastAsia" w:ascii="宋体" w:hAnsi="宋体" w:cs="宋体"/>
          <w:b/>
          <w:color w:val="auto"/>
          <w:szCs w:val="21"/>
          <w:highlight w:val="none"/>
        </w:rPr>
        <w:t>资格文件</w:t>
      </w:r>
      <w:r>
        <w:rPr>
          <w:rFonts w:hint="eastAsia" w:ascii="宋体" w:hAnsi="宋体" w:cs="宋体"/>
          <w:color w:val="auto"/>
          <w:szCs w:val="21"/>
          <w:highlight w:val="none"/>
        </w:rPr>
        <w:t>：</w:t>
      </w:r>
    </w:p>
    <w:p w14:paraId="4F0B8EF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11.1.1符合参加政府采购活动应当具备的一般条件的承诺函；</w:t>
      </w:r>
    </w:p>
    <w:p w14:paraId="78DAF32A">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1.1.2</w:t>
      </w:r>
      <w:r>
        <w:rPr>
          <w:rFonts w:hint="eastAsia" w:ascii="宋体" w:hAnsi="宋体" w:cs="宋体"/>
          <w:color w:val="auto"/>
          <w:szCs w:val="21"/>
          <w:highlight w:val="none"/>
        </w:rPr>
        <w:t>营业执照</w:t>
      </w:r>
    </w:p>
    <w:p w14:paraId="1D9EE6CD">
      <w:pPr>
        <w:snapToGrid w:val="0"/>
        <w:spacing w:line="360" w:lineRule="auto"/>
        <w:ind w:firstLine="840" w:firstLineChars="400"/>
        <w:rPr>
          <w:rFonts w:ascii="宋体" w:hAnsi="宋体" w:cs="宋体"/>
          <w:color w:val="auto"/>
          <w:szCs w:val="21"/>
          <w:highlight w:val="none"/>
        </w:rPr>
      </w:pPr>
      <w:r>
        <w:rPr>
          <w:rFonts w:hint="eastAsia" w:ascii="宋体" w:hAnsi="宋体" w:cs="宋体"/>
          <w:snapToGrid w:val="0"/>
          <w:color w:val="auto"/>
          <w:kern w:val="28"/>
          <w:szCs w:val="21"/>
          <w:highlight w:val="none"/>
        </w:rPr>
        <w:t>11.1.3联合协议（如果有)；</w:t>
      </w:r>
    </w:p>
    <w:p w14:paraId="64B0415C">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11.1.4落实政府采购政策需满足的资格要求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5C27F829">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11.1.5本项目的特定资格要求</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13FC5CA8">
      <w:pPr>
        <w:snapToGrid w:val="0"/>
        <w:spacing w:line="360" w:lineRule="auto"/>
        <w:ind w:firstLine="420" w:firstLineChars="2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40783106">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11.2.1投标函；</w:t>
      </w:r>
      <w:r>
        <w:rPr>
          <w:rFonts w:hint="eastAsia" w:ascii="宋体" w:hAnsi="宋体" w:cs="宋体"/>
          <w:color w:val="auto"/>
          <w:szCs w:val="21"/>
          <w:highlight w:val="none"/>
          <w:lang w:val="zh-CN"/>
        </w:rPr>
        <w:t xml:space="preserve"> </w:t>
      </w:r>
    </w:p>
    <w:p w14:paraId="619054C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11.2.2授权委托书或法定代表人（单位负责人、自然人本人）身份证明；</w:t>
      </w:r>
    </w:p>
    <w:p w14:paraId="571CC0A2">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3</w:t>
      </w:r>
      <w:r>
        <w:rPr>
          <w:rFonts w:hint="eastAsia" w:ascii="宋体" w:hAnsi="宋体" w:cs="宋体"/>
          <w:color w:val="auto"/>
          <w:szCs w:val="21"/>
          <w:highlight w:val="none"/>
        </w:rPr>
        <w:t>分包意向协议</w:t>
      </w:r>
      <w:r>
        <w:rPr>
          <w:rFonts w:hint="eastAsia" w:ascii="宋体" w:hAnsi="宋体" w:cs="宋体"/>
          <w:snapToGrid w:val="0"/>
          <w:color w:val="auto"/>
          <w:kern w:val="28"/>
          <w:szCs w:val="21"/>
          <w:highlight w:val="none"/>
        </w:rPr>
        <w:t>（如果有)</w:t>
      </w:r>
      <w:r>
        <w:rPr>
          <w:rFonts w:hint="eastAsia" w:ascii="宋体" w:hAnsi="宋体" w:cs="宋体"/>
          <w:color w:val="auto"/>
          <w:szCs w:val="21"/>
          <w:highlight w:val="none"/>
        </w:rPr>
        <w:t>；</w:t>
      </w:r>
    </w:p>
    <w:p w14:paraId="7CB87113">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7C40143E">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59097730">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22364AF0">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73B67363">
      <w:pPr>
        <w:snapToGrid w:val="0"/>
        <w:spacing w:line="360" w:lineRule="auto"/>
        <w:ind w:firstLine="840" w:firstLineChars="400"/>
        <w:rPr>
          <w:rFonts w:ascii="宋体" w:hAnsi="宋体" w:cs="宋体"/>
          <w:color w:val="auto"/>
          <w:szCs w:val="21"/>
          <w:highlight w:val="none"/>
          <w:lang w:val="zh-CN"/>
        </w:rPr>
      </w:pPr>
      <w:r>
        <w:rPr>
          <w:rFonts w:hint="eastAsia" w:ascii="宋体" w:hAnsi="宋体" w:cs="宋体"/>
          <w:color w:val="auto"/>
          <w:szCs w:val="21"/>
          <w:highlight w:val="none"/>
          <w:lang w:val="zh-CN"/>
        </w:rPr>
        <w:t>11.</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5932C593">
      <w:pPr>
        <w:snapToGrid w:val="0"/>
        <w:spacing w:line="360" w:lineRule="auto"/>
        <w:ind w:firstLine="420" w:firstLineChars="200"/>
        <w:rPr>
          <w:rFonts w:ascii="宋体" w:hAnsi="宋体" w:cs="宋体"/>
          <w:color w:val="auto"/>
          <w:szCs w:val="21"/>
          <w:highlight w:val="none"/>
          <w:u w:val="single"/>
          <w:lang w:val="zh-CN"/>
        </w:rPr>
      </w:pPr>
      <w:r>
        <w:rPr>
          <w:rFonts w:hint="eastAsia" w:ascii="宋体" w:hAnsi="宋体" w:cs="宋体"/>
          <w:color w:val="auto"/>
          <w:kern w:val="0"/>
          <w:szCs w:val="21"/>
          <w:highlight w:val="none"/>
          <w:lang w:val="zh-CN"/>
        </w:rPr>
        <w:t>11.</w:t>
      </w:r>
      <w:r>
        <w:rPr>
          <w:rFonts w:hint="eastAsia" w:ascii="宋体" w:hAnsi="宋体" w:cs="宋体"/>
          <w:color w:val="auto"/>
          <w:kern w:val="0"/>
          <w:szCs w:val="21"/>
          <w:highlight w:val="none"/>
        </w:rPr>
        <w:t>3</w:t>
      </w:r>
      <w:r>
        <w:rPr>
          <w:rFonts w:hint="eastAsia" w:ascii="宋体" w:hAnsi="宋体" w:cs="宋体"/>
          <w:b/>
          <w:color w:val="auto"/>
          <w:szCs w:val="21"/>
          <w:highlight w:val="none"/>
        </w:rPr>
        <w:t>报价文件：</w:t>
      </w:r>
      <w:r>
        <w:rPr>
          <w:rFonts w:hint="eastAsia" w:ascii="宋体" w:hAnsi="宋体" w:cs="宋体"/>
          <w:color w:val="auto"/>
          <w:szCs w:val="21"/>
          <w:highlight w:val="none"/>
        </w:rPr>
        <w:t xml:space="preserve"> </w:t>
      </w:r>
    </w:p>
    <w:p w14:paraId="7929BA3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11.3.1开标一览表（报价表）；</w:t>
      </w:r>
    </w:p>
    <w:p w14:paraId="7BFF1351">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11.3.2投标分项报价表；</w:t>
      </w:r>
    </w:p>
    <w:p w14:paraId="67AD8414">
      <w:pPr>
        <w:snapToGrid w:val="0"/>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11.3.3中小企业声明函。</w:t>
      </w:r>
    </w:p>
    <w:p w14:paraId="3CFD8C19">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投标文件含有采购人不能接受的附加条件的，投标无效；</w:t>
      </w:r>
    </w:p>
    <w:p w14:paraId="125A86FA">
      <w:pPr>
        <w:spacing w:line="360" w:lineRule="auto"/>
        <w:ind w:firstLine="632" w:firstLineChars="300"/>
        <w:rPr>
          <w:rFonts w:ascii="宋体" w:hAnsi="宋体" w:cs="宋体"/>
          <w:b/>
          <w:color w:val="auto"/>
          <w:szCs w:val="21"/>
          <w:highlight w:val="none"/>
        </w:rPr>
      </w:pPr>
      <w:r>
        <w:rPr>
          <w:rFonts w:hint="eastAsia" w:ascii="宋体" w:hAnsi="宋体" w:cs="宋体"/>
          <w:b/>
          <w:color w:val="auto"/>
          <w:szCs w:val="21"/>
          <w:highlight w:val="none"/>
        </w:rPr>
        <w:t>供应商提供虚假材料投标的，投标无效。</w:t>
      </w:r>
    </w:p>
    <w:p w14:paraId="76C33F89">
      <w:pPr>
        <w:pStyle w:val="131"/>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投标文件的编制</w:t>
      </w:r>
    </w:p>
    <w:p w14:paraId="50EA8AD9">
      <w:pPr>
        <w:spacing w:line="360" w:lineRule="auto"/>
        <w:ind w:firstLine="420" w:firstLineChars="200"/>
        <w:rPr>
          <w:rFonts w:ascii="宋体" w:hAnsi="宋体" w:cs="宋体"/>
          <w:b/>
          <w:color w:val="auto"/>
          <w:szCs w:val="21"/>
          <w:highlight w:val="none"/>
        </w:rPr>
      </w:pPr>
      <w:r>
        <w:rPr>
          <w:rFonts w:hint="eastAsia" w:ascii="宋体" w:hAnsi="宋体" w:cs="宋体"/>
          <w:color w:val="auto"/>
          <w:kern w:val="0"/>
          <w:szCs w:val="21"/>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52894C89">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8B42112">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12.3使用“政采云电子交易客户端”需要提前申领CA数字证书，申领流程请自行前往“浙江政府采购网-下载专区-电子交易客户端-CA驱动和申领流程”进行查阅。</w:t>
      </w:r>
    </w:p>
    <w:p w14:paraId="25234AAC">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13.投标文件的签署、盖章</w:t>
      </w:r>
    </w:p>
    <w:p w14:paraId="3F0840CC">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13.1投标文件按照招标文件第六部分格式要求进行签署、盖章。</w:t>
      </w:r>
      <w:r>
        <w:rPr>
          <w:rFonts w:hint="eastAsia" w:ascii="宋体" w:hAnsi="宋体" w:cs="宋体"/>
          <w:b/>
          <w:color w:val="auto"/>
          <w:sz w:val="21"/>
          <w:szCs w:val="21"/>
          <w:highlight w:val="none"/>
        </w:rPr>
        <w:t>★供应商的投标文件未按照招标文件要求签署、盖章的，其投标无效</w:t>
      </w:r>
      <w:r>
        <w:rPr>
          <w:rFonts w:hint="eastAsia" w:ascii="宋体" w:hAnsi="宋体" w:cs="宋体"/>
          <w:color w:val="auto"/>
          <w:sz w:val="21"/>
          <w:szCs w:val="21"/>
          <w:highlight w:val="none"/>
        </w:rPr>
        <w:t>。</w:t>
      </w:r>
    </w:p>
    <w:p w14:paraId="179E804B">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13.2为确保网上操作合法、有效和安全，供应商应当在投标截止时间前完成在“政府采购云平台”的身份认证，确保在电子投标过程中能够对相关数据电文进行加密和使用电子签名。</w:t>
      </w:r>
    </w:p>
    <w:p w14:paraId="1170889F">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13.3招标文件对投标文件签署、盖章的要求适用于电子签名。</w:t>
      </w:r>
    </w:p>
    <w:p w14:paraId="0FE28AEC">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投标文件的提交、补充、修改、撤回</w:t>
      </w:r>
    </w:p>
    <w:p w14:paraId="0F83987D">
      <w:pPr>
        <w:pStyle w:val="131"/>
        <w:ind w:firstLine="420"/>
        <w:rPr>
          <w:rFonts w:ascii="宋体" w:hAnsi="宋体" w:cs="宋体"/>
          <w:color w:val="auto"/>
          <w:sz w:val="21"/>
          <w:szCs w:val="21"/>
          <w:highlight w:val="none"/>
        </w:rPr>
      </w:pPr>
      <w:r>
        <w:rPr>
          <w:rFonts w:hint="eastAsia" w:ascii="宋体" w:hAnsi="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5909768">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7BC170AE">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3FE4E2E3">
      <w:pPr>
        <w:pStyle w:val="6"/>
        <w:spacing w:line="360" w:lineRule="auto"/>
        <w:rPr>
          <w:rFonts w:hAnsi="宋体" w:cs="宋体"/>
          <w:b/>
          <w:color w:val="auto"/>
          <w:highlight w:val="none"/>
        </w:rPr>
      </w:pPr>
      <w:r>
        <w:rPr>
          <w:rFonts w:hint="eastAsia" w:hAnsi="宋体" w:cs="宋体"/>
          <w:b/>
          <w:color w:val="auto"/>
          <w:highlight w:val="none"/>
        </w:rPr>
        <w:t>15.备份投标文件</w:t>
      </w:r>
    </w:p>
    <w:p w14:paraId="4BF4DE6E">
      <w:pPr>
        <w:pStyle w:val="6"/>
        <w:spacing w:line="360" w:lineRule="auto"/>
        <w:ind w:firstLine="315" w:firstLineChars="150"/>
        <w:rPr>
          <w:rFonts w:hAnsi="宋体" w:cs="宋体"/>
          <w:b/>
          <w:color w:val="auto"/>
          <w:highlight w:val="none"/>
        </w:rPr>
      </w:pPr>
      <w:r>
        <w:rPr>
          <w:rFonts w:hint="eastAsia" w:hAnsi="宋体" w:cs="宋体"/>
          <w:color w:val="auto"/>
          <w:highlight w:val="none"/>
        </w:rPr>
        <w:t xml:space="preserve"> 15.1详见供应商须知前附表第13条。</w:t>
      </w:r>
    </w:p>
    <w:p w14:paraId="09F1AFDE">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16.投标文件的无效处理</w:t>
      </w:r>
    </w:p>
    <w:p w14:paraId="11CE8C42">
      <w:pPr>
        <w:pStyle w:val="26"/>
        <w:spacing w:line="360" w:lineRule="auto"/>
        <w:ind w:firstLine="315" w:firstLineChars="150"/>
        <w:rPr>
          <w:rFonts w:cs="宋体"/>
          <w:color w:val="auto"/>
          <w:sz w:val="21"/>
          <w:szCs w:val="21"/>
          <w:highlight w:val="none"/>
        </w:rPr>
      </w:pPr>
      <w:r>
        <w:rPr>
          <w:rFonts w:hint="eastAsia" w:cs="宋体"/>
          <w:color w:val="auto"/>
          <w:sz w:val="21"/>
          <w:szCs w:val="21"/>
          <w:highlight w:val="none"/>
        </w:rPr>
        <w:t>有招标文件第四部分</w:t>
      </w:r>
      <w:r>
        <w:rPr>
          <w:rFonts w:cs="宋体"/>
          <w:color w:val="auto"/>
          <w:sz w:val="21"/>
          <w:szCs w:val="21"/>
          <w:highlight w:val="none"/>
        </w:rPr>
        <w:t>4.2规定</w:t>
      </w:r>
      <w:r>
        <w:rPr>
          <w:rFonts w:hint="eastAsia" w:cs="宋体"/>
          <w:color w:val="auto"/>
          <w:sz w:val="21"/>
          <w:szCs w:val="21"/>
          <w:highlight w:val="none"/>
        </w:rPr>
        <w:t>的情形之一的，投标无效：</w:t>
      </w:r>
    </w:p>
    <w:p w14:paraId="5DB27A21">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17.投标有效期</w:t>
      </w:r>
    </w:p>
    <w:p w14:paraId="16B2D48C">
      <w:pP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17.1投标有效期为从提交投标文件的截止之日起90天。★</w:t>
      </w:r>
      <w:r>
        <w:rPr>
          <w:rFonts w:hint="eastAsia" w:ascii="宋体" w:hAnsi="宋体" w:cs="宋体"/>
          <w:b/>
          <w:color w:val="auto"/>
          <w:szCs w:val="21"/>
          <w:highlight w:val="none"/>
        </w:rPr>
        <w:t>供应商的投标文件中承诺的投标有效期少于招标文件中载明的投标有效期的，投标无效。</w:t>
      </w:r>
    </w:p>
    <w:p w14:paraId="7AC0ADE0">
      <w:pPr>
        <w:pStyle w:val="13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17.2投标文件合格投递后，自投标截止日期起，在投标有效期内有效。</w:t>
      </w:r>
    </w:p>
    <w:p w14:paraId="024D59EF">
      <w:pPr>
        <w:pStyle w:val="131"/>
        <w:spacing w:before="0"/>
        <w:ind w:firstLine="420"/>
        <w:rPr>
          <w:rFonts w:ascii="宋体" w:hAnsi="宋体" w:cs="宋体"/>
          <w:b/>
          <w:color w:val="auto"/>
          <w:sz w:val="32"/>
          <w:highlight w:val="none"/>
        </w:rPr>
      </w:pPr>
      <w:r>
        <w:rPr>
          <w:rFonts w:hint="eastAsia" w:ascii="宋体" w:hAnsi="宋体" w:cs="宋体"/>
          <w:color w:val="auto"/>
          <w:sz w:val="21"/>
          <w:szCs w:val="21"/>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739D3A64">
      <w:pPr>
        <w:pStyle w:val="131"/>
        <w:spacing w:before="0"/>
        <w:ind w:firstLine="0" w:firstLineChars="0"/>
        <w:jc w:val="center"/>
        <w:rPr>
          <w:rFonts w:ascii="宋体" w:hAnsi="宋体" w:cs="宋体"/>
          <w:b/>
          <w:color w:val="auto"/>
          <w:sz w:val="21"/>
          <w:szCs w:val="21"/>
          <w:highlight w:val="none"/>
        </w:rPr>
      </w:pPr>
      <w:r>
        <w:rPr>
          <w:rFonts w:hint="eastAsia" w:ascii="宋体" w:hAnsi="宋体" w:cs="宋体"/>
          <w:b/>
          <w:color w:val="auto"/>
          <w:sz w:val="21"/>
          <w:szCs w:val="21"/>
          <w:highlight w:val="none"/>
        </w:rPr>
        <w:t>四、开标、资格审查与信用信息查询</w:t>
      </w:r>
    </w:p>
    <w:p w14:paraId="27B46CB4">
      <w:pPr>
        <w:pStyle w:val="557"/>
        <w:spacing w:before="0" w:line="360" w:lineRule="auto"/>
        <w:ind w:left="0" w:firstLine="211" w:firstLineChars="100"/>
        <w:contextualSpacing/>
        <w:rPr>
          <w:rFonts w:ascii="宋体" w:hAnsi="宋体" w:cs="宋体"/>
          <w:color w:val="auto"/>
          <w:sz w:val="21"/>
          <w:szCs w:val="21"/>
          <w:highlight w:val="none"/>
        </w:rPr>
      </w:pPr>
      <w:r>
        <w:rPr>
          <w:rFonts w:hint="eastAsia" w:ascii="宋体" w:hAnsi="宋体" w:cs="宋体"/>
          <w:b/>
          <w:color w:val="auto"/>
          <w:sz w:val="21"/>
          <w:szCs w:val="21"/>
          <w:highlight w:val="none"/>
        </w:rPr>
        <w:t>18.开标</w:t>
      </w:r>
      <w:r>
        <w:rPr>
          <w:rFonts w:hint="eastAsia" w:ascii="宋体" w:hAnsi="宋体" w:cs="宋体"/>
          <w:color w:val="auto"/>
          <w:sz w:val="21"/>
          <w:szCs w:val="21"/>
          <w:highlight w:val="none"/>
        </w:rPr>
        <w:t xml:space="preserve"> </w:t>
      </w:r>
    </w:p>
    <w:p w14:paraId="00E4114E">
      <w:pPr>
        <w:pStyle w:val="557"/>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18.1采购代理机构按照招标文件规定的时间通过电子交易平台组织开标，所有供应商均应当准时在线参加。供应商不足3家的，不得开标。</w:t>
      </w:r>
    </w:p>
    <w:p w14:paraId="14BFADA0">
      <w:pPr>
        <w:pStyle w:val="557"/>
        <w:spacing w:before="0" w:line="360" w:lineRule="auto"/>
        <w:ind w:left="0" w:firstLine="210" w:firstLineChars="100"/>
        <w:contextualSpacing/>
        <w:rPr>
          <w:rFonts w:ascii="宋体" w:hAnsi="宋体" w:cs="宋体"/>
          <w:color w:val="auto"/>
          <w:sz w:val="21"/>
          <w:szCs w:val="21"/>
          <w:highlight w:val="none"/>
        </w:rPr>
      </w:pPr>
      <w:r>
        <w:rPr>
          <w:rFonts w:hint="eastAsia" w:ascii="宋体" w:hAnsi="宋体" w:cs="宋体"/>
          <w:color w:val="auto"/>
          <w:sz w:val="21"/>
          <w:szCs w:val="21"/>
          <w:highlight w:val="none"/>
        </w:rPr>
        <w:t>　18.2开标时，电子交易平台按开标时间自动提取所有投标文件。采购代理机构依托电子交易平台发起开始解密指令，供应商按照平台提示和招标文件的规定在半小时内完成在线解密。</w:t>
      </w:r>
    </w:p>
    <w:p w14:paraId="5627171B">
      <w:pPr>
        <w:pStyle w:val="557"/>
        <w:spacing w:before="0" w:line="360" w:lineRule="auto"/>
        <w:ind w:left="0" w:firstLine="210" w:firstLineChars="100"/>
        <w:contextualSpacing/>
        <w:rPr>
          <w:rFonts w:ascii="宋体" w:hAnsi="宋体" w:cs="宋体"/>
          <w:b/>
          <w:color w:val="auto"/>
          <w:sz w:val="21"/>
          <w:szCs w:val="21"/>
          <w:highlight w:val="none"/>
        </w:rPr>
      </w:pPr>
      <w:r>
        <w:rPr>
          <w:rFonts w:hint="eastAsia" w:ascii="宋体" w:hAnsi="宋体" w:cs="宋体"/>
          <w:color w:val="auto"/>
          <w:sz w:val="21"/>
          <w:szCs w:val="21"/>
          <w:highlight w:val="none"/>
        </w:rPr>
        <w:t>　18.3</w:t>
      </w:r>
      <w:r>
        <w:rPr>
          <w:rFonts w:hint="eastAsia" w:ascii="宋体" w:hAnsi="宋体" w:cs="宋体"/>
          <w:b/>
          <w:color w:val="auto"/>
          <w:sz w:val="21"/>
          <w:szCs w:val="21"/>
          <w:highlight w:val="none"/>
        </w:rPr>
        <w:t>投标文件未按时解密视为投标文件撤回。</w:t>
      </w:r>
    </w:p>
    <w:p w14:paraId="2C53ACAA">
      <w:pPr>
        <w:widowControl/>
        <w:spacing w:before="100" w:beforeAutospacing="1" w:after="240" w:line="360" w:lineRule="auto"/>
        <w:jc w:val="left"/>
        <w:rPr>
          <w:rFonts w:ascii="宋体" w:hAnsi="宋体" w:cs="宋体"/>
          <w:b/>
          <w:color w:val="auto"/>
          <w:szCs w:val="21"/>
          <w:highlight w:val="none"/>
        </w:rPr>
      </w:pPr>
      <w:r>
        <w:rPr>
          <w:rFonts w:hint="eastAsia" w:ascii="宋体" w:hAnsi="宋体" w:cs="宋体"/>
          <w:b/>
          <w:color w:val="auto"/>
          <w:szCs w:val="21"/>
          <w:highlight w:val="none"/>
        </w:rPr>
        <w:t>　19、资格审查</w:t>
      </w:r>
    </w:p>
    <w:p w14:paraId="170447D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19.1</w:t>
      </w:r>
      <w:r>
        <w:rPr>
          <w:rFonts w:hint="eastAsia" w:ascii="宋体" w:hAnsi="宋体" w:cs="宋体"/>
          <w:color w:val="auto"/>
          <w:szCs w:val="21"/>
          <w:highlight w:val="none"/>
        </w:rPr>
        <w:t>采购人或采购代理机构依据法律法规和招标文件的规定，对供应商的资格进行审查。</w:t>
      </w:r>
    </w:p>
    <w:p w14:paraId="22B3E5EE">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19.2供应商未按照招标文件要求提供与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供应商不具备招标文件中规定的资格要求，其投标无效。</w:t>
      </w:r>
    </w:p>
    <w:p w14:paraId="1B973D59">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3对未通过资格审查的供应商，采购人或采购代理机构告知其未通过的原因。</w:t>
      </w:r>
    </w:p>
    <w:p w14:paraId="5611BEA4">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rPr>
        <w:t>4合格供应商不足3家的，不再评标。</w:t>
      </w:r>
    </w:p>
    <w:p w14:paraId="3DB2232D">
      <w:pPr>
        <w:pStyle w:val="131"/>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20、信用信息查询</w:t>
      </w:r>
    </w:p>
    <w:p w14:paraId="48DEC437">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20.1信用信息查询渠道及截止时间：采购代理机构将在资格审查时通过“信用中国”网站(www.creditchina.gov.cn)、中国政府采购网(www.ccgp.gov.cn)渠道查询供应商接受资格时的信用记录。</w:t>
      </w:r>
    </w:p>
    <w:p w14:paraId="3CF8B4E2">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142CD076">
      <w:pPr>
        <w:pStyle w:val="131"/>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20.3信用信息的使用规则：经查询列入失信被执行人名单、重大税收违法失信主体、政府采购严重违法失信行为记录名单的供应商将被拒绝参与政府采购活动。</w:t>
      </w:r>
    </w:p>
    <w:p w14:paraId="2737DED2">
      <w:pPr>
        <w:pStyle w:val="131"/>
        <w:spacing w:before="0"/>
        <w:ind w:firstLine="42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4132A798">
      <w:pPr>
        <w:pStyle w:val="131"/>
        <w:spacing w:before="0"/>
        <w:ind w:firstLine="0" w:firstLineChars="0"/>
        <w:rPr>
          <w:rFonts w:ascii="宋体" w:hAnsi="宋体" w:cs="宋体"/>
          <w:color w:val="auto"/>
          <w:kern w:val="0"/>
          <w:sz w:val="21"/>
          <w:szCs w:val="21"/>
          <w:highlight w:val="none"/>
        </w:rPr>
      </w:pPr>
    </w:p>
    <w:p w14:paraId="55A8AD1D">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五、评标</w:t>
      </w:r>
    </w:p>
    <w:p w14:paraId="61E9429C">
      <w:pPr>
        <w:spacing w:line="360" w:lineRule="auto"/>
        <w:rPr>
          <w:rFonts w:ascii="宋体" w:hAnsi="宋体" w:cs="宋体"/>
          <w:b/>
          <w:color w:val="auto"/>
          <w:szCs w:val="21"/>
          <w:highlight w:val="none"/>
        </w:rPr>
      </w:pPr>
      <w:bookmarkStart w:id="14" w:name="_Toc91899903"/>
      <w:r>
        <w:rPr>
          <w:rFonts w:hint="eastAsia" w:ascii="宋体" w:hAnsi="宋体" w:cs="宋体"/>
          <w:b/>
          <w:color w:val="auto"/>
          <w:szCs w:val="21"/>
          <w:highlight w:val="none"/>
        </w:rPr>
        <w:t>21.</w:t>
      </w:r>
      <w:r>
        <w:rPr>
          <w:rFonts w:hint="eastAsia" w:ascii="宋体" w:hAnsi="宋体" w:cs="宋体"/>
          <w:color w:val="auto"/>
          <w:szCs w:val="21"/>
          <w:highlight w:val="none"/>
        </w:rPr>
        <w:t xml:space="preserve"> 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Cs w:val="21"/>
          <w:highlight w:val="none"/>
        </w:rPr>
        <w:t>详见招标文件第四部分评标办法。</w:t>
      </w:r>
    </w:p>
    <w:p w14:paraId="0F7DE823">
      <w:pPr>
        <w:spacing w:line="360" w:lineRule="auto"/>
        <w:rPr>
          <w:rFonts w:ascii="宋体" w:hAnsi="宋体" w:cs="宋体"/>
          <w:b/>
          <w:color w:val="auto"/>
          <w:sz w:val="24"/>
          <w:highlight w:val="none"/>
        </w:rPr>
      </w:pPr>
    </w:p>
    <w:p w14:paraId="15B74367">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szCs w:val="21"/>
          <w:highlight w:val="none"/>
        </w:rPr>
        <w:t>六、定 标</w:t>
      </w:r>
    </w:p>
    <w:p w14:paraId="7DAC4A74">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22. 确定中标供应商</w:t>
      </w:r>
    </w:p>
    <w:p w14:paraId="1B809143">
      <w:pPr>
        <w:pStyle w:val="131"/>
        <w:snapToGrid w:val="0"/>
        <w:spacing w:before="0"/>
        <w:ind w:firstLine="420"/>
        <w:rPr>
          <w:rFonts w:ascii="宋体" w:hAnsi="宋体" w:cs="宋体"/>
          <w:b/>
          <w:color w:val="auto"/>
          <w:sz w:val="21"/>
          <w:szCs w:val="21"/>
          <w:highlight w:val="none"/>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3B5A2B7">
      <w:pPr>
        <w:pStyle w:val="131"/>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中标通知与中标结果公告</w:t>
      </w:r>
    </w:p>
    <w:p w14:paraId="66130AEF">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23.1自中标人确定之日起2个工作日内，采购代理机构通过电子交易平台向中标人发出中标通知书，同时编制发布采购结果公告。采购代理机构也可以以纸质形式进行中标通知。</w:t>
      </w:r>
    </w:p>
    <w:p w14:paraId="075A97BE">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5" w:name="_Hlk101184471"/>
      <w:r>
        <w:rPr>
          <w:rFonts w:hint="eastAsia" w:ascii="宋体" w:hAnsi="宋体" w:cs="宋体"/>
          <w:color w:val="auto"/>
          <w:szCs w:val="21"/>
          <w:highlight w:val="none"/>
        </w:rPr>
        <w:t>资格审查情况、评审专家抽取规则、符合性审查情况、</w:t>
      </w:r>
      <w:bookmarkEnd w:id="15"/>
      <w:r>
        <w:rPr>
          <w:rFonts w:hint="eastAsia" w:ascii="宋体" w:hAnsi="宋体" w:cs="宋体"/>
          <w:color w:val="auto"/>
          <w:szCs w:val="21"/>
          <w:highlight w:val="none"/>
        </w:rPr>
        <w:t>未中标情况说明、中标公告期限以及评审专家名单、评分汇总及明细。</w:t>
      </w:r>
    </w:p>
    <w:p w14:paraId="1C9857A3">
      <w:pPr>
        <w:widowControl/>
        <w:shd w:val="clear" w:color="auto" w:fill="FFFFFF"/>
        <w:spacing w:line="360" w:lineRule="auto"/>
        <w:ind w:firstLine="480"/>
        <w:jc w:val="left"/>
        <w:rPr>
          <w:rFonts w:ascii="宋体" w:hAnsi="宋体" w:cs="宋体"/>
          <w:color w:val="auto"/>
          <w:szCs w:val="21"/>
          <w:highlight w:val="none"/>
        </w:rPr>
      </w:pPr>
      <w:r>
        <w:rPr>
          <w:rFonts w:hint="eastAsia" w:ascii="宋体" w:hAnsi="宋体" w:cs="宋体"/>
          <w:color w:val="auto"/>
          <w:szCs w:val="21"/>
          <w:highlight w:val="none"/>
        </w:rPr>
        <w:t>23.3公告期限为1个工作日。</w:t>
      </w:r>
    </w:p>
    <w:p w14:paraId="63E1877E">
      <w:pPr>
        <w:snapToGrid w:val="0"/>
        <w:spacing w:line="360" w:lineRule="auto"/>
        <w:ind w:left="120" w:leftChars="57" w:firstLine="482" w:firstLineChars="150"/>
        <w:jc w:val="center"/>
        <w:rPr>
          <w:rFonts w:ascii="宋体" w:hAnsi="宋体" w:cs="宋体"/>
          <w:b/>
          <w:color w:val="auto"/>
          <w:sz w:val="32"/>
          <w:highlight w:val="none"/>
        </w:rPr>
      </w:pPr>
    </w:p>
    <w:p w14:paraId="671DD424">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七、合同授予</w:t>
      </w:r>
    </w:p>
    <w:p w14:paraId="5199E9EE">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25C02355">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25. 合同的签订</w:t>
      </w:r>
    </w:p>
    <w:p w14:paraId="6CF760FF">
      <w:pPr>
        <w:widowControl/>
        <w:shd w:val="clear" w:color="auto" w:fill="FFFFFF"/>
        <w:spacing w:line="360" w:lineRule="auto"/>
        <w:ind w:firstLine="480"/>
        <w:jc w:val="left"/>
        <w:rPr>
          <w:rFonts w:ascii="宋体" w:hAnsi="宋体" w:cs="宋体"/>
          <w:color w:val="auto"/>
          <w:kern w:val="0"/>
          <w:szCs w:val="21"/>
          <w:highlight w:val="none"/>
        </w:rPr>
      </w:pPr>
      <w:r>
        <w:rPr>
          <w:rFonts w:hint="eastAsia" w:ascii="宋体" w:hAnsi="宋体" w:cs="宋体"/>
          <w:color w:val="auto"/>
          <w:szCs w:val="21"/>
          <w:highlight w:val="none"/>
        </w:rPr>
        <w:t>25.1</w:t>
      </w:r>
      <w:r>
        <w:rPr>
          <w:rFonts w:hint="eastAsia" w:ascii="宋体" w:hAnsi="宋体" w:cs="宋体"/>
          <w:color w:val="auto"/>
          <w:kern w:val="0"/>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CB4DB5C">
      <w:pPr>
        <w:pStyle w:val="131"/>
        <w:snapToGrid w:val="0"/>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7258E217">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324062AC">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338E4093">
      <w:pPr>
        <w:pStyle w:val="131"/>
        <w:snapToGrid w:val="0"/>
        <w:spacing w:before="0" w:after="120"/>
        <w:ind w:firstLine="42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25.5采购合同由采购人与中标供应商根据招标文件、投标文件等内容通过政府采购电子交易平台在线签订，自动备案。</w:t>
      </w:r>
    </w:p>
    <w:p w14:paraId="27298D0A">
      <w:pPr>
        <w:pStyle w:val="26"/>
        <w:spacing w:line="360" w:lineRule="auto"/>
        <w:ind w:left="420" w:hanging="420" w:hangingChars="199"/>
        <w:rPr>
          <w:rFonts w:cs="宋体"/>
          <w:b/>
          <w:color w:val="auto"/>
          <w:sz w:val="21"/>
          <w:szCs w:val="21"/>
          <w:highlight w:val="none"/>
        </w:rPr>
      </w:pPr>
      <w:r>
        <w:rPr>
          <w:rFonts w:hint="eastAsia" w:cs="宋体"/>
          <w:b/>
          <w:color w:val="auto"/>
          <w:sz w:val="21"/>
          <w:szCs w:val="21"/>
          <w:highlight w:val="none"/>
        </w:rPr>
        <w:t>26. 履约保证金（如有）</w:t>
      </w:r>
    </w:p>
    <w:p w14:paraId="2AEECFD1">
      <w:pPr>
        <w:tabs>
          <w:tab w:val="left" w:pos="0"/>
        </w:tabs>
        <w:spacing w:line="360" w:lineRule="auto"/>
        <w:ind w:firstLine="482"/>
        <w:rPr>
          <w:rFonts w:ascii="宋体" w:hAnsi="宋体" w:cs="宋体"/>
          <w:color w:val="auto"/>
          <w:szCs w:val="21"/>
          <w:highlight w:val="none"/>
        </w:rPr>
      </w:pPr>
      <w:r>
        <w:rPr>
          <w:rFonts w:hint="eastAsia" w:ascii="宋体" w:hAnsi="宋体" w:cs="宋体"/>
          <w:color w:val="auto"/>
          <w:kern w:val="0"/>
          <w:szCs w:val="21"/>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Cs w:val="21"/>
          <w:highlight w:val="none"/>
        </w:rPr>
        <w:t>。履约保证金的数额不得超过政府采购合同金额的</w:t>
      </w:r>
      <w:r>
        <w:rPr>
          <w:rFonts w:ascii="宋体" w:hAnsi="宋体" w:cs="宋体"/>
          <w:color w:val="auto"/>
          <w:szCs w:val="21"/>
          <w:highlight w:val="none"/>
        </w:rPr>
        <w:t>1</w:t>
      </w:r>
      <w:r>
        <w:rPr>
          <w:rFonts w:hint="eastAsia" w:ascii="宋体" w:hAnsi="宋体" w:cs="宋体"/>
          <w:color w:val="auto"/>
          <w:szCs w:val="21"/>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Cs w:val="21"/>
          <w:highlight w:val="none"/>
        </w:rPr>
        <w:t>延迟退还的，应当按照合同约定和法律规定承担相应的赔偿责任</w:t>
      </w:r>
      <w:r>
        <w:rPr>
          <w:rFonts w:hint="eastAsia" w:ascii="宋体" w:hAnsi="宋体" w:cs="宋体"/>
          <w:color w:val="auto"/>
          <w:szCs w:val="21"/>
          <w:highlight w:val="none"/>
        </w:rPr>
        <w:t>。</w:t>
      </w:r>
    </w:p>
    <w:p w14:paraId="63BFAEBE">
      <w:pPr>
        <w:pStyle w:val="3"/>
        <w:ind w:left="0" w:firstLine="420" w:firstLineChars="200"/>
        <w:rPr>
          <w:rFonts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736C1D01">
      <w:pPr>
        <w:pStyle w:val="3"/>
        <w:rPr>
          <w:color w:val="auto"/>
          <w:sz w:val="21"/>
          <w:szCs w:val="21"/>
          <w:highlight w:val="none"/>
        </w:rPr>
      </w:pPr>
      <w:r>
        <w:rPr>
          <w:rFonts w:ascii="宋体" w:hAnsi="宋体" w:eastAsia="宋体"/>
          <w:color w:val="auto"/>
          <w:sz w:val="21"/>
          <w:szCs w:val="21"/>
          <w:highlight w:val="none"/>
          <w:lang w:val="en-US"/>
        </w:rPr>
        <w:t>27.预付款</w:t>
      </w:r>
    </w:p>
    <w:p w14:paraId="70AD1A8A">
      <w:pPr>
        <w:adjustRightInd/>
        <w:spacing w:line="360" w:lineRule="auto"/>
        <w:ind w:firstLine="420" w:firstLineChars="200"/>
        <w:rPr>
          <w:color w:val="auto"/>
          <w:szCs w:val="21"/>
          <w:highlight w:val="none"/>
        </w:rPr>
      </w:pPr>
      <w:r>
        <w:rPr>
          <w:rFonts w:hint="eastAsia" w:ascii="宋体" w:hAnsi="宋体"/>
          <w:color w:val="auto"/>
          <w:szCs w:val="21"/>
          <w:highlight w:val="none"/>
        </w:rPr>
        <w:t>采购单位应当在政府采购合同中约定预付款，对中小企业合同预付款比例原则上不低于合同金额的</w:t>
      </w:r>
      <w:r>
        <w:rPr>
          <w:rFonts w:ascii="宋体" w:hAnsi="宋体"/>
          <w:color w:val="auto"/>
          <w:szCs w:val="21"/>
          <w:highlight w:val="none"/>
        </w:rPr>
        <w:t>40％</w:t>
      </w:r>
      <w:r>
        <w:rPr>
          <w:rFonts w:hint="eastAsia" w:ascii="宋体" w:hAnsi="宋体"/>
          <w:color w:val="auto"/>
          <w:szCs w:val="21"/>
          <w:highlight w:val="none"/>
        </w:rPr>
        <w:t>，不高于合同金额的</w:t>
      </w:r>
      <w:r>
        <w:rPr>
          <w:rFonts w:ascii="宋体" w:hAnsi="宋体"/>
          <w:color w:val="auto"/>
          <w:szCs w:val="21"/>
          <w:highlight w:val="none"/>
        </w:rPr>
        <w:t>70%；项目分年安排预算的，每年预付款比例</w:t>
      </w:r>
      <w:r>
        <w:rPr>
          <w:rFonts w:hint="eastAsia" w:ascii="宋体" w:hAnsi="宋体"/>
          <w:color w:val="auto"/>
          <w:szCs w:val="21"/>
          <w:highlight w:val="none"/>
        </w:rPr>
        <w:t>不低于</w:t>
      </w:r>
      <w:r>
        <w:rPr>
          <w:rFonts w:ascii="宋体" w:hAnsi="宋体"/>
          <w:color w:val="auto"/>
          <w:szCs w:val="21"/>
          <w:highlight w:val="none"/>
        </w:rPr>
        <w:t>项目年度计划支付资金额的40％</w:t>
      </w:r>
      <w:r>
        <w:rPr>
          <w:rFonts w:hint="eastAsia" w:ascii="宋体" w:hAnsi="宋体"/>
          <w:color w:val="auto"/>
          <w:szCs w:val="21"/>
          <w:highlight w:val="none"/>
        </w:rPr>
        <w:t>，不高于合同金额的</w:t>
      </w:r>
      <w:r>
        <w:rPr>
          <w:rFonts w:ascii="宋体" w:hAnsi="宋体"/>
          <w:color w:val="auto"/>
          <w:szCs w:val="21"/>
          <w:highlight w:val="none"/>
        </w:rPr>
        <w:t>70%；采购项目实施以人工投入为主的，</w:t>
      </w:r>
      <w:r>
        <w:rPr>
          <w:rFonts w:hint="eastAsia" w:ascii="宋体" w:hAnsi="宋体"/>
          <w:color w:val="auto"/>
          <w:szCs w:val="21"/>
          <w:highlight w:val="none"/>
        </w:rPr>
        <w:t>可适当降低预付款比例，但不得低于</w:t>
      </w:r>
      <w:r>
        <w:rPr>
          <w:rFonts w:ascii="宋体" w:hAnsi="宋体"/>
          <w:color w:val="auto"/>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Cs w:val="21"/>
          <w:highlight w:val="none"/>
        </w:rPr>
        <w:t>供应商</w:t>
      </w:r>
      <w:r>
        <w:rPr>
          <w:rFonts w:ascii="宋体" w:hAnsi="宋体"/>
          <w:color w:val="auto"/>
          <w:szCs w:val="21"/>
          <w:highlight w:val="none"/>
        </w:rPr>
        <w:t>明确表示无需预付款或者主动要求降低预付款比例的，</w:t>
      </w:r>
      <w:r>
        <w:rPr>
          <w:rFonts w:hint="eastAsia" w:ascii="宋体" w:hAnsi="宋体"/>
          <w:color w:val="auto"/>
          <w:szCs w:val="21"/>
          <w:highlight w:val="none"/>
        </w:rPr>
        <w:t>采购单位</w:t>
      </w:r>
      <w:r>
        <w:rPr>
          <w:rFonts w:ascii="宋体" w:hAnsi="宋体"/>
          <w:color w:val="auto"/>
          <w:szCs w:val="21"/>
          <w:highlight w:val="none"/>
        </w:rPr>
        <w:t>可不适用前述规定。</w:t>
      </w:r>
      <w:r>
        <w:rPr>
          <w:rFonts w:hint="eastAsia" w:ascii="宋体" w:hAnsi="宋体"/>
          <w:color w:val="auto"/>
          <w:szCs w:val="21"/>
          <w:highlight w:val="none"/>
        </w:rPr>
        <w:t>采购单位</w:t>
      </w:r>
      <w:r>
        <w:rPr>
          <w:rFonts w:ascii="宋体" w:hAnsi="宋体"/>
          <w:color w:val="auto"/>
          <w:szCs w:val="21"/>
          <w:highlight w:val="none"/>
        </w:rPr>
        <w:t>根据项目特点、供应商诚信等因素，可以要求</w:t>
      </w:r>
      <w:r>
        <w:rPr>
          <w:rFonts w:hint="eastAsia" w:ascii="宋体" w:hAnsi="宋体"/>
          <w:color w:val="auto"/>
          <w:szCs w:val="21"/>
          <w:highlight w:val="none"/>
        </w:rPr>
        <w:t>供应商</w:t>
      </w:r>
      <w:r>
        <w:rPr>
          <w:rFonts w:ascii="宋体" w:hAnsi="宋体"/>
          <w:color w:val="auto"/>
          <w:szCs w:val="21"/>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Cs w:val="21"/>
          <w:highlight w:val="none"/>
        </w:rPr>
        <w:t>政府采购工程以及与工程建设有关的货物、服务，采用招标方式采购的，预付款从其相关规定。供应商可登录政采云前台大厅选择金融服务</w:t>
      </w:r>
      <w:r>
        <w:rPr>
          <w:rFonts w:ascii="宋体" w:hAnsi="宋体"/>
          <w:color w:val="auto"/>
          <w:szCs w:val="21"/>
          <w:highlight w:val="none"/>
        </w:rPr>
        <w:t xml:space="preserve"> - </w:t>
      </w:r>
      <w:r>
        <w:rPr>
          <w:rFonts w:hint="eastAsia" w:ascii="宋体" w:hAnsi="宋体"/>
          <w:color w:val="auto"/>
          <w:szCs w:val="21"/>
          <w:highlight w:val="none"/>
        </w:rPr>
        <w:t>【保函保险服务】出具预付款保函，具体步骤：选择产品—填写供应商信息—选择中标项目—确认信息—等待保险</w:t>
      </w:r>
      <w:r>
        <w:rPr>
          <w:rFonts w:ascii="宋体" w:hAnsi="宋体"/>
          <w:color w:val="auto"/>
          <w:szCs w:val="21"/>
          <w:highlight w:val="none"/>
        </w:rPr>
        <w:t>/保函受理—确认保单—支付保费—成功出单。政</w:t>
      </w:r>
      <w:r>
        <w:rPr>
          <w:rFonts w:hint="eastAsia" w:ascii="宋体" w:hAnsi="宋体"/>
          <w:color w:val="auto"/>
          <w:szCs w:val="21"/>
          <w:highlight w:val="none"/>
        </w:rPr>
        <w:t>采云金融专线</w:t>
      </w:r>
      <w:r>
        <w:rPr>
          <w:rFonts w:ascii="宋体" w:hAnsi="宋体"/>
          <w:color w:val="auto"/>
          <w:szCs w:val="21"/>
          <w:highlight w:val="none"/>
        </w:rPr>
        <w:t>400-903-9583。</w:t>
      </w:r>
    </w:p>
    <w:p w14:paraId="1142D474">
      <w:pPr>
        <w:rPr>
          <w:color w:val="auto"/>
          <w:szCs w:val="21"/>
          <w:highlight w:val="none"/>
        </w:rPr>
      </w:pPr>
    </w:p>
    <w:p w14:paraId="24896736">
      <w:pPr>
        <w:snapToGrid w:val="0"/>
        <w:spacing w:line="360" w:lineRule="auto"/>
        <w:ind w:firstLine="2203" w:firstLineChars="1045"/>
        <w:rPr>
          <w:rFonts w:ascii="宋体" w:hAnsi="宋体" w:cs="宋体"/>
          <w:b/>
          <w:color w:val="auto"/>
          <w:szCs w:val="21"/>
          <w:highlight w:val="none"/>
        </w:rPr>
      </w:pPr>
    </w:p>
    <w:p w14:paraId="252AB69D">
      <w:pPr>
        <w:snapToGrid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八、电子交易活动的中止</w:t>
      </w:r>
    </w:p>
    <w:p w14:paraId="086644A5">
      <w:pPr>
        <w:pStyle w:val="131"/>
        <w:snapToGrid w:val="0"/>
        <w:spacing w:before="0"/>
        <w:ind w:firstLine="0" w:firstLineChars="0"/>
        <w:rPr>
          <w:rFonts w:ascii="宋体" w:hAnsi="宋体" w:cs="宋体"/>
          <w:color w:val="auto"/>
          <w:sz w:val="21"/>
          <w:szCs w:val="21"/>
          <w:highlight w:val="none"/>
        </w:rPr>
      </w:pPr>
      <w:r>
        <w:rPr>
          <w:rFonts w:ascii="宋体" w:hAnsi="宋体" w:cs="宋体"/>
          <w:b/>
          <w:bCs/>
          <w:color w:val="auto"/>
          <w:sz w:val="21"/>
          <w:szCs w:val="21"/>
          <w:highlight w:val="none"/>
        </w:rPr>
        <w:t>28</w:t>
      </w:r>
      <w:r>
        <w:rPr>
          <w:rFonts w:hint="eastAsia" w:ascii="宋体" w:hAnsi="宋体" w:cs="宋体"/>
          <w:b/>
          <w:color w:val="auto"/>
          <w:sz w:val="21"/>
          <w:szCs w:val="21"/>
          <w:highlight w:val="none"/>
        </w:rPr>
        <w:t>. 电子交易活动的中止。</w:t>
      </w:r>
      <w:r>
        <w:rPr>
          <w:rFonts w:hint="eastAsia" w:ascii="宋体" w:hAnsi="宋体" w:cs="宋体"/>
          <w:color w:val="auto"/>
          <w:sz w:val="21"/>
          <w:szCs w:val="21"/>
          <w:highlight w:val="none"/>
        </w:rPr>
        <w:t>采购过程中出现以下情形，导致电子交易平台无法正常运行，或者无法保证电子交易的公平、公正和安全时，采购代理机构可中止电子交易活动：</w:t>
      </w:r>
    </w:p>
    <w:p w14:paraId="759ADBA7">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00ED0C31">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1A5685DA">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72EEA5F1">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493BAD4A">
      <w:pPr>
        <w:pStyle w:val="13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410F05C1">
      <w:pPr>
        <w:pStyle w:val="131"/>
        <w:snapToGrid w:val="0"/>
        <w:spacing w:before="0"/>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91EB366">
      <w:pPr>
        <w:tabs>
          <w:tab w:val="left" w:pos="0"/>
        </w:tabs>
        <w:spacing w:line="360" w:lineRule="auto"/>
        <w:ind w:firstLine="480"/>
        <w:rPr>
          <w:rFonts w:ascii="宋体" w:hAnsi="宋体" w:cs="宋体"/>
          <w:color w:val="auto"/>
          <w:szCs w:val="21"/>
          <w:highlight w:val="none"/>
        </w:rPr>
      </w:pPr>
    </w:p>
    <w:p w14:paraId="1BD71B5F">
      <w:pPr>
        <w:snapToGrid w:val="0"/>
        <w:spacing w:line="360" w:lineRule="auto"/>
        <w:ind w:left="120" w:leftChars="57" w:firstLine="316" w:firstLineChars="150"/>
        <w:jc w:val="center"/>
        <w:rPr>
          <w:rFonts w:ascii="宋体" w:hAnsi="宋体" w:cs="宋体"/>
          <w:b/>
          <w:color w:val="auto"/>
          <w:szCs w:val="21"/>
          <w:highlight w:val="none"/>
        </w:rPr>
      </w:pPr>
      <w:r>
        <w:rPr>
          <w:rFonts w:hint="eastAsia" w:ascii="宋体" w:hAnsi="宋体" w:cs="宋体"/>
          <w:b/>
          <w:color w:val="auto"/>
          <w:szCs w:val="21"/>
          <w:highlight w:val="none"/>
        </w:rPr>
        <w:t>九、验收</w:t>
      </w:r>
    </w:p>
    <w:p w14:paraId="49343E68">
      <w:pPr>
        <w:pStyle w:val="26"/>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5A943D3F">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4E58F7E">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30.2采购人可以邀请参加本项目的其他供应商或者第三方机构参与验收。参与验收的供应商或者第三方机构的意见作为验收书的参考资料一并存档。</w:t>
      </w:r>
    </w:p>
    <w:p w14:paraId="1DE5F046">
      <w:pPr>
        <w:tabs>
          <w:tab w:val="left" w:pos="0"/>
        </w:tabs>
        <w:spacing w:line="360" w:lineRule="auto"/>
        <w:ind w:firstLine="480"/>
        <w:rPr>
          <w:rFonts w:ascii="宋体" w:hAnsi="宋体" w:cs="宋体"/>
          <w:color w:val="auto"/>
          <w:kern w:val="0"/>
          <w:szCs w:val="21"/>
          <w:highlight w:val="none"/>
        </w:rPr>
      </w:pPr>
      <w:r>
        <w:rPr>
          <w:rFonts w:hint="eastAsia" w:ascii="宋体" w:hAnsi="宋体" w:cs="宋体"/>
          <w:color w:val="auto"/>
          <w:kern w:val="0"/>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162BE24">
      <w:pPr>
        <w:tabs>
          <w:tab w:val="left" w:pos="0"/>
        </w:tabs>
        <w:spacing w:line="360" w:lineRule="auto"/>
        <w:ind w:firstLine="480"/>
        <w:rPr>
          <w:rFonts w:ascii="宋体" w:hAnsi="宋体" w:cs="宋体"/>
          <w:color w:val="auto"/>
          <w:szCs w:val="21"/>
          <w:highlight w:val="none"/>
        </w:rPr>
      </w:pPr>
      <w:r>
        <w:rPr>
          <w:rFonts w:hint="eastAsia" w:ascii="宋体" w:hAnsi="宋体" w:cs="宋体"/>
          <w:color w:val="auto"/>
          <w:kern w:val="0"/>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4"/>
    <w:p w14:paraId="7C27BFCB">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docGrid w:linePitch="312" w:charSpace="0"/>
        </w:sectPr>
      </w:pPr>
      <w:bookmarkStart w:id="16" w:name="_Hlt74730295"/>
      <w:bookmarkEnd w:id="16"/>
      <w:bookmarkStart w:id="17" w:name="_Hlt68072990"/>
      <w:bookmarkEnd w:id="17"/>
      <w:bookmarkStart w:id="18" w:name="_Hlt74729768"/>
      <w:bookmarkEnd w:id="18"/>
      <w:bookmarkStart w:id="19" w:name="_Hlt74707468"/>
      <w:bookmarkEnd w:id="19"/>
      <w:bookmarkStart w:id="20" w:name="_Hlt68403820"/>
      <w:bookmarkEnd w:id="20"/>
      <w:bookmarkStart w:id="21" w:name="_Hlt75236101"/>
      <w:bookmarkEnd w:id="21"/>
      <w:bookmarkStart w:id="22" w:name="_Hlt68072998"/>
      <w:bookmarkEnd w:id="22"/>
      <w:bookmarkStart w:id="23" w:name="_Hlt75236011"/>
      <w:bookmarkEnd w:id="23"/>
      <w:bookmarkStart w:id="24" w:name="_Hlt68057669"/>
      <w:bookmarkEnd w:id="24"/>
      <w:bookmarkStart w:id="25" w:name="_Hlt68073093"/>
      <w:bookmarkEnd w:id="25"/>
      <w:bookmarkStart w:id="26" w:name="_Hlt74714665"/>
      <w:bookmarkEnd w:id="26"/>
      <w:bookmarkStart w:id="27" w:name="_Hlt75236290"/>
      <w:bookmarkEnd w:id="27"/>
    </w:p>
    <w:bookmarkEnd w:id="11"/>
    <w:bookmarkEnd w:id="12"/>
    <w:p w14:paraId="16C7D3DB">
      <w:pPr>
        <w:spacing w:line="360" w:lineRule="auto"/>
        <w:jc w:val="center"/>
        <w:outlineLvl w:val="0"/>
        <w:rPr>
          <w:rFonts w:ascii="宋体" w:hAnsi="宋体" w:cs="宋体"/>
          <w:b/>
          <w:color w:val="auto"/>
          <w:sz w:val="36"/>
          <w:szCs w:val="36"/>
          <w:highlight w:val="none"/>
        </w:rPr>
      </w:pPr>
      <w:bookmarkStart w:id="28" w:name="第四部分"/>
      <w:r>
        <w:rPr>
          <w:rFonts w:hint="eastAsia" w:ascii="宋体" w:hAnsi="宋体" w:cs="宋体"/>
          <w:b/>
          <w:color w:val="auto"/>
          <w:sz w:val="36"/>
          <w:szCs w:val="36"/>
          <w:highlight w:val="none"/>
        </w:rPr>
        <w:t>第三部分   采购需求</w:t>
      </w:r>
    </w:p>
    <w:p w14:paraId="32106658">
      <w:pPr>
        <w:spacing w:line="360" w:lineRule="auto"/>
        <w:jc w:val="center"/>
        <w:outlineLvl w:val="1"/>
        <w:rPr>
          <w:rFonts w:ascii="Arial" w:hAnsi="Arial"/>
          <w:b/>
          <w:color w:val="auto"/>
          <w:sz w:val="24"/>
          <w:szCs w:val="28"/>
          <w:highlight w:val="none"/>
        </w:rPr>
      </w:pPr>
      <w:r>
        <w:rPr>
          <w:rFonts w:hint="eastAsia" w:ascii="Arial" w:hAnsi="Arial"/>
          <w:b/>
          <w:color w:val="auto"/>
          <w:sz w:val="24"/>
          <w:szCs w:val="28"/>
          <w:highlight w:val="none"/>
        </w:rPr>
        <w:t>前附表</w:t>
      </w:r>
    </w:p>
    <w:tbl>
      <w:tblPr>
        <w:tblStyle w:val="6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651"/>
        <w:gridCol w:w="4434"/>
      </w:tblGrid>
      <w:tr w14:paraId="421131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00" w:type="dxa"/>
            <w:vAlign w:val="center"/>
          </w:tcPr>
          <w:p w14:paraId="7FC474AB">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序号</w:t>
            </w:r>
          </w:p>
        </w:tc>
        <w:tc>
          <w:tcPr>
            <w:tcW w:w="3651" w:type="dxa"/>
            <w:vAlign w:val="center"/>
          </w:tcPr>
          <w:p w14:paraId="2D0924A6">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子项</w:t>
            </w:r>
          </w:p>
        </w:tc>
        <w:tc>
          <w:tcPr>
            <w:tcW w:w="4434" w:type="dxa"/>
            <w:vAlign w:val="center"/>
          </w:tcPr>
          <w:p w14:paraId="38BC0FCF">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采购需求</w:t>
            </w:r>
          </w:p>
        </w:tc>
      </w:tr>
      <w:tr w14:paraId="409C24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Merge w:val="restart"/>
            <w:vAlign w:val="center"/>
          </w:tcPr>
          <w:p w14:paraId="0E05DCEE">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一</w:t>
            </w:r>
          </w:p>
        </w:tc>
        <w:tc>
          <w:tcPr>
            <w:tcW w:w="3651" w:type="dxa"/>
            <w:vAlign w:val="center"/>
          </w:tcPr>
          <w:p w14:paraId="592484A0">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采购标的需实现的功能或者目标</w:t>
            </w:r>
          </w:p>
        </w:tc>
        <w:tc>
          <w:tcPr>
            <w:tcW w:w="4434" w:type="dxa"/>
            <w:vAlign w:val="center"/>
          </w:tcPr>
          <w:p w14:paraId="48338872">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为了完成对</w:t>
            </w:r>
            <w:r>
              <w:rPr>
                <w:rFonts w:hint="eastAsia" w:ascii="Arial" w:hAnsi="Arial" w:cs="Arial"/>
                <w:color w:val="auto"/>
                <w:szCs w:val="21"/>
                <w:highlight w:val="none"/>
              </w:rPr>
              <w:t>浙江万里学院同声传译实验室建设的采购</w:t>
            </w:r>
            <w:r>
              <w:rPr>
                <w:rFonts w:hint="eastAsia" w:ascii="Arial" w:hAnsi="Arial"/>
                <w:bCs/>
                <w:color w:val="auto"/>
                <w:szCs w:val="28"/>
                <w:highlight w:val="none"/>
              </w:rPr>
              <w:t>。</w:t>
            </w:r>
          </w:p>
        </w:tc>
      </w:tr>
      <w:tr w14:paraId="51CB1E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0" w:type="dxa"/>
            <w:vMerge w:val="continue"/>
            <w:vAlign w:val="center"/>
          </w:tcPr>
          <w:p w14:paraId="674EEBF5">
            <w:pPr>
              <w:snapToGrid w:val="0"/>
              <w:spacing w:line="400" w:lineRule="exact"/>
              <w:jc w:val="center"/>
              <w:outlineLvl w:val="1"/>
              <w:rPr>
                <w:rFonts w:ascii="Arial" w:hAnsi="Arial"/>
                <w:b/>
                <w:color w:val="auto"/>
                <w:szCs w:val="28"/>
                <w:highlight w:val="none"/>
              </w:rPr>
            </w:pPr>
          </w:p>
        </w:tc>
        <w:tc>
          <w:tcPr>
            <w:tcW w:w="3651" w:type="dxa"/>
            <w:vAlign w:val="center"/>
          </w:tcPr>
          <w:p w14:paraId="57275E4A">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为落实政府采购需满足的要求</w:t>
            </w:r>
          </w:p>
        </w:tc>
        <w:tc>
          <w:tcPr>
            <w:tcW w:w="4434" w:type="dxa"/>
            <w:vAlign w:val="center"/>
          </w:tcPr>
          <w:p w14:paraId="43045BCF">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详见第一部分 招标公告第二条。</w:t>
            </w:r>
          </w:p>
        </w:tc>
      </w:tr>
      <w:tr w14:paraId="4A197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17EC83F2">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二</w:t>
            </w:r>
          </w:p>
        </w:tc>
        <w:tc>
          <w:tcPr>
            <w:tcW w:w="3651" w:type="dxa"/>
            <w:vAlign w:val="center"/>
          </w:tcPr>
          <w:p w14:paraId="764B14D3">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采购标的需执行的国家相关标准、行业标准、地方标准或者其他标准规范</w:t>
            </w:r>
          </w:p>
        </w:tc>
        <w:tc>
          <w:tcPr>
            <w:tcW w:w="4434" w:type="dxa"/>
            <w:vAlign w:val="center"/>
          </w:tcPr>
          <w:p w14:paraId="1FC86F52">
            <w:pPr>
              <w:snapToGrid w:val="0"/>
              <w:spacing w:line="400" w:lineRule="exact"/>
              <w:outlineLvl w:val="1"/>
              <w:rPr>
                <w:rFonts w:ascii="Arial" w:hAnsi="Arial"/>
                <w:b/>
                <w:color w:val="auto"/>
                <w:szCs w:val="28"/>
                <w:highlight w:val="none"/>
              </w:rPr>
            </w:pPr>
            <w:r>
              <w:rPr>
                <w:rFonts w:hint="eastAsia" w:ascii="Arial" w:hAnsi="Arial"/>
                <w:color w:val="auto"/>
                <w:szCs w:val="21"/>
                <w:highlight w:val="none"/>
              </w:rPr>
              <w:t>由采购人认可的有关</w:t>
            </w:r>
            <w:r>
              <w:rPr>
                <w:rFonts w:hint="eastAsia" w:ascii="Arial" w:hAnsi="Arial"/>
                <w:bCs/>
                <w:color w:val="auto"/>
                <w:szCs w:val="28"/>
                <w:highlight w:val="none"/>
              </w:rPr>
              <w:t>国家标准、行业标准、地方标准或者其他标准规范</w:t>
            </w:r>
            <w:r>
              <w:rPr>
                <w:rFonts w:hint="eastAsia" w:ascii="Arial" w:hAnsi="Arial"/>
                <w:color w:val="auto"/>
                <w:szCs w:val="21"/>
                <w:highlight w:val="none"/>
              </w:rPr>
              <w:t>。</w:t>
            </w:r>
          </w:p>
        </w:tc>
      </w:tr>
      <w:tr w14:paraId="6DDB5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6AF2B4D7">
            <w:pPr>
              <w:snapToGrid w:val="0"/>
              <w:spacing w:line="400" w:lineRule="exact"/>
              <w:jc w:val="center"/>
              <w:outlineLvl w:val="1"/>
              <w:rPr>
                <w:rFonts w:ascii="Arial" w:hAnsi="Arial"/>
                <w:b/>
                <w:color w:val="auto"/>
                <w:szCs w:val="28"/>
                <w:highlight w:val="none"/>
              </w:rPr>
            </w:pPr>
            <w:r>
              <w:rPr>
                <w:rFonts w:hint="eastAsia" w:ascii="Arial" w:hAnsi="Arial"/>
                <w:b/>
                <w:color w:val="auto"/>
                <w:szCs w:val="28"/>
                <w:highlight w:val="none"/>
              </w:rPr>
              <w:t>三</w:t>
            </w:r>
          </w:p>
        </w:tc>
        <w:tc>
          <w:tcPr>
            <w:tcW w:w="3651" w:type="dxa"/>
            <w:vAlign w:val="center"/>
          </w:tcPr>
          <w:p w14:paraId="65E8B5C2">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采购标的需满足的质量、安全、技术规格、物理特性等要求</w:t>
            </w:r>
          </w:p>
        </w:tc>
        <w:tc>
          <w:tcPr>
            <w:tcW w:w="4434" w:type="dxa"/>
            <w:vAlign w:val="center"/>
          </w:tcPr>
          <w:p w14:paraId="157CCD68">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采购需求第一条。</w:t>
            </w:r>
          </w:p>
        </w:tc>
      </w:tr>
      <w:tr w14:paraId="2BF8D3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366FA039">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四</w:t>
            </w:r>
          </w:p>
        </w:tc>
        <w:tc>
          <w:tcPr>
            <w:tcW w:w="3651" w:type="dxa"/>
            <w:vAlign w:val="center"/>
          </w:tcPr>
          <w:p w14:paraId="5398FB7C">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采购标的数量、采购项目交付或者实施的时间和地点</w:t>
            </w:r>
          </w:p>
        </w:tc>
        <w:tc>
          <w:tcPr>
            <w:tcW w:w="4434" w:type="dxa"/>
            <w:vAlign w:val="center"/>
          </w:tcPr>
          <w:p w14:paraId="3B7C7B2F">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采购标的数量：详见第三部分 采购需求第一条。</w:t>
            </w:r>
          </w:p>
          <w:p w14:paraId="6890B243">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实施的时间：</w:t>
            </w:r>
            <w:r>
              <w:rPr>
                <w:rFonts w:hint="eastAsia" w:ascii="Arial" w:hAnsi="Arial" w:cs="Arial"/>
                <w:snapToGrid w:val="0"/>
                <w:color w:val="auto"/>
                <w:kern w:val="0"/>
                <w:szCs w:val="21"/>
                <w:highlight w:val="none"/>
              </w:rPr>
              <w:t>按采购人要求</w:t>
            </w:r>
            <w:r>
              <w:rPr>
                <w:rFonts w:ascii="Arial" w:hAnsi="Arial" w:cs="Arial"/>
                <w:snapToGrid w:val="0"/>
                <w:color w:val="auto"/>
                <w:kern w:val="0"/>
                <w:szCs w:val="21"/>
                <w:highlight w:val="none"/>
              </w:rPr>
              <w:t>。</w:t>
            </w:r>
          </w:p>
          <w:p w14:paraId="60EA7352">
            <w:pPr>
              <w:snapToGrid w:val="0"/>
              <w:spacing w:line="400" w:lineRule="exact"/>
              <w:outlineLvl w:val="1"/>
              <w:rPr>
                <w:rFonts w:ascii="Arial" w:hAnsi="Arial" w:cs="Arial"/>
                <w:color w:val="auto"/>
                <w:szCs w:val="21"/>
                <w:highlight w:val="none"/>
              </w:rPr>
            </w:pPr>
            <w:r>
              <w:rPr>
                <w:rFonts w:hint="eastAsia" w:ascii="Arial" w:hAnsi="Arial" w:cs="Arial"/>
                <w:color w:val="auto"/>
                <w:szCs w:val="21"/>
                <w:highlight w:val="none"/>
              </w:rPr>
              <w:t>实施的地点：采购人指定地点。</w:t>
            </w:r>
          </w:p>
        </w:tc>
      </w:tr>
      <w:tr w14:paraId="3877D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0DAAD197">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五</w:t>
            </w:r>
          </w:p>
        </w:tc>
        <w:tc>
          <w:tcPr>
            <w:tcW w:w="3651" w:type="dxa"/>
            <w:vAlign w:val="center"/>
          </w:tcPr>
          <w:p w14:paraId="75C8B3CD">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采购标的需满足的服务标准、期限、效率等要求</w:t>
            </w:r>
          </w:p>
        </w:tc>
        <w:tc>
          <w:tcPr>
            <w:tcW w:w="4434" w:type="dxa"/>
            <w:vAlign w:val="center"/>
          </w:tcPr>
          <w:p w14:paraId="37704851">
            <w:pPr>
              <w:snapToGrid w:val="0"/>
              <w:spacing w:line="400" w:lineRule="exact"/>
              <w:outlineLvl w:val="1"/>
              <w:rPr>
                <w:rFonts w:ascii="Arial" w:hAnsi="Arial"/>
                <w:b/>
                <w:color w:val="auto"/>
                <w:szCs w:val="28"/>
                <w:highlight w:val="none"/>
              </w:rPr>
            </w:pPr>
            <w:r>
              <w:rPr>
                <w:rFonts w:hint="eastAsia" w:ascii="Arial" w:hAnsi="Arial"/>
                <w:bCs/>
                <w:color w:val="auto"/>
                <w:szCs w:val="28"/>
                <w:highlight w:val="none"/>
              </w:rPr>
              <w:t>详见第三部分 采购需求。</w:t>
            </w:r>
          </w:p>
        </w:tc>
      </w:tr>
      <w:tr w14:paraId="7CB99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4155AE96">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六</w:t>
            </w:r>
          </w:p>
        </w:tc>
        <w:tc>
          <w:tcPr>
            <w:tcW w:w="3651" w:type="dxa"/>
            <w:vAlign w:val="center"/>
          </w:tcPr>
          <w:p w14:paraId="2AE903A6">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采购标的验收标准</w:t>
            </w:r>
          </w:p>
        </w:tc>
        <w:tc>
          <w:tcPr>
            <w:tcW w:w="4434" w:type="dxa"/>
            <w:vAlign w:val="center"/>
          </w:tcPr>
          <w:p w14:paraId="0C81A33D">
            <w:pPr>
              <w:snapToGrid w:val="0"/>
              <w:spacing w:line="400" w:lineRule="exact"/>
              <w:outlineLvl w:val="1"/>
              <w:rPr>
                <w:rFonts w:ascii="Arial" w:hAnsi="Arial"/>
                <w:bCs/>
                <w:color w:val="auto"/>
                <w:szCs w:val="28"/>
                <w:highlight w:val="none"/>
              </w:rPr>
            </w:pPr>
            <w:r>
              <w:rPr>
                <w:rFonts w:hint="eastAsia" w:ascii="Arial" w:hAnsi="Arial"/>
                <w:bCs/>
                <w:color w:val="auto"/>
                <w:szCs w:val="21"/>
                <w:highlight w:val="none"/>
              </w:rPr>
              <w:t>按照中标人提供的投标文件、中标人和采购人签订的政府采购合同为标准进行验收。</w:t>
            </w:r>
          </w:p>
        </w:tc>
      </w:tr>
      <w:tr w14:paraId="5BAC0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6B79A6C0">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七</w:t>
            </w:r>
          </w:p>
        </w:tc>
        <w:tc>
          <w:tcPr>
            <w:tcW w:w="3651" w:type="dxa"/>
            <w:vAlign w:val="center"/>
          </w:tcPr>
          <w:p w14:paraId="292E2EED">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采购标的其他技术、服务等要求</w:t>
            </w:r>
          </w:p>
        </w:tc>
        <w:tc>
          <w:tcPr>
            <w:tcW w:w="4434" w:type="dxa"/>
            <w:vAlign w:val="center"/>
          </w:tcPr>
          <w:p w14:paraId="7C8C0331">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详见第三部分 采购需求。</w:t>
            </w:r>
          </w:p>
        </w:tc>
      </w:tr>
      <w:tr w14:paraId="2D2163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2BF9D69A">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八</w:t>
            </w:r>
          </w:p>
        </w:tc>
        <w:tc>
          <w:tcPr>
            <w:tcW w:w="3651" w:type="dxa"/>
            <w:vAlign w:val="center"/>
          </w:tcPr>
          <w:p w14:paraId="4E6B4DB4">
            <w:pPr>
              <w:snapToGrid w:val="0"/>
              <w:spacing w:line="400" w:lineRule="exact"/>
              <w:outlineLvl w:val="1"/>
              <w:rPr>
                <w:rFonts w:ascii="Arial" w:hAnsi="Arial"/>
                <w:bCs/>
                <w:color w:val="auto"/>
                <w:szCs w:val="28"/>
                <w:highlight w:val="none"/>
              </w:rPr>
            </w:pPr>
            <w:r>
              <w:rPr>
                <w:rFonts w:hint="eastAsia" w:ascii="Arial" w:hAnsi="Arial"/>
                <w:bCs/>
                <w:color w:val="auto"/>
                <w:szCs w:val="28"/>
                <w:highlight w:val="none"/>
              </w:rPr>
              <w:t>核心产品</w:t>
            </w:r>
          </w:p>
        </w:tc>
        <w:tc>
          <w:tcPr>
            <w:tcW w:w="4434" w:type="dxa"/>
            <w:vAlign w:val="center"/>
          </w:tcPr>
          <w:p w14:paraId="0672923F">
            <w:pPr>
              <w:snapToGrid w:val="0"/>
              <w:spacing w:line="400" w:lineRule="exact"/>
              <w:outlineLvl w:val="1"/>
              <w:rPr>
                <w:rFonts w:ascii="Arial" w:hAnsi="Arial"/>
                <w:bCs/>
                <w:color w:val="auto"/>
                <w:szCs w:val="28"/>
                <w:highlight w:val="none"/>
              </w:rPr>
            </w:pPr>
            <w:r>
              <w:rPr>
                <w:rFonts w:hint="eastAsia" w:ascii="Arial" w:hAnsi="Arial" w:cs="Arial"/>
                <w:color w:val="auto"/>
                <w:szCs w:val="21"/>
                <w:highlight w:val="none"/>
              </w:rPr>
              <w:t>同声传译实验室</w:t>
            </w:r>
          </w:p>
        </w:tc>
      </w:tr>
      <w:tr w14:paraId="7302EA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vAlign w:val="center"/>
          </w:tcPr>
          <w:p w14:paraId="59C4DBA7">
            <w:pPr>
              <w:snapToGrid w:val="0"/>
              <w:spacing w:line="400" w:lineRule="exact"/>
              <w:jc w:val="center"/>
              <w:outlineLvl w:val="1"/>
              <w:rPr>
                <w:rFonts w:ascii="Arial" w:hAnsi="Arial"/>
                <w:bCs/>
                <w:color w:val="auto"/>
                <w:szCs w:val="28"/>
                <w:highlight w:val="none"/>
              </w:rPr>
            </w:pPr>
            <w:r>
              <w:rPr>
                <w:rFonts w:hint="eastAsia" w:ascii="Arial" w:hAnsi="Arial"/>
                <w:bCs/>
                <w:color w:val="auto"/>
                <w:szCs w:val="28"/>
                <w:highlight w:val="none"/>
              </w:rPr>
              <w:t>九</w:t>
            </w:r>
          </w:p>
        </w:tc>
        <w:tc>
          <w:tcPr>
            <w:tcW w:w="3651" w:type="dxa"/>
            <w:vAlign w:val="center"/>
          </w:tcPr>
          <w:p w14:paraId="68369ADC">
            <w:pPr>
              <w:snapToGrid w:val="0"/>
              <w:spacing w:line="400" w:lineRule="exact"/>
              <w:outlineLvl w:val="1"/>
              <w:rPr>
                <w:rFonts w:ascii="Arial" w:hAnsi="Arial"/>
                <w:bCs/>
                <w:color w:val="auto"/>
                <w:szCs w:val="28"/>
                <w:highlight w:val="none"/>
              </w:rPr>
            </w:pPr>
            <w:r>
              <w:rPr>
                <w:rFonts w:hint="eastAsia" w:ascii="Arial" w:hAnsi="Arial"/>
                <w:color w:val="auto"/>
                <w:highlight w:val="none"/>
              </w:rPr>
              <w:t>现场踏勘</w:t>
            </w:r>
          </w:p>
        </w:tc>
        <w:tc>
          <w:tcPr>
            <w:tcW w:w="4434" w:type="dxa"/>
            <w:vAlign w:val="center"/>
          </w:tcPr>
          <w:p w14:paraId="21AD964A">
            <w:pPr>
              <w:snapToGrid w:val="0"/>
              <w:spacing w:line="400" w:lineRule="exact"/>
              <w:outlineLvl w:val="1"/>
              <w:rPr>
                <w:rFonts w:ascii="Arial" w:hAnsi="Arial"/>
                <w:bCs/>
                <w:color w:val="auto"/>
                <w:szCs w:val="28"/>
                <w:highlight w:val="none"/>
              </w:rPr>
            </w:pPr>
            <w:r>
              <w:rPr>
                <w:rFonts w:hint="eastAsia" w:ascii="Arial" w:hAnsi="Arial" w:cs="宋体"/>
                <w:color w:val="auto"/>
                <w:kern w:val="0"/>
                <w:szCs w:val="21"/>
                <w:highlight w:val="none"/>
              </w:rPr>
              <w:t>/</w:t>
            </w:r>
          </w:p>
        </w:tc>
      </w:tr>
    </w:tbl>
    <w:p w14:paraId="727AC006">
      <w:pPr>
        <w:spacing w:before="120" w:beforeLines="50" w:line="360" w:lineRule="auto"/>
        <w:outlineLvl w:val="1"/>
        <w:rPr>
          <w:rFonts w:ascii="Arial" w:hAnsi="Arial"/>
          <w:b/>
          <w:color w:val="auto"/>
          <w:szCs w:val="28"/>
          <w:highlight w:val="none"/>
        </w:rPr>
      </w:pPr>
    </w:p>
    <w:p w14:paraId="0BEB4AF9">
      <w:pPr>
        <w:spacing w:before="120" w:beforeLines="50" w:line="360" w:lineRule="auto"/>
        <w:outlineLvl w:val="1"/>
        <w:rPr>
          <w:rFonts w:ascii="Arial" w:hAnsi="Arial"/>
          <w:b/>
          <w:color w:val="auto"/>
          <w:szCs w:val="28"/>
          <w:highlight w:val="none"/>
        </w:rPr>
      </w:pPr>
    </w:p>
    <w:p w14:paraId="00A8FA5A">
      <w:pPr>
        <w:spacing w:before="120" w:beforeLines="50" w:line="360" w:lineRule="auto"/>
        <w:outlineLvl w:val="1"/>
        <w:rPr>
          <w:rFonts w:ascii="Arial" w:hAnsi="Arial"/>
          <w:b/>
          <w:color w:val="auto"/>
          <w:szCs w:val="28"/>
          <w:highlight w:val="none"/>
        </w:rPr>
      </w:pPr>
    </w:p>
    <w:p w14:paraId="2BF79F7B">
      <w:pPr>
        <w:spacing w:before="120" w:beforeLines="50" w:line="360" w:lineRule="auto"/>
        <w:outlineLvl w:val="1"/>
        <w:rPr>
          <w:rFonts w:ascii="Arial" w:hAnsi="Arial"/>
          <w:b/>
          <w:color w:val="auto"/>
          <w:szCs w:val="28"/>
          <w:highlight w:val="none"/>
        </w:rPr>
      </w:pPr>
    </w:p>
    <w:p w14:paraId="73323C91">
      <w:pPr>
        <w:spacing w:before="120" w:beforeLines="50" w:line="360" w:lineRule="auto"/>
        <w:outlineLvl w:val="1"/>
        <w:rPr>
          <w:rFonts w:ascii="Arial" w:hAnsi="Arial"/>
          <w:b/>
          <w:color w:val="auto"/>
          <w:szCs w:val="28"/>
          <w:highlight w:val="none"/>
        </w:rPr>
      </w:pPr>
    </w:p>
    <w:p w14:paraId="41A2E83D">
      <w:pPr>
        <w:spacing w:before="120" w:beforeLines="50" w:line="360" w:lineRule="auto"/>
        <w:outlineLvl w:val="1"/>
        <w:rPr>
          <w:rFonts w:ascii="Arial" w:hAnsi="Arial"/>
          <w:b/>
          <w:color w:val="auto"/>
          <w:szCs w:val="28"/>
          <w:highlight w:val="none"/>
        </w:rPr>
      </w:pPr>
    </w:p>
    <w:p w14:paraId="534E7294">
      <w:pPr>
        <w:spacing w:before="120" w:beforeLines="50" w:line="360" w:lineRule="auto"/>
        <w:outlineLvl w:val="1"/>
        <w:rPr>
          <w:rFonts w:ascii="Arial" w:hAnsi="Arial"/>
          <w:b/>
          <w:color w:val="auto"/>
          <w:szCs w:val="28"/>
          <w:highlight w:val="none"/>
        </w:rPr>
      </w:pPr>
    </w:p>
    <w:p w14:paraId="0EB3B82B">
      <w:pPr>
        <w:spacing w:before="120" w:beforeLines="50" w:line="360" w:lineRule="auto"/>
        <w:outlineLvl w:val="1"/>
        <w:rPr>
          <w:rFonts w:ascii="Arial" w:hAnsi="Arial"/>
          <w:b/>
          <w:color w:val="auto"/>
          <w:szCs w:val="28"/>
          <w:highlight w:val="none"/>
        </w:rPr>
      </w:pPr>
    </w:p>
    <w:p w14:paraId="5B39EEB9">
      <w:pPr>
        <w:spacing w:before="120" w:beforeLines="50" w:line="360" w:lineRule="auto"/>
        <w:outlineLvl w:val="1"/>
        <w:rPr>
          <w:rFonts w:ascii="Arial" w:hAnsi="Arial"/>
          <w:b/>
          <w:color w:val="auto"/>
          <w:szCs w:val="28"/>
          <w:highlight w:val="none"/>
        </w:rPr>
      </w:pPr>
    </w:p>
    <w:p w14:paraId="646F6CA0">
      <w:pPr>
        <w:widowControl/>
        <w:numPr>
          <w:ilvl w:val="0"/>
          <w:numId w:val="1"/>
        </w:numPr>
        <w:spacing w:line="360" w:lineRule="auto"/>
        <w:jc w:val="left"/>
        <w:outlineLvl w:val="1"/>
        <w:rPr>
          <w:rFonts w:hint="eastAsia" w:ascii="宋体" w:hAnsi="宋体"/>
          <w:b/>
          <w:color w:val="auto"/>
          <w:sz w:val="24"/>
          <w:highlight w:val="none"/>
        </w:rPr>
      </w:pPr>
      <w:r>
        <w:rPr>
          <w:rFonts w:hint="eastAsia" w:ascii="宋体" w:hAnsi="宋体"/>
          <w:b/>
          <w:color w:val="auto"/>
          <w:sz w:val="24"/>
          <w:highlight w:val="none"/>
        </w:rPr>
        <w:t>采购清单</w:t>
      </w:r>
    </w:p>
    <w:tbl>
      <w:tblPr>
        <w:tblStyle w:val="63"/>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
        <w:gridCol w:w="5680"/>
        <w:gridCol w:w="1539"/>
        <w:gridCol w:w="976"/>
      </w:tblGrid>
      <w:tr w14:paraId="4BDDD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B2209E3">
            <w:pPr>
              <w:jc w:val="cente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序号</w:t>
            </w:r>
          </w:p>
        </w:tc>
        <w:tc>
          <w:tcPr>
            <w:tcW w:w="5680" w:type="dxa"/>
            <w:noWrap w:val="0"/>
            <w:vAlign w:val="center"/>
          </w:tcPr>
          <w:p w14:paraId="772D1C91">
            <w:pPr>
              <w:rPr>
                <w:rFonts w:hint="eastAsia" w:ascii="宋体" w:hAnsi="宋体" w:cs="宋体"/>
                <w:b/>
                <w:bCs/>
                <w:color w:val="auto"/>
                <w:sz w:val="18"/>
                <w:szCs w:val="18"/>
                <w:highlight w:val="none"/>
              </w:rPr>
            </w:pPr>
            <w:r>
              <w:rPr>
                <w:rFonts w:hint="eastAsia" w:ascii="宋体" w:hAnsi="宋体" w:cs="宋体"/>
                <w:b/>
                <w:bCs/>
                <w:color w:val="auto"/>
                <w:sz w:val="18"/>
                <w:szCs w:val="18"/>
                <w:highlight w:val="none"/>
              </w:rPr>
              <w:t>产品类别</w:t>
            </w:r>
          </w:p>
        </w:tc>
        <w:tc>
          <w:tcPr>
            <w:tcW w:w="1539" w:type="dxa"/>
            <w:noWrap w:val="0"/>
            <w:vAlign w:val="center"/>
          </w:tcPr>
          <w:p w14:paraId="1C629C75">
            <w:pPr>
              <w:jc w:val="center"/>
              <w:rPr>
                <w:rFonts w:hint="eastAsia" w:ascii="宋体" w:hAnsi="宋体" w:eastAsia="宋体" w:cs="宋体"/>
                <w:b/>
                <w:bCs/>
                <w:color w:val="auto"/>
                <w:sz w:val="18"/>
                <w:szCs w:val="18"/>
                <w:highlight w:val="none"/>
                <w:lang w:eastAsia="zh-CN"/>
              </w:rPr>
            </w:pPr>
            <w:r>
              <w:rPr>
                <w:rFonts w:hint="eastAsia" w:ascii="宋体" w:hAnsi="宋体" w:cs="宋体"/>
                <w:b/>
                <w:bCs/>
                <w:color w:val="auto"/>
                <w:sz w:val="18"/>
                <w:szCs w:val="18"/>
                <w:highlight w:val="none"/>
                <w:lang w:val="en-US" w:eastAsia="zh-CN"/>
              </w:rPr>
              <w:t>单位</w:t>
            </w:r>
          </w:p>
        </w:tc>
        <w:tc>
          <w:tcPr>
            <w:tcW w:w="976" w:type="dxa"/>
            <w:noWrap w:val="0"/>
            <w:vAlign w:val="center"/>
          </w:tcPr>
          <w:p w14:paraId="406740C3">
            <w:pPr>
              <w:jc w:val="center"/>
              <w:textAlignment w:val="baseline"/>
              <w:rPr>
                <w:rFonts w:hint="eastAsia" w:ascii="宋体" w:hAnsi="宋体" w:eastAsia="宋体" w:cs="宋体"/>
                <w:color w:val="auto"/>
                <w:sz w:val="18"/>
                <w:szCs w:val="18"/>
                <w:highlight w:val="none"/>
                <w:lang w:val="en-US" w:eastAsia="zh-CN"/>
              </w:rPr>
            </w:pPr>
            <w:r>
              <w:rPr>
                <w:rFonts w:hint="eastAsia" w:ascii="宋体" w:hAnsi="宋体" w:cs="宋体"/>
                <w:b/>
                <w:bCs/>
                <w:color w:val="auto"/>
                <w:sz w:val="18"/>
                <w:szCs w:val="18"/>
                <w:highlight w:val="none"/>
                <w:lang w:val="en-US" w:eastAsia="zh-CN"/>
              </w:rPr>
              <w:t>数量</w:t>
            </w:r>
          </w:p>
        </w:tc>
      </w:tr>
      <w:tr w14:paraId="64CB6B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B43303F">
            <w:pPr>
              <w:numPr>
                <w:ilvl w:val="0"/>
                <w:numId w:val="2"/>
              </w:numPr>
              <w:tabs>
                <w:tab w:val="left" w:pos="0"/>
                <w:tab w:val="clear" w:pos="420"/>
              </w:tabs>
              <w:jc w:val="center"/>
              <w:rPr>
                <w:rFonts w:hint="eastAsia" w:ascii="宋体" w:hAnsi="宋体" w:cs="宋体"/>
                <w:color w:val="auto"/>
                <w:sz w:val="18"/>
                <w:szCs w:val="18"/>
                <w:highlight w:val="none"/>
              </w:rPr>
            </w:pPr>
            <w:bookmarkStart w:id="29" w:name="OLE_LINK2" w:colFirst="1" w:colLast="1"/>
          </w:p>
        </w:tc>
        <w:tc>
          <w:tcPr>
            <w:tcW w:w="5680" w:type="dxa"/>
            <w:noWrap w:val="0"/>
            <w:vAlign w:val="center"/>
          </w:tcPr>
          <w:p w14:paraId="1E854112">
            <w:pP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云桌面管理软件</w:t>
            </w:r>
          </w:p>
        </w:tc>
        <w:tc>
          <w:tcPr>
            <w:tcW w:w="1539" w:type="dxa"/>
            <w:noWrap w:val="0"/>
            <w:vAlign w:val="center"/>
          </w:tcPr>
          <w:p w14:paraId="03C3FC62">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点</w:t>
            </w:r>
          </w:p>
        </w:tc>
        <w:tc>
          <w:tcPr>
            <w:tcW w:w="976" w:type="dxa"/>
            <w:noWrap w:val="0"/>
            <w:vAlign w:val="center"/>
          </w:tcPr>
          <w:p w14:paraId="6BE67C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0D7E64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F563FA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225384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同声传译教学系统</w:t>
            </w:r>
          </w:p>
        </w:tc>
        <w:tc>
          <w:tcPr>
            <w:tcW w:w="1539" w:type="dxa"/>
            <w:noWrap w:val="0"/>
            <w:vAlign w:val="center"/>
          </w:tcPr>
          <w:p w14:paraId="01BDB0E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789E339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17961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A0CE6D4">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015097E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口译语料库教学实训平台</w:t>
            </w:r>
          </w:p>
        </w:tc>
        <w:tc>
          <w:tcPr>
            <w:tcW w:w="1539" w:type="dxa"/>
            <w:noWrap w:val="0"/>
            <w:vAlign w:val="center"/>
          </w:tcPr>
          <w:p w14:paraId="29785B03">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5A4E248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0F9C99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84632E">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69BD418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笔译标注型双语料库实训系统</w:t>
            </w:r>
          </w:p>
        </w:tc>
        <w:tc>
          <w:tcPr>
            <w:tcW w:w="1539" w:type="dxa"/>
            <w:noWrap w:val="0"/>
            <w:vAlign w:val="center"/>
          </w:tcPr>
          <w:p w14:paraId="45AC61B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7CB64B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5AD26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5FAD90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5D15953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计算机辅助翻译教学实训系统</w:t>
            </w:r>
          </w:p>
        </w:tc>
        <w:tc>
          <w:tcPr>
            <w:tcW w:w="1539" w:type="dxa"/>
            <w:noWrap w:val="0"/>
            <w:vAlign w:val="center"/>
          </w:tcPr>
          <w:p w14:paraId="56F9FE3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70CA228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51D01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100DA56">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7322D5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服务器</w:t>
            </w:r>
          </w:p>
        </w:tc>
        <w:tc>
          <w:tcPr>
            <w:tcW w:w="1539" w:type="dxa"/>
            <w:noWrap w:val="0"/>
            <w:vAlign w:val="center"/>
          </w:tcPr>
          <w:p w14:paraId="733BC46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20EEA95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07D157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741B459">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6F03D26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同步以太网主卡</w:t>
            </w:r>
          </w:p>
        </w:tc>
        <w:tc>
          <w:tcPr>
            <w:tcW w:w="1539" w:type="dxa"/>
            <w:noWrap w:val="0"/>
            <w:vAlign w:val="center"/>
          </w:tcPr>
          <w:p w14:paraId="57F379A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块</w:t>
            </w:r>
          </w:p>
        </w:tc>
        <w:tc>
          <w:tcPr>
            <w:tcW w:w="976" w:type="dxa"/>
            <w:noWrap w:val="0"/>
            <w:vAlign w:val="center"/>
          </w:tcPr>
          <w:p w14:paraId="206863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77179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C616BF6">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455F6369">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同步交换主机</w:t>
            </w:r>
          </w:p>
        </w:tc>
        <w:tc>
          <w:tcPr>
            <w:tcW w:w="1539" w:type="dxa"/>
            <w:noWrap w:val="0"/>
            <w:vAlign w:val="center"/>
          </w:tcPr>
          <w:p w14:paraId="326679A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7466C1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w:t>
            </w:r>
          </w:p>
        </w:tc>
      </w:tr>
      <w:tr w14:paraId="5FB521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C96C4AD">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A14CB7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交换机</w:t>
            </w:r>
          </w:p>
        </w:tc>
        <w:tc>
          <w:tcPr>
            <w:tcW w:w="1539" w:type="dxa"/>
            <w:noWrap w:val="0"/>
            <w:vAlign w:val="center"/>
          </w:tcPr>
          <w:p w14:paraId="327993E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54900A3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w:t>
            </w:r>
          </w:p>
        </w:tc>
      </w:tr>
      <w:tr w14:paraId="5F2F1B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7CD2C4">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0D2C805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路由器及控制器</w:t>
            </w:r>
          </w:p>
        </w:tc>
        <w:tc>
          <w:tcPr>
            <w:tcW w:w="1539" w:type="dxa"/>
            <w:noWrap w:val="0"/>
            <w:vAlign w:val="center"/>
          </w:tcPr>
          <w:p w14:paraId="3B58D8F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0608BE3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31098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6397AD6">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1572CA5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操作管理主机</w:t>
            </w:r>
          </w:p>
        </w:tc>
        <w:tc>
          <w:tcPr>
            <w:tcW w:w="1539" w:type="dxa"/>
            <w:noWrap w:val="0"/>
            <w:vAlign w:val="center"/>
          </w:tcPr>
          <w:p w14:paraId="6D359F8C">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249FD60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396E60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DAE8CE">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1F46CF7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显示器</w:t>
            </w:r>
          </w:p>
        </w:tc>
        <w:tc>
          <w:tcPr>
            <w:tcW w:w="1539" w:type="dxa"/>
            <w:noWrap w:val="0"/>
            <w:vAlign w:val="center"/>
          </w:tcPr>
          <w:p w14:paraId="2F405E6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5BAEE60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54</w:t>
            </w:r>
          </w:p>
        </w:tc>
      </w:tr>
      <w:tr w14:paraId="6BD93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BE0AD9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7579988B">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教师耳机</w:t>
            </w:r>
          </w:p>
        </w:tc>
        <w:tc>
          <w:tcPr>
            <w:tcW w:w="1539" w:type="dxa"/>
            <w:noWrap w:val="0"/>
            <w:vAlign w:val="center"/>
          </w:tcPr>
          <w:p w14:paraId="7979FAE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976" w:type="dxa"/>
            <w:noWrap w:val="0"/>
            <w:vAlign w:val="center"/>
          </w:tcPr>
          <w:p w14:paraId="2B72651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3591F8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DB80A7">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16AC85A8">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语言学习代表云终端（分体）</w:t>
            </w:r>
          </w:p>
        </w:tc>
        <w:tc>
          <w:tcPr>
            <w:tcW w:w="1539" w:type="dxa"/>
            <w:noWrap w:val="0"/>
            <w:vAlign w:val="center"/>
          </w:tcPr>
          <w:p w14:paraId="4B019A5E">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座（位）</w:t>
            </w:r>
          </w:p>
        </w:tc>
        <w:tc>
          <w:tcPr>
            <w:tcW w:w="976" w:type="dxa"/>
            <w:noWrap w:val="0"/>
            <w:vAlign w:val="center"/>
          </w:tcPr>
          <w:p w14:paraId="5884026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36（72）</w:t>
            </w:r>
          </w:p>
        </w:tc>
      </w:tr>
      <w:tr w14:paraId="098853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DFB02A0">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5E9AD27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鼠键套</w:t>
            </w:r>
          </w:p>
        </w:tc>
        <w:tc>
          <w:tcPr>
            <w:tcW w:w="1539" w:type="dxa"/>
            <w:noWrap w:val="0"/>
            <w:vAlign w:val="center"/>
          </w:tcPr>
          <w:p w14:paraId="33C99CC8">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67F52E6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52</w:t>
            </w:r>
          </w:p>
        </w:tc>
      </w:tr>
      <w:tr w14:paraId="74469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CE7B6D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1D710817">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学生耳机</w:t>
            </w:r>
          </w:p>
        </w:tc>
        <w:tc>
          <w:tcPr>
            <w:tcW w:w="1539" w:type="dxa"/>
            <w:noWrap w:val="0"/>
            <w:vAlign w:val="center"/>
          </w:tcPr>
          <w:p w14:paraId="7BD3A8E1">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副</w:t>
            </w:r>
          </w:p>
        </w:tc>
        <w:tc>
          <w:tcPr>
            <w:tcW w:w="976" w:type="dxa"/>
            <w:noWrap w:val="0"/>
            <w:vAlign w:val="center"/>
          </w:tcPr>
          <w:p w14:paraId="4D9778B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76</w:t>
            </w:r>
          </w:p>
        </w:tc>
      </w:tr>
      <w:tr w14:paraId="4531D6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AFD3785">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7CC535D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会议麦克风</w:t>
            </w:r>
          </w:p>
        </w:tc>
        <w:tc>
          <w:tcPr>
            <w:tcW w:w="1539" w:type="dxa"/>
            <w:noWrap w:val="0"/>
            <w:vAlign w:val="center"/>
          </w:tcPr>
          <w:p w14:paraId="1E3684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76" w:type="dxa"/>
            <w:noWrap w:val="0"/>
            <w:vAlign w:val="center"/>
          </w:tcPr>
          <w:p w14:paraId="025B33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76</w:t>
            </w:r>
          </w:p>
        </w:tc>
      </w:tr>
      <w:tr w14:paraId="06061B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15C0020">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73D844A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语言学习代表云终端（分体）</w:t>
            </w:r>
          </w:p>
        </w:tc>
        <w:tc>
          <w:tcPr>
            <w:tcW w:w="1539" w:type="dxa"/>
            <w:noWrap w:val="0"/>
            <w:vAlign w:val="center"/>
          </w:tcPr>
          <w:p w14:paraId="594444B7">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位</w:t>
            </w:r>
          </w:p>
        </w:tc>
        <w:tc>
          <w:tcPr>
            <w:tcW w:w="976" w:type="dxa"/>
            <w:noWrap w:val="0"/>
            <w:vAlign w:val="center"/>
          </w:tcPr>
          <w:p w14:paraId="089DA81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w:t>
            </w:r>
          </w:p>
        </w:tc>
      </w:tr>
      <w:tr w14:paraId="0C37BC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57C8DF5">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0EB299A0">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移动终端</w:t>
            </w:r>
          </w:p>
        </w:tc>
        <w:tc>
          <w:tcPr>
            <w:tcW w:w="1539" w:type="dxa"/>
            <w:noWrap w:val="0"/>
            <w:vAlign w:val="center"/>
          </w:tcPr>
          <w:p w14:paraId="6E1E99C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17D896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w:t>
            </w:r>
          </w:p>
        </w:tc>
      </w:tr>
      <w:tr w14:paraId="34FD2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29989F4">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3D150B5E">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互锁切换器</w:t>
            </w:r>
          </w:p>
        </w:tc>
        <w:tc>
          <w:tcPr>
            <w:tcW w:w="1539" w:type="dxa"/>
            <w:noWrap w:val="0"/>
            <w:vAlign w:val="center"/>
          </w:tcPr>
          <w:p w14:paraId="6657EBE7">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49F9CAC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7FC332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51CD501">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5F0F287C">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音频线</w:t>
            </w:r>
          </w:p>
        </w:tc>
        <w:tc>
          <w:tcPr>
            <w:tcW w:w="1539" w:type="dxa"/>
            <w:noWrap w:val="0"/>
            <w:vAlign w:val="center"/>
          </w:tcPr>
          <w:p w14:paraId="0827B645">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条</w:t>
            </w:r>
          </w:p>
        </w:tc>
        <w:tc>
          <w:tcPr>
            <w:tcW w:w="976" w:type="dxa"/>
            <w:noWrap w:val="0"/>
            <w:vAlign w:val="center"/>
          </w:tcPr>
          <w:p w14:paraId="29AA551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w:t>
            </w:r>
          </w:p>
        </w:tc>
      </w:tr>
      <w:tr w14:paraId="6D1BB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1E3ADCF">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4BC9DB3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智慧黑板大屏</w:t>
            </w:r>
          </w:p>
        </w:tc>
        <w:tc>
          <w:tcPr>
            <w:tcW w:w="1539" w:type="dxa"/>
            <w:noWrap w:val="0"/>
            <w:vAlign w:val="center"/>
          </w:tcPr>
          <w:p w14:paraId="7D9EDF4B">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台</w:t>
            </w:r>
          </w:p>
        </w:tc>
        <w:tc>
          <w:tcPr>
            <w:tcW w:w="976" w:type="dxa"/>
            <w:noWrap w:val="0"/>
            <w:vAlign w:val="center"/>
          </w:tcPr>
          <w:p w14:paraId="4533337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560525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8FE0A17">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314F146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扩音系统</w:t>
            </w:r>
          </w:p>
        </w:tc>
        <w:tc>
          <w:tcPr>
            <w:tcW w:w="1539" w:type="dxa"/>
            <w:noWrap w:val="0"/>
            <w:vAlign w:val="center"/>
          </w:tcPr>
          <w:p w14:paraId="4895B53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2038062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67FF7F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FFE55F5">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0726D6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教师讲台及椅子</w:t>
            </w:r>
          </w:p>
        </w:tc>
        <w:tc>
          <w:tcPr>
            <w:tcW w:w="1539" w:type="dxa"/>
            <w:noWrap w:val="0"/>
            <w:vAlign w:val="center"/>
          </w:tcPr>
          <w:p w14:paraId="3F17D77A">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6E221D2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357BE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E7D8EC9">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0B766F62">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椅子</w:t>
            </w:r>
          </w:p>
        </w:tc>
        <w:tc>
          <w:tcPr>
            <w:tcW w:w="1539" w:type="dxa"/>
            <w:noWrap w:val="0"/>
            <w:vAlign w:val="center"/>
          </w:tcPr>
          <w:p w14:paraId="336E2CED">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把</w:t>
            </w:r>
          </w:p>
        </w:tc>
        <w:tc>
          <w:tcPr>
            <w:tcW w:w="976" w:type="dxa"/>
            <w:noWrap w:val="0"/>
            <w:vAlign w:val="center"/>
          </w:tcPr>
          <w:p w14:paraId="220F1D9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52</w:t>
            </w:r>
          </w:p>
        </w:tc>
      </w:tr>
      <w:tr w14:paraId="06E4F0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945776">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8D49126">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电脑桌</w:t>
            </w:r>
          </w:p>
        </w:tc>
        <w:tc>
          <w:tcPr>
            <w:tcW w:w="1539" w:type="dxa"/>
            <w:noWrap w:val="0"/>
            <w:vAlign w:val="center"/>
          </w:tcPr>
          <w:p w14:paraId="11E4473C">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位</w:t>
            </w:r>
          </w:p>
        </w:tc>
        <w:tc>
          <w:tcPr>
            <w:tcW w:w="976" w:type="dxa"/>
            <w:noWrap w:val="0"/>
            <w:vAlign w:val="center"/>
          </w:tcPr>
          <w:p w14:paraId="2674983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40</w:t>
            </w:r>
          </w:p>
        </w:tc>
      </w:tr>
      <w:tr w14:paraId="38C0FA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89746FB">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4792BD4D">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网线</w:t>
            </w:r>
          </w:p>
        </w:tc>
        <w:tc>
          <w:tcPr>
            <w:tcW w:w="1539" w:type="dxa"/>
            <w:noWrap w:val="0"/>
            <w:vAlign w:val="center"/>
          </w:tcPr>
          <w:p w14:paraId="5C403EC6">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米</w:t>
            </w:r>
          </w:p>
        </w:tc>
        <w:tc>
          <w:tcPr>
            <w:tcW w:w="976" w:type="dxa"/>
            <w:noWrap w:val="0"/>
            <w:vAlign w:val="center"/>
          </w:tcPr>
          <w:p w14:paraId="2375C4B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1200</w:t>
            </w:r>
          </w:p>
        </w:tc>
      </w:tr>
      <w:tr w14:paraId="4C72C8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15DB365">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7027F7E1">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网络机柜</w:t>
            </w:r>
          </w:p>
        </w:tc>
        <w:tc>
          <w:tcPr>
            <w:tcW w:w="1539" w:type="dxa"/>
            <w:noWrap w:val="0"/>
            <w:vAlign w:val="center"/>
          </w:tcPr>
          <w:p w14:paraId="53A4402E">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个</w:t>
            </w:r>
          </w:p>
        </w:tc>
        <w:tc>
          <w:tcPr>
            <w:tcW w:w="976" w:type="dxa"/>
            <w:noWrap w:val="0"/>
            <w:vAlign w:val="center"/>
          </w:tcPr>
          <w:p w14:paraId="70A4D1B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0A844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C02549D">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3B3A90A3">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吸顶空调</w:t>
            </w:r>
          </w:p>
        </w:tc>
        <w:tc>
          <w:tcPr>
            <w:tcW w:w="1539" w:type="dxa"/>
            <w:noWrap w:val="0"/>
            <w:vAlign w:val="center"/>
          </w:tcPr>
          <w:p w14:paraId="5836171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13CE82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261D60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DE7B51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7681EAEF">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实训室门及门禁管理系统</w:t>
            </w:r>
          </w:p>
        </w:tc>
        <w:tc>
          <w:tcPr>
            <w:tcW w:w="1539" w:type="dxa"/>
            <w:noWrap w:val="0"/>
            <w:vAlign w:val="center"/>
          </w:tcPr>
          <w:p w14:paraId="40813809">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套</w:t>
            </w:r>
          </w:p>
        </w:tc>
        <w:tc>
          <w:tcPr>
            <w:tcW w:w="976" w:type="dxa"/>
            <w:noWrap w:val="0"/>
            <w:vAlign w:val="center"/>
          </w:tcPr>
          <w:p w14:paraId="1B788C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tr w14:paraId="7F8771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7DF3E4A">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46D39DEA">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静电地板</w:t>
            </w:r>
          </w:p>
        </w:tc>
        <w:tc>
          <w:tcPr>
            <w:tcW w:w="1539" w:type="dxa"/>
            <w:noWrap w:val="0"/>
            <w:vAlign w:val="center"/>
          </w:tcPr>
          <w:p w14:paraId="0494308F">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平方米</w:t>
            </w:r>
          </w:p>
        </w:tc>
        <w:tc>
          <w:tcPr>
            <w:tcW w:w="976" w:type="dxa"/>
            <w:noWrap w:val="0"/>
            <w:vAlign w:val="center"/>
          </w:tcPr>
          <w:p w14:paraId="35D0C1F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88</w:t>
            </w:r>
          </w:p>
        </w:tc>
      </w:tr>
      <w:tr w14:paraId="4B622F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DADC450">
            <w:pPr>
              <w:numPr>
                <w:ilvl w:val="0"/>
                <w:numId w:val="2"/>
              </w:numPr>
              <w:tabs>
                <w:tab w:val="left" w:pos="0"/>
                <w:tab w:val="clear" w:pos="420"/>
              </w:tabs>
              <w:jc w:val="center"/>
              <w:rPr>
                <w:rFonts w:hint="eastAsia" w:ascii="宋体" w:hAnsi="宋体" w:cs="宋体"/>
                <w:color w:val="auto"/>
                <w:sz w:val="18"/>
                <w:szCs w:val="18"/>
                <w:highlight w:val="none"/>
              </w:rPr>
            </w:pPr>
          </w:p>
        </w:tc>
        <w:tc>
          <w:tcPr>
            <w:tcW w:w="5680" w:type="dxa"/>
            <w:noWrap w:val="0"/>
            <w:vAlign w:val="center"/>
          </w:tcPr>
          <w:p w14:paraId="25809674">
            <w:pPr>
              <w:widowControl/>
              <w:jc w:val="left"/>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实验室环境改造（使用面积88平方米）</w:t>
            </w:r>
          </w:p>
        </w:tc>
        <w:tc>
          <w:tcPr>
            <w:tcW w:w="1539" w:type="dxa"/>
            <w:noWrap w:val="0"/>
            <w:vAlign w:val="center"/>
          </w:tcPr>
          <w:p w14:paraId="566D3A74">
            <w:pPr>
              <w:widowControl/>
              <w:jc w:val="center"/>
              <w:textAlignment w:val="center"/>
              <w:rPr>
                <w:rFonts w:hint="eastAsia" w:ascii="宋体" w:hAnsi="宋体" w:cs="宋体"/>
                <w:color w:val="auto"/>
                <w:szCs w:val="21"/>
                <w:highlight w:val="none"/>
              </w:rPr>
            </w:pPr>
            <w:r>
              <w:rPr>
                <w:rFonts w:hint="eastAsia" w:ascii="宋体" w:hAnsi="宋体" w:cs="宋体"/>
                <w:color w:val="auto"/>
                <w:kern w:val="0"/>
                <w:szCs w:val="21"/>
                <w:highlight w:val="none"/>
                <w:lang w:bidi="ar"/>
              </w:rPr>
              <w:t>批</w:t>
            </w:r>
          </w:p>
        </w:tc>
        <w:tc>
          <w:tcPr>
            <w:tcW w:w="976" w:type="dxa"/>
            <w:noWrap w:val="0"/>
            <w:vAlign w:val="center"/>
          </w:tcPr>
          <w:p w14:paraId="0D07AF7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Cs w:val="21"/>
                <w:highlight w:val="none"/>
                <w:lang w:bidi="ar"/>
              </w:rPr>
              <w:t>1</w:t>
            </w:r>
          </w:p>
        </w:tc>
      </w:tr>
      <w:bookmarkEnd w:id="29"/>
    </w:tbl>
    <w:p w14:paraId="74EB4308">
      <w:pPr>
        <w:keepNext w:val="0"/>
        <w:keepLines w:val="0"/>
        <w:pageBreakBefore w:val="0"/>
        <w:widowControl/>
        <w:numPr>
          <w:ilvl w:val="0"/>
          <w:numId w:val="1"/>
        </w:numPr>
        <w:kinsoku/>
        <w:wordWrap/>
        <w:overflowPunct/>
        <w:topLinePunct w:val="0"/>
        <w:autoSpaceDE/>
        <w:autoSpaceDN/>
        <w:bidi w:val="0"/>
        <w:adjustRightInd w:val="0"/>
        <w:snapToGrid/>
        <w:spacing w:before="157" w:beforeLines="50" w:line="360" w:lineRule="auto"/>
        <w:jc w:val="left"/>
        <w:textAlignment w:val="auto"/>
        <w:outlineLvl w:val="1"/>
        <w:rPr>
          <w:rFonts w:hint="eastAsia" w:ascii="宋体" w:hAnsi="宋体"/>
          <w:b/>
          <w:color w:val="auto"/>
          <w:sz w:val="24"/>
          <w:highlight w:val="none"/>
        </w:rPr>
      </w:pPr>
      <w:r>
        <w:rPr>
          <w:rFonts w:hint="eastAsia" w:ascii="宋体" w:hAnsi="宋体"/>
          <w:b/>
          <w:color w:val="auto"/>
          <w:sz w:val="24"/>
          <w:highlight w:val="none"/>
        </w:rPr>
        <w:t>采购需求</w:t>
      </w:r>
    </w:p>
    <w:tbl>
      <w:tblPr>
        <w:tblStyle w:val="63"/>
        <w:tblW w:w="90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
        <w:gridCol w:w="7219"/>
        <w:gridCol w:w="976"/>
      </w:tblGrid>
      <w:tr w14:paraId="7DB930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CFCB549">
            <w:pPr>
              <w:numPr>
                <w:ilvl w:val="0"/>
                <w:numId w:val="0"/>
              </w:numPr>
              <w:tabs>
                <w:tab w:val="left" w:pos="420"/>
              </w:tabs>
              <w:ind w:left="0" w:leftChars="0" w:firstLine="0" w:firstLineChars="0"/>
              <w:jc w:val="center"/>
              <w:textAlignment w:val="baseline"/>
              <w:rPr>
                <w:rFonts w:hint="eastAsia" w:ascii="宋体" w:hAnsi="宋体" w:eastAsia="宋体" w:cs="宋体"/>
                <w:b/>
                <w:color w:val="auto"/>
                <w:sz w:val="18"/>
                <w:szCs w:val="18"/>
                <w:highlight w:val="none"/>
                <w:lang w:val="en-US" w:eastAsia="zh-CN"/>
              </w:rPr>
            </w:pPr>
            <w:r>
              <w:rPr>
                <w:rFonts w:hint="default" w:ascii="宋体" w:hAnsi="宋体" w:eastAsia="宋体" w:cs="宋体"/>
                <w:b/>
                <w:color w:val="auto"/>
                <w:kern w:val="2"/>
                <w:sz w:val="18"/>
                <w:szCs w:val="18"/>
                <w:highlight w:val="none"/>
                <w:lang w:val="en-US" w:eastAsia="zh-CN" w:bidi="ar-SA"/>
              </w:rPr>
              <w:t>1</w:t>
            </w:r>
          </w:p>
        </w:tc>
        <w:tc>
          <w:tcPr>
            <w:tcW w:w="7219" w:type="dxa"/>
            <w:noWrap w:val="0"/>
            <w:vAlign w:val="center"/>
          </w:tcPr>
          <w:p w14:paraId="7AB8AAE3">
            <w:pPr>
              <w:rPr>
                <w:rFonts w:hint="eastAsia" w:ascii="宋体" w:hAnsi="宋体" w:cs="宋体"/>
                <w:b/>
                <w:bCs/>
                <w:color w:val="auto"/>
                <w:sz w:val="18"/>
                <w:szCs w:val="18"/>
                <w:highlight w:val="none"/>
              </w:rPr>
            </w:pPr>
            <w:r>
              <w:rPr>
                <w:rFonts w:hint="eastAsia" w:ascii="宋体" w:hAnsi="宋体" w:cs="宋体"/>
                <w:b/>
                <w:bCs/>
                <w:color w:val="auto"/>
                <w:kern w:val="0"/>
                <w:szCs w:val="21"/>
                <w:highlight w:val="none"/>
                <w:lang w:bidi="ar"/>
              </w:rPr>
              <w:t>云桌面管理软件</w:t>
            </w:r>
          </w:p>
        </w:tc>
        <w:tc>
          <w:tcPr>
            <w:tcW w:w="976" w:type="dxa"/>
            <w:noWrap w:val="0"/>
            <w:vAlign w:val="center"/>
          </w:tcPr>
          <w:p w14:paraId="3528BE56">
            <w:pPr>
              <w:textAlignment w:val="baseline"/>
              <w:rPr>
                <w:rFonts w:hint="eastAsia" w:ascii="宋体" w:hAnsi="宋体" w:cs="宋体"/>
                <w:color w:val="auto"/>
                <w:sz w:val="18"/>
                <w:szCs w:val="18"/>
                <w:highlight w:val="none"/>
              </w:rPr>
            </w:pPr>
          </w:p>
        </w:tc>
      </w:tr>
      <w:tr w14:paraId="7D8C92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23E7C51">
            <w:pPr>
              <w:numPr>
                <w:ilvl w:val="1"/>
                <w:numId w:val="0"/>
              </w:numPr>
              <w:tabs>
                <w:tab w:val="left" w:pos="420"/>
              </w:tabs>
              <w:ind w:left="567" w:leftChars="0" w:hanging="567" w:firstLineChars="0"/>
              <w:jc w:val="center"/>
              <w:textAlignment w:val="baseline"/>
              <w:rPr>
                <w:rFonts w:hint="default" w:ascii="宋体" w:hAnsi="宋体" w:eastAsia="宋体" w:cs="宋体"/>
                <w:b/>
                <w:color w:val="auto"/>
                <w:sz w:val="18"/>
                <w:szCs w:val="18"/>
                <w:highlight w:val="none"/>
                <w:lang w:val="en-US" w:eastAsia="zh-CN"/>
              </w:rPr>
            </w:pPr>
            <w:r>
              <w:rPr>
                <w:rFonts w:hint="default" w:ascii="宋体" w:hAnsi="宋体" w:eastAsia="宋体" w:cs="宋体"/>
                <w:b w:val="0"/>
                <w:bCs w:val="0"/>
                <w:color w:val="auto"/>
                <w:kern w:val="2"/>
                <w:sz w:val="18"/>
                <w:szCs w:val="18"/>
                <w:highlight w:val="none"/>
                <w:lang w:val="en-US" w:eastAsia="zh-CN" w:bidi="ar-SA"/>
              </w:rPr>
              <w:t>1.1</w:t>
            </w:r>
          </w:p>
        </w:tc>
        <w:tc>
          <w:tcPr>
            <w:tcW w:w="7219" w:type="dxa"/>
            <w:noWrap w:val="0"/>
            <w:vAlign w:val="center"/>
          </w:tcPr>
          <w:p w14:paraId="1642F1DB">
            <w:pPr>
              <w:rPr>
                <w:rFonts w:hint="eastAsia" w:ascii="宋体" w:hAnsi="宋体" w:eastAsia="宋体" w:cs="宋体"/>
                <w:b/>
                <w:bCs/>
                <w:color w:val="auto"/>
                <w:kern w:val="0"/>
                <w:szCs w:val="21"/>
                <w:highlight w:val="none"/>
                <w:lang w:eastAsia="zh-CN" w:bidi="ar"/>
              </w:rPr>
            </w:pPr>
            <w:r>
              <w:rPr>
                <w:rFonts w:hint="eastAsia" w:ascii="宋体" w:hAnsi="宋体" w:cs="宋体"/>
                <w:color w:val="auto"/>
                <w:kern w:val="0"/>
                <w:szCs w:val="21"/>
                <w:highlight w:val="none"/>
                <w:lang w:bidi="ar"/>
              </w:rPr>
              <w:t>基于主流桌面虚拟化架构构建，支持服务器集群，服务器配置信息、硬盘存储空间查询，支持在线服务器数量统计，在线终端数量统计，可实现不同教室跨网段的所有计算机终端集中统一管理</w:t>
            </w:r>
            <w:r>
              <w:rPr>
                <w:rFonts w:hint="eastAsia" w:ascii="宋体" w:hAnsi="宋体" w:cs="宋体"/>
                <w:color w:val="auto"/>
                <w:kern w:val="0"/>
                <w:szCs w:val="21"/>
                <w:highlight w:val="none"/>
                <w:lang w:eastAsia="zh-CN" w:bidi="ar"/>
              </w:rPr>
              <w:t>。</w:t>
            </w:r>
          </w:p>
        </w:tc>
        <w:tc>
          <w:tcPr>
            <w:tcW w:w="976" w:type="dxa"/>
            <w:noWrap w:val="0"/>
            <w:vAlign w:val="center"/>
          </w:tcPr>
          <w:p w14:paraId="3508FB79">
            <w:pPr>
              <w:textAlignment w:val="baseline"/>
              <w:rPr>
                <w:rFonts w:hint="eastAsia" w:ascii="宋体" w:hAnsi="宋体" w:cs="宋体"/>
                <w:color w:val="auto"/>
                <w:sz w:val="18"/>
                <w:szCs w:val="18"/>
                <w:highlight w:val="none"/>
              </w:rPr>
            </w:pPr>
          </w:p>
        </w:tc>
      </w:tr>
      <w:tr w14:paraId="546DD6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B2A158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w:t>
            </w:r>
          </w:p>
        </w:tc>
        <w:tc>
          <w:tcPr>
            <w:tcW w:w="7219" w:type="dxa"/>
            <w:noWrap w:val="0"/>
            <w:vAlign w:val="center"/>
          </w:tcPr>
          <w:p w14:paraId="0FFA9C8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无需安装任何硬件，终端连上网络就可以启动进入各种Windows桌面云环境。</w:t>
            </w:r>
          </w:p>
        </w:tc>
        <w:tc>
          <w:tcPr>
            <w:tcW w:w="976" w:type="dxa"/>
            <w:noWrap w:val="0"/>
            <w:vAlign w:val="center"/>
          </w:tcPr>
          <w:p w14:paraId="65044EA3">
            <w:pPr>
              <w:textAlignment w:val="baseline"/>
              <w:rPr>
                <w:rFonts w:hint="eastAsia" w:ascii="宋体" w:hAnsi="宋体" w:cs="宋体"/>
                <w:color w:val="auto"/>
                <w:sz w:val="18"/>
                <w:szCs w:val="18"/>
                <w:highlight w:val="none"/>
              </w:rPr>
            </w:pPr>
          </w:p>
        </w:tc>
      </w:tr>
      <w:tr w14:paraId="1ACAE7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505291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1.3</w:t>
            </w:r>
          </w:p>
        </w:tc>
        <w:tc>
          <w:tcPr>
            <w:tcW w:w="7219" w:type="dxa"/>
            <w:noWrap w:val="0"/>
            <w:vAlign w:val="center"/>
          </w:tcPr>
          <w:p w14:paraId="6F8432FA">
            <w:pP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支持客户端多硬盘的统一部署和保护还原。</w:t>
            </w:r>
          </w:p>
        </w:tc>
        <w:tc>
          <w:tcPr>
            <w:tcW w:w="976" w:type="dxa"/>
            <w:noWrap w:val="0"/>
            <w:vAlign w:val="center"/>
          </w:tcPr>
          <w:p w14:paraId="36909C51">
            <w:pPr>
              <w:textAlignment w:val="baseline"/>
              <w:rPr>
                <w:rFonts w:hint="eastAsia" w:ascii="宋体" w:hAnsi="宋体" w:cs="宋体"/>
                <w:color w:val="auto"/>
                <w:sz w:val="18"/>
                <w:szCs w:val="18"/>
                <w:highlight w:val="none"/>
              </w:rPr>
            </w:pPr>
          </w:p>
        </w:tc>
      </w:tr>
      <w:tr w14:paraId="3F5D63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95D4AC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w:t>
            </w:r>
          </w:p>
        </w:tc>
        <w:tc>
          <w:tcPr>
            <w:tcW w:w="7219" w:type="dxa"/>
            <w:noWrap w:val="0"/>
            <w:vAlign w:val="center"/>
          </w:tcPr>
          <w:p w14:paraId="3CCF226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无论客户端是关机或开机状态，均可在服务端对所有客户端进行软件安装、删除等维护工作，并不影响已经开机的客户端的正常使用，在客户端下次开机或重启后就能使用新装软件和系统。</w:t>
            </w:r>
          </w:p>
        </w:tc>
        <w:tc>
          <w:tcPr>
            <w:tcW w:w="976" w:type="dxa"/>
            <w:noWrap w:val="0"/>
            <w:vAlign w:val="center"/>
          </w:tcPr>
          <w:p w14:paraId="4E3E89EC">
            <w:pPr>
              <w:textAlignment w:val="baseline"/>
              <w:rPr>
                <w:rFonts w:hint="eastAsia" w:ascii="宋体" w:hAnsi="宋体" w:cs="宋体"/>
                <w:color w:val="auto"/>
                <w:sz w:val="18"/>
                <w:szCs w:val="18"/>
                <w:highlight w:val="none"/>
              </w:rPr>
            </w:pPr>
          </w:p>
        </w:tc>
      </w:tr>
      <w:tr w14:paraId="2F928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A7DF2F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1.5</w:t>
            </w:r>
          </w:p>
        </w:tc>
        <w:tc>
          <w:tcPr>
            <w:tcW w:w="7219" w:type="dxa"/>
            <w:noWrap w:val="0"/>
            <w:vAlign w:val="center"/>
          </w:tcPr>
          <w:p w14:paraId="7D53240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系统快照无数量限制，且镜像库中的分区镜像可由任何系统调用，支持同一分区镜像供多个系统使用，达到分区共享目的，无论系统镜像如何变化，数据镜像可保持一致。</w:t>
            </w:r>
          </w:p>
        </w:tc>
        <w:tc>
          <w:tcPr>
            <w:tcW w:w="976" w:type="dxa"/>
            <w:noWrap w:val="0"/>
            <w:vAlign w:val="center"/>
          </w:tcPr>
          <w:p w14:paraId="0AF16EC7">
            <w:pPr>
              <w:textAlignment w:val="baseline"/>
              <w:rPr>
                <w:rFonts w:hint="eastAsia" w:ascii="宋体" w:hAnsi="宋体" w:cs="宋体"/>
                <w:color w:val="auto"/>
                <w:sz w:val="18"/>
                <w:szCs w:val="18"/>
                <w:highlight w:val="none"/>
              </w:rPr>
            </w:pPr>
          </w:p>
        </w:tc>
      </w:tr>
      <w:tr w14:paraId="5A5AF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A59158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1.6</w:t>
            </w:r>
          </w:p>
        </w:tc>
        <w:tc>
          <w:tcPr>
            <w:tcW w:w="7219" w:type="dxa"/>
            <w:noWrap w:val="0"/>
            <w:vAlign w:val="center"/>
          </w:tcPr>
          <w:p w14:paraId="15692DF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服务端以扇区流的方式，将创建的虚拟硬盘模板完全部署到客户端，多个系统只需要一次部署即可。</w:t>
            </w:r>
          </w:p>
        </w:tc>
        <w:tc>
          <w:tcPr>
            <w:tcW w:w="976" w:type="dxa"/>
            <w:noWrap w:val="0"/>
            <w:vAlign w:val="center"/>
          </w:tcPr>
          <w:p w14:paraId="31203309">
            <w:pPr>
              <w:textAlignment w:val="baseline"/>
              <w:rPr>
                <w:rFonts w:hint="eastAsia" w:ascii="宋体" w:hAnsi="宋体" w:cs="宋体"/>
                <w:color w:val="auto"/>
                <w:sz w:val="18"/>
                <w:szCs w:val="18"/>
                <w:highlight w:val="none"/>
              </w:rPr>
            </w:pPr>
          </w:p>
        </w:tc>
      </w:tr>
      <w:tr w14:paraId="2D4A8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CE6883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1.7</w:t>
            </w:r>
          </w:p>
        </w:tc>
        <w:tc>
          <w:tcPr>
            <w:tcW w:w="7219" w:type="dxa"/>
            <w:noWrap w:val="0"/>
            <w:vAlign w:val="center"/>
          </w:tcPr>
          <w:p w14:paraId="58AA38C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支持按需和完全部署两种方式向客户端交付数据，均采用动态、实时、增量的原则，可以实现只部署系统分区或者数据分区。</w:t>
            </w:r>
          </w:p>
        </w:tc>
        <w:tc>
          <w:tcPr>
            <w:tcW w:w="976" w:type="dxa"/>
            <w:noWrap w:val="0"/>
            <w:vAlign w:val="center"/>
          </w:tcPr>
          <w:p w14:paraId="5A09175B">
            <w:pPr>
              <w:textAlignment w:val="baseline"/>
              <w:rPr>
                <w:rFonts w:hint="eastAsia" w:ascii="宋体" w:hAnsi="宋体" w:cs="宋体"/>
                <w:color w:val="auto"/>
                <w:sz w:val="18"/>
                <w:szCs w:val="18"/>
                <w:highlight w:val="none"/>
              </w:rPr>
            </w:pPr>
          </w:p>
        </w:tc>
      </w:tr>
      <w:tr w14:paraId="099779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3A76DB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w:t>
            </w:r>
          </w:p>
        </w:tc>
        <w:tc>
          <w:tcPr>
            <w:tcW w:w="7219" w:type="dxa"/>
            <w:noWrap w:val="0"/>
            <w:vAlign w:val="center"/>
          </w:tcPr>
          <w:p w14:paraId="09AF9A6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可根据网络环境，选择P2P或广播两种不同的部署模式进行后台部署。</w:t>
            </w:r>
          </w:p>
        </w:tc>
        <w:tc>
          <w:tcPr>
            <w:tcW w:w="976" w:type="dxa"/>
            <w:noWrap w:val="0"/>
            <w:vAlign w:val="center"/>
          </w:tcPr>
          <w:p w14:paraId="41ABCFE5">
            <w:pPr>
              <w:textAlignment w:val="baseline"/>
              <w:rPr>
                <w:rFonts w:hint="eastAsia" w:ascii="宋体" w:hAnsi="宋体" w:cs="宋体"/>
                <w:color w:val="auto"/>
                <w:sz w:val="18"/>
                <w:szCs w:val="18"/>
                <w:highlight w:val="none"/>
              </w:rPr>
            </w:pPr>
          </w:p>
        </w:tc>
      </w:tr>
      <w:tr w14:paraId="6F9EC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61DAF10">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1.9</w:t>
            </w:r>
          </w:p>
        </w:tc>
        <w:tc>
          <w:tcPr>
            <w:tcW w:w="7219" w:type="dxa"/>
            <w:noWrap w:val="0"/>
            <w:vAlign w:val="center"/>
          </w:tcPr>
          <w:p w14:paraId="6D5B3C9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部署过程中，根据管理策略自动修改IP地址和计算机名称。</w:t>
            </w:r>
          </w:p>
        </w:tc>
        <w:tc>
          <w:tcPr>
            <w:tcW w:w="976" w:type="dxa"/>
            <w:noWrap w:val="0"/>
            <w:vAlign w:val="center"/>
          </w:tcPr>
          <w:p w14:paraId="360E5D04">
            <w:pPr>
              <w:textAlignment w:val="baseline"/>
              <w:rPr>
                <w:rFonts w:hint="eastAsia" w:ascii="宋体" w:hAnsi="宋体" w:cs="宋体"/>
                <w:color w:val="auto"/>
                <w:sz w:val="18"/>
                <w:szCs w:val="18"/>
                <w:highlight w:val="none"/>
              </w:rPr>
            </w:pPr>
          </w:p>
        </w:tc>
      </w:tr>
      <w:tr w14:paraId="26D857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8FFA1D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1.10</w:t>
            </w:r>
          </w:p>
        </w:tc>
        <w:tc>
          <w:tcPr>
            <w:tcW w:w="7219" w:type="dxa"/>
            <w:noWrap w:val="0"/>
            <w:vAlign w:val="center"/>
          </w:tcPr>
          <w:p w14:paraId="3D2433F7">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支持客户端计算机名、MAC和IP地址等信息的导入导出。</w:t>
            </w:r>
          </w:p>
        </w:tc>
        <w:tc>
          <w:tcPr>
            <w:tcW w:w="976" w:type="dxa"/>
            <w:noWrap w:val="0"/>
            <w:vAlign w:val="center"/>
          </w:tcPr>
          <w:p w14:paraId="2BF2A0B7">
            <w:pPr>
              <w:textAlignment w:val="baseline"/>
              <w:rPr>
                <w:rFonts w:hint="eastAsia" w:ascii="宋体" w:hAnsi="宋体" w:cs="宋体"/>
                <w:color w:val="auto"/>
                <w:sz w:val="18"/>
                <w:szCs w:val="18"/>
                <w:highlight w:val="none"/>
              </w:rPr>
            </w:pPr>
          </w:p>
        </w:tc>
      </w:tr>
      <w:tr w14:paraId="2471AB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46216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1.11</w:t>
            </w:r>
          </w:p>
        </w:tc>
        <w:tc>
          <w:tcPr>
            <w:tcW w:w="7219" w:type="dxa"/>
            <w:noWrap w:val="0"/>
            <w:vAlign w:val="center"/>
          </w:tcPr>
          <w:p w14:paraId="65B0C48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支持客户端IP占位功能，实现新客户端加入服务端时，不会由于单点的故障，而影响整体的计算机名和IP排序管理。</w:t>
            </w:r>
          </w:p>
        </w:tc>
        <w:tc>
          <w:tcPr>
            <w:tcW w:w="976" w:type="dxa"/>
            <w:noWrap w:val="0"/>
            <w:vAlign w:val="center"/>
          </w:tcPr>
          <w:p w14:paraId="61F4E5BE">
            <w:pPr>
              <w:textAlignment w:val="baseline"/>
              <w:rPr>
                <w:rFonts w:hint="eastAsia" w:ascii="宋体" w:hAnsi="宋体" w:cs="宋体"/>
                <w:color w:val="auto"/>
                <w:sz w:val="18"/>
                <w:szCs w:val="18"/>
                <w:highlight w:val="none"/>
              </w:rPr>
            </w:pPr>
          </w:p>
        </w:tc>
      </w:tr>
      <w:tr w14:paraId="1AE18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D75423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1.12</w:t>
            </w:r>
          </w:p>
        </w:tc>
        <w:tc>
          <w:tcPr>
            <w:tcW w:w="7219" w:type="dxa"/>
            <w:noWrap w:val="0"/>
            <w:vAlign w:val="center"/>
          </w:tcPr>
          <w:p w14:paraId="34857B27">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客户端不需要对硬盘进行任何的操作，不需要分区和预装软件，连上服务端即可使用。</w:t>
            </w:r>
          </w:p>
        </w:tc>
        <w:tc>
          <w:tcPr>
            <w:tcW w:w="976" w:type="dxa"/>
            <w:noWrap w:val="0"/>
            <w:vAlign w:val="center"/>
          </w:tcPr>
          <w:p w14:paraId="087ACA9B">
            <w:pPr>
              <w:textAlignment w:val="baseline"/>
              <w:rPr>
                <w:rFonts w:hint="eastAsia" w:ascii="宋体" w:hAnsi="宋体" w:cs="宋体"/>
                <w:color w:val="auto"/>
                <w:sz w:val="18"/>
                <w:szCs w:val="18"/>
                <w:highlight w:val="none"/>
              </w:rPr>
            </w:pPr>
          </w:p>
        </w:tc>
      </w:tr>
      <w:tr w14:paraId="15B55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02B78F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1.13</w:t>
            </w:r>
          </w:p>
        </w:tc>
        <w:tc>
          <w:tcPr>
            <w:tcW w:w="7219" w:type="dxa"/>
            <w:noWrap w:val="0"/>
            <w:vAlign w:val="center"/>
          </w:tcPr>
          <w:p w14:paraId="2DDED2D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客户端不依赖网络和服务端可自我还原，支持分区每次、每天、每周、每月、手动等多种还原方式。</w:t>
            </w:r>
          </w:p>
        </w:tc>
        <w:tc>
          <w:tcPr>
            <w:tcW w:w="976" w:type="dxa"/>
            <w:noWrap w:val="0"/>
            <w:vAlign w:val="center"/>
          </w:tcPr>
          <w:p w14:paraId="23E82554">
            <w:pPr>
              <w:textAlignment w:val="baseline"/>
              <w:rPr>
                <w:rFonts w:hint="eastAsia" w:ascii="宋体" w:hAnsi="宋体" w:cs="宋体"/>
                <w:color w:val="auto"/>
                <w:sz w:val="18"/>
                <w:szCs w:val="18"/>
                <w:highlight w:val="none"/>
              </w:rPr>
            </w:pPr>
          </w:p>
        </w:tc>
      </w:tr>
      <w:tr w14:paraId="7F7720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470343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1.14</w:t>
            </w:r>
          </w:p>
        </w:tc>
        <w:tc>
          <w:tcPr>
            <w:tcW w:w="7219" w:type="dxa"/>
            <w:noWrap w:val="0"/>
            <w:vAlign w:val="center"/>
          </w:tcPr>
          <w:p w14:paraId="0DF5DDD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客户端启动界面提供管理接口，断网的情况下，管理员也可以更新系统和应用软件。</w:t>
            </w:r>
          </w:p>
        </w:tc>
        <w:tc>
          <w:tcPr>
            <w:tcW w:w="976" w:type="dxa"/>
            <w:noWrap w:val="0"/>
            <w:vAlign w:val="center"/>
          </w:tcPr>
          <w:p w14:paraId="276885B5">
            <w:pPr>
              <w:textAlignment w:val="baseline"/>
              <w:rPr>
                <w:rFonts w:hint="eastAsia" w:ascii="宋体" w:hAnsi="宋体" w:cs="宋体"/>
                <w:color w:val="auto"/>
                <w:sz w:val="18"/>
                <w:szCs w:val="18"/>
                <w:highlight w:val="none"/>
              </w:rPr>
            </w:pPr>
          </w:p>
        </w:tc>
      </w:tr>
      <w:tr w14:paraId="39F3FD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8D5ECC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1.15</w:t>
            </w:r>
          </w:p>
        </w:tc>
        <w:tc>
          <w:tcPr>
            <w:tcW w:w="7219" w:type="dxa"/>
            <w:noWrap w:val="0"/>
            <w:vAlign w:val="center"/>
          </w:tcPr>
          <w:p w14:paraId="31182C9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支持系统引导选单的开启与禁用，实现对当前不使用的系统进行屏蔽。</w:t>
            </w:r>
          </w:p>
        </w:tc>
        <w:tc>
          <w:tcPr>
            <w:tcW w:w="976" w:type="dxa"/>
            <w:noWrap w:val="0"/>
            <w:vAlign w:val="center"/>
          </w:tcPr>
          <w:p w14:paraId="553AAB85">
            <w:pPr>
              <w:textAlignment w:val="baseline"/>
              <w:rPr>
                <w:rFonts w:hint="eastAsia" w:ascii="宋体" w:hAnsi="宋体" w:cs="宋体"/>
                <w:color w:val="auto"/>
                <w:sz w:val="18"/>
                <w:szCs w:val="18"/>
                <w:highlight w:val="none"/>
              </w:rPr>
            </w:pPr>
          </w:p>
        </w:tc>
      </w:tr>
      <w:tr w14:paraId="0A4CB5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892" w:type="dxa"/>
            <w:noWrap w:val="0"/>
            <w:vAlign w:val="center"/>
          </w:tcPr>
          <w:p w14:paraId="11A4187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1.16</w:t>
            </w:r>
          </w:p>
        </w:tc>
        <w:tc>
          <w:tcPr>
            <w:tcW w:w="7219" w:type="dxa"/>
            <w:noWrap w:val="0"/>
            <w:vAlign w:val="center"/>
          </w:tcPr>
          <w:p w14:paraId="0151D8F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支持硬盘剩余空间智能调配，满足多系统时硬盘容量不足的问题。</w:t>
            </w:r>
          </w:p>
        </w:tc>
        <w:tc>
          <w:tcPr>
            <w:tcW w:w="976" w:type="dxa"/>
            <w:noWrap w:val="0"/>
            <w:vAlign w:val="center"/>
          </w:tcPr>
          <w:p w14:paraId="148707A7">
            <w:pPr>
              <w:textAlignment w:val="baseline"/>
              <w:rPr>
                <w:rFonts w:hint="eastAsia" w:ascii="宋体" w:hAnsi="宋体" w:cs="宋体"/>
                <w:color w:val="auto"/>
                <w:sz w:val="18"/>
                <w:szCs w:val="18"/>
                <w:highlight w:val="none"/>
              </w:rPr>
            </w:pPr>
          </w:p>
        </w:tc>
      </w:tr>
      <w:tr w14:paraId="667BF1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3682F6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1.17</w:t>
            </w:r>
          </w:p>
        </w:tc>
        <w:tc>
          <w:tcPr>
            <w:tcW w:w="7219" w:type="dxa"/>
            <w:noWrap w:val="0"/>
            <w:vAlign w:val="center"/>
          </w:tcPr>
          <w:p w14:paraId="4800C0F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服务端软件支持一键简易升级，原有机房客户端软件无需升级，即可实现不同软件版本的客户端统一管理。</w:t>
            </w:r>
          </w:p>
        </w:tc>
        <w:tc>
          <w:tcPr>
            <w:tcW w:w="976" w:type="dxa"/>
            <w:noWrap w:val="0"/>
            <w:vAlign w:val="center"/>
          </w:tcPr>
          <w:p w14:paraId="7CD5F115">
            <w:pPr>
              <w:textAlignment w:val="baseline"/>
              <w:rPr>
                <w:rFonts w:hint="eastAsia" w:ascii="宋体" w:hAnsi="宋体" w:cs="宋体"/>
                <w:color w:val="auto"/>
                <w:sz w:val="18"/>
                <w:szCs w:val="18"/>
                <w:highlight w:val="none"/>
              </w:rPr>
            </w:pPr>
          </w:p>
        </w:tc>
      </w:tr>
      <w:tr w14:paraId="001DFE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B6D965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1.18</w:t>
            </w:r>
          </w:p>
        </w:tc>
        <w:tc>
          <w:tcPr>
            <w:tcW w:w="7219" w:type="dxa"/>
            <w:noWrap w:val="0"/>
            <w:vAlign w:val="center"/>
          </w:tcPr>
          <w:p w14:paraId="638D3E2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支持机房原有产品实现互通统一管理。</w:t>
            </w:r>
          </w:p>
        </w:tc>
        <w:tc>
          <w:tcPr>
            <w:tcW w:w="976" w:type="dxa"/>
            <w:noWrap w:val="0"/>
            <w:vAlign w:val="center"/>
          </w:tcPr>
          <w:p w14:paraId="417C46E1">
            <w:pPr>
              <w:textAlignment w:val="baseline"/>
              <w:rPr>
                <w:rFonts w:hint="eastAsia" w:ascii="宋体" w:hAnsi="宋体" w:cs="宋体"/>
                <w:color w:val="auto"/>
                <w:sz w:val="18"/>
                <w:szCs w:val="18"/>
                <w:highlight w:val="none"/>
              </w:rPr>
            </w:pPr>
          </w:p>
        </w:tc>
      </w:tr>
      <w:tr w14:paraId="7D3AE6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6D1EC4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1.19</w:t>
            </w:r>
          </w:p>
        </w:tc>
        <w:tc>
          <w:tcPr>
            <w:tcW w:w="7219" w:type="dxa"/>
            <w:noWrap w:val="0"/>
            <w:vAlign w:val="center"/>
          </w:tcPr>
          <w:p w14:paraId="2B3FA82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断网和服务端宕机，终端都可以使用，不影响正常上课教学。</w:t>
            </w:r>
          </w:p>
        </w:tc>
        <w:tc>
          <w:tcPr>
            <w:tcW w:w="976" w:type="dxa"/>
            <w:noWrap w:val="0"/>
            <w:vAlign w:val="center"/>
          </w:tcPr>
          <w:p w14:paraId="3051F629">
            <w:pPr>
              <w:textAlignment w:val="baseline"/>
              <w:rPr>
                <w:rFonts w:hint="eastAsia" w:ascii="宋体" w:hAnsi="宋体" w:cs="宋体"/>
                <w:color w:val="auto"/>
                <w:sz w:val="18"/>
                <w:szCs w:val="18"/>
                <w:highlight w:val="none"/>
              </w:rPr>
            </w:pPr>
          </w:p>
        </w:tc>
      </w:tr>
      <w:tr w14:paraId="078D21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FAF9FC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1.20</w:t>
            </w:r>
          </w:p>
        </w:tc>
        <w:tc>
          <w:tcPr>
            <w:tcW w:w="7219" w:type="dxa"/>
            <w:noWrap w:val="0"/>
            <w:vAlign w:val="center"/>
          </w:tcPr>
          <w:p w14:paraId="1026A94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智能代理机制，实现负载均衡，保证部署效率和客户端的正常使用。</w:t>
            </w:r>
          </w:p>
        </w:tc>
        <w:tc>
          <w:tcPr>
            <w:tcW w:w="976" w:type="dxa"/>
            <w:noWrap w:val="0"/>
            <w:vAlign w:val="center"/>
          </w:tcPr>
          <w:p w14:paraId="051B4EE3">
            <w:pPr>
              <w:textAlignment w:val="baseline"/>
              <w:rPr>
                <w:rFonts w:hint="eastAsia" w:ascii="宋体" w:hAnsi="宋体" w:cs="宋体"/>
                <w:color w:val="auto"/>
                <w:sz w:val="18"/>
                <w:szCs w:val="18"/>
                <w:highlight w:val="none"/>
              </w:rPr>
            </w:pPr>
          </w:p>
        </w:tc>
      </w:tr>
      <w:tr w14:paraId="28B7A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12CBFA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1.21</w:t>
            </w:r>
          </w:p>
        </w:tc>
        <w:tc>
          <w:tcPr>
            <w:tcW w:w="7219" w:type="dxa"/>
            <w:noWrap w:val="0"/>
            <w:vAlign w:val="center"/>
          </w:tcPr>
          <w:p w14:paraId="42205B7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服务端可以识别并将差异化的信息保存在客户端硬盘中，避免每次启动提示安装信息。</w:t>
            </w:r>
          </w:p>
        </w:tc>
        <w:tc>
          <w:tcPr>
            <w:tcW w:w="976" w:type="dxa"/>
            <w:noWrap w:val="0"/>
            <w:vAlign w:val="center"/>
          </w:tcPr>
          <w:p w14:paraId="699723D5">
            <w:pPr>
              <w:textAlignment w:val="baseline"/>
              <w:rPr>
                <w:rFonts w:hint="eastAsia" w:ascii="宋体" w:hAnsi="宋体" w:cs="宋体"/>
                <w:color w:val="auto"/>
                <w:sz w:val="18"/>
                <w:szCs w:val="18"/>
                <w:highlight w:val="none"/>
              </w:rPr>
            </w:pPr>
          </w:p>
        </w:tc>
      </w:tr>
      <w:tr w14:paraId="21864E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F8571B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1.22</w:t>
            </w:r>
          </w:p>
        </w:tc>
        <w:tc>
          <w:tcPr>
            <w:tcW w:w="7219" w:type="dxa"/>
            <w:noWrap w:val="0"/>
            <w:vAlign w:val="center"/>
          </w:tcPr>
          <w:p w14:paraId="6AF3113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支持包括MATLAB、UG、PhotoShop、3DsMax、AutoCad、Maya2010以上等大型软件的运行。</w:t>
            </w:r>
          </w:p>
        </w:tc>
        <w:tc>
          <w:tcPr>
            <w:tcW w:w="976" w:type="dxa"/>
            <w:noWrap w:val="0"/>
            <w:vAlign w:val="center"/>
          </w:tcPr>
          <w:p w14:paraId="1A572957">
            <w:pPr>
              <w:textAlignment w:val="baseline"/>
              <w:rPr>
                <w:rFonts w:hint="eastAsia" w:ascii="宋体" w:hAnsi="宋体" w:cs="宋体"/>
                <w:color w:val="auto"/>
                <w:sz w:val="18"/>
                <w:szCs w:val="18"/>
                <w:highlight w:val="none"/>
              </w:rPr>
            </w:pPr>
          </w:p>
        </w:tc>
      </w:tr>
      <w:tr w14:paraId="0370A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B3DAE11">
            <w:pPr>
              <w:numPr>
                <w:ilvl w:val="0"/>
                <w:numId w:val="0"/>
              </w:numPr>
              <w:tabs>
                <w:tab w:val="left" w:pos="420"/>
              </w:tabs>
              <w:ind w:left="0" w:leftChars="0" w:firstLine="0"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bCs/>
                <w:color w:val="auto"/>
                <w:kern w:val="2"/>
                <w:sz w:val="18"/>
                <w:szCs w:val="18"/>
                <w:highlight w:val="none"/>
                <w:lang w:val="en-US" w:eastAsia="zh-CN" w:bidi="ar-SA"/>
              </w:rPr>
              <w:t>2</w:t>
            </w:r>
          </w:p>
        </w:tc>
        <w:tc>
          <w:tcPr>
            <w:tcW w:w="7219" w:type="dxa"/>
            <w:noWrap w:val="0"/>
            <w:vAlign w:val="center"/>
          </w:tcPr>
          <w:p w14:paraId="439D6390">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同声传译教学系统</w:t>
            </w:r>
          </w:p>
        </w:tc>
        <w:tc>
          <w:tcPr>
            <w:tcW w:w="976" w:type="dxa"/>
            <w:noWrap w:val="0"/>
            <w:vAlign w:val="center"/>
          </w:tcPr>
          <w:p w14:paraId="259343A3">
            <w:pPr>
              <w:textAlignment w:val="baseline"/>
              <w:rPr>
                <w:rFonts w:hint="eastAsia" w:ascii="宋体" w:hAnsi="宋体" w:cs="宋体"/>
                <w:color w:val="auto"/>
                <w:sz w:val="18"/>
                <w:szCs w:val="18"/>
                <w:highlight w:val="none"/>
              </w:rPr>
            </w:pPr>
          </w:p>
        </w:tc>
      </w:tr>
      <w:tr w14:paraId="36F05C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BDBCC40">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w:t>
            </w:r>
          </w:p>
        </w:tc>
        <w:tc>
          <w:tcPr>
            <w:tcW w:w="7219" w:type="dxa"/>
            <w:noWrap w:val="0"/>
            <w:vAlign w:val="center"/>
          </w:tcPr>
          <w:p w14:paraId="220C061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同声传译硬件系统；课堂教学功能不少于口译内容同步录音、角色互换、视频示范、视频广播、传译员通道设置变换、跟读练习、文本视译、接力传译、统一授课、分班授课、课堂提问、配对讨论、监听、监控、学生呼叫、对讲、同声翻译、分段翻译等；</w:t>
            </w:r>
            <w:r>
              <w:rPr>
                <w:rFonts w:hint="eastAsia" w:ascii="宋体" w:hAnsi="宋体" w:cs="宋体"/>
                <w:color w:val="auto"/>
                <w:szCs w:val="18"/>
                <w:highlight w:val="none"/>
              </w:rPr>
              <w:t>【演示内容（1）】</w:t>
            </w:r>
          </w:p>
        </w:tc>
        <w:tc>
          <w:tcPr>
            <w:tcW w:w="976" w:type="dxa"/>
            <w:noWrap w:val="0"/>
            <w:vAlign w:val="center"/>
          </w:tcPr>
          <w:p w14:paraId="00D64904">
            <w:pPr>
              <w:textAlignment w:val="baseline"/>
              <w:rPr>
                <w:rFonts w:hint="eastAsia" w:ascii="宋体" w:hAnsi="宋体" w:cs="宋体"/>
                <w:color w:val="auto"/>
                <w:sz w:val="18"/>
                <w:szCs w:val="18"/>
                <w:highlight w:val="none"/>
              </w:rPr>
            </w:pPr>
          </w:p>
        </w:tc>
      </w:tr>
      <w:tr w14:paraId="77BED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CC9F49D">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w:t>
            </w:r>
          </w:p>
        </w:tc>
        <w:tc>
          <w:tcPr>
            <w:tcW w:w="7219" w:type="dxa"/>
            <w:noWrap w:val="0"/>
            <w:vAlign w:val="center"/>
          </w:tcPr>
          <w:p w14:paraId="52FED7A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考试功能不少于听力考试、口译测试、口语考试、阅读理解、成绩统计等；</w:t>
            </w:r>
          </w:p>
        </w:tc>
        <w:tc>
          <w:tcPr>
            <w:tcW w:w="976" w:type="dxa"/>
            <w:noWrap w:val="0"/>
            <w:vAlign w:val="center"/>
          </w:tcPr>
          <w:p w14:paraId="6C2F2C15">
            <w:pPr>
              <w:textAlignment w:val="baseline"/>
              <w:rPr>
                <w:rFonts w:hint="eastAsia" w:ascii="宋体" w:hAnsi="宋体" w:cs="宋体"/>
                <w:color w:val="auto"/>
                <w:sz w:val="18"/>
                <w:szCs w:val="18"/>
                <w:highlight w:val="none"/>
              </w:rPr>
            </w:pPr>
          </w:p>
        </w:tc>
      </w:tr>
      <w:tr w14:paraId="0BC086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D669B6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w:t>
            </w:r>
          </w:p>
        </w:tc>
        <w:tc>
          <w:tcPr>
            <w:tcW w:w="7219" w:type="dxa"/>
            <w:noWrap w:val="0"/>
            <w:vAlign w:val="center"/>
          </w:tcPr>
          <w:p w14:paraId="7AD70C0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自主学习功能不少于音频点播、终端录音、跟读复读、电话对话；</w:t>
            </w:r>
          </w:p>
        </w:tc>
        <w:tc>
          <w:tcPr>
            <w:tcW w:w="976" w:type="dxa"/>
            <w:noWrap w:val="0"/>
            <w:vAlign w:val="center"/>
          </w:tcPr>
          <w:p w14:paraId="3120AFC2">
            <w:pPr>
              <w:textAlignment w:val="baseline"/>
              <w:rPr>
                <w:rFonts w:hint="eastAsia" w:ascii="宋体" w:hAnsi="宋体" w:cs="宋体"/>
                <w:color w:val="auto"/>
                <w:sz w:val="18"/>
                <w:szCs w:val="18"/>
                <w:highlight w:val="none"/>
              </w:rPr>
            </w:pPr>
          </w:p>
        </w:tc>
      </w:tr>
      <w:tr w14:paraId="4C061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7BA0CB2">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w:t>
            </w:r>
          </w:p>
        </w:tc>
        <w:tc>
          <w:tcPr>
            <w:tcW w:w="7219" w:type="dxa"/>
            <w:noWrap w:val="0"/>
            <w:vAlign w:val="center"/>
          </w:tcPr>
          <w:p w14:paraId="02F70DB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系统管理功能不少于多种语言界面选择、学生座位固定、手动和随机编排、媒体服务器资源管理、在线帮助、考勤设置；</w:t>
            </w:r>
          </w:p>
        </w:tc>
        <w:tc>
          <w:tcPr>
            <w:tcW w:w="976" w:type="dxa"/>
            <w:noWrap w:val="0"/>
            <w:vAlign w:val="center"/>
          </w:tcPr>
          <w:p w14:paraId="7FECC8F1">
            <w:pPr>
              <w:textAlignment w:val="baseline"/>
              <w:rPr>
                <w:rFonts w:hint="eastAsia" w:ascii="宋体" w:hAnsi="宋体" w:cs="宋体"/>
                <w:color w:val="auto"/>
                <w:sz w:val="18"/>
                <w:szCs w:val="18"/>
                <w:highlight w:val="none"/>
              </w:rPr>
            </w:pPr>
          </w:p>
        </w:tc>
      </w:tr>
      <w:tr w14:paraId="52534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32D0578">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2.5</w:t>
            </w:r>
          </w:p>
        </w:tc>
        <w:tc>
          <w:tcPr>
            <w:tcW w:w="7219" w:type="dxa"/>
            <w:noWrap w:val="0"/>
            <w:vAlign w:val="center"/>
          </w:tcPr>
          <w:p w14:paraId="03A87B6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支持满足基本语音听力练习的基础上，需要有同声传译功能，既可以用于教学培训，也需要用于技能比赛、小型会议、模拟国际会议等；</w:t>
            </w:r>
          </w:p>
        </w:tc>
        <w:tc>
          <w:tcPr>
            <w:tcW w:w="976" w:type="dxa"/>
            <w:noWrap w:val="0"/>
            <w:vAlign w:val="center"/>
          </w:tcPr>
          <w:p w14:paraId="3B3C45A4">
            <w:pPr>
              <w:textAlignment w:val="baseline"/>
              <w:rPr>
                <w:rFonts w:hint="eastAsia" w:ascii="宋体" w:hAnsi="宋体" w:cs="宋体"/>
                <w:color w:val="auto"/>
                <w:sz w:val="18"/>
                <w:szCs w:val="18"/>
                <w:highlight w:val="none"/>
              </w:rPr>
            </w:pPr>
          </w:p>
        </w:tc>
      </w:tr>
      <w:tr w14:paraId="4394E5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14:paraId="47DF4080">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w:t>
            </w:r>
          </w:p>
        </w:tc>
        <w:tc>
          <w:tcPr>
            <w:tcW w:w="7219" w:type="dxa"/>
            <w:noWrap w:val="0"/>
            <w:vAlign w:val="center"/>
          </w:tcPr>
          <w:p w14:paraId="33D05CE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多格式音频播放器，支持同系统的硬件设备，可控制播放、停止、暂停、重播、录音、进度选择等功能，并且可播放和创建各种媒体文件，如WMA、WAV、MP3、 MFF等格式；</w:t>
            </w:r>
          </w:p>
        </w:tc>
        <w:tc>
          <w:tcPr>
            <w:tcW w:w="976" w:type="dxa"/>
            <w:noWrap w:val="0"/>
            <w:vAlign w:val="center"/>
          </w:tcPr>
          <w:p w14:paraId="33652E6D">
            <w:pPr>
              <w:textAlignment w:val="baseline"/>
              <w:rPr>
                <w:rFonts w:hint="eastAsia" w:ascii="宋体" w:hAnsi="宋体" w:cs="宋体"/>
                <w:color w:val="auto"/>
                <w:sz w:val="18"/>
                <w:szCs w:val="18"/>
                <w:highlight w:val="none"/>
              </w:rPr>
            </w:pPr>
          </w:p>
        </w:tc>
      </w:tr>
      <w:tr w14:paraId="0C2E9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2DAABB7">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2.7</w:t>
            </w:r>
          </w:p>
        </w:tc>
        <w:tc>
          <w:tcPr>
            <w:tcW w:w="7219" w:type="dxa"/>
            <w:noWrap w:val="0"/>
            <w:vAlign w:val="center"/>
          </w:tcPr>
          <w:p w14:paraId="703C13B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分组人数不受限制，可以任意人数为一组，可全班（52人或以上）为一组，声音仍然保真清晰，无啸叫杂音等现象；支持多种分组方法，例如：固定分组、随机分组、手动分组，手动分组时只需教师点击任意学生卡通图标即可完成分组；</w:t>
            </w:r>
            <w:r>
              <w:rPr>
                <w:rFonts w:hint="eastAsia" w:ascii="宋体" w:hAnsi="宋体" w:cs="宋体"/>
                <w:color w:val="auto"/>
                <w:szCs w:val="18"/>
                <w:highlight w:val="none"/>
              </w:rPr>
              <w:t>【演示内容（2）】</w:t>
            </w:r>
          </w:p>
        </w:tc>
        <w:tc>
          <w:tcPr>
            <w:tcW w:w="976" w:type="dxa"/>
            <w:noWrap w:val="0"/>
            <w:vAlign w:val="center"/>
          </w:tcPr>
          <w:p w14:paraId="133A7B90">
            <w:pPr>
              <w:textAlignment w:val="baseline"/>
              <w:rPr>
                <w:rFonts w:hint="eastAsia" w:ascii="宋体" w:hAnsi="宋体" w:cs="宋体"/>
                <w:color w:val="auto"/>
                <w:sz w:val="18"/>
                <w:szCs w:val="18"/>
                <w:highlight w:val="none"/>
              </w:rPr>
            </w:pPr>
          </w:p>
        </w:tc>
      </w:tr>
      <w:tr w14:paraId="01A11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F7645EC">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2.8</w:t>
            </w:r>
          </w:p>
        </w:tc>
        <w:tc>
          <w:tcPr>
            <w:tcW w:w="7219" w:type="dxa"/>
            <w:noWrap w:val="0"/>
            <w:vAlign w:val="center"/>
          </w:tcPr>
          <w:p w14:paraId="6532BDE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软件界面学生图标布局与教室实际物理位置相同，学生图标排列可任意编辑移动，可支持设置为圆形、弧形、椭圆形等非常规、非行列排列布局，通过图标布局视图即可分辨出每位学生实际位置；</w:t>
            </w:r>
          </w:p>
        </w:tc>
        <w:tc>
          <w:tcPr>
            <w:tcW w:w="976" w:type="dxa"/>
            <w:noWrap w:val="0"/>
            <w:vAlign w:val="center"/>
          </w:tcPr>
          <w:p w14:paraId="38161663">
            <w:pPr>
              <w:textAlignment w:val="baseline"/>
              <w:rPr>
                <w:rFonts w:hint="eastAsia" w:ascii="宋体" w:hAnsi="宋体" w:cs="宋体"/>
                <w:color w:val="auto"/>
                <w:sz w:val="18"/>
                <w:szCs w:val="18"/>
                <w:highlight w:val="none"/>
              </w:rPr>
            </w:pPr>
          </w:p>
        </w:tc>
      </w:tr>
      <w:tr w14:paraId="09A5F9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F168698">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2.9</w:t>
            </w:r>
          </w:p>
        </w:tc>
        <w:tc>
          <w:tcPr>
            <w:tcW w:w="7219" w:type="dxa"/>
            <w:noWrap w:val="0"/>
            <w:vAlign w:val="center"/>
          </w:tcPr>
          <w:p w14:paraId="4744BD2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可根据上课的实际情况进行备课和编辑语音教材，如在某一段声音文件或影片中加入自己的解说和注释并保存；</w:t>
            </w:r>
          </w:p>
        </w:tc>
        <w:tc>
          <w:tcPr>
            <w:tcW w:w="976" w:type="dxa"/>
            <w:noWrap w:val="0"/>
            <w:vAlign w:val="center"/>
          </w:tcPr>
          <w:p w14:paraId="6902D85F">
            <w:pPr>
              <w:textAlignment w:val="baseline"/>
              <w:rPr>
                <w:rFonts w:hint="eastAsia" w:ascii="宋体" w:hAnsi="宋体" w:cs="宋体"/>
                <w:color w:val="auto"/>
                <w:sz w:val="18"/>
                <w:szCs w:val="18"/>
                <w:highlight w:val="none"/>
              </w:rPr>
            </w:pPr>
          </w:p>
        </w:tc>
      </w:tr>
      <w:tr w14:paraId="4D4E67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911D52A">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2.10</w:t>
            </w:r>
          </w:p>
        </w:tc>
        <w:tc>
          <w:tcPr>
            <w:tcW w:w="7219" w:type="dxa"/>
            <w:noWrap w:val="0"/>
            <w:vAlign w:val="center"/>
          </w:tcPr>
          <w:p w14:paraId="3761DB9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系统软件自带播客(Podcast)功能选项，教师可将课程中授课内容自动录音并上传至任意设置好的FTP服务器，无论何时何地使用者凭账号密码即可下载所需资料；并可在同传系统软件内进行远程文件管理，例如编辑、增加、删除等功能。播客里已有的内容，也可以作为教学课件资源使用； </w:t>
            </w:r>
          </w:p>
        </w:tc>
        <w:tc>
          <w:tcPr>
            <w:tcW w:w="976" w:type="dxa"/>
            <w:noWrap w:val="0"/>
            <w:vAlign w:val="center"/>
          </w:tcPr>
          <w:p w14:paraId="3924B548">
            <w:pPr>
              <w:textAlignment w:val="baseline"/>
              <w:rPr>
                <w:rFonts w:hint="eastAsia" w:ascii="宋体" w:hAnsi="宋体" w:cs="宋体"/>
                <w:color w:val="auto"/>
                <w:sz w:val="18"/>
                <w:szCs w:val="18"/>
                <w:highlight w:val="none"/>
              </w:rPr>
            </w:pPr>
          </w:p>
        </w:tc>
      </w:tr>
      <w:tr w14:paraId="7FA820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9001FB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2.11</w:t>
            </w:r>
          </w:p>
        </w:tc>
        <w:tc>
          <w:tcPr>
            <w:tcW w:w="7219" w:type="dxa"/>
            <w:noWrap w:val="0"/>
            <w:vAlign w:val="center"/>
          </w:tcPr>
          <w:p w14:paraId="7C9760D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软件界面学生座位图由图标来体现，教师可根据图标不同形象来获知学生正在进行的任务和状态，例如：对讲、发言、收听、呼叫、录音、监控、故障等；师生对话、群组讨论等常用功能的操作能用鼠标点击、拉近即可； </w:t>
            </w:r>
            <w:r>
              <w:rPr>
                <w:rFonts w:hint="eastAsia" w:ascii="宋体" w:hAnsi="宋体" w:cs="宋体"/>
                <w:color w:val="auto"/>
                <w:kern w:val="0"/>
                <w:szCs w:val="21"/>
                <w:highlight w:val="none"/>
                <w:lang w:bidi="ar"/>
              </w:rPr>
              <w:br w:type="textWrapping"/>
            </w:r>
            <w:r>
              <w:rPr>
                <w:rFonts w:hint="eastAsia" w:ascii="宋体" w:hAnsi="宋体" w:cs="宋体"/>
                <w:color w:val="auto"/>
                <w:kern w:val="0"/>
                <w:szCs w:val="21"/>
                <w:highlight w:val="none"/>
                <w:lang w:bidi="ar"/>
              </w:rPr>
              <w:t>系统软件占用CPU的资源小于等于5%，系统运行稳定，启动成功率&gt;99%，有效防止因CPU负载过高而造成的死机现象，保证教学质量；系统软件与Windows10 64位系统具有很好的兼容性；</w:t>
            </w:r>
          </w:p>
        </w:tc>
        <w:tc>
          <w:tcPr>
            <w:tcW w:w="976" w:type="dxa"/>
            <w:noWrap w:val="0"/>
            <w:vAlign w:val="center"/>
          </w:tcPr>
          <w:p w14:paraId="790522CD">
            <w:pPr>
              <w:textAlignment w:val="baseline"/>
              <w:rPr>
                <w:rFonts w:hint="eastAsia" w:ascii="宋体" w:hAnsi="宋体" w:cs="宋体"/>
                <w:color w:val="auto"/>
                <w:sz w:val="18"/>
                <w:szCs w:val="18"/>
                <w:highlight w:val="none"/>
              </w:rPr>
            </w:pPr>
          </w:p>
        </w:tc>
      </w:tr>
      <w:tr w14:paraId="328EDB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0AB4E0D">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2.12</w:t>
            </w:r>
          </w:p>
        </w:tc>
        <w:tc>
          <w:tcPr>
            <w:tcW w:w="7219" w:type="dxa"/>
            <w:noWrap w:val="0"/>
            <w:vAlign w:val="center"/>
          </w:tcPr>
          <w:p w14:paraId="3419DFD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系统软件占用CPU的资源小于等于5%，系统运行稳定，启动成功率&gt;99%，有效防止因CPU负载过高而造成的死机现象，保证教学质量；系统软件与Windows10 64位系统具有很好的兼容性；</w:t>
            </w:r>
          </w:p>
        </w:tc>
        <w:tc>
          <w:tcPr>
            <w:tcW w:w="976" w:type="dxa"/>
            <w:noWrap w:val="0"/>
            <w:vAlign w:val="center"/>
          </w:tcPr>
          <w:p w14:paraId="66ABC06C">
            <w:pPr>
              <w:textAlignment w:val="baseline"/>
              <w:rPr>
                <w:rFonts w:hint="eastAsia" w:ascii="宋体" w:hAnsi="宋体" w:cs="宋体"/>
                <w:color w:val="auto"/>
                <w:sz w:val="18"/>
                <w:szCs w:val="18"/>
                <w:highlight w:val="none"/>
              </w:rPr>
            </w:pPr>
          </w:p>
        </w:tc>
      </w:tr>
      <w:tr w14:paraId="78F776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375904">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2.13</w:t>
            </w:r>
          </w:p>
        </w:tc>
        <w:tc>
          <w:tcPr>
            <w:tcW w:w="7219" w:type="dxa"/>
            <w:noWrap w:val="0"/>
            <w:vAlign w:val="center"/>
          </w:tcPr>
          <w:p w14:paraId="0A3705E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教师个性化功能设置：每位老师可根据自己的使用习惯、功能需求建立自己的个性化账号来保存软件设置，打开软件时只需选择对应的账号名称即可享受独有的个性教学模式，教师账号之间的软件设置互不影响；</w:t>
            </w:r>
          </w:p>
        </w:tc>
        <w:tc>
          <w:tcPr>
            <w:tcW w:w="976" w:type="dxa"/>
            <w:noWrap w:val="0"/>
            <w:vAlign w:val="center"/>
          </w:tcPr>
          <w:p w14:paraId="15B23F7D">
            <w:pPr>
              <w:textAlignment w:val="baseline"/>
              <w:rPr>
                <w:rFonts w:hint="eastAsia" w:ascii="宋体" w:hAnsi="宋体" w:cs="宋体"/>
                <w:color w:val="auto"/>
                <w:sz w:val="18"/>
                <w:szCs w:val="18"/>
                <w:highlight w:val="none"/>
              </w:rPr>
            </w:pPr>
          </w:p>
        </w:tc>
      </w:tr>
      <w:tr w14:paraId="4E55E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C6AFA70">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2.14</w:t>
            </w:r>
          </w:p>
        </w:tc>
        <w:tc>
          <w:tcPr>
            <w:tcW w:w="7219" w:type="dxa"/>
            <w:noWrap w:val="0"/>
            <w:vAlign w:val="center"/>
          </w:tcPr>
          <w:p w14:paraId="07760DA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支持不少于52个译员通道，教师端软件可将全班同学任意设置为传译员、会议代表、旁听席，例如把旁听席设置为传译员，把传译员设置为会议代表，把全班同学设置为传译员等不同角色互换；</w:t>
            </w:r>
          </w:p>
        </w:tc>
        <w:tc>
          <w:tcPr>
            <w:tcW w:w="976" w:type="dxa"/>
            <w:noWrap w:val="0"/>
            <w:vAlign w:val="center"/>
          </w:tcPr>
          <w:p w14:paraId="02F7FD5B">
            <w:pPr>
              <w:textAlignment w:val="baseline"/>
              <w:rPr>
                <w:rFonts w:hint="eastAsia" w:ascii="宋体" w:hAnsi="宋体" w:cs="宋体"/>
                <w:color w:val="auto"/>
                <w:sz w:val="18"/>
                <w:szCs w:val="18"/>
                <w:highlight w:val="none"/>
              </w:rPr>
            </w:pPr>
          </w:p>
        </w:tc>
      </w:tr>
      <w:tr w14:paraId="022604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D29B830">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2.15</w:t>
            </w:r>
          </w:p>
        </w:tc>
        <w:tc>
          <w:tcPr>
            <w:tcW w:w="7219" w:type="dxa"/>
            <w:noWrap w:val="0"/>
            <w:vAlign w:val="center"/>
          </w:tcPr>
          <w:p w14:paraId="0AA8B0D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老师可根据学生表现给每一位学生评分和注释评语，绩效评定可以多样化选择，例如：A,B,C,D,E,F、通过和不及格等；支持生成评分等级报告，该报告窗口能显示日期、时间、姓名、评语、没有获得评分等级、缺席学生列表等信息；支持放大或缩小报告视图，并可打印、保存； </w:t>
            </w:r>
          </w:p>
        </w:tc>
        <w:tc>
          <w:tcPr>
            <w:tcW w:w="976" w:type="dxa"/>
            <w:noWrap w:val="0"/>
            <w:vAlign w:val="center"/>
          </w:tcPr>
          <w:p w14:paraId="43F710FA">
            <w:pPr>
              <w:textAlignment w:val="baseline"/>
              <w:rPr>
                <w:rFonts w:hint="eastAsia" w:ascii="宋体" w:hAnsi="宋体" w:cs="宋体"/>
                <w:color w:val="auto"/>
                <w:sz w:val="18"/>
                <w:szCs w:val="18"/>
                <w:highlight w:val="none"/>
              </w:rPr>
            </w:pPr>
          </w:p>
        </w:tc>
      </w:tr>
      <w:tr w14:paraId="7E2358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D29D6C6">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2.16</w:t>
            </w:r>
          </w:p>
        </w:tc>
        <w:tc>
          <w:tcPr>
            <w:tcW w:w="7219" w:type="dxa"/>
            <w:noWrap w:val="0"/>
            <w:vAlign w:val="center"/>
          </w:tcPr>
          <w:p w14:paraId="7E68E24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软件需有录音功能，无需第三方软硬件，可对教师音轨和全部学生端（含译员席、代表席、发言席等角色）音轨有选择性录音；不少于3种录音格式，既可以采用主流的MP3、WMA数字编码格式，也可以采用高质量的WAV格式；</w:t>
            </w:r>
          </w:p>
        </w:tc>
        <w:tc>
          <w:tcPr>
            <w:tcW w:w="976" w:type="dxa"/>
            <w:noWrap w:val="0"/>
            <w:vAlign w:val="center"/>
          </w:tcPr>
          <w:p w14:paraId="1B1CFAC9">
            <w:pPr>
              <w:textAlignment w:val="baseline"/>
              <w:rPr>
                <w:rFonts w:hint="eastAsia" w:ascii="宋体" w:hAnsi="宋体" w:cs="宋体"/>
                <w:color w:val="auto"/>
                <w:sz w:val="18"/>
                <w:szCs w:val="18"/>
                <w:highlight w:val="none"/>
              </w:rPr>
            </w:pPr>
          </w:p>
        </w:tc>
      </w:tr>
      <w:tr w14:paraId="6AD244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11C7BBB">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2.17</w:t>
            </w:r>
          </w:p>
        </w:tc>
        <w:tc>
          <w:tcPr>
            <w:tcW w:w="7219" w:type="dxa"/>
            <w:noWrap w:val="0"/>
            <w:vAlign w:val="center"/>
          </w:tcPr>
          <w:p w14:paraId="122D19C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系统软件支持20种语言文字操作界面，支持小语种教学；切换语种时，在语言列表中选择即可，无需重启系统软件或教师计算机；</w:t>
            </w:r>
            <w:r>
              <w:rPr>
                <w:rFonts w:hint="eastAsia" w:ascii="宋体" w:hAnsi="宋体" w:cs="宋体"/>
                <w:color w:val="auto"/>
                <w:szCs w:val="18"/>
                <w:highlight w:val="none"/>
              </w:rPr>
              <w:t>【演示内容（3）】</w:t>
            </w:r>
          </w:p>
        </w:tc>
        <w:tc>
          <w:tcPr>
            <w:tcW w:w="976" w:type="dxa"/>
            <w:noWrap w:val="0"/>
            <w:vAlign w:val="center"/>
          </w:tcPr>
          <w:p w14:paraId="346367AB">
            <w:pPr>
              <w:textAlignment w:val="baseline"/>
              <w:rPr>
                <w:rFonts w:hint="eastAsia" w:ascii="宋体" w:hAnsi="宋体" w:cs="宋体"/>
                <w:color w:val="auto"/>
                <w:sz w:val="18"/>
                <w:szCs w:val="18"/>
                <w:highlight w:val="none"/>
              </w:rPr>
            </w:pPr>
          </w:p>
        </w:tc>
      </w:tr>
      <w:tr w14:paraId="23865E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EA77C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2.18</w:t>
            </w:r>
          </w:p>
        </w:tc>
        <w:tc>
          <w:tcPr>
            <w:tcW w:w="7219" w:type="dxa"/>
            <w:noWrap w:val="0"/>
            <w:vAlign w:val="center"/>
          </w:tcPr>
          <w:p w14:paraId="35B8382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系统软件关闭时支持学生端保持开启或关闭状态，支持个性化登录或退出状态，学生端带指示灯闪烁（或其它方式）提示，点击按钮即可进入教学模式； 支持个性化选择课程活动，不同老师根据教学需求勾选不同类型课程活动，未被勾选的活动就不会在活动列表中显示；</w:t>
            </w:r>
          </w:p>
        </w:tc>
        <w:tc>
          <w:tcPr>
            <w:tcW w:w="976" w:type="dxa"/>
            <w:noWrap w:val="0"/>
            <w:vAlign w:val="center"/>
          </w:tcPr>
          <w:p w14:paraId="5799DD65">
            <w:pPr>
              <w:textAlignment w:val="baseline"/>
              <w:rPr>
                <w:rFonts w:hint="eastAsia" w:ascii="宋体" w:hAnsi="宋体" w:cs="宋体"/>
                <w:color w:val="auto"/>
                <w:sz w:val="18"/>
                <w:szCs w:val="18"/>
                <w:highlight w:val="none"/>
              </w:rPr>
            </w:pPr>
          </w:p>
        </w:tc>
      </w:tr>
      <w:tr w14:paraId="5EA825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724A8C3">
            <w:pPr>
              <w:numPr>
                <w:ilvl w:val="0"/>
                <w:numId w:val="0"/>
              </w:numPr>
              <w:tabs>
                <w:tab w:val="left" w:pos="420"/>
              </w:tabs>
              <w:ind w:left="0" w:leftChars="0" w:firstLine="0"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bCs/>
                <w:color w:val="auto"/>
                <w:kern w:val="2"/>
                <w:sz w:val="18"/>
                <w:szCs w:val="18"/>
                <w:highlight w:val="none"/>
                <w:lang w:val="en-US" w:eastAsia="zh-CN" w:bidi="ar-SA"/>
              </w:rPr>
              <w:t>3</w:t>
            </w:r>
          </w:p>
        </w:tc>
        <w:tc>
          <w:tcPr>
            <w:tcW w:w="7219" w:type="dxa"/>
            <w:noWrap w:val="0"/>
            <w:vAlign w:val="center"/>
          </w:tcPr>
          <w:p w14:paraId="1F6E5DCE">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口译语料库教学实训平台</w:t>
            </w:r>
          </w:p>
        </w:tc>
        <w:tc>
          <w:tcPr>
            <w:tcW w:w="976" w:type="dxa"/>
            <w:noWrap w:val="0"/>
            <w:vAlign w:val="center"/>
          </w:tcPr>
          <w:p w14:paraId="47926CB6">
            <w:pPr>
              <w:textAlignment w:val="baseline"/>
              <w:rPr>
                <w:rFonts w:hint="eastAsia" w:ascii="宋体" w:hAnsi="宋体" w:cs="宋体"/>
                <w:color w:val="auto"/>
                <w:sz w:val="18"/>
                <w:szCs w:val="18"/>
                <w:highlight w:val="none"/>
              </w:rPr>
            </w:pPr>
          </w:p>
        </w:tc>
      </w:tr>
      <w:tr w14:paraId="73C32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0DFBD51">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w:t>
            </w:r>
          </w:p>
        </w:tc>
        <w:tc>
          <w:tcPr>
            <w:tcW w:w="7219" w:type="dxa"/>
            <w:noWrap w:val="0"/>
            <w:vAlign w:val="center"/>
          </w:tcPr>
          <w:p w14:paraId="244FA7A4">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外语专业所需要的科研、教学用中英文双语平行语料库，涵盖文学、商务、科技等众多领域口译双语平行语料库。口译语料库分类容量达到500小时，每年提供口译双语平行语料库语料50-100小时的免费更新；</w:t>
            </w:r>
          </w:p>
        </w:tc>
        <w:tc>
          <w:tcPr>
            <w:tcW w:w="976" w:type="dxa"/>
            <w:noWrap w:val="0"/>
            <w:vAlign w:val="center"/>
          </w:tcPr>
          <w:p w14:paraId="74B2C7A9">
            <w:pPr>
              <w:textAlignment w:val="baseline"/>
              <w:rPr>
                <w:rFonts w:hint="eastAsia" w:ascii="宋体" w:hAnsi="宋体" w:cs="宋体"/>
                <w:color w:val="auto"/>
                <w:sz w:val="18"/>
                <w:szCs w:val="18"/>
                <w:highlight w:val="none"/>
              </w:rPr>
            </w:pPr>
          </w:p>
        </w:tc>
      </w:tr>
      <w:tr w14:paraId="1E8D2C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847F01A">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3.2</w:t>
            </w:r>
          </w:p>
        </w:tc>
        <w:tc>
          <w:tcPr>
            <w:tcW w:w="7219" w:type="dxa"/>
            <w:noWrap w:val="0"/>
            <w:vAlign w:val="center"/>
          </w:tcPr>
          <w:p w14:paraId="75BFF801">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口译双语平行语料库训练材料可按照不同主题、不同题材、不同难度进行分类检索，教师可根据自身的教学需要检索所需材料；</w:t>
            </w:r>
          </w:p>
        </w:tc>
        <w:tc>
          <w:tcPr>
            <w:tcW w:w="976" w:type="dxa"/>
            <w:noWrap w:val="0"/>
            <w:vAlign w:val="center"/>
          </w:tcPr>
          <w:p w14:paraId="5DFF824B">
            <w:pPr>
              <w:textAlignment w:val="baseline"/>
              <w:rPr>
                <w:rFonts w:hint="eastAsia" w:ascii="宋体" w:hAnsi="宋体" w:cs="宋体"/>
                <w:color w:val="auto"/>
                <w:sz w:val="18"/>
                <w:szCs w:val="18"/>
                <w:highlight w:val="none"/>
              </w:rPr>
            </w:pPr>
          </w:p>
        </w:tc>
      </w:tr>
      <w:tr w14:paraId="0DC27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16CEF6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3.3</w:t>
            </w:r>
          </w:p>
        </w:tc>
        <w:tc>
          <w:tcPr>
            <w:tcW w:w="7219" w:type="dxa"/>
            <w:noWrap w:val="0"/>
            <w:vAlign w:val="center"/>
          </w:tcPr>
          <w:p w14:paraId="4BD8A1E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必须满足实训应用语料库，以同时满足口译教学及自主训练需要。要求为英汉双语平行语料库，而不是一般的外语学科资源库；所有语料均经过分类加工，根据句子的长短，剪切成时长为30、60、90、120秒左右的小颗粒音频素材，双语平行语料（包括音频、文本）经过专业剪辑，实现原文音频和文本、参考译文音频和文本四点对齐；训练开始后可随时调取原文、参考译文或原译文对照文本，可进行短期记忆、跟读训练、交替传译、同声传译、视译等多种翻译教学及自主训练；</w:t>
            </w:r>
            <w:r>
              <w:rPr>
                <w:rFonts w:hint="eastAsia" w:ascii="宋体" w:hAnsi="宋体" w:cs="宋体"/>
                <w:color w:val="auto"/>
                <w:szCs w:val="18"/>
                <w:highlight w:val="none"/>
              </w:rPr>
              <w:t>【演示内容（4）】</w:t>
            </w:r>
          </w:p>
        </w:tc>
        <w:tc>
          <w:tcPr>
            <w:tcW w:w="976" w:type="dxa"/>
            <w:noWrap w:val="0"/>
            <w:vAlign w:val="center"/>
          </w:tcPr>
          <w:p w14:paraId="40B2DF17">
            <w:pPr>
              <w:textAlignment w:val="baseline"/>
              <w:rPr>
                <w:rFonts w:hint="eastAsia" w:ascii="宋体" w:hAnsi="宋体" w:cs="宋体"/>
                <w:color w:val="auto"/>
                <w:sz w:val="18"/>
                <w:szCs w:val="18"/>
                <w:highlight w:val="none"/>
              </w:rPr>
            </w:pPr>
          </w:p>
        </w:tc>
      </w:tr>
      <w:tr w14:paraId="3FE34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FA37925">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3.4</w:t>
            </w:r>
          </w:p>
        </w:tc>
        <w:tc>
          <w:tcPr>
            <w:tcW w:w="7219" w:type="dxa"/>
            <w:noWrap w:val="0"/>
            <w:vAlign w:val="center"/>
          </w:tcPr>
          <w:p w14:paraId="4F490935">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具有口译教学常规功能：短期记忆训练、跟读训练、文本视译训练、交替传译训练、同声传译训练等。同时还应附带原音变速、干扰、多音轨录音及播放；</w:t>
            </w:r>
          </w:p>
        </w:tc>
        <w:tc>
          <w:tcPr>
            <w:tcW w:w="976" w:type="dxa"/>
            <w:noWrap w:val="0"/>
            <w:vAlign w:val="center"/>
          </w:tcPr>
          <w:p w14:paraId="210E5EE3">
            <w:pPr>
              <w:textAlignment w:val="baseline"/>
              <w:rPr>
                <w:rFonts w:hint="eastAsia" w:ascii="宋体" w:hAnsi="宋体" w:cs="宋体"/>
                <w:color w:val="auto"/>
                <w:sz w:val="18"/>
                <w:szCs w:val="18"/>
                <w:highlight w:val="none"/>
              </w:rPr>
            </w:pPr>
          </w:p>
        </w:tc>
      </w:tr>
      <w:tr w14:paraId="67503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F1FF15F">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3.5</w:t>
            </w:r>
          </w:p>
        </w:tc>
        <w:tc>
          <w:tcPr>
            <w:tcW w:w="7219" w:type="dxa"/>
            <w:noWrap w:val="0"/>
            <w:vAlign w:val="center"/>
          </w:tcPr>
          <w:p w14:paraId="5C6CF70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具有笔记法书写功能（笔记符号书写，笔记页面收发功能），满足提高课堂教学效率的需要，笔记法书写功能可额外配套专业书写板使用；</w:t>
            </w:r>
            <w:r>
              <w:rPr>
                <w:rFonts w:hint="eastAsia" w:ascii="宋体" w:hAnsi="宋体" w:cs="宋体"/>
                <w:color w:val="auto"/>
                <w:szCs w:val="18"/>
                <w:highlight w:val="none"/>
              </w:rPr>
              <w:t>【演示内容（5）】</w:t>
            </w:r>
          </w:p>
        </w:tc>
        <w:tc>
          <w:tcPr>
            <w:tcW w:w="976" w:type="dxa"/>
            <w:noWrap w:val="0"/>
            <w:vAlign w:val="center"/>
          </w:tcPr>
          <w:p w14:paraId="281F4F38">
            <w:pPr>
              <w:textAlignment w:val="baseline"/>
              <w:rPr>
                <w:rFonts w:hint="eastAsia" w:ascii="宋体" w:hAnsi="宋体" w:cs="宋体"/>
                <w:color w:val="auto"/>
                <w:sz w:val="18"/>
                <w:szCs w:val="18"/>
                <w:highlight w:val="none"/>
              </w:rPr>
            </w:pPr>
          </w:p>
        </w:tc>
      </w:tr>
      <w:tr w14:paraId="178605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CE82E7">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3.6</w:t>
            </w:r>
          </w:p>
        </w:tc>
        <w:tc>
          <w:tcPr>
            <w:tcW w:w="7219" w:type="dxa"/>
            <w:noWrap w:val="0"/>
            <w:vAlign w:val="center"/>
          </w:tcPr>
          <w:p w14:paraId="3EDB12A0">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系统可根据学生所选择的训练项目自动开始或停止录音；在自主训练结束后，学生可以打开“原文文本”和“译文文本”，对刚才的翻译训练结果进行比对，可以进行干扰训练等；</w:t>
            </w:r>
          </w:p>
        </w:tc>
        <w:tc>
          <w:tcPr>
            <w:tcW w:w="976" w:type="dxa"/>
            <w:noWrap w:val="0"/>
            <w:vAlign w:val="center"/>
          </w:tcPr>
          <w:p w14:paraId="6E06A116">
            <w:pPr>
              <w:textAlignment w:val="baseline"/>
              <w:rPr>
                <w:rFonts w:hint="eastAsia" w:ascii="宋体" w:hAnsi="宋体" w:cs="宋体"/>
                <w:color w:val="auto"/>
                <w:sz w:val="18"/>
                <w:szCs w:val="18"/>
                <w:highlight w:val="none"/>
              </w:rPr>
            </w:pPr>
          </w:p>
        </w:tc>
      </w:tr>
      <w:tr w14:paraId="49952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7348794">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3.7</w:t>
            </w:r>
          </w:p>
        </w:tc>
        <w:tc>
          <w:tcPr>
            <w:tcW w:w="7219" w:type="dxa"/>
            <w:noWrap w:val="0"/>
            <w:vAlign w:val="center"/>
          </w:tcPr>
          <w:p w14:paraId="3FD65711">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学生能实现自主口译实训功能，学生端可点击本地服务器内任意语料，在没有教师值守的情况下可自由进行全方位自主口译训练等。课程结束后，学生可通过移动设备将本堂课所有练习内容的录音、笔记等资料带走，以便完成复习；</w:t>
            </w:r>
          </w:p>
        </w:tc>
        <w:tc>
          <w:tcPr>
            <w:tcW w:w="976" w:type="dxa"/>
            <w:noWrap w:val="0"/>
            <w:vAlign w:val="center"/>
          </w:tcPr>
          <w:p w14:paraId="4C3A1F5A">
            <w:pPr>
              <w:textAlignment w:val="baseline"/>
              <w:rPr>
                <w:rFonts w:hint="eastAsia" w:ascii="宋体" w:hAnsi="宋体" w:cs="宋体"/>
                <w:color w:val="auto"/>
                <w:sz w:val="18"/>
                <w:szCs w:val="18"/>
                <w:highlight w:val="none"/>
              </w:rPr>
            </w:pPr>
          </w:p>
        </w:tc>
      </w:tr>
      <w:tr w14:paraId="4F55A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880C6FF">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3.8</w:t>
            </w:r>
          </w:p>
        </w:tc>
        <w:tc>
          <w:tcPr>
            <w:tcW w:w="7219" w:type="dxa"/>
            <w:noWrap w:val="0"/>
            <w:vAlign w:val="center"/>
          </w:tcPr>
          <w:p w14:paraId="33E8A89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训练时具有多轨道录音，原音、译音既可以分开录音又可以混合录音，也可以分开选听也可以混合听录音内容，可以自由快进快退、添加干扰练习等功能；</w:t>
            </w:r>
            <w:r>
              <w:rPr>
                <w:rFonts w:hint="eastAsia" w:ascii="宋体" w:hAnsi="宋体" w:cs="宋体"/>
                <w:color w:val="auto"/>
                <w:szCs w:val="18"/>
                <w:highlight w:val="none"/>
              </w:rPr>
              <w:t>【演示内容（6）】</w:t>
            </w:r>
          </w:p>
        </w:tc>
        <w:tc>
          <w:tcPr>
            <w:tcW w:w="976" w:type="dxa"/>
            <w:noWrap w:val="0"/>
            <w:vAlign w:val="center"/>
          </w:tcPr>
          <w:p w14:paraId="65214BF3">
            <w:pPr>
              <w:textAlignment w:val="baseline"/>
              <w:rPr>
                <w:rFonts w:hint="eastAsia" w:ascii="宋体" w:hAnsi="宋体" w:cs="宋体"/>
                <w:color w:val="auto"/>
                <w:sz w:val="18"/>
                <w:szCs w:val="18"/>
                <w:highlight w:val="none"/>
              </w:rPr>
            </w:pPr>
          </w:p>
        </w:tc>
      </w:tr>
      <w:tr w14:paraId="5A61D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9F6B69E">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3.9</w:t>
            </w:r>
          </w:p>
        </w:tc>
        <w:tc>
          <w:tcPr>
            <w:tcW w:w="7219" w:type="dxa"/>
            <w:noWrap w:val="0"/>
            <w:vAlign w:val="center"/>
          </w:tcPr>
          <w:p w14:paraId="396B4D93">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由国家级重点语料库授权提供，涵盖政经、商务、科技等众多领域，国家级重点科研、教学用中英文双语平行语料库，具有独立知识产权。</w:t>
            </w:r>
          </w:p>
        </w:tc>
        <w:tc>
          <w:tcPr>
            <w:tcW w:w="976" w:type="dxa"/>
            <w:noWrap w:val="0"/>
            <w:vAlign w:val="center"/>
          </w:tcPr>
          <w:p w14:paraId="77E71C49">
            <w:pPr>
              <w:textAlignment w:val="baseline"/>
              <w:rPr>
                <w:rFonts w:hint="eastAsia" w:ascii="宋体" w:hAnsi="宋体" w:cs="宋体"/>
                <w:color w:val="auto"/>
                <w:sz w:val="18"/>
                <w:szCs w:val="18"/>
                <w:highlight w:val="none"/>
              </w:rPr>
            </w:pPr>
          </w:p>
        </w:tc>
      </w:tr>
      <w:tr w14:paraId="215E5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DF8773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3.10</w:t>
            </w:r>
          </w:p>
        </w:tc>
        <w:tc>
          <w:tcPr>
            <w:tcW w:w="7219" w:type="dxa"/>
            <w:noWrap w:val="0"/>
            <w:vAlign w:val="center"/>
          </w:tcPr>
          <w:p w14:paraId="09867B40">
            <w:pPr>
              <w:widowControl/>
              <w:jc w:val="left"/>
              <w:textAlignment w:val="center"/>
              <w:rPr>
                <w:rFonts w:ascii="宋体" w:hAnsi="宋体" w:cs="宋体"/>
                <w:b/>
                <w:bCs/>
                <w:color w:val="auto"/>
                <w:kern w:val="0"/>
                <w:szCs w:val="21"/>
                <w:highlight w:val="none"/>
                <w:lang w:bidi="ar"/>
              </w:rPr>
            </w:pPr>
            <w:r>
              <w:rPr>
                <w:rFonts w:hint="eastAsia"/>
                <w:color w:val="auto"/>
                <w:highlight w:val="none"/>
              </w:rPr>
              <w:t>提供教学和实训应用语料库证明</w:t>
            </w:r>
          </w:p>
        </w:tc>
        <w:tc>
          <w:tcPr>
            <w:tcW w:w="976" w:type="dxa"/>
            <w:noWrap w:val="0"/>
            <w:vAlign w:val="center"/>
          </w:tcPr>
          <w:p w14:paraId="6D7C107D">
            <w:pPr>
              <w:textAlignment w:val="baseline"/>
              <w:rPr>
                <w:rFonts w:hint="eastAsia" w:ascii="宋体" w:hAnsi="宋体" w:cs="宋体"/>
                <w:color w:val="auto"/>
                <w:sz w:val="18"/>
                <w:szCs w:val="18"/>
                <w:highlight w:val="none"/>
              </w:rPr>
            </w:pPr>
          </w:p>
        </w:tc>
      </w:tr>
      <w:tr w14:paraId="7B3F1C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0C84136">
            <w:pPr>
              <w:numPr>
                <w:ilvl w:val="0"/>
                <w:numId w:val="0"/>
              </w:numPr>
              <w:tabs>
                <w:tab w:val="left" w:pos="420"/>
              </w:tabs>
              <w:ind w:left="0" w:leftChars="0" w:firstLine="0"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bCs/>
                <w:color w:val="auto"/>
                <w:kern w:val="2"/>
                <w:sz w:val="18"/>
                <w:szCs w:val="18"/>
                <w:highlight w:val="none"/>
                <w:lang w:val="en-US" w:eastAsia="zh-CN" w:bidi="ar-SA"/>
              </w:rPr>
              <w:t>4</w:t>
            </w:r>
          </w:p>
        </w:tc>
        <w:tc>
          <w:tcPr>
            <w:tcW w:w="7219" w:type="dxa"/>
            <w:noWrap w:val="0"/>
            <w:vAlign w:val="center"/>
          </w:tcPr>
          <w:p w14:paraId="11099774">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笔译标注型双语料库实训系统</w:t>
            </w:r>
          </w:p>
        </w:tc>
        <w:tc>
          <w:tcPr>
            <w:tcW w:w="976" w:type="dxa"/>
            <w:noWrap w:val="0"/>
            <w:vAlign w:val="center"/>
          </w:tcPr>
          <w:p w14:paraId="06F696A2">
            <w:pPr>
              <w:textAlignment w:val="baseline"/>
              <w:rPr>
                <w:rFonts w:hint="eastAsia" w:ascii="宋体" w:hAnsi="宋体" w:cs="宋体"/>
                <w:color w:val="auto"/>
                <w:sz w:val="18"/>
                <w:szCs w:val="18"/>
                <w:highlight w:val="none"/>
              </w:rPr>
            </w:pPr>
          </w:p>
        </w:tc>
      </w:tr>
      <w:tr w14:paraId="33EBE7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D30EF34">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4.1</w:t>
            </w:r>
          </w:p>
        </w:tc>
        <w:tc>
          <w:tcPr>
            <w:tcW w:w="7219" w:type="dxa"/>
            <w:noWrap w:val="0"/>
            <w:vAlign w:val="center"/>
          </w:tcPr>
          <w:p w14:paraId="5827CE4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要求B/S架构，具有：查询——提供语料按领域分类/标注类型/语料名称多种语料检索/查看方式；训练/学习——用户完成训练后的自主学习功能，提交训练记录后可查看对照原文、训练译文和参考译文及笔译技巧知识点标注（含句意反译、被动语态、特殊句型、专有名词、隐喻处理、习语处理、语序调整、词性转换等笔译技巧知识点标注类型）</w:t>
            </w:r>
            <w:r>
              <w:rPr>
                <w:rFonts w:hint="eastAsia" w:ascii="宋体" w:hAnsi="宋体" w:cs="宋体"/>
                <w:color w:val="auto"/>
                <w:szCs w:val="18"/>
                <w:highlight w:val="none"/>
              </w:rPr>
              <w:t>【演示内容（7）】</w:t>
            </w:r>
            <w:r>
              <w:rPr>
                <w:rFonts w:hint="eastAsia" w:ascii="宋体" w:hAnsi="宋体" w:cs="宋体"/>
                <w:color w:val="auto"/>
                <w:kern w:val="0"/>
                <w:szCs w:val="21"/>
                <w:highlight w:val="none"/>
                <w:lang w:bidi="ar"/>
              </w:rPr>
              <w:t>。</w:t>
            </w:r>
          </w:p>
        </w:tc>
        <w:tc>
          <w:tcPr>
            <w:tcW w:w="976" w:type="dxa"/>
            <w:noWrap w:val="0"/>
            <w:vAlign w:val="center"/>
          </w:tcPr>
          <w:p w14:paraId="623B6148">
            <w:pPr>
              <w:textAlignment w:val="baseline"/>
              <w:rPr>
                <w:rFonts w:hint="eastAsia" w:ascii="宋体" w:hAnsi="宋体" w:cs="宋体"/>
                <w:color w:val="auto"/>
                <w:sz w:val="18"/>
                <w:szCs w:val="18"/>
                <w:highlight w:val="none"/>
              </w:rPr>
            </w:pPr>
          </w:p>
        </w:tc>
      </w:tr>
      <w:tr w14:paraId="78A670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CACB0FC">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4.2</w:t>
            </w:r>
          </w:p>
        </w:tc>
        <w:tc>
          <w:tcPr>
            <w:tcW w:w="7219" w:type="dxa"/>
            <w:noWrap w:val="0"/>
            <w:vAlign w:val="center"/>
          </w:tcPr>
          <w:p w14:paraId="3865FB79">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标注型语料库科研管理生产功能，包括：语语料文本录入，支持常用格式编辑、不限文本长度/任意数量的添加标注、原文标注或译文标注的标注位置的原文和译文文本对齐，预览/保存/审核操作。</w:t>
            </w:r>
          </w:p>
        </w:tc>
        <w:tc>
          <w:tcPr>
            <w:tcW w:w="976" w:type="dxa"/>
            <w:noWrap w:val="0"/>
            <w:vAlign w:val="center"/>
          </w:tcPr>
          <w:p w14:paraId="21819639">
            <w:pPr>
              <w:textAlignment w:val="baseline"/>
              <w:rPr>
                <w:rFonts w:hint="eastAsia" w:ascii="宋体" w:hAnsi="宋体" w:cs="宋体"/>
                <w:color w:val="auto"/>
                <w:sz w:val="18"/>
                <w:szCs w:val="18"/>
                <w:highlight w:val="none"/>
              </w:rPr>
            </w:pPr>
          </w:p>
        </w:tc>
      </w:tr>
      <w:tr w14:paraId="01FB94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14:paraId="5F6F0F6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4.3</w:t>
            </w:r>
          </w:p>
        </w:tc>
        <w:tc>
          <w:tcPr>
            <w:tcW w:w="7219" w:type="dxa"/>
            <w:noWrap w:val="0"/>
            <w:vAlign w:val="center"/>
          </w:tcPr>
          <w:p w14:paraId="59342F75">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语料文本字数自动统计、多用户并发操作、多学科语料的标签管理并可预先添加标注类型供添加标注型语料时快速添加标注等。</w:t>
            </w:r>
          </w:p>
        </w:tc>
        <w:tc>
          <w:tcPr>
            <w:tcW w:w="976" w:type="dxa"/>
            <w:noWrap w:val="0"/>
            <w:vAlign w:val="center"/>
          </w:tcPr>
          <w:p w14:paraId="73C2DA44">
            <w:pPr>
              <w:textAlignment w:val="baseline"/>
              <w:rPr>
                <w:rFonts w:hint="eastAsia" w:ascii="宋体" w:hAnsi="宋体" w:cs="宋体"/>
                <w:color w:val="auto"/>
                <w:sz w:val="18"/>
                <w:szCs w:val="18"/>
                <w:highlight w:val="none"/>
              </w:rPr>
            </w:pPr>
          </w:p>
        </w:tc>
      </w:tr>
      <w:tr w14:paraId="386628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76F5F78">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4.4</w:t>
            </w:r>
          </w:p>
        </w:tc>
        <w:tc>
          <w:tcPr>
            <w:tcW w:w="7219" w:type="dxa"/>
            <w:noWrap w:val="0"/>
            <w:vAlign w:val="center"/>
          </w:tcPr>
          <w:p w14:paraId="054BD07D">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提供检测报告、语料库使用来源证明。</w:t>
            </w:r>
          </w:p>
        </w:tc>
        <w:tc>
          <w:tcPr>
            <w:tcW w:w="976" w:type="dxa"/>
            <w:noWrap w:val="0"/>
            <w:vAlign w:val="center"/>
          </w:tcPr>
          <w:p w14:paraId="1473FFBB">
            <w:pPr>
              <w:textAlignment w:val="baseline"/>
              <w:rPr>
                <w:rFonts w:hint="eastAsia" w:ascii="宋体" w:hAnsi="宋体" w:cs="宋体"/>
                <w:color w:val="auto"/>
                <w:sz w:val="18"/>
                <w:szCs w:val="18"/>
                <w:highlight w:val="none"/>
              </w:rPr>
            </w:pPr>
          </w:p>
        </w:tc>
      </w:tr>
      <w:tr w14:paraId="76E7D0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60D538F">
            <w:pPr>
              <w:numPr>
                <w:ilvl w:val="0"/>
                <w:numId w:val="0"/>
              </w:numPr>
              <w:tabs>
                <w:tab w:val="left" w:pos="420"/>
              </w:tabs>
              <w:ind w:left="0" w:leftChars="0" w:firstLine="0"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bCs/>
                <w:color w:val="auto"/>
                <w:kern w:val="2"/>
                <w:sz w:val="18"/>
                <w:szCs w:val="18"/>
                <w:highlight w:val="none"/>
                <w:lang w:val="en-US" w:eastAsia="zh-CN" w:bidi="ar-SA"/>
              </w:rPr>
              <w:t>5</w:t>
            </w:r>
          </w:p>
        </w:tc>
        <w:tc>
          <w:tcPr>
            <w:tcW w:w="7219" w:type="dxa"/>
            <w:noWrap w:val="0"/>
            <w:vAlign w:val="center"/>
          </w:tcPr>
          <w:p w14:paraId="38DBA5B4">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计算机辅助翻译教学实训系统</w:t>
            </w:r>
          </w:p>
        </w:tc>
        <w:tc>
          <w:tcPr>
            <w:tcW w:w="976" w:type="dxa"/>
            <w:noWrap w:val="0"/>
            <w:vAlign w:val="center"/>
          </w:tcPr>
          <w:p w14:paraId="2561A92B">
            <w:pPr>
              <w:textAlignment w:val="baseline"/>
              <w:rPr>
                <w:rFonts w:hint="eastAsia" w:ascii="宋体" w:hAnsi="宋体" w:cs="宋体"/>
                <w:color w:val="auto"/>
                <w:sz w:val="18"/>
                <w:szCs w:val="18"/>
                <w:highlight w:val="none"/>
              </w:rPr>
            </w:pPr>
          </w:p>
        </w:tc>
      </w:tr>
      <w:tr w14:paraId="7B8A5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D6929E3">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5.1</w:t>
            </w:r>
          </w:p>
        </w:tc>
        <w:tc>
          <w:tcPr>
            <w:tcW w:w="7219" w:type="dxa"/>
            <w:noWrap w:val="0"/>
            <w:vAlign w:val="center"/>
          </w:tcPr>
          <w:p w14:paraId="24CEFA5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项目成绩管理功能。项目成绩是以每次测试的项目进行统计。在‘成绩统计’中可查看参与本项目测试的学生信息列表，包括：姓名、学号、原文字数、译文字数、完成百分比、错误条数及分数，系统界面右下侧会自动统计本次测试的平均分数。教师可直接导出当前成绩信息，通过‘导出’按钮，即可将参与本次项目测试的学生成绩信息导出成Excel文档。学生合格翻译量统计管理功能。学生合格翻译量以每个学生所参与的所有项目进行统计，在“学生成绩”中可查看该学生参与的所有项目的项目信息，包括：项目名、文件名、原文字数、译文字数、译文句数、正确译文字数、正确译文句数、完成百分比、分数、是否合格、完成时间等项目信息，同时教师可根据学生学习状况设置合格分数以判定并记录学生的合格翻译量。</w:t>
            </w:r>
          </w:p>
        </w:tc>
        <w:tc>
          <w:tcPr>
            <w:tcW w:w="976" w:type="dxa"/>
            <w:noWrap w:val="0"/>
            <w:vAlign w:val="center"/>
          </w:tcPr>
          <w:p w14:paraId="2B03411E">
            <w:pPr>
              <w:textAlignment w:val="baseline"/>
              <w:rPr>
                <w:rFonts w:hint="eastAsia" w:ascii="宋体" w:hAnsi="宋体" w:cs="宋体"/>
                <w:color w:val="auto"/>
                <w:sz w:val="18"/>
                <w:szCs w:val="18"/>
                <w:highlight w:val="none"/>
              </w:rPr>
            </w:pPr>
          </w:p>
        </w:tc>
      </w:tr>
      <w:tr w14:paraId="1421E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D11857F">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5.2</w:t>
            </w:r>
          </w:p>
        </w:tc>
        <w:tc>
          <w:tcPr>
            <w:tcW w:w="7219" w:type="dxa"/>
            <w:noWrap w:val="0"/>
            <w:vAlign w:val="center"/>
          </w:tcPr>
          <w:p w14:paraId="733A855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批改功能（审校功能）。学生每提交一句翻译，教师即可通过教师端进行实时批改（审校）并将批改（审校）后的内容即时反馈给学生（学生端可即时看到教师批改或修订的内容）。学生完成整体翻译项目后，教师可以根据系统自动统计的正确行数，错误行数以及正确率等数据对学生的翻译项目进行评分</w:t>
            </w:r>
            <w:r>
              <w:rPr>
                <w:rFonts w:hint="eastAsia" w:ascii="宋体" w:hAnsi="宋体" w:cs="宋体"/>
                <w:b/>
                <w:bCs/>
                <w:color w:val="auto"/>
                <w:szCs w:val="21"/>
                <w:highlight w:val="none"/>
              </w:rPr>
              <w:t>。</w:t>
            </w:r>
            <w:r>
              <w:rPr>
                <w:rFonts w:hint="eastAsia" w:ascii="宋体" w:hAnsi="宋体" w:cs="宋体"/>
                <w:color w:val="auto"/>
                <w:szCs w:val="21"/>
                <w:highlight w:val="none"/>
              </w:rPr>
              <w:t>导出译文或对照文功能。教师可以将学生翻译的译文直接导出，系统支持导出纯译文或对照文，其中导出对照文又包括表格内对照或表表对照、原文在前或译文在前、原文显示修订标记或原译文显示修订标记3种对照格式。学生参与批改功能。在分配项目时，教师可以指定学生拥有批改权限，拥有权限的学生可登入教师端批改打分。</w:t>
            </w:r>
          </w:p>
        </w:tc>
        <w:tc>
          <w:tcPr>
            <w:tcW w:w="976" w:type="dxa"/>
            <w:noWrap w:val="0"/>
            <w:vAlign w:val="center"/>
          </w:tcPr>
          <w:p w14:paraId="53F6E3FC">
            <w:pPr>
              <w:textAlignment w:val="baseline"/>
              <w:rPr>
                <w:rFonts w:hint="eastAsia" w:ascii="宋体" w:hAnsi="宋体" w:cs="宋体"/>
                <w:color w:val="auto"/>
                <w:sz w:val="18"/>
                <w:szCs w:val="18"/>
                <w:highlight w:val="none"/>
              </w:rPr>
            </w:pPr>
          </w:p>
        </w:tc>
      </w:tr>
      <w:tr w14:paraId="679357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0E20A46">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5.3</w:t>
            </w:r>
          </w:p>
        </w:tc>
        <w:tc>
          <w:tcPr>
            <w:tcW w:w="7219" w:type="dxa"/>
            <w:noWrap w:val="0"/>
            <w:vAlign w:val="center"/>
          </w:tcPr>
          <w:p w14:paraId="7D33A5A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项目类型：用户可根据需要创建人工翻译和译后编辑项目，以体验译后编辑与人工翻译的区别。 CAD解析功能：系统可支持CAD图纸文件格式（dwg、dxf），以便学生掌握CAD图纸的翻译方法。</w:t>
            </w:r>
          </w:p>
        </w:tc>
        <w:tc>
          <w:tcPr>
            <w:tcW w:w="976" w:type="dxa"/>
            <w:noWrap w:val="0"/>
            <w:vAlign w:val="center"/>
          </w:tcPr>
          <w:p w14:paraId="5415B8E3">
            <w:pPr>
              <w:textAlignment w:val="baseline"/>
              <w:rPr>
                <w:rFonts w:hint="eastAsia" w:ascii="宋体" w:hAnsi="宋体" w:cs="宋体"/>
                <w:color w:val="auto"/>
                <w:sz w:val="18"/>
                <w:szCs w:val="18"/>
                <w:highlight w:val="none"/>
              </w:rPr>
            </w:pPr>
          </w:p>
        </w:tc>
      </w:tr>
      <w:tr w14:paraId="3F8CE2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BF62CE">
            <w:pPr>
              <w:numPr>
                <w:ilvl w:val="1"/>
                <w:numId w:val="0"/>
              </w:numPr>
              <w:tabs>
                <w:tab w:val="left" w:pos="420"/>
              </w:tabs>
              <w:ind w:left="567" w:leftChars="0" w:hanging="567" w:firstLineChars="0"/>
              <w:jc w:val="center"/>
              <w:textAlignment w:val="baseline"/>
              <w:rPr>
                <w:rFonts w:hint="eastAsia" w:ascii="宋体" w:hAnsi="宋体" w:cs="宋体"/>
                <w:b/>
                <w:bCs/>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5.4</w:t>
            </w:r>
          </w:p>
        </w:tc>
        <w:tc>
          <w:tcPr>
            <w:tcW w:w="7219" w:type="dxa"/>
            <w:noWrap w:val="0"/>
            <w:vAlign w:val="center"/>
          </w:tcPr>
          <w:p w14:paraId="279EA62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自动预处理功能：用户可一键对文件进行一系列预处理工作，包括锁定纯数字等明显不需要翻译的句段、锁定文件内容或文件间的重复句段、使用记忆库进行预翻译、使用机器翻译进行预翻译。 文件拆分功能：系统可按用户指定的份数和字数对稿件进行拆分，以便将同一稿件分配给多名学生翻译，且需按实时需要翻译的字数（即预处理后的字数）进行拆分，以便准确地分配任务。</w:t>
            </w:r>
          </w:p>
        </w:tc>
        <w:tc>
          <w:tcPr>
            <w:tcW w:w="976" w:type="dxa"/>
            <w:noWrap w:val="0"/>
            <w:vAlign w:val="center"/>
          </w:tcPr>
          <w:p w14:paraId="11F4F17C">
            <w:pPr>
              <w:textAlignment w:val="baseline"/>
              <w:rPr>
                <w:rFonts w:hint="eastAsia" w:ascii="宋体" w:hAnsi="宋体" w:cs="宋体"/>
                <w:color w:val="auto"/>
                <w:sz w:val="18"/>
                <w:szCs w:val="18"/>
                <w:highlight w:val="none"/>
              </w:rPr>
            </w:pPr>
          </w:p>
        </w:tc>
      </w:tr>
      <w:tr w14:paraId="06E734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801F4BC">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6</w:t>
            </w:r>
          </w:p>
        </w:tc>
        <w:tc>
          <w:tcPr>
            <w:tcW w:w="7219" w:type="dxa"/>
            <w:noWrap w:val="0"/>
            <w:vAlign w:val="center"/>
          </w:tcPr>
          <w:p w14:paraId="196A0DA5">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服务器</w:t>
            </w:r>
          </w:p>
        </w:tc>
        <w:tc>
          <w:tcPr>
            <w:tcW w:w="976" w:type="dxa"/>
            <w:noWrap w:val="0"/>
            <w:vAlign w:val="center"/>
          </w:tcPr>
          <w:p w14:paraId="7EB40141">
            <w:pPr>
              <w:textAlignment w:val="baseline"/>
              <w:rPr>
                <w:rFonts w:hint="eastAsia" w:ascii="宋体" w:hAnsi="宋体" w:cs="宋体"/>
                <w:color w:val="auto"/>
                <w:sz w:val="18"/>
                <w:szCs w:val="18"/>
                <w:highlight w:val="none"/>
              </w:rPr>
            </w:pPr>
          </w:p>
        </w:tc>
      </w:tr>
      <w:tr w14:paraId="7C23CC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3260AC8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6.1</w:t>
            </w:r>
          </w:p>
        </w:tc>
        <w:tc>
          <w:tcPr>
            <w:tcW w:w="7219" w:type="dxa"/>
            <w:noWrap w:val="0"/>
            <w:vAlign w:val="center"/>
          </w:tcPr>
          <w:p w14:paraId="3E87536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含教师主席控制器1台、发言席控制器1台、同传媒体音频处理服务器1台</w:t>
            </w:r>
          </w:p>
        </w:tc>
        <w:tc>
          <w:tcPr>
            <w:tcW w:w="976" w:type="dxa"/>
            <w:noWrap w:val="0"/>
            <w:vAlign w:val="center"/>
          </w:tcPr>
          <w:p w14:paraId="75CC807B">
            <w:pPr>
              <w:textAlignment w:val="baseline"/>
              <w:rPr>
                <w:rFonts w:hint="eastAsia" w:ascii="宋体" w:hAnsi="宋体" w:cs="宋体"/>
                <w:color w:val="auto"/>
                <w:sz w:val="18"/>
                <w:szCs w:val="18"/>
                <w:highlight w:val="none"/>
              </w:rPr>
            </w:pPr>
          </w:p>
        </w:tc>
      </w:tr>
      <w:tr w14:paraId="52DD60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2B54155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w:t>
            </w:r>
          </w:p>
        </w:tc>
        <w:tc>
          <w:tcPr>
            <w:tcW w:w="7219" w:type="dxa"/>
            <w:noWrap w:val="0"/>
            <w:vAlign w:val="center"/>
          </w:tcPr>
          <w:p w14:paraId="6A79B697">
            <w:pPr>
              <w:widowControl/>
              <w:jc w:val="left"/>
              <w:textAlignment w:val="cente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教师主席控制器</w:t>
            </w:r>
          </w:p>
        </w:tc>
        <w:tc>
          <w:tcPr>
            <w:tcW w:w="976" w:type="dxa"/>
            <w:noWrap w:val="0"/>
            <w:vAlign w:val="center"/>
          </w:tcPr>
          <w:p w14:paraId="5F9AEE65">
            <w:pPr>
              <w:textAlignment w:val="baseline"/>
              <w:rPr>
                <w:rFonts w:hint="eastAsia" w:ascii="宋体" w:hAnsi="宋体" w:cs="宋体"/>
                <w:color w:val="auto"/>
                <w:sz w:val="18"/>
                <w:szCs w:val="18"/>
                <w:highlight w:val="none"/>
              </w:rPr>
            </w:pPr>
          </w:p>
        </w:tc>
      </w:tr>
      <w:tr w14:paraId="54F1AE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0C90B654">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6.2.1</w:t>
            </w:r>
          </w:p>
        </w:tc>
        <w:tc>
          <w:tcPr>
            <w:tcW w:w="7219" w:type="dxa"/>
            <w:noWrap w:val="0"/>
            <w:vAlign w:val="center"/>
          </w:tcPr>
          <w:p w14:paraId="2795CAC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嵌入式安装；采用POE低压5V供电和通过网线进行数据传输；</w:t>
            </w:r>
          </w:p>
        </w:tc>
        <w:tc>
          <w:tcPr>
            <w:tcW w:w="976" w:type="dxa"/>
            <w:noWrap w:val="0"/>
            <w:vAlign w:val="center"/>
          </w:tcPr>
          <w:p w14:paraId="5A17BF15">
            <w:pPr>
              <w:textAlignment w:val="baseline"/>
              <w:rPr>
                <w:rFonts w:hint="eastAsia" w:ascii="宋体" w:hAnsi="宋体" w:cs="宋体"/>
                <w:color w:val="auto"/>
                <w:sz w:val="18"/>
                <w:szCs w:val="18"/>
                <w:highlight w:val="none"/>
              </w:rPr>
            </w:pPr>
          </w:p>
        </w:tc>
      </w:tr>
      <w:tr w14:paraId="44BC70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3DD3F6EC">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6.2.2</w:t>
            </w:r>
          </w:p>
        </w:tc>
        <w:tc>
          <w:tcPr>
            <w:tcW w:w="7219" w:type="dxa"/>
            <w:noWrap w:val="0"/>
            <w:vAlign w:val="center"/>
          </w:tcPr>
          <w:p w14:paraId="2F911A2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信噪比（恒定值）≥60dB；</w:t>
            </w:r>
          </w:p>
        </w:tc>
        <w:tc>
          <w:tcPr>
            <w:tcW w:w="976" w:type="dxa"/>
            <w:noWrap w:val="0"/>
            <w:vAlign w:val="center"/>
          </w:tcPr>
          <w:p w14:paraId="1F23CBCF">
            <w:pPr>
              <w:textAlignment w:val="baseline"/>
              <w:rPr>
                <w:rFonts w:hint="eastAsia" w:ascii="宋体" w:hAnsi="宋体" w:cs="宋体"/>
                <w:color w:val="auto"/>
                <w:sz w:val="18"/>
                <w:szCs w:val="18"/>
                <w:highlight w:val="none"/>
              </w:rPr>
            </w:pPr>
          </w:p>
        </w:tc>
      </w:tr>
      <w:tr w14:paraId="6EF27F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358B08C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6.2.3</w:t>
            </w:r>
          </w:p>
        </w:tc>
        <w:tc>
          <w:tcPr>
            <w:tcW w:w="7219" w:type="dxa"/>
            <w:noWrap w:val="0"/>
            <w:vAlign w:val="center"/>
          </w:tcPr>
          <w:p w14:paraId="29012F5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失真度≤1%；</w:t>
            </w:r>
          </w:p>
        </w:tc>
        <w:tc>
          <w:tcPr>
            <w:tcW w:w="976" w:type="dxa"/>
            <w:noWrap w:val="0"/>
            <w:vAlign w:val="center"/>
          </w:tcPr>
          <w:p w14:paraId="0CE92228">
            <w:pPr>
              <w:textAlignment w:val="baseline"/>
              <w:rPr>
                <w:rFonts w:hint="eastAsia" w:ascii="宋体" w:hAnsi="宋体" w:cs="宋体"/>
                <w:color w:val="auto"/>
                <w:sz w:val="18"/>
                <w:szCs w:val="18"/>
                <w:highlight w:val="none"/>
              </w:rPr>
            </w:pPr>
          </w:p>
        </w:tc>
      </w:tr>
      <w:tr w14:paraId="77141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4DBEBF37">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6.2.4</w:t>
            </w:r>
          </w:p>
        </w:tc>
        <w:tc>
          <w:tcPr>
            <w:tcW w:w="7219" w:type="dxa"/>
            <w:noWrap w:val="0"/>
            <w:vAlign w:val="center"/>
          </w:tcPr>
          <w:p w14:paraId="1237F938">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同步延时≤1ms；</w:t>
            </w:r>
          </w:p>
        </w:tc>
        <w:tc>
          <w:tcPr>
            <w:tcW w:w="976" w:type="dxa"/>
            <w:noWrap w:val="0"/>
            <w:vAlign w:val="center"/>
          </w:tcPr>
          <w:p w14:paraId="755B28CA">
            <w:pPr>
              <w:textAlignment w:val="baseline"/>
              <w:rPr>
                <w:rFonts w:hint="eastAsia" w:ascii="宋体" w:hAnsi="宋体" w:cs="宋体"/>
                <w:color w:val="auto"/>
                <w:sz w:val="18"/>
                <w:szCs w:val="18"/>
                <w:highlight w:val="none"/>
              </w:rPr>
            </w:pPr>
          </w:p>
        </w:tc>
      </w:tr>
      <w:tr w14:paraId="378EA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6B282E2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6.2.5</w:t>
            </w:r>
          </w:p>
        </w:tc>
        <w:tc>
          <w:tcPr>
            <w:tcW w:w="7219" w:type="dxa"/>
            <w:noWrap w:val="0"/>
            <w:vAlign w:val="center"/>
          </w:tcPr>
          <w:p w14:paraId="6496368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频率响应20Hz-15KHz；</w:t>
            </w:r>
          </w:p>
        </w:tc>
        <w:tc>
          <w:tcPr>
            <w:tcW w:w="976" w:type="dxa"/>
            <w:noWrap w:val="0"/>
            <w:vAlign w:val="center"/>
          </w:tcPr>
          <w:p w14:paraId="20B30000">
            <w:pPr>
              <w:textAlignment w:val="baseline"/>
              <w:rPr>
                <w:rFonts w:hint="eastAsia" w:ascii="宋体" w:hAnsi="宋体" w:cs="宋体"/>
                <w:color w:val="auto"/>
                <w:sz w:val="18"/>
                <w:szCs w:val="18"/>
                <w:highlight w:val="none"/>
              </w:rPr>
            </w:pPr>
          </w:p>
        </w:tc>
      </w:tr>
      <w:tr w14:paraId="29ABD3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4EBC1E52">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6.2.6</w:t>
            </w:r>
          </w:p>
        </w:tc>
        <w:tc>
          <w:tcPr>
            <w:tcW w:w="7219" w:type="dxa"/>
            <w:noWrap w:val="0"/>
            <w:vAlign w:val="center"/>
          </w:tcPr>
          <w:p w14:paraId="4E7E4AF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RJ45接口≥1个；</w:t>
            </w:r>
          </w:p>
        </w:tc>
        <w:tc>
          <w:tcPr>
            <w:tcW w:w="976" w:type="dxa"/>
            <w:noWrap w:val="0"/>
            <w:vAlign w:val="center"/>
          </w:tcPr>
          <w:p w14:paraId="3716247B">
            <w:pPr>
              <w:textAlignment w:val="baseline"/>
              <w:rPr>
                <w:rFonts w:hint="eastAsia" w:ascii="宋体" w:hAnsi="宋体" w:cs="宋体"/>
                <w:color w:val="auto"/>
                <w:sz w:val="18"/>
                <w:szCs w:val="18"/>
                <w:highlight w:val="none"/>
              </w:rPr>
            </w:pPr>
          </w:p>
        </w:tc>
      </w:tr>
      <w:tr w14:paraId="517E5F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57AA982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6.2.7</w:t>
            </w:r>
          </w:p>
        </w:tc>
        <w:tc>
          <w:tcPr>
            <w:tcW w:w="7219" w:type="dxa"/>
            <w:noWrap w:val="0"/>
            <w:vAlign w:val="center"/>
          </w:tcPr>
          <w:p w14:paraId="06188D5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面板采用LCD显示屏；</w:t>
            </w:r>
          </w:p>
        </w:tc>
        <w:tc>
          <w:tcPr>
            <w:tcW w:w="976" w:type="dxa"/>
            <w:noWrap w:val="0"/>
            <w:vAlign w:val="center"/>
          </w:tcPr>
          <w:p w14:paraId="5B8C3CD2">
            <w:pPr>
              <w:textAlignment w:val="baseline"/>
              <w:rPr>
                <w:rFonts w:hint="eastAsia" w:ascii="宋体" w:hAnsi="宋体" w:cs="宋体"/>
                <w:color w:val="auto"/>
                <w:sz w:val="18"/>
                <w:szCs w:val="18"/>
                <w:highlight w:val="none"/>
              </w:rPr>
            </w:pPr>
          </w:p>
        </w:tc>
      </w:tr>
      <w:tr w14:paraId="490DED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5F0BA5F0">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6.2.8</w:t>
            </w:r>
          </w:p>
        </w:tc>
        <w:tc>
          <w:tcPr>
            <w:tcW w:w="7219" w:type="dxa"/>
            <w:noWrap w:val="0"/>
            <w:vAlign w:val="center"/>
          </w:tcPr>
          <w:p w14:paraId="1225363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按钮式可调整音量并可在显示屏显示音量大小级别；</w:t>
            </w:r>
          </w:p>
        </w:tc>
        <w:tc>
          <w:tcPr>
            <w:tcW w:w="976" w:type="dxa"/>
            <w:noWrap w:val="0"/>
            <w:vAlign w:val="center"/>
          </w:tcPr>
          <w:p w14:paraId="363820F7">
            <w:pPr>
              <w:textAlignment w:val="baseline"/>
              <w:rPr>
                <w:rFonts w:hint="eastAsia" w:ascii="宋体" w:hAnsi="宋体" w:cs="宋体"/>
                <w:color w:val="auto"/>
                <w:sz w:val="18"/>
                <w:szCs w:val="18"/>
                <w:highlight w:val="none"/>
              </w:rPr>
            </w:pPr>
          </w:p>
        </w:tc>
      </w:tr>
      <w:tr w14:paraId="78B2D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0ED4F14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w:t>
            </w:r>
          </w:p>
        </w:tc>
        <w:tc>
          <w:tcPr>
            <w:tcW w:w="7219" w:type="dxa"/>
            <w:noWrap w:val="0"/>
            <w:vAlign w:val="center"/>
          </w:tcPr>
          <w:p w14:paraId="436D382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发言席控制器</w:t>
            </w:r>
          </w:p>
        </w:tc>
        <w:tc>
          <w:tcPr>
            <w:tcW w:w="976" w:type="dxa"/>
            <w:noWrap w:val="0"/>
            <w:vAlign w:val="center"/>
          </w:tcPr>
          <w:p w14:paraId="4EE1611D">
            <w:pPr>
              <w:textAlignment w:val="baseline"/>
              <w:rPr>
                <w:rFonts w:hint="eastAsia" w:ascii="宋体" w:hAnsi="宋体" w:cs="宋体"/>
                <w:color w:val="auto"/>
                <w:sz w:val="18"/>
                <w:szCs w:val="18"/>
                <w:highlight w:val="none"/>
              </w:rPr>
            </w:pPr>
          </w:p>
        </w:tc>
      </w:tr>
      <w:tr w14:paraId="7A122A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166BCCB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6.3.1</w:t>
            </w:r>
          </w:p>
        </w:tc>
        <w:tc>
          <w:tcPr>
            <w:tcW w:w="7219" w:type="dxa"/>
            <w:noWrap w:val="0"/>
            <w:vAlign w:val="center"/>
          </w:tcPr>
          <w:p w14:paraId="4B63A70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采用钢质结构，嵌入式安装；</w:t>
            </w:r>
          </w:p>
        </w:tc>
        <w:tc>
          <w:tcPr>
            <w:tcW w:w="976" w:type="dxa"/>
            <w:noWrap w:val="0"/>
            <w:vAlign w:val="center"/>
          </w:tcPr>
          <w:p w14:paraId="18024595">
            <w:pPr>
              <w:textAlignment w:val="baseline"/>
              <w:rPr>
                <w:rFonts w:hint="eastAsia" w:ascii="宋体" w:hAnsi="宋体" w:cs="宋体"/>
                <w:color w:val="auto"/>
                <w:sz w:val="18"/>
                <w:szCs w:val="18"/>
                <w:highlight w:val="none"/>
              </w:rPr>
            </w:pPr>
          </w:p>
        </w:tc>
      </w:tr>
      <w:tr w14:paraId="152E93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78478544">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6.3.2</w:t>
            </w:r>
          </w:p>
        </w:tc>
        <w:tc>
          <w:tcPr>
            <w:tcW w:w="7219" w:type="dxa"/>
            <w:noWrap w:val="0"/>
            <w:vAlign w:val="center"/>
          </w:tcPr>
          <w:p w14:paraId="6D8C86E8">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失真度≤1%；</w:t>
            </w:r>
          </w:p>
        </w:tc>
        <w:tc>
          <w:tcPr>
            <w:tcW w:w="976" w:type="dxa"/>
            <w:noWrap w:val="0"/>
            <w:vAlign w:val="center"/>
          </w:tcPr>
          <w:p w14:paraId="511568CC">
            <w:pPr>
              <w:textAlignment w:val="baseline"/>
              <w:rPr>
                <w:rFonts w:hint="eastAsia" w:ascii="宋体" w:hAnsi="宋体" w:cs="宋体"/>
                <w:color w:val="auto"/>
                <w:sz w:val="18"/>
                <w:szCs w:val="18"/>
                <w:highlight w:val="none"/>
              </w:rPr>
            </w:pPr>
          </w:p>
        </w:tc>
      </w:tr>
      <w:tr w14:paraId="266135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2D14625B">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6.3.3</w:t>
            </w:r>
          </w:p>
        </w:tc>
        <w:tc>
          <w:tcPr>
            <w:tcW w:w="7219" w:type="dxa"/>
            <w:noWrap w:val="0"/>
            <w:vAlign w:val="center"/>
          </w:tcPr>
          <w:p w14:paraId="04F5BCB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信噪比≥60dBA；</w:t>
            </w:r>
          </w:p>
        </w:tc>
        <w:tc>
          <w:tcPr>
            <w:tcW w:w="976" w:type="dxa"/>
            <w:noWrap w:val="0"/>
            <w:vAlign w:val="center"/>
          </w:tcPr>
          <w:p w14:paraId="01543B14">
            <w:pPr>
              <w:textAlignment w:val="baseline"/>
              <w:rPr>
                <w:rFonts w:hint="eastAsia" w:ascii="宋体" w:hAnsi="宋体" w:cs="宋体"/>
                <w:color w:val="auto"/>
                <w:sz w:val="18"/>
                <w:szCs w:val="18"/>
                <w:highlight w:val="none"/>
              </w:rPr>
            </w:pPr>
          </w:p>
        </w:tc>
      </w:tr>
      <w:tr w14:paraId="1D4C7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447A3D20">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6.3.4</w:t>
            </w:r>
          </w:p>
        </w:tc>
        <w:tc>
          <w:tcPr>
            <w:tcW w:w="7219" w:type="dxa"/>
            <w:noWrap w:val="0"/>
            <w:vAlign w:val="center"/>
          </w:tcPr>
          <w:p w14:paraId="213D284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频率：20Hz-15kHz；</w:t>
            </w:r>
          </w:p>
        </w:tc>
        <w:tc>
          <w:tcPr>
            <w:tcW w:w="976" w:type="dxa"/>
            <w:noWrap w:val="0"/>
            <w:vAlign w:val="center"/>
          </w:tcPr>
          <w:p w14:paraId="3B5D963C">
            <w:pPr>
              <w:textAlignment w:val="baseline"/>
              <w:rPr>
                <w:rFonts w:hint="eastAsia" w:ascii="宋体" w:hAnsi="宋体" w:cs="宋体"/>
                <w:color w:val="auto"/>
                <w:sz w:val="18"/>
                <w:szCs w:val="18"/>
                <w:highlight w:val="none"/>
              </w:rPr>
            </w:pPr>
          </w:p>
        </w:tc>
      </w:tr>
      <w:tr w14:paraId="16AE23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0C99CBB4">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6.3.5</w:t>
            </w:r>
          </w:p>
        </w:tc>
        <w:tc>
          <w:tcPr>
            <w:tcW w:w="7219" w:type="dxa"/>
            <w:noWrap w:val="0"/>
            <w:vAlign w:val="center"/>
          </w:tcPr>
          <w:p w14:paraId="2622763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发言席终端机到教师主控端使用网线连接进行数据传输，采用POE低压5V供电，中间无中继设备，无需额外电源转换供电或另增加POE交换机供电设备。</w:t>
            </w:r>
          </w:p>
        </w:tc>
        <w:tc>
          <w:tcPr>
            <w:tcW w:w="976" w:type="dxa"/>
            <w:noWrap w:val="0"/>
            <w:vAlign w:val="center"/>
          </w:tcPr>
          <w:p w14:paraId="759CB801">
            <w:pPr>
              <w:textAlignment w:val="baseline"/>
              <w:rPr>
                <w:rFonts w:hint="eastAsia" w:ascii="宋体" w:hAnsi="宋体" w:cs="宋体"/>
                <w:color w:val="auto"/>
                <w:sz w:val="18"/>
                <w:szCs w:val="18"/>
                <w:highlight w:val="none"/>
              </w:rPr>
            </w:pPr>
          </w:p>
        </w:tc>
      </w:tr>
      <w:tr w14:paraId="43DCE3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4CCBC7D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w:t>
            </w:r>
          </w:p>
        </w:tc>
        <w:tc>
          <w:tcPr>
            <w:tcW w:w="7219" w:type="dxa"/>
            <w:noWrap w:val="0"/>
            <w:vAlign w:val="center"/>
          </w:tcPr>
          <w:p w14:paraId="6171855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同传媒体音频处理服务器</w:t>
            </w:r>
          </w:p>
        </w:tc>
        <w:tc>
          <w:tcPr>
            <w:tcW w:w="976" w:type="dxa"/>
            <w:noWrap w:val="0"/>
            <w:vAlign w:val="center"/>
          </w:tcPr>
          <w:p w14:paraId="3FD65380">
            <w:pPr>
              <w:textAlignment w:val="baseline"/>
              <w:rPr>
                <w:rFonts w:hint="eastAsia" w:ascii="宋体" w:hAnsi="宋体" w:cs="宋体"/>
                <w:color w:val="auto"/>
                <w:sz w:val="18"/>
                <w:szCs w:val="18"/>
                <w:highlight w:val="none"/>
              </w:rPr>
            </w:pPr>
          </w:p>
        </w:tc>
      </w:tr>
      <w:tr w14:paraId="7C5467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6814C35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6.4.1</w:t>
            </w:r>
          </w:p>
        </w:tc>
        <w:tc>
          <w:tcPr>
            <w:tcW w:w="7219" w:type="dxa"/>
            <w:noWrap w:val="0"/>
            <w:vAlign w:val="center"/>
          </w:tcPr>
          <w:p w14:paraId="22034E0A">
            <w:pPr>
              <w:widowControl/>
              <w:jc w:val="left"/>
              <w:textAlignment w:val="center"/>
              <w:rPr>
                <w:rFonts w:hint="eastAsia" w:ascii="宋体" w:hAnsi="宋体" w:cs="宋体"/>
                <w:b/>
                <w:bCs/>
                <w:color w:val="auto"/>
                <w:kern w:val="0"/>
                <w:szCs w:val="21"/>
                <w:highlight w:val="none"/>
                <w:lang w:bidi="ar"/>
              </w:rPr>
            </w:pPr>
            <w:r>
              <w:rPr>
                <w:rStyle w:val="314"/>
                <w:rFonts w:hint="default"/>
                <w:color w:val="auto"/>
                <w:sz w:val="21"/>
                <w:szCs w:val="21"/>
                <w:highlight w:val="none"/>
                <w:lang w:bidi="ar"/>
              </w:rPr>
              <w:t>电压：115-230V，频率响应：50-60Hz，额定值：150W，取样比率：32KHz；</w:t>
            </w:r>
          </w:p>
        </w:tc>
        <w:tc>
          <w:tcPr>
            <w:tcW w:w="976" w:type="dxa"/>
            <w:noWrap w:val="0"/>
            <w:vAlign w:val="center"/>
          </w:tcPr>
          <w:p w14:paraId="68EBD84B">
            <w:pPr>
              <w:textAlignment w:val="baseline"/>
              <w:rPr>
                <w:rFonts w:hint="eastAsia" w:ascii="宋体" w:hAnsi="宋体" w:cs="宋体"/>
                <w:color w:val="auto"/>
                <w:sz w:val="18"/>
                <w:szCs w:val="18"/>
                <w:highlight w:val="none"/>
              </w:rPr>
            </w:pPr>
          </w:p>
        </w:tc>
      </w:tr>
      <w:tr w14:paraId="20C550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16C51FE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6.4.2</w:t>
            </w:r>
          </w:p>
        </w:tc>
        <w:tc>
          <w:tcPr>
            <w:tcW w:w="7219" w:type="dxa"/>
            <w:noWrap w:val="0"/>
            <w:vAlign w:val="center"/>
          </w:tcPr>
          <w:p w14:paraId="19A353C6">
            <w:pPr>
              <w:widowControl/>
              <w:jc w:val="left"/>
              <w:textAlignment w:val="center"/>
              <w:rPr>
                <w:rFonts w:hint="eastAsia" w:ascii="宋体" w:hAnsi="宋体" w:cs="宋体"/>
                <w:b/>
                <w:bCs/>
                <w:color w:val="auto"/>
                <w:kern w:val="0"/>
                <w:szCs w:val="21"/>
                <w:highlight w:val="none"/>
                <w:lang w:bidi="ar"/>
              </w:rPr>
            </w:pPr>
            <w:r>
              <w:rPr>
                <w:rStyle w:val="314"/>
                <w:rFonts w:hint="default"/>
                <w:color w:val="auto"/>
                <w:sz w:val="21"/>
                <w:szCs w:val="21"/>
                <w:highlight w:val="none"/>
                <w:lang w:bidi="ar"/>
              </w:rPr>
              <w:t>与同传系统同一品牌；预安装专业音频处理软件；</w:t>
            </w:r>
          </w:p>
        </w:tc>
        <w:tc>
          <w:tcPr>
            <w:tcW w:w="976" w:type="dxa"/>
            <w:noWrap w:val="0"/>
            <w:vAlign w:val="center"/>
          </w:tcPr>
          <w:p w14:paraId="6406D1C6">
            <w:pPr>
              <w:textAlignment w:val="baseline"/>
              <w:rPr>
                <w:rFonts w:hint="eastAsia" w:ascii="宋体" w:hAnsi="宋体" w:cs="宋体"/>
                <w:color w:val="auto"/>
                <w:sz w:val="18"/>
                <w:szCs w:val="18"/>
                <w:highlight w:val="none"/>
              </w:rPr>
            </w:pPr>
          </w:p>
        </w:tc>
      </w:tr>
      <w:tr w14:paraId="6660C9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580EEBE4">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6.4.3</w:t>
            </w:r>
          </w:p>
        </w:tc>
        <w:tc>
          <w:tcPr>
            <w:tcW w:w="7219" w:type="dxa"/>
            <w:noWrap w:val="0"/>
            <w:vAlign w:val="center"/>
          </w:tcPr>
          <w:p w14:paraId="17ACDE33">
            <w:pPr>
              <w:widowControl/>
              <w:jc w:val="left"/>
              <w:textAlignment w:val="center"/>
              <w:rPr>
                <w:rFonts w:hint="eastAsia" w:ascii="宋体" w:hAnsi="宋体" w:cs="宋体"/>
                <w:b/>
                <w:bCs/>
                <w:color w:val="auto"/>
                <w:kern w:val="0"/>
                <w:szCs w:val="21"/>
                <w:highlight w:val="none"/>
                <w:lang w:bidi="ar"/>
              </w:rPr>
            </w:pPr>
            <w:r>
              <w:rPr>
                <w:rStyle w:val="314"/>
                <w:rFonts w:hint="default"/>
                <w:color w:val="auto"/>
                <w:sz w:val="21"/>
                <w:szCs w:val="21"/>
                <w:highlight w:val="none"/>
                <w:lang w:bidi="ar"/>
              </w:rPr>
              <w:t>内置测试程序用于在同传系统开启时测试系统性能和主控设备连接的完好性；</w:t>
            </w:r>
          </w:p>
        </w:tc>
        <w:tc>
          <w:tcPr>
            <w:tcW w:w="976" w:type="dxa"/>
            <w:noWrap w:val="0"/>
            <w:vAlign w:val="center"/>
          </w:tcPr>
          <w:p w14:paraId="41A190B8">
            <w:pPr>
              <w:textAlignment w:val="baseline"/>
              <w:rPr>
                <w:rFonts w:hint="eastAsia" w:ascii="宋体" w:hAnsi="宋体" w:cs="宋体"/>
                <w:color w:val="auto"/>
                <w:sz w:val="18"/>
                <w:szCs w:val="18"/>
                <w:highlight w:val="none"/>
              </w:rPr>
            </w:pPr>
          </w:p>
        </w:tc>
      </w:tr>
      <w:tr w14:paraId="3B5DB0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41C46A0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6.4.4</w:t>
            </w:r>
          </w:p>
        </w:tc>
        <w:tc>
          <w:tcPr>
            <w:tcW w:w="7219" w:type="dxa"/>
            <w:noWrap w:val="0"/>
            <w:vAlign w:val="center"/>
          </w:tcPr>
          <w:p w14:paraId="244EA08E">
            <w:pPr>
              <w:widowControl/>
              <w:jc w:val="left"/>
              <w:textAlignment w:val="center"/>
              <w:rPr>
                <w:rFonts w:hint="eastAsia" w:ascii="宋体" w:hAnsi="宋体" w:cs="宋体"/>
                <w:b/>
                <w:bCs/>
                <w:color w:val="auto"/>
                <w:kern w:val="0"/>
                <w:szCs w:val="21"/>
                <w:highlight w:val="none"/>
                <w:lang w:bidi="ar"/>
              </w:rPr>
            </w:pPr>
            <w:r>
              <w:rPr>
                <w:rStyle w:val="314"/>
                <w:rFonts w:hint="default"/>
                <w:color w:val="auto"/>
                <w:sz w:val="21"/>
                <w:szCs w:val="21"/>
                <w:highlight w:val="none"/>
                <w:lang w:bidi="ar"/>
              </w:rPr>
              <w:t>完全支持同传系统其它软硬件设备；RJ45输出接口≥30个，嵌入POE供电模块，通过一根网线与为学生端（含译员席、代表席、旁听席等角色）连接，进行POE供电、音频数据传输、控制信号传输；红绿灯工作指示功能，能自检学生端工作状态；</w:t>
            </w:r>
          </w:p>
        </w:tc>
        <w:tc>
          <w:tcPr>
            <w:tcW w:w="976" w:type="dxa"/>
            <w:noWrap w:val="0"/>
            <w:vAlign w:val="center"/>
          </w:tcPr>
          <w:p w14:paraId="1730339C">
            <w:pPr>
              <w:textAlignment w:val="baseline"/>
              <w:rPr>
                <w:rFonts w:hint="eastAsia" w:ascii="宋体" w:hAnsi="宋体" w:cs="宋体"/>
                <w:color w:val="auto"/>
                <w:sz w:val="18"/>
                <w:szCs w:val="18"/>
                <w:highlight w:val="none"/>
              </w:rPr>
            </w:pPr>
          </w:p>
        </w:tc>
      </w:tr>
      <w:tr w14:paraId="412A7F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5A636B1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6.4.5</w:t>
            </w:r>
          </w:p>
        </w:tc>
        <w:tc>
          <w:tcPr>
            <w:tcW w:w="7219" w:type="dxa"/>
            <w:noWrap w:val="0"/>
            <w:vAlign w:val="center"/>
          </w:tcPr>
          <w:p w14:paraId="0F756097">
            <w:pPr>
              <w:widowControl/>
              <w:jc w:val="left"/>
              <w:textAlignment w:val="center"/>
              <w:rPr>
                <w:rFonts w:hint="eastAsia" w:ascii="宋体" w:hAnsi="宋体" w:cs="宋体"/>
                <w:b/>
                <w:bCs/>
                <w:color w:val="auto"/>
                <w:kern w:val="0"/>
                <w:szCs w:val="21"/>
                <w:highlight w:val="none"/>
                <w:lang w:bidi="ar"/>
              </w:rPr>
            </w:pPr>
            <w:r>
              <w:rPr>
                <w:rStyle w:val="314"/>
                <w:rFonts w:hint="default"/>
                <w:color w:val="auto"/>
                <w:sz w:val="21"/>
                <w:szCs w:val="21"/>
                <w:highlight w:val="none"/>
                <w:lang w:bidi="ar"/>
              </w:rPr>
              <w:t>支持系统扩展，可以进行多台主机的叠加链接；</w:t>
            </w:r>
          </w:p>
        </w:tc>
        <w:tc>
          <w:tcPr>
            <w:tcW w:w="976" w:type="dxa"/>
            <w:noWrap w:val="0"/>
            <w:vAlign w:val="center"/>
          </w:tcPr>
          <w:p w14:paraId="5314CCE5">
            <w:pPr>
              <w:textAlignment w:val="baseline"/>
              <w:rPr>
                <w:rFonts w:hint="eastAsia" w:ascii="宋体" w:hAnsi="宋体" w:cs="宋体"/>
                <w:color w:val="auto"/>
                <w:sz w:val="18"/>
                <w:szCs w:val="18"/>
                <w:highlight w:val="none"/>
              </w:rPr>
            </w:pPr>
          </w:p>
        </w:tc>
      </w:tr>
      <w:tr w14:paraId="187BA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C460374">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7</w:t>
            </w:r>
          </w:p>
        </w:tc>
        <w:tc>
          <w:tcPr>
            <w:tcW w:w="7219" w:type="dxa"/>
            <w:noWrap w:val="0"/>
            <w:vAlign w:val="center"/>
          </w:tcPr>
          <w:p w14:paraId="40B5E70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同步以太网主卡</w:t>
            </w:r>
          </w:p>
        </w:tc>
        <w:tc>
          <w:tcPr>
            <w:tcW w:w="976" w:type="dxa"/>
            <w:noWrap w:val="0"/>
            <w:vAlign w:val="center"/>
          </w:tcPr>
          <w:p w14:paraId="099CF41D">
            <w:pPr>
              <w:textAlignment w:val="baseline"/>
              <w:rPr>
                <w:rFonts w:hint="eastAsia" w:ascii="宋体" w:hAnsi="宋体" w:cs="宋体"/>
                <w:color w:val="auto"/>
                <w:sz w:val="18"/>
                <w:szCs w:val="18"/>
                <w:highlight w:val="none"/>
              </w:rPr>
            </w:pPr>
          </w:p>
        </w:tc>
      </w:tr>
      <w:tr w14:paraId="62479D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2" w:type="dxa"/>
            <w:noWrap w:val="0"/>
            <w:vAlign w:val="center"/>
          </w:tcPr>
          <w:p w14:paraId="278E380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7.1</w:t>
            </w:r>
          </w:p>
        </w:tc>
        <w:tc>
          <w:tcPr>
            <w:tcW w:w="7219" w:type="dxa"/>
            <w:noWrap w:val="0"/>
            <w:vAlign w:val="center"/>
          </w:tcPr>
          <w:p w14:paraId="7B3FCB9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USB3.0转千兆网卡，多系统兼容，即插即用</w:t>
            </w:r>
          </w:p>
        </w:tc>
        <w:tc>
          <w:tcPr>
            <w:tcW w:w="976" w:type="dxa"/>
            <w:noWrap w:val="0"/>
            <w:vAlign w:val="center"/>
          </w:tcPr>
          <w:p w14:paraId="6BC45755">
            <w:pPr>
              <w:textAlignment w:val="baseline"/>
              <w:rPr>
                <w:rFonts w:hint="eastAsia" w:ascii="宋体" w:hAnsi="宋体" w:cs="宋体"/>
                <w:color w:val="auto"/>
                <w:sz w:val="18"/>
                <w:szCs w:val="18"/>
                <w:highlight w:val="none"/>
              </w:rPr>
            </w:pPr>
          </w:p>
        </w:tc>
      </w:tr>
      <w:tr w14:paraId="465993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23C52BA">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8</w:t>
            </w:r>
          </w:p>
        </w:tc>
        <w:tc>
          <w:tcPr>
            <w:tcW w:w="7219" w:type="dxa"/>
            <w:noWrap w:val="0"/>
            <w:vAlign w:val="center"/>
          </w:tcPr>
          <w:p w14:paraId="4A84ECC1">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同步交换主机</w:t>
            </w:r>
          </w:p>
        </w:tc>
        <w:tc>
          <w:tcPr>
            <w:tcW w:w="976" w:type="dxa"/>
            <w:noWrap w:val="0"/>
            <w:vAlign w:val="center"/>
          </w:tcPr>
          <w:p w14:paraId="2D3696DF">
            <w:pPr>
              <w:textAlignment w:val="baseline"/>
              <w:rPr>
                <w:rFonts w:hint="eastAsia" w:ascii="宋体" w:hAnsi="宋体" w:cs="宋体"/>
                <w:color w:val="auto"/>
                <w:sz w:val="18"/>
                <w:szCs w:val="18"/>
                <w:highlight w:val="none"/>
              </w:rPr>
            </w:pPr>
          </w:p>
        </w:tc>
      </w:tr>
      <w:tr w14:paraId="2A296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E80E59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8.1</w:t>
            </w:r>
          </w:p>
        </w:tc>
        <w:tc>
          <w:tcPr>
            <w:tcW w:w="7219" w:type="dxa"/>
            <w:noWrap w:val="0"/>
            <w:vAlign w:val="center"/>
          </w:tcPr>
          <w:p w14:paraId="354E101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用于教师机与学生电脑超清视频交互、监控交互和观摩交互等。</w:t>
            </w:r>
          </w:p>
        </w:tc>
        <w:tc>
          <w:tcPr>
            <w:tcW w:w="976" w:type="dxa"/>
            <w:noWrap w:val="0"/>
            <w:vAlign w:val="center"/>
          </w:tcPr>
          <w:p w14:paraId="75324879">
            <w:pPr>
              <w:textAlignment w:val="baseline"/>
              <w:rPr>
                <w:rFonts w:hint="eastAsia" w:ascii="宋体" w:hAnsi="宋体" w:cs="宋体"/>
                <w:color w:val="auto"/>
                <w:sz w:val="18"/>
                <w:szCs w:val="18"/>
                <w:highlight w:val="none"/>
              </w:rPr>
            </w:pPr>
          </w:p>
        </w:tc>
      </w:tr>
      <w:tr w14:paraId="0D660F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521E0D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8.2</w:t>
            </w:r>
          </w:p>
        </w:tc>
        <w:tc>
          <w:tcPr>
            <w:tcW w:w="7219" w:type="dxa"/>
            <w:noWrap w:val="0"/>
            <w:vAlign w:val="center"/>
          </w:tcPr>
          <w:p w14:paraId="385A50A0">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视频信号支持2进8出；</w:t>
            </w:r>
          </w:p>
        </w:tc>
        <w:tc>
          <w:tcPr>
            <w:tcW w:w="976" w:type="dxa"/>
            <w:noWrap w:val="0"/>
            <w:vAlign w:val="center"/>
          </w:tcPr>
          <w:p w14:paraId="20823C63">
            <w:pPr>
              <w:textAlignment w:val="baseline"/>
              <w:rPr>
                <w:rFonts w:hint="eastAsia" w:ascii="宋体" w:hAnsi="宋体" w:cs="宋体"/>
                <w:color w:val="auto"/>
                <w:sz w:val="18"/>
                <w:szCs w:val="18"/>
                <w:highlight w:val="none"/>
              </w:rPr>
            </w:pPr>
          </w:p>
        </w:tc>
      </w:tr>
      <w:tr w14:paraId="4D9E25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18BB6F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8.3</w:t>
            </w:r>
          </w:p>
        </w:tc>
        <w:tc>
          <w:tcPr>
            <w:tcW w:w="7219" w:type="dxa"/>
            <w:noWrap w:val="0"/>
            <w:vAlign w:val="center"/>
          </w:tcPr>
          <w:p w14:paraId="2F37F983">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支持4K@30Hz高清分辨率；</w:t>
            </w:r>
          </w:p>
        </w:tc>
        <w:tc>
          <w:tcPr>
            <w:tcW w:w="976" w:type="dxa"/>
            <w:noWrap w:val="0"/>
            <w:vAlign w:val="center"/>
          </w:tcPr>
          <w:p w14:paraId="42667320">
            <w:pPr>
              <w:textAlignment w:val="baseline"/>
              <w:rPr>
                <w:rFonts w:hint="eastAsia" w:ascii="宋体" w:hAnsi="宋体" w:cs="宋体"/>
                <w:color w:val="auto"/>
                <w:sz w:val="18"/>
                <w:szCs w:val="18"/>
                <w:highlight w:val="none"/>
              </w:rPr>
            </w:pPr>
          </w:p>
        </w:tc>
      </w:tr>
      <w:tr w14:paraId="441FF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3FCCBB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8.4</w:t>
            </w:r>
          </w:p>
        </w:tc>
        <w:tc>
          <w:tcPr>
            <w:tcW w:w="7219" w:type="dxa"/>
            <w:noWrap w:val="0"/>
            <w:vAlign w:val="center"/>
          </w:tcPr>
          <w:p w14:paraId="597DA5A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含相应设备到显示器的全部视频线材</w:t>
            </w:r>
          </w:p>
        </w:tc>
        <w:tc>
          <w:tcPr>
            <w:tcW w:w="976" w:type="dxa"/>
            <w:noWrap w:val="0"/>
            <w:vAlign w:val="center"/>
          </w:tcPr>
          <w:p w14:paraId="339E35A7">
            <w:pPr>
              <w:textAlignment w:val="baseline"/>
              <w:rPr>
                <w:rFonts w:hint="eastAsia" w:ascii="宋体" w:hAnsi="宋体" w:cs="宋体"/>
                <w:color w:val="auto"/>
                <w:sz w:val="18"/>
                <w:szCs w:val="18"/>
                <w:highlight w:val="none"/>
              </w:rPr>
            </w:pPr>
          </w:p>
        </w:tc>
      </w:tr>
      <w:tr w14:paraId="2DBE6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EF90B16">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9</w:t>
            </w:r>
          </w:p>
        </w:tc>
        <w:tc>
          <w:tcPr>
            <w:tcW w:w="7219" w:type="dxa"/>
            <w:noWrap w:val="0"/>
            <w:vAlign w:val="center"/>
          </w:tcPr>
          <w:p w14:paraId="3ECC1BC4">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交换机</w:t>
            </w:r>
          </w:p>
        </w:tc>
        <w:tc>
          <w:tcPr>
            <w:tcW w:w="976" w:type="dxa"/>
            <w:noWrap w:val="0"/>
            <w:vAlign w:val="center"/>
          </w:tcPr>
          <w:p w14:paraId="42965F97">
            <w:pPr>
              <w:textAlignment w:val="baseline"/>
              <w:rPr>
                <w:rFonts w:hint="eastAsia" w:ascii="宋体" w:hAnsi="宋体" w:cs="宋体"/>
                <w:color w:val="auto"/>
                <w:sz w:val="18"/>
                <w:szCs w:val="18"/>
                <w:highlight w:val="none"/>
              </w:rPr>
            </w:pPr>
          </w:p>
        </w:tc>
      </w:tr>
      <w:tr w14:paraId="46A181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922CF7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9.1</w:t>
            </w:r>
          </w:p>
        </w:tc>
        <w:tc>
          <w:tcPr>
            <w:tcW w:w="7219" w:type="dxa"/>
            <w:noWrap w:val="0"/>
            <w:vAlign w:val="center"/>
          </w:tcPr>
          <w:p w14:paraId="59F7825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视频传输学生端接收机；</w:t>
            </w:r>
          </w:p>
        </w:tc>
        <w:tc>
          <w:tcPr>
            <w:tcW w:w="976" w:type="dxa"/>
            <w:noWrap w:val="0"/>
            <w:vAlign w:val="center"/>
          </w:tcPr>
          <w:p w14:paraId="5928C03C">
            <w:pPr>
              <w:textAlignment w:val="baseline"/>
              <w:rPr>
                <w:rFonts w:hint="eastAsia" w:ascii="宋体" w:hAnsi="宋体" w:cs="宋体"/>
                <w:color w:val="auto"/>
                <w:sz w:val="18"/>
                <w:szCs w:val="18"/>
                <w:highlight w:val="none"/>
              </w:rPr>
            </w:pPr>
          </w:p>
        </w:tc>
      </w:tr>
      <w:tr w14:paraId="32CDF9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16BC5A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9.2</w:t>
            </w:r>
          </w:p>
        </w:tc>
        <w:tc>
          <w:tcPr>
            <w:tcW w:w="7219" w:type="dxa"/>
            <w:noWrap w:val="0"/>
            <w:vAlign w:val="center"/>
          </w:tcPr>
          <w:p w14:paraId="0C7203B1">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视频信号支持1进16出；</w:t>
            </w:r>
          </w:p>
        </w:tc>
        <w:tc>
          <w:tcPr>
            <w:tcW w:w="976" w:type="dxa"/>
            <w:noWrap w:val="0"/>
            <w:vAlign w:val="center"/>
          </w:tcPr>
          <w:p w14:paraId="073CD745">
            <w:pPr>
              <w:textAlignment w:val="baseline"/>
              <w:rPr>
                <w:rFonts w:hint="eastAsia" w:ascii="宋体" w:hAnsi="宋体" w:cs="宋体"/>
                <w:color w:val="auto"/>
                <w:sz w:val="18"/>
                <w:szCs w:val="18"/>
                <w:highlight w:val="none"/>
              </w:rPr>
            </w:pPr>
          </w:p>
        </w:tc>
      </w:tr>
      <w:tr w14:paraId="3A512D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337644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9.3</w:t>
            </w:r>
          </w:p>
        </w:tc>
        <w:tc>
          <w:tcPr>
            <w:tcW w:w="7219" w:type="dxa"/>
            <w:noWrap w:val="0"/>
            <w:vAlign w:val="center"/>
          </w:tcPr>
          <w:p w14:paraId="2FC9DD8E">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支持4K@30Hz高清分辨率；</w:t>
            </w:r>
          </w:p>
        </w:tc>
        <w:tc>
          <w:tcPr>
            <w:tcW w:w="976" w:type="dxa"/>
            <w:noWrap w:val="0"/>
            <w:vAlign w:val="center"/>
          </w:tcPr>
          <w:p w14:paraId="3A89E638">
            <w:pPr>
              <w:textAlignment w:val="baseline"/>
              <w:rPr>
                <w:rFonts w:hint="eastAsia" w:ascii="宋体" w:hAnsi="宋体" w:cs="宋体"/>
                <w:color w:val="auto"/>
                <w:sz w:val="18"/>
                <w:szCs w:val="18"/>
                <w:highlight w:val="none"/>
              </w:rPr>
            </w:pPr>
          </w:p>
        </w:tc>
      </w:tr>
      <w:tr w14:paraId="71A98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2FEFBB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9.4</w:t>
            </w:r>
          </w:p>
        </w:tc>
        <w:tc>
          <w:tcPr>
            <w:tcW w:w="7219" w:type="dxa"/>
            <w:noWrap w:val="0"/>
            <w:vAlign w:val="center"/>
          </w:tcPr>
          <w:p w14:paraId="523ADF6B">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含相应设备到显示器的全部视频线材</w:t>
            </w:r>
          </w:p>
        </w:tc>
        <w:tc>
          <w:tcPr>
            <w:tcW w:w="976" w:type="dxa"/>
            <w:noWrap w:val="0"/>
            <w:vAlign w:val="center"/>
          </w:tcPr>
          <w:p w14:paraId="15F68034">
            <w:pPr>
              <w:textAlignment w:val="baseline"/>
              <w:rPr>
                <w:rFonts w:hint="eastAsia" w:ascii="宋体" w:hAnsi="宋体" w:cs="宋体"/>
                <w:color w:val="auto"/>
                <w:sz w:val="18"/>
                <w:szCs w:val="18"/>
                <w:highlight w:val="none"/>
              </w:rPr>
            </w:pPr>
          </w:p>
        </w:tc>
      </w:tr>
      <w:tr w14:paraId="64BE76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FDA6FC1">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10</w:t>
            </w:r>
          </w:p>
        </w:tc>
        <w:tc>
          <w:tcPr>
            <w:tcW w:w="7219" w:type="dxa"/>
            <w:noWrap w:val="0"/>
            <w:vAlign w:val="center"/>
          </w:tcPr>
          <w:p w14:paraId="610A1723">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路由器及控制器</w:t>
            </w:r>
          </w:p>
        </w:tc>
        <w:tc>
          <w:tcPr>
            <w:tcW w:w="976" w:type="dxa"/>
            <w:noWrap w:val="0"/>
            <w:vAlign w:val="center"/>
          </w:tcPr>
          <w:p w14:paraId="4A07AA6A">
            <w:pPr>
              <w:textAlignment w:val="baseline"/>
              <w:rPr>
                <w:rFonts w:hint="eastAsia" w:ascii="宋体" w:hAnsi="宋体" w:cs="宋体"/>
                <w:color w:val="auto"/>
                <w:sz w:val="18"/>
                <w:szCs w:val="18"/>
                <w:highlight w:val="none"/>
              </w:rPr>
            </w:pPr>
          </w:p>
        </w:tc>
      </w:tr>
      <w:tr w14:paraId="57E411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647B8E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10.1</w:t>
            </w:r>
          </w:p>
        </w:tc>
        <w:tc>
          <w:tcPr>
            <w:tcW w:w="7219" w:type="dxa"/>
            <w:noWrap w:val="0"/>
            <w:vAlign w:val="center"/>
          </w:tcPr>
          <w:p w14:paraId="283E422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 xml:space="preserve">信噪比≥60dB；频率响应：50-60Hz；由同传媒体音频处理器通过一根网线低压供电，无需额外电源供电； </w:t>
            </w:r>
          </w:p>
        </w:tc>
        <w:tc>
          <w:tcPr>
            <w:tcW w:w="976" w:type="dxa"/>
            <w:noWrap w:val="0"/>
            <w:vAlign w:val="center"/>
          </w:tcPr>
          <w:p w14:paraId="1EADE558">
            <w:pPr>
              <w:textAlignment w:val="baseline"/>
              <w:rPr>
                <w:rFonts w:hint="eastAsia" w:ascii="宋体" w:hAnsi="宋体" w:cs="宋体"/>
                <w:color w:val="auto"/>
                <w:sz w:val="18"/>
                <w:szCs w:val="18"/>
                <w:highlight w:val="none"/>
              </w:rPr>
            </w:pPr>
          </w:p>
        </w:tc>
      </w:tr>
      <w:tr w14:paraId="003B41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35E940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10.2</w:t>
            </w:r>
          </w:p>
        </w:tc>
        <w:tc>
          <w:tcPr>
            <w:tcW w:w="7219" w:type="dxa"/>
            <w:noWrap w:val="0"/>
            <w:vAlign w:val="center"/>
          </w:tcPr>
          <w:p w14:paraId="11DC0B8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系统支持多台主机级联,以增加系统容量；</w:t>
            </w:r>
          </w:p>
        </w:tc>
        <w:tc>
          <w:tcPr>
            <w:tcW w:w="976" w:type="dxa"/>
            <w:noWrap w:val="0"/>
            <w:vAlign w:val="center"/>
          </w:tcPr>
          <w:p w14:paraId="265868CA">
            <w:pPr>
              <w:textAlignment w:val="baseline"/>
              <w:rPr>
                <w:rFonts w:hint="eastAsia" w:ascii="宋体" w:hAnsi="宋体" w:cs="宋体"/>
                <w:color w:val="auto"/>
                <w:sz w:val="18"/>
                <w:szCs w:val="18"/>
                <w:highlight w:val="none"/>
              </w:rPr>
            </w:pPr>
          </w:p>
        </w:tc>
      </w:tr>
      <w:tr w14:paraId="090955D5">
        <w:tblPrEx>
          <w:tblCellMar>
            <w:top w:w="0" w:type="dxa"/>
            <w:left w:w="108" w:type="dxa"/>
            <w:bottom w:w="0" w:type="dxa"/>
            <w:right w:w="108" w:type="dxa"/>
          </w:tblCellMar>
        </w:tblPrEx>
        <w:trPr>
          <w:trHeight w:val="23" w:hRule="atLeast"/>
          <w:jc w:val="center"/>
        </w:trPr>
        <w:tc>
          <w:tcPr>
            <w:tcW w:w="892" w:type="dxa"/>
            <w:noWrap w:val="0"/>
            <w:vAlign w:val="center"/>
          </w:tcPr>
          <w:p w14:paraId="4015120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10.3</w:t>
            </w:r>
          </w:p>
        </w:tc>
        <w:tc>
          <w:tcPr>
            <w:tcW w:w="7219" w:type="dxa"/>
            <w:noWrap w:val="0"/>
            <w:vAlign w:val="center"/>
          </w:tcPr>
          <w:p w14:paraId="77AF085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完全支持同传系统其它软硬件设备；</w:t>
            </w:r>
          </w:p>
        </w:tc>
        <w:tc>
          <w:tcPr>
            <w:tcW w:w="976" w:type="dxa"/>
            <w:noWrap w:val="0"/>
            <w:vAlign w:val="center"/>
          </w:tcPr>
          <w:p w14:paraId="61794D70">
            <w:pPr>
              <w:textAlignment w:val="baseline"/>
              <w:rPr>
                <w:rFonts w:hint="eastAsia" w:ascii="宋体" w:hAnsi="宋体" w:cs="宋体"/>
                <w:color w:val="auto"/>
                <w:sz w:val="18"/>
                <w:szCs w:val="18"/>
                <w:highlight w:val="none"/>
              </w:rPr>
            </w:pPr>
          </w:p>
        </w:tc>
      </w:tr>
      <w:tr w14:paraId="5219C7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852615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10.4</w:t>
            </w:r>
          </w:p>
        </w:tc>
        <w:tc>
          <w:tcPr>
            <w:tcW w:w="7219" w:type="dxa"/>
            <w:noWrap w:val="0"/>
            <w:vAlign w:val="center"/>
          </w:tcPr>
          <w:p w14:paraId="4E3AF155">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RJ45输出接口≥30个；</w:t>
            </w:r>
          </w:p>
        </w:tc>
        <w:tc>
          <w:tcPr>
            <w:tcW w:w="976" w:type="dxa"/>
            <w:noWrap w:val="0"/>
            <w:vAlign w:val="center"/>
          </w:tcPr>
          <w:p w14:paraId="480424EB">
            <w:pPr>
              <w:textAlignment w:val="baseline"/>
              <w:rPr>
                <w:rFonts w:hint="eastAsia" w:ascii="宋体" w:hAnsi="宋体" w:cs="宋体"/>
                <w:color w:val="auto"/>
                <w:sz w:val="18"/>
                <w:szCs w:val="18"/>
                <w:highlight w:val="none"/>
              </w:rPr>
            </w:pPr>
          </w:p>
        </w:tc>
      </w:tr>
      <w:tr w14:paraId="7FAFD2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7841D5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10.5</w:t>
            </w:r>
          </w:p>
        </w:tc>
        <w:tc>
          <w:tcPr>
            <w:tcW w:w="7219" w:type="dxa"/>
            <w:noWrap w:val="0"/>
            <w:vAlign w:val="center"/>
          </w:tcPr>
          <w:p w14:paraId="1706D04A">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嵌入POE供电模块，通过一根网线与为学生端（含译员席、代表席、旁听席等角色）连接，进行POE供电、音频数据传输、控制信号传输；</w:t>
            </w:r>
          </w:p>
        </w:tc>
        <w:tc>
          <w:tcPr>
            <w:tcW w:w="976" w:type="dxa"/>
            <w:noWrap w:val="0"/>
            <w:vAlign w:val="center"/>
          </w:tcPr>
          <w:p w14:paraId="78CF02FF">
            <w:pPr>
              <w:textAlignment w:val="baseline"/>
              <w:rPr>
                <w:rFonts w:hint="eastAsia" w:ascii="宋体" w:hAnsi="宋体" w:cs="宋体"/>
                <w:color w:val="auto"/>
                <w:sz w:val="18"/>
                <w:szCs w:val="18"/>
                <w:highlight w:val="none"/>
              </w:rPr>
            </w:pPr>
          </w:p>
        </w:tc>
      </w:tr>
      <w:tr w14:paraId="1782A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7F447E">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10.6</w:t>
            </w:r>
          </w:p>
        </w:tc>
        <w:tc>
          <w:tcPr>
            <w:tcW w:w="7219" w:type="dxa"/>
            <w:noWrap w:val="0"/>
            <w:vAlign w:val="center"/>
          </w:tcPr>
          <w:p w14:paraId="214D8CD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红绿灯工作指示功能，能自检学生端工作状态；</w:t>
            </w:r>
          </w:p>
        </w:tc>
        <w:tc>
          <w:tcPr>
            <w:tcW w:w="976" w:type="dxa"/>
            <w:noWrap w:val="0"/>
            <w:vAlign w:val="center"/>
          </w:tcPr>
          <w:p w14:paraId="351F9780">
            <w:pPr>
              <w:textAlignment w:val="baseline"/>
              <w:rPr>
                <w:rFonts w:hint="eastAsia" w:ascii="宋体" w:hAnsi="宋体" w:cs="宋体"/>
                <w:color w:val="auto"/>
                <w:sz w:val="18"/>
                <w:szCs w:val="18"/>
                <w:highlight w:val="none"/>
              </w:rPr>
            </w:pPr>
          </w:p>
        </w:tc>
      </w:tr>
      <w:tr w14:paraId="2D260A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A89F6D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10.7</w:t>
            </w:r>
          </w:p>
        </w:tc>
        <w:tc>
          <w:tcPr>
            <w:tcW w:w="7219" w:type="dxa"/>
            <w:noWrap w:val="0"/>
            <w:vAlign w:val="center"/>
          </w:tcPr>
          <w:p w14:paraId="27BD99C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支持不少于52个译员通道，教师端软件可将全班同学任意设置为传译员、会议代表、旁听席，例如把旁听席设置为传译员，把传译员设置为会议代表，把全班同学设置为传译员等不同角色互换。</w:t>
            </w:r>
          </w:p>
        </w:tc>
        <w:tc>
          <w:tcPr>
            <w:tcW w:w="976" w:type="dxa"/>
            <w:noWrap w:val="0"/>
            <w:vAlign w:val="center"/>
          </w:tcPr>
          <w:p w14:paraId="6987BA33">
            <w:pPr>
              <w:textAlignment w:val="baseline"/>
              <w:rPr>
                <w:rFonts w:hint="eastAsia" w:ascii="宋体" w:hAnsi="宋体" w:cs="宋体"/>
                <w:color w:val="auto"/>
                <w:sz w:val="18"/>
                <w:szCs w:val="18"/>
                <w:highlight w:val="none"/>
              </w:rPr>
            </w:pPr>
          </w:p>
        </w:tc>
      </w:tr>
      <w:tr w14:paraId="67ACD0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29ACEF0">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11</w:t>
            </w:r>
          </w:p>
        </w:tc>
        <w:tc>
          <w:tcPr>
            <w:tcW w:w="7219" w:type="dxa"/>
            <w:noWrap w:val="0"/>
            <w:vAlign w:val="center"/>
          </w:tcPr>
          <w:p w14:paraId="4F569FD8">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操作管理主机</w:t>
            </w:r>
          </w:p>
        </w:tc>
        <w:tc>
          <w:tcPr>
            <w:tcW w:w="976" w:type="dxa"/>
            <w:noWrap w:val="0"/>
            <w:vAlign w:val="center"/>
          </w:tcPr>
          <w:p w14:paraId="72908DCE">
            <w:pPr>
              <w:textAlignment w:val="baseline"/>
              <w:rPr>
                <w:rFonts w:hint="eastAsia" w:ascii="宋体" w:hAnsi="宋体" w:cs="宋体"/>
                <w:color w:val="auto"/>
                <w:sz w:val="18"/>
                <w:szCs w:val="18"/>
                <w:highlight w:val="none"/>
              </w:rPr>
            </w:pPr>
          </w:p>
        </w:tc>
      </w:tr>
      <w:tr w14:paraId="581795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FE5811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11.1</w:t>
            </w:r>
          </w:p>
        </w:tc>
        <w:tc>
          <w:tcPr>
            <w:tcW w:w="7219" w:type="dxa"/>
            <w:noWrap w:val="0"/>
            <w:vAlign w:val="center"/>
          </w:tcPr>
          <w:p w14:paraId="39CD1DEB">
            <w:pPr>
              <w:widowControl/>
              <w:jc w:val="left"/>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CPU不低于Intel I5 12500；</w:t>
            </w:r>
          </w:p>
        </w:tc>
        <w:tc>
          <w:tcPr>
            <w:tcW w:w="976" w:type="dxa"/>
            <w:noWrap w:val="0"/>
            <w:vAlign w:val="center"/>
          </w:tcPr>
          <w:p w14:paraId="226C924A">
            <w:pPr>
              <w:textAlignment w:val="baseline"/>
              <w:rPr>
                <w:rFonts w:hint="eastAsia" w:ascii="宋体" w:hAnsi="宋体" w:cs="宋体"/>
                <w:color w:val="auto"/>
                <w:sz w:val="18"/>
                <w:szCs w:val="18"/>
                <w:highlight w:val="none"/>
              </w:rPr>
            </w:pPr>
          </w:p>
        </w:tc>
      </w:tr>
      <w:tr w14:paraId="1581A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943B13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11.2</w:t>
            </w:r>
          </w:p>
        </w:tc>
        <w:tc>
          <w:tcPr>
            <w:tcW w:w="7219" w:type="dxa"/>
            <w:noWrap w:val="0"/>
            <w:vAlign w:val="center"/>
          </w:tcPr>
          <w:p w14:paraId="644AF5E1">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内存≥16G DDR4；</w:t>
            </w:r>
          </w:p>
        </w:tc>
        <w:tc>
          <w:tcPr>
            <w:tcW w:w="976" w:type="dxa"/>
            <w:noWrap w:val="0"/>
            <w:vAlign w:val="center"/>
          </w:tcPr>
          <w:p w14:paraId="23CD2A99">
            <w:pPr>
              <w:textAlignment w:val="baseline"/>
              <w:rPr>
                <w:rFonts w:hint="eastAsia" w:ascii="宋体" w:hAnsi="宋体" w:cs="宋体"/>
                <w:color w:val="auto"/>
                <w:sz w:val="18"/>
                <w:szCs w:val="18"/>
                <w:highlight w:val="none"/>
              </w:rPr>
            </w:pPr>
          </w:p>
        </w:tc>
      </w:tr>
      <w:tr w14:paraId="27FFE3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D70F5C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11.3</w:t>
            </w:r>
          </w:p>
        </w:tc>
        <w:tc>
          <w:tcPr>
            <w:tcW w:w="7219" w:type="dxa"/>
            <w:noWrap w:val="0"/>
            <w:vAlign w:val="center"/>
          </w:tcPr>
          <w:p w14:paraId="6A84104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硬盘≥1T 机械+512G固态</w:t>
            </w:r>
          </w:p>
        </w:tc>
        <w:tc>
          <w:tcPr>
            <w:tcW w:w="976" w:type="dxa"/>
            <w:noWrap w:val="0"/>
            <w:vAlign w:val="center"/>
          </w:tcPr>
          <w:p w14:paraId="5FA79517">
            <w:pPr>
              <w:textAlignment w:val="baseline"/>
              <w:rPr>
                <w:rFonts w:hint="eastAsia" w:ascii="宋体" w:hAnsi="宋体" w:cs="宋体"/>
                <w:color w:val="auto"/>
                <w:sz w:val="18"/>
                <w:szCs w:val="18"/>
                <w:highlight w:val="none"/>
              </w:rPr>
            </w:pPr>
          </w:p>
        </w:tc>
      </w:tr>
      <w:tr w14:paraId="59F49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9402A7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11.4</w:t>
            </w:r>
          </w:p>
        </w:tc>
        <w:tc>
          <w:tcPr>
            <w:tcW w:w="7219" w:type="dxa"/>
            <w:noWrap w:val="0"/>
            <w:vAlign w:val="center"/>
          </w:tcPr>
          <w:p w14:paraId="69646E4A">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含同品牌键鼠套装</w:t>
            </w:r>
          </w:p>
        </w:tc>
        <w:tc>
          <w:tcPr>
            <w:tcW w:w="976" w:type="dxa"/>
            <w:noWrap w:val="0"/>
            <w:vAlign w:val="center"/>
          </w:tcPr>
          <w:p w14:paraId="39B1EEBE">
            <w:pPr>
              <w:textAlignment w:val="baseline"/>
              <w:rPr>
                <w:rFonts w:hint="eastAsia" w:ascii="宋体" w:hAnsi="宋体" w:cs="宋体"/>
                <w:color w:val="auto"/>
                <w:sz w:val="18"/>
                <w:szCs w:val="18"/>
                <w:highlight w:val="none"/>
              </w:rPr>
            </w:pPr>
          </w:p>
        </w:tc>
      </w:tr>
      <w:tr w14:paraId="1EFEDE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2E1674B">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12</w:t>
            </w:r>
          </w:p>
        </w:tc>
        <w:tc>
          <w:tcPr>
            <w:tcW w:w="7219" w:type="dxa"/>
            <w:noWrap w:val="0"/>
            <w:vAlign w:val="center"/>
          </w:tcPr>
          <w:p w14:paraId="061B3E83">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显示器</w:t>
            </w:r>
          </w:p>
        </w:tc>
        <w:tc>
          <w:tcPr>
            <w:tcW w:w="976" w:type="dxa"/>
            <w:noWrap w:val="0"/>
            <w:vAlign w:val="center"/>
          </w:tcPr>
          <w:p w14:paraId="430DEBA2">
            <w:pPr>
              <w:textAlignment w:val="baseline"/>
              <w:rPr>
                <w:rFonts w:hint="eastAsia" w:ascii="宋体" w:hAnsi="宋体" w:cs="宋体"/>
                <w:color w:val="auto"/>
                <w:sz w:val="18"/>
                <w:szCs w:val="18"/>
                <w:highlight w:val="none"/>
              </w:rPr>
            </w:pPr>
          </w:p>
        </w:tc>
      </w:tr>
      <w:tr w14:paraId="20E73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9DCF93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12.1</w:t>
            </w:r>
          </w:p>
        </w:tc>
        <w:tc>
          <w:tcPr>
            <w:tcW w:w="7219" w:type="dxa"/>
            <w:noWrap w:val="0"/>
            <w:vAlign w:val="center"/>
          </w:tcPr>
          <w:p w14:paraId="61A057E1">
            <w:pPr>
              <w:widowControl/>
              <w:jc w:val="left"/>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屏幕尺寸≥21.5寸</w:t>
            </w:r>
          </w:p>
        </w:tc>
        <w:tc>
          <w:tcPr>
            <w:tcW w:w="976" w:type="dxa"/>
            <w:noWrap w:val="0"/>
            <w:vAlign w:val="center"/>
          </w:tcPr>
          <w:p w14:paraId="01141423">
            <w:pPr>
              <w:textAlignment w:val="baseline"/>
              <w:rPr>
                <w:rFonts w:hint="eastAsia" w:ascii="宋体" w:hAnsi="宋体" w:cs="宋体"/>
                <w:color w:val="auto"/>
                <w:sz w:val="18"/>
                <w:szCs w:val="18"/>
                <w:highlight w:val="none"/>
              </w:rPr>
            </w:pPr>
          </w:p>
        </w:tc>
      </w:tr>
      <w:tr w14:paraId="7F7B14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432435E">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12.2</w:t>
            </w:r>
          </w:p>
        </w:tc>
        <w:tc>
          <w:tcPr>
            <w:tcW w:w="7219" w:type="dxa"/>
            <w:noWrap w:val="0"/>
            <w:vAlign w:val="center"/>
          </w:tcPr>
          <w:p w14:paraId="0A87989A">
            <w:pPr>
              <w:widowControl/>
              <w:jc w:val="left"/>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分辨率不低于1920 x1080</w:t>
            </w:r>
          </w:p>
        </w:tc>
        <w:tc>
          <w:tcPr>
            <w:tcW w:w="976" w:type="dxa"/>
            <w:noWrap w:val="0"/>
            <w:vAlign w:val="center"/>
          </w:tcPr>
          <w:p w14:paraId="168E94E2">
            <w:pPr>
              <w:textAlignment w:val="baseline"/>
              <w:rPr>
                <w:rFonts w:hint="eastAsia" w:ascii="宋体" w:hAnsi="宋体" w:cs="宋体"/>
                <w:color w:val="auto"/>
                <w:sz w:val="18"/>
                <w:szCs w:val="18"/>
                <w:highlight w:val="none"/>
              </w:rPr>
            </w:pPr>
          </w:p>
        </w:tc>
      </w:tr>
      <w:tr w14:paraId="75698E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B1C94FA">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13</w:t>
            </w:r>
          </w:p>
        </w:tc>
        <w:tc>
          <w:tcPr>
            <w:tcW w:w="7219" w:type="dxa"/>
            <w:noWrap w:val="0"/>
            <w:vAlign w:val="center"/>
          </w:tcPr>
          <w:p w14:paraId="7FA7DDDB">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教师耳机（纯软语音室专用）</w:t>
            </w:r>
          </w:p>
        </w:tc>
        <w:tc>
          <w:tcPr>
            <w:tcW w:w="976" w:type="dxa"/>
            <w:noWrap w:val="0"/>
            <w:vAlign w:val="center"/>
          </w:tcPr>
          <w:p w14:paraId="6403D5B5">
            <w:pPr>
              <w:textAlignment w:val="baseline"/>
              <w:rPr>
                <w:rFonts w:hint="eastAsia" w:ascii="宋体" w:hAnsi="宋体" w:cs="宋体"/>
                <w:color w:val="auto"/>
                <w:sz w:val="18"/>
                <w:szCs w:val="18"/>
                <w:highlight w:val="none"/>
              </w:rPr>
            </w:pPr>
          </w:p>
        </w:tc>
      </w:tr>
      <w:tr w14:paraId="4525AE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0BA873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13.1</w:t>
            </w:r>
          </w:p>
        </w:tc>
        <w:tc>
          <w:tcPr>
            <w:tcW w:w="7219" w:type="dxa"/>
            <w:noWrap w:val="0"/>
            <w:vAlign w:val="center"/>
          </w:tcPr>
          <w:p w14:paraId="78300AA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人体工学伸缩式头戴设计，内包采用高钢性金属头梁，外层包覆柔软仿皮材质，非塑料材质；</w:t>
            </w:r>
          </w:p>
        </w:tc>
        <w:tc>
          <w:tcPr>
            <w:tcW w:w="976" w:type="dxa"/>
            <w:noWrap w:val="0"/>
            <w:vAlign w:val="center"/>
          </w:tcPr>
          <w:p w14:paraId="791BC774">
            <w:pPr>
              <w:textAlignment w:val="baseline"/>
              <w:rPr>
                <w:rFonts w:hint="eastAsia" w:ascii="宋体" w:hAnsi="宋体" w:cs="宋体"/>
                <w:color w:val="auto"/>
                <w:sz w:val="18"/>
                <w:szCs w:val="18"/>
                <w:highlight w:val="none"/>
              </w:rPr>
            </w:pPr>
          </w:p>
        </w:tc>
      </w:tr>
      <w:tr w14:paraId="103B6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9404C4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13.2</w:t>
            </w:r>
          </w:p>
        </w:tc>
        <w:tc>
          <w:tcPr>
            <w:tcW w:w="7219" w:type="dxa"/>
            <w:noWrap w:val="0"/>
            <w:vAlign w:val="center"/>
          </w:tcPr>
          <w:p w14:paraId="352E21A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话筒柄可内外弯曲调整， 阻抗：180-220 ohm；额定值：-10dBV(±0.3V)；音质清晰透彻，低音强、重音足。话音清晰，灵敏度≥80dB；</w:t>
            </w:r>
          </w:p>
        </w:tc>
        <w:tc>
          <w:tcPr>
            <w:tcW w:w="976" w:type="dxa"/>
            <w:noWrap w:val="0"/>
            <w:vAlign w:val="center"/>
          </w:tcPr>
          <w:p w14:paraId="4DBF1C21">
            <w:pPr>
              <w:textAlignment w:val="baseline"/>
              <w:rPr>
                <w:rFonts w:hint="eastAsia" w:ascii="宋体" w:hAnsi="宋体" w:cs="宋体"/>
                <w:color w:val="auto"/>
                <w:sz w:val="18"/>
                <w:szCs w:val="18"/>
                <w:highlight w:val="none"/>
              </w:rPr>
            </w:pPr>
          </w:p>
        </w:tc>
      </w:tr>
      <w:tr w14:paraId="67BC2E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491994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13.3</w:t>
            </w:r>
          </w:p>
        </w:tc>
        <w:tc>
          <w:tcPr>
            <w:tcW w:w="7219" w:type="dxa"/>
            <w:noWrap w:val="0"/>
            <w:vAlign w:val="center"/>
          </w:tcPr>
          <w:p w14:paraId="1771B9B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全包耳罩设计，采用3D立体剪裁耳垫，采用柔软记忆棉，可拆卸、更换耳罩；</w:t>
            </w:r>
          </w:p>
        </w:tc>
        <w:tc>
          <w:tcPr>
            <w:tcW w:w="976" w:type="dxa"/>
            <w:noWrap w:val="0"/>
            <w:vAlign w:val="center"/>
          </w:tcPr>
          <w:p w14:paraId="0E50B88A">
            <w:pPr>
              <w:textAlignment w:val="baseline"/>
              <w:rPr>
                <w:rFonts w:hint="eastAsia" w:ascii="宋体" w:hAnsi="宋体" w:cs="宋体"/>
                <w:color w:val="auto"/>
                <w:sz w:val="18"/>
                <w:szCs w:val="18"/>
                <w:highlight w:val="none"/>
              </w:rPr>
            </w:pPr>
          </w:p>
        </w:tc>
      </w:tr>
      <w:tr w14:paraId="275337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EE01DC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13.4</w:t>
            </w:r>
          </w:p>
        </w:tc>
        <w:tc>
          <w:tcPr>
            <w:tcW w:w="7219" w:type="dxa"/>
            <w:noWrap w:val="0"/>
            <w:vAlign w:val="center"/>
          </w:tcPr>
          <w:p w14:paraId="5CED01F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采用高纯度无氧铜导线线芯，双头连接采用电话式RJ12接头；可拆卸、更换耳机线；</w:t>
            </w:r>
          </w:p>
        </w:tc>
        <w:tc>
          <w:tcPr>
            <w:tcW w:w="976" w:type="dxa"/>
            <w:noWrap w:val="0"/>
            <w:vAlign w:val="center"/>
          </w:tcPr>
          <w:p w14:paraId="577FBECC">
            <w:pPr>
              <w:textAlignment w:val="baseline"/>
              <w:rPr>
                <w:rFonts w:hint="eastAsia" w:ascii="宋体" w:hAnsi="宋体" w:cs="宋体"/>
                <w:color w:val="auto"/>
                <w:sz w:val="18"/>
                <w:szCs w:val="18"/>
                <w:highlight w:val="none"/>
              </w:rPr>
            </w:pPr>
          </w:p>
        </w:tc>
      </w:tr>
      <w:tr w14:paraId="1BD49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1C4217C">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14</w:t>
            </w:r>
          </w:p>
        </w:tc>
        <w:tc>
          <w:tcPr>
            <w:tcW w:w="7219" w:type="dxa"/>
            <w:noWrap w:val="0"/>
            <w:vAlign w:val="center"/>
          </w:tcPr>
          <w:p w14:paraId="1E70257A">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语言学习代表云终端（分体）</w:t>
            </w:r>
          </w:p>
        </w:tc>
        <w:tc>
          <w:tcPr>
            <w:tcW w:w="976" w:type="dxa"/>
            <w:noWrap w:val="0"/>
            <w:vAlign w:val="center"/>
          </w:tcPr>
          <w:p w14:paraId="3146AA57">
            <w:pPr>
              <w:textAlignment w:val="baseline"/>
              <w:rPr>
                <w:rFonts w:hint="eastAsia" w:ascii="宋体" w:hAnsi="宋体" w:cs="宋体"/>
                <w:color w:val="auto"/>
                <w:sz w:val="18"/>
                <w:szCs w:val="18"/>
                <w:highlight w:val="none"/>
              </w:rPr>
            </w:pPr>
          </w:p>
        </w:tc>
      </w:tr>
      <w:tr w14:paraId="769B79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354A24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w:t>
            </w:r>
          </w:p>
        </w:tc>
        <w:tc>
          <w:tcPr>
            <w:tcW w:w="7219" w:type="dxa"/>
            <w:noWrap w:val="0"/>
            <w:vAlign w:val="center"/>
          </w:tcPr>
          <w:p w14:paraId="2E2E95A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面板采用非触控液晶屏≥3.5英寸，实时显示功能状态；带有播放、停止、录音、快进、快倒、举手、数字、音量调节等实体按键；采用独立按钮按键调整音量，不接受触点触摸按键调整音量、旋转调整音量、软件控制调整音量；采用钢质结构，嵌入式安装；采用硬件型终端设计，不接受软件模拟产品；学生终端翻译机可独立使用，即不连接电脑或外接语音卡也可实现同传翻译功能和录音功能；</w:t>
            </w:r>
          </w:p>
        </w:tc>
        <w:tc>
          <w:tcPr>
            <w:tcW w:w="976" w:type="dxa"/>
            <w:noWrap w:val="0"/>
            <w:vAlign w:val="center"/>
          </w:tcPr>
          <w:p w14:paraId="487CABD0">
            <w:pPr>
              <w:textAlignment w:val="baseline"/>
              <w:rPr>
                <w:rFonts w:hint="eastAsia" w:ascii="宋体" w:hAnsi="宋体" w:cs="宋体"/>
                <w:color w:val="auto"/>
                <w:sz w:val="18"/>
                <w:szCs w:val="18"/>
                <w:highlight w:val="none"/>
              </w:rPr>
            </w:pPr>
          </w:p>
        </w:tc>
      </w:tr>
      <w:tr w14:paraId="1CC246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13BD7C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14.2</w:t>
            </w:r>
          </w:p>
        </w:tc>
        <w:tc>
          <w:tcPr>
            <w:tcW w:w="7219" w:type="dxa"/>
            <w:noWrap w:val="0"/>
            <w:vAlign w:val="center"/>
          </w:tcPr>
          <w:p w14:paraId="68C126B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传输协议：采用以太网TCP/IP网络协议框架；</w:t>
            </w:r>
          </w:p>
        </w:tc>
        <w:tc>
          <w:tcPr>
            <w:tcW w:w="976" w:type="dxa"/>
            <w:noWrap w:val="0"/>
            <w:vAlign w:val="center"/>
          </w:tcPr>
          <w:p w14:paraId="5F00AA14">
            <w:pPr>
              <w:textAlignment w:val="baseline"/>
              <w:rPr>
                <w:rFonts w:hint="eastAsia" w:ascii="宋体" w:hAnsi="宋体" w:cs="宋体"/>
                <w:color w:val="auto"/>
                <w:sz w:val="18"/>
                <w:szCs w:val="18"/>
                <w:highlight w:val="none"/>
              </w:rPr>
            </w:pPr>
          </w:p>
        </w:tc>
      </w:tr>
      <w:tr w14:paraId="3B32D7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033FE4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14.3</w:t>
            </w:r>
          </w:p>
        </w:tc>
        <w:tc>
          <w:tcPr>
            <w:tcW w:w="7219" w:type="dxa"/>
            <w:noWrap w:val="0"/>
            <w:vAlign w:val="center"/>
          </w:tcPr>
          <w:p w14:paraId="5016622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信噪比（恒定值）≥60dB；</w:t>
            </w:r>
          </w:p>
        </w:tc>
        <w:tc>
          <w:tcPr>
            <w:tcW w:w="976" w:type="dxa"/>
            <w:noWrap w:val="0"/>
            <w:vAlign w:val="center"/>
          </w:tcPr>
          <w:p w14:paraId="48D925A6">
            <w:pPr>
              <w:textAlignment w:val="baseline"/>
              <w:rPr>
                <w:rFonts w:hint="eastAsia" w:ascii="宋体" w:hAnsi="宋体" w:cs="宋体"/>
                <w:color w:val="auto"/>
                <w:sz w:val="18"/>
                <w:szCs w:val="18"/>
                <w:highlight w:val="none"/>
              </w:rPr>
            </w:pPr>
          </w:p>
        </w:tc>
      </w:tr>
      <w:tr w14:paraId="776A8B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C4CFBF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14.4</w:t>
            </w:r>
          </w:p>
        </w:tc>
        <w:tc>
          <w:tcPr>
            <w:tcW w:w="7219" w:type="dxa"/>
            <w:noWrap w:val="0"/>
            <w:vAlign w:val="center"/>
          </w:tcPr>
          <w:p w14:paraId="2F30897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失真度≤1%；</w:t>
            </w:r>
          </w:p>
        </w:tc>
        <w:tc>
          <w:tcPr>
            <w:tcW w:w="976" w:type="dxa"/>
            <w:noWrap w:val="0"/>
            <w:vAlign w:val="center"/>
          </w:tcPr>
          <w:p w14:paraId="1CCEC5F9">
            <w:pPr>
              <w:textAlignment w:val="baseline"/>
              <w:rPr>
                <w:rFonts w:hint="eastAsia" w:ascii="宋体" w:hAnsi="宋体" w:cs="宋体"/>
                <w:color w:val="auto"/>
                <w:sz w:val="18"/>
                <w:szCs w:val="18"/>
                <w:highlight w:val="none"/>
              </w:rPr>
            </w:pPr>
          </w:p>
        </w:tc>
      </w:tr>
      <w:tr w14:paraId="5B9B7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1B00C8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14.5</w:t>
            </w:r>
          </w:p>
        </w:tc>
        <w:tc>
          <w:tcPr>
            <w:tcW w:w="7219" w:type="dxa"/>
            <w:noWrap w:val="0"/>
            <w:vAlign w:val="center"/>
          </w:tcPr>
          <w:p w14:paraId="3229C05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延时≤1ms；</w:t>
            </w:r>
          </w:p>
        </w:tc>
        <w:tc>
          <w:tcPr>
            <w:tcW w:w="976" w:type="dxa"/>
            <w:noWrap w:val="0"/>
            <w:vAlign w:val="center"/>
          </w:tcPr>
          <w:p w14:paraId="7ECD12A5">
            <w:pPr>
              <w:textAlignment w:val="baseline"/>
              <w:rPr>
                <w:rFonts w:hint="eastAsia" w:ascii="宋体" w:hAnsi="宋体" w:cs="宋体"/>
                <w:color w:val="auto"/>
                <w:sz w:val="18"/>
                <w:szCs w:val="18"/>
                <w:highlight w:val="none"/>
              </w:rPr>
            </w:pPr>
          </w:p>
        </w:tc>
      </w:tr>
      <w:tr w14:paraId="5D063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DBC573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14.6</w:t>
            </w:r>
          </w:p>
        </w:tc>
        <w:tc>
          <w:tcPr>
            <w:tcW w:w="7219" w:type="dxa"/>
            <w:noWrap w:val="0"/>
            <w:vAlign w:val="center"/>
          </w:tcPr>
          <w:p w14:paraId="19E8B84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频率响应20Hz-15KHz；</w:t>
            </w:r>
          </w:p>
        </w:tc>
        <w:tc>
          <w:tcPr>
            <w:tcW w:w="976" w:type="dxa"/>
            <w:noWrap w:val="0"/>
            <w:vAlign w:val="center"/>
          </w:tcPr>
          <w:p w14:paraId="613718F8">
            <w:pPr>
              <w:textAlignment w:val="baseline"/>
              <w:rPr>
                <w:rFonts w:hint="eastAsia" w:ascii="宋体" w:hAnsi="宋体" w:cs="宋体"/>
                <w:color w:val="auto"/>
                <w:sz w:val="18"/>
                <w:szCs w:val="18"/>
                <w:highlight w:val="none"/>
              </w:rPr>
            </w:pPr>
          </w:p>
        </w:tc>
      </w:tr>
      <w:tr w14:paraId="14725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A16BD7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14.7</w:t>
            </w:r>
          </w:p>
        </w:tc>
        <w:tc>
          <w:tcPr>
            <w:tcW w:w="7219" w:type="dxa"/>
            <w:noWrap w:val="0"/>
            <w:vAlign w:val="center"/>
          </w:tcPr>
          <w:p w14:paraId="35444F5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RJ45接口≥1个；</w:t>
            </w:r>
          </w:p>
        </w:tc>
        <w:tc>
          <w:tcPr>
            <w:tcW w:w="976" w:type="dxa"/>
            <w:noWrap w:val="0"/>
            <w:vAlign w:val="center"/>
          </w:tcPr>
          <w:p w14:paraId="3EF0A752">
            <w:pPr>
              <w:textAlignment w:val="baseline"/>
              <w:rPr>
                <w:rFonts w:hint="eastAsia" w:ascii="宋体" w:hAnsi="宋体" w:cs="宋体"/>
                <w:color w:val="auto"/>
                <w:sz w:val="18"/>
                <w:szCs w:val="18"/>
                <w:highlight w:val="none"/>
              </w:rPr>
            </w:pPr>
          </w:p>
        </w:tc>
      </w:tr>
      <w:tr w14:paraId="16461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173870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14.8</w:t>
            </w:r>
          </w:p>
        </w:tc>
        <w:tc>
          <w:tcPr>
            <w:tcW w:w="7219" w:type="dxa"/>
            <w:noWrap w:val="0"/>
            <w:vAlign w:val="center"/>
          </w:tcPr>
          <w:p w14:paraId="19AE5BF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RJ12接口≥2个；</w:t>
            </w:r>
          </w:p>
        </w:tc>
        <w:tc>
          <w:tcPr>
            <w:tcW w:w="976" w:type="dxa"/>
            <w:noWrap w:val="0"/>
            <w:vAlign w:val="center"/>
          </w:tcPr>
          <w:p w14:paraId="1CAAAAA1">
            <w:pPr>
              <w:textAlignment w:val="baseline"/>
              <w:rPr>
                <w:rFonts w:hint="eastAsia" w:ascii="宋体" w:hAnsi="宋体" w:cs="宋体"/>
                <w:color w:val="auto"/>
                <w:sz w:val="18"/>
                <w:szCs w:val="18"/>
                <w:highlight w:val="none"/>
              </w:rPr>
            </w:pPr>
          </w:p>
        </w:tc>
      </w:tr>
      <w:tr w14:paraId="562A7D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0E6FF1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14.9</w:t>
            </w:r>
          </w:p>
        </w:tc>
        <w:tc>
          <w:tcPr>
            <w:tcW w:w="7219" w:type="dxa"/>
            <w:noWrap w:val="0"/>
            <w:vAlign w:val="center"/>
          </w:tcPr>
          <w:p w14:paraId="0CEABE7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学生终端翻译机到教师主控端使用网线连接，采用POE低压5V供电和数据传输技术，中间无中继设备，无需额外电源转换供电或另增加第三方品牌的POE交换机供电设备；</w:t>
            </w:r>
          </w:p>
        </w:tc>
        <w:tc>
          <w:tcPr>
            <w:tcW w:w="976" w:type="dxa"/>
            <w:noWrap w:val="0"/>
            <w:vAlign w:val="center"/>
          </w:tcPr>
          <w:p w14:paraId="6DAA8617">
            <w:pPr>
              <w:textAlignment w:val="baseline"/>
              <w:rPr>
                <w:rFonts w:hint="eastAsia" w:ascii="宋体" w:hAnsi="宋体" w:cs="宋体"/>
                <w:color w:val="auto"/>
                <w:sz w:val="18"/>
                <w:szCs w:val="18"/>
                <w:highlight w:val="none"/>
              </w:rPr>
            </w:pPr>
          </w:p>
        </w:tc>
      </w:tr>
      <w:tr w14:paraId="68627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6662FB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14.10</w:t>
            </w:r>
          </w:p>
        </w:tc>
        <w:tc>
          <w:tcPr>
            <w:tcW w:w="7219" w:type="dxa"/>
            <w:noWrap w:val="0"/>
            <w:vAlign w:val="center"/>
          </w:tcPr>
          <w:p w14:paraId="2251DE37">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终端表面采用高质感的颗粒涂层，要求防涂、耐高温、防止龟裂老化、环保；</w:t>
            </w:r>
          </w:p>
        </w:tc>
        <w:tc>
          <w:tcPr>
            <w:tcW w:w="976" w:type="dxa"/>
            <w:noWrap w:val="0"/>
            <w:vAlign w:val="center"/>
          </w:tcPr>
          <w:p w14:paraId="7C630D8C">
            <w:pPr>
              <w:textAlignment w:val="baseline"/>
              <w:rPr>
                <w:rFonts w:hint="eastAsia" w:ascii="宋体" w:hAnsi="宋体" w:cs="宋体"/>
                <w:color w:val="auto"/>
                <w:sz w:val="18"/>
                <w:szCs w:val="18"/>
                <w:highlight w:val="none"/>
              </w:rPr>
            </w:pPr>
          </w:p>
        </w:tc>
      </w:tr>
      <w:tr w14:paraId="4996E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E375A6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14.11</w:t>
            </w:r>
          </w:p>
        </w:tc>
        <w:tc>
          <w:tcPr>
            <w:tcW w:w="7219" w:type="dxa"/>
            <w:noWrap w:val="0"/>
            <w:vAlign w:val="center"/>
          </w:tcPr>
          <w:p w14:paraId="4A125DA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语言通道数量不受限制，只需按压面板上的数字按钮即可选择或切换不同语言通道；</w:t>
            </w:r>
          </w:p>
        </w:tc>
        <w:tc>
          <w:tcPr>
            <w:tcW w:w="976" w:type="dxa"/>
            <w:noWrap w:val="0"/>
            <w:vAlign w:val="center"/>
          </w:tcPr>
          <w:p w14:paraId="5BD2E080">
            <w:pPr>
              <w:textAlignment w:val="baseline"/>
              <w:rPr>
                <w:rFonts w:hint="eastAsia" w:ascii="宋体" w:hAnsi="宋体" w:cs="宋体"/>
                <w:color w:val="auto"/>
                <w:sz w:val="18"/>
                <w:szCs w:val="18"/>
                <w:highlight w:val="none"/>
              </w:rPr>
            </w:pPr>
          </w:p>
        </w:tc>
      </w:tr>
      <w:tr w14:paraId="3706E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585B84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14.12</w:t>
            </w:r>
          </w:p>
        </w:tc>
        <w:tc>
          <w:tcPr>
            <w:tcW w:w="7219" w:type="dxa"/>
            <w:noWrap w:val="0"/>
            <w:vAlign w:val="center"/>
          </w:tcPr>
          <w:p w14:paraId="0DEEC7A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教师可监听、监控每个学生端状态，在系统软件界面可显示整个学生面板图像，通过观察学生面板图像，远程控制学生终端翻译机按钮进行远程指导及音量设置；可选择手动监控和自动监控模式，可根据需要设置不同时间间隔进行自动监控；</w:t>
            </w:r>
          </w:p>
        </w:tc>
        <w:tc>
          <w:tcPr>
            <w:tcW w:w="976" w:type="dxa"/>
            <w:noWrap w:val="0"/>
            <w:vAlign w:val="center"/>
          </w:tcPr>
          <w:p w14:paraId="2D488453">
            <w:pPr>
              <w:textAlignment w:val="baseline"/>
              <w:rPr>
                <w:rFonts w:hint="eastAsia" w:ascii="宋体" w:hAnsi="宋体" w:cs="宋体"/>
                <w:color w:val="auto"/>
                <w:sz w:val="18"/>
                <w:szCs w:val="18"/>
                <w:highlight w:val="none"/>
              </w:rPr>
            </w:pPr>
          </w:p>
        </w:tc>
      </w:tr>
      <w:tr w14:paraId="04F30E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40723D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14.13</w:t>
            </w:r>
          </w:p>
        </w:tc>
        <w:tc>
          <w:tcPr>
            <w:tcW w:w="7219" w:type="dxa"/>
            <w:noWrap w:val="0"/>
            <w:vAlign w:val="center"/>
          </w:tcPr>
          <w:p w14:paraId="34D353F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学生根据终端机面板的数字键选择对应的译员通道，并可在液晶屏显示已选择的译员通道数字；全体学生可以用数字按钮拨打同学号码练习电话交谈或进行角色扮演，具有有播放、停止、录音、快进、快倒、举手、数字、音量调节等实体按键；采用独立按钮按键调整音量，在通话过程中教师可插话、监听；具有口译教学及实训的双轨录音，并且独立分开或同步播放源音和译音选听功能；</w:t>
            </w:r>
            <w:r>
              <w:rPr>
                <w:rFonts w:hint="eastAsia" w:ascii="宋体" w:hAnsi="宋体" w:cs="宋体"/>
                <w:color w:val="auto"/>
                <w:szCs w:val="18"/>
                <w:highlight w:val="none"/>
              </w:rPr>
              <w:t>【演示内容（8）】</w:t>
            </w:r>
          </w:p>
        </w:tc>
        <w:tc>
          <w:tcPr>
            <w:tcW w:w="976" w:type="dxa"/>
            <w:noWrap w:val="0"/>
            <w:vAlign w:val="center"/>
          </w:tcPr>
          <w:p w14:paraId="5EB9CDF8">
            <w:pPr>
              <w:textAlignment w:val="baseline"/>
              <w:rPr>
                <w:rFonts w:hint="eastAsia" w:ascii="宋体" w:hAnsi="宋体" w:cs="宋体"/>
                <w:color w:val="auto"/>
                <w:sz w:val="18"/>
                <w:szCs w:val="18"/>
                <w:highlight w:val="none"/>
              </w:rPr>
            </w:pPr>
          </w:p>
        </w:tc>
      </w:tr>
      <w:tr w14:paraId="1C621A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63B609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14.14</w:t>
            </w:r>
          </w:p>
        </w:tc>
        <w:tc>
          <w:tcPr>
            <w:tcW w:w="7219" w:type="dxa"/>
            <w:noWrap w:val="0"/>
            <w:vAlign w:val="center"/>
          </w:tcPr>
          <w:p w14:paraId="2FEC7D5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具有软件支持，能实现音视频同步，声音流畅清晰。可扩展增加旁听席,实现1个终端机供2个学生同时使用，例如可以将36座的语言学习代表云终端拓展成供72个学生同时使用，只需配套相应的耳机和椅子就可以。</w:t>
            </w:r>
          </w:p>
        </w:tc>
        <w:tc>
          <w:tcPr>
            <w:tcW w:w="976" w:type="dxa"/>
            <w:noWrap w:val="0"/>
            <w:vAlign w:val="center"/>
          </w:tcPr>
          <w:p w14:paraId="2EC305B8">
            <w:pPr>
              <w:textAlignment w:val="baseline"/>
              <w:rPr>
                <w:rFonts w:hint="eastAsia" w:ascii="宋体" w:hAnsi="宋体" w:cs="宋体"/>
                <w:color w:val="auto"/>
                <w:sz w:val="18"/>
                <w:szCs w:val="18"/>
                <w:highlight w:val="none"/>
              </w:rPr>
            </w:pPr>
          </w:p>
        </w:tc>
      </w:tr>
      <w:tr w14:paraId="6ED071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B0D6A17">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15</w:t>
            </w:r>
          </w:p>
        </w:tc>
        <w:tc>
          <w:tcPr>
            <w:tcW w:w="7219" w:type="dxa"/>
            <w:noWrap w:val="0"/>
            <w:vAlign w:val="center"/>
          </w:tcPr>
          <w:p w14:paraId="0429A637">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鼠键套</w:t>
            </w:r>
          </w:p>
        </w:tc>
        <w:tc>
          <w:tcPr>
            <w:tcW w:w="976" w:type="dxa"/>
            <w:noWrap w:val="0"/>
            <w:vAlign w:val="center"/>
          </w:tcPr>
          <w:p w14:paraId="79719BB0">
            <w:pPr>
              <w:textAlignment w:val="baseline"/>
              <w:rPr>
                <w:rFonts w:hint="eastAsia" w:ascii="宋体" w:hAnsi="宋体" w:cs="宋体"/>
                <w:color w:val="auto"/>
                <w:sz w:val="18"/>
                <w:szCs w:val="18"/>
                <w:highlight w:val="none"/>
              </w:rPr>
            </w:pPr>
          </w:p>
        </w:tc>
      </w:tr>
      <w:tr w14:paraId="2820A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682F13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15.1</w:t>
            </w:r>
          </w:p>
        </w:tc>
        <w:tc>
          <w:tcPr>
            <w:tcW w:w="7219" w:type="dxa"/>
            <w:noWrap w:val="0"/>
            <w:vAlign w:val="center"/>
          </w:tcPr>
          <w:p w14:paraId="236109E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标准有限键鼠套装</w:t>
            </w:r>
          </w:p>
        </w:tc>
        <w:tc>
          <w:tcPr>
            <w:tcW w:w="976" w:type="dxa"/>
            <w:noWrap w:val="0"/>
            <w:vAlign w:val="center"/>
          </w:tcPr>
          <w:p w14:paraId="7651C71F">
            <w:pPr>
              <w:textAlignment w:val="baseline"/>
              <w:rPr>
                <w:rFonts w:hint="eastAsia" w:ascii="宋体" w:hAnsi="宋体" w:cs="宋体"/>
                <w:color w:val="auto"/>
                <w:sz w:val="18"/>
                <w:szCs w:val="18"/>
                <w:highlight w:val="none"/>
              </w:rPr>
            </w:pPr>
          </w:p>
        </w:tc>
      </w:tr>
      <w:tr w14:paraId="237DAF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203634E">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16</w:t>
            </w:r>
          </w:p>
        </w:tc>
        <w:tc>
          <w:tcPr>
            <w:tcW w:w="7219" w:type="dxa"/>
            <w:noWrap w:val="0"/>
            <w:vAlign w:val="center"/>
          </w:tcPr>
          <w:p w14:paraId="40309CD7">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学生耳机（纯软语音室专用）</w:t>
            </w:r>
          </w:p>
        </w:tc>
        <w:tc>
          <w:tcPr>
            <w:tcW w:w="976" w:type="dxa"/>
            <w:noWrap w:val="0"/>
            <w:vAlign w:val="center"/>
          </w:tcPr>
          <w:p w14:paraId="530A2480">
            <w:pPr>
              <w:textAlignment w:val="baseline"/>
              <w:rPr>
                <w:rFonts w:hint="eastAsia" w:ascii="宋体" w:hAnsi="宋体" w:cs="宋体"/>
                <w:color w:val="auto"/>
                <w:sz w:val="18"/>
                <w:szCs w:val="18"/>
                <w:highlight w:val="none"/>
              </w:rPr>
            </w:pPr>
          </w:p>
        </w:tc>
      </w:tr>
      <w:tr w14:paraId="260138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352F66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16.1</w:t>
            </w:r>
          </w:p>
        </w:tc>
        <w:tc>
          <w:tcPr>
            <w:tcW w:w="7219" w:type="dxa"/>
            <w:noWrap w:val="0"/>
            <w:vAlign w:val="center"/>
          </w:tcPr>
          <w:p w14:paraId="3455F99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人体工学伸缩式头戴设计，内包采用高钢性金属头梁，外层包覆柔软仿皮材质，非塑料材质；</w:t>
            </w:r>
          </w:p>
        </w:tc>
        <w:tc>
          <w:tcPr>
            <w:tcW w:w="976" w:type="dxa"/>
            <w:noWrap w:val="0"/>
            <w:vAlign w:val="center"/>
          </w:tcPr>
          <w:p w14:paraId="48CEC77D">
            <w:pPr>
              <w:textAlignment w:val="baseline"/>
              <w:rPr>
                <w:rFonts w:hint="eastAsia" w:ascii="宋体" w:hAnsi="宋体" w:cs="宋体"/>
                <w:color w:val="auto"/>
                <w:sz w:val="18"/>
                <w:szCs w:val="18"/>
                <w:highlight w:val="none"/>
              </w:rPr>
            </w:pPr>
          </w:p>
        </w:tc>
      </w:tr>
      <w:tr w14:paraId="0D3DB3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9ADC82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16.2</w:t>
            </w:r>
          </w:p>
        </w:tc>
        <w:tc>
          <w:tcPr>
            <w:tcW w:w="7219" w:type="dxa"/>
            <w:noWrap w:val="0"/>
            <w:vAlign w:val="center"/>
          </w:tcPr>
          <w:p w14:paraId="7390DE4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全包耳罩设计，采用3D立体剪裁耳垫，采用柔软记忆棉，可拆卸、更换耳罩；</w:t>
            </w:r>
          </w:p>
        </w:tc>
        <w:tc>
          <w:tcPr>
            <w:tcW w:w="976" w:type="dxa"/>
            <w:noWrap w:val="0"/>
            <w:vAlign w:val="center"/>
          </w:tcPr>
          <w:p w14:paraId="765E2DBC">
            <w:pPr>
              <w:textAlignment w:val="baseline"/>
              <w:rPr>
                <w:rFonts w:hint="eastAsia" w:ascii="宋体" w:hAnsi="宋体" w:cs="宋体"/>
                <w:color w:val="auto"/>
                <w:sz w:val="18"/>
                <w:szCs w:val="18"/>
                <w:highlight w:val="none"/>
              </w:rPr>
            </w:pPr>
          </w:p>
        </w:tc>
      </w:tr>
      <w:tr w14:paraId="74B74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7A2748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16.3</w:t>
            </w:r>
          </w:p>
        </w:tc>
        <w:tc>
          <w:tcPr>
            <w:tcW w:w="7219" w:type="dxa"/>
            <w:noWrap w:val="0"/>
            <w:vAlign w:val="center"/>
          </w:tcPr>
          <w:p w14:paraId="5902C07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采用高纯度无氧铜导线线芯，双头连接采用电话式RJ12接头；可拆卸、更换耳机线。与会议麦克风配套</w:t>
            </w:r>
          </w:p>
        </w:tc>
        <w:tc>
          <w:tcPr>
            <w:tcW w:w="976" w:type="dxa"/>
            <w:noWrap w:val="0"/>
            <w:vAlign w:val="center"/>
          </w:tcPr>
          <w:p w14:paraId="4CB4309A">
            <w:pPr>
              <w:textAlignment w:val="baseline"/>
              <w:rPr>
                <w:rFonts w:hint="eastAsia" w:ascii="宋体" w:hAnsi="宋体" w:cs="宋体"/>
                <w:color w:val="auto"/>
                <w:sz w:val="18"/>
                <w:szCs w:val="18"/>
                <w:highlight w:val="none"/>
              </w:rPr>
            </w:pPr>
          </w:p>
        </w:tc>
      </w:tr>
      <w:tr w14:paraId="2A5B1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FF0257C">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17</w:t>
            </w:r>
          </w:p>
        </w:tc>
        <w:tc>
          <w:tcPr>
            <w:tcW w:w="7219" w:type="dxa"/>
            <w:noWrap w:val="0"/>
            <w:vAlign w:val="center"/>
          </w:tcPr>
          <w:p w14:paraId="35B536D4">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会议麦克风</w:t>
            </w:r>
          </w:p>
        </w:tc>
        <w:tc>
          <w:tcPr>
            <w:tcW w:w="976" w:type="dxa"/>
            <w:noWrap w:val="0"/>
            <w:vAlign w:val="center"/>
          </w:tcPr>
          <w:p w14:paraId="4237CDD8">
            <w:pPr>
              <w:textAlignment w:val="baseline"/>
              <w:rPr>
                <w:rFonts w:hint="eastAsia" w:ascii="宋体" w:hAnsi="宋体" w:cs="宋体"/>
                <w:color w:val="auto"/>
                <w:sz w:val="18"/>
                <w:szCs w:val="18"/>
                <w:highlight w:val="none"/>
              </w:rPr>
            </w:pPr>
          </w:p>
        </w:tc>
      </w:tr>
      <w:tr w14:paraId="519CE1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F9B0DB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17.1</w:t>
            </w:r>
          </w:p>
        </w:tc>
        <w:tc>
          <w:tcPr>
            <w:tcW w:w="7219" w:type="dxa"/>
            <w:noWrap w:val="0"/>
            <w:vAlign w:val="center"/>
          </w:tcPr>
          <w:p w14:paraId="0F90293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不低于阻抗：180-220 ohm；</w:t>
            </w:r>
          </w:p>
        </w:tc>
        <w:tc>
          <w:tcPr>
            <w:tcW w:w="976" w:type="dxa"/>
            <w:noWrap w:val="0"/>
            <w:vAlign w:val="center"/>
          </w:tcPr>
          <w:p w14:paraId="04EE3688">
            <w:pPr>
              <w:textAlignment w:val="baseline"/>
              <w:rPr>
                <w:rFonts w:hint="eastAsia" w:ascii="宋体" w:hAnsi="宋体" w:cs="宋体"/>
                <w:color w:val="auto"/>
                <w:sz w:val="18"/>
                <w:szCs w:val="18"/>
                <w:highlight w:val="none"/>
              </w:rPr>
            </w:pPr>
          </w:p>
        </w:tc>
      </w:tr>
      <w:tr w14:paraId="4AEBA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41C11C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17.2</w:t>
            </w:r>
          </w:p>
        </w:tc>
        <w:tc>
          <w:tcPr>
            <w:tcW w:w="7219" w:type="dxa"/>
            <w:noWrap w:val="0"/>
            <w:vAlign w:val="center"/>
          </w:tcPr>
          <w:p w14:paraId="4572C07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不低于额定值：-10dBV(±0.3V)；</w:t>
            </w:r>
          </w:p>
        </w:tc>
        <w:tc>
          <w:tcPr>
            <w:tcW w:w="976" w:type="dxa"/>
            <w:noWrap w:val="0"/>
            <w:vAlign w:val="center"/>
          </w:tcPr>
          <w:p w14:paraId="425C69E3">
            <w:pPr>
              <w:textAlignment w:val="baseline"/>
              <w:rPr>
                <w:rFonts w:hint="eastAsia" w:ascii="宋体" w:hAnsi="宋体" w:cs="宋体"/>
                <w:color w:val="auto"/>
                <w:sz w:val="18"/>
                <w:szCs w:val="18"/>
                <w:highlight w:val="none"/>
              </w:rPr>
            </w:pPr>
          </w:p>
        </w:tc>
      </w:tr>
      <w:tr w14:paraId="42A1C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1E04C9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17.3</w:t>
            </w:r>
          </w:p>
        </w:tc>
        <w:tc>
          <w:tcPr>
            <w:tcW w:w="7219" w:type="dxa"/>
            <w:noWrap w:val="0"/>
            <w:vAlign w:val="center"/>
          </w:tcPr>
          <w:p w14:paraId="561A5D7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音质清晰透彻，低音强、重音足，话音清晰，灵敏度≥80dB，与学生耳机配套</w:t>
            </w:r>
          </w:p>
        </w:tc>
        <w:tc>
          <w:tcPr>
            <w:tcW w:w="976" w:type="dxa"/>
            <w:noWrap w:val="0"/>
            <w:vAlign w:val="center"/>
          </w:tcPr>
          <w:p w14:paraId="0FDCDFA8">
            <w:pPr>
              <w:textAlignment w:val="baseline"/>
              <w:rPr>
                <w:rFonts w:hint="eastAsia" w:ascii="宋体" w:hAnsi="宋体" w:cs="宋体"/>
                <w:color w:val="auto"/>
                <w:sz w:val="18"/>
                <w:szCs w:val="18"/>
                <w:highlight w:val="none"/>
              </w:rPr>
            </w:pPr>
          </w:p>
        </w:tc>
      </w:tr>
      <w:tr w14:paraId="1DF697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66ABE05">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18</w:t>
            </w:r>
          </w:p>
        </w:tc>
        <w:tc>
          <w:tcPr>
            <w:tcW w:w="7219" w:type="dxa"/>
            <w:noWrap w:val="0"/>
            <w:vAlign w:val="center"/>
          </w:tcPr>
          <w:p w14:paraId="6C8392FD">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语言学习代表云终端（分体）</w:t>
            </w:r>
          </w:p>
        </w:tc>
        <w:tc>
          <w:tcPr>
            <w:tcW w:w="976" w:type="dxa"/>
            <w:noWrap w:val="0"/>
            <w:vAlign w:val="center"/>
          </w:tcPr>
          <w:p w14:paraId="6F6FD2B1">
            <w:pPr>
              <w:textAlignment w:val="baseline"/>
              <w:rPr>
                <w:rFonts w:hint="eastAsia" w:ascii="宋体" w:hAnsi="宋体" w:cs="宋体"/>
                <w:color w:val="auto"/>
                <w:sz w:val="18"/>
                <w:szCs w:val="18"/>
                <w:highlight w:val="none"/>
              </w:rPr>
            </w:pPr>
          </w:p>
        </w:tc>
      </w:tr>
      <w:tr w14:paraId="6C6717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8AE7D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18.1</w:t>
            </w:r>
          </w:p>
        </w:tc>
        <w:tc>
          <w:tcPr>
            <w:tcW w:w="7219" w:type="dxa"/>
            <w:noWrap w:val="0"/>
            <w:vAlign w:val="center"/>
          </w:tcPr>
          <w:p w14:paraId="7A3FE9F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由单译员机和双译员机组成4个译员位</w:t>
            </w:r>
          </w:p>
        </w:tc>
        <w:tc>
          <w:tcPr>
            <w:tcW w:w="976" w:type="dxa"/>
            <w:noWrap w:val="0"/>
            <w:vAlign w:val="center"/>
          </w:tcPr>
          <w:p w14:paraId="3C7472B9">
            <w:pPr>
              <w:textAlignment w:val="baseline"/>
              <w:rPr>
                <w:rFonts w:hint="eastAsia" w:ascii="宋体" w:hAnsi="宋体" w:cs="宋体"/>
                <w:color w:val="auto"/>
                <w:sz w:val="18"/>
                <w:szCs w:val="18"/>
                <w:highlight w:val="none"/>
              </w:rPr>
            </w:pPr>
          </w:p>
        </w:tc>
      </w:tr>
      <w:tr w14:paraId="1B0D2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09B5CB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w:t>
            </w:r>
          </w:p>
        </w:tc>
        <w:tc>
          <w:tcPr>
            <w:tcW w:w="7219" w:type="dxa"/>
            <w:noWrap w:val="0"/>
            <w:vAlign w:val="center"/>
          </w:tcPr>
          <w:p w14:paraId="2A4C3CE2">
            <w:pPr>
              <w:widowControl/>
              <w:jc w:val="left"/>
              <w:textAlignment w:val="center"/>
              <w:rPr>
                <w:rFonts w:hint="eastAsia" w:ascii="宋体" w:hAnsi="宋体" w:cs="宋体"/>
                <w:color w:val="auto"/>
                <w:kern w:val="0"/>
                <w:szCs w:val="21"/>
                <w:highlight w:val="none"/>
                <w:lang w:bidi="ar"/>
              </w:rPr>
            </w:pPr>
            <w:r>
              <w:rPr>
                <w:rStyle w:val="314"/>
                <w:rFonts w:hint="default"/>
                <w:b/>
                <w:bCs/>
                <w:color w:val="auto"/>
                <w:sz w:val="21"/>
                <w:szCs w:val="21"/>
                <w:highlight w:val="none"/>
                <w:lang w:bidi="ar"/>
              </w:rPr>
              <w:t>单译员机</w:t>
            </w:r>
          </w:p>
        </w:tc>
        <w:tc>
          <w:tcPr>
            <w:tcW w:w="976" w:type="dxa"/>
            <w:noWrap w:val="0"/>
            <w:vAlign w:val="center"/>
          </w:tcPr>
          <w:p w14:paraId="732CC552">
            <w:pPr>
              <w:textAlignment w:val="baseline"/>
              <w:rPr>
                <w:rFonts w:hint="eastAsia" w:ascii="宋体" w:hAnsi="宋体" w:cs="宋体"/>
                <w:color w:val="auto"/>
                <w:sz w:val="18"/>
                <w:szCs w:val="18"/>
                <w:highlight w:val="none"/>
              </w:rPr>
            </w:pPr>
          </w:p>
        </w:tc>
      </w:tr>
      <w:tr w14:paraId="5B7C3B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2F8C0D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18.2.1</w:t>
            </w:r>
          </w:p>
        </w:tc>
        <w:tc>
          <w:tcPr>
            <w:tcW w:w="7219" w:type="dxa"/>
            <w:noWrap w:val="0"/>
            <w:vAlign w:val="center"/>
          </w:tcPr>
          <w:p w14:paraId="0EF94DA7">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译员机采用钢质结构，嵌入式安装；采用硬件型纯终端设计，不接受软件模拟产品；译员机可独立使用，即不接连电脑或外接语音卡即可实现同传翻译功能和录音功能；</w:t>
            </w:r>
          </w:p>
        </w:tc>
        <w:tc>
          <w:tcPr>
            <w:tcW w:w="976" w:type="dxa"/>
            <w:noWrap w:val="0"/>
            <w:vAlign w:val="center"/>
          </w:tcPr>
          <w:p w14:paraId="7B7F4AC5">
            <w:pPr>
              <w:textAlignment w:val="baseline"/>
              <w:rPr>
                <w:rFonts w:hint="eastAsia" w:ascii="宋体" w:hAnsi="宋体" w:cs="宋体"/>
                <w:color w:val="auto"/>
                <w:sz w:val="18"/>
                <w:szCs w:val="18"/>
                <w:highlight w:val="none"/>
              </w:rPr>
            </w:pPr>
          </w:p>
        </w:tc>
      </w:tr>
      <w:tr w14:paraId="60313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B2B8DE2">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18.2.2</w:t>
            </w:r>
          </w:p>
        </w:tc>
        <w:tc>
          <w:tcPr>
            <w:tcW w:w="7219" w:type="dxa"/>
            <w:noWrap w:val="0"/>
            <w:vAlign w:val="center"/>
          </w:tcPr>
          <w:p w14:paraId="47BA920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信噪比（恒定值）≥60dB；</w:t>
            </w:r>
          </w:p>
        </w:tc>
        <w:tc>
          <w:tcPr>
            <w:tcW w:w="976" w:type="dxa"/>
            <w:noWrap w:val="0"/>
            <w:vAlign w:val="center"/>
          </w:tcPr>
          <w:p w14:paraId="5E6F2F77">
            <w:pPr>
              <w:textAlignment w:val="baseline"/>
              <w:rPr>
                <w:rFonts w:hint="eastAsia" w:ascii="宋体" w:hAnsi="宋体" w:cs="宋体"/>
                <w:color w:val="auto"/>
                <w:sz w:val="18"/>
                <w:szCs w:val="18"/>
                <w:highlight w:val="none"/>
              </w:rPr>
            </w:pPr>
          </w:p>
        </w:tc>
      </w:tr>
      <w:tr w14:paraId="7480E6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F97AA0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18.2.3</w:t>
            </w:r>
          </w:p>
        </w:tc>
        <w:tc>
          <w:tcPr>
            <w:tcW w:w="7219" w:type="dxa"/>
            <w:noWrap w:val="0"/>
            <w:vAlign w:val="center"/>
          </w:tcPr>
          <w:p w14:paraId="32459A9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失真度≤1%；</w:t>
            </w:r>
          </w:p>
        </w:tc>
        <w:tc>
          <w:tcPr>
            <w:tcW w:w="976" w:type="dxa"/>
            <w:noWrap w:val="0"/>
            <w:vAlign w:val="center"/>
          </w:tcPr>
          <w:p w14:paraId="3BB6EFD7">
            <w:pPr>
              <w:textAlignment w:val="baseline"/>
              <w:rPr>
                <w:rFonts w:hint="eastAsia" w:ascii="宋体" w:hAnsi="宋体" w:cs="宋体"/>
                <w:color w:val="auto"/>
                <w:sz w:val="18"/>
                <w:szCs w:val="18"/>
                <w:highlight w:val="none"/>
              </w:rPr>
            </w:pPr>
          </w:p>
        </w:tc>
      </w:tr>
      <w:tr w14:paraId="0E54CF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2B3973A">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18.2.4</w:t>
            </w:r>
          </w:p>
        </w:tc>
        <w:tc>
          <w:tcPr>
            <w:tcW w:w="7219" w:type="dxa"/>
            <w:noWrap w:val="0"/>
            <w:vAlign w:val="center"/>
          </w:tcPr>
          <w:p w14:paraId="4B8738D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同步延时≤1ms；</w:t>
            </w:r>
          </w:p>
        </w:tc>
        <w:tc>
          <w:tcPr>
            <w:tcW w:w="976" w:type="dxa"/>
            <w:noWrap w:val="0"/>
            <w:vAlign w:val="center"/>
          </w:tcPr>
          <w:p w14:paraId="2A506A0B">
            <w:pPr>
              <w:textAlignment w:val="baseline"/>
              <w:rPr>
                <w:rFonts w:hint="eastAsia" w:ascii="宋体" w:hAnsi="宋体" w:cs="宋体"/>
                <w:color w:val="auto"/>
                <w:sz w:val="18"/>
                <w:szCs w:val="18"/>
                <w:highlight w:val="none"/>
              </w:rPr>
            </w:pPr>
          </w:p>
        </w:tc>
      </w:tr>
      <w:tr w14:paraId="3FC18DC2">
        <w:tblPrEx>
          <w:tblCellMar>
            <w:top w:w="0" w:type="dxa"/>
            <w:left w:w="108" w:type="dxa"/>
            <w:bottom w:w="0" w:type="dxa"/>
            <w:right w:w="108" w:type="dxa"/>
          </w:tblCellMar>
        </w:tblPrEx>
        <w:trPr>
          <w:trHeight w:val="23" w:hRule="atLeast"/>
          <w:jc w:val="center"/>
        </w:trPr>
        <w:tc>
          <w:tcPr>
            <w:tcW w:w="892" w:type="dxa"/>
            <w:noWrap w:val="0"/>
            <w:vAlign w:val="center"/>
          </w:tcPr>
          <w:p w14:paraId="19346F5B">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18.2.5</w:t>
            </w:r>
          </w:p>
        </w:tc>
        <w:tc>
          <w:tcPr>
            <w:tcW w:w="7219" w:type="dxa"/>
            <w:noWrap w:val="0"/>
            <w:vAlign w:val="center"/>
          </w:tcPr>
          <w:p w14:paraId="1053263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频率响应20Hz-15KHz；</w:t>
            </w:r>
          </w:p>
        </w:tc>
        <w:tc>
          <w:tcPr>
            <w:tcW w:w="976" w:type="dxa"/>
            <w:noWrap w:val="0"/>
            <w:vAlign w:val="center"/>
          </w:tcPr>
          <w:p w14:paraId="74561E59">
            <w:pPr>
              <w:textAlignment w:val="baseline"/>
              <w:rPr>
                <w:rFonts w:hint="eastAsia" w:ascii="宋体" w:hAnsi="宋体" w:cs="宋体"/>
                <w:color w:val="auto"/>
                <w:sz w:val="18"/>
                <w:szCs w:val="18"/>
                <w:highlight w:val="none"/>
              </w:rPr>
            </w:pPr>
          </w:p>
        </w:tc>
      </w:tr>
      <w:tr w14:paraId="4CD8B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23B4A8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18.2.6</w:t>
            </w:r>
          </w:p>
        </w:tc>
        <w:tc>
          <w:tcPr>
            <w:tcW w:w="7219" w:type="dxa"/>
            <w:noWrap w:val="0"/>
            <w:vAlign w:val="center"/>
          </w:tcPr>
          <w:p w14:paraId="721932E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RJ45接口≥1个；</w:t>
            </w:r>
          </w:p>
        </w:tc>
        <w:tc>
          <w:tcPr>
            <w:tcW w:w="976" w:type="dxa"/>
            <w:noWrap w:val="0"/>
            <w:vAlign w:val="center"/>
          </w:tcPr>
          <w:p w14:paraId="0982F03F">
            <w:pPr>
              <w:textAlignment w:val="baseline"/>
              <w:rPr>
                <w:rFonts w:hint="eastAsia" w:ascii="宋体" w:hAnsi="宋体" w:cs="宋体"/>
                <w:color w:val="auto"/>
                <w:sz w:val="18"/>
                <w:szCs w:val="18"/>
                <w:highlight w:val="none"/>
              </w:rPr>
            </w:pPr>
          </w:p>
        </w:tc>
      </w:tr>
      <w:tr w14:paraId="727EFF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95DE0AB">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18.2.7</w:t>
            </w:r>
          </w:p>
        </w:tc>
        <w:tc>
          <w:tcPr>
            <w:tcW w:w="7219" w:type="dxa"/>
            <w:noWrap w:val="0"/>
            <w:vAlign w:val="center"/>
          </w:tcPr>
          <w:p w14:paraId="7626732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RJ12接口≥2个；</w:t>
            </w:r>
          </w:p>
        </w:tc>
        <w:tc>
          <w:tcPr>
            <w:tcW w:w="976" w:type="dxa"/>
            <w:noWrap w:val="0"/>
            <w:vAlign w:val="center"/>
          </w:tcPr>
          <w:p w14:paraId="2D8B79AE">
            <w:pPr>
              <w:textAlignment w:val="baseline"/>
              <w:rPr>
                <w:rFonts w:hint="eastAsia" w:ascii="宋体" w:hAnsi="宋体" w:cs="宋体"/>
                <w:color w:val="auto"/>
                <w:sz w:val="18"/>
                <w:szCs w:val="18"/>
                <w:highlight w:val="none"/>
              </w:rPr>
            </w:pPr>
          </w:p>
        </w:tc>
      </w:tr>
      <w:tr w14:paraId="0A50D8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13E4C1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18.2.8</w:t>
            </w:r>
          </w:p>
        </w:tc>
        <w:tc>
          <w:tcPr>
            <w:tcW w:w="7219" w:type="dxa"/>
            <w:noWrap w:val="0"/>
            <w:vAlign w:val="center"/>
          </w:tcPr>
          <w:p w14:paraId="6A369DC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传输协议：采用以太网TCP/IP网络协议框架，译员端到教师主控端网线连接，采用POE低压5V供电和数据传输技术，中间无中继设备，无需额外电源转换供电或另增加第三方品牌的POE交换机供电设备；</w:t>
            </w:r>
          </w:p>
        </w:tc>
        <w:tc>
          <w:tcPr>
            <w:tcW w:w="976" w:type="dxa"/>
            <w:noWrap w:val="0"/>
            <w:vAlign w:val="center"/>
          </w:tcPr>
          <w:p w14:paraId="66DB89E2">
            <w:pPr>
              <w:textAlignment w:val="baseline"/>
              <w:rPr>
                <w:rFonts w:hint="eastAsia" w:ascii="宋体" w:hAnsi="宋体" w:cs="宋体"/>
                <w:color w:val="auto"/>
                <w:sz w:val="18"/>
                <w:szCs w:val="18"/>
                <w:highlight w:val="none"/>
              </w:rPr>
            </w:pPr>
          </w:p>
        </w:tc>
      </w:tr>
      <w:tr w14:paraId="15081F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FB59E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18.2.9</w:t>
            </w:r>
          </w:p>
        </w:tc>
        <w:tc>
          <w:tcPr>
            <w:tcW w:w="7219" w:type="dxa"/>
            <w:noWrap w:val="0"/>
            <w:vAlign w:val="center"/>
          </w:tcPr>
          <w:p w14:paraId="5758C048">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支持将不同通道的两个传译员设置成同一通道，使听众可以同时听到两个或两个以上传译员的翻译内容；</w:t>
            </w:r>
          </w:p>
        </w:tc>
        <w:tc>
          <w:tcPr>
            <w:tcW w:w="976" w:type="dxa"/>
            <w:noWrap w:val="0"/>
            <w:vAlign w:val="center"/>
          </w:tcPr>
          <w:p w14:paraId="23D3FEBD">
            <w:pPr>
              <w:textAlignment w:val="baseline"/>
              <w:rPr>
                <w:rFonts w:hint="eastAsia" w:ascii="宋体" w:hAnsi="宋体" w:cs="宋体"/>
                <w:color w:val="auto"/>
                <w:sz w:val="18"/>
                <w:szCs w:val="18"/>
                <w:highlight w:val="none"/>
              </w:rPr>
            </w:pPr>
          </w:p>
        </w:tc>
      </w:tr>
      <w:tr w14:paraId="33389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8F1580C">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18.2.10</w:t>
            </w:r>
          </w:p>
        </w:tc>
        <w:tc>
          <w:tcPr>
            <w:tcW w:w="7219" w:type="dxa"/>
            <w:noWrap w:val="0"/>
            <w:vAlign w:val="center"/>
          </w:tcPr>
          <w:p w14:paraId="5F7849C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 xml:space="preserve">支持多语种接力传译训练，即1号译员将原语翻译成A语言，2号译员将A语言翻译成B语言，3号译员将B语言翻译成C语言；且接力人数不受限制，不同译员通过译员面板的数字按键选择不同通道，要求无延时、无串音； </w:t>
            </w:r>
          </w:p>
        </w:tc>
        <w:tc>
          <w:tcPr>
            <w:tcW w:w="976" w:type="dxa"/>
            <w:noWrap w:val="0"/>
            <w:vAlign w:val="center"/>
          </w:tcPr>
          <w:p w14:paraId="2B5A5CBC">
            <w:pPr>
              <w:textAlignment w:val="baseline"/>
              <w:rPr>
                <w:rFonts w:hint="eastAsia" w:ascii="宋体" w:hAnsi="宋体" w:cs="宋体"/>
                <w:color w:val="auto"/>
                <w:sz w:val="18"/>
                <w:szCs w:val="18"/>
                <w:highlight w:val="none"/>
              </w:rPr>
            </w:pPr>
          </w:p>
        </w:tc>
      </w:tr>
      <w:tr w14:paraId="735F62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E84609">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18.2.11</w:t>
            </w:r>
          </w:p>
        </w:tc>
        <w:tc>
          <w:tcPr>
            <w:tcW w:w="7219" w:type="dxa"/>
            <w:noWrap w:val="0"/>
            <w:vAlign w:val="center"/>
          </w:tcPr>
          <w:p w14:paraId="1899ECF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面板采用非触控液晶屏≥3.5英寸，实时显示功能状态；带有播放、停止、录音、快进、快倒、举手、数字、音量调节等实体按键；采用独立按钮按键调整音量，不接受软件控制调整音量；</w:t>
            </w:r>
          </w:p>
        </w:tc>
        <w:tc>
          <w:tcPr>
            <w:tcW w:w="976" w:type="dxa"/>
            <w:noWrap w:val="0"/>
            <w:vAlign w:val="center"/>
          </w:tcPr>
          <w:p w14:paraId="54A295B0">
            <w:pPr>
              <w:textAlignment w:val="baseline"/>
              <w:rPr>
                <w:rFonts w:hint="eastAsia" w:ascii="宋体" w:hAnsi="宋体" w:cs="宋体"/>
                <w:color w:val="auto"/>
                <w:sz w:val="18"/>
                <w:szCs w:val="18"/>
                <w:highlight w:val="none"/>
              </w:rPr>
            </w:pPr>
          </w:p>
        </w:tc>
      </w:tr>
      <w:tr w14:paraId="405C4F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88F5F4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w:t>
            </w:r>
          </w:p>
        </w:tc>
        <w:tc>
          <w:tcPr>
            <w:tcW w:w="7219" w:type="dxa"/>
            <w:noWrap w:val="0"/>
            <w:vAlign w:val="center"/>
          </w:tcPr>
          <w:p w14:paraId="0FE7F89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szCs w:val="21"/>
                <w:highlight w:val="none"/>
              </w:rPr>
              <w:t>双译员机</w:t>
            </w:r>
          </w:p>
        </w:tc>
        <w:tc>
          <w:tcPr>
            <w:tcW w:w="976" w:type="dxa"/>
            <w:noWrap w:val="0"/>
            <w:vAlign w:val="center"/>
          </w:tcPr>
          <w:p w14:paraId="68E5F1DA">
            <w:pPr>
              <w:textAlignment w:val="baseline"/>
              <w:rPr>
                <w:rFonts w:hint="eastAsia" w:ascii="宋体" w:hAnsi="宋体" w:cs="宋体"/>
                <w:color w:val="auto"/>
                <w:sz w:val="18"/>
                <w:szCs w:val="18"/>
                <w:highlight w:val="none"/>
              </w:rPr>
            </w:pPr>
          </w:p>
        </w:tc>
      </w:tr>
      <w:tr w14:paraId="5B1C42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43DC7EC">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18.3.1</w:t>
            </w:r>
          </w:p>
        </w:tc>
        <w:tc>
          <w:tcPr>
            <w:tcW w:w="7219" w:type="dxa"/>
            <w:noWrap w:val="0"/>
            <w:vAlign w:val="center"/>
          </w:tcPr>
          <w:p w14:paraId="572F8EE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译员机采用钢质结构，嵌入式安装；采用硬件型纯终端设计，不接受软件模拟产品；译员机可独立使用，即不接连电脑或外接语音卡即可实现同传翻译功能和录音功能；</w:t>
            </w:r>
          </w:p>
        </w:tc>
        <w:tc>
          <w:tcPr>
            <w:tcW w:w="976" w:type="dxa"/>
            <w:noWrap w:val="0"/>
            <w:vAlign w:val="center"/>
          </w:tcPr>
          <w:p w14:paraId="24A6A144">
            <w:pPr>
              <w:textAlignment w:val="baseline"/>
              <w:rPr>
                <w:rFonts w:hint="eastAsia" w:ascii="宋体" w:hAnsi="宋体" w:cs="宋体"/>
                <w:color w:val="auto"/>
                <w:sz w:val="18"/>
                <w:szCs w:val="18"/>
                <w:highlight w:val="none"/>
              </w:rPr>
            </w:pPr>
          </w:p>
        </w:tc>
      </w:tr>
      <w:tr w14:paraId="2831BA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9E939D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18.3.2</w:t>
            </w:r>
          </w:p>
        </w:tc>
        <w:tc>
          <w:tcPr>
            <w:tcW w:w="7219" w:type="dxa"/>
            <w:noWrap w:val="0"/>
            <w:vAlign w:val="center"/>
          </w:tcPr>
          <w:p w14:paraId="4B82715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信噪比（恒定值）≥60dB；</w:t>
            </w:r>
          </w:p>
        </w:tc>
        <w:tc>
          <w:tcPr>
            <w:tcW w:w="976" w:type="dxa"/>
            <w:noWrap w:val="0"/>
            <w:vAlign w:val="center"/>
          </w:tcPr>
          <w:p w14:paraId="554685B2">
            <w:pPr>
              <w:textAlignment w:val="baseline"/>
              <w:rPr>
                <w:rFonts w:hint="eastAsia" w:ascii="宋体" w:hAnsi="宋体" w:cs="宋体"/>
                <w:color w:val="auto"/>
                <w:sz w:val="18"/>
                <w:szCs w:val="18"/>
                <w:highlight w:val="none"/>
              </w:rPr>
            </w:pPr>
          </w:p>
        </w:tc>
      </w:tr>
      <w:tr w14:paraId="1D7D72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CA86E7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18.3.3</w:t>
            </w:r>
          </w:p>
        </w:tc>
        <w:tc>
          <w:tcPr>
            <w:tcW w:w="7219" w:type="dxa"/>
            <w:noWrap w:val="0"/>
            <w:vAlign w:val="center"/>
          </w:tcPr>
          <w:p w14:paraId="620D6BD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失真度≤1%；</w:t>
            </w:r>
          </w:p>
        </w:tc>
        <w:tc>
          <w:tcPr>
            <w:tcW w:w="976" w:type="dxa"/>
            <w:noWrap w:val="0"/>
            <w:vAlign w:val="center"/>
          </w:tcPr>
          <w:p w14:paraId="6DC28788">
            <w:pPr>
              <w:textAlignment w:val="baseline"/>
              <w:rPr>
                <w:rFonts w:hint="eastAsia" w:ascii="宋体" w:hAnsi="宋体" w:cs="宋体"/>
                <w:color w:val="auto"/>
                <w:sz w:val="18"/>
                <w:szCs w:val="18"/>
                <w:highlight w:val="none"/>
              </w:rPr>
            </w:pPr>
          </w:p>
        </w:tc>
      </w:tr>
      <w:tr w14:paraId="44A1F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377DB0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18.3.4</w:t>
            </w:r>
          </w:p>
        </w:tc>
        <w:tc>
          <w:tcPr>
            <w:tcW w:w="7219" w:type="dxa"/>
            <w:noWrap w:val="0"/>
            <w:vAlign w:val="center"/>
          </w:tcPr>
          <w:p w14:paraId="16696CF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同步延时≤1ms；</w:t>
            </w:r>
          </w:p>
        </w:tc>
        <w:tc>
          <w:tcPr>
            <w:tcW w:w="976" w:type="dxa"/>
            <w:noWrap w:val="0"/>
            <w:vAlign w:val="center"/>
          </w:tcPr>
          <w:p w14:paraId="4AE90278">
            <w:pPr>
              <w:textAlignment w:val="baseline"/>
              <w:rPr>
                <w:rFonts w:hint="eastAsia" w:ascii="宋体" w:hAnsi="宋体" w:cs="宋体"/>
                <w:color w:val="auto"/>
                <w:sz w:val="18"/>
                <w:szCs w:val="18"/>
                <w:highlight w:val="none"/>
              </w:rPr>
            </w:pPr>
          </w:p>
        </w:tc>
      </w:tr>
      <w:tr w14:paraId="03D78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CB9534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18.3.5</w:t>
            </w:r>
          </w:p>
        </w:tc>
        <w:tc>
          <w:tcPr>
            <w:tcW w:w="7219" w:type="dxa"/>
            <w:noWrap w:val="0"/>
            <w:vAlign w:val="center"/>
          </w:tcPr>
          <w:p w14:paraId="1B20419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频率响应20Hz-15KHz；</w:t>
            </w:r>
          </w:p>
        </w:tc>
        <w:tc>
          <w:tcPr>
            <w:tcW w:w="976" w:type="dxa"/>
            <w:noWrap w:val="0"/>
            <w:vAlign w:val="center"/>
          </w:tcPr>
          <w:p w14:paraId="34F7F2AA">
            <w:pPr>
              <w:textAlignment w:val="baseline"/>
              <w:rPr>
                <w:rFonts w:hint="eastAsia" w:ascii="宋体" w:hAnsi="宋体" w:cs="宋体"/>
                <w:color w:val="auto"/>
                <w:sz w:val="18"/>
                <w:szCs w:val="18"/>
                <w:highlight w:val="none"/>
              </w:rPr>
            </w:pPr>
          </w:p>
        </w:tc>
      </w:tr>
      <w:tr w14:paraId="238E20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35315A2">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18.3.6</w:t>
            </w:r>
          </w:p>
        </w:tc>
        <w:tc>
          <w:tcPr>
            <w:tcW w:w="7219" w:type="dxa"/>
            <w:noWrap w:val="0"/>
            <w:vAlign w:val="center"/>
          </w:tcPr>
          <w:p w14:paraId="6E4C7898">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RJ45接口≥1个；</w:t>
            </w:r>
          </w:p>
        </w:tc>
        <w:tc>
          <w:tcPr>
            <w:tcW w:w="976" w:type="dxa"/>
            <w:noWrap w:val="0"/>
            <w:vAlign w:val="center"/>
          </w:tcPr>
          <w:p w14:paraId="5E079E88">
            <w:pPr>
              <w:textAlignment w:val="baseline"/>
              <w:rPr>
                <w:rFonts w:hint="eastAsia" w:ascii="宋体" w:hAnsi="宋体" w:cs="宋体"/>
                <w:color w:val="auto"/>
                <w:sz w:val="18"/>
                <w:szCs w:val="18"/>
                <w:highlight w:val="none"/>
              </w:rPr>
            </w:pPr>
          </w:p>
        </w:tc>
      </w:tr>
      <w:tr w14:paraId="5B9B05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167DAC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18.3.7</w:t>
            </w:r>
          </w:p>
        </w:tc>
        <w:tc>
          <w:tcPr>
            <w:tcW w:w="7219" w:type="dxa"/>
            <w:noWrap w:val="0"/>
            <w:vAlign w:val="center"/>
          </w:tcPr>
          <w:p w14:paraId="2C92ECD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RJ12接口≥2个；</w:t>
            </w:r>
          </w:p>
        </w:tc>
        <w:tc>
          <w:tcPr>
            <w:tcW w:w="976" w:type="dxa"/>
            <w:noWrap w:val="0"/>
            <w:vAlign w:val="center"/>
          </w:tcPr>
          <w:p w14:paraId="4C2A7F48">
            <w:pPr>
              <w:textAlignment w:val="baseline"/>
              <w:rPr>
                <w:rFonts w:hint="eastAsia" w:ascii="宋体" w:hAnsi="宋体" w:cs="宋体"/>
                <w:color w:val="auto"/>
                <w:sz w:val="18"/>
                <w:szCs w:val="18"/>
                <w:highlight w:val="none"/>
              </w:rPr>
            </w:pPr>
          </w:p>
        </w:tc>
      </w:tr>
      <w:tr w14:paraId="3DD8EC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FFD78A2">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18.3.8</w:t>
            </w:r>
          </w:p>
        </w:tc>
        <w:tc>
          <w:tcPr>
            <w:tcW w:w="7219" w:type="dxa"/>
            <w:noWrap w:val="0"/>
            <w:vAlign w:val="center"/>
          </w:tcPr>
          <w:p w14:paraId="15B650A1">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传输协议：采用以太网TCP/IP网络协议框架，译员端到教师主控端网线连接，采用POE低压5V供电和数据传输技术，中间无中继设备，无需额外电源转换供电或另增加第三方品牌的POE交换机供电设备；</w:t>
            </w:r>
          </w:p>
        </w:tc>
        <w:tc>
          <w:tcPr>
            <w:tcW w:w="976" w:type="dxa"/>
            <w:noWrap w:val="0"/>
            <w:vAlign w:val="center"/>
          </w:tcPr>
          <w:p w14:paraId="22E11A80">
            <w:pPr>
              <w:textAlignment w:val="baseline"/>
              <w:rPr>
                <w:rFonts w:hint="eastAsia" w:ascii="宋体" w:hAnsi="宋体" w:cs="宋体"/>
                <w:color w:val="auto"/>
                <w:sz w:val="18"/>
                <w:szCs w:val="18"/>
                <w:highlight w:val="none"/>
              </w:rPr>
            </w:pPr>
          </w:p>
        </w:tc>
      </w:tr>
      <w:tr w14:paraId="3B3C33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D1C51A">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18.3.9</w:t>
            </w:r>
          </w:p>
        </w:tc>
        <w:tc>
          <w:tcPr>
            <w:tcW w:w="7219" w:type="dxa"/>
            <w:noWrap w:val="0"/>
            <w:vAlign w:val="center"/>
          </w:tcPr>
          <w:p w14:paraId="1F8EE69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支持将不同通道的两个传译员设置成同一通道，使听众可以同时听到两个或两个以上传译员的翻译内容；</w:t>
            </w:r>
          </w:p>
        </w:tc>
        <w:tc>
          <w:tcPr>
            <w:tcW w:w="976" w:type="dxa"/>
            <w:noWrap w:val="0"/>
            <w:vAlign w:val="center"/>
          </w:tcPr>
          <w:p w14:paraId="2E248B1A">
            <w:pPr>
              <w:textAlignment w:val="baseline"/>
              <w:rPr>
                <w:rFonts w:hint="eastAsia" w:ascii="宋体" w:hAnsi="宋体" w:cs="宋体"/>
                <w:color w:val="auto"/>
                <w:sz w:val="18"/>
                <w:szCs w:val="18"/>
                <w:highlight w:val="none"/>
              </w:rPr>
            </w:pPr>
          </w:p>
        </w:tc>
      </w:tr>
      <w:tr w14:paraId="07B4E8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A7DB27C">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18.3.10</w:t>
            </w:r>
          </w:p>
        </w:tc>
        <w:tc>
          <w:tcPr>
            <w:tcW w:w="7219" w:type="dxa"/>
            <w:noWrap w:val="0"/>
            <w:vAlign w:val="center"/>
          </w:tcPr>
          <w:p w14:paraId="62853FE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支持多语种接力传译训练，即1号译员将原语翻译成A语言，2号译员将A语言翻译成B语言，3号译员将B语言翻译成C语言；且接力人数不受限制，不同译员通过译员面板的数字按键选择不同通道，要求无延时、无串音；</w:t>
            </w:r>
          </w:p>
        </w:tc>
        <w:tc>
          <w:tcPr>
            <w:tcW w:w="976" w:type="dxa"/>
            <w:noWrap w:val="0"/>
            <w:vAlign w:val="center"/>
          </w:tcPr>
          <w:p w14:paraId="710192B8">
            <w:pPr>
              <w:textAlignment w:val="baseline"/>
              <w:rPr>
                <w:rFonts w:hint="eastAsia" w:ascii="宋体" w:hAnsi="宋体" w:cs="宋体"/>
                <w:color w:val="auto"/>
                <w:sz w:val="18"/>
                <w:szCs w:val="18"/>
                <w:highlight w:val="none"/>
              </w:rPr>
            </w:pPr>
          </w:p>
        </w:tc>
      </w:tr>
      <w:tr w14:paraId="5EA4AE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7C17252">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18.3.11</w:t>
            </w:r>
          </w:p>
        </w:tc>
        <w:tc>
          <w:tcPr>
            <w:tcW w:w="7219" w:type="dxa"/>
            <w:noWrap w:val="0"/>
            <w:vAlign w:val="center"/>
          </w:tcPr>
          <w:p w14:paraId="00C3E79A">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面板采用非触控液晶屏≥3.5英寸，实时显示功能状态；带有播放、停止、录音、快进、快倒、举手、数字、音量调节等实体按键；采用独立按钮按键调整音量，不接受触点触摸按键调整音量、旋转调整音量、软件控制调整音量；</w:t>
            </w:r>
          </w:p>
        </w:tc>
        <w:tc>
          <w:tcPr>
            <w:tcW w:w="976" w:type="dxa"/>
            <w:noWrap w:val="0"/>
            <w:vAlign w:val="center"/>
          </w:tcPr>
          <w:p w14:paraId="672C7B79">
            <w:pPr>
              <w:textAlignment w:val="baseline"/>
              <w:rPr>
                <w:rFonts w:hint="eastAsia" w:ascii="宋体" w:hAnsi="宋体" w:cs="宋体"/>
                <w:color w:val="auto"/>
                <w:sz w:val="18"/>
                <w:szCs w:val="18"/>
                <w:highlight w:val="none"/>
              </w:rPr>
            </w:pPr>
          </w:p>
        </w:tc>
      </w:tr>
      <w:tr w14:paraId="4C2CF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D0D0D5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18.3.12</w:t>
            </w:r>
          </w:p>
        </w:tc>
        <w:tc>
          <w:tcPr>
            <w:tcW w:w="7219" w:type="dxa"/>
            <w:noWrap w:val="0"/>
            <w:vAlign w:val="center"/>
          </w:tcPr>
          <w:p w14:paraId="49E4A324">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同一台双译员机支持两个译员进行接力传译，可安装两个麦克风和两副耳机，配备麦克开关切换装置和工作指示灯；</w:t>
            </w:r>
          </w:p>
        </w:tc>
        <w:tc>
          <w:tcPr>
            <w:tcW w:w="976" w:type="dxa"/>
            <w:noWrap w:val="0"/>
            <w:vAlign w:val="center"/>
          </w:tcPr>
          <w:p w14:paraId="0B4BD43A">
            <w:pPr>
              <w:textAlignment w:val="baseline"/>
              <w:rPr>
                <w:rFonts w:hint="eastAsia" w:ascii="宋体" w:hAnsi="宋体" w:cs="宋体"/>
                <w:color w:val="auto"/>
                <w:sz w:val="18"/>
                <w:szCs w:val="18"/>
                <w:highlight w:val="none"/>
              </w:rPr>
            </w:pPr>
          </w:p>
        </w:tc>
      </w:tr>
      <w:tr w14:paraId="797238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AF4900E">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19</w:t>
            </w:r>
          </w:p>
        </w:tc>
        <w:tc>
          <w:tcPr>
            <w:tcW w:w="7219" w:type="dxa"/>
            <w:noWrap w:val="0"/>
            <w:vAlign w:val="center"/>
          </w:tcPr>
          <w:p w14:paraId="09FBB038">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移动终端</w:t>
            </w:r>
          </w:p>
        </w:tc>
        <w:tc>
          <w:tcPr>
            <w:tcW w:w="976" w:type="dxa"/>
            <w:noWrap w:val="0"/>
            <w:vAlign w:val="center"/>
          </w:tcPr>
          <w:p w14:paraId="7159E2A6">
            <w:pPr>
              <w:textAlignment w:val="baseline"/>
              <w:rPr>
                <w:rFonts w:hint="eastAsia" w:ascii="宋体" w:hAnsi="宋体" w:cs="宋体"/>
                <w:color w:val="auto"/>
                <w:sz w:val="18"/>
                <w:szCs w:val="18"/>
                <w:highlight w:val="none"/>
              </w:rPr>
            </w:pPr>
          </w:p>
        </w:tc>
      </w:tr>
      <w:tr w14:paraId="61904A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F4B0AD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19.1</w:t>
            </w:r>
          </w:p>
        </w:tc>
        <w:tc>
          <w:tcPr>
            <w:tcW w:w="7219" w:type="dxa"/>
            <w:noWrap w:val="0"/>
            <w:vAlign w:val="center"/>
          </w:tcPr>
          <w:p w14:paraId="2666B4D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≥50寸显示器</w:t>
            </w:r>
          </w:p>
        </w:tc>
        <w:tc>
          <w:tcPr>
            <w:tcW w:w="976" w:type="dxa"/>
            <w:noWrap w:val="0"/>
            <w:vAlign w:val="center"/>
          </w:tcPr>
          <w:p w14:paraId="07C3F3EB">
            <w:pPr>
              <w:textAlignment w:val="baseline"/>
              <w:rPr>
                <w:rFonts w:hint="eastAsia" w:ascii="宋体" w:hAnsi="宋体" w:cs="宋体"/>
                <w:color w:val="auto"/>
                <w:sz w:val="18"/>
                <w:szCs w:val="18"/>
                <w:highlight w:val="none"/>
              </w:rPr>
            </w:pPr>
          </w:p>
        </w:tc>
      </w:tr>
      <w:tr w14:paraId="1C2D2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CDF836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19.2</w:t>
            </w:r>
          </w:p>
        </w:tc>
        <w:tc>
          <w:tcPr>
            <w:tcW w:w="7219" w:type="dxa"/>
            <w:noWrap w:val="0"/>
            <w:vAlign w:val="center"/>
          </w:tcPr>
          <w:p w14:paraId="0E9C8CF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≥分辨率3840*2160</w:t>
            </w:r>
          </w:p>
        </w:tc>
        <w:tc>
          <w:tcPr>
            <w:tcW w:w="976" w:type="dxa"/>
            <w:noWrap w:val="0"/>
            <w:vAlign w:val="center"/>
          </w:tcPr>
          <w:p w14:paraId="35D39E60">
            <w:pPr>
              <w:textAlignment w:val="baseline"/>
              <w:rPr>
                <w:rFonts w:hint="eastAsia" w:ascii="宋体" w:hAnsi="宋体" w:cs="宋体"/>
                <w:color w:val="auto"/>
                <w:sz w:val="18"/>
                <w:szCs w:val="18"/>
                <w:highlight w:val="none"/>
              </w:rPr>
            </w:pPr>
          </w:p>
        </w:tc>
      </w:tr>
      <w:tr w14:paraId="06462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B1E418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19.3</w:t>
            </w:r>
          </w:p>
        </w:tc>
        <w:tc>
          <w:tcPr>
            <w:tcW w:w="7219" w:type="dxa"/>
            <w:noWrap w:val="0"/>
            <w:vAlign w:val="center"/>
          </w:tcPr>
          <w:p w14:paraId="3B5ADE6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至少含HDMI接口</w:t>
            </w:r>
          </w:p>
        </w:tc>
        <w:tc>
          <w:tcPr>
            <w:tcW w:w="976" w:type="dxa"/>
            <w:noWrap w:val="0"/>
            <w:vAlign w:val="center"/>
          </w:tcPr>
          <w:p w14:paraId="6ECC8C0D">
            <w:pPr>
              <w:textAlignment w:val="baseline"/>
              <w:rPr>
                <w:rFonts w:hint="eastAsia" w:ascii="宋体" w:hAnsi="宋体" w:cs="宋体"/>
                <w:color w:val="auto"/>
                <w:sz w:val="18"/>
                <w:szCs w:val="18"/>
                <w:highlight w:val="none"/>
              </w:rPr>
            </w:pPr>
          </w:p>
        </w:tc>
      </w:tr>
      <w:tr w14:paraId="1C6D99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9C373AD">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20</w:t>
            </w:r>
          </w:p>
        </w:tc>
        <w:tc>
          <w:tcPr>
            <w:tcW w:w="7219" w:type="dxa"/>
            <w:noWrap w:val="0"/>
            <w:vAlign w:val="center"/>
          </w:tcPr>
          <w:p w14:paraId="46CCD496">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互锁切换器</w:t>
            </w:r>
          </w:p>
        </w:tc>
        <w:tc>
          <w:tcPr>
            <w:tcW w:w="976" w:type="dxa"/>
            <w:noWrap w:val="0"/>
            <w:vAlign w:val="center"/>
          </w:tcPr>
          <w:p w14:paraId="17887D2C">
            <w:pPr>
              <w:textAlignment w:val="baseline"/>
              <w:rPr>
                <w:rFonts w:hint="eastAsia" w:ascii="宋体" w:hAnsi="宋体" w:cs="宋体"/>
                <w:color w:val="auto"/>
                <w:sz w:val="18"/>
                <w:szCs w:val="18"/>
                <w:highlight w:val="none"/>
              </w:rPr>
            </w:pPr>
          </w:p>
        </w:tc>
      </w:tr>
      <w:tr w14:paraId="07584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713097E">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20.1</w:t>
            </w:r>
          </w:p>
        </w:tc>
        <w:tc>
          <w:tcPr>
            <w:tcW w:w="7219" w:type="dxa"/>
            <w:noWrap w:val="0"/>
            <w:vAlign w:val="center"/>
          </w:tcPr>
          <w:p w14:paraId="170ECDC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可以切换耳机和音箱之间的声音,想要用耳机或者音箱听声音,按一下切换键就可以了；</w:t>
            </w:r>
          </w:p>
        </w:tc>
        <w:tc>
          <w:tcPr>
            <w:tcW w:w="976" w:type="dxa"/>
            <w:noWrap w:val="0"/>
            <w:vAlign w:val="center"/>
          </w:tcPr>
          <w:p w14:paraId="05DAC5FE">
            <w:pPr>
              <w:textAlignment w:val="baseline"/>
              <w:rPr>
                <w:rFonts w:hint="eastAsia" w:ascii="宋体" w:hAnsi="宋体" w:cs="宋体"/>
                <w:color w:val="auto"/>
                <w:sz w:val="18"/>
                <w:szCs w:val="18"/>
                <w:highlight w:val="none"/>
              </w:rPr>
            </w:pPr>
          </w:p>
        </w:tc>
      </w:tr>
      <w:tr w14:paraId="31B9A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9552D7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20.2</w:t>
            </w:r>
          </w:p>
        </w:tc>
        <w:tc>
          <w:tcPr>
            <w:tcW w:w="7219" w:type="dxa"/>
            <w:noWrap w:val="0"/>
            <w:vAlign w:val="center"/>
          </w:tcPr>
          <w:p w14:paraId="382311D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可以对电脑的输出声音进行音量大小控制,可以控制耳机的音量大小</w:t>
            </w:r>
          </w:p>
        </w:tc>
        <w:tc>
          <w:tcPr>
            <w:tcW w:w="976" w:type="dxa"/>
            <w:noWrap w:val="0"/>
            <w:vAlign w:val="center"/>
          </w:tcPr>
          <w:p w14:paraId="004789CC">
            <w:pPr>
              <w:textAlignment w:val="baseline"/>
              <w:rPr>
                <w:rFonts w:hint="eastAsia" w:ascii="宋体" w:hAnsi="宋体" w:cs="宋体"/>
                <w:color w:val="auto"/>
                <w:sz w:val="18"/>
                <w:szCs w:val="18"/>
                <w:highlight w:val="none"/>
              </w:rPr>
            </w:pPr>
          </w:p>
        </w:tc>
      </w:tr>
      <w:tr w14:paraId="61C1A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F8EA89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20.3</w:t>
            </w:r>
          </w:p>
        </w:tc>
        <w:tc>
          <w:tcPr>
            <w:tcW w:w="7219" w:type="dxa"/>
            <w:noWrap w:val="0"/>
            <w:vAlign w:val="center"/>
          </w:tcPr>
          <w:p w14:paraId="78EF304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线控侧边可以接耳机,从此不用再把耳机插到电脑上了</w:t>
            </w:r>
          </w:p>
        </w:tc>
        <w:tc>
          <w:tcPr>
            <w:tcW w:w="976" w:type="dxa"/>
            <w:noWrap w:val="0"/>
            <w:vAlign w:val="center"/>
          </w:tcPr>
          <w:p w14:paraId="79301EA8">
            <w:pPr>
              <w:textAlignment w:val="baseline"/>
              <w:rPr>
                <w:rFonts w:hint="eastAsia" w:ascii="宋体" w:hAnsi="宋体" w:cs="宋体"/>
                <w:color w:val="auto"/>
                <w:sz w:val="18"/>
                <w:szCs w:val="18"/>
                <w:highlight w:val="none"/>
              </w:rPr>
            </w:pPr>
          </w:p>
        </w:tc>
      </w:tr>
      <w:tr w14:paraId="2F1C92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52DE32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20.4</w:t>
            </w:r>
          </w:p>
        </w:tc>
        <w:tc>
          <w:tcPr>
            <w:tcW w:w="7219" w:type="dxa"/>
            <w:noWrap w:val="0"/>
            <w:vAlign w:val="center"/>
          </w:tcPr>
          <w:p w14:paraId="560719E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控制器自带2条线，每条线长约1.6米左右，2条线总长约3.2米左右</w:t>
            </w:r>
          </w:p>
        </w:tc>
        <w:tc>
          <w:tcPr>
            <w:tcW w:w="976" w:type="dxa"/>
            <w:noWrap w:val="0"/>
            <w:vAlign w:val="center"/>
          </w:tcPr>
          <w:p w14:paraId="7E998C9B">
            <w:pPr>
              <w:textAlignment w:val="baseline"/>
              <w:rPr>
                <w:rFonts w:hint="eastAsia" w:ascii="宋体" w:hAnsi="宋体" w:cs="宋体"/>
                <w:color w:val="auto"/>
                <w:sz w:val="18"/>
                <w:szCs w:val="18"/>
                <w:highlight w:val="none"/>
              </w:rPr>
            </w:pPr>
          </w:p>
        </w:tc>
      </w:tr>
      <w:tr w14:paraId="12C86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0D4433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20.5</w:t>
            </w:r>
          </w:p>
        </w:tc>
        <w:tc>
          <w:tcPr>
            <w:tcW w:w="7219" w:type="dxa"/>
            <w:noWrap w:val="0"/>
            <w:vAlign w:val="center"/>
          </w:tcPr>
          <w:p w14:paraId="76BD2333">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控制器控制开关寿命约为8万次</w:t>
            </w:r>
          </w:p>
        </w:tc>
        <w:tc>
          <w:tcPr>
            <w:tcW w:w="976" w:type="dxa"/>
            <w:noWrap w:val="0"/>
            <w:vAlign w:val="center"/>
          </w:tcPr>
          <w:p w14:paraId="4E6E2BC1">
            <w:pPr>
              <w:textAlignment w:val="baseline"/>
              <w:rPr>
                <w:rFonts w:hint="eastAsia" w:ascii="宋体" w:hAnsi="宋体" w:cs="宋体"/>
                <w:color w:val="auto"/>
                <w:sz w:val="18"/>
                <w:szCs w:val="18"/>
                <w:highlight w:val="none"/>
              </w:rPr>
            </w:pPr>
          </w:p>
        </w:tc>
      </w:tr>
      <w:tr w14:paraId="2194D6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8F1741C">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21</w:t>
            </w:r>
          </w:p>
        </w:tc>
        <w:tc>
          <w:tcPr>
            <w:tcW w:w="7219" w:type="dxa"/>
            <w:noWrap w:val="0"/>
            <w:vAlign w:val="center"/>
          </w:tcPr>
          <w:p w14:paraId="4BC263CD">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音频线</w:t>
            </w:r>
          </w:p>
        </w:tc>
        <w:tc>
          <w:tcPr>
            <w:tcW w:w="976" w:type="dxa"/>
            <w:noWrap w:val="0"/>
            <w:vAlign w:val="center"/>
          </w:tcPr>
          <w:p w14:paraId="23DE1AFD">
            <w:pPr>
              <w:textAlignment w:val="baseline"/>
              <w:rPr>
                <w:rFonts w:hint="eastAsia" w:ascii="宋体" w:hAnsi="宋体" w:cs="宋体"/>
                <w:color w:val="auto"/>
                <w:sz w:val="18"/>
                <w:szCs w:val="18"/>
                <w:highlight w:val="none"/>
              </w:rPr>
            </w:pPr>
          </w:p>
        </w:tc>
      </w:tr>
      <w:tr w14:paraId="580C8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A24ACC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21.1</w:t>
            </w:r>
          </w:p>
        </w:tc>
        <w:tc>
          <w:tcPr>
            <w:tcW w:w="7219" w:type="dxa"/>
            <w:noWrap w:val="0"/>
            <w:vAlign w:val="center"/>
          </w:tcPr>
          <w:p w14:paraId="20BB50C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3.5立体声转RCA，长度根据现场定制</w:t>
            </w:r>
          </w:p>
        </w:tc>
        <w:tc>
          <w:tcPr>
            <w:tcW w:w="976" w:type="dxa"/>
            <w:noWrap w:val="0"/>
            <w:vAlign w:val="center"/>
          </w:tcPr>
          <w:p w14:paraId="34DECDC9">
            <w:pPr>
              <w:textAlignment w:val="baseline"/>
              <w:rPr>
                <w:rFonts w:hint="eastAsia" w:ascii="宋体" w:hAnsi="宋体" w:cs="宋体"/>
                <w:color w:val="auto"/>
                <w:sz w:val="18"/>
                <w:szCs w:val="18"/>
                <w:highlight w:val="none"/>
              </w:rPr>
            </w:pPr>
          </w:p>
        </w:tc>
      </w:tr>
      <w:tr w14:paraId="7711E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BE60093">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22</w:t>
            </w:r>
          </w:p>
        </w:tc>
        <w:tc>
          <w:tcPr>
            <w:tcW w:w="7219" w:type="dxa"/>
            <w:noWrap w:val="0"/>
            <w:vAlign w:val="center"/>
          </w:tcPr>
          <w:p w14:paraId="5CED4978">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智慧黑板大屏</w:t>
            </w:r>
          </w:p>
        </w:tc>
        <w:tc>
          <w:tcPr>
            <w:tcW w:w="976" w:type="dxa"/>
            <w:noWrap w:val="0"/>
            <w:vAlign w:val="center"/>
          </w:tcPr>
          <w:p w14:paraId="68DA6881">
            <w:pPr>
              <w:textAlignment w:val="baseline"/>
              <w:rPr>
                <w:rFonts w:hint="eastAsia" w:ascii="宋体" w:hAnsi="宋体" w:cs="宋体"/>
                <w:color w:val="auto"/>
                <w:sz w:val="18"/>
                <w:szCs w:val="18"/>
                <w:highlight w:val="none"/>
              </w:rPr>
            </w:pPr>
          </w:p>
        </w:tc>
      </w:tr>
      <w:tr w14:paraId="1602F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853E44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w:t>
            </w:r>
          </w:p>
        </w:tc>
        <w:tc>
          <w:tcPr>
            <w:tcW w:w="7219" w:type="dxa"/>
            <w:noWrap w:val="0"/>
            <w:vAlign w:val="center"/>
          </w:tcPr>
          <w:p w14:paraId="1B5E4F96">
            <w:pPr>
              <w:pStyle w:val="784"/>
              <w:spacing w:line="320" w:lineRule="exact"/>
              <w:jc w:val="left"/>
              <w:rPr>
                <w:rFonts w:hint="eastAsia" w:ascii="宋体" w:hAnsi="宋体" w:cs="宋体"/>
                <w:b/>
                <w:bCs/>
                <w:color w:val="auto"/>
                <w:highlight w:val="none"/>
                <w:lang w:bidi="ar"/>
              </w:rPr>
            </w:pPr>
            <w:r>
              <w:rPr>
                <w:rFonts w:hint="eastAsia" w:ascii="宋体" w:hAnsi="宋体" w:cs="宋体"/>
                <w:color w:val="auto"/>
                <w:highlight w:val="none"/>
              </w:rPr>
              <w:t>整体外观尺寸：长</w:t>
            </w:r>
            <w:r>
              <w:rPr>
                <w:rFonts w:ascii="宋体" w:hAnsi="宋体" w:cs="宋体"/>
                <w:color w:val="auto"/>
                <w:highlight w:val="none"/>
              </w:rPr>
              <w:t>400</w:t>
            </w:r>
            <w:r>
              <w:rPr>
                <w:rFonts w:hint="eastAsia" w:ascii="宋体" w:hAnsi="宋体" w:cs="宋体"/>
                <w:color w:val="auto"/>
                <w:highlight w:val="none"/>
              </w:rPr>
              <w:t>0±</w:t>
            </w:r>
            <w:r>
              <w:rPr>
                <w:rFonts w:ascii="宋体" w:hAnsi="宋体" w:cs="宋体"/>
                <w:color w:val="auto"/>
                <w:highlight w:val="none"/>
              </w:rPr>
              <w:t>40</w:t>
            </w:r>
            <w:r>
              <w:rPr>
                <w:rFonts w:hint="eastAsia" w:ascii="宋体" w:hAnsi="宋体" w:cs="宋体"/>
                <w:color w:val="auto"/>
                <w:highlight w:val="none"/>
              </w:rPr>
              <w:t>mm，高1</w:t>
            </w:r>
            <w:r>
              <w:rPr>
                <w:rFonts w:ascii="宋体" w:hAnsi="宋体" w:cs="宋体"/>
                <w:color w:val="auto"/>
                <w:highlight w:val="none"/>
              </w:rPr>
              <w:t>20</w:t>
            </w:r>
            <w:r>
              <w:rPr>
                <w:rFonts w:hint="eastAsia" w:ascii="宋体" w:hAnsi="宋体" w:cs="宋体"/>
                <w:color w:val="auto"/>
                <w:highlight w:val="none"/>
              </w:rPr>
              <w:t>0±</w:t>
            </w:r>
            <w:r>
              <w:rPr>
                <w:rFonts w:ascii="宋体" w:hAnsi="宋体" w:cs="宋体"/>
                <w:color w:val="auto"/>
                <w:highlight w:val="none"/>
              </w:rPr>
              <w:t>40</w:t>
            </w:r>
            <w:r>
              <w:rPr>
                <w:rFonts w:hint="eastAsia" w:ascii="宋体" w:hAnsi="宋体" w:cs="宋体"/>
                <w:color w:val="auto"/>
                <w:highlight w:val="none"/>
              </w:rPr>
              <w:t>mm，厚9</w:t>
            </w:r>
            <w:r>
              <w:rPr>
                <w:rFonts w:ascii="宋体" w:hAnsi="宋体" w:cs="宋体"/>
                <w:color w:val="auto"/>
                <w:highlight w:val="none"/>
              </w:rPr>
              <w:t>2</w:t>
            </w:r>
            <w:r>
              <w:rPr>
                <w:rFonts w:hint="eastAsia" w:ascii="宋体" w:hAnsi="宋体" w:cs="宋体"/>
                <w:color w:val="auto"/>
                <w:highlight w:val="none"/>
              </w:rPr>
              <w:t>±</w:t>
            </w:r>
            <w:r>
              <w:rPr>
                <w:rFonts w:ascii="宋体" w:hAnsi="宋体" w:cs="宋体"/>
                <w:color w:val="auto"/>
                <w:highlight w:val="none"/>
              </w:rPr>
              <w:t>4</w:t>
            </w:r>
            <w:r>
              <w:rPr>
                <w:rFonts w:hint="eastAsia" w:ascii="宋体" w:hAnsi="宋体" w:cs="宋体"/>
                <w:color w:val="auto"/>
                <w:highlight w:val="none"/>
              </w:rPr>
              <w:t>mm。屏幕采用不低于86英寸液晶显示器。显示比例16:9，分辨率3840×2160。主屏下方支持一体化型材粉笔槽设计，可用于放置触摸笔、粉笔等教学用品。</w:t>
            </w:r>
          </w:p>
        </w:tc>
        <w:tc>
          <w:tcPr>
            <w:tcW w:w="976" w:type="dxa"/>
            <w:noWrap w:val="0"/>
            <w:vAlign w:val="center"/>
          </w:tcPr>
          <w:p w14:paraId="42A80FB3">
            <w:pPr>
              <w:textAlignment w:val="baseline"/>
              <w:rPr>
                <w:rFonts w:hint="eastAsia" w:ascii="宋体" w:hAnsi="宋体" w:cs="宋体"/>
                <w:color w:val="auto"/>
                <w:sz w:val="18"/>
                <w:szCs w:val="18"/>
                <w:highlight w:val="none"/>
              </w:rPr>
            </w:pPr>
          </w:p>
        </w:tc>
      </w:tr>
      <w:tr w14:paraId="7CE0AC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C44EC1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22.2</w:t>
            </w:r>
          </w:p>
        </w:tc>
        <w:tc>
          <w:tcPr>
            <w:tcW w:w="7219" w:type="dxa"/>
            <w:noWrap w:val="0"/>
            <w:vAlign w:val="center"/>
          </w:tcPr>
          <w:p w14:paraId="50F5AE91">
            <w:pPr>
              <w:pStyle w:val="784"/>
              <w:spacing w:line="320" w:lineRule="exact"/>
              <w:jc w:val="left"/>
              <w:rPr>
                <w:rFonts w:hint="eastAsia" w:ascii="宋体" w:hAnsi="宋体" w:cs="宋体"/>
                <w:b/>
                <w:bCs/>
                <w:color w:val="auto"/>
                <w:highlight w:val="none"/>
                <w:lang w:bidi="ar"/>
              </w:rPr>
            </w:pPr>
            <w:r>
              <w:rPr>
                <w:rFonts w:hint="eastAsia" w:ascii="宋体" w:hAnsi="宋体" w:cs="宋体"/>
                <w:color w:val="auto"/>
                <w:highlight w:val="none"/>
              </w:rPr>
              <w:t>整机采用全金属外壳，三拼接平面一体化设计，屏幕边缘采用金属圆角包边防护，整机背板采用金属材质。无推拉式结构，外部无任何可见内部功能模块连接线。主副屏过渡平滑并在同一平面，中间无单独边框阻隔。</w:t>
            </w:r>
          </w:p>
        </w:tc>
        <w:tc>
          <w:tcPr>
            <w:tcW w:w="976" w:type="dxa"/>
            <w:noWrap w:val="0"/>
            <w:vAlign w:val="center"/>
          </w:tcPr>
          <w:p w14:paraId="6014FA54">
            <w:pPr>
              <w:textAlignment w:val="baseline"/>
              <w:rPr>
                <w:rFonts w:hint="eastAsia" w:ascii="宋体" w:hAnsi="宋体" w:cs="宋体"/>
                <w:color w:val="auto"/>
                <w:sz w:val="18"/>
                <w:szCs w:val="18"/>
                <w:highlight w:val="none"/>
              </w:rPr>
            </w:pPr>
          </w:p>
        </w:tc>
      </w:tr>
      <w:tr w14:paraId="0C2EB9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34C8C60">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22.3</w:t>
            </w:r>
          </w:p>
        </w:tc>
        <w:tc>
          <w:tcPr>
            <w:tcW w:w="7219" w:type="dxa"/>
            <w:noWrap w:val="0"/>
            <w:vAlign w:val="center"/>
          </w:tcPr>
          <w:p w14:paraId="404403C0">
            <w:pPr>
              <w:pStyle w:val="784"/>
              <w:spacing w:line="320" w:lineRule="exact"/>
              <w:jc w:val="left"/>
              <w:rPr>
                <w:rFonts w:hint="eastAsia" w:ascii="宋体" w:hAnsi="宋体" w:cs="宋体"/>
                <w:color w:val="auto"/>
                <w:highlight w:val="none"/>
              </w:rPr>
            </w:pPr>
            <w:r>
              <w:rPr>
                <w:rFonts w:hint="eastAsia" w:ascii="宋体" w:hAnsi="宋体" w:cs="宋体"/>
                <w:color w:val="auto"/>
                <w:highlight w:val="none"/>
              </w:rPr>
              <w:t>整个黑板正面均可采用普通粉笔、水笔、水溶性粉笔书写，主屏支持普通粉笔直接书写，两侧副板采用专用书写玻璃，可支持普通粉笔、液体粉笔、成膜笔直接板书书写。</w:t>
            </w:r>
          </w:p>
          <w:p w14:paraId="2C81E7C6">
            <w:pPr>
              <w:pStyle w:val="784"/>
              <w:spacing w:line="320" w:lineRule="exact"/>
              <w:jc w:val="left"/>
              <w:rPr>
                <w:rFonts w:hint="eastAsia" w:ascii="宋体" w:hAnsi="宋体" w:cs="宋体"/>
                <w:b/>
                <w:bCs/>
                <w:color w:val="auto"/>
                <w:highlight w:val="none"/>
                <w:lang w:bidi="ar"/>
              </w:rPr>
            </w:pPr>
            <w:r>
              <w:rPr>
                <w:rFonts w:hint="eastAsia" w:ascii="宋体" w:hAnsi="宋体" w:cs="宋体"/>
                <w:color w:val="auto"/>
                <w:highlight w:val="none"/>
              </w:rPr>
              <w:t>电容触控技术，不低于2</w:t>
            </w:r>
            <w:r>
              <w:rPr>
                <w:rFonts w:ascii="宋体" w:hAnsi="宋体" w:cs="宋体"/>
                <w:color w:val="auto"/>
                <w:highlight w:val="none"/>
              </w:rPr>
              <w:t>0</w:t>
            </w:r>
            <w:r>
              <w:rPr>
                <w:rFonts w:hint="eastAsia" w:ascii="宋体" w:hAnsi="宋体" w:cs="宋体"/>
                <w:color w:val="auto"/>
                <w:highlight w:val="none"/>
              </w:rPr>
              <w:t>点触控。表面采用不低于4mm厚度玻璃，全贴合技术工艺，无可见金属网格丝。（提供检测报告复印件）</w:t>
            </w:r>
          </w:p>
        </w:tc>
        <w:tc>
          <w:tcPr>
            <w:tcW w:w="976" w:type="dxa"/>
            <w:noWrap w:val="0"/>
            <w:vAlign w:val="center"/>
          </w:tcPr>
          <w:p w14:paraId="4BB02F52">
            <w:pPr>
              <w:textAlignment w:val="baseline"/>
              <w:rPr>
                <w:rFonts w:hint="eastAsia" w:ascii="宋体" w:hAnsi="宋体" w:cs="宋体"/>
                <w:color w:val="auto"/>
                <w:sz w:val="18"/>
                <w:szCs w:val="18"/>
                <w:highlight w:val="none"/>
              </w:rPr>
            </w:pPr>
          </w:p>
        </w:tc>
      </w:tr>
      <w:tr w14:paraId="395F13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B8C3EA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22.4</w:t>
            </w:r>
          </w:p>
        </w:tc>
        <w:tc>
          <w:tcPr>
            <w:tcW w:w="7219" w:type="dxa"/>
            <w:noWrap w:val="0"/>
            <w:vAlign w:val="center"/>
          </w:tcPr>
          <w:p w14:paraId="0CF334F1">
            <w:pPr>
              <w:pStyle w:val="784"/>
              <w:spacing w:line="320" w:lineRule="exact"/>
              <w:jc w:val="left"/>
              <w:rPr>
                <w:rFonts w:hint="eastAsia" w:ascii="宋体" w:hAnsi="宋体" w:cs="宋体"/>
                <w:b/>
                <w:bCs/>
                <w:color w:val="auto"/>
                <w:highlight w:val="none"/>
                <w:lang w:bidi="ar"/>
              </w:rPr>
            </w:pPr>
            <w:r>
              <w:rPr>
                <w:rFonts w:hint="eastAsia" w:ascii="宋体" w:hAnsi="宋体" w:cs="宋体"/>
                <w:color w:val="auto"/>
                <w:highlight w:val="none"/>
              </w:rPr>
              <w:t>电容触控技术，不低于2</w:t>
            </w:r>
            <w:r>
              <w:rPr>
                <w:rFonts w:ascii="宋体" w:hAnsi="宋体" w:cs="宋体"/>
                <w:color w:val="auto"/>
                <w:highlight w:val="none"/>
              </w:rPr>
              <w:t>0</w:t>
            </w:r>
            <w:r>
              <w:rPr>
                <w:rFonts w:hint="eastAsia" w:ascii="宋体" w:hAnsi="宋体" w:cs="宋体"/>
                <w:color w:val="auto"/>
                <w:highlight w:val="none"/>
              </w:rPr>
              <w:t>点触控。表面采用不低于4mm厚度玻璃，全贴合技术工艺，无可见金属网格丝。（提供检测报告复印件）</w:t>
            </w:r>
          </w:p>
        </w:tc>
        <w:tc>
          <w:tcPr>
            <w:tcW w:w="976" w:type="dxa"/>
            <w:noWrap w:val="0"/>
            <w:vAlign w:val="center"/>
          </w:tcPr>
          <w:p w14:paraId="7D45E259">
            <w:pPr>
              <w:textAlignment w:val="baseline"/>
              <w:rPr>
                <w:rFonts w:hint="eastAsia" w:ascii="宋体" w:hAnsi="宋体" w:cs="宋体"/>
                <w:color w:val="auto"/>
                <w:sz w:val="18"/>
                <w:szCs w:val="18"/>
                <w:highlight w:val="none"/>
              </w:rPr>
            </w:pPr>
          </w:p>
        </w:tc>
      </w:tr>
      <w:tr w14:paraId="10874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E87137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22.5</w:t>
            </w:r>
          </w:p>
        </w:tc>
        <w:tc>
          <w:tcPr>
            <w:tcW w:w="7219" w:type="dxa"/>
            <w:noWrap w:val="0"/>
            <w:vAlign w:val="center"/>
          </w:tcPr>
          <w:p w14:paraId="5F028117">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智慧黑板模组导入性能佳，热扩散系数≥55mm²/S，并具有防盐雾腐蚀性能。（提供检测报告复印件）</w:t>
            </w:r>
          </w:p>
        </w:tc>
        <w:tc>
          <w:tcPr>
            <w:tcW w:w="976" w:type="dxa"/>
            <w:noWrap w:val="0"/>
            <w:vAlign w:val="center"/>
          </w:tcPr>
          <w:p w14:paraId="4BE072F2">
            <w:pPr>
              <w:textAlignment w:val="baseline"/>
              <w:rPr>
                <w:rFonts w:hint="eastAsia" w:ascii="宋体" w:hAnsi="宋体" w:cs="宋体"/>
                <w:color w:val="auto"/>
                <w:sz w:val="18"/>
                <w:szCs w:val="18"/>
                <w:highlight w:val="none"/>
              </w:rPr>
            </w:pPr>
          </w:p>
        </w:tc>
      </w:tr>
      <w:tr w14:paraId="36F6F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BD4D5B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22.6</w:t>
            </w:r>
          </w:p>
        </w:tc>
        <w:tc>
          <w:tcPr>
            <w:tcW w:w="7219" w:type="dxa"/>
            <w:noWrap w:val="0"/>
            <w:vAlign w:val="center"/>
          </w:tcPr>
          <w:p w14:paraId="0AA41A9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为方便老师操作，整机具有不少于8个前置实体按键实现高频应用功能，包括但不仅限于电源开关、进入主页、屏幕锁定、屏幕录制、触摸锁定、音量+-等，均具有清晰简体中文标识，有效避免教学误操作，为简化操作，以上功能均一键直达，非多个按键组合。</w:t>
            </w:r>
          </w:p>
        </w:tc>
        <w:tc>
          <w:tcPr>
            <w:tcW w:w="976" w:type="dxa"/>
            <w:noWrap w:val="0"/>
            <w:vAlign w:val="center"/>
          </w:tcPr>
          <w:p w14:paraId="6F33D6E3">
            <w:pPr>
              <w:textAlignment w:val="baseline"/>
              <w:rPr>
                <w:rFonts w:hint="eastAsia" w:ascii="宋体" w:hAnsi="宋体" w:cs="宋体"/>
                <w:color w:val="auto"/>
                <w:sz w:val="18"/>
                <w:szCs w:val="18"/>
                <w:highlight w:val="none"/>
              </w:rPr>
            </w:pPr>
          </w:p>
        </w:tc>
      </w:tr>
      <w:tr w14:paraId="79E7BD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4A8D1A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22.7</w:t>
            </w:r>
          </w:p>
        </w:tc>
        <w:tc>
          <w:tcPr>
            <w:tcW w:w="7219" w:type="dxa"/>
            <w:noWrap w:val="0"/>
            <w:vAlign w:val="center"/>
          </w:tcPr>
          <w:p w14:paraId="23239F6F">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前置非转接接口：USB</w:t>
            </w:r>
            <w:r>
              <w:rPr>
                <w:rFonts w:ascii="宋体" w:hAnsi="宋体" w:cs="宋体"/>
                <w:color w:val="auto"/>
                <w:highlight w:val="none"/>
              </w:rPr>
              <w:t>3.0</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个，TYPEC≥1个，USB接口均支持Windows和安卓双系统下识别，无需区分。</w:t>
            </w:r>
          </w:p>
        </w:tc>
        <w:tc>
          <w:tcPr>
            <w:tcW w:w="976" w:type="dxa"/>
            <w:noWrap w:val="0"/>
            <w:vAlign w:val="center"/>
          </w:tcPr>
          <w:p w14:paraId="6C3B11C8">
            <w:pPr>
              <w:textAlignment w:val="baseline"/>
              <w:rPr>
                <w:rFonts w:hint="eastAsia" w:ascii="宋体" w:hAnsi="宋体" w:cs="宋体"/>
                <w:color w:val="auto"/>
                <w:sz w:val="18"/>
                <w:szCs w:val="18"/>
                <w:highlight w:val="none"/>
              </w:rPr>
            </w:pPr>
          </w:p>
        </w:tc>
      </w:tr>
      <w:tr w14:paraId="0D2DF7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46CB2F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22.8</w:t>
            </w:r>
          </w:p>
        </w:tc>
        <w:tc>
          <w:tcPr>
            <w:tcW w:w="7219" w:type="dxa"/>
            <w:noWrap w:val="0"/>
            <w:vAlign w:val="center"/>
          </w:tcPr>
          <w:p w14:paraId="4C29837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采用国产化元器件，CPU采用四核处理器或以上配置，安卓系统版本不低于9.0；具备兼容性，支持第三方应用安装。安卓主页面提供不少于7 个应用程序，支持信号源预览。（提供检测报告复印件）</w:t>
            </w:r>
          </w:p>
        </w:tc>
        <w:tc>
          <w:tcPr>
            <w:tcW w:w="976" w:type="dxa"/>
            <w:noWrap w:val="0"/>
            <w:vAlign w:val="center"/>
          </w:tcPr>
          <w:p w14:paraId="0CEC7736">
            <w:pPr>
              <w:textAlignment w:val="baseline"/>
              <w:rPr>
                <w:rFonts w:hint="eastAsia" w:ascii="宋体" w:hAnsi="宋体" w:cs="宋体"/>
                <w:color w:val="auto"/>
                <w:sz w:val="18"/>
                <w:szCs w:val="18"/>
                <w:highlight w:val="none"/>
              </w:rPr>
            </w:pPr>
          </w:p>
        </w:tc>
      </w:tr>
      <w:tr w14:paraId="605D9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F46DC5A">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22.9</w:t>
            </w:r>
          </w:p>
        </w:tc>
        <w:tc>
          <w:tcPr>
            <w:tcW w:w="7219" w:type="dxa"/>
            <w:noWrap w:val="0"/>
            <w:vAlign w:val="center"/>
          </w:tcPr>
          <w:p w14:paraId="2D6D0AF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在任意通道下支持左右侧边悬浮球工具栏功能，侧边工具栏不少于</w:t>
            </w:r>
            <w:r>
              <w:rPr>
                <w:rFonts w:ascii="宋体" w:hAnsi="宋体" w:cs="宋体"/>
                <w:color w:val="auto"/>
                <w:highlight w:val="none"/>
              </w:rPr>
              <w:t>9</w:t>
            </w:r>
            <w:r>
              <w:rPr>
                <w:rFonts w:hint="eastAsia" w:ascii="宋体" w:hAnsi="宋体" w:cs="宋体"/>
                <w:color w:val="auto"/>
                <w:highlight w:val="none"/>
              </w:rPr>
              <w:t>个菜单工具，功能应包括但不仅限于主页、设置、音量、窗口下移、亮度、服务、进程、信号源切换等；Windows系统下主页键可直接返回Windows桌面，多任务键可直接打开Windows多任务，服务键可打开新手使用引导，可指导按键使用、接口介绍、开关机操作等，并可指导常见故障的处理，包括Windows系统卡顿、Windows无声音、系统一键还原和报修等。操作便捷功能丰富，满足教学应用需求。</w:t>
            </w:r>
          </w:p>
        </w:tc>
        <w:tc>
          <w:tcPr>
            <w:tcW w:w="976" w:type="dxa"/>
            <w:noWrap w:val="0"/>
            <w:vAlign w:val="center"/>
          </w:tcPr>
          <w:p w14:paraId="6EF5BCA2">
            <w:pPr>
              <w:textAlignment w:val="baseline"/>
              <w:rPr>
                <w:rFonts w:hint="eastAsia" w:ascii="宋体" w:hAnsi="宋体" w:cs="宋体"/>
                <w:color w:val="auto"/>
                <w:sz w:val="18"/>
                <w:szCs w:val="18"/>
                <w:highlight w:val="none"/>
              </w:rPr>
            </w:pPr>
          </w:p>
        </w:tc>
      </w:tr>
      <w:tr w14:paraId="4374DE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E12E90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22.10</w:t>
            </w:r>
          </w:p>
        </w:tc>
        <w:tc>
          <w:tcPr>
            <w:tcW w:w="7219" w:type="dxa"/>
            <w:noWrap w:val="0"/>
            <w:vAlign w:val="center"/>
          </w:tcPr>
          <w:p w14:paraId="6D97A64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智慧黑板触控玻璃通过国家玻璃质量监督检验中心的玻璃防飞溅性能检验和抗磨性能检验以确保智慧黑板的长久使用以及玻璃碎裂不伤人。（提供检测报告复印件）</w:t>
            </w:r>
          </w:p>
        </w:tc>
        <w:tc>
          <w:tcPr>
            <w:tcW w:w="976" w:type="dxa"/>
            <w:noWrap w:val="0"/>
            <w:vAlign w:val="center"/>
          </w:tcPr>
          <w:p w14:paraId="176D99D2">
            <w:pPr>
              <w:textAlignment w:val="baseline"/>
              <w:rPr>
                <w:rFonts w:hint="eastAsia" w:ascii="宋体" w:hAnsi="宋体" w:cs="宋体"/>
                <w:color w:val="auto"/>
                <w:sz w:val="18"/>
                <w:szCs w:val="18"/>
                <w:highlight w:val="none"/>
              </w:rPr>
            </w:pPr>
          </w:p>
        </w:tc>
      </w:tr>
      <w:tr w14:paraId="08746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27C89E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22.11</w:t>
            </w:r>
          </w:p>
        </w:tc>
        <w:tc>
          <w:tcPr>
            <w:tcW w:w="7219" w:type="dxa"/>
            <w:noWrap w:val="0"/>
            <w:vAlign w:val="center"/>
          </w:tcPr>
          <w:p w14:paraId="5F0E4AF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任意通道下，支持五指熄屏，并同时关闭触摸，避免误触。也可使用前置物理按键息屏。</w:t>
            </w:r>
          </w:p>
        </w:tc>
        <w:tc>
          <w:tcPr>
            <w:tcW w:w="976" w:type="dxa"/>
            <w:noWrap w:val="0"/>
            <w:vAlign w:val="center"/>
          </w:tcPr>
          <w:p w14:paraId="78CE093F">
            <w:pPr>
              <w:textAlignment w:val="baseline"/>
              <w:rPr>
                <w:rFonts w:hint="eastAsia" w:ascii="宋体" w:hAnsi="宋体" w:cs="宋体"/>
                <w:color w:val="auto"/>
                <w:sz w:val="18"/>
                <w:szCs w:val="18"/>
                <w:highlight w:val="none"/>
              </w:rPr>
            </w:pPr>
          </w:p>
        </w:tc>
      </w:tr>
      <w:tr w14:paraId="497557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420004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22.12</w:t>
            </w:r>
          </w:p>
        </w:tc>
        <w:tc>
          <w:tcPr>
            <w:tcW w:w="7219" w:type="dxa"/>
            <w:noWrap w:val="0"/>
            <w:vAlign w:val="center"/>
          </w:tcPr>
          <w:p w14:paraId="21EF20B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任意信号源通道下均支持显示窗口下移功能，方便不同身高老师操作。支持不少于两种方式实现下移，如手势调出上滑菜单和屏体左右侧边悬浮球工具栏，双指点击显示画面即可恢复正常显示。</w:t>
            </w:r>
          </w:p>
        </w:tc>
        <w:tc>
          <w:tcPr>
            <w:tcW w:w="976" w:type="dxa"/>
            <w:noWrap w:val="0"/>
            <w:vAlign w:val="center"/>
          </w:tcPr>
          <w:p w14:paraId="17DD7668">
            <w:pPr>
              <w:textAlignment w:val="baseline"/>
              <w:rPr>
                <w:rFonts w:hint="eastAsia" w:ascii="宋体" w:hAnsi="宋体" w:cs="宋体"/>
                <w:color w:val="auto"/>
                <w:sz w:val="18"/>
                <w:szCs w:val="18"/>
                <w:highlight w:val="none"/>
              </w:rPr>
            </w:pPr>
          </w:p>
        </w:tc>
      </w:tr>
      <w:tr w14:paraId="5EDDA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C43C41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22.13</w:t>
            </w:r>
          </w:p>
        </w:tc>
        <w:tc>
          <w:tcPr>
            <w:tcW w:w="7219" w:type="dxa"/>
            <w:noWrap w:val="0"/>
            <w:vAlign w:val="center"/>
          </w:tcPr>
          <w:p w14:paraId="7D8DC17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智慧黑板具有物理防蓝光功能，视网膜蓝光危害（蓝光加权辐射亮度LB）＜0.3，依据GB/T 20145-2006国家标准，无蓝光危害。（提供检测报告复印件）</w:t>
            </w:r>
          </w:p>
        </w:tc>
        <w:tc>
          <w:tcPr>
            <w:tcW w:w="976" w:type="dxa"/>
            <w:noWrap w:val="0"/>
            <w:vAlign w:val="center"/>
          </w:tcPr>
          <w:p w14:paraId="7D320131">
            <w:pPr>
              <w:textAlignment w:val="baseline"/>
              <w:rPr>
                <w:rFonts w:hint="eastAsia" w:ascii="宋体" w:hAnsi="宋体" w:cs="宋体"/>
                <w:color w:val="auto"/>
                <w:sz w:val="18"/>
                <w:szCs w:val="18"/>
                <w:highlight w:val="none"/>
              </w:rPr>
            </w:pPr>
          </w:p>
        </w:tc>
      </w:tr>
      <w:tr w14:paraId="20D2C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63B6A7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22.14</w:t>
            </w:r>
          </w:p>
        </w:tc>
        <w:tc>
          <w:tcPr>
            <w:tcW w:w="7219" w:type="dxa"/>
            <w:noWrap w:val="0"/>
            <w:vAlign w:val="center"/>
          </w:tcPr>
          <w:p w14:paraId="7E6C859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智慧黑板通过至少</w:t>
            </w:r>
            <w:r>
              <w:rPr>
                <w:rFonts w:ascii="宋体" w:hAnsi="宋体" w:cs="宋体"/>
                <w:color w:val="auto"/>
                <w:highlight w:val="none"/>
              </w:rPr>
              <w:t>IPX4级别防水测试，以确保擦拭时不会因水迹伤害智慧黑板内</w:t>
            </w:r>
            <w:r>
              <w:rPr>
                <w:rFonts w:hint="eastAsia" w:ascii="宋体" w:hAnsi="宋体" w:cs="宋体"/>
                <w:color w:val="auto"/>
                <w:highlight w:val="none"/>
              </w:rPr>
              <w:t>电子元器件。（提供检测报告复印件）</w:t>
            </w:r>
          </w:p>
        </w:tc>
        <w:tc>
          <w:tcPr>
            <w:tcW w:w="976" w:type="dxa"/>
            <w:noWrap w:val="0"/>
            <w:vAlign w:val="center"/>
          </w:tcPr>
          <w:p w14:paraId="6369771C">
            <w:pPr>
              <w:textAlignment w:val="baseline"/>
              <w:rPr>
                <w:rFonts w:hint="eastAsia" w:ascii="宋体" w:hAnsi="宋体" w:cs="宋体"/>
                <w:color w:val="auto"/>
                <w:sz w:val="18"/>
                <w:szCs w:val="18"/>
                <w:highlight w:val="none"/>
              </w:rPr>
            </w:pPr>
          </w:p>
        </w:tc>
      </w:tr>
      <w:tr w14:paraId="59AC2C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DC03DE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22.15</w:t>
            </w:r>
          </w:p>
        </w:tc>
        <w:tc>
          <w:tcPr>
            <w:tcW w:w="7219" w:type="dxa"/>
            <w:noWrap w:val="0"/>
            <w:vAlign w:val="center"/>
          </w:tcPr>
          <w:p w14:paraId="605ADFF5">
            <w:pPr>
              <w:pStyle w:val="784"/>
              <w:spacing w:line="320" w:lineRule="exact"/>
              <w:jc w:val="left"/>
              <w:rPr>
                <w:rFonts w:hint="eastAsia" w:ascii="宋体" w:hAnsi="宋体" w:cs="宋体"/>
                <w:color w:val="auto"/>
                <w:highlight w:val="none"/>
              </w:rPr>
            </w:pPr>
            <w:r>
              <w:rPr>
                <w:rFonts w:hint="eastAsia" w:ascii="宋体" w:hAnsi="宋体" w:cs="宋体"/>
                <w:color w:val="auto"/>
                <w:highlight w:val="none"/>
              </w:rPr>
              <w:t>智慧黑板触控玻璃和触控膜均符合环保要求，有害物含量符合《电器电子产品有害物质限制使用管理办法》或欧盟指令2011/65/EU(ROHS)及其修订指令（EU）2015/863相关检测标准。（提供检测报告复印件）</w:t>
            </w:r>
          </w:p>
        </w:tc>
        <w:tc>
          <w:tcPr>
            <w:tcW w:w="976" w:type="dxa"/>
            <w:noWrap w:val="0"/>
            <w:vAlign w:val="center"/>
          </w:tcPr>
          <w:p w14:paraId="74E75549">
            <w:pPr>
              <w:textAlignment w:val="baseline"/>
              <w:rPr>
                <w:rFonts w:hint="eastAsia" w:ascii="宋体" w:hAnsi="宋体" w:cs="宋体"/>
                <w:color w:val="auto"/>
                <w:sz w:val="18"/>
                <w:szCs w:val="18"/>
                <w:highlight w:val="none"/>
              </w:rPr>
            </w:pPr>
          </w:p>
        </w:tc>
      </w:tr>
      <w:tr w14:paraId="356B80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A3C1CC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22.16</w:t>
            </w:r>
          </w:p>
        </w:tc>
        <w:tc>
          <w:tcPr>
            <w:tcW w:w="7219" w:type="dxa"/>
            <w:noWrap w:val="0"/>
            <w:vAlign w:val="center"/>
          </w:tcPr>
          <w:p w14:paraId="6F122639">
            <w:pPr>
              <w:pStyle w:val="784"/>
              <w:spacing w:line="320" w:lineRule="exact"/>
              <w:jc w:val="left"/>
              <w:rPr>
                <w:rFonts w:hint="eastAsia" w:ascii="宋体" w:hAnsi="宋体" w:cs="宋体"/>
                <w:b/>
                <w:bCs/>
                <w:color w:val="auto"/>
                <w:highlight w:val="none"/>
                <w:lang w:bidi="ar"/>
              </w:rPr>
            </w:pPr>
            <w:r>
              <w:rPr>
                <w:rFonts w:hint="eastAsia" w:ascii="宋体" w:hAnsi="宋体" w:cs="宋体"/>
                <w:color w:val="auto"/>
                <w:highlight w:val="none"/>
              </w:rPr>
              <w:t>支持在任意通道下，通过手势上滑调出虚拟OSD功能菜单键，支持信号源切换、护眼模式切换、窗口下移、自检、录屏、关机等。</w:t>
            </w:r>
          </w:p>
        </w:tc>
        <w:tc>
          <w:tcPr>
            <w:tcW w:w="976" w:type="dxa"/>
            <w:noWrap w:val="0"/>
            <w:vAlign w:val="center"/>
          </w:tcPr>
          <w:p w14:paraId="2AC43D77">
            <w:pPr>
              <w:textAlignment w:val="baseline"/>
              <w:rPr>
                <w:rFonts w:hint="eastAsia" w:ascii="宋体" w:hAnsi="宋体" w:cs="宋体"/>
                <w:color w:val="auto"/>
                <w:sz w:val="18"/>
                <w:szCs w:val="18"/>
                <w:highlight w:val="none"/>
              </w:rPr>
            </w:pPr>
          </w:p>
        </w:tc>
      </w:tr>
      <w:tr w14:paraId="5306D4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15A21B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22.17</w:t>
            </w:r>
          </w:p>
        </w:tc>
        <w:tc>
          <w:tcPr>
            <w:tcW w:w="7219" w:type="dxa"/>
            <w:noWrap w:val="0"/>
            <w:vAlign w:val="center"/>
          </w:tcPr>
          <w:p w14:paraId="50F9670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支持前置物理按键和上滑虚拟按键启用录屏功能。支持上滑虚拟按键实现系统还原功能，还原前需输入管理员密码确认以确保非无关人员误操作。（提供检测报告复印件）</w:t>
            </w:r>
          </w:p>
        </w:tc>
        <w:tc>
          <w:tcPr>
            <w:tcW w:w="976" w:type="dxa"/>
            <w:noWrap w:val="0"/>
            <w:vAlign w:val="center"/>
          </w:tcPr>
          <w:p w14:paraId="5D87DE8B">
            <w:pPr>
              <w:textAlignment w:val="baseline"/>
              <w:rPr>
                <w:rFonts w:hint="eastAsia" w:ascii="宋体" w:hAnsi="宋体" w:cs="宋体"/>
                <w:color w:val="auto"/>
                <w:sz w:val="18"/>
                <w:szCs w:val="18"/>
                <w:highlight w:val="none"/>
              </w:rPr>
            </w:pPr>
          </w:p>
        </w:tc>
      </w:tr>
      <w:tr w14:paraId="64E2C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01A0557">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22.18</w:t>
            </w:r>
          </w:p>
        </w:tc>
        <w:tc>
          <w:tcPr>
            <w:tcW w:w="7219" w:type="dxa"/>
            <w:noWrap w:val="0"/>
            <w:vAlign w:val="center"/>
          </w:tcPr>
          <w:p w14:paraId="452E44F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安卓系统下具有云盘网盘功能，支持在安卓联网下直接点击客户端应用程序运行打开，对接Windows教学白板的云端课件，云端课件既可以在Windows下使用又可以在安卓系统下使用。（提供检测报告复印件）</w:t>
            </w:r>
          </w:p>
        </w:tc>
        <w:tc>
          <w:tcPr>
            <w:tcW w:w="976" w:type="dxa"/>
            <w:noWrap w:val="0"/>
            <w:vAlign w:val="center"/>
          </w:tcPr>
          <w:p w14:paraId="415AD2AB">
            <w:pPr>
              <w:textAlignment w:val="baseline"/>
              <w:rPr>
                <w:rFonts w:hint="eastAsia" w:ascii="宋体" w:hAnsi="宋体" w:cs="宋体"/>
                <w:color w:val="auto"/>
                <w:sz w:val="18"/>
                <w:szCs w:val="18"/>
                <w:highlight w:val="none"/>
              </w:rPr>
            </w:pPr>
          </w:p>
        </w:tc>
      </w:tr>
      <w:tr w14:paraId="149F0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B7D6AA0">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22.19</w:t>
            </w:r>
          </w:p>
        </w:tc>
        <w:tc>
          <w:tcPr>
            <w:tcW w:w="7219" w:type="dxa"/>
            <w:noWrap w:val="0"/>
            <w:vAlign w:val="center"/>
          </w:tcPr>
          <w:p w14:paraId="5858431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因智慧黑板产品具有液晶显示器和计算机双重功能，需至少同时符合GB21520-2015《计算机显示器能效限定值及能效等级》和GB28380-2012《微型计算机等效限定值及能效等级》两项节能标准。（提供国家节能产品认证复印件）</w:t>
            </w:r>
          </w:p>
        </w:tc>
        <w:tc>
          <w:tcPr>
            <w:tcW w:w="976" w:type="dxa"/>
            <w:noWrap w:val="0"/>
            <w:vAlign w:val="center"/>
          </w:tcPr>
          <w:p w14:paraId="4F10DBC7">
            <w:pPr>
              <w:textAlignment w:val="baseline"/>
              <w:rPr>
                <w:rFonts w:hint="eastAsia" w:ascii="宋体" w:hAnsi="宋体" w:cs="宋体"/>
                <w:color w:val="auto"/>
                <w:sz w:val="18"/>
                <w:szCs w:val="18"/>
                <w:highlight w:val="none"/>
              </w:rPr>
            </w:pPr>
          </w:p>
        </w:tc>
      </w:tr>
      <w:tr w14:paraId="360342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94EE72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22.20</w:t>
            </w:r>
          </w:p>
        </w:tc>
        <w:tc>
          <w:tcPr>
            <w:tcW w:w="7219" w:type="dxa"/>
            <w:noWrap w:val="0"/>
            <w:vAlign w:val="center"/>
          </w:tcPr>
          <w:p w14:paraId="4FC27F2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支持OTA（Over-the-Air Technology）升级，方便远程进行系统的升级与维护。</w:t>
            </w:r>
          </w:p>
        </w:tc>
        <w:tc>
          <w:tcPr>
            <w:tcW w:w="976" w:type="dxa"/>
            <w:noWrap w:val="0"/>
            <w:vAlign w:val="center"/>
          </w:tcPr>
          <w:p w14:paraId="3715972B">
            <w:pPr>
              <w:textAlignment w:val="baseline"/>
              <w:rPr>
                <w:rFonts w:hint="eastAsia" w:ascii="宋体" w:hAnsi="宋体" w:cs="宋体"/>
                <w:color w:val="auto"/>
                <w:sz w:val="18"/>
                <w:szCs w:val="18"/>
                <w:highlight w:val="none"/>
              </w:rPr>
            </w:pPr>
          </w:p>
        </w:tc>
      </w:tr>
      <w:tr w14:paraId="1E870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892" w:type="dxa"/>
            <w:noWrap w:val="0"/>
            <w:vAlign w:val="center"/>
          </w:tcPr>
          <w:p w14:paraId="01088F0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22.21</w:t>
            </w:r>
          </w:p>
        </w:tc>
        <w:tc>
          <w:tcPr>
            <w:tcW w:w="7219" w:type="dxa"/>
            <w:noWrap w:val="0"/>
            <w:vAlign w:val="center"/>
          </w:tcPr>
          <w:p w14:paraId="7648289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szCs w:val="21"/>
                <w:highlight w:val="none"/>
              </w:rPr>
              <w:t>内置电脑:1、采用标准80针OPS-C模块化电脑方案，非企业自定义接口。向下抽拉式设计，方便维护。2、不低于Intel Core I5 CPU，内存不低于8GB DDR4，固态硬盘不低于256GB SSD。配备Windows操作系统。3、支持有线连接，支持无线连接，支持双频WIFI。4、具有不少于5个独立非外扩展的电脑USB接口。5、具有视频输出接口：至少1路HDMI接口。</w:t>
            </w:r>
          </w:p>
        </w:tc>
        <w:tc>
          <w:tcPr>
            <w:tcW w:w="976" w:type="dxa"/>
            <w:noWrap w:val="0"/>
            <w:vAlign w:val="center"/>
          </w:tcPr>
          <w:p w14:paraId="237748AE">
            <w:pPr>
              <w:textAlignment w:val="baseline"/>
              <w:rPr>
                <w:rFonts w:hint="eastAsia" w:ascii="宋体" w:hAnsi="宋体" w:cs="宋体"/>
                <w:color w:val="auto"/>
                <w:sz w:val="18"/>
                <w:szCs w:val="18"/>
                <w:highlight w:val="none"/>
              </w:rPr>
            </w:pPr>
          </w:p>
        </w:tc>
      </w:tr>
      <w:tr w14:paraId="18046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F63D1BC">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23</w:t>
            </w:r>
          </w:p>
        </w:tc>
        <w:tc>
          <w:tcPr>
            <w:tcW w:w="7219" w:type="dxa"/>
            <w:noWrap w:val="0"/>
            <w:vAlign w:val="center"/>
          </w:tcPr>
          <w:p w14:paraId="0A7DD5BA">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扩音系统</w:t>
            </w:r>
          </w:p>
        </w:tc>
        <w:tc>
          <w:tcPr>
            <w:tcW w:w="976" w:type="dxa"/>
            <w:noWrap w:val="0"/>
            <w:vAlign w:val="center"/>
          </w:tcPr>
          <w:p w14:paraId="6A64A9C6">
            <w:pPr>
              <w:textAlignment w:val="baseline"/>
              <w:rPr>
                <w:rFonts w:hint="eastAsia" w:ascii="宋体" w:hAnsi="宋体" w:cs="宋体"/>
                <w:color w:val="auto"/>
                <w:sz w:val="18"/>
                <w:szCs w:val="18"/>
                <w:highlight w:val="none"/>
              </w:rPr>
            </w:pPr>
          </w:p>
        </w:tc>
      </w:tr>
      <w:tr w14:paraId="2247C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A4E57D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23.1</w:t>
            </w:r>
          </w:p>
        </w:tc>
        <w:tc>
          <w:tcPr>
            <w:tcW w:w="7219" w:type="dxa"/>
            <w:noWrap w:val="0"/>
            <w:vAlign w:val="center"/>
          </w:tcPr>
          <w:p w14:paraId="6D834C6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含功放1台，音箱2只，1拖4无线话筒组1套</w:t>
            </w:r>
          </w:p>
        </w:tc>
        <w:tc>
          <w:tcPr>
            <w:tcW w:w="976" w:type="dxa"/>
            <w:noWrap w:val="0"/>
            <w:vAlign w:val="center"/>
          </w:tcPr>
          <w:p w14:paraId="2A39C942">
            <w:pPr>
              <w:textAlignment w:val="baseline"/>
              <w:rPr>
                <w:rFonts w:hint="eastAsia" w:ascii="宋体" w:hAnsi="宋体" w:cs="宋体"/>
                <w:color w:val="auto"/>
                <w:sz w:val="18"/>
                <w:szCs w:val="18"/>
                <w:highlight w:val="none"/>
              </w:rPr>
            </w:pPr>
          </w:p>
        </w:tc>
      </w:tr>
      <w:tr w14:paraId="62E2B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D71C8E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w:t>
            </w:r>
          </w:p>
        </w:tc>
        <w:tc>
          <w:tcPr>
            <w:tcW w:w="7219" w:type="dxa"/>
            <w:noWrap w:val="0"/>
            <w:vAlign w:val="center"/>
          </w:tcPr>
          <w:p w14:paraId="2164983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功放</w:t>
            </w:r>
          </w:p>
        </w:tc>
        <w:tc>
          <w:tcPr>
            <w:tcW w:w="976" w:type="dxa"/>
            <w:noWrap w:val="0"/>
            <w:vAlign w:val="center"/>
          </w:tcPr>
          <w:p w14:paraId="736986C7">
            <w:pPr>
              <w:textAlignment w:val="baseline"/>
              <w:rPr>
                <w:rFonts w:hint="eastAsia" w:ascii="宋体" w:hAnsi="宋体" w:cs="宋体"/>
                <w:color w:val="auto"/>
                <w:sz w:val="18"/>
                <w:szCs w:val="18"/>
                <w:highlight w:val="none"/>
              </w:rPr>
            </w:pPr>
          </w:p>
        </w:tc>
      </w:tr>
      <w:tr w14:paraId="71A2A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966F96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23.2.1</w:t>
            </w:r>
          </w:p>
        </w:tc>
        <w:tc>
          <w:tcPr>
            <w:tcW w:w="7219" w:type="dxa"/>
            <w:noWrap w:val="0"/>
            <w:vAlign w:val="center"/>
          </w:tcPr>
          <w:p w14:paraId="258DBCA9">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合并式功率放大器采用双声道高保真全分离件、全频带功率放大系统；</w:t>
            </w:r>
          </w:p>
        </w:tc>
        <w:tc>
          <w:tcPr>
            <w:tcW w:w="976" w:type="dxa"/>
            <w:noWrap w:val="0"/>
            <w:vAlign w:val="center"/>
          </w:tcPr>
          <w:p w14:paraId="49D198BD">
            <w:pPr>
              <w:textAlignment w:val="baseline"/>
              <w:rPr>
                <w:rFonts w:hint="eastAsia" w:ascii="宋体" w:hAnsi="宋体" w:cs="宋体"/>
                <w:color w:val="auto"/>
                <w:sz w:val="18"/>
                <w:szCs w:val="18"/>
                <w:highlight w:val="none"/>
              </w:rPr>
            </w:pPr>
          </w:p>
        </w:tc>
      </w:tr>
      <w:tr w14:paraId="29045F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9BBDA7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23.2.2</w:t>
            </w:r>
          </w:p>
        </w:tc>
        <w:tc>
          <w:tcPr>
            <w:tcW w:w="7219" w:type="dxa"/>
            <w:noWrap w:val="0"/>
            <w:vAlign w:val="center"/>
          </w:tcPr>
          <w:p w14:paraId="2E416032">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二路有线话筒输入，一路无线话筒输入，一路USB型2.4G无线话筒输入；</w:t>
            </w:r>
          </w:p>
        </w:tc>
        <w:tc>
          <w:tcPr>
            <w:tcW w:w="976" w:type="dxa"/>
            <w:noWrap w:val="0"/>
            <w:vAlign w:val="center"/>
          </w:tcPr>
          <w:p w14:paraId="77E7D905">
            <w:pPr>
              <w:textAlignment w:val="baseline"/>
              <w:rPr>
                <w:rFonts w:hint="eastAsia" w:ascii="宋体" w:hAnsi="宋体" w:cs="宋体"/>
                <w:color w:val="auto"/>
                <w:sz w:val="18"/>
                <w:szCs w:val="18"/>
                <w:highlight w:val="none"/>
              </w:rPr>
            </w:pPr>
          </w:p>
        </w:tc>
      </w:tr>
      <w:tr w14:paraId="29AFCB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0D7108A">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23.2.3</w:t>
            </w:r>
          </w:p>
        </w:tc>
        <w:tc>
          <w:tcPr>
            <w:tcW w:w="7219" w:type="dxa"/>
            <w:noWrap w:val="0"/>
            <w:vAlign w:val="center"/>
          </w:tcPr>
          <w:p w14:paraId="1C1A1A66">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三组线路输入，一路定压广播信号输入；</w:t>
            </w:r>
          </w:p>
        </w:tc>
        <w:tc>
          <w:tcPr>
            <w:tcW w:w="976" w:type="dxa"/>
            <w:noWrap w:val="0"/>
            <w:vAlign w:val="center"/>
          </w:tcPr>
          <w:p w14:paraId="3EBCD1D8">
            <w:pPr>
              <w:textAlignment w:val="baseline"/>
              <w:rPr>
                <w:rFonts w:hint="eastAsia" w:ascii="宋体" w:hAnsi="宋体" w:cs="宋体"/>
                <w:color w:val="auto"/>
                <w:sz w:val="18"/>
                <w:szCs w:val="18"/>
                <w:highlight w:val="none"/>
              </w:rPr>
            </w:pPr>
          </w:p>
        </w:tc>
      </w:tr>
      <w:tr w14:paraId="2DD508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FB5ABC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23.2.4</w:t>
            </w:r>
          </w:p>
        </w:tc>
        <w:tc>
          <w:tcPr>
            <w:tcW w:w="7219" w:type="dxa"/>
            <w:noWrap w:val="0"/>
            <w:vAlign w:val="center"/>
          </w:tcPr>
          <w:p w14:paraId="6E949248">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一组线路输出，一组录音输出，A+B组功率输出；</w:t>
            </w:r>
          </w:p>
        </w:tc>
        <w:tc>
          <w:tcPr>
            <w:tcW w:w="976" w:type="dxa"/>
            <w:noWrap w:val="0"/>
            <w:vAlign w:val="center"/>
          </w:tcPr>
          <w:p w14:paraId="631E7ED4">
            <w:pPr>
              <w:textAlignment w:val="baseline"/>
              <w:rPr>
                <w:rFonts w:hint="eastAsia" w:ascii="宋体" w:hAnsi="宋体" w:cs="宋体"/>
                <w:color w:val="auto"/>
                <w:sz w:val="18"/>
                <w:szCs w:val="18"/>
                <w:highlight w:val="none"/>
              </w:rPr>
            </w:pPr>
          </w:p>
        </w:tc>
      </w:tr>
      <w:tr w14:paraId="31F8B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05D3EC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23.2.5</w:t>
            </w:r>
          </w:p>
        </w:tc>
        <w:tc>
          <w:tcPr>
            <w:tcW w:w="7219" w:type="dxa"/>
            <w:noWrap w:val="0"/>
            <w:vAlign w:val="center"/>
          </w:tcPr>
          <w:p w14:paraId="4790F920">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话筒、线路的音量可独立调节，话筒高低音2段均衡；</w:t>
            </w:r>
          </w:p>
        </w:tc>
        <w:tc>
          <w:tcPr>
            <w:tcW w:w="976" w:type="dxa"/>
            <w:noWrap w:val="0"/>
            <w:vAlign w:val="center"/>
          </w:tcPr>
          <w:p w14:paraId="493B7A12">
            <w:pPr>
              <w:textAlignment w:val="baseline"/>
              <w:rPr>
                <w:rFonts w:hint="eastAsia" w:ascii="宋体" w:hAnsi="宋体" w:cs="宋体"/>
                <w:color w:val="auto"/>
                <w:sz w:val="18"/>
                <w:szCs w:val="18"/>
                <w:highlight w:val="none"/>
              </w:rPr>
            </w:pPr>
          </w:p>
        </w:tc>
      </w:tr>
      <w:tr w14:paraId="0099FB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6A031ED">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23.2.6</w:t>
            </w:r>
          </w:p>
        </w:tc>
        <w:tc>
          <w:tcPr>
            <w:tcW w:w="7219" w:type="dxa"/>
            <w:noWrap w:val="0"/>
            <w:vAlign w:val="center"/>
          </w:tcPr>
          <w:p w14:paraId="007C2C6D">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具有环保麦克风插口带+48V幻像电源；</w:t>
            </w:r>
          </w:p>
        </w:tc>
        <w:tc>
          <w:tcPr>
            <w:tcW w:w="976" w:type="dxa"/>
            <w:noWrap w:val="0"/>
            <w:vAlign w:val="center"/>
          </w:tcPr>
          <w:p w14:paraId="61005BA4">
            <w:pPr>
              <w:textAlignment w:val="baseline"/>
              <w:rPr>
                <w:rFonts w:hint="eastAsia" w:ascii="宋体" w:hAnsi="宋体" w:cs="宋体"/>
                <w:color w:val="auto"/>
                <w:sz w:val="18"/>
                <w:szCs w:val="18"/>
                <w:highlight w:val="none"/>
              </w:rPr>
            </w:pPr>
          </w:p>
        </w:tc>
      </w:tr>
      <w:tr w14:paraId="0C2EB7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5C80AB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23.2.7</w:t>
            </w:r>
          </w:p>
        </w:tc>
        <w:tc>
          <w:tcPr>
            <w:tcW w:w="7219" w:type="dxa"/>
            <w:noWrap w:val="0"/>
            <w:vAlign w:val="center"/>
          </w:tcPr>
          <w:p w14:paraId="746B3CFC">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保护功能：过流、过载、超温、DC保护等；</w:t>
            </w:r>
          </w:p>
        </w:tc>
        <w:tc>
          <w:tcPr>
            <w:tcW w:w="976" w:type="dxa"/>
            <w:noWrap w:val="0"/>
            <w:vAlign w:val="center"/>
          </w:tcPr>
          <w:p w14:paraId="53A93EBB">
            <w:pPr>
              <w:textAlignment w:val="baseline"/>
              <w:rPr>
                <w:rFonts w:hint="eastAsia" w:ascii="宋体" w:hAnsi="宋体" w:cs="宋体"/>
                <w:color w:val="auto"/>
                <w:sz w:val="18"/>
                <w:szCs w:val="18"/>
                <w:highlight w:val="none"/>
              </w:rPr>
            </w:pPr>
          </w:p>
        </w:tc>
      </w:tr>
      <w:tr w14:paraId="482B8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0BEE81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23.2.8</w:t>
            </w:r>
          </w:p>
        </w:tc>
        <w:tc>
          <w:tcPr>
            <w:tcW w:w="7219" w:type="dxa"/>
            <w:noWrap w:val="0"/>
            <w:vAlign w:val="center"/>
          </w:tcPr>
          <w:p w14:paraId="109A9BA5">
            <w:pPr>
              <w:widowControl/>
              <w:jc w:val="left"/>
              <w:textAlignment w:val="center"/>
              <w:rPr>
                <w:rFonts w:hint="eastAsia" w:ascii="宋体" w:hAnsi="宋体" w:cs="宋体"/>
                <w:color w:val="auto"/>
                <w:szCs w:val="21"/>
                <w:highlight w:val="none"/>
              </w:rPr>
            </w:pPr>
            <w:r>
              <w:rPr>
                <w:rFonts w:hint="eastAsia" w:ascii="宋体" w:hAnsi="宋体" w:cs="宋体"/>
                <w:color w:val="auto"/>
                <w:szCs w:val="21"/>
                <w:highlight w:val="none"/>
              </w:rPr>
              <w:t>具有高保真、高清晰、性能稳定可靠等特点；额定功率：2×165W/8Ω  2×220W/4Ω；输出功率：2×320W/8Ω；峰值功率：2×400W/8Ω；输入灵敏度：线路300mV±30mV ；话筒15mV±3mV；频率响应：20Hz～20KHz  -3dB，+1dB ；话筒均衡提衰量：10dB  ±2db ；幻像电源： +48V；失真度：≤0.5%。</w:t>
            </w:r>
          </w:p>
        </w:tc>
        <w:tc>
          <w:tcPr>
            <w:tcW w:w="976" w:type="dxa"/>
            <w:noWrap w:val="0"/>
            <w:vAlign w:val="center"/>
          </w:tcPr>
          <w:p w14:paraId="11083D55">
            <w:pPr>
              <w:textAlignment w:val="baseline"/>
              <w:rPr>
                <w:rFonts w:hint="eastAsia" w:ascii="宋体" w:hAnsi="宋体" w:cs="宋体"/>
                <w:color w:val="auto"/>
                <w:sz w:val="18"/>
                <w:szCs w:val="18"/>
                <w:highlight w:val="none"/>
              </w:rPr>
            </w:pPr>
          </w:p>
        </w:tc>
      </w:tr>
      <w:tr w14:paraId="041280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C4766C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w:t>
            </w:r>
          </w:p>
        </w:tc>
        <w:tc>
          <w:tcPr>
            <w:tcW w:w="7219" w:type="dxa"/>
            <w:noWrap w:val="0"/>
            <w:vAlign w:val="center"/>
          </w:tcPr>
          <w:p w14:paraId="541EBB7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音箱</w:t>
            </w:r>
          </w:p>
        </w:tc>
        <w:tc>
          <w:tcPr>
            <w:tcW w:w="976" w:type="dxa"/>
            <w:noWrap w:val="0"/>
            <w:vAlign w:val="center"/>
          </w:tcPr>
          <w:p w14:paraId="4FDA46F4">
            <w:pPr>
              <w:textAlignment w:val="baseline"/>
              <w:rPr>
                <w:rFonts w:hint="eastAsia" w:ascii="宋体" w:hAnsi="宋体" w:cs="宋体"/>
                <w:color w:val="auto"/>
                <w:sz w:val="18"/>
                <w:szCs w:val="18"/>
                <w:highlight w:val="none"/>
              </w:rPr>
            </w:pPr>
          </w:p>
        </w:tc>
      </w:tr>
      <w:tr w14:paraId="071801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4C1C16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23.3.1</w:t>
            </w:r>
          </w:p>
        </w:tc>
        <w:tc>
          <w:tcPr>
            <w:tcW w:w="7219" w:type="dxa"/>
            <w:noWrap w:val="0"/>
            <w:vAlign w:val="center"/>
          </w:tcPr>
          <w:p w14:paraId="7F52E10B">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音箱采用特制扬声器单元；</w:t>
            </w:r>
          </w:p>
        </w:tc>
        <w:tc>
          <w:tcPr>
            <w:tcW w:w="976" w:type="dxa"/>
            <w:noWrap w:val="0"/>
            <w:vAlign w:val="center"/>
          </w:tcPr>
          <w:p w14:paraId="1E7AAE21">
            <w:pPr>
              <w:textAlignment w:val="baseline"/>
              <w:rPr>
                <w:rFonts w:hint="eastAsia" w:ascii="宋体" w:hAnsi="宋体" w:cs="宋体"/>
                <w:color w:val="auto"/>
                <w:sz w:val="18"/>
                <w:szCs w:val="18"/>
                <w:highlight w:val="none"/>
              </w:rPr>
            </w:pPr>
          </w:p>
        </w:tc>
      </w:tr>
      <w:tr w14:paraId="4ED05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7EF3F59">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23.3.2</w:t>
            </w:r>
          </w:p>
        </w:tc>
        <w:tc>
          <w:tcPr>
            <w:tcW w:w="7219" w:type="dxa"/>
            <w:noWrap w:val="0"/>
            <w:vAlign w:val="center"/>
          </w:tcPr>
          <w:p w14:paraId="0810871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音箱采用两分频设计，重放效果清晰、饱满、柔和，能够很好地表现音乐和还原人声；</w:t>
            </w:r>
          </w:p>
        </w:tc>
        <w:tc>
          <w:tcPr>
            <w:tcW w:w="976" w:type="dxa"/>
            <w:noWrap w:val="0"/>
            <w:vAlign w:val="center"/>
          </w:tcPr>
          <w:p w14:paraId="19FD11AD">
            <w:pPr>
              <w:textAlignment w:val="baseline"/>
              <w:rPr>
                <w:rFonts w:hint="eastAsia" w:ascii="宋体" w:hAnsi="宋体" w:cs="宋体"/>
                <w:color w:val="auto"/>
                <w:sz w:val="18"/>
                <w:szCs w:val="18"/>
                <w:highlight w:val="none"/>
              </w:rPr>
            </w:pPr>
          </w:p>
        </w:tc>
      </w:tr>
      <w:tr w14:paraId="11C020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 w:hRule="atLeast"/>
          <w:jc w:val="center"/>
        </w:trPr>
        <w:tc>
          <w:tcPr>
            <w:tcW w:w="892" w:type="dxa"/>
            <w:noWrap w:val="0"/>
            <w:vAlign w:val="center"/>
          </w:tcPr>
          <w:p w14:paraId="28FF6625">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23.3.3</w:t>
            </w:r>
          </w:p>
        </w:tc>
        <w:tc>
          <w:tcPr>
            <w:tcW w:w="7219" w:type="dxa"/>
            <w:noWrap w:val="0"/>
            <w:vAlign w:val="center"/>
          </w:tcPr>
          <w:p w14:paraId="3986099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箱体采用优质中密度纤维板，表面采用白色撒点喷漆，美观且经久耐用；</w:t>
            </w:r>
          </w:p>
        </w:tc>
        <w:tc>
          <w:tcPr>
            <w:tcW w:w="976" w:type="dxa"/>
            <w:noWrap w:val="0"/>
            <w:vAlign w:val="center"/>
          </w:tcPr>
          <w:p w14:paraId="413813E0">
            <w:pPr>
              <w:textAlignment w:val="baseline"/>
              <w:rPr>
                <w:rFonts w:hint="eastAsia" w:ascii="宋体" w:hAnsi="宋体" w:cs="宋体"/>
                <w:color w:val="auto"/>
                <w:sz w:val="18"/>
                <w:szCs w:val="18"/>
                <w:highlight w:val="none"/>
              </w:rPr>
            </w:pPr>
          </w:p>
        </w:tc>
      </w:tr>
      <w:tr w14:paraId="08FBBD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B2382C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23.3.4</w:t>
            </w:r>
          </w:p>
        </w:tc>
        <w:tc>
          <w:tcPr>
            <w:tcW w:w="7219" w:type="dxa"/>
            <w:noWrap w:val="0"/>
            <w:vAlign w:val="center"/>
          </w:tcPr>
          <w:p w14:paraId="43F00429">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音箱外形小巧、简洁美观、箱体线条流畅、具有现代感、安装方便；</w:t>
            </w:r>
          </w:p>
        </w:tc>
        <w:tc>
          <w:tcPr>
            <w:tcW w:w="976" w:type="dxa"/>
            <w:noWrap w:val="0"/>
            <w:vAlign w:val="center"/>
          </w:tcPr>
          <w:p w14:paraId="588D7B47">
            <w:pPr>
              <w:textAlignment w:val="baseline"/>
              <w:rPr>
                <w:rFonts w:hint="eastAsia" w:ascii="宋体" w:hAnsi="宋体" w:cs="宋体"/>
                <w:color w:val="auto"/>
                <w:sz w:val="18"/>
                <w:szCs w:val="18"/>
                <w:highlight w:val="none"/>
              </w:rPr>
            </w:pPr>
          </w:p>
        </w:tc>
      </w:tr>
      <w:tr w14:paraId="6D0861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75BB82B">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23.3.5</w:t>
            </w:r>
          </w:p>
        </w:tc>
        <w:tc>
          <w:tcPr>
            <w:tcW w:w="7219" w:type="dxa"/>
            <w:noWrap w:val="0"/>
            <w:vAlign w:val="center"/>
          </w:tcPr>
          <w:p w14:paraId="6202230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网罩采用0.8mm至1.0mm厚的钢网；</w:t>
            </w:r>
          </w:p>
        </w:tc>
        <w:tc>
          <w:tcPr>
            <w:tcW w:w="976" w:type="dxa"/>
            <w:noWrap w:val="0"/>
            <w:vAlign w:val="center"/>
          </w:tcPr>
          <w:p w14:paraId="617E4DB6">
            <w:pPr>
              <w:textAlignment w:val="baseline"/>
              <w:rPr>
                <w:rFonts w:hint="eastAsia" w:ascii="宋体" w:hAnsi="宋体" w:cs="宋体"/>
                <w:color w:val="auto"/>
                <w:sz w:val="18"/>
                <w:szCs w:val="18"/>
                <w:highlight w:val="none"/>
              </w:rPr>
            </w:pPr>
          </w:p>
        </w:tc>
      </w:tr>
      <w:tr w14:paraId="5F1532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E71CE1F">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23.3.6</w:t>
            </w:r>
          </w:p>
        </w:tc>
        <w:tc>
          <w:tcPr>
            <w:tcW w:w="7219" w:type="dxa"/>
            <w:noWrap w:val="0"/>
            <w:vAlign w:val="center"/>
          </w:tcPr>
          <w:p w14:paraId="223ED54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highlight w:val="none"/>
              </w:rPr>
              <w:t>音箱自带专用壁挂件，可根据使用要求灵活调整水平、垂直角度；额定/峰值功率：60W / 240 W；额定阻抗：8Ω；特性灵敏度：89dB/W/m ；输出声压级：107dB/W/m(Continues) ，113dB/W/m(Peak)；额定频率范围:90~ 20KHz；扬声器单元：LF:  6.5英寸，HF:3 英寸纸盆高音。</w:t>
            </w:r>
          </w:p>
        </w:tc>
        <w:tc>
          <w:tcPr>
            <w:tcW w:w="976" w:type="dxa"/>
            <w:noWrap w:val="0"/>
            <w:vAlign w:val="center"/>
          </w:tcPr>
          <w:p w14:paraId="0C87F230">
            <w:pPr>
              <w:textAlignment w:val="baseline"/>
              <w:rPr>
                <w:rFonts w:hint="eastAsia" w:ascii="宋体" w:hAnsi="宋体" w:cs="宋体"/>
                <w:color w:val="auto"/>
                <w:sz w:val="18"/>
                <w:szCs w:val="18"/>
                <w:highlight w:val="none"/>
              </w:rPr>
            </w:pPr>
          </w:p>
        </w:tc>
      </w:tr>
      <w:tr w14:paraId="32A7E0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251CF4D">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w:t>
            </w:r>
          </w:p>
        </w:tc>
        <w:tc>
          <w:tcPr>
            <w:tcW w:w="7219" w:type="dxa"/>
            <w:noWrap w:val="0"/>
            <w:vAlign w:val="center"/>
          </w:tcPr>
          <w:p w14:paraId="0D66F28A">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无线话筒组</w:t>
            </w:r>
          </w:p>
        </w:tc>
        <w:tc>
          <w:tcPr>
            <w:tcW w:w="976" w:type="dxa"/>
            <w:noWrap w:val="0"/>
            <w:vAlign w:val="center"/>
          </w:tcPr>
          <w:p w14:paraId="28BE03AB">
            <w:pPr>
              <w:textAlignment w:val="baseline"/>
              <w:rPr>
                <w:rFonts w:hint="eastAsia" w:ascii="宋体" w:hAnsi="宋体" w:cs="宋体"/>
                <w:color w:val="auto"/>
                <w:sz w:val="18"/>
                <w:szCs w:val="18"/>
                <w:highlight w:val="none"/>
              </w:rPr>
            </w:pPr>
          </w:p>
        </w:tc>
      </w:tr>
      <w:tr w14:paraId="12CF53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A871240">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23.4.1</w:t>
            </w:r>
          </w:p>
        </w:tc>
        <w:tc>
          <w:tcPr>
            <w:tcW w:w="7219" w:type="dxa"/>
            <w:noWrap w:val="0"/>
            <w:vAlign w:val="center"/>
          </w:tcPr>
          <w:p w14:paraId="1C65DA5A">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真U段调频机；</w:t>
            </w:r>
          </w:p>
        </w:tc>
        <w:tc>
          <w:tcPr>
            <w:tcW w:w="976" w:type="dxa"/>
            <w:noWrap w:val="0"/>
            <w:vAlign w:val="center"/>
          </w:tcPr>
          <w:p w14:paraId="579BF774">
            <w:pPr>
              <w:textAlignment w:val="baseline"/>
              <w:rPr>
                <w:rFonts w:hint="eastAsia" w:ascii="宋体" w:hAnsi="宋体" w:cs="宋体"/>
                <w:color w:val="auto"/>
                <w:sz w:val="18"/>
                <w:szCs w:val="18"/>
                <w:highlight w:val="none"/>
              </w:rPr>
            </w:pPr>
          </w:p>
        </w:tc>
      </w:tr>
      <w:tr w14:paraId="68199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C9A6EA7">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23.4.2</w:t>
            </w:r>
          </w:p>
        </w:tc>
        <w:tc>
          <w:tcPr>
            <w:tcW w:w="7219" w:type="dxa"/>
            <w:noWrap w:val="0"/>
            <w:vAlign w:val="center"/>
          </w:tcPr>
          <w:p w14:paraId="0178C3D0">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专业无线麦克风；</w:t>
            </w:r>
          </w:p>
        </w:tc>
        <w:tc>
          <w:tcPr>
            <w:tcW w:w="976" w:type="dxa"/>
            <w:noWrap w:val="0"/>
            <w:vAlign w:val="center"/>
          </w:tcPr>
          <w:p w14:paraId="2CF3C559">
            <w:pPr>
              <w:textAlignment w:val="baseline"/>
              <w:rPr>
                <w:rFonts w:hint="eastAsia" w:ascii="宋体" w:hAnsi="宋体" w:cs="宋体"/>
                <w:color w:val="auto"/>
                <w:sz w:val="18"/>
                <w:szCs w:val="18"/>
                <w:highlight w:val="none"/>
              </w:rPr>
            </w:pPr>
          </w:p>
        </w:tc>
      </w:tr>
      <w:tr w14:paraId="0B5C6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A45F1C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23.4.3</w:t>
            </w:r>
          </w:p>
        </w:tc>
        <w:tc>
          <w:tcPr>
            <w:tcW w:w="7219" w:type="dxa"/>
            <w:noWrap w:val="0"/>
            <w:vAlign w:val="center"/>
          </w:tcPr>
          <w:p w14:paraId="5E0C253A">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1拖4麦克风；</w:t>
            </w:r>
          </w:p>
        </w:tc>
        <w:tc>
          <w:tcPr>
            <w:tcW w:w="976" w:type="dxa"/>
            <w:noWrap w:val="0"/>
            <w:vAlign w:val="center"/>
          </w:tcPr>
          <w:p w14:paraId="4C82EFFD">
            <w:pPr>
              <w:textAlignment w:val="baseline"/>
              <w:rPr>
                <w:rFonts w:hint="eastAsia" w:ascii="宋体" w:hAnsi="宋体" w:cs="宋体"/>
                <w:color w:val="auto"/>
                <w:sz w:val="18"/>
                <w:szCs w:val="18"/>
                <w:highlight w:val="none"/>
              </w:rPr>
            </w:pPr>
          </w:p>
        </w:tc>
      </w:tr>
      <w:tr w14:paraId="5DBE0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D69D2DA">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23.4.4</w:t>
            </w:r>
          </w:p>
        </w:tc>
        <w:tc>
          <w:tcPr>
            <w:tcW w:w="7219" w:type="dxa"/>
            <w:noWrap w:val="0"/>
            <w:vAlign w:val="center"/>
          </w:tcPr>
          <w:p w14:paraId="638A72B4">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一键设置频率；</w:t>
            </w:r>
          </w:p>
        </w:tc>
        <w:tc>
          <w:tcPr>
            <w:tcW w:w="976" w:type="dxa"/>
            <w:noWrap w:val="0"/>
            <w:vAlign w:val="center"/>
          </w:tcPr>
          <w:p w14:paraId="287888DC">
            <w:pPr>
              <w:textAlignment w:val="baseline"/>
              <w:rPr>
                <w:rFonts w:hint="eastAsia" w:ascii="宋体" w:hAnsi="宋体" w:cs="宋体"/>
                <w:color w:val="auto"/>
                <w:sz w:val="18"/>
                <w:szCs w:val="18"/>
                <w:highlight w:val="none"/>
              </w:rPr>
            </w:pPr>
          </w:p>
        </w:tc>
      </w:tr>
      <w:tr w14:paraId="69C146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B822CE1">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23.4.5</w:t>
            </w:r>
          </w:p>
        </w:tc>
        <w:tc>
          <w:tcPr>
            <w:tcW w:w="7219" w:type="dxa"/>
            <w:noWrap w:val="0"/>
            <w:vAlign w:val="center"/>
          </w:tcPr>
          <w:p w14:paraId="6E1AE894">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高速处理器，一芯管4通道；</w:t>
            </w:r>
          </w:p>
        </w:tc>
        <w:tc>
          <w:tcPr>
            <w:tcW w:w="976" w:type="dxa"/>
            <w:noWrap w:val="0"/>
            <w:vAlign w:val="center"/>
          </w:tcPr>
          <w:p w14:paraId="40D04457">
            <w:pPr>
              <w:textAlignment w:val="baseline"/>
              <w:rPr>
                <w:rFonts w:hint="eastAsia" w:ascii="宋体" w:hAnsi="宋体" w:cs="宋体"/>
                <w:color w:val="auto"/>
                <w:sz w:val="18"/>
                <w:szCs w:val="18"/>
                <w:highlight w:val="none"/>
              </w:rPr>
            </w:pPr>
          </w:p>
        </w:tc>
      </w:tr>
      <w:tr w14:paraId="730E9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CB5E0A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23.4.6</w:t>
            </w:r>
          </w:p>
        </w:tc>
        <w:tc>
          <w:tcPr>
            <w:tcW w:w="7219" w:type="dxa"/>
            <w:noWrap w:val="0"/>
            <w:vAlign w:val="center"/>
          </w:tcPr>
          <w:p w14:paraId="49CE2E0F">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防啸叫移频器；</w:t>
            </w:r>
          </w:p>
        </w:tc>
        <w:tc>
          <w:tcPr>
            <w:tcW w:w="976" w:type="dxa"/>
            <w:noWrap w:val="0"/>
            <w:vAlign w:val="center"/>
          </w:tcPr>
          <w:p w14:paraId="31FEFE8D">
            <w:pPr>
              <w:textAlignment w:val="baseline"/>
              <w:rPr>
                <w:rFonts w:hint="eastAsia" w:ascii="宋体" w:hAnsi="宋体" w:cs="宋体"/>
                <w:color w:val="auto"/>
                <w:sz w:val="18"/>
                <w:szCs w:val="18"/>
                <w:highlight w:val="none"/>
              </w:rPr>
            </w:pPr>
          </w:p>
        </w:tc>
      </w:tr>
      <w:tr w14:paraId="22C13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5DDF397">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23.4.7</w:t>
            </w:r>
          </w:p>
        </w:tc>
        <w:tc>
          <w:tcPr>
            <w:tcW w:w="7219" w:type="dxa"/>
            <w:noWrap w:val="0"/>
            <w:vAlign w:val="center"/>
          </w:tcPr>
          <w:p w14:paraId="7B625E14">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实时显示电量；</w:t>
            </w:r>
          </w:p>
        </w:tc>
        <w:tc>
          <w:tcPr>
            <w:tcW w:w="976" w:type="dxa"/>
            <w:noWrap w:val="0"/>
            <w:vAlign w:val="center"/>
          </w:tcPr>
          <w:p w14:paraId="45C4950C">
            <w:pPr>
              <w:textAlignment w:val="baseline"/>
              <w:rPr>
                <w:rFonts w:hint="eastAsia" w:ascii="宋体" w:hAnsi="宋体" w:cs="宋体"/>
                <w:color w:val="auto"/>
                <w:sz w:val="18"/>
                <w:szCs w:val="18"/>
                <w:highlight w:val="none"/>
              </w:rPr>
            </w:pPr>
          </w:p>
        </w:tc>
      </w:tr>
      <w:tr w14:paraId="41757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71B9753">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23.4.8</w:t>
            </w:r>
          </w:p>
        </w:tc>
        <w:tc>
          <w:tcPr>
            <w:tcW w:w="7219" w:type="dxa"/>
            <w:noWrap w:val="0"/>
            <w:vAlign w:val="center"/>
          </w:tcPr>
          <w:p w14:paraId="3A4263E4">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雷达+电脑频谱；</w:t>
            </w:r>
          </w:p>
        </w:tc>
        <w:tc>
          <w:tcPr>
            <w:tcW w:w="976" w:type="dxa"/>
            <w:noWrap w:val="0"/>
            <w:vAlign w:val="center"/>
          </w:tcPr>
          <w:p w14:paraId="678E87AE">
            <w:pPr>
              <w:textAlignment w:val="baseline"/>
              <w:rPr>
                <w:rFonts w:hint="eastAsia" w:ascii="宋体" w:hAnsi="宋体" w:cs="宋体"/>
                <w:color w:val="auto"/>
                <w:sz w:val="18"/>
                <w:szCs w:val="18"/>
                <w:highlight w:val="none"/>
              </w:rPr>
            </w:pPr>
          </w:p>
        </w:tc>
      </w:tr>
      <w:tr w14:paraId="263D8B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4AAC94E">
            <w:pPr>
              <w:numPr>
                <w:ilvl w:val="2"/>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23.4.9</w:t>
            </w:r>
          </w:p>
        </w:tc>
        <w:tc>
          <w:tcPr>
            <w:tcW w:w="7219" w:type="dxa"/>
            <w:noWrap w:val="0"/>
            <w:vAlign w:val="center"/>
          </w:tcPr>
          <w:p w14:paraId="1ACEAC15">
            <w:pPr>
              <w:widowControl/>
              <w:jc w:val="left"/>
              <w:textAlignment w:val="center"/>
              <w:rPr>
                <w:rFonts w:hint="eastAsia" w:ascii="宋体" w:hAnsi="宋体" w:cs="宋体"/>
                <w:b/>
                <w:bCs/>
                <w:color w:val="auto"/>
                <w:kern w:val="0"/>
                <w:szCs w:val="21"/>
                <w:highlight w:val="none"/>
                <w:lang w:bidi="ar"/>
              </w:rPr>
            </w:pPr>
            <w:r>
              <w:rPr>
                <w:rFonts w:hint="eastAsia"/>
                <w:color w:val="auto"/>
                <w:highlight w:val="none"/>
              </w:rPr>
              <w:t>全程加密不串频;</w:t>
            </w:r>
          </w:p>
        </w:tc>
        <w:tc>
          <w:tcPr>
            <w:tcW w:w="976" w:type="dxa"/>
            <w:noWrap w:val="0"/>
            <w:vAlign w:val="center"/>
          </w:tcPr>
          <w:p w14:paraId="53001B04">
            <w:pPr>
              <w:textAlignment w:val="baseline"/>
              <w:rPr>
                <w:rFonts w:hint="eastAsia" w:ascii="宋体" w:hAnsi="宋体" w:cs="宋体"/>
                <w:color w:val="auto"/>
                <w:sz w:val="18"/>
                <w:szCs w:val="18"/>
                <w:highlight w:val="none"/>
              </w:rPr>
            </w:pPr>
          </w:p>
        </w:tc>
      </w:tr>
      <w:tr w14:paraId="7A78AA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BB5EE72">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24</w:t>
            </w:r>
          </w:p>
        </w:tc>
        <w:tc>
          <w:tcPr>
            <w:tcW w:w="7219" w:type="dxa"/>
            <w:noWrap w:val="0"/>
            <w:vAlign w:val="center"/>
          </w:tcPr>
          <w:p w14:paraId="13394792">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教师讲台及椅子</w:t>
            </w:r>
          </w:p>
        </w:tc>
        <w:tc>
          <w:tcPr>
            <w:tcW w:w="976" w:type="dxa"/>
            <w:noWrap w:val="0"/>
            <w:vAlign w:val="center"/>
          </w:tcPr>
          <w:p w14:paraId="63B2934A">
            <w:pPr>
              <w:textAlignment w:val="baseline"/>
              <w:rPr>
                <w:rFonts w:hint="eastAsia" w:ascii="宋体" w:hAnsi="宋体" w:cs="宋体"/>
                <w:color w:val="auto"/>
                <w:sz w:val="18"/>
                <w:szCs w:val="18"/>
                <w:highlight w:val="none"/>
              </w:rPr>
            </w:pPr>
          </w:p>
        </w:tc>
      </w:tr>
      <w:tr w14:paraId="5594B3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666BF22">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24.1</w:t>
            </w:r>
          </w:p>
        </w:tc>
        <w:tc>
          <w:tcPr>
            <w:tcW w:w="7219" w:type="dxa"/>
            <w:noWrap w:val="0"/>
            <w:vAlign w:val="center"/>
          </w:tcPr>
          <w:p w14:paraId="799EF742">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1个教师主控桌和1个演讲台及1个椅子</w:t>
            </w:r>
          </w:p>
        </w:tc>
        <w:tc>
          <w:tcPr>
            <w:tcW w:w="976" w:type="dxa"/>
            <w:noWrap w:val="0"/>
            <w:vAlign w:val="center"/>
          </w:tcPr>
          <w:p w14:paraId="7A001A19">
            <w:pPr>
              <w:textAlignment w:val="baseline"/>
              <w:rPr>
                <w:rFonts w:hint="eastAsia" w:ascii="宋体" w:hAnsi="宋体" w:cs="宋体"/>
                <w:color w:val="auto"/>
                <w:sz w:val="18"/>
                <w:szCs w:val="18"/>
                <w:highlight w:val="none"/>
              </w:rPr>
            </w:pPr>
          </w:p>
        </w:tc>
      </w:tr>
      <w:tr w14:paraId="6C2955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2B654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24.2</w:t>
            </w:r>
          </w:p>
        </w:tc>
        <w:tc>
          <w:tcPr>
            <w:tcW w:w="7219" w:type="dxa"/>
            <w:noWrap w:val="0"/>
            <w:vAlign w:val="center"/>
          </w:tcPr>
          <w:p w14:paraId="55147E1A">
            <w:pPr>
              <w:widowControl/>
              <w:jc w:val="left"/>
              <w:textAlignment w:val="center"/>
              <w:rPr>
                <w:rFonts w:hint="eastAsia" w:ascii="宋体" w:hAnsi="宋体" w:cs="宋体"/>
                <w:b/>
                <w:bCs/>
                <w:color w:val="auto"/>
                <w:kern w:val="0"/>
                <w:szCs w:val="21"/>
                <w:highlight w:val="none"/>
                <w:lang w:bidi="ar"/>
              </w:rPr>
            </w:pPr>
            <w:r>
              <w:rPr>
                <w:rFonts w:ascii="宋体" w:hAnsi="宋体" w:cs="宋体"/>
                <w:color w:val="auto"/>
                <w:kern w:val="0"/>
                <w:szCs w:val="21"/>
                <w:highlight w:val="none"/>
                <w:lang w:bidi="ar"/>
              </w:rPr>
              <w:t>根据现场需要定制</w:t>
            </w:r>
            <w:r>
              <w:rPr>
                <w:rFonts w:hint="eastAsia" w:ascii="宋体" w:hAnsi="宋体" w:cs="宋体"/>
                <w:color w:val="auto"/>
                <w:kern w:val="0"/>
                <w:szCs w:val="21"/>
                <w:highlight w:val="none"/>
                <w:lang w:bidi="ar"/>
              </w:rPr>
              <w:t>;</w:t>
            </w:r>
          </w:p>
        </w:tc>
        <w:tc>
          <w:tcPr>
            <w:tcW w:w="976" w:type="dxa"/>
            <w:noWrap w:val="0"/>
            <w:vAlign w:val="center"/>
          </w:tcPr>
          <w:p w14:paraId="75CF2018">
            <w:pPr>
              <w:textAlignment w:val="baseline"/>
              <w:rPr>
                <w:rFonts w:hint="eastAsia" w:ascii="宋体" w:hAnsi="宋体" w:cs="宋体"/>
                <w:color w:val="auto"/>
                <w:sz w:val="18"/>
                <w:szCs w:val="18"/>
                <w:highlight w:val="none"/>
              </w:rPr>
            </w:pPr>
          </w:p>
        </w:tc>
      </w:tr>
      <w:tr w14:paraId="3D936C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559BFB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24.3</w:t>
            </w:r>
          </w:p>
        </w:tc>
        <w:tc>
          <w:tcPr>
            <w:tcW w:w="7219" w:type="dxa"/>
            <w:noWrap w:val="0"/>
            <w:vAlign w:val="center"/>
          </w:tcPr>
          <w:p w14:paraId="036071A3">
            <w:pPr>
              <w:widowControl/>
              <w:jc w:val="left"/>
              <w:textAlignment w:val="center"/>
              <w:rPr>
                <w:rFonts w:ascii="宋体" w:hAnsi="宋体" w:cs="宋体"/>
                <w:b/>
                <w:bCs/>
                <w:color w:val="auto"/>
                <w:kern w:val="0"/>
                <w:szCs w:val="21"/>
                <w:highlight w:val="none"/>
                <w:lang w:bidi="ar"/>
              </w:rPr>
            </w:pPr>
            <w:r>
              <w:rPr>
                <w:rFonts w:ascii="宋体" w:hAnsi="宋体" w:cs="宋体"/>
                <w:color w:val="auto"/>
                <w:kern w:val="0"/>
                <w:szCs w:val="21"/>
                <w:highlight w:val="none"/>
                <w:lang w:bidi="ar"/>
              </w:rPr>
              <w:t>桌面采用E1级实木颗粒</w:t>
            </w:r>
            <w:r>
              <w:rPr>
                <w:rFonts w:hint="eastAsia" w:ascii="宋体" w:hAnsi="宋体" w:cs="宋体"/>
                <w:color w:val="auto"/>
                <w:kern w:val="0"/>
                <w:szCs w:val="21"/>
                <w:highlight w:val="none"/>
                <w:lang w:bidi="ar"/>
              </w:rPr>
              <w:t>板</w:t>
            </w:r>
            <w:r>
              <w:rPr>
                <w:rFonts w:ascii="宋体" w:hAnsi="宋体" w:cs="宋体"/>
                <w:color w:val="auto"/>
                <w:kern w:val="0"/>
                <w:szCs w:val="21"/>
                <w:highlight w:val="none"/>
                <w:lang w:bidi="ar"/>
              </w:rPr>
              <w:t>环保板材</w:t>
            </w:r>
            <w:r>
              <w:rPr>
                <w:rFonts w:hint="eastAsia" w:ascii="宋体" w:hAnsi="宋体" w:cs="宋体"/>
                <w:color w:val="auto"/>
                <w:kern w:val="0"/>
                <w:szCs w:val="21"/>
                <w:highlight w:val="none"/>
                <w:lang w:bidi="ar"/>
              </w:rPr>
              <w:t>;</w:t>
            </w:r>
          </w:p>
        </w:tc>
        <w:tc>
          <w:tcPr>
            <w:tcW w:w="976" w:type="dxa"/>
            <w:noWrap w:val="0"/>
            <w:vAlign w:val="center"/>
          </w:tcPr>
          <w:p w14:paraId="6D078BAC">
            <w:pPr>
              <w:textAlignment w:val="baseline"/>
              <w:rPr>
                <w:rFonts w:hint="eastAsia" w:ascii="宋体" w:hAnsi="宋体" w:cs="宋体"/>
                <w:color w:val="auto"/>
                <w:sz w:val="18"/>
                <w:szCs w:val="18"/>
                <w:highlight w:val="none"/>
              </w:rPr>
            </w:pPr>
          </w:p>
        </w:tc>
      </w:tr>
      <w:tr w14:paraId="132A44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7C27D3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24.4</w:t>
            </w:r>
          </w:p>
        </w:tc>
        <w:tc>
          <w:tcPr>
            <w:tcW w:w="7219" w:type="dxa"/>
            <w:noWrap w:val="0"/>
            <w:vAlign w:val="center"/>
          </w:tcPr>
          <w:p w14:paraId="55237C28">
            <w:pPr>
              <w:widowControl/>
              <w:jc w:val="left"/>
              <w:textAlignment w:val="center"/>
              <w:rPr>
                <w:rFonts w:ascii="宋体" w:hAnsi="宋体" w:cs="宋体"/>
                <w:b/>
                <w:bCs/>
                <w:color w:val="auto"/>
                <w:kern w:val="0"/>
                <w:szCs w:val="21"/>
                <w:highlight w:val="none"/>
                <w:lang w:bidi="ar"/>
              </w:rPr>
            </w:pPr>
            <w:r>
              <w:rPr>
                <w:rFonts w:hint="eastAsia" w:ascii="宋体" w:hAnsi="宋体" w:cs="宋体"/>
                <w:color w:val="auto"/>
                <w:kern w:val="0"/>
                <w:szCs w:val="21"/>
                <w:highlight w:val="none"/>
                <w:lang w:bidi="ar"/>
              </w:rPr>
              <w:t>边缘为国标封边材料封边;</w:t>
            </w:r>
          </w:p>
        </w:tc>
        <w:tc>
          <w:tcPr>
            <w:tcW w:w="976" w:type="dxa"/>
            <w:noWrap w:val="0"/>
            <w:vAlign w:val="center"/>
          </w:tcPr>
          <w:p w14:paraId="0097CF46">
            <w:pPr>
              <w:textAlignment w:val="baseline"/>
              <w:rPr>
                <w:rFonts w:hint="eastAsia" w:ascii="宋体" w:hAnsi="宋体" w:cs="宋体"/>
                <w:color w:val="auto"/>
                <w:sz w:val="18"/>
                <w:szCs w:val="18"/>
                <w:highlight w:val="none"/>
              </w:rPr>
            </w:pPr>
          </w:p>
        </w:tc>
      </w:tr>
      <w:tr w14:paraId="7B3FD3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CC7267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24.5</w:t>
            </w:r>
          </w:p>
        </w:tc>
        <w:tc>
          <w:tcPr>
            <w:tcW w:w="7219" w:type="dxa"/>
            <w:noWrap w:val="0"/>
            <w:vAlign w:val="center"/>
          </w:tcPr>
          <w:p w14:paraId="0A916DD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颜色可选</w:t>
            </w:r>
          </w:p>
        </w:tc>
        <w:tc>
          <w:tcPr>
            <w:tcW w:w="976" w:type="dxa"/>
            <w:noWrap w:val="0"/>
            <w:vAlign w:val="center"/>
          </w:tcPr>
          <w:p w14:paraId="7CEC86EA">
            <w:pPr>
              <w:textAlignment w:val="baseline"/>
              <w:rPr>
                <w:rFonts w:hint="eastAsia" w:ascii="宋体" w:hAnsi="宋体" w:cs="宋体"/>
                <w:color w:val="auto"/>
                <w:sz w:val="18"/>
                <w:szCs w:val="18"/>
                <w:highlight w:val="none"/>
              </w:rPr>
            </w:pPr>
          </w:p>
        </w:tc>
      </w:tr>
      <w:tr w14:paraId="4EB08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361A83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24.6</w:t>
            </w:r>
          </w:p>
        </w:tc>
        <w:tc>
          <w:tcPr>
            <w:tcW w:w="7219" w:type="dxa"/>
            <w:noWrap w:val="0"/>
            <w:vAlign w:val="center"/>
          </w:tcPr>
          <w:p w14:paraId="5F1F8086">
            <w:pPr>
              <w:widowControl/>
              <w:jc w:val="left"/>
              <w:textAlignment w:val="center"/>
              <w:rPr>
                <w:rFonts w:hint="eastAsia" w:ascii="宋体" w:hAnsi="宋体" w:cs="宋体"/>
                <w:b/>
                <w:bCs/>
                <w:color w:val="auto"/>
                <w:kern w:val="0"/>
                <w:szCs w:val="21"/>
                <w:highlight w:val="none"/>
                <w:lang w:bidi="ar"/>
              </w:rPr>
            </w:pPr>
            <w:r>
              <w:rPr>
                <w:rFonts w:ascii="宋体" w:hAnsi="宋体" w:cs="宋体"/>
                <w:color w:val="auto"/>
                <w:kern w:val="0"/>
                <w:szCs w:val="21"/>
                <w:highlight w:val="none"/>
                <w:lang w:bidi="ar"/>
              </w:rPr>
              <w:t>主控桌：尺寸长*宽*高2</w:t>
            </w:r>
            <w:r>
              <w:rPr>
                <w:rFonts w:hint="eastAsia" w:ascii="宋体" w:hAnsi="宋体" w:cs="宋体"/>
                <w:color w:val="auto"/>
                <w:kern w:val="0"/>
                <w:szCs w:val="21"/>
                <w:highlight w:val="none"/>
                <w:lang w:bidi="ar"/>
              </w:rPr>
              <w:t>4</w:t>
            </w:r>
            <w:r>
              <w:rPr>
                <w:rFonts w:ascii="宋体" w:hAnsi="宋体" w:cs="宋体"/>
                <w:color w:val="auto"/>
                <w:kern w:val="0"/>
                <w:szCs w:val="21"/>
                <w:highlight w:val="none"/>
                <w:lang w:bidi="ar"/>
              </w:rPr>
              <w:t>0CM*80CM*80CM,两侧带门，用于放置教师电脑及功放等设备，有主机防盗、散热、存放线缆插排等结构。</w:t>
            </w:r>
          </w:p>
        </w:tc>
        <w:tc>
          <w:tcPr>
            <w:tcW w:w="976" w:type="dxa"/>
            <w:noWrap w:val="0"/>
            <w:vAlign w:val="center"/>
          </w:tcPr>
          <w:p w14:paraId="0AF15E3E">
            <w:pPr>
              <w:textAlignment w:val="baseline"/>
              <w:rPr>
                <w:rFonts w:hint="eastAsia" w:ascii="宋体" w:hAnsi="宋体" w:cs="宋体"/>
                <w:color w:val="auto"/>
                <w:sz w:val="18"/>
                <w:szCs w:val="18"/>
                <w:highlight w:val="none"/>
              </w:rPr>
            </w:pPr>
          </w:p>
        </w:tc>
      </w:tr>
      <w:tr w14:paraId="30EEE7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AC9357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24.7</w:t>
            </w:r>
          </w:p>
        </w:tc>
        <w:tc>
          <w:tcPr>
            <w:tcW w:w="7219" w:type="dxa"/>
            <w:noWrap w:val="0"/>
            <w:vAlign w:val="center"/>
          </w:tcPr>
          <w:p w14:paraId="5CE6769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演讲台：尺寸长*宽*高100CM*60CM*120CM。</w:t>
            </w:r>
          </w:p>
        </w:tc>
        <w:tc>
          <w:tcPr>
            <w:tcW w:w="976" w:type="dxa"/>
            <w:noWrap w:val="0"/>
            <w:vAlign w:val="center"/>
          </w:tcPr>
          <w:p w14:paraId="3DAD3D03">
            <w:pPr>
              <w:textAlignment w:val="baseline"/>
              <w:rPr>
                <w:rFonts w:hint="eastAsia" w:ascii="宋体" w:hAnsi="宋体" w:cs="宋体"/>
                <w:color w:val="auto"/>
                <w:sz w:val="18"/>
                <w:szCs w:val="18"/>
                <w:highlight w:val="none"/>
              </w:rPr>
            </w:pPr>
          </w:p>
        </w:tc>
      </w:tr>
      <w:tr w14:paraId="491DEF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E25394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24.8</w:t>
            </w:r>
          </w:p>
        </w:tc>
        <w:tc>
          <w:tcPr>
            <w:tcW w:w="7219" w:type="dxa"/>
            <w:noWrap w:val="0"/>
            <w:vAlign w:val="center"/>
          </w:tcPr>
          <w:p w14:paraId="28F0ECC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椅子：万向钢制五轮转椅，</w:t>
            </w:r>
            <w:r>
              <w:rPr>
                <w:rFonts w:hint="eastAsia" w:ascii="宋体" w:hAnsi="宋体" w:cs="宋体"/>
                <w:color w:val="auto"/>
                <w:szCs w:val="21"/>
                <w:highlight w:val="none"/>
              </w:rPr>
              <w:t>靠背坐背采用网布材质，</w:t>
            </w:r>
            <w:r>
              <w:rPr>
                <w:rFonts w:hint="eastAsia" w:ascii="宋体" w:hAnsi="宋体" w:cs="宋体"/>
                <w:color w:val="auto"/>
                <w:kern w:val="0"/>
                <w:szCs w:val="21"/>
                <w:highlight w:val="none"/>
                <w:lang w:bidi="ar"/>
              </w:rPr>
              <w:t>气压上下升降调节，带扶手</w:t>
            </w:r>
          </w:p>
        </w:tc>
        <w:tc>
          <w:tcPr>
            <w:tcW w:w="976" w:type="dxa"/>
            <w:noWrap w:val="0"/>
            <w:vAlign w:val="center"/>
          </w:tcPr>
          <w:p w14:paraId="3B272191">
            <w:pPr>
              <w:textAlignment w:val="baseline"/>
              <w:rPr>
                <w:rFonts w:hint="eastAsia" w:ascii="宋体" w:hAnsi="宋体" w:cs="宋体"/>
                <w:color w:val="auto"/>
                <w:sz w:val="18"/>
                <w:szCs w:val="18"/>
                <w:highlight w:val="none"/>
              </w:rPr>
            </w:pPr>
          </w:p>
        </w:tc>
      </w:tr>
      <w:tr w14:paraId="617CE3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806FB7B">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25</w:t>
            </w:r>
          </w:p>
        </w:tc>
        <w:tc>
          <w:tcPr>
            <w:tcW w:w="7219" w:type="dxa"/>
            <w:noWrap w:val="0"/>
            <w:vAlign w:val="center"/>
          </w:tcPr>
          <w:p w14:paraId="3BE8DFA0">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椅子</w:t>
            </w:r>
          </w:p>
        </w:tc>
        <w:tc>
          <w:tcPr>
            <w:tcW w:w="976" w:type="dxa"/>
            <w:noWrap w:val="0"/>
            <w:vAlign w:val="center"/>
          </w:tcPr>
          <w:p w14:paraId="4313F2EF">
            <w:pPr>
              <w:textAlignment w:val="baseline"/>
              <w:rPr>
                <w:rFonts w:hint="eastAsia" w:ascii="宋体" w:hAnsi="宋体" w:cs="宋体"/>
                <w:color w:val="auto"/>
                <w:sz w:val="18"/>
                <w:szCs w:val="18"/>
                <w:highlight w:val="none"/>
              </w:rPr>
            </w:pPr>
          </w:p>
        </w:tc>
      </w:tr>
      <w:tr w14:paraId="1A6DA8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D1EF24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25.1</w:t>
            </w:r>
          </w:p>
        </w:tc>
        <w:tc>
          <w:tcPr>
            <w:tcW w:w="7219" w:type="dxa"/>
            <w:noWrap w:val="0"/>
            <w:vAlign w:val="center"/>
          </w:tcPr>
          <w:p w14:paraId="4103BAD5">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规格：长*宽*高≥50</w:t>
            </w:r>
            <w:r>
              <w:rPr>
                <w:rFonts w:ascii="宋体" w:hAnsi="宋体" w:cs="宋体"/>
                <w:color w:val="auto"/>
                <w:kern w:val="0"/>
                <w:szCs w:val="21"/>
                <w:highlight w:val="none"/>
                <w:lang w:bidi="ar"/>
              </w:rPr>
              <w:t>C</w:t>
            </w:r>
            <w:r>
              <w:rPr>
                <w:rFonts w:hint="eastAsia" w:ascii="宋体" w:hAnsi="宋体" w:cs="宋体"/>
                <w:color w:val="auto"/>
                <w:kern w:val="0"/>
                <w:szCs w:val="21"/>
                <w:highlight w:val="none"/>
                <w:lang w:bidi="ar"/>
              </w:rPr>
              <w:t>m*45</w:t>
            </w:r>
            <w:r>
              <w:rPr>
                <w:rFonts w:ascii="宋体" w:hAnsi="宋体" w:cs="宋体"/>
                <w:color w:val="auto"/>
                <w:kern w:val="0"/>
                <w:szCs w:val="21"/>
                <w:highlight w:val="none"/>
                <w:lang w:bidi="ar"/>
              </w:rPr>
              <w:t>C</w:t>
            </w:r>
            <w:r>
              <w:rPr>
                <w:rFonts w:hint="eastAsia" w:ascii="宋体" w:hAnsi="宋体" w:cs="宋体"/>
                <w:color w:val="auto"/>
                <w:kern w:val="0"/>
                <w:szCs w:val="21"/>
                <w:highlight w:val="none"/>
                <w:lang w:bidi="ar"/>
              </w:rPr>
              <w:t>m*70</w:t>
            </w:r>
            <w:r>
              <w:rPr>
                <w:rFonts w:ascii="宋体" w:hAnsi="宋体" w:cs="宋体"/>
                <w:color w:val="auto"/>
                <w:kern w:val="0"/>
                <w:szCs w:val="21"/>
                <w:highlight w:val="none"/>
                <w:lang w:bidi="ar"/>
              </w:rPr>
              <w:t>C</w:t>
            </w:r>
            <w:r>
              <w:rPr>
                <w:rFonts w:hint="eastAsia" w:ascii="宋体" w:hAnsi="宋体" w:cs="宋体"/>
                <w:color w:val="auto"/>
                <w:kern w:val="0"/>
                <w:szCs w:val="21"/>
                <w:highlight w:val="none"/>
                <w:lang w:bidi="ar"/>
              </w:rPr>
              <w:t>m；</w:t>
            </w:r>
          </w:p>
        </w:tc>
        <w:tc>
          <w:tcPr>
            <w:tcW w:w="976" w:type="dxa"/>
            <w:noWrap w:val="0"/>
            <w:vAlign w:val="center"/>
          </w:tcPr>
          <w:p w14:paraId="47F9DE3B">
            <w:pPr>
              <w:textAlignment w:val="baseline"/>
              <w:rPr>
                <w:rFonts w:hint="eastAsia" w:ascii="宋体" w:hAnsi="宋体" w:cs="宋体"/>
                <w:color w:val="auto"/>
                <w:sz w:val="18"/>
                <w:szCs w:val="18"/>
                <w:highlight w:val="none"/>
              </w:rPr>
            </w:pPr>
          </w:p>
        </w:tc>
      </w:tr>
      <w:tr w14:paraId="182702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1746474">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25.2</w:t>
            </w:r>
          </w:p>
        </w:tc>
        <w:tc>
          <w:tcPr>
            <w:tcW w:w="7219" w:type="dxa"/>
            <w:noWrap w:val="0"/>
            <w:vAlign w:val="center"/>
          </w:tcPr>
          <w:p w14:paraId="5FADD252">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万向钢制五轮转椅；钢脚：经过抛丸除锈，静电喷漆，不掉漆；</w:t>
            </w:r>
          </w:p>
        </w:tc>
        <w:tc>
          <w:tcPr>
            <w:tcW w:w="976" w:type="dxa"/>
            <w:noWrap w:val="0"/>
            <w:vAlign w:val="center"/>
          </w:tcPr>
          <w:p w14:paraId="0C32557C">
            <w:pPr>
              <w:textAlignment w:val="baseline"/>
              <w:rPr>
                <w:rFonts w:hint="eastAsia" w:ascii="宋体" w:hAnsi="宋体" w:cs="宋体"/>
                <w:color w:val="auto"/>
                <w:sz w:val="18"/>
                <w:szCs w:val="18"/>
                <w:highlight w:val="none"/>
              </w:rPr>
            </w:pPr>
          </w:p>
        </w:tc>
      </w:tr>
      <w:tr w14:paraId="201F8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34C238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25.3</w:t>
            </w:r>
          </w:p>
        </w:tc>
        <w:tc>
          <w:tcPr>
            <w:tcW w:w="7219" w:type="dxa"/>
            <w:noWrap w:val="0"/>
            <w:vAlign w:val="center"/>
          </w:tcPr>
          <w:p w14:paraId="204CCD0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靠背坐背采用网布材质，实际尺寸、颜色根据现场及需求定制</w:t>
            </w:r>
          </w:p>
        </w:tc>
        <w:tc>
          <w:tcPr>
            <w:tcW w:w="976" w:type="dxa"/>
            <w:noWrap w:val="0"/>
            <w:vAlign w:val="center"/>
          </w:tcPr>
          <w:p w14:paraId="6AC61230">
            <w:pPr>
              <w:textAlignment w:val="baseline"/>
              <w:rPr>
                <w:rFonts w:hint="eastAsia" w:ascii="宋体" w:hAnsi="宋体" w:cs="宋体"/>
                <w:color w:val="auto"/>
                <w:sz w:val="18"/>
                <w:szCs w:val="18"/>
                <w:highlight w:val="none"/>
              </w:rPr>
            </w:pPr>
          </w:p>
        </w:tc>
      </w:tr>
      <w:tr w14:paraId="10CA1E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96D9AEE">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26</w:t>
            </w:r>
          </w:p>
        </w:tc>
        <w:tc>
          <w:tcPr>
            <w:tcW w:w="7219" w:type="dxa"/>
            <w:noWrap w:val="0"/>
            <w:vAlign w:val="center"/>
          </w:tcPr>
          <w:p w14:paraId="27C86C7A">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电脑桌</w:t>
            </w:r>
          </w:p>
        </w:tc>
        <w:tc>
          <w:tcPr>
            <w:tcW w:w="976" w:type="dxa"/>
            <w:noWrap w:val="0"/>
            <w:vAlign w:val="center"/>
          </w:tcPr>
          <w:p w14:paraId="749AD2F9">
            <w:pPr>
              <w:textAlignment w:val="baseline"/>
              <w:rPr>
                <w:rFonts w:hint="eastAsia" w:ascii="宋体" w:hAnsi="宋体" w:cs="宋体"/>
                <w:color w:val="auto"/>
                <w:sz w:val="18"/>
                <w:szCs w:val="18"/>
                <w:highlight w:val="none"/>
              </w:rPr>
            </w:pPr>
          </w:p>
        </w:tc>
      </w:tr>
      <w:tr w14:paraId="1C234F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3DE3541">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26.1</w:t>
            </w:r>
          </w:p>
        </w:tc>
        <w:tc>
          <w:tcPr>
            <w:tcW w:w="7219" w:type="dxa"/>
            <w:noWrap w:val="0"/>
            <w:vAlign w:val="center"/>
          </w:tcPr>
          <w:p w14:paraId="1646CE1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工艺美观、坚固耐用，采用定制生产，桌面采用E1级实木颗粒环保板材；</w:t>
            </w:r>
          </w:p>
        </w:tc>
        <w:tc>
          <w:tcPr>
            <w:tcW w:w="976" w:type="dxa"/>
            <w:noWrap w:val="0"/>
            <w:vAlign w:val="center"/>
          </w:tcPr>
          <w:p w14:paraId="3E572A47">
            <w:pPr>
              <w:textAlignment w:val="baseline"/>
              <w:rPr>
                <w:rFonts w:hint="eastAsia" w:ascii="宋体" w:hAnsi="宋体" w:cs="宋体"/>
                <w:color w:val="auto"/>
                <w:sz w:val="18"/>
                <w:szCs w:val="18"/>
                <w:highlight w:val="none"/>
              </w:rPr>
            </w:pPr>
          </w:p>
        </w:tc>
      </w:tr>
      <w:tr w14:paraId="314662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01963B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26.2</w:t>
            </w:r>
          </w:p>
        </w:tc>
        <w:tc>
          <w:tcPr>
            <w:tcW w:w="7219" w:type="dxa"/>
            <w:noWrap w:val="0"/>
            <w:vAlign w:val="center"/>
          </w:tcPr>
          <w:p w14:paraId="6F7B8246">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尺寸长*宽*高≥80CM</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60CM</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75CM；</w:t>
            </w:r>
          </w:p>
        </w:tc>
        <w:tc>
          <w:tcPr>
            <w:tcW w:w="976" w:type="dxa"/>
            <w:noWrap w:val="0"/>
            <w:vAlign w:val="center"/>
          </w:tcPr>
          <w:p w14:paraId="320D7266">
            <w:pPr>
              <w:textAlignment w:val="baseline"/>
              <w:rPr>
                <w:rFonts w:hint="eastAsia" w:ascii="宋体" w:hAnsi="宋体" w:cs="宋体"/>
                <w:color w:val="auto"/>
                <w:sz w:val="18"/>
                <w:szCs w:val="18"/>
                <w:highlight w:val="none"/>
              </w:rPr>
            </w:pPr>
          </w:p>
        </w:tc>
      </w:tr>
      <w:tr w14:paraId="4B3A0B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D37872B">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26.3</w:t>
            </w:r>
          </w:p>
        </w:tc>
        <w:tc>
          <w:tcPr>
            <w:tcW w:w="7219" w:type="dxa"/>
            <w:noWrap w:val="0"/>
            <w:vAlign w:val="center"/>
          </w:tcPr>
          <w:p w14:paraId="34C511F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桌子边缘为国标封边材料封边；</w:t>
            </w:r>
          </w:p>
        </w:tc>
        <w:tc>
          <w:tcPr>
            <w:tcW w:w="976" w:type="dxa"/>
            <w:noWrap w:val="0"/>
            <w:vAlign w:val="center"/>
          </w:tcPr>
          <w:p w14:paraId="74C22AF9">
            <w:pPr>
              <w:textAlignment w:val="baseline"/>
              <w:rPr>
                <w:rFonts w:hint="eastAsia" w:ascii="宋体" w:hAnsi="宋体" w:cs="宋体"/>
                <w:color w:val="auto"/>
                <w:sz w:val="18"/>
                <w:szCs w:val="18"/>
                <w:highlight w:val="none"/>
              </w:rPr>
            </w:pPr>
          </w:p>
        </w:tc>
      </w:tr>
      <w:tr w14:paraId="1BD586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088EA8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26.4</w:t>
            </w:r>
          </w:p>
        </w:tc>
        <w:tc>
          <w:tcPr>
            <w:tcW w:w="7219" w:type="dxa"/>
            <w:noWrap w:val="0"/>
            <w:vAlign w:val="center"/>
          </w:tcPr>
          <w:p w14:paraId="3F2AE6D0">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有主机防盗、散热、存放线缆插排等结构；</w:t>
            </w:r>
          </w:p>
        </w:tc>
        <w:tc>
          <w:tcPr>
            <w:tcW w:w="976" w:type="dxa"/>
            <w:noWrap w:val="0"/>
            <w:vAlign w:val="center"/>
          </w:tcPr>
          <w:p w14:paraId="704B8846">
            <w:pPr>
              <w:textAlignment w:val="baseline"/>
              <w:rPr>
                <w:rFonts w:hint="eastAsia" w:ascii="宋体" w:hAnsi="宋体" w:cs="宋体"/>
                <w:color w:val="auto"/>
                <w:sz w:val="18"/>
                <w:szCs w:val="18"/>
                <w:highlight w:val="none"/>
              </w:rPr>
            </w:pPr>
          </w:p>
        </w:tc>
      </w:tr>
      <w:tr w14:paraId="351C97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92D7C6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26.5</w:t>
            </w:r>
          </w:p>
        </w:tc>
        <w:tc>
          <w:tcPr>
            <w:tcW w:w="7219" w:type="dxa"/>
            <w:noWrap w:val="0"/>
            <w:vAlign w:val="center"/>
          </w:tcPr>
          <w:p w14:paraId="52C333F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颜色可根据现场及需求定制；</w:t>
            </w:r>
          </w:p>
        </w:tc>
        <w:tc>
          <w:tcPr>
            <w:tcW w:w="976" w:type="dxa"/>
            <w:noWrap w:val="0"/>
            <w:vAlign w:val="center"/>
          </w:tcPr>
          <w:p w14:paraId="7E3440C1">
            <w:pPr>
              <w:textAlignment w:val="baseline"/>
              <w:rPr>
                <w:rFonts w:hint="eastAsia" w:ascii="宋体" w:hAnsi="宋体" w:cs="宋体"/>
                <w:color w:val="auto"/>
                <w:sz w:val="18"/>
                <w:szCs w:val="18"/>
                <w:highlight w:val="none"/>
              </w:rPr>
            </w:pPr>
          </w:p>
        </w:tc>
      </w:tr>
      <w:tr w14:paraId="61F4A5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5FED2EB">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27</w:t>
            </w:r>
          </w:p>
        </w:tc>
        <w:tc>
          <w:tcPr>
            <w:tcW w:w="7219" w:type="dxa"/>
            <w:noWrap w:val="0"/>
            <w:vAlign w:val="center"/>
          </w:tcPr>
          <w:p w14:paraId="031A4CEB">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网线</w:t>
            </w:r>
          </w:p>
        </w:tc>
        <w:tc>
          <w:tcPr>
            <w:tcW w:w="976" w:type="dxa"/>
            <w:noWrap w:val="0"/>
            <w:vAlign w:val="center"/>
          </w:tcPr>
          <w:p w14:paraId="2497F14A">
            <w:pPr>
              <w:textAlignment w:val="baseline"/>
              <w:rPr>
                <w:rFonts w:hint="eastAsia" w:ascii="宋体" w:hAnsi="宋体" w:cs="宋体"/>
                <w:color w:val="auto"/>
                <w:sz w:val="18"/>
                <w:szCs w:val="18"/>
                <w:highlight w:val="none"/>
              </w:rPr>
            </w:pPr>
          </w:p>
        </w:tc>
      </w:tr>
      <w:tr w14:paraId="68DE6D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57A45E8">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27.1</w:t>
            </w:r>
          </w:p>
        </w:tc>
        <w:tc>
          <w:tcPr>
            <w:tcW w:w="7219" w:type="dxa"/>
            <w:noWrap w:val="0"/>
            <w:vAlign w:val="center"/>
          </w:tcPr>
          <w:p w14:paraId="53D77FF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六类网线</w:t>
            </w:r>
            <w:r>
              <w:rPr>
                <w:rFonts w:ascii="宋体" w:hAnsi="宋体" w:cs="宋体"/>
                <w:color w:val="auto"/>
                <w:kern w:val="0"/>
                <w:szCs w:val="21"/>
                <w:highlight w:val="none"/>
                <w:lang w:bidi="ar"/>
              </w:rPr>
              <w:t>,</w:t>
            </w:r>
            <w:r>
              <w:rPr>
                <w:rFonts w:hint="eastAsia" w:ascii="宋体" w:hAnsi="宋体" w:cs="宋体"/>
                <w:color w:val="auto"/>
                <w:kern w:val="0"/>
                <w:szCs w:val="21"/>
                <w:highlight w:val="none"/>
                <w:lang w:bidi="ar"/>
              </w:rPr>
              <w:t>包括施工综合单价（从交换机连到电脑走地板下弱电铁桥架，电脑端用六类水晶头，机柜端联配线架，走线整齐美观并做好标签）</w:t>
            </w:r>
          </w:p>
        </w:tc>
        <w:tc>
          <w:tcPr>
            <w:tcW w:w="976" w:type="dxa"/>
            <w:noWrap w:val="0"/>
            <w:vAlign w:val="center"/>
          </w:tcPr>
          <w:p w14:paraId="5162504D">
            <w:pPr>
              <w:textAlignment w:val="baseline"/>
              <w:rPr>
                <w:rFonts w:hint="eastAsia" w:ascii="宋体" w:hAnsi="宋体" w:cs="宋体"/>
                <w:color w:val="auto"/>
                <w:sz w:val="18"/>
                <w:szCs w:val="18"/>
                <w:highlight w:val="none"/>
              </w:rPr>
            </w:pPr>
          </w:p>
        </w:tc>
      </w:tr>
      <w:tr w14:paraId="612DF0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B2E5A66">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28</w:t>
            </w:r>
          </w:p>
        </w:tc>
        <w:tc>
          <w:tcPr>
            <w:tcW w:w="7219" w:type="dxa"/>
            <w:noWrap w:val="0"/>
            <w:vAlign w:val="center"/>
          </w:tcPr>
          <w:p w14:paraId="37011FE8">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网络机柜</w:t>
            </w:r>
          </w:p>
        </w:tc>
        <w:tc>
          <w:tcPr>
            <w:tcW w:w="976" w:type="dxa"/>
            <w:noWrap w:val="0"/>
            <w:vAlign w:val="center"/>
          </w:tcPr>
          <w:p w14:paraId="65025E6A">
            <w:pPr>
              <w:textAlignment w:val="baseline"/>
              <w:rPr>
                <w:rFonts w:hint="eastAsia" w:ascii="宋体" w:hAnsi="宋体" w:cs="宋体"/>
                <w:color w:val="auto"/>
                <w:sz w:val="18"/>
                <w:szCs w:val="18"/>
                <w:highlight w:val="none"/>
              </w:rPr>
            </w:pPr>
          </w:p>
        </w:tc>
      </w:tr>
      <w:tr w14:paraId="1E777D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A04B2E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28.1</w:t>
            </w:r>
          </w:p>
        </w:tc>
        <w:tc>
          <w:tcPr>
            <w:tcW w:w="7219" w:type="dxa"/>
            <w:noWrap w:val="0"/>
            <w:vAlign w:val="center"/>
          </w:tcPr>
          <w:p w14:paraId="0DD651BC">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22U</w:t>
            </w:r>
            <w:r>
              <w:rPr>
                <w:rFonts w:ascii="宋体" w:hAnsi="宋体" w:cs="宋体"/>
                <w:color w:val="auto"/>
                <w:kern w:val="0"/>
                <w:szCs w:val="21"/>
                <w:highlight w:val="none"/>
                <w:lang w:bidi="ar"/>
              </w:rPr>
              <w:t>网络机柜</w:t>
            </w:r>
            <w:r>
              <w:rPr>
                <w:rFonts w:hint="eastAsia" w:ascii="宋体" w:hAnsi="宋体" w:cs="宋体"/>
                <w:color w:val="auto"/>
                <w:kern w:val="0"/>
                <w:szCs w:val="21"/>
                <w:highlight w:val="none"/>
                <w:lang w:bidi="ar"/>
              </w:rPr>
              <w:t>；</w:t>
            </w:r>
          </w:p>
        </w:tc>
        <w:tc>
          <w:tcPr>
            <w:tcW w:w="976" w:type="dxa"/>
            <w:noWrap w:val="0"/>
            <w:vAlign w:val="center"/>
          </w:tcPr>
          <w:p w14:paraId="289BE7EC">
            <w:pPr>
              <w:textAlignment w:val="baseline"/>
              <w:rPr>
                <w:rFonts w:hint="eastAsia" w:ascii="宋体" w:hAnsi="宋体" w:cs="宋体"/>
                <w:color w:val="auto"/>
                <w:sz w:val="18"/>
                <w:szCs w:val="18"/>
                <w:highlight w:val="none"/>
              </w:rPr>
            </w:pPr>
          </w:p>
        </w:tc>
      </w:tr>
      <w:tr w14:paraId="3A4045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96219D3">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28.2</w:t>
            </w:r>
          </w:p>
        </w:tc>
        <w:tc>
          <w:tcPr>
            <w:tcW w:w="7219" w:type="dxa"/>
            <w:noWrap w:val="0"/>
            <w:vAlign w:val="center"/>
          </w:tcPr>
          <w:p w14:paraId="407BE99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尺寸≥600*800*1166mm；</w:t>
            </w:r>
          </w:p>
        </w:tc>
        <w:tc>
          <w:tcPr>
            <w:tcW w:w="976" w:type="dxa"/>
            <w:noWrap w:val="0"/>
            <w:vAlign w:val="center"/>
          </w:tcPr>
          <w:p w14:paraId="3115F3CE">
            <w:pPr>
              <w:textAlignment w:val="baseline"/>
              <w:rPr>
                <w:rFonts w:hint="eastAsia" w:ascii="宋体" w:hAnsi="宋体" w:cs="宋体"/>
                <w:color w:val="auto"/>
                <w:sz w:val="18"/>
                <w:szCs w:val="18"/>
                <w:highlight w:val="none"/>
              </w:rPr>
            </w:pPr>
          </w:p>
        </w:tc>
      </w:tr>
      <w:tr w14:paraId="66A04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915CD2">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29</w:t>
            </w:r>
          </w:p>
        </w:tc>
        <w:tc>
          <w:tcPr>
            <w:tcW w:w="7219" w:type="dxa"/>
            <w:noWrap w:val="0"/>
            <w:vAlign w:val="center"/>
          </w:tcPr>
          <w:p w14:paraId="1DCA5C09">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吸顶空调</w:t>
            </w:r>
          </w:p>
        </w:tc>
        <w:tc>
          <w:tcPr>
            <w:tcW w:w="976" w:type="dxa"/>
            <w:noWrap w:val="0"/>
            <w:vAlign w:val="center"/>
          </w:tcPr>
          <w:p w14:paraId="063302B0">
            <w:pPr>
              <w:textAlignment w:val="baseline"/>
              <w:rPr>
                <w:rFonts w:hint="eastAsia" w:ascii="宋体" w:hAnsi="宋体" w:cs="宋体"/>
                <w:color w:val="auto"/>
                <w:sz w:val="18"/>
                <w:szCs w:val="18"/>
                <w:highlight w:val="none"/>
              </w:rPr>
            </w:pPr>
          </w:p>
        </w:tc>
      </w:tr>
      <w:tr w14:paraId="5B9889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42BC4F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29.1</w:t>
            </w:r>
          </w:p>
        </w:tc>
        <w:tc>
          <w:tcPr>
            <w:tcW w:w="7219" w:type="dxa"/>
            <w:noWrap w:val="0"/>
            <w:vAlign w:val="center"/>
          </w:tcPr>
          <w:p w14:paraId="53D124FD">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一拖二；3匹吸顶式</w:t>
            </w:r>
          </w:p>
        </w:tc>
        <w:tc>
          <w:tcPr>
            <w:tcW w:w="976" w:type="dxa"/>
            <w:noWrap w:val="0"/>
            <w:vAlign w:val="center"/>
          </w:tcPr>
          <w:p w14:paraId="3A733365">
            <w:pPr>
              <w:textAlignment w:val="baseline"/>
              <w:rPr>
                <w:rFonts w:hint="eastAsia" w:ascii="宋体" w:hAnsi="宋体" w:cs="宋体"/>
                <w:color w:val="auto"/>
                <w:sz w:val="18"/>
                <w:szCs w:val="18"/>
                <w:highlight w:val="none"/>
              </w:rPr>
            </w:pPr>
          </w:p>
        </w:tc>
      </w:tr>
      <w:tr w14:paraId="369F87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E51F1BF">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30</w:t>
            </w:r>
          </w:p>
        </w:tc>
        <w:tc>
          <w:tcPr>
            <w:tcW w:w="7219" w:type="dxa"/>
            <w:noWrap w:val="0"/>
            <w:vAlign w:val="center"/>
          </w:tcPr>
          <w:p w14:paraId="57556E65">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实训室门及门禁管理系统</w:t>
            </w:r>
          </w:p>
        </w:tc>
        <w:tc>
          <w:tcPr>
            <w:tcW w:w="976" w:type="dxa"/>
            <w:noWrap w:val="0"/>
            <w:vAlign w:val="center"/>
          </w:tcPr>
          <w:p w14:paraId="3358561B">
            <w:pPr>
              <w:textAlignment w:val="baseline"/>
              <w:rPr>
                <w:rFonts w:hint="eastAsia" w:ascii="宋体" w:hAnsi="宋体" w:cs="宋体"/>
                <w:color w:val="auto"/>
                <w:sz w:val="18"/>
                <w:szCs w:val="18"/>
                <w:highlight w:val="none"/>
              </w:rPr>
            </w:pPr>
          </w:p>
        </w:tc>
      </w:tr>
      <w:tr w14:paraId="3E250E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FCCC4C6">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30.1</w:t>
            </w:r>
          </w:p>
        </w:tc>
        <w:tc>
          <w:tcPr>
            <w:tcW w:w="7219" w:type="dxa"/>
            <w:noWrap w:val="0"/>
            <w:vAlign w:val="center"/>
          </w:tcPr>
          <w:p w14:paraId="1400907E">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定制门禁系统集成校园一卡通，对接学校一卡通数据；</w:t>
            </w:r>
          </w:p>
        </w:tc>
        <w:tc>
          <w:tcPr>
            <w:tcW w:w="976" w:type="dxa"/>
            <w:noWrap w:val="0"/>
            <w:vAlign w:val="center"/>
          </w:tcPr>
          <w:p w14:paraId="7E949160">
            <w:pPr>
              <w:textAlignment w:val="baseline"/>
              <w:rPr>
                <w:rFonts w:hint="eastAsia" w:ascii="宋体" w:hAnsi="宋体" w:cs="宋体"/>
                <w:color w:val="auto"/>
                <w:sz w:val="18"/>
                <w:szCs w:val="18"/>
                <w:highlight w:val="none"/>
              </w:rPr>
            </w:pPr>
          </w:p>
        </w:tc>
      </w:tr>
      <w:tr w14:paraId="4953F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5D99EC70">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30.2</w:t>
            </w:r>
          </w:p>
        </w:tc>
        <w:tc>
          <w:tcPr>
            <w:tcW w:w="7219" w:type="dxa"/>
            <w:noWrap w:val="0"/>
            <w:vAlign w:val="center"/>
          </w:tcPr>
          <w:p w14:paraId="3E3C2119">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实时同步用户卡号、账号，教务系统，教学预约系统教用权限刷卡开门；</w:t>
            </w:r>
          </w:p>
        </w:tc>
        <w:tc>
          <w:tcPr>
            <w:tcW w:w="976" w:type="dxa"/>
            <w:noWrap w:val="0"/>
            <w:vAlign w:val="center"/>
          </w:tcPr>
          <w:p w14:paraId="5AF94C3C">
            <w:pPr>
              <w:textAlignment w:val="baseline"/>
              <w:rPr>
                <w:rFonts w:hint="eastAsia" w:ascii="宋体" w:hAnsi="宋体" w:cs="宋体"/>
                <w:color w:val="auto"/>
                <w:sz w:val="18"/>
                <w:szCs w:val="18"/>
                <w:highlight w:val="none"/>
              </w:rPr>
            </w:pPr>
          </w:p>
        </w:tc>
      </w:tr>
      <w:tr w14:paraId="6F78E0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724489F7">
            <w:pPr>
              <w:numPr>
                <w:ilvl w:val="0"/>
                <w:numId w:val="0"/>
              </w:numPr>
              <w:tabs>
                <w:tab w:val="left" w:pos="420"/>
              </w:tabs>
              <w:ind w:left="0" w:leftChars="0" w:firstLine="0"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31</w:t>
            </w:r>
          </w:p>
        </w:tc>
        <w:tc>
          <w:tcPr>
            <w:tcW w:w="7219" w:type="dxa"/>
            <w:noWrap w:val="0"/>
            <w:vAlign w:val="center"/>
          </w:tcPr>
          <w:p w14:paraId="406C1B81">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静电地板</w:t>
            </w:r>
          </w:p>
        </w:tc>
        <w:tc>
          <w:tcPr>
            <w:tcW w:w="976" w:type="dxa"/>
            <w:noWrap w:val="0"/>
            <w:vAlign w:val="center"/>
          </w:tcPr>
          <w:p w14:paraId="55FA86EF">
            <w:pPr>
              <w:textAlignment w:val="baseline"/>
              <w:rPr>
                <w:rFonts w:hint="eastAsia" w:ascii="宋体" w:hAnsi="宋体" w:cs="宋体"/>
                <w:color w:val="auto"/>
                <w:sz w:val="18"/>
                <w:szCs w:val="18"/>
                <w:highlight w:val="none"/>
              </w:rPr>
            </w:pPr>
          </w:p>
        </w:tc>
      </w:tr>
      <w:tr w14:paraId="299BEF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0AC3EAF">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31.1</w:t>
            </w:r>
          </w:p>
        </w:tc>
        <w:tc>
          <w:tcPr>
            <w:tcW w:w="7219" w:type="dxa"/>
            <w:noWrap w:val="0"/>
            <w:vAlign w:val="center"/>
          </w:tcPr>
          <w:p w14:paraId="7335AC54">
            <w:pPr>
              <w:widowControl/>
              <w:jc w:val="left"/>
              <w:textAlignment w:val="center"/>
              <w:rPr>
                <w:rFonts w:hint="eastAsia" w:ascii="宋体" w:hAnsi="宋体" w:cs="宋体"/>
                <w:b/>
                <w:bCs/>
                <w:color w:val="auto"/>
                <w:kern w:val="0"/>
                <w:szCs w:val="21"/>
                <w:highlight w:val="none"/>
                <w:lang w:bidi="ar"/>
              </w:rPr>
            </w:pPr>
            <w:r>
              <w:rPr>
                <w:rFonts w:hint="eastAsia" w:ascii="宋体" w:hAnsi="宋体" w:cs="宋体"/>
                <w:color w:val="auto"/>
                <w:kern w:val="0"/>
                <w:szCs w:val="21"/>
                <w:highlight w:val="none"/>
                <w:lang w:bidi="ar"/>
              </w:rPr>
              <w:t>陶瓷面防静电地板；</w:t>
            </w:r>
          </w:p>
        </w:tc>
        <w:tc>
          <w:tcPr>
            <w:tcW w:w="976" w:type="dxa"/>
            <w:noWrap w:val="0"/>
            <w:vAlign w:val="center"/>
          </w:tcPr>
          <w:p w14:paraId="23BB7B63">
            <w:pPr>
              <w:textAlignment w:val="baseline"/>
              <w:rPr>
                <w:rFonts w:hint="eastAsia" w:ascii="宋体" w:hAnsi="宋体" w:cs="宋体"/>
                <w:color w:val="auto"/>
                <w:sz w:val="18"/>
                <w:szCs w:val="18"/>
                <w:highlight w:val="none"/>
              </w:rPr>
            </w:pPr>
          </w:p>
        </w:tc>
      </w:tr>
      <w:tr w14:paraId="314924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3A0BD8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31.2</w:t>
            </w:r>
          </w:p>
        </w:tc>
        <w:tc>
          <w:tcPr>
            <w:tcW w:w="7219" w:type="dxa"/>
            <w:noWrap w:val="0"/>
            <w:vAlign w:val="center"/>
          </w:tcPr>
          <w:p w14:paraId="25F4876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尺寸≥600*600*40mm；</w:t>
            </w:r>
          </w:p>
        </w:tc>
        <w:tc>
          <w:tcPr>
            <w:tcW w:w="976" w:type="dxa"/>
            <w:noWrap w:val="0"/>
            <w:vAlign w:val="center"/>
          </w:tcPr>
          <w:p w14:paraId="302204AC">
            <w:pPr>
              <w:textAlignment w:val="baseline"/>
              <w:rPr>
                <w:rFonts w:hint="eastAsia" w:ascii="宋体" w:hAnsi="宋体" w:cs="宋体"/>
                <w:color w:val="auto"/>
                <w:sz w:val="18"/>
                <w:szCs w:val="18"/>
                <w:highlight w:val="none"/>
              </w:rPr>
            </w:pPr>
          </w:p>
        </w:tc>
      </w:tr>
      <w:tr w14:paraId="08DD3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2221279">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31.3</w:t>
            </w:r>
          </w:p>
        </w:tc>
        <w:tc>
          <w:tcPr>
            <w:tcW w:w="7219" w:type="dxa"/>
            <w:noWrap w:val="0"/>
            <w:vAlign w:val="center"/>
          </w:tcPr>
          <w:p w14:paraId="240B651C">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上层钢板厚度0.5MM以上，下层钢板厚度0.4MM以上，</w:t>
            </w:r>
          </w:p>
        </w:tc>
        <w:tc>
          <w:tcPr>
            <w:tcW w:w="976" w:type="dxa"/>
            <w:noWrap w:val="0"/>
            <w:vAlign w:val="center"/>
          </w:tcPr>
          <w:p w14:paraId="7663467E">
            <w:pPr>
              <w:textAlignment w:val="baseline"/>
              <w:rPr>
                <w:rFonts w:hint="eastAsia" w:ascii="宋体" w:hAnsi="宋体" w:cs="宋体"/>
                <w:color w:val="auto"/>
                <w:sz w:val="18"/>
                <w:szCs w:val="18"/>
                <w:highlight w:val="none"/>
              </w:rPr>
            </w:pPr>
          </w:p>
        </w:tc>
      </w:tr>
      <w:tr w14:paraId="04E8B8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454FBEAC">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31.4</w:t>
            </w:r>
          </w:p>
        </w:tc>
        <w:tc>
          <w:tcPr>
            <w:tcW w:w="7219" w:type="dxa"/>
            <w:noWrap w:val="0"/>
            <w:vAlign w:val="center"/>
          </w:tcPr>
          <w:p w14:paraId="2A338B46">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荷载力950KG以上；</w:t>
            </w:r>
          </w:p>
        </w:tc>
        <w:tc>
          <w:tcPr>
            <w:tcW w:w="976" w:type="dxa"/>
            <w:noWrap w:val="0"/>
            <w:vAlign w:val="center"/>
          </w:tcPr>
          <w:p w14:paraId="7BF6D7D0">
            <w:pPr>
              <w:textAlignment w:val="baseline"/>
              <w:rPr>
                <w:rFonts w:hint="eastAsia" w:ascii="宋体" w:hAnsi="宋体" w:cs="宋体"/>
                <w:color w:val="auto"/>
                <w:sz w:val="18"/>
                <w:szCs w:val="18"/>
                <w:highlight w:val="none"/>
              </w:rPr>
            </w:pPr>
          </w:p>
        </w:tc>
      </w:tr>
      <w:tr w14:paraId="658833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3393DF65">
            <w:pPr>
              <w:numPr>
                <w:ilvl w:val="1"/>
                <w:numId w:val="0"/>
              </w:numPr>
              <w:tabs>
                <w:tab w:val="left" w:pos="420"/>
              </w:tabs>
              <w:ind w:left="567" w:leftChars="0" w:hanging="567" w:firstLineChars="0"/>
              <w:jc w:val="center"/>
              <w:textAlignment w:val="baseline"/>
              <w:rPr>
                <w:rFonts w:hint="eastAsia" w:ascii="宋体" w:hAnsi="宋体" w:cs="宋体"/>
                <w:b/>
                <w:color w:val="auto"/>
                <w:sz w:val="18"/>
                <w:szCs w:val="18"/>
                <w:highlight w:val="none"/>
              </w:rPr>
            </w:pPr>
            <w:r>
              <w:rPr>
                <w:rFonts w:hint="default" w:ascii="宋体" w:hAnsi="宋体" w:eastAsia="宋体" w:cs="宋体"/>
                <w:b w:val="0"/>
                <w:bCs w:val="0"/>
                <w:color w:val="auto"/>
                <w:kern w:val="2"/>
                <w:sz w:val="18"/>
                <w:szCs w:val="18"/>
                <w:highlight w:val="none"/>
                <w:lang w:val="en-US" w:eastAsia="zh-CN" w:bidi="ar-SA"/>
              </w:rPr>
              <w:t>31.5</w:t>
            </w:r>
          </w:p>
        </w:tc>
        <w:tc>
          <w:tcPr>
            <w:tcW w:w="7219" w:type="dxa"/>
            <w:noWrap w:val="0"/>
            <w:vAlign w:val="center"/>
          </w:tcPr>
          <w:p w14:paraId="7A241318">
            <w:pPr>
              <w:widowControl/>
              <w:jc w:val="left"/>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含安装支架等必要配件</w:t>
            </w:r>
          </w:p>
        </w:tc>
        <w:tc>
          <w:tcPr>
            <w:tcW w:w="976" w:type="dxa"/>
            <w:noWrap w:val="0"/>
            <w:vAlign w:val="center"/>
          </w:tcPr>
          <w:p w14:paraId="433FB08D">
            <w:pPr>
              <w:textAlignment w:val="baseline"/>
              <w:rPr>
                <w:rFonts w:hint="eastAsia" w:ascii="宋体" w:hAnsi="宋体" w:cs="宋体"/>
                <w:color w:val="auto"/>
                <w:sz w:val="18"/>
                <w:szCs w:val="18"/>
                <w:highlight w:val="none"/>
              </w:rPr>
            </w:pPr>
          </w:p>
        </w:tc>
      </w:tr>
      <w:tr w14:paraId="160B9E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228ABE05">
            <w:pPr>
              <w:numPr>
                <w:ilvl w:val="0"/>
                <w:numId w:val="0"/>
              </w:numPr>
              <w:tabs>
                <w:tab w:val="left" w:pos="420"/>
              </w:tabs>
              <w:ind w:left="0" w:leftChars="0" w:firstLine="0" w:firstLineChars="0"/>
              <w:jc w:val="center"/>
              <w:textAlignment w:val="baseline"/>
              <w:rPr>
                <w:rFonts w:ascii="宋体" w:hAnsi="宋体" w:cs="宋体"/>
                <w:b/>
                <w:color w:val="auto"/>
                <w:sz w:val="18"/>
                <w:szCs w:val="18"/>
                <w:highlight w:val="none"/>
              </w:rPr>
            </w:pPr>
            <w:r>
              <w:rPr>
                <w:rFonts w:hint="default" w:ascii="宋体" w:hAnsi="宋体" w:eastAsia="宋体" w:cs="宋体"/>
                <w:b/>
                <w:color w:val="auto"/>
                <w:kern w:val="2"/>
                <w:sz w:val="18"/>
                <w:szCs w:val="18"/>
                <w:highlight w:val="none"/>
                <w:lang w:val="en-US" w:eastAsia="zh-CN" w:bidi="ar-SA"/>
              </w:rPr>
              <w:t>32</w:t>
            </w:r>
          </w:p>
        </w:tc>
        <w:tc>
          <w:tcPr>
            <w:tcW w:w="7219" w:type="dxa"/>
            <w:noWrap w:val="0"/>
            <w:vAlign w:val="center"/>
          </w:tcPr>
          <w:p w14:paraId="042A2065">
            <w:pPr>
              <w:widowControl/>
              <w:jc w:val="left"/>
              <w:textAlignment w:val="center"/>
              <w:rPr>
                <w:rFonts w:hint="eastAsia" w:ascii="宋体" w:hAnsi="宋体" w:cs="宋体"/>
                <w:b/>
                <w:bCs/>
                <w:color w:val="auto"/>
                <w:szCs w:val="21"/>
                <w:highlight w:val="none"/>
              </w:rPr>
            </w:pPr>
            <w:r>
              <w:rPr>
                <w:rFonts w:hint="eastAsia" w:ascii="宋体" w:hAnsi="宋体" w:cs="宋体"/>
                <w:b/>
                <w:bCs/>
                <w:color w:val="auto"/>
                <w:kern w:val="0"/>
                <w:szCs w:val="21"/>
                <w:highlight w:val="none"/>
                <w:lang w:bidi="ar"/>
              </w:rPr>
              <w:t>实验室环境改造（使用面积88平方米）</w:t>
            </w:r>
          </w:p>
        </w:tc>
        <w:tc>
          <w:tcPr>
            <w:tcW w:w="976" w:type="dxa"/>
            <w:noWrap w:val="0"/>
            <w:vAlign w:val="center"/>
          </w:tcPr>
          <w:p w14:paraId="5EF709AF">
            <w:pPr>
              <w:textAlignment w:val="baseline"/>
              <w:rPr>
                <w:rFonts w:hint="eastAsia" w:ascii="宋体" w:hAnsi="宋体" w:cs="宋体"/>
                <w:color w:val="auto"/>
                <w:sz w:val="18"/>
                <w:szCs w:val="18"/>
                <w:highlight w:val="none"/>
              </w:rPr>
            </w:pPr>
          </w:p>
        </w:tc>
      </w:tr>
      <w:tr w14:paraId="0F5EB6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62F5D292">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32.1</w:t>
            </w:r>
          </w:p>
        </w:tc>
        <w:tc>
          <w:tcPr>
            <w:tcW w:w="7219" w:type="dxa"/>
            <w:noWrap w:val="0"/>
            <w:vAlign w:val="center"/>
          </w:tcPr>
          <w:p w14:paraId="064FEB17">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包括拉电源线、插座、墙面粉刷、配件等；</w:t>
            </w:r>
          </w:p>
        </w:tc>
        <w:tc>
          <w:tcPr>
            <w:tcW w:w="976" w:type="dxa"/>
            <w:noWrap w:val="0"/>
            <w:vAlign w:val="center"/>
          </w:tcPr>
          <w:p w14:paraId="3BA9BBD1">
            <w:pPr>
              <w:textAlignment w:val="baseline"/>
              <w:rPr>
                <w:rFonts w:hint="eastAsia" w:ascii="宋体" w:hAnsi="宋体" w:cs="宋体"/>
                <w:color w:val="auto"/>
                <w:sz w:val="18"/>
                <w:szCs w:val="18"/>
                <w:highlight w:val="none"/>
              </w:rPr>
            </w:pPr>
          </w:p>
        </w:tc>
      </w:tr>
      <w:tr w14:paraId="41901C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647D4B8">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32.2</w:t>
            </w:r>
          </w:p>
        </w:tc>
        <w:tc>
          <w:tcPr>
            <w:tcW w:w="7219" w:type="dxa"/>
            <w:noWrap w:val="0"/>
            <w:vAlign w:val="center"/>
          </w:tcPr>
          <w:p w14:paraId="7EA95AAC">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吊顶：生态铝材扣板，纳米喷涂，防潮，防腐蚀，抗油污不发黄，阻燃。尺寸≥120*60CM，含轻钢龙骨加等辅材。</w:t>
            </w:r>
          </w:p>
        </w:tc>
        <w:tc>
          <w:tcPr>
            <w:tcW w:w="976" w:type="dxa"/>
            <w:noWrap w:val="0"/>
            <w:vAlign w:val="center"/>
          </w:tcPr>
          <w:p w14:paraId="5B866735">
            <w:pPr>
              <w:textAlignment w:val="baseline"/>
              <w:rPr>
                <w:rFonts w:hint="eastAsia" w:ascii="宋体" w:hAnsi="宋体" w:cs="宋体"/>
                <w:color w:val="auto"/>
                <w:sz w:val="18"/>
                <w:szCs w:val="18"/>
                <w:highlight w:val="none"/>
              </w:rPr>
            </w:pPr>
          </w:p>
        </w:tc>
      </w:tr>
      <w:tr w14:paraId="0FB78A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D833057">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32.3</w:t>
            </w:r>
          </w:p>
        </w:tc>
        <w:tc>
          <w:tcPr>
            <w:tcW w:w="7219" w:type="dxa"/>
            <w:noWrap w:val="0"/>
            <w:vAlign w:val="center"/>
          </w:tcPr>
          <w:p w14:paraId="63322D41">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60CMX60CM LED护眼灯≥12个</w:t>
            </w:r>
          </w:p>
        </w:tc>
        <w:tc>
          <w:tcPr>
            <w:tcW w:w="976" w:type="dxa"/>
            <w:noWrap w:val="0"/>
            <w:vAlign w:val="center"/>
          </w:tcPr>
          <w:p w14:paraId="564A05E6">
            <w:pPr>
              <w:textAlignment w:val="baseline"/>
              <w:rPr>
                <w:rFonts w:hint="eastAsia" w:ascii="宋体" w:hAnsi="宋体" w:cs="宋体"/>
                <w:color w:val="auto"/>
                <w:sz w:val="18"/>
                <w:szCs w:val="18"/>
                <w:highlight w:val="none"/>
              </w:rPr>
            </w:pPr>
          </w:p>
        </w:tc>
      </w:tr>
      <w:tr w14:paraId="0C271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EBB143F">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32.4</w:t>
            </w:r>
          </w:p>
        </w:tc>
        <w:tc>
          <w:tcPr>
            <w:tcW w:w="7219" w:type="dxa"/>
            <w:noWrap w:val="0"/>
            <w:vAlign w:val="center"/>
          </w:tcPr>
          <w:p w14:paraId="0958541C">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原实验室内部设备拆除及搬迁到指定位置</w:t>
            </w:r>
          </w:p>
        </w:tc>
        <w:tc>
          <w:tcPr>
            <w:tcW w:w="976" w:type="dxa"/>
            <w:noWrap w:val="0"/>
            <w:vAlign w:val="center"/>
          </w:tcPr>
          <w:p w14:paraId="17B9F962">
            <w:pPr>
              <w:textAlignment w:val="baseline"/>
              <w:rPr>
                <w:rFonts w:hint="eastAsia" w:ascii="宋体" w:hAnsi="宋体" w:cs="宋体"/>
                <w:color w:val="auto"/>
                <w:sz w:val="18"/>
                <w:szCs w:val="18"/>
                <w:highlight w:val="none"/>
              </w:rPr>
            </w:pPr>
          </w:p>
        </w:tc>
      </w:tr>
      <w:tr w14:paraId="7282DA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0B526F2F">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32.5</w:t>
            </w:r>
          </w:p>
        </w:tc>
        <w:tc>
          <w:tcPr>
            <w:tcW w:w="7219" w:type="dxa"/>
            <w:noWrap w:val="0"/>
            <w:vAlign w:val="center"/>
          </w:tcPr>
          <w:p w14:paraId="4FA7F383">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新建译员间（共2间）：每间尺寸≥宽180CM*长160CM,可根据现场需求定制；隔墙采用75系列轻钢龙骨和双面9厘石膏板双面隔墙，墙面装阻燃吸音板，墙内空隙塞吸音棉；设置双层中空玻璃观察窗2个，表面不锈钢包边；60CM*60CM LED护眼灯≥2个；静音换气扇≥2个，定制门及门套≥2套</w:t>
            </w:r>
          </w:p>
        </w:tc>
        <w:tc>
          <w:tcPr>
            <w:tcW w:w="976" w:type="dxa"/>
            <w:noWrap w:val="0"/>
            <w:vAlign w:val="center"/>
          </w:tcPr>
          <w:p w14:paraId="48FD991A">
            <w:pPr>
              <w:textAlignment w:val="baseline"/>
              <w:rPr>
                <w:rFonts w:hint="eastAsia" w:ascii="宋体" w:hAnsi="宋体" w:cs="宋体"/>
                <w:color w:val="auto"/>
                <w:sz w:val="18"/>
                <w:szCs w:val="18"/>
                <w:highlight w:val="none"/>
              </w:rPr>
            </w:pPr>
          </w:p>
        </w:tc>
      </w:tr>
      <w:tr w14:paraId="102BF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92" w:type="dxa"/>
            <w:noWrap w:val="0"/>
            <w:vAlign w:val="center"/>
          </w:tcPr>
          <w:p w14:paraId="1B1E1217">
            <w:pPr>
              <w:numPr>
                <w:ilvl w:val="1"/>
                <w:numId w:val="0"/>
              </w:numPr>
              <w:tabs>
                <w:tab w:val="left" w:pos="420"/>
              </w:tabs>
              <w:ind w:left="567" w:leftChars="0" w:hanging="567" w:firstLineChars="0"/>
              <w:jc w:val="center"/>
              <w:textAlignment w:val="baseline"/>
              <w:rPr>
                <w:rFonts w:hint="eastAsia" w:ascii="宋体" w:hAnsi="宋体" w:eastAsia="宋体" w:cs="宋体"/>
                <w:b w:val="0"/>
                <w:bCs w:val="0"/>
                <w:color w:val="auto"/>
                <w:kern w:val="2"/>
                <w:sz w:val="18"/>
                <w:szCs w:val="18"/>
                <w:highlight w:val="none"/>
                <w:lang w:val="en-US" w:eastAsia="zh-CN" w:bidi="ar-SA"/>
              </w:rPr>
            </w:pPr>
            <w:r>
              <w:rPr>
                <w:rFonts w:hint="default" w:ascii="宋体" w:hAnsi="宋体" w:eastAsia="宋体" w:cs="宋体"/>
                <w:b w:val="0"/>
                <w:bCs w:val="0"/>
                <w:color w:val="auto"/>
                <w:kern w:val="2"/>
                <w:sz w:val="18"/>
                <w:szCs w:val="18"/>
                <w:highlight w:val="none"/>
                <w:lang w:val="en-US" w:eastAsia="zh-CN" w:bidi="ar-SA"/>
              </w:rPr>
              <w:t>32.6</w:t>
            </w:r>
          </w:p>
        </w:tc>
        <w:tc>
          <w:tcPr>
            <w:tcW w:w="7219" w:type="dxa"/>
            <w:noWrap w:val="0"/>
            <w:vAlign w:val="center"/>
          </w:tcPr>
          <w:p w14:paraId="19BAB497">
            <w:pPr>
              <w:pStyle w:val="258"/>
              <w:ind w:firstLine="0" w:firstLineChars="0"/>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根据实验室建设的特点与正常运行所需辅材，在本次招标完成后不再追加联系单，由中标人添置完工。本项目为交钥匙项目。</w:t>
            </w:r>
          </w:p>
        </w:tc>
        <w:tc>
          <w:tcPr>
            <w:tcW w:w="976" w:type="dxa"/>
            <w:noWrap w:val="0"/>
            <w:vAlign w:val="center"/>
          </w:tcPr>
          <w:p w14:paraId="459AE8E3">
            <w:pPr>
              <w:textAlignment w:val="baseline"/>
              <w:rPr>
                <w:rFonts w:hint="eastAsia" w:ascii="宋体" w:hAnsi="宋体" w:cs="宋体"/>
                <w:color w:val="auto"/>
                <w:sz w:val="18"/>
                <w:szCs w:val="18"/>
                <w:highlight w:val="none"/>
              </w:rPr>
            </w:pPr>
          </w:p>
        </w:tc>
      </w:tr>
    </w:tbl>
    <w:p w14:paraId="3ADDA136">
      <w:pPr>
        <w:keepNext w:val="0"/>
        <w:keepLines w:val="0"/>
        <w:pageBreakBefore w:val="0"/>
        <w:widowControl w:val="0"/>
        <w:kinsoku/>
        <w:wordWrap/>
        <w:overflowPunct/>
        <w:topLinePunct w:val="0"/>
        <w:autoSpaceDE/>
        <w:autoSpaceDN/>
        <w:bidi w:val="0"/>
        <w:adjustRightInd w:val="0"/>
        <w:snapToGrid/>
        <w:spacing w:before="157" w:beforeLines="50" w:line="360" w:lineRule="auto"/>
        <w:jc w:val="left"/>
        <w:textAlignment w:val="auto"/>
        <w:rPr>
          <w:color w:val="auto"/>
          <w:highlight w:val="none"/>
        </w:rPr>
      </w:pPr>
      <w:r>
        <w:rPr>
          <w:rFonts w:hint="eastAsia"/>
          <w:b/>
          <w:bCs/>
          <w:color w:val="auto"/>
          <w:highlight w:val="none"/>
        </w:rPr>
        <w:t>演示内容要求</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7921"/>
      </w:tblGrid>
      <w:tr w14:paraId="2057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0333D6CE">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演示内容（1）</w:t>
            </w:r>
          </w:p>
        </w:tc>
        <w:tc>
          <w:tcPr>
            <w:tcW w:w="4264" w:type="pct"/>
            <w:noWrap w:val="0"/>
            <w:vAlign w:val="top"/>
          </w:tcPr>
          <w:p w14:paraId="21EBF096">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课堂教学功能不少于口译内容同步录音、角色互换、视频示范、视频广播、传译员通道设置变换、跟读练习、文本视译、接力传译、统一授课、分班授课、课堂提问、配对讨论、监听、监控、学生呼叫、对讲、同声翻译、分段翻译等</w:t>
            </w:r>
          </w:p>
        </w:tc>
      </w:tr>
      <w:tr w14:paraId="021FA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29C13C15">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演示内容（2）</w:t>
            </w:r>
          </w:p>
        </w:tc>
        <w:tc>
          <w:tcPr>
            <w:tcW w:w="4264" w:type="pct"/>
            <w:noWrap w:val="0"/>
            <w:vAlign w:val="top"/>
          </w:tcPr>
          <w:p w14:paraId="6F933CDF">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分组人数不受限制，可以任意人数为一组，可全班（52人或以上）为一组，声音仍然保真清晰，无啸叫杂音等现象；支持多种分组方法，例如：固定分组、随机分组、手动分组，手动分组时只需教师点击任意学生卡通图标即可完成分组</w:t>
            </w:r>
          </w:p>
        </w:tc>
      </w:tr>
      <w:tr w14:paraId="5F4BB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1B828E7C">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演示内容（3）</w:t>
            </w:r>
          </w:p>
        </w:tc>
        <w:tc>
          <w:tcPr>
            <w:tcW w:w="4264" w:type="pct"/>
            <w:noWrap w:val="0"/>
            <w:vAlign w:val="top"/>
          </w:tcPr>
          <w:p w14:paraId="3C0C4204">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系统软件支持20种语言文字操作界面，支持小语种教学；切换语种时，在语言列表中选择即可，无需重启系统软件或教师计算机；</w:t>
            </w:r>
          </w:p>
        </w:tc>
      </w:tr>
      <w:tr w14:paraId="57052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19E47665">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演示内容（4）</w:t>
            </w:r>
          </w:p>
        </w:tc>
        <w:tc>
          <w:tcPr>
            <w:tcW w:w="4264" w:type="pct"/>
            <w:noWrap w:val="0"/>
            <w:vAlign w:val="top"/>
          </w:tcPr>
          <w:p w14:paraId="19F6576D">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所有语料均经过分类加工，根据句子的长短，剪切成时长为30、60、90、120秒左右的小颗粒音频素材，双语平行语料（包括音频、文本）经过专业剪辑，实现原文音频和文本、参考译文音频和文本四点对齐；训练开始后可随时调取原文、参考译文或原译文对照文本，可进行短期记忆、跟读训练、交替传译、同声传译、视译等多种翻译教学及自主训练</w:t>
            </w:r>
          </w:p>
        </w:tc>
      </w:tr>
      <w:tr w14:paraId="265B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34E9E679">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演示内容（5）</w:t>
            </w:r>
          </w:p>
        </w:tc>
        <w:tc>
          <w:tcPr>
            <w:tcW w:w="4264" w:type="pct"/>
            <w:noWrap w:val="0"/>
            <w:vAlign w:val="top"/>
          </w:tcPr>
          <w:p w14:paraId="7D17C573">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具有笔记法书写功能（笔记符号书写，笔记页面收发功能），满足提高课堂教学效率的需要，笔记法书写功能可额外配套专业书写板使用；</w:t>
            </w:r>
          </w:p>
        </w:tc>
      </w:tr>
      <w:tr w14:paraId="1FCD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54EADC45">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演示内容（6）</w:t>
            </w:r>
          </w:p>
        </w:tc>
        <w:tc>
          <w:tcPr>
            <w:tcW w:w="4264" w:type="pct"/>
            <w:noWrap w:val="0"/>
            <w:vAlign w:val="top"/>
          </w:tcPr>
          <w:p w14:paraId="410A627C">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训练时具有多轨道录音，原音、译音既可以分开录音又可以混合录音，也可以分开选听也可以混合听录音内容，可以自由快进快退、添加干扰练习等功能</w:t>
            </w:r>
          </w:p>
        </w:tc>
      </w:tr>
      <w:tr w14:paraId="625A3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0ADFBACB">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演示内容（7）</w:t>
            </w:r>
          </w:p>
        </w:tc>
        <w:tc>
          <w:tcPr>
            <w:tcW w:w="4264" w:type="pct"/>
            <w:noWrap w:val="0"/>
            <w:vAlign w:val="top"/>
          </w:tcPr>
          <w:p w14:paraId="0A553333">
            <w:pP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系统要求B/S架构，具有：查询——提供语料按领域分类/标注类型/语料名称多种语料检索/查看方式；训练/学习——用户完成训练后的自主学习功能，提交训练记录后可查看对照原文、训练译文和参考译文及笔译技巧知识点标注（含句意反译、被动语态、特殊句型、专有名词、隐喻处理、习语处理、语序调整、词性转换等笔译技巧知识点标注类型）</w:t>
            </w:r>
          </w:p>
        </w:tc>
      </w:tr>
      <w:tr w14:paraId="7735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pct"/>
            <w:noWrap w:val="0"/>
            <w:vAlign w:val="center"/>
          </w:tcPr>
          <w:p w14:paraId="07DC9067">
            <w:pPr>
              <w:rPr>
                <w:rFonts w:hint="eastAsia"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演示内容（8）</w:t>
            </w:r>
          </w:p>
        </w:tc>
        <w:tc>
          <w:tcPr>
            <w:tcW w:w="4264" w:type="pct"/>
            <w:noWrap w:val="0"/>
            <w:vAlign w:val="top"/>
          </w:tcPr>
          <w:p w14:paraId="2A138B44">
            <w:pPr>
              <w:rPr>
                <w:rFonts w:hint="eastAsia" w:ascii="宋体" w:hAnsi="宋体" w:cs="宋体"/>
                <w:color w:val="auto"/>
                <w:kern w:val="0"/>
                <w:sz w:val="20"/>
                <w:szCs w:val="20"/>
                <w:highlight w:val="none"/>
                <w:lang w:bidi="ar"/>
              </w:rPr>
            </w:pPr>
            <w:r>
              <w:rPr>
                <w:rFonts w:hint="eastAsia" w:ascii="宋体" w:hAnsi="宋体" w:cs="宋体"/>
                <w:color w:val="auto"/>
                <w:kern w:val="0"/>
                <w:szCs w:val="21"/>
                <w:highlight w:val="none"/>
                <w:lang w:bidi="ar"/>
              </w:rPr>
              <w:t>学生根据终端机面板的数字键选择对应的译员通道，并可在液晶屏显示已选择的译员通道数字；全体学生可以用数字按钮拨打同学号码练习电话交谈或进行角色扮演，具有有播放、停止、录音、快进、快倒、举手、数字、音量调节等实体按键；采用独立按钮按键调整音量，在通话过程中教师可插话、监听；具有口译教学及实训的双轨录音，并且独立分开或同步播放源音和译音选听功能</w:t>
            </w:r>
          </w:p>
        </w:tc>
      </w:tr>
    </w:tbl>
    <w:p w14:paraId="714E03B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供应商需对第三部分采购需求</w:t>
      </w:r>
      <w:r>
        <w:rPr>
          <w:rFonts w:hint="eastAsia" w:ascii="宋体" w:hAnsi="宋体" w:cs="宋体"/>
          <w:color w:val="auto"/>
          <w:kern w:val="0"/>
          <w:szCs w:val="21"/>
          <w:highlight w:val="none"/>
          <w:lang w:val="en-US" w:eastAsia="zh-CN" w:bidi="ar"/>
        </w:rPr>
        <w:t>要求的演示内容</w:t>
      </w:r>
      <w:r>
        <w:rPr>
          <w:rFonts w:hint="eastAsia" w:ascii="宋体" w:hAnsi="宋体" w:cs="宋体"/>
          <w:color w:val="auto"/>
          <w:kern w:val="0"/>
          <w:szCs w:val="21"/>
          <w:highlight w:val="none"/>
          <w:lang w:bidi="ar"/>
        </w:rPr>
        <w:t>录制演示视频（</w:t>
      </w:r>
      <w:r>
        <w:rPr>
          <w:rFonts w:hint="eastAsia" w:ascii="宋体" w:hAnsi="宋体" w:cs="宋体"/>
          <w:color w:val="auto"/>
          <w:kern w:val="0"/>
          <w:szCs w:val="21"/>
          <w:highlight w:val="none"/>
          <w:lang w:val="en-US" w:eastAsia="zh-CN" w:bidi="ar"/>
        </w:rPr>
        <w:t>存录在</w:t>
      </w:r>
      <w:r>
        <w:rPr>
          <w:rFonts w:hint="eastAsia" w:ascii="宋体" w:hAnsi="宋体" w:cs="宋体"/>
          <w:color w:val="auto"/>
          <w:kern w:val="0"/>
          <w:szCs w:val="21"/>
          <w:highlight w:val="none"/>
          <w:lang w:bidi="ar"/>
        </w:rPr>
        <w:t>u盘），时间控制在</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5分钟内，对于超过</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5分钟后的内容，评审小组可停止播放。对是否提供方案的演示不做强制性要求，由供应商自行决定。演示文件应当单独密封包装，并在包装上标注采购项目编号、项目名称、供应商单位名称等并加盖公章</w:t>
      </w:r>
      <w:r>
        <w:rPr>
          <w:rFonts w:hint="eastAsia" w:ascii="宋体" w:hAnsi="宋体" w:cs="宋体"/>
          <w:color w:val="auto"/>
          <w:kern w:val="0"/>
          <w:szCs w:val="21"/>
          <w:highlight w:val="none"/>
          <w:lang w:val="en-US" w:eastAsia="zh-CN" w:bidi="ar"/>
        </w:rPr>
        <w:t>在</w:t>
      </w:r>
      <w:r>
        <w:rPr>
          <w:rFonts w:hint="eastAsia" w:ascii="宋体" w:hAnsi="宋体" w:cs="宋体"/>
          <w:color w:val="auto"/>
          <w:kern w:val="0"/>
          <w:szCs w:val="21"/>
          <w:highlight w:val="none"/>
          <w:lang w:bidi="ar"/>
        </w:rPr>
        <w:t>投标截止时间前以邮寄等方式送达至采购代理机构（地址：宁波市海曙区翠柏路89号工程学院西校区C栋8楼，接收人：陈彦，电话：0574-87127967），送达时间以采购代理机构工作人员实际签收时间为准。</w:t>
      </w:r>
    </w:p>
    <w:p w14:paraId="6EFA12C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jc w:val="left"/>
        <w:textAlignment w:val="auto"/>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注：因供应商自身原因导致无法演示或者演示效果不理想的，责任自负。</w:t>
      </w:r>
    </w:p>
    <w:p w14:paraId="46968EA4">
      <w:pPr>
        <w:spacing w:before="120" w:beforeLines="50" w:line="360" w:lineRule="auto"/>
        <w:outlineLvl w:val="1"/>
        <w:rPr>
          <w:rFonts w:ascii="Arial" w:hAnsi="Arial" w:cs="Arial"/>
          <w:b/>
          <w:color w:val="auto"/>
          <w:kern w:val="1"/>
          <w:szCs w:val="21"/>
          <w:highlight w:val="none"/>
        </w:rPr>
      </w:pPr>
      <w:r>
        <w:rPr>
          <w:rFonts w:hint="eastAsia" w:ascii="Arial" w:hAnsi="Arial" w:cs="Arial"/>
          <w:b/>
          <w:color w:val="auto"/>
          <w:kern w:val="1"/>
          <w:szCs w:val="21"/>
          <w:highlight w:val="none"/>
          <w:lang w:val="en-US" w:eastAsia="zh-CN"/>
        </w:rPr>
        <w:t>三</w:t>
      </w:r>
      <w:r>
        <w:rPr>
          <w:rFonts w:hint="eastAsia" w:ascii="Arial" w:hAnsi="Arial" w:cs="Arial"/>
          <w:b/>
          <w:color w:val="auto"/>
          <w:kern w:val="1"/>
          <w:szCs w:val="21"/>
          <w:highlight w:val="none"/>
        </w:rPr>
        <w:t>、</w:t>
      </w:r>
      <w:r>
        <w:rPr>
          <w:rFonts w:hint="eastAsia" w:ascii="Arial" w:hAnsi="Arial" w:cs="Arial"/>
          <w:b/>
          <w:color w:val="auto"/>
          <w:szCs w:val="28"/>
          <w:highlight w:val="none"/>
        </w:rPr>
        <w:t>商务要求（合同商务条款主要内容）</w:t>
      </w:r>
    </w:p>
    <w:p w14:paraId="53073AC9">
      <w:pPr>
        <w:spacing w:before="120" w:beforeLines="50" w:line="360" w:lineRule="auto"/>
        <w:outlineLvl w:val="1"/>
        <w:rPr>
          <w:rFonts w:ascii="Arial" w:hAnsi="Arial" w:cs="Arial"/>
          <w:bCs/>
          <w:color w:val="auto"/>
          <w:kern w:val="1"/>
          <w:szCs w:val="21"/>
          <w:highlight w:val="none"/>
        </w:rPr>
      </w:pPr>
      <w:r>
        <w:rPr>
          <w:rFonts w:ascii="Arial" w:hAnsi="Arial" w:cs="Arial"/>
          <w:color w:val="auto"/>
          <w:highlight w:val="none"/>
        </w:rPr>
        <w:t>★</w:t>
      </w:r>
      <w:r>
        <w:rPr>
          <w:rFonts w:hint="eastAsia" w:ascii="Arial" w:hAnsi="Arial" w:cs="Arial"/>
          <w:color w:val="auto"/>
          <w:highlight w:val="none"/>
        </w:rPr>
        <w:t>1、</w:t>
      </w:r>
      <w:r>
        <w:rPr>
          <w:rFonts w:ascii="Arial" w:hAnsi="Arial" w:cs="Arial"/>
          <w:b/>
          <w:bCs/>
          <w:color w:val="auto"/>
          <w:highlight w:val="none"/>
        </w:rPr>
        <w:t>商务要求：</w:t>
      </w:r>
    </w:p>
    <w:tbl>
      <w:tblPr>
        <w:tblStyle w:val="63"/>
        <w:tblW w:w="938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538"/>
        <w:gridCol w:w="7169"/>
      </w:tblGrid>
      <w:tr w14:paraId="3AF78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674" w:type="dxa"/>
            <w:vAlign w:val="center"/>
          </w:tcPr>
          <w:p w14:paraId="36A9983A">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序号</w:t>
            </w:r>
          </w:p>
        </w:tc>
        <w:tc>
          <w:tcPr>
            <w:tcW w:w="1538" w:type="dxa"/>
            <w:vAlign w:val="center"/>
          </w:tcPr>
          <w:p w14:paraId="0405B3AA">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项目</w:t>
            </w:r>
          </w:p>
        </w:tc>
        <w:tc>
          <w:tcPr>
            <w:tcW w:w="7169" w:type="dxa"/>
            <w:vAlign w:val="center"/>
          </w:tcPr>
          <w:p w14:paraId="1E240D29">
            <w:pPr>
              <w:spacing w:line="400" w:lineRule="exact"/>
              <w:jc w:val="center"/>
              <w:rPr>
                <w:rFonts w:ascii="Arial" w:hAnsi="Arial" w:cs="Arial"/>
                <w:b/>
                <w:color w:val="auto"/>
                <w:kern w:val="1"/>
                <w:szCs w:val="21"/>
                <w:highlight w:val="none"/>
              </w:rPr>
            </w:pPr>
            <w:r>
              <w:rPr>
                <w:rFonts w:ascii="Arial" w:hAnsi="Arial" w:cs="Arial"/>
                <w:b/>
                <w:color w:val="auto"/>
                <w:kern w:val="1"/>
                <w:szCs w:val="21"/>
                <w:highlight w:val="none"/>
              </w:rPr>
              <w:t>基本要求</w:t>
            </w:r>
          </w:p>
        </w:tc>
      </w:tr>
      <w:tr w14:paraId="65FD22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06C75C8B">
            <w:pPr>
              <w:spacing w:line="400" w:lineRule="exact"/>
              <w:jc w:val="center"/>
              <w:rPr>
                <w:rFonts w:ascii="Arial" w:hAnsi="Arial" w:cs="Arial"/>
                <w:color w:val="auto"/>
                <w:kern w:val="1"/>
                <w:szCs w:val="21"/>
                <w:highlight w:val="none"/>
              </w:rPr>
            </w:pPr>
            <w:r>
              <w:rPr>
                <w:rFonts w:ascii="Arial" w:hAnsi="Arial" w:cs="Arial"/>
                <w:color w:val="auto"/>
                <w:kern w:val="1"/>
                <w:szCs w:val="21"/>
                <w:highlight w:val="none"/>
              </w:rPr>
              <w:t>1</w:t>
            </w:r>
          </w:p>
        </w:tc>
        <w:tc>
          <w:tcPr>
            <w:tcW w:w="1538" w:type="dxa"/>
            <w:vAlign w:val="center"/>
          </w:tcPr>
          <w:p w14:paraId="4E9BBA42">
            <w:pPr>
              <w:spacing w:line="400" w:lineRule="exact"/>
              <w:jc w:val="center"/>
              <w:rPr>
                <w:rFonts w:ascii="Arial" w:hAnsi="Arial" w:cs="Arial"/>
                <w:color w:val="auto"/>
                <w:szCs w:val="21"/>
                <w:highlight w:val="none"/>
              </w:rPr>
            </w:pPr>
            <w:r>
              <w:rPr>
                <w:rFonts w:ascii="Arial" w:hAnsi="Arial" w:cs="Arial"/>
                <w:color w:val="auto"/>
                <w:kern w:val="1"/>
                <w:szCs w:val="21"/>
                <w:highlight w:val="none"/>
              </w:rPr>
              <w:t>产品及服务质量保证</w:t>
            </w:r>
          </w:p>
        </w:tc>
        <w:tc>
          <w:tcPr>
            <w:tcW w:w="7169" w:type="dxa"/>
            <w:vAlign w:val="center"/>
          </w:tcPr>
          <w:p w14:paraId="6981DB3C">
            <w:pPr>
              <w:spacing w:line="400" w:lineRule="exact"/>
              <w:ind w:right="34" w:rightChars="16"/>
              <w:jc w:val="left"/>
              <w:rPr>
                <w:rFonts w:ascii="Arial" w:hAnsi="Arial" w:cs="Arial"/>
                <w:color w:val="auto"/>
                <w:kern w:val="1"/>
                <w:szCs w:val="21"/>
                <w:highlight w:val="none"/>
              </w:rPr>
            </w:pPr>
            <w:r>
              <w:rPr>
                <w:rFonts w:ascii="Arial" w:hAnsi="Arial" w:cs="Arial"/>
                <w:color w:val="auto"/>
                <w:kern w:val="1"/>
                <w:szCs w:val="21"/>
                <w:highlight w:val="none"/>
              </w:rPr>
              <w:t>1）供应商保证所供应的产品及</w:t>
            </w:r>
            <w:r>
              <w:rPr>
                <w:rFonts w:ascii="Arial" w:hAnsi="Arial" w:cs="Arial"/>
                <w:color w:val="auto"/>
                <w:szCs w:val="21"/>
                <w:highlight w:val="none"/>
              </w:rPr>
              <w:t>其所有部件</w:t>
            </w:r>
            <w:r>
              <w:rPr>
                <w:rFonts w:ascii="Arial" w:hAnsi="Arial" w:cs="Arial"/>
                <w:color w:val="auto"/>
                <w:kern w:val="1"/>
                <w:szCs w:val="21"/>
                <w:highlight w:val="none"/>
              </w:rPr>
              <w:t>必须是全新合格产品</w:t>
            </w:r>
            <w:r>
              <w:rPr>
                <w:rFonts w:ascii="Arial" w:hAnsi="Arial" w:cs="Arial"/>
                <w:color w:val="auto"/>
                <w:szCs w:val="21"/>
                <w:highlight w:val="none"/>
              </w:rPr>
              <w:t>。</w:t>
            </w:r>
            <w:r>
              <w:rPr>
                <w:rFonts w:ascii="Arial" w:hAnsi="Arial" w:cs="Arial"/>
                <w:color w:val="auto"/>
                <w:kern w:val="1"/>
                <w:szCs w:val="21"/>
                <w:highlight w:val="none"/>
              </w:rPr>
              <w:t>如发生所供的产品与合同不符，采购人有权拒收或退货，由此产生的一切责任和后果由供应商承担。</w:t>
            </w:r>
          </w:p>
          <w:p w14:paraId="24BCB596">
            <w:pPr>
              <w:spacing w:line="400" w:lineRule="exact"/>
              <w:jc w:val="left"/>
              <w:rPr>
                <w:rFonts w:ascii="Arial" w:hAnsi="Arial" w:cs="Arial"/>
                <w:color w:val="auto"/>
                <w:szCs w:val="21"/>
                <w:highlight w:val="none"/>
              </w:rPr>
            </w:pPr>
            <w:r>
              <w:rPr>
                <w:rFonts w:ascii="Arial" w:hAnsi="Arial" w:cs="Arial"/>
                <w:color w:val="auto"/>
                <w:kern w:val="1"/>
                <w:szCs w:val="21"/>
                <w:highlight w:val="none"/>
              </w:rPr>
              <w:t>2）在所供应的产品交付时，供应商必须向采购人提供必备的相关资料。</w:t>
            </w:r>
          </w:p>
        </w:tc>
      </w:tr>
      <w:tr w14:paraId="79BAC4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09FB8856">
            <w:pPr>
              <w:spacing w:line="400" w:lineRule="exact"/>
              <w:jc w:val="center"/>
              <w:rPr>
                <w:rFonts w:ascii="Arial" w:hAnsi="Arial" w:cs="Arial"/>
                <w:color w:val="auto"/>
                <w:szCs w:val="21"/>
                <w:highlight w:val="none"/>
              </w:rPr>
            </w:pPr>
            <w:r>
              <w:rPr>
                <w:rFonts w:ascii="Arial" w:hAnsi="Arial" w:cs="Arial"/>
                <w:color w:val="auto"/>
                <w:szCs w:val="21"/>
                <w:highlight w:val="none"/>
              </w:rPr>
              <w:t>2</w:t>
            </w:r>
          </w:p>
        </w:tc>
        <w:tc>
          <w:tcPr>
            <w:tcW w:w="1538" w:type="dxa"/>
            <w:vAlign w:val="center"/>
          </w:tcPr>
          <w:p w14:paraId="2E02F9A0">
            <w:pPr>
              <w:spacing w:line="400" w:lineRule="exact"/>
              <w:jc w:val="center"/>
              <w:rPr>
                <w:rFonts w:ascii="Arial" w:hAnsi="Arial" w:cs="Arial"/>
                <w:color w:val="auto"/>
                <w:szCs w:val="21"/>
                <w:highlight w:val="none"/>
              </w:rPr>
            </w:pPr>
            <w:r>
              <w:rPr>
                <w:rFonts w:ascii="Arial" w:hAnsi="Arial" w:cs="Arial"/>
                <w:color w:val="auto"/>
                <w:szCs w:val="21"/>
                <w:highlight w:val="none"/>
              </w:rPr>
              <w:t>质保期</w:t>
            </w:r>
          </w:p>
        </w:tc>
        <w:tc>
          <w:tcPr>
            <w:tcW w:w="7169" w:type="dxa"/>
            <w:vAlign w:val="center"/>
          </w:tcPr>
          <w:p w14:paraId="4F638D5D">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1）自验收合格之日起提供免费质保期，</w:t>
            </w:r>
            <w:r>
              <w:rPr>
                <w:rFonts w:ascii="Arial" w:hAnsi="Arial" w:cs="Arial"/>
                <w:color w:val="auto"/>
                <w:szCs w:val="21"/>
                <w:highlight w:val="none"/>
                <w:lang w:bidi="ar"/>
              </w:rPr>
              <w:t>除本章《</w:t>
            </w:r>
            <w:r>
              <w:rPr>
                <w:rFonts w:hint="eastAsia" w:ascii="Arial" w:hAnsi="Arial" w:cs="Arial"/>
                <w:color w:val="auto"/>
                <w:szCs w:val="21"/>
                <w:highlight w:val="none"/>
                <w:lang w:bidi="ar"/>
              </w:rPr>
              <w:t>采购需求</w:t>
            </w:r>
            <w:r>
              <w:rPr>
                <w:rFonts w:ascii="Arial" w:hAnsi="Arial" w:cs="Arial"/>
                <w:color w:val="auto"/>
                <w:szCs w:val="21"/>
                <w:highlight w:val="none"/>
                <w:lang w:bidi="ar"/>
              </w:rPr>
              <w:t>》中已注明质保期的设备外，其余全部投标产品</w:t>
            </w:r>
            <w:r>
              <w:rPr>
                <w:rFonts w:ascii="Arial" w:hAnsi="Arial" w:cs="Arial"/>
                <w:color w:val="auto"/>
                <w:szCs w:val="21"/>
                <w:highlight w:val="none"/>
              </w:rPr>
              <w:t>质保期为</w:t>
            </w:r>
            <w:r>
              <w:rPr>
                <w:rFonts w:hint="eastAsia" w:ascii="Arial" w:hAnsi="Arial" w:cs="Arial"/>
                <w:color w:val="auto"/>
                <w:szCs w:val="21"/>
                <w:highlight w:val="none"/>
              </w:rPr>
              <w:t>2</w:t>
            </w:r>
            <w:r>
              <w:rPr>
                <w:rFonts w:ascii="Arial" w:hAnsi="Arial" w:cs="Arial"/>
                <w:color w:val="auto"/>
                <w:szCs w:val="21"/>
                <w:highlight w:val="none"/>
              </w:rPr>
              <w:t>年。</w:t>
            </w:r>
          </w:p>
          <w:p w14:paraId="17E5BBA9">
            <w:pPr>
              <w:spacing w:line="400" w:lineRule="atLeast"/>
              <w:ind w:right="34" w:rightChars="16"/>
              <w:jc w:val="left"/>
              <w:rPr>
                <w:rFonts w:ascii="Arial" w:hAnsi="Arial" w:cs="Arial"/>
                <w:color w:val="auto"/>
                <w:szCs w:val="21"/>
                <w:highlight w:val="none"/>
              </w:rPr>
            </w:pPr>
            <w:r>
              <w:rPr>
                <w:rFonts w:ascii="Arial" w:hAnsi="Arial" w:cs="Arial"/>
                <w:color w:val="auto"/>
                <w:szCs w:val="21"/>
                <w:highlight w:val="none"/>
              </w:rPr>
              <w:t>2）在质保期内，供应商应负责免费解决设备使用问题、调试、技术支持、维护、软件升级等。</w:t>
            </w:r>
          </w:p>
          <w:p w14:paraId="356013E9">
            <w:pPr>
              <w:spacing w:line="400" w:lineRule="exact"/>
              <w:jc w:val="left"/>
              <w:rPr>
                <w:rFonts w:ascii="Arial" w:hAnsi="Arial" w:cs="Arial"/>
                <w:color w:val="auto"/>
                <w:szCs w:val="21"/>
                <w:highlight w:val="none"/>
              </w:rPr>
            </w:pPr>
            <w:r>
              <w:rPr>
                <w:rFonts w:ascii="Arial" w:hAnsi="Arial" w:cs="Arial"/>
                <w:color w:val="auto"/>
                <w:szCs w:val="21"/>
                <w:highlight w:val="none"/>
              </w:rPr>
              <w:t>3）质保期内因产品本身缺陷造成各种故障应由供应商免费技术服务和维护。</w:t>
            </w:r>
          </w:p>
        </w:tc>
      </w:tr>
      <w:tr w14:paraId="47C1DD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4" w:hRule="atLeast"/>
          <w:jc w:val="center"/>
        </w:trPr>
        <w:tc>
          <w:tcPr>
            <w:tcW w:w="674" w:type="dxa"/>
            <w:vAlign w:val="center"/>
          </w:tcPr>
          <w:p w14:paraId="15262F23">
            <w:pPr>
              <w:spacing w:line="400" w:lineRule="exact"/>
              <w:jc w:val="center"/>
              <w:rPr>
                <w:rFonts w:ascii="Arial" w:hAnsi="Arial" w:cs="Arial"/>
                <w:color w:val="auto"/>
                <w:szCs w:val="21"/>
                <w:highlight w:val="none"/>
              </w:rPr>
            </w:pPr>
            <w:r>
              <w:rPr>
                <w:rFonts w:ascii="Arial" w:hAnsi="Arial" w:cs="Arial"/>
                <w:color w:val="auto"/>
                <w:szCs w:val="21"/>
                <w:highlight w:val="none"/>
              </w:rPr>
              <w:t>3</w:t>
            </w:r>
          </w:p>
        </w:tc>
        <w:tc>
          <w:tcPr>
            <w:tcW w:w="1538" w:type="dxa"/>
            <w:vAlign w:val="center"/>
          </w:tcPr>
          <w:p w14:paraId="71E326D7">
            <w:pPr>
              <w:spacing w:line="400" w:lineRule="exact"/>
              <w:jc w:val="center"/>
              <w:rPr>
                <w:rFonts w:ascii="Arial" w:hAnsi="Arial" w:cs="Arial"/>
                <w:color w:val="auto"/>
                <w:szCs w:val="21"/>
                <w:highlight w:val="none"/>
              </w:rPr>
            </w:pPr>
            <w:r>
              <w:rPr>
                <w:rFonts w:hint="eastAsia" w:ascii="Arial" w:hAnsi="Arial" w:cs="Arial"/>
                <w:color w:val="auto"/>
                <w:szCs w:val="21"/>
                <w:highlight w:val="none"/>
              </w:rPr>
              <w:t>交货期/</w:t>
            </w:r>
            <w:r>
              <w:rPr>
                <w:rFonts w:ascii="Arial" w:hAnsi="Arial" w:cs="Arial"/>
                <w:color w:val="auto"/>
                <w:szCs w:val="21"/>
                <w:highlight w:val="none"/>
              </w:rPr>
              <w:t>工期</w:t>
            </w:r>
          </w:p>
        </w:tc>
        <w:tc>
          <w:tcPr>
            <w:tcW w:w="7169" w:type="dxa"/>
            <w:vAlign w:val="center"/>
          </w:tcPr>
          <w:p w14:paraId="3BB226ED">
            <w:pPr>
              <w:spacing w:line="400" w:lineRule="exact"/>
              <w:jc w:val="left"/>
              <w:rPr>
                <w:rFonts w:ascii="Arial" w:hAnsi="Arial" w:cs="Arial"/>
                <w:color w:val="auto"/>
                <w:szCs w:val="21"/>
                <w:highlight w:val="none"/>
              </w:rPr>
            </w:pPr>
            <w:r>
              <w:rPr>
                <w:rFonts w:hint="eastAsia" w:ascii="Arial" w:hAnsi="Arial" w:cs="Arial"/>
                <w:color w:val="auto"/>
                <w:szCs w:val="21"/>
                <w:highlight w:val="none"/>
                <w:lang w:bidi="ar"/>
              </w:rPr>
              <w:t>自合同签订之日起30天内完成全部产品的供货，安装调试期为1周，并具备验收条件</w:t>
            </w:r>
            <w:r>
              <w:rPr>
                <w:rFonts w:ascii="Arial" w:hAnsi="Arial" w:cs="Arial"/>
                <w:snapToGrid w:val="0"/>
                <w:color w:val="auto"/>
                <w:kern w:val="0"/>
                <w:szCs w:val="21"/>
                <w:highlight w:val="none"/>
              </w:rPr>
              <w:t>。</w:t>
            </w:r>
          </w:p>
        </w:tc>
      </w:tr>
      <w:tr w14:paraId="29831A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4F5F3F65">
            <w:pPr>
              <w:spacing w:line="400" w:lineRule="exact"/>
              <w:jc w:val="center"/>
              <w:rPr>
                <w:rFonts w:ascii="Arial" w:hAnsi="Arial" w:cs="Arial"/>
                <w:color w:val="auto"/>
                <w:szCs w:val="21"/>
                <w:highlight w:val="none"/>
              </w:rPr>
            </w:pPr>
            <w:r>
              <w:rPr>
                <w:rFonts w:ascii="Arial" w:hAnsi="Arial" w:cs="Arial"/>
                <w:color w:val="auto"/>
                <w:szCs w:val="21"/>
                <w:highlight w:val="none"/>
              </w:rPr>
              <w:t>4</w:t>
            </w:r>
          </w:p>
        </w:tc>
        <w:tc>
          <w:tcPr>
            <w:tcW w:w="1538" w:type="dxa"/>
            <w:vAlign w:val="center"/>
          </w:tcPr>
          <w:p w14:paraId="4D68B25B">
            <w:pPr>
              <w:spacing w:line="400" w:lineRule="exact"/>
              <w:jc w:val="center"/>
              <w:rPr>
                <w:rFonts w:ascii="Arial" w:hAnsi="Arial" w:cs="Arial"/>
                <w:color w:val="auto"/>
                <w:szCs w:val="21"/>
                <w:highlight w:val="none"/>
              </w:rPr>
            </w:pPr>
            <w:r>
              <w:rPr>
                <w:rFonts w:ascii="Arial" w:hAnsi="Arial" w:cs="Arial"/>
                <w:color w:val="auto"/>
                <w:szCs w:val="21"/>
                <w:highlight w:val="none"/>
              </w:rPr>
              <w:t>交付地点</w:t>
            </w:r>
          </w:p>
        </w:tc>
        <w:tc>
          <w:tcPr>
            <w:tcW w:w="7169" w:type="dxa"/>
            <w:vAlign w:val="center"/>
          </w:tcPr>
          <w:p w14:paraId="335C28E4">
            <w:pPr>
              <w:spacing w:line="400" w:lineRule="exact"/>
              <w:jc w:val="left"/>
              <w:rPr>
                <w:rFonts w:ascii="Arial" w:hAnsi="Arial" w:cs="Arial"/>
                <w:color w:val="auto"/>
                <w:szCs w:val="21"/>
                <w:highlight w:val="none"/>
              </w:rPr>
            </w:pPr>
            <w:r>
              <w:rPr>
                <w:rFonts w:ascii="Arial" w:hAnsi="Arial" w:cs="Arial"/>
                <w:color w:val="auto"/>
                <w:szCs w:val="21"/>
                <w:highlight w:val="none"/>
              </w:rPr>
              <w:t>采购人指定地点。</w:t>
            </w:r>
          </w:p>
        </w:tc>
      </w:tr>
      <w:tr w14:paraId="3A9DDC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09788E29">
            <w:pPr>
              <w:spacing w:line="400" w:lineRule="exact"/>
              <w:jc w:val="center"/>
              <w:rPr>
                <w:rFonts w:ascii="Arial" w:hAnsi="Arial" w:cs="Arial"/>
                <w:color w:val="auto"/>
                <w:szCs w:val="21"/>
                <w:highlight w:val="none"/>
              </w:rPr>
            </w:pPr>
            <w:r>
              <w:rPr>
                <w:rFonts w:ascii="Arial" w:hAnsi="Arial" w:cs="Arial"/>
                <w:color w:val="auto"/>
                <w:szCs w:val="21"/>
                <w:highlight w:val="none"/>
              </w:rPr>
              <w:t>5</w:t>
            </w:r>
          </w:p>
        </w:tc>
        <w:tc>
          <w:tcPr>
            <w:tcW w:w="1538" w:type="dxa"/>
            <w:vAlign w:val="center"/>
          </w:tcPr>
          <w:p w14:paraId="3C99303A">
            <w:pPr>
              <w:spacing w:line="400" w:lineRule="exact"/>
              <w:jc w:val="center"/>
              <w:rPr>
                <w:rFonts w:ascii="Arial" w:hAnsi="Arial" w:cs="Arial"/>
                <w:color w:val="auto"/>
                <w:szCs w:val="21"/>
                <w:highlight w:val="none"/>
              </w:rPr>
            </w:pPr>
            <w:r>
              <w:rPr>
                <w:rFonts w:ascii="Arial" w:hAnsi="Arial" w:cs="Arial"/>
                <w:color w:val="auto"/>
                <w:szCs w:val="21"/>
                <w:highlight w:val="none"/>
              </w:rPr>
              <w:t>质量标准</w:t>
            </w:r>
          </w:p>
        </w:tc>
        <w:tc>
          <w:tcPr>
            <w:tcW w:w="7169" w:type="dxa"/>
            <w:vAlign w:val="center"/>
          </w:tcPr>
          <w:p w14:paraId="01308537">
            <w:pPr>
              <w:spacing w:line="400" w:lineRule="exact"/>
              <w:jc w:val="left"/>
              <w:rPr>
                <w:rFonts w:ascii="Arial" w:hAnsi="Arial" w:cs="Arial"/>
                <w:color w:val="auto"/>
                <w:szCs w:val="21"/>
                <w:highlight w:val="none"/>
              </w:rPr>
            </w:pPr>
            <w:r>
              <w:rPr>
                <w:rFonts w:ascii="Arial" w:hAnsi="Arial" w:cs="Arial"/>
                <w:color w:val="auto"/>
                <w:szCs w:val="21"/>
                <w:highlight w:val="none"/>
              </w:rPr>
              <w:t>产品质量必须执行国家相关标准、行业标准、地方标准或者其它标准、规范；</w:t>
            </w:r>
          </w:p>
          <w:p w14:paraId="4E0213C0">
            <w:pPr>
              <w:spacing w:line="400" w:lineRule="exact"/>
              <w:jc w:val="left"/>
              <w:rPr>
                <w:rFonts w:ascii="Arial" w:hAnsi="Arial" w:cs="Arial"/>
                <w:color w:val="auto"/>
                <w:szCs w:val="21"/>
                <w:highlight w:val="none"/>
              </w:rPr>
            </w:pPr>
            <w:r>
              <w:rPr>
                <w:rFonts w:ascii="Arial" w:hAnsi="Arial" w:cs="Arial"/>
                <w:color w:val="auto"/>
                <w:szCs w:val="21"/>
                <w:highlight w:val="none"/>
              </w:rPr>
              <w:t>1、具有国家标准及规范的，按最新的标准及规范执行；</w:t>
            </w:r>
          </w:p>
          <w:p w14:paraId="43CDC3A6">
            <w:pPr>
              <w:spacing w:line="400" w:lineRule="exact"/>
              <w:jc w:val="left"/>
              <w:rPr>
                <w:rFonts w:ascii="Arial" w:hAnsi="Arial" w:cs="Arial"/>
                <w:color w:val="auto"/>
                <w:szCs w:val="21"/>
                <w:highlight w:val="none"/>
              </w:rPr>
            </w:pPr>
            <w:r>
              <w:rPr>
                <w:rFonts w:ascii="Arial" w:hAnsi="Arial" w:cs="Arial"/>
                <w:color w:val="auto"/>
                <w:szCs w:val="21"/>
                <w:highlight w:val="none"/>
              </w:rPr>
              <w:t>2、具有行业标准及规范的，按最新的标准及规范执行；</w:t>
            </w:r>
          </w:p>
          <w:p w14:paraId="31F2FA93">
            <w:pPr>
              <w:spacing w:line="400" w:lineRule="exact"/>
              <w:rPr>
                <w:rFonts w:ascii="Arial" w:hAnsi="Arial" w:cs="Arial"/>
                <w:color w:val="auto"/>
                <w:szCs w:val="21"/>
                <w:highlight w:val="none"/>
              </w:rPr>
            </w:pPr>
            <w:r>
              <w:rPr>
                <w:rFonts w:ascii="Arial" w:hAnsi="Arial" w:cs="Arial"/>
                <w:color w:val="auto"/>
                <w:szCs w:val="21"/>
                <w:highlight w:val="none"/>
              </w:rPr>
              <w:t>3、具有其他标准及规范的，按照最新的标准及规范执行。</w:t>
            </w:r>
          </w:p>
        </w:tc>
      </w:tr>
      <w:tr w14:paraId="76B11B5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430D7A98">
            <w:pPr>
              <w:spacing w:line="400" w:lineRule="exact"/>
              <w:jc w:val="center"/>
              <w:rPr>
                <w:rFonts w:ascii="Arial" w:hAnsi="Arial" w:cs="Arial"/>
                <w:color w:val="auto"/>
                <w:szCs w:val="21"/>
                <w:highlight w:val="none"/>
              </w:rPr>
            </w:pPr>
            <w:r>
              <w:rPr>
                <w:rFonts w:ascii="Arial" w:hAnsi="Arial" w:cs="Arial"/>
                <w:color w:val="auto"/>
                <w:szCs w:val="21"/>
                <w:highlight w:val="none"/>
              </w:rPr>
              <w:t>6</w:t>
            </w:r>
          </w:p>
        </w:tc>
        <w:tc>
          <w:tcPr>
            <w:tcW w:w="1538" w:type="dxa"/>
            <w:vAlign w:val="center"/>
          </w:tcPr>
          <w:p w14:paraId="1A3FCB77">
            <w:pPr>
              <w:spacing w:line="400" w:lineRule="exact"/>
              <w:jc w:val="center"/>
              <w:rPr>
                <w:rFonts w:ascii="Arial" w:hAnsi="Arial" w:cs="Arial"/>
                <w:color w:val="auto"/>
                <w:szCs w:val="21"/>
                <w:highlight w:val="none"/>
              </w:rPr>
            </w:pPr>
            <w:r>
              <w:rPr>
                <w:rFonts w:ascii="Arial" w:hAnsi="Arial" w:cs="Arial"/>
                <w:color w:val="auto"/>
                <w:highlight w:val="none"/>
              </w:rPr>
              <w:t>付款方式</w:t>
            </w:r>
          </w:p>
        </w:tc>
        <w:tc>
          <w:tcPr>
            <w:tcW w:w="7169" w:type="dxa"/>
            <w:vAlign w:val="center"/>
          </w:tcPr>
          <w:p w14:paraId="71D17447">
            <w:pPr>
              <w:spacing w:line="400" w:lineRule="exact"/>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合同生效后7个工作日内支付国产设备合同价的40%；货到指定地点、安装调试完毕，经采购人验收合格且采购人收到发票后7个工作日内一次性付清国产设备剩余合同款项</w:t>
            </w:r>
            <w:r>
              <w:rPr>
                <w:rFonts w:ascii="Arial" w:hAnsi="Arial" w:cs="Arial"/>
                <w:color w:val="auto"/>
                <w:szCs w:val="21"/>
                <w:highlight w:val="none"/>
              </w:rPr>
              <w:t>；</w:t>
            </w:r>
          </w:p>
          <w:p w14:paraId="1128DEBA">
            <w:pPr>
              <w:spacing w:line="400" w:lineRule="exact"/>
              <w:rPr>
                <w:rFonts w:ascii="Arial" w:hAnsi="Arial" w:cs="Arial"/>
                <w:color w:val="auto"/>
                <w:szCs w:val="21"/>
                <w:highlight w:val="none"/>
              </w:rPr>
            </w:pPr>
            <w:r>
              <w:rPr>
                <w:rFonts w:ascii="Arial" w:hAnsi="Arial" w:cs="Arial"/>
                <w:color w:val="auto"/>
                <w:szCs w:val="21"/>
                <w:highlight w:val="none"/>
              </w:rPr>
              <w:t>2、按照采购文件的规定、中标人的投标响应、中标通知书确定的规格、数量和金额签订合同。</w:t>
            </w:r>
          </w:p>
        </w:tc>
      </w:tr>
      <w:tr w14:paraId="15D79BF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674" w:type="dxa"/>
            <w:vAlign w:val="center"/>
          </w:tcPr>
          <w:p w14:paraId="4DBCE087">
            <w:pPr>
              <w:spacing w:line="400" w:lineRule="exact"/>
              <w:jc w:val="center"/>
              <w:rPr>
                <w:rFonts w:ascii="Arial" w:hAnsi="Arial" w:cs="Arial"/>
                <w:color w:val="auto"/>
                <w:szCs w:val="21"/>
                <w:highlight w:val="none"/>
              </w:rPr>
            </w:pPr>
            <w:r>
              <w:rPr>
                <w:rFonts w:ascii="Arial" w:hAnsi="Arial" w:cs="Arial"/>
                <w:color w:val="auto"/>
                <w:szCs w:val="21"/>
                <w:highlight w:val="none"/>
              </w:rPr>
              <w:t>7</w:t>
            </w:r>
          </w:p>
        </w:tc>
        <w:tc>
          <w:tcPr>
            <w:tcW w:w="1538" w:type="dxa"/>
            <w:vAlign w:val="center"/>
          </w:tcPr>
          <w:p w14:paraId="0063B600">
            <w:pPr>
              <w:spacing w:line="400" w:lineRule="exact"/>
              <w:jc w:val="center"/>
              <w:rPr>
                <w:rFonts w:ascii="Arial" w:hAnsi="Arial" w:cs="Arial"/>
                <w:color w:val="auto"/>
                <w:kern w:val="1"/>
                <w:szCs w:val="21"/>
                <w:highlight w:val="none"/>
              </w:rPr>
            </w:pPr>
            <w:r>
              <w:rPr>
                <w:rFonts w:ascii="Arial" w:hAnsi="Arial" w:cs="Arial"/>
                <w:color w:val="auto"/>
                <w:szCs w:val="21"/>
                <w:highlight w:val="none"/>
              </w:rPr>
              <w:t>验收</w:t>
            </w:r>
          </w:p>
        </w:tc>
        <w:tc>
          <w:tcPr>
            <w:tcW w:w="7169" w:type="dxa"/>
            <w:vAlign w:val="center"/>
          </w:tcPr>
          <w:p w14:paraId="4B56F02F">
            <w:pPr>
              <w:spacing w:line="400" w:lineRule="exact"/>
              <w:jc w:val="left"/>
              <w:rPr>
                <w:rFonts w:ascii="Arial" w:hAnsi="Arial" w:cs="Arial"/>
                <w:color w:val="auto"/>
                <w:szCs w:val="21"/>
                <w:highlight w:val="none"/>
              </w:rPr>
            </w:pPr>
            <w:r>
              <w:rPr>
                <w:rFonts w:ascii="Arial" w:hAnsi="Arial" w:cs="Arial"/>
                <w:color w:val="auto"/>
                <w:szCs w:val="21"/>
                <w:highlight w:val="none"/>
              </w:rPr>
              <w:t>1）按照采购文件要求、中标人的投标文件（承诺）及签订的合同约定标准进行验收。且采购单位有组织检测机构和第三方单位参与检测验收的权利，检测及相关费由中标单位承担。</w:t>
            </w:r>
          </w:p>
          <w:p w14:paraId="4E3604CC">
            <w:pPr>
              <w:spacing w:line="400" w:lineRule="exact"/>
              <w:jc w:val="left"/>
              <w:rPr>
                <w:rFonts w:ascii="Arial" w:hAnsi="Arial" w:cs="Arial"/>
                <w:color w:val="auto"/>
                <w:szCs w:val="21"/>
                <w:highlight w:val="none"/>
              </w:rPr>
            </w:pPr>
            <w:r>
              <w:rPr>
                <w:rFonts w:ascii="Arial" w:hAnsi="Arial" w:cs="Arial"/>
                <w:color w:val="auto"/>
                <w:szCs w:val="21"/>
                <w:highlight w:val="none"/>
              </w:rPr>
              <w:t>2）验收不合格的产品，采购人可以要求供应商无条件免费更换或退货，并赔偿由此造成的采购人的损失。</w:t>
            </w:r>
          </w:p>
        </w:tc>
      </w:tr>
      <w:tr w14:paraId="67BAC0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674" w:type="dxa"/>
            <w:vAlign w:val="center"/>
          </w:tcPr>
          <w:p w14:paraId="1872583D">
            <w:pPr>
              <w:spacing w:line="400" w:lineRule="exact"/>
              <w:jc w:val="center"/>
              <w:rPr>
                <w:rFonts w:ascii="Arial" w:hAnsi="Arial" w:cs="Arial"/>
                <w:color w:val="auto"/>
                <w:szCs w:val="21"/>
                <w:highlight w:val="none"/>
              </w:rPr>
            </w:pPr>
            <w:r>
              <w:rPr>
                <w:rFonts w:ascii="Arial" w:hAnsi="Arial" w:cs="Arial"/>
                <w:color w:val="auto"/>
                <w:szCs w:val="21"/>
                <w:highlight w:val="none"/>
              </w:rPr>
              <w:t>8</w:t>
            </w:r>
          </w:p>
        </w:tc>
        <w:tc>
          <w:tcPr>
            <w:tcW w:w="1538" w:type="dxa"/>
            <w:vAlign w:val="center"/>
          </w:tcPr>
          <w:p w14:paraId="6274FD64">
            <w:pPr>
              <w:spacing w:line="400" w:lineRule="exact"/>
              <w:jc w:val="center"/>
              <w:rPr>
                <w:rFonts w:ascii="Arial" w:hAnsi="Arial" w:cs="Arial"/>
                <w:color w:val="auto"/>
                <w:szCs w:val="21"/>
                <w:highlight w:val="none"/>
              </w:rPr>
            </w:pPr>
            <w:r>
              <w:rPr>
                <w:rFonts w:ascii="Arial" w:hAnsi="Arial" w:cs="Arial"/>
                <w:color w:val="auto"/>
                <w:szCs w:val="21"/>
                <w:highlight w:val="none"/>
              </w:rPr>
              <w:t>签订合同时间</w:t>
            </w:r>
          </w:p>
        </w:tc>
        <w:tc>
          <w:tcPr>
            <w:tcW w:w="7169" w:type="dxa"/>
            <w:vAlign w:val="center"/>
          </w:tcPr>
          <w:p w14:paraId="3864F132">
            <w:pPr>
              <w:spacing w:line="400" w:lineRule="exact"/>
              <w:jc w:val="left"/>
              <w:rPr>
                <w:rFonts w:ascii="Arial" w:hAnsi="Arial" w:cs="Arial"/>
                <w:color w:val="auto"/>
                <w:szCs w:val="21"/>
                <w:highlight w:val="none"/>
              </w:rPr>
            </w:pPr>
            <w:r>
              <w:rPr>
                <w:rFonts w:ascii="Arial" w:hAnsi="Arial" w:cs="Arial"/>
                <w:color w:val="auto"/>
                <w:szCs w:val="21"/>
                <w:highlight w:val="none"/>
              </w:rPr>
              <w:t>中标通知书发出之日起30日内签订合同，具体签约时间以采购人通知为准。</w:t>
            </w:r>
          </w:p>
        </w:tc>
      </w:tr>
      <w:tr w14:paraId="1511C68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2184DCF7">
            <w:pPr>
              <w:spacing w:line="400" w:lineRule="exact"/>
              <w:jc w:val="center"/>
              <w:rPr>
                <w:rFonts w:ascii="Arial" w:hAnsi="Arial" w:cs="Arial"/>
                <w:color w:val="auto"/>
                <w:szCs w:val="21"/>
                <w:highlight w:val="none"/>
              </w:rPr>
            </w:pPr>
            <w:r>
              <w:rPr>
                <w:rFonts w:ascii="Arial" w:hAnsi="Arial" w:cs="Arial"/>
                <w:color w:val="auto"/>
                <w:szCs w:val="21"/>
                <w:highlight w:val="none"/>
              </w:rPr>
              <w:t>9</w:t>
            </w:r>
          </w:p>
        </w:tc>
        <w:tc>
          <w:tcPr>
            <w:tcW w:w="1538" w:type="dxa"/>
            <w:vAlign w:val="center"/>
          </w:tcPr>
          <w:p w14:paraId="63B395B9">
            <w:pPr>
              <w:spacing w:line="400" w:lineRule="exact"/>
              <w:jc w:val="center"/>
              <w:rPr>
                <w:rFonts w:ascii="Arial" w:hAnsi="Arial" w:cs="Arial"/>
                <w:color w:val="auto"/>
                <w:szCs w:val="21"/>
                <w:highlight w:val="none"/>
              </w:rPr>
            </w:pPr>
            <w:r>
              <w:rPr>
                <w:rFonts w:ascii="Arial" w:hAnsi="Arial" w:cs="Arial"/>
                <w:color w:val="auto"/>
                <w:szCs w:val="21"/>
                <w:highlight w:val="none"/>
              </w:rPr>
              <w:t>投标报价</w:t>
            </w:r>
          </w:p>
        </w:tc>
        <w:tc>
          <w:tcPr>
            <w:tcW w:w="7169" w:type="dxa"/>
            <w:vAlign w:val="center"/>
          </w:tcPr>
          <w:p w14:paraId="2D1773D6">
            <w:pPr>
              <w:snapToGrid w:val="0"/>
              <w:spacing w:line="400" w:lineRule="exact"/>
              <w:rPr>
                <w:rFonts w:ascii="Arial" w:hAnsi="Arial" w:cs="Arial"/>
                <w:b/>
                <w:color w:val="auto"/>
                <w:szCs w:val="21"/>
                <w:highlight w:val="none"/>
              </w:rPr>
            </w:pPr>
            <w:r>
              <w:rPr>
                <w:rFonts w:ascii="Arial" w:hAnsi="Arial" w:cs="Arial"/>
                <w:bCs/>
                <w:color w:val="auto"/>
                <w:szCs w:val="21"/>
                <w:highlight w:val="none"/>
              </w:rPr>
              <w:t>投标报价为</w:t>
            </w:r>
            <w:r>
              <w:rPr>
                <w:rFonts w:hint="eastAsia" w:ascii="Arial" w:hAnsi="Arial" w:cs="Arial"/>
                <w:bCs/>
                <w:color w:val="auto"/>
                <w:szCs w:val="21"/>
                <w:highlight w:val="none"/>
              </w:rPr>
              <w:t>供应商</w:t>
            </w:r>
            <w:r>
              <w:rPr>
                <w:rFonts w:ascii="Arial" w:hAnsi="Arial" w:cs="Arial"/>
                <w:bCs/>
                <w:color w:val="auto"/>
                <w:szCs w:val="21"/>
                <w:highlight w:val="none"/>
              </w:rPr>
              <w:t>为完成本项目，实现招标文件中规定的本项目采购内容和范围并达到相关标准所需要的全部费用（交钥匙价）。包含但不限于设备、</w:t>
            </w:r>
            <w:r>
              <w:rPr>
                <w:rFonts w:hint="eastAsia" w:ascii="Arial" w:hAnsi="Arial" w:cs="Arial"/>
                <w:bCs/>
                <w:color w:val="auto"/>
                <w:szCs w:val="21"/>
                <w:highlight w:val="none"/>
              </w:rPr>
              <w:t>施工、</w:t>
            </w:r>
            <w:r>
              <w:rPr>
                <w:rFonts w:ascii="Arial" w:hAnsi="Arial" w:cs="Arial"/>
                <w:bCs/>
                <w:color w:val="auto"/>
                <w:szCs w:val="21"/>
                <w:highlight w:val="none"/>
              </w:rPr>
              <w:t>耗材、配件</w:t>
            </w:r>
            <w:r>
              <w:rPr>
                <w:rFonts w:ascii="Arial" w:hAnsi="Arial" w:cs="Arial"/>
                <w:bCs/>
                <w:color w:val="auto"/>
                <w:kern w:val="0"/>
                <w:szCs w:val="21"/>
                <w:highlight w:val="none"/>
              </w:rPr>
              <w:t>，</w:t>
            </w:r>
            <w:r>
              <w:rPr>
                <w:rFonts w:ascii="Arial" w:hAnsi="Arial" w:cs="Arial"/>
                <w:bCs/>
                <w:color w:val="auto"/>
                <w:szCs w:val="21"/>
                <w:highlight w:val="none"/>
              </w:rPr>
              <w:t>安装，调试、</w:t>
            </w:r>
            <w:r>
              <w:rPr>
                <w:rFonts w:ascii="Arial" w:hAnsi="Arial" w:cs="Arial"/>
                <w:bCs/>
                <w:color w:val="auto"/>
                <w:highlight w:val="none"/>
              </w:rPr>
              <w:t>维护，</w:t>
            </w:r>
            <w:r>
              <w:rPr>
                <w:rFonts w:ascii="Arial" w:hAnsi="Arial" w:cs="Arial"/>
                <w:bCs/>
                <w:color w:val="auto"/>
                <w:szCs w:val="21"/>
                <w:highlight w:val="none"/>
              </w:rPr>
              <w:t>验收，人工费，税收，服务费，</w:t>
            </w:r>
            <w:r>
              <w:rPr>
                <w:rFonts w:ascii="Arial" w:hAnsi="Arial" w:cs="Arial"/>
                <w:bCs/>
                <w:color w:val="auto"/>
                <w:szCs w:val="21"/>
                <w:highlight w:val="none"/>
                <w:lang w:bidi="ar"/>
              </w:rPr>
              <w:t>售后服务以及原场地修复、搬运、组装，</w:t>
            </w:r>
            <w:r>
              <w:rPr>
                <w:rFonts w:ascii="Arial" w:hAnsi="Arial" w:cs="Arial"/>
                <w:bCs/>
                <w:color w:val="auto"/>
                <w:szCs w:val="21"/>
                <w:highlight w:val="none"/>
              </w:rPr>
              <w:t>质保期内的维护费、技术支持、培训、升级等以及可能漏项漏报的完成本项目的一切费用</w:t>
            </w:r>
            <w:r>
              <w:rPr>
                <w:rFonts w:hint="eastAsia" w:ascii="Arial" w:hAnsi="Arial" w:cs="Arial"/>
                <w:bCs/>
                <w:color w:val="auto"/>
                <w:szCs w:val="21"/>
                <w:highlight w:val="none"/>
              </w:rPr>
              <w:t>。请潜在供应商自行实地踏勘。</w:t>
            </w:r>
          </w:p>
        </w:tc>
      </w:tr>
      <w:tr w14:paraId="7C8D8FD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60084B04">
            <w:pPr>
              <w:spacing w:line="400" w:lineRule="exact"/>
              <w:jc w:val="center"/>
              <w:rPr>
                <w:rFonts w:ascii="Arial" w:hAnsi="Arial" w:cs="Arial"/>
                <w:color w:val="auto"/>
                <w:szCs w:val="21"/>
                <w:highlight w:val="none"/>
              </w:rPr>
            </w:pPr>
            <w:r>
              <w:rPr>
                <w:rFonts w:ascii="Arial" w:hAnsi="Arial" w:cs="Arial"/>
                <w:color w:val="auto"/>
                <w:szCs w:val="21"/>
                <w:highlight w:val="none"/>
              </w:rPr>
              <w:t>10</w:t>
            </w:r>
          </w:p>
        </w:tc>
        <w:tc>
          <w:tcPr>
            <w:tcW w:w="1538" w:type="dxa"/>
            <w:vAlign w:val="center"/>
          </w:tcPr>
          <w:p w14:paraId="4D5CDDD5">
            <w:pPr>
              <w:spacing w:line="400" w:lineRule="exact"/>
              <w:jc w:val="center"/>
              <w:rPr>
                <w:rFonts w:ascii="Arial" w:hAnsi="Arial" w:cs="Arial"/>
                <w:color w:val="auto"/>
                <w:szCs w:val="21"/>
                <w:highlight w:val="none"/>
              </w:rPr>
            </w:pPr>
            <w:r>
              <w:rPr>
                <w:rFonts w:ascii="Arial" w:hAnsi="Arial" w:cs="Arial"/>
                <w:color w:val="auto"/>
                <w:szCs w:val="21"/>
                <w:highlight w:val="none"/>
              </w:rPr>
              <w:t>售后服务要求</w:t>
            </w:r>
          </w:p>
        </w:tc>
        <w:tc>
          <w:tcPr>
            <w:tcW w:w="7169" w:type="dxa"/>
            <w:vAlign w:val="center"/>
          </w:tcPr>
          <w:p w14:paraId="7F440F40">
            <w:pPr>
              <w:spacing w:line="400" w:lineRule="exact"/>
              <w:ind w:right="-107" w:rightChars="-51"/>
              <w:jc w:val="left"/>
              <w:rPr>
                <w:rFonts w:ascii="Arial" w:hAnsi="Arial" w:cs="Arial"/>
                <w:color w:val="auto"/>
                <w:kern w:val="1"/>
                <w:szCs w:val="21"/>
                <w:highlight w:val="none"/>
              </w:rPr>
            </w:pPr>
            <w:r>
              <w:rPr>
                <w:rFonts w:hint="eastAsia" w:ascii="Arial" w:hAnsi="Arial" w:cs="Arial"/>
                <w:color w:val="auto"/>
                <w:szCs w:val="21"/>
                <w:highlight w:val="none"/>
                <w:lang w:bidi="ar"/>
              </w:rPr>
              <w:t>除本章《招标要求》中已注明响应及维修速度的情况外，其余情况供应商须在接到采购人维修要求电话后，1小时内响应，4小时内派技术人员赶到现场进行修复，若8小时内无法修复必须告知</w:t>
            </w:r>
            <w:r>
              <w:rPr>
                <w:rFonts w:hint="eastAsia" w:ascii="Arial" w:hAnsi="Arial" w:cs="Arial"/>
                <w:color w:val="auto"/>
                <w:szCs w:val="21"/>
                <w:highlight w:val="none"/>
                <w:lang w:val="en-US" w:eastAsia="zh-CN" w:bidi="ar"/>
              </w:rPr>
              <w:t>采购人</w:t>
            </w:r>
            <w:r>
              <w:rPr>
                <w:rFonts w:hint="eastAsia" w:ascii="Arial" w:hAnsi="Arial" w:cs="Arial"/>
                <w:color w:val="auto"/>
                <w:szCs w:val="21"/>
                <w:highlight w:val="none"/>
                <w:lang w:bidi="ar"/>
              </w:rPr>
              <w:t>修复时间。如在24小时内不能解决问题，应提供同规格的替代产品给</w:t>
            </w:r>
            <w:r>
              <w:rPr>
                <w:rFonts w:hint="eastAsia" w:ascii="Arial" w:hAnsi="Arial" w:cs="Arial"/>
                <w:color w:val="auto"/>
                <w:szCs w:val="21"/>
                <w:highlight w:val="none"/>
                <w:lang w:val="en-US" w:eastAsia="zh-CN" w:bidi="ar"/>
              </w:rPr>
              <w:t>采购人</w:t>
            </w:r>
            <w:r>
              <w:rPr>
                <w:rFonts w:hint="eastAsia" w:ascii="Arial" w:hAnsi="Arial" w:cs="Arial"/>
                <w:color w:val="auto"/>
                <w:szCs w:val="21"/>
                <w:highlight w:val="none"/>
                <w:lang w:bidi="ar"/>
              </w:rPr>
              <w:t>代用，直至故障修复。</w:t>
            </w:r>
            <w:r>
              <w:rPr>
                <w:rFonts w:hint="eastAsia" w:ascii="Arial" w:hAnsi="Arial" w:cs="Arial"/>
                <w:color w:val="auto"/>
                <w:szCs w:val="21"/>
                <w:highlight w:val="none"/>
                <w:lang w:val="en-US" w:eastAsia="zh-CN" w:bidi="ar"/>
              </w:rPr>
              <w:t>供应商</w:t>
            </w:r>
            <w:r>
              <w:rPr>
                <w:rFonts w:hint="eastAsia" w:ascii="Arial" w:hAnsi="Arial" w:cs="Arial"/>
                <w:color w:val="auto"/>
                <w:szCs w:val="21"/>
                <w:highlight w:val="none"/>
                <w:lang w:bidi="ar"/>
              </w:rPr>
              <w:t>需提供足够的备件以适应</w:t>
            </w:r>
            <w:r>
              <w:rPr>
                <w:rFonts w:hint="eastAsia" w:ascii="Arial" w:hAnsi="Arial" w:cs="Arial"/>
                <w:color w:val="auto"/>
                <w:szCs w:val="21"/>
                <w:highlight w:val="none"/>
                <w:lang w:val="en-US" w:eastAsia="zh-CN" w:bidi="ar"/>
              </w:rPr>
              <w:t>采购人</w:t>
            </w:r>
            <w:r>
              <w:rPr>
                <w:rFonts w:hint="eastAsia" w:ascii="Arial" w:hAnsi="Arial" w:cs="Arial"/>
                <w:color w:val="auto"/>
                <w:szCs w:val="21"/>
                <w:highlight w:val="none"/>
                <w:lang w:bidi="ar"/>
              </w:rPr>
              <w:t>维修需求。</w:t>
            </w:r>
          </w:p>
        </w:tc>
      </w:tr>
      <w:tr w14:paraId="0B2EEF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74" w:type="dxa"/>
            <w:vAlign w:val="center"/>
          </w:tcPr>
          <w:p w14:paraId="31D4F510">
            <w:pPr>
              <w:spacing w:line="400" w:lineRule="exact"/>
              <w:jc w:val="center"/>
              <w:rPr>
                <w:rFonts w:ascii="Arial" w:hAnsi="Arial" w:cs="Arial"/>
                <w:color w:val="auto"/>
                <w:szCs w:val="21"/>
                <w:highlight w:val="none"/>
              </w:rPr>
            </w:pPr>
            <w:r>
              <w:rPr>
                <w:rFonts w:ascii="Arial" w:hAnsi="Arial" w:cs="Arial"/>
                <w:color w:val="auto"/>
                <w:szCs w:val="21"/>
                <w:highlight w:val="none"/>
              </w:rPr>
              <w:t>1</w:t>
            </w:r>
            <w:r>
              <w:rPr>
                <w:rFonts w:hint="eastAsia" w:ascii="Arial" w:hAnsi="Arial" w:cs="Arial"/>
                <w:color w:val="auto"/>
                <w:szCs w:val="21"/>
                <w:highlight w:val="none"/>
              </w:rPr>
              <w:t>1</w:t>
            </w:r>
          </w:p>
        </w:tc>
        <w:tc>
          <w:tcPr>
            <w:tcW w:w="1538" w:type="dxa"/>
            <w:vAlign w:val="center"/>
          </w:tcPr>
          <w:p w14:paraId="28B8B05B">
            <w:pPr>
              <w:spacing w:line="400" w:lineRule="exact"/>
              <w:jc w:val="center"/>
              <w:rPr>
                <w:rFonts w:ascii="Arial" w:hAnsi="Arial" w:cs="Arial"/>
                <w:color w:val="auto"/>
                <w:szCs w:val="21"/>
                <w:highlight w:val="none"/>
              </w:rPr>
            </w:pPr>
            <w:r>
              <w:rPr>
                <w:rFonts w:ascii="Arial" w:hAnsi="Arial" w:cs="Arial"/>
                <w:color w:val="auto"/>
                <w:szCs w:val="21"/>
                <w:highlight w:val="none"/>
              </w:rPr>
              <w:t>其他</w:t>
            </w:r>
          </w:p>
        </w:tc>
        <w:tc>
          <w:tcPr>
            <w:tcW w:w="7169" w:type="dxa"/>
            <w:vAlign w:val="center"/>
          </w:tcPr>
          <w:p w14:paraId="0537845A">
            <w:pPr>
              <w:spacing w:line="400" w:lineRule="exact"/>
              <w:rPr>
                <w:rFonts w:ascii="Arial" w:hAnsi="Arial" w:cs="Arial"/>
                <w:color w:val="auto"/>
                <w:szCs w:val="21"/>
                <w:highlight w:val="none"/>
              </w:rPr>
            </w:pPr>
            <w:r>
              <w:rPr>
                <w:rFonts w:ascii="Arial" w:hAnsi="Arial" w:cs="Arial"/>
                <w:color w:val="auto"/>
                <w:szCs w:val="21"/>
                <w:highlight w:val="none"/>
              </w:rPr>
              <w:t>在采购及合同执行过程中，中标人应承担由于其行为所造成的人身伤害、财产损失或损坏的责任，无论何种原因所造成，采购人均不负责。</w:t>
            </w:r>
          </w:p>
        </w:tc>
      </w:tr>
    </w:tbl>
    <w:p w14:paraId="389C2FEC">
      <w:pPr>
        <w:ind w:firstLine="422" w:firstLineChars="200"/>
        <w:jc w:val="left"/>
        <w:rPr>
          <w:rFonts w:ascii="Arial" w:hAnsi="Arial" w:cs="Arial"/>
          <w:b/>
          <w:color w:val="auto"/>
          <w:szCs w:val="21"/>
          <w:highlight w:val="none"/>
        </w:rPr>
      </w:pPr>
      <w:bookmarkStart w:id="30" w:name="_Toc328310154"/>
    </w:p>
    <w:bookmarkEnd w:id="30"/>
    <w:p w14:paraId="16A98DDB">
      <w:pPr>
        <w:snapToGrid w:val="0"/>
        <w:spacing w:line="360" w:lineRule="auto"/>
        <w:outlineLvl w:val="1"/>
        <w:rPr>
          <w:rFonts w:ascii="Arial" w:hAnsi="Arial" w:cs="Arial"/>
          <w:b/>
          <w:color w:val="auto"/>
          <w:szCs w:val="28"/>
          <w:highlight w:val="none"/>
        </w:rPr>
      </w:pPr>
      <w:r>
        <w:rPr>
          <w:rFonts w:hint="eastAsia" w:ascii="Arial" w:hAnsi="Arial" w:cs="Arial"/>
          <w:b/>
          <w:color w:val="auto"/>
          <w:szCs w:val="28"/>
          <w:highlight w:val="none"/>
        </w:rPr>
        <w:t>三、</w:t>
      </w:r>
      <w:r>
        <w:rPr>
          <w:rFonts w:ascii="Arial" w:hAnsi="Arial" w:cs="Arial"/>
          <w:b/>
          <w:color w:val="auto"/>
          <w:szCs w:val="28"/>
          <w:highlight w:val="none"/>
        </w:rPr>
        <w:t>采购标的的其他技术、服务等要求</w:t>
      </w:r>
    </w:p>
    <w:p w14:paraId="701FB258">
      <w:pPr>
        <w:pStyle w:val="6"/>
        <w:numPr>
          <w:ilvl w:val="0"/>
          <w:numId w:val="3"/>
        </w:numPr>
        <w:snapToGrid w:val="0"/>
        <w:spacing w:line="360" w:lineRule="auto"/>
        <w:rPr>
          <w:rFonts w:ascii="Arial" w:hAnsi="Arial"/>
          <w:b/>
          <w:color w:val="auto"/>
          <w:highlight w:val="none"/>
        </w:rPr>
      </w:pPr>
      <w:r>
        <w:rPr>
          <w:rFonts w:ascii="Arial" w:hAnsi="Arial"/>
          <w:b/>
          <w:color w:val="auto"/>
          <w:highlight w:val="none"/>
        </w:rPr>
        <w:t>服务标准</w:t>
      </w:r>
    </w:p>
    <w:p w14:paraId="46031795">
      <w:pPr>
        <w:pStyle w:val="6"/>
        <w:snapToGrid w:val="0"/>
        <w:spacing w:line="360" w:lineRule="auto"/>
        <w:ind w:firstLine="457" w:firstLineChars="218"/>
        <w:rPr>
          <w:rFonts w:ascii="Arial" w:hAnsi="Arial"/>
          <w:color w:val="auto"/>
          <w:highlight w:val="none"/>
        </w:rPr>
      </w:pPr>
      <w:r>
        <w:rPr>
          <w:rFonts w:ascii="Arial" w:hAnsi="Arial"/>
          <w:color w:val="auto"/>
          <w:highlight w:val="none"/>
        </w:rPr>
        <w:t>①中标产品应由中标人所投产品制造商或中标人亲自将货物送达指定的安装地点。</w:t>
      </w:r>
    </w:p>
    <w:p w14:paraId="69A04FF6">
      <w:pPr>
        <w:pStyle w:val="6"/>
        <w:snapToGrid w:val="0"/>
        <w:spacing w:line="360" w:lineRule="auto"/>
        <w:ind w:firstLine="457" w:firstLineChars="218"/>
        <w:rPr>
          <w:rFonts w:ascii="Arial" w:hAnsi="Arial"/>
          <w:color w:val="auto"/>
          <w:highlight w:val="none"/>
        </w:rPr>
      </w:pPr>
      <w:r>
        <w:rPr>
          <w:rFonts w:ascii="Arial" w:hAnsi="Arial"/>
          <w:color w:val="auto"/>
          <w:highlight w:val="none"/>
        </w:rPr>
        <w:t>②设备调试后，按使用单位确认后的验收大纲及验收标准或相应的国家标准，采购人和中标人共同对设备进行验收，达到验收标准后，买卖双方共同签署设备验收合格证书后投入使用。</w:t>
      </w:r>
    </w:p>
    <w:p w14:paraId="58097499">
      <w:pPr>
        <w:pStyle w:val="6"/>
        <w:snapToGrid w:val="0"/>
        <w:spacing w:line="360" w:lineRule="auto"/>
        <w:ind w:firstLine="457" w:firstLineChars="218"/>
        <w:rPr>
          <w:rFonts w:ascii="Arial" w:hAnsi="Arial"/>
          <w:color w:val="auto"/>
          <w:highlight w:val="none"/>
        </w:rPr>
      </w:pPr>
      <w:r>
        <w:rPr>
          <w:rFonts w:ascii="Arial" w:hAnsi="Arial"/>
          <w:color w:val="auto"/>
          <w:highlight w:val="none"/>
        </w:rPr>
        <w:t>③中标产品到达采购人指定地点后，中标人应在收到采购人通知后七天内派合适的技术人员前往采购人完成安装调试，并现场操作培训。后期采购人需要技术和软件培训，中标人应在收到采购人通知后七天内派合适的技术人员前往采购人处进行相应的培训，期间人工、差旅等一切费用由中标人负担。</w:t>
      </w:r>
    </w:p>
    <w:p w14:paraId="5D30894B">
      <w:pPr>
        <w:pStyle w:val="6"/>
        <w:snapToGrid w:val="0"/>
        <w:spacing w:line="360" w:lineRule="auto"/>
        <w:ind w:firstLine="457" w:firstLineChars="218"/>
        <w:rPr>
          <w:rFonts w:ascii="Arial" w:hAnsi="Arial"/>
          <w:color w:val="auto"/>
          <w:highlight w:val="none"/>
        </w:rPr>
      </w:pPr>
      <w:r>
        <w:rPr>
          <w:rFonts w:ascii="Arial" w:hAnsi="Arial"/>
          <w:color w:val="auto"/>
          <w:highlight w:val="none"/>
        </w:rPr>
        <w:t>④</w:t>
      </w:r>
      <w:r>
        <w:rPr>
          <w:rFonts w:hint="eastAsia" w:ascii="Arial" w:hAnsi="Arial"/>
          <w:color w:val="auto"/>
          <w:highlight w:val="none"/>
        </w:rPr>
        <w:t>供应商</w:t>
      </w:r>
      <w:r>
        <w:rPr>
          <w:rFonts w:ascii="Arial" w:hAnsi="Arial"/>
          <w:color w:val="auto"/>
          <w:highlight w:val="none"/>
        </w:rPr>
        <w:t>应在投标文件中明确说明售后服务机构的名称、位置、备品备件配置、人员配置等情况，以保证提供及时优质的售后服务。</w:t>
      </w:r>
    </w:p>
    <w:p w14:paraId="17CF2CE7">
      <w:pPr>
        <w:pStyle w:val="6"/>
        <w:snapToGrid w:val="0"/>
        <w:spacing w:line="360" w:lineRule="auto"/>
        <w:ind w:firstLine="457" w:firstLineChars="218"/>
        <w:rPr>
          <w:rFonts w:ascii="Arial" w:hAnsi="Arial"/>
          <w:color w:val="auto"/>
          <w:highlight w:val="none"/>
        </w:rPr>
      </w:pPr>
      <w:r>
        <w:rPr>
          <w:rFonts w:ascii="Arial" w:hAnsi="Arial"/>
          <w:color w:val="auto"/>
          <w:highlight w:val="none"/>
        </w:rPr>
        <w:t>⑤保修期间维修、零件更换、校准、人工、差旅等一切费用由厂家负担。质保期后，配件和调试工具不得提价。</w:t>
      </w:r>
    </w:p>
    <w:p w14:paraId="3B1E2A47">
      <w:pPr>
        <w:pStyle w:val="6"/>
        <w:snapToGrid w:val="0"/>
        <w:spacing w:line="360" w:lineRule="auto"/>
        <w:ind w:firstLine="457" w:firstLineChars="218"/>
        <w:rPr>
          <w:rFonts w:ascii="Arial" w:hAnsi="Arial"/>
          <w:color w:val="auto"/>
          <w:highlight w:val="none"/>
        </w:rPr>
      </w:pPr>
      <w:r>
        <w:rPr>
          <w:rFonts w:ascii="Arial" w:hAnsi="Arial"/>
          <w:color w:val="auto"/>
          <w:highlight w:val="none"/>
        </w:rPr>
        <w:t>⑥</w:t>
      </w:r>
      <w:r>
        <w:rPr>
          <w:rFonts w:hint="eastAsia" w:ascii="Arial" w:hAnsi="Arial"/>
          <w:color w:val="auto"/>
          <w:highlight w:val="none"/>
        </w:rPr>
        <w:t>在质量保证期内，设备发生故障或不能生产，供应商须在接到采购人维修要求电话后，1小时内响应，4小时内派技术人员赶到现场进行修复，若8小时内无法修复必须告知采购人修复时间。如在24小时内不能解决问题，应提供同规格的替代产品给采购人代用，直至故障修复。供应商需提供足够的备件以适应采购人维修需求。</w:t>
      </w:r>
    </w:p>
    <w:p w14:paraId="44B0E681">
      <w:pPr>
        <w:pStyle w:val="6"/>
        <w:snapToGrid w:val="0"/>
        <w:spacing w:line="360" w:lineRule="auto"/>
        <w:ind w:firstLine="457" w:firstLineChars="218"/>
        <w:rPr>
          <w:rFonts w:ascii="Arial" w:hAnsi="Arial"/>
          <w:color w:val="auto"/>
          <w:highlight w:val="none"/>
        </w:rPr>
      </w:pPr>
      <w:r>
        <w:rPr>
          <w:rFonts w:ascii="Arial" w:hAnsi="Arial"/>
          <w:color w:val="auto"/>
          <w:highlight w:val="none"/>
        </w:rPr>
        <w:t>⑦免费提供两名人员外出免费的操作培训（含采购人和</w:t>
      </w:r>
      <w:r>
        <w:rPr>
          <w:rFonts w:hint="eastAsia" w:ascii="Arial" w:hAnsi="Arial"/>
          <w:color w:val="auto"/>
          <w:highlight w:val="none"/>
        </w:rPr>
        <w:t>供应商</w:t>
      </w:r>
      <w:r>
        <w:rPr>
          <w:rFonts w:ascii="Arial" w:hAnsi="Arial"/>
          <w:color w:val="auto"/>
          <w:highlight w:val="none"/>
        </w:rPr>
        <w:t>差旅费）。培训内容包括</w:t>
      </w:r>
      <w:r>
        <w:rPr>
          <w:rFonts w:hint="eastAsia" w:ascii="Arial" w:hAnsi="Arial"/>
          <w:color w:val="auto"/>
          <w:highlight w:val="none"/>
        </w:rPr>
        <w:t>设备</w:t>
      </w:r>
      <w:r>
        <w:rPr>
          <w:rFonts w:ascii="Arial" w:hAnsi="Arial"/>
          <w:color w:val="auto"/>
          <w:highlight w:val="none"/>
        </w:rPr>
        <w:t>的技术原理、操作规程、数据处理软件、基本维护等。</w:t>
      </w:r>
    </w:p>
    <w:p w14:paraId="76DC5DC7">
      <w:pPr>
        <w:pStyle w:val="6"/>
        <w:snapToGrid w:val="0"/>
        <w:spacing w:line="360" w:lineRule="auto"/>
        <w:ind w:firstLine="457" w:firstLineChars="218"/>
        <w:rPr>
          <w:rFonts w:ascii="Arial" w:hAnsi="Arial"/>
          <w:color w:val="auto"/>
          <w:highlight w:val="none"/>
        </w:rPr>
      </w:pPr>
      <w:r>
        <w:rPr>
          <w:rFonts w:ascii="Arial" w:hAnsi="Arial"/>
          <w:color w:val="auto"/>
          <w:highlight w:val="none"/>
        </w:rPr>
        <w:t>⑧软件免费升级。</w:t>
      </w:r>
    </w:p>
    <w:p w14:paraId="33C20064">
      <w:pPr>
        <w:pStyle w:val="6"/>
        <w:snapToGrid w:val="0"/>
        <w:spacing w:line="360" w:lineRule="auto"/>
        <w:ind w:firstLine="457" w:firstLineChars="218"/>
        <w:rPr>
          <w:rFonts w:ascii="Arial" w:hAnsi="Arial"/>
          <w:color w:val="auto"/>
          <w:highlight w:val="none"/>
        </w:rPr>
      </w:pPr>
      <w:r>
        <w:rPr>
          <w:rFonts w:ascii="Arial" w:hAnsi="Arial"/>
          <w:color w:val="auto"/>
          <w:highlight w:val="none"/>
        </w:rPr>
        <w:t>⑨</w:t>
      </w:r>
      <w:r>
        <w:rPr>
          <w:rFonts w:ascii="Arial" w:hAnsi="Arial"/>
          <w:color w:val="auto"/>
          <w:kern w:val="21"/>
          <w:highlight w:val="none"/>
        </w:rPr>
        <w:t>中标后提供厂方认可的保修证明，保修期后不收取任何维修、差旅费等，仅收取配件费。</w:t>
      </w:r>
    </w:p>
    <w:p w14:paraId="5280681B">
      <w:pPr>
        <w:ind w:firstLine="422" w:firstLineChars="200"/>
        <w:rPr>
          <w:rFonts w:ascii="宋体" w:hAnsi="宋体" w:cs="宋体"/>
          <w:snapToGrid w:val="0"/>
          <w:color w:val="auto"/>
          <w:kern w:val="0"/>
          <w:sz w:val="24"/>
          <w:highlight w:val="none"/>
        </w:rPr>
      </w:pPr>
      <w:r>
        <w:rPr>
          <w:rFonts w:ascii="Arial" w:hAnsi="Arial" w:cs="Arial"/>
          <w:b/>
          <w:color w:val="auto"/>
          <w:szCs w:val="21"/>
          <w:highlight w:val="none"/>
        </w:rPr>
        <w:t>期限（质保期）：</w:t>
      </w:r>
      <w:r>
        <w:rPr>
          <w:rFonts w:ascii="Arial" w:hAnsi="Arial" w:cs="Arial"/>
          <w:color w:val="auto"/>
          <w:szCs w:val="21"/>
          <w:highlight w:val="none"/>
        </w:rPr>
        <w:t>详见本章</w:t>
      </w:r>
      <w:r>
        <w:rPr>
          <w:rFonts w:ascii="Arial" w:hAnsi="Arial" w:cs="Arial"/>
          <w:b/>
          <w:bCs/>
          <w:color w:val="auto"/>
          <w:highlight w:val="none"/>
        </w:rPr>
        <w:t>商务要求</w:t>
      </w:r>
      <w:r>
        <w:rPr>
          <w:rFonts w:ascii="Arial" w:hAnsi="Arial" w:cs="Arial"/>
          <w:color w:val="auto"/>
          <w:szCs w:val="21"/>
          <w:highlight w:val="none"/>
        </w:rPr>
        <w:t>。</w:t>
      </w:r>
    </w:p>
    <w:p w14:paraId="09B878C4">
      <w:pPr>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31" w:name="_Toc184313296"/>
      <w:bookmarkEnd w:id="31"/>
      <w:bookmarkStart w:id="32" w:name="_Toc184310337"/>
      <w:bookmarkEnd w:id="32"/>
      <w:bookmarkStart w:id="33" w:name="_Toc184314461"/>
      <w:bookmarkEnd w:id="33"/>
      <w:bookmarkStart w:id="34" w:name="_Toc184313252"/>
      <w:bookmarkEnd w:id="34"/>
      <w:bookmarkStart w:id="35" w:name="_Toc184312092"/>
      <w:bookmarkEnd w:id="35"/>
      <w:bookmarkStart w:id="36" w:name="_Toc184314418"/>
      <w:bookmarkEnd w:id="36"/>
      <w:bookmarkStart w:id="37" w:name="_Toc184312069"/>
      <w:bookmarkEnd w:id="37"/>
      <w:bookmarkStart w:id="38" w:name="_Toc184312114"/>
      <w:bookmarkEnd w:id="38"/>
      <w:bookmarkStart w:id="39" w:name="_Toc184312075"/>
      <w:bookmarkEnd w:id="39"/>
      <w:bookmarkStart w:id="40" w:name="_Toc184314417"/>
      <w:bookmarkEnd w:id="40"/>
      <w:bookmarkStart w:id="41" w:name="_Toc184314439"/>
      <w:bookmarkEnd w:id="41"/>
      <w:bookmarkStart w:id="42" w:name="_Toc184313299"/>
      <w:bookmarkEnd w:id="42"/>
      <w:bookmarkStart w:id="43" w:name="_Toc184313241"/>
      <w:bookmarkEnd w:id="43"/>
      <w:bookmarkStart w:id="44" w:name="_Toc184312077"/>
      <w:bookmarkEnd w:id="44"/>
      <w:bookmarkStart w:id="45" w:name="_Toc184313263"/>
      <w:bookmarkEnd w:id="45"/>
      <w:bookmarkStart w:id="46" w:name="_Toc184310328"/>
      <w:bookmarkEnd w:id="46"/>
      <w:bookmarkStart w:id="47" w:name="_Toc184314436"/>
      <w:bookmarkEnd w:id="47"/>
      <w:bookmarkStart w:id="48" w:name="_Toc184310281"/>
      <w:bookmarkEnd w:id="48"/>
      <w:bookmarkStart w:id="49" w:name="_Toc184313272"/>
      <w:bookmarkEnd w:id="49"/>
      <w:bookmarkStart w:id="50" w:name="_Toc184312120"/>
      <w:bookmarkEnd w:id="50"/>
      <w:bookmarkStart w:id="51" w:name="_Toc184312128"/>
      <w:bookmarkEnd w:id="51"/>
      <w:bookmarkStart w:id="52" w:name="_Toc184313309"/>
      <w:bookmarkEnd w:id="52"/>
      <w:bookmarkStart w:id="53" w:name="_Toc184308044"/>
      <w:bookmarkEnd w:id="53"/>
      <w:bookmarkStart w:id="54" w:name="_Toc184310316"/>
      <w:bookmarkEnd w:id="54"/>
      <w:bookmarkStart w:id="55" w:name="_Toc184312102"/>
      <w:bookmarkEnd w:id="55"/>
      <w:bookmarkStart w:id="56" w:name="_Toc184314469"/>
      <w:bookmarkEnd w:id="56"/>
      <w:bookmarkStart w:id="57" w:name="_Toc184310332"/>
      <w:bookmarkEnd w:id="57"/>
      <w:bookmarkStart w:id="58" w:name="_Toc184310318"/>
      <w:bookmarkEnd w:id="58"/>
      <w:bookmarkStart w:id="59" w:name="_Toc184314428"/>
      <w:bookmarkEnd w:id="59"/>
      <w:bookmarkStart w:id="60" w:name="_Toc184312096"/>
      <w:bookmarkEnd w:id="60"/>
      <w:bookmarkStart w:id="61" w:name="_Toc184312068"/>
      <w:bookmarkEnd w:id="61"/>
      <w:bookmarkStart w:id="62" w:name="_Toc184308062"/>
      <w:bookmarkEnd w:id="62"/>
      <w:bookmarkStart w:id="63" w:name="_Toc184314472"/>
      <w:bookmarkEnd w:id="63"/>
      <w:bookmarkStart w:id="64" w:name="_Toc184308093"/>
      <w:bookmarkEnd w:id="64"/>
      <w:bookmarkStart w:id="65" w:name="_Toc184310338"/>
      <w:bookmarkEnd w:id="65"/>
      <w:bookmarkStart w:id="66" w:name="_Toc184310294"/>
      <w:bookmarkEnd w:id="66"/>
      <w:bookmarkStart w:id="67" w:name="_Toc184312079"/>
      <w:bookmarkEnd w:id="67"/>
      <w:bookmarkStart w:id="68" w:name="_Toc184313307"/>
      <w:bookmarkEnd w:id="68"/>
      <w:bookmarkStart w:id="69" w:name="_Toc184312108"/>
      <w:bookmarkEnd w:id="69"/>
      <w:bookmarkStart w:id="70" w:name="_Toc184312083"/>
      <w:bookmarkEnd w:id="70"/>
      <w:bookmarkStart w:id="71" w:name="_Toc184312130"/>
      <w:bookmarkEnd w:id="71"/>
      <w:bookmarkStart w:id="72" w:name="_Toc184312110"/>
      <w:bookmarkEnd w:id="72"/>
      <w:bookmarkStart w:id="73" w:name="_Toc184310330"/>
      <w:bookmarkEnd w:id="73"/>
      <w:bookmarkStart w:id="74" w:name="_Toc184310315"/>
      <w:bookmarkEnd w:id="74"/>
      <w:bookmarkStart w:id="75" w:name="_Toc184312090"/>
      <w:bookmarkEnd w:id="75"/>
      <w:bookmarkStart w:id="76" w:name="_Toc184312095"/>
      <w:bookmarkEnd w:id="76"/>
      <w:bookmarkStart w:id="77" w:name="_Toc184310341"/>
      <w:bookmarkEnd w:id="77"/>
      <w:bookmarkStart w:id="78" w:name="_Toc184308038"/>
      <w:bookmarkEnd w:id="78"/>
      <w:bookmarkStart w:id="79" w:name="_Toc184312122"/>
      <w:bookmarkEnd w:id="79"/>
      <w:bookmarkStart w:id="80" w:name="_Toc184314415"/>
      <w:bookmarkEnd w:id="80"/>
      <w:bookmarkStart w:id="81" w:name="_Toc184313253"/>
      <w:bookmarkEnd w:id="81"/>
      <w:bookmarkStart w:id="82" w:name="_Toc184308043"/>
      <w:bookmarkEnd w:id="82"/>
      <w:bookmarkStart w:id="83" w:name="_Toc184314434"/>
      <w:bookmarkEnd w:id="83"/>
      <w:bookmarkStart w:id="84" w:name="_Toc184314410"/>
      <w:bookmarkEnd w:id="84"/>
      <w:bookmarkStart w:id="85" w:name="_Toc184314481"/>
      <w:bookmarkEnd w:id="85"/>
      <w:bookmarkStart w:id="86" w:name="_Toc184308065"/>
      <w:bookmarkEnd w:id="86"/>
      <w:bookmarkStart w:id="87" w:name="_Toc184314438"/>
      <w:bookmarkEnd w:id="87"/>
      <w:bookmarkStart w:id="88" w:name="_Toc184308037"/>
      <w:bookmarkEnd w:id="88"/>
      <w:bookmarkStart w:id="89" w:name="_Toc184310272"/>
      <w:bookmarkEnd w:id="89"/>
      <w:bookmarkStart w:id="90" w:name="_Toc184310323"/>
      <w:bookmarkEnd w:id="90"/>
      <w:bookmarkStart w:id="91" w:name="_Toc184312119"/>
      <w:bookmarkEnd w:id="91"/>
      <w:bookmarkStart w:id="92" w:name="_Toc184314441"/>
      <w:bookmarkEnd w:id="92"/>
      <w:bookmarkStart w:id="93" w:name="_Toc184312111"/>
      <w:bookmarkEnd w:id="93"/>
      <w:bookmarkStart w:id="94" w:name="_Toc184308089"/>
      <w:bookmarkEnd w:id="94"/>
      <w:bookmarkStart w:id="95" w:name="_Toc184313249"/>
      <w:bookmarkEnd w:id="95"/>
      <w:bookmarkStart w:id="96" w:name="_Toc184308096"/>
      <w:bookmarkEnd w:id="96"/>
      <w:bookmarkStart w:id="97" w:name="_Toc184308082"/>
      <w:bookmarkEnd w:id="97"/>
      <w:bookmarkStart w:id="98" w:name="_Toc184314480"/>
      <w:bookmarkEnd w:id="98"/>
      <w:bookmarkStart w:id="99" w:name="_Toc184310288"/>
      <w:bookmarkEnd w:id="99"/>
      <w:bookmarkStart w:id="100" w:name="_Toc184308095"/>
      <w:bookmarkEnd w:id="100"/>
      <w:bookmarkStart w:id="101" w:name="_Toc184310278"/>
      <w:bookmarkEnd w:id="101"/>
      <w:bookmarkStart w:id="102" w:name="_Toc184310287"/>
      <w:bookmarkEnd w:id="102"/>
      <w:bookmarkStart w:id="103" w:name="_Toc184313259"/>
      <w:bookmarkEnd w:id="103"/>
      <w:bookmarkStart w:id="104" w:name="_Toc184310297"/>
      <w:bookmarkEnd w:id="104"/>
      <w:bookmarkStart w:id="105" w:name="_Toc184314463"/>
      <w:bookmarkEnd w:id="105"/>
      <w:bookmarkStart w:id="106" w:name="_Toc184314447"/>
      <w:bookmarkEnd w:id="106"/>
      <w:bookmarkStart w:id="107" w:name="_Toc184310295"/>
      <w:bookmarkEnd w:id="107"/>
      <w:bookmarkStart w:id="108" w:name="_Toc184314466"/>
      <w:bookmarkEnd w:id="108"/>
      <w:bookmarkStart w:id="109" w:name="_Toc184313289"/>
      <w:bookmarkEnd w:id="109"/>
      <w:bookmarkStart w:id="110" w:name="_Toc184313267"/>
      <w:bookmarkEnd w:id="110"/>
      <w:bookmarkStart w:id="111" w:name="_Toc184310324"/>
      <w:bookmarkEnd w:id="111"/>
      <w:bookmarkStart w:id="112" w:name="_Toc184308069"/>
      <w:bookmarkEnd w:id="112"/>
      <w:bookmarkStart w:id="113" w:name="_Toc184314458"/>
      <w:bookmarkEnd w:id="113"/>
      <w:bookmarkStart w:id="114" w:name="_Toc184308057"/>
      <w:bookmarkEnd w:id="114"/>
      <w:bookmarkStart w:id="115" w:name="_Toc184314432"/>
      <w:bookmarkEnd w:id="115"/>
      <w:bookmarkStart w:id="116" w:name="_Toc184310302"/>
      <w:bookmarkEnd w:id="116"/>
      <w:bookmarkStart w:id="117" w:name="_Toc184314431"/>
      <w:bookmarkEnd w:id="117"/>
      <w:bookmarkStart w:id="118" w:name="_Toc184314424"/>
      <w:bookmarkEnd w:id="118"/>
      <w:bookmarkStart w:id="119" w:name="_Toc184310277"/>
      <w:bookmarkEnd w:id="119"/>
      <w:bookmarkStart w:id="120" w:name="_Toc184308084"/>
      <w:bookmarkEnd w:id="120"/>
      <w:bookmarkStart w:id="121" w:name="_Toc184308094"/>
      <w:bookmarkEnd w:id="121"/>
      <w:bookmarkStart w:id="122" w:name="_Toc184314430"/>
      <w:bookmarkEnd w:id="122"/>
      <w:bookmarkStart w:id="123" w:name="_Toc184314445"/>
      <w:bookmarkEnd w:id="123"/>
      <w:bookmarkStart w:id="124" w:name="_Toc184314422"/>
      <w:bookmarkEnd w:id="124"/>
      <w:bookmarkStart w:id="125" w:name="_Toc184313243"/>
      <w:bookmarkEnd w:id="125"/>
      <w:bookmarkStart w:id="126" w:name="_Toc184313281"/>
      <w:bookmarkEnd w:id="126"/>
      <w:bookmarkStart w:id="127" w:name="_Toc184308055"/>
      <w:bookmarkEnd w:id="127"/>
      <w:bookmarkStart w:id="128" w:name="_Toc184314465"/>
      <w:bookmarkEnd w:id="128"/>
      <w:bookmarkStart w:id="129" w:name="_Toc184313300"/>
      <w:bookmarkEnd w:id="129"/>
      <w:bookmarkStart w:id="130" w:name="_Toc184313277"/>
      <w:bookmarkEnd w:id="130"/>
      <w:bookmarkStart w:id="131" w:name="_Toc184313285"/>
      <w:bookmarkEnd w:id="131"/>
      <w:bookmarkStart w:id="132" w:name="_Toc184310285"/>
      <w:bookmarkEnd w:id="132"/>
      <w:bookmarkStart w:id="133" w:name="_Toc184313290"/>
      <w:bookmarkEnd w:id="133"/>
      <w:bookmarkStart w:id="134" w:name="_Toc184310291"/>
      <w:bookmarkEnd w:id="134"/>
      <w:bookmarkStart w:id="135" w:name="_Toc184308053"/>
      <w:bookmarkEnd w:id="135"/>
      <w:bookmarkStart w:id="136" w:name="_Toc184314470"/>
      <w:bookmarkEnd w:id="136"/>
      <w:bookmarkStart w:id="137" w:name="_Toc184313303"/>
      <w:bookmarkEnd w:id="137"/>
      <w:bookmarkStart w:id="138" w:name="_Toc184314412"/>
      <w:bookmarkEnd w:id="138"/>
      <w:bookmarkStart w:id="139" w:name="_Toc184312129"/>
      <w:bookmarkEnd w:id="139"/>
      <w:bookmarkStart w:id="140" w:name="_Toc184308081"/>
      <w:bookmarkEnd w:id="140"/>
      <w:bookmarkStart w:id="141" w:name="_Toc184310292"/>
      <w:bookmarkEnd w:id="141"/>
      <w:bookmarkStart w:id="142" w:name="_Toc184308101"/>
      <w:bookmarkEnd w:id="142"/>
      <w:bookmarkStart w:id="143" w:name="_Toc184313238"/>
      <w:bookmarkEnd w:id="143"/>
      <w:bookmarkStart w:id="144" w:name="_Toc184312072"/>
      <w:bookmarkEnd w:id="144"/>
      <w:bookmarkStart w:id="145" w:name="_Toc184314426"/>
      <w:bookmarkEnd w:id="145"/>
      <w:bookmarkStart w:id="146" w:name="_Toc184313250"/>
      <w:bookmarkEnd w:id="146"/>
      <w:bookmarkStart w:id="147" w:name="_Toc184313294"/>
      <w:bookmarkEnd w:id="147"/>
      <w:bookmarkStart w:id="148" w:name="_Toc184310339"/>
      <w:bookmarkEnd w:id="148"/>
      <w:bookmarkStart w:id="149" w:name="_Toc184313273"/>
      <w:bookmarkEnd w:id="149"/>
      <w:bookmarkStart w:id="150" w:name="_Toc184314473"/>
      <w:bookmarkEnd w:id="150"/>
      <w:bookmarkStart w:id="151" w:name="_Toc184308046"/>
      <w:bookmarkEnd w:id="151"/>
      <w:bookmarkStart w:id="152" w:name="_Toc184313262"/>
      <w:bookmarkEnd w:id="152"/>
      <w:bookmarkStart w:id="153" w:name="_Toc184308060"/>
      <w:bookmarkEnd w:id="153"/>
      <w:bookmarkStart w:id="154" w:name="_Toc184314446"/>
      <w:bookmarkEnd w:id="154"/>
      <w:bookmarkStart w:id="155" w:name="_Toc184312073"/>
      <w:bookmarkEnd w:id="155"/>
      <w:bookmarkStart w:id="156" w:name="_Toc184308077"/>
      <w:bookmarkEnd w:id="156"/>
      <w:bookmarkStart w:id="157" w:name="_Toc184312106"/>
      <w:bookmarkEnd w:id="157"/>
      <w:bookmarkStart w:id="158" w:name="_Toc184313269"/>
      <w:bookmarkEnd w:id="158"/>
      <w:bookmarkStart w:id="159" w:name="_Toc184312101"/>
      <w:bookmarkEnd w:id="159"/>
      <w:bookmarkStart w:id="160" w:name="_Toc184314454"/>
      <w:bookmarkEnd w:id="160"/>
      <w:bookmarkStart w:id="161" w:name="_Toc184308063"/>
      <w:bookmarkEnd w:id="161"/>
      <w:bookmarkStart w:id="162" w:name="_Toc184310307"/>
      <w:bookmarkEnd w:id="162"/>
      <w:bookmarkStart w:id="163" w:name="_Toc184308056"/>
      <w:bookmarkEnd w:id="163"/>
      <w:bookmarkStart w:id="164" w:name="_Toc184310275"/>
      <w:bookmarkEnd w:id="164"/>
      <w:bookmarkStart w:id="165" w:name="_Toc184312137"/>
      <w:bookmarkEnd w:id="165"/>
      <w:bookmarkStart w:id="166" w:name="_Toc184312123"/>
      <w:bookmarkEnd w:id="166"/>
      <w:bookmarkStart w:id="167" w:name="_Toc184308098"/>
      <w:bookmarkEnd w:id="167"/>
      <w:bookmarkStart w:id="168" w:name="_Toc184308078"/>
      <w:bookmarkEnd w:id="168"/>
      <w:bookmarkStart w:id="169" w:name="_Toc184314443"/>
      <w:bookmarkEnd w:id="169"/>
      <w:bookmarkStart w:id="170" w:name="_Toc184308105"/>
      <w:bookmarkEnd w:id="170"/>
      <w:bookmarkStart w:id="171" w:name="_Toc184314477"/>
      <w:bookmarkEnd w:id="171"/>
      <w:bookmarkStart w:id="172" w:name="_Toc184310311"/>
      <w:bookmarkEnd w:id="172"/>
      <w:bookmarkStart w:id="173" w:name="_Toc184314456"/>
      <w:bookmarkEnd w:id="173"/>
      <w:bookmarkStart w:id="174" w:name="_Toc184312112"/>
      <w:bookmarkEnd w:id="174"/>
      <w:bookmarkStart w:id="175" w:name="_Toc184313240"/>
      <w:bookmarkEnd w:id="175"/>
      <w:bookmarkStart w:id="176" w:name="_Toc184314464"/>
      <w:bookmarkEnd w:id="176"/>
      <w:bookmarkStart w:id="177" w:name="_Toc184312080"/>
      <w:bookmarkEnd w:id="177"/>
      <w:bookmarkStart w:id="178" w:name="_Toc184310273"/>
      <w:bookmarkEnd w:id="178"/>
      <w:bookmarkStart w:id="179" w:name="_Toc184314459"/>
      <w:bookmarkEnd w:id="179"/>
      <w:bookmarkStart w:id="180" w:name="_Toc184310298"/>
      <w:bookmarkEnd w:id="180"/>
      <w:bookmarkStart w:id="181" w:name="_Toc184314435"/>
      <w:bookmarkEnd w:id="181"/>
      <w:bookmarkStart w:id="182" w:name="_Toc184308090"/>
      <w:bookmarkEnd w:id="182"/>
      <w:bookmarkStart w:id="183" w:name="_Toc184313292"/>
      <w:bookmarkEnd w:id="183"/>
      <w:bookmarkStart w:id="184" w:name="_Toc184310313"/>
      <w:bookmarkEnd w:id="184"/>
      <w:bookmarkStart w:id="185" w:name="_Toc184312118"/>
      <w:bookmarkEnd w:id="185"/>
      <w:bookmarkStart w:id="186" w:name="_Toc184313248"/>
      <w:bookmarkEnd w:id="186"/>
      <w:bookmarkStart w:id="187" w:name="_Toc184313255"/>
      <w:bookmarkEnd w:id="187"/>
      <w:bookmarkStart w:id="188" w:name="_Toc184312085"/>
      <w:bookmarkEnd w:id="188"/>
      <w:bookmarkStart w:id="189" w:name="_Toc184313295"/>
      <w:bookmarkEnd w:id="189"/>
      <w:bookmarkStart w:id="190" w:name="_Toc184313258"/>
      <w:bookmarkEnd w:id="190"/>
      <w:bookmarkStart w:id="191" w:name="_Toc184312078"/>
      <w:bookmarkEnd w:id="191"/>
      <w:bookmarkStart w:id="192" w:name="_Toc184310309"/>
      <w:bookmarkEnd w:id="192"/>
      <w:bookmarkStart w:id="193" w:name="_Toc184313264"/>
      <w:bookmarkEnd w:id="193"/>
      <w:bookmarkStart w:id="194" w:name="_Toc184308073"/>
      <w:bookmarkEnd w:id="194"/>
      <w:bookmarkStart w:id="195" w:name="_Toc184314423"/>
      <w:bookmarkEnd w:id="195"/>
      <w:bookmarkStart w:id="196" w:name="_Toc184313266"/>
      <w:bookmarkEnd w:id="196"/>
      <w:bookmarkStart w:id="197" w:name="_Toc184310293"/>
      <w:bookmarkEnd w:id="197"/>
      <w:bookmarkStart w:id="198" w:name="_Toc184313279"/>
      <w:bookmarkEnd w:id="198"/>
      <w:bookmarkStart w:id="199" w:name="_Toc184312121"/>
      <w:bookmarkEnd w:id="199"/>
      <w:bookmarkStart w:id="200" w:name="_Toc184314455"/>
      <w:bookmarkEnd w:id="200"/>
      <w:bookmarkStart w:id="201" w:name="_Toc184310301"/>
      <w:bookmarkEnd w:id="201"/>
      <w:bookmarkStart w:id="202" w:name="_Toc184313254"/>
      <w:bookmarkEnd w:id="202"/>
      <w:bookmarkStart w:id="203" w:name="_Toc184313286"/>
      <w:bookmarkEnd w:id="203"/>
      <w:bookmarkStart w:id="204" w:name="_Toc184312113"/>
      <w:bookmarkEnd w:id="204"/>
      <w:bookmarkStart w:id="205" w:name="_Toc184313260"/>
      <w:bookmarkEnd w:id="205"/>
      <w:bookmarkStart w:id="206" w:name="_Toc184314420"/>
      <w:bookmarkEnd w:id="206"/>
      <w:bookmarkStart w:id="207" w:name="_Toc184308100"/>
      <w:bookmarkEnd w:id="207"/>
      <w:bookmarkStart w:id="208" w:name="_Toc184308066"/>
      <w:bookmarkEnd w:id="208"/>
      <w:bookmarkStart w:id="209" w:name="_Toc184314475"/>
      <w:bookmarkEnd w:id="209"/>
      <w:bookmarkStart w:id="210" w:name="_Toc184314451"/>
      <w:bookmarkEnd w:id="210"/>
      <w:bookmarkStart w:id="211" w:name="_Toc184312104"/>
      <w:bookmarkEnd w:id="211"/>
      <w:bookmarkStart w:id="212" w:name="_Toc184308040"/>
      <w:bookmarkEnd w:id="212"/>
      <w:bookmarkStart w:id="213" w:name="_Toc184310283"/>
      <w:bookmarkEnd w:id="213"/>
      <w:bookmarkStart w:id="214" w:name="_Toc184308107"/>
      <w:bookmarkEnd w:id="214"/>
      <w:bookmarkStart w:id="215" w:name="_Toc184314413"/>
      <w:bookmarkEnd w:id="215"/>
      <w:bookmarkStart w:id="216" w:name="_Toc184313247"/>
      <w:bookmarkEnd w:id="216"/>
      <w:bookmarkStart w:id="217" w:name="_Toc184308050"/>
      <w:bookmarkEnd w:id="217"/>
      <w:bookmarkStart w:id="218" w:name="_Toc184308059"/>
      <w:bookmarkEnd w:id="218"/>
      <w:bookmarkStart w:id="219" w:name="_Toc184314453"/>
      <w:bookmarkEnd w:id="219"/>
      <w:bookmarkStart w:id="220" w:name="_Toc184314427"/>
      <w:bookmarkEnd w:id="220"/>
      <w:bookmarkStart w:id="221" w:name="_Toc184312093"/>
      <w:bookmarkEnd w:id="221"/>
      <w:bookmarkStart w:id="222" w:name="_Toc184314433"/>
      <w:bookmarkEnd w:id="222"/>
      <w:bookmarkStart w:id="223" w:name="_Toc184313245"/>
      <w:bookmarkEnd w:id="223"/>
      <w:bookmarkStart w:id="224" w:name="_Toc184312099"/>
      <w:bookmarkEnd w:id="224"/>
      <w:bookmarkStart w:id="225" w:name="_Toc184308071"/>
      <w:bookmarkEnd w:id="225"/>
      <w:bookmarkStart w:id="226" w:name="_Toc184310286"/>
      <w:bookmarkEnd w:id="226"/>
      <w:bookmarkStart w:id="227" w:name="_Toc184312067"/>
      <w:bookmarkEnd w:id="227"/>
      <w:bookmarkStart w:id="228" w:name="_Toc184313291"/>
      <w:bookmarkEnd w:id="228"/>
      <w:bookmarkStart w:id="229" w:name="_Toc184312131"/>
      <w:bookmarkEnd w:id="229"/>
      <w:bookmarkStart w:id="230" w:name="_Toc184310327"/>
      <w:bookmarkEnd w:id="230"/>
      <w:bookmarkStart w:id="231" w:name="_Toc184308067"/>
      <w:bookmarkEnd w:id="231"/>
      <w:bookmarkStart w:id="232" w:name="_Toc184313256"/>
      <w:bookmarkEnd w:id="232"/>
      <w:bookmarkStart w:id="233" w:name="_Toc184310340"/>
      <w:bookmarkEnd w:id="233"/>
      <w:bookmarkStart w:id="234" w:name="_Toc184314471"/>
      <w:bookmarkEnd w:id="234"/>
      <w:bookmarkStart w:id="235" w:name="_Toc184314437"/>
      <w:bookmarkEnd w:id="235"/>
      <w:bookmarkStart w:id="236" w:name="_Toc184313244"/>
      <w:bookmarkEnd w:id="236"/>
      <w:bookmarkStart w:id="237" w:name="_Toc184310334"/>
      <w:bookmarkEnd w:id="237"/>
      <w:bookmarkStart w:id="238" w:name="_Toc184312094"/>
      <w:bookmarkEnd w:id="238"/>
      <w:bookmarkStart w:id="239" w:name="_Toc184314462"/>
      <w:bookmarkEnd w:id="239"/>
      <w:bookmarkStart w:id="240" w:name="_Toc184312071"/>
      <w:bookmarkEnd w:id="240"/>
      <w:bookmarkStart w:id="241" w:name="_Toc184312124"/>
      <w:bookmarkEnd w:id="241"/>
      <w:bookmarkStart w:id="242" w:name="_Toc184312117"/>
      <w:bookmarkEnd w:id="242"/>
      <w:bookmarkStart w:id="243" w:name="_Toc184312116"/>
      <w:bookmarkEnd w:id="243"/>
      <w:bookmarkStart w:id="244" w:name="_Toc184312138"/>
      <w:bookmarkEnd w:id="244"/>
      <w:bookmarkStart w:id="245" w:name="_Toc184313268"/>
      <w:bookmarkEnd w:id="245"/>
      <w:bookmarkStart w:id="246" w:name="_Toc184308052"/>
      <w:bookmarkEnd w:id="246"/>
      <w:bookmarkStart w:id="247" w:name="_Toc184310319"/>
      <w:bookmarkEnd w:id="247"/>
      <w:bookmarkStart w:id="248" w:name="_Toc184314411"/>
      <w:bookmarkEnd w:id="248"/>
      <w:bookmarkStart w:id="249" w:name="_Toc184313288"/>
      <w:bookmarkEnd w:id="249"/>
      <w:bookmarkStart w:id="250" w:name="_Toc184310312"/>
      <w:bookmarkEnd w:id="250"/>
      <w:bookmarkStart w:id="251" w:name="_Toc184308041"/>
      <w:bookmarkEnd w:id="251"/>
      <w:bookmarkStart w:id="252" w:name="_Toc184312126"/>
      <w:bookmarkEnd w:id="252"/>
      <w:bookmarkStart w:id="253" w:name="_Toc184313304"/>
      <w:bookmarkEnd w:id="253"/>
      <w:bookmarkStart w:id="254" w:name="_Toc184310343"/>
      <w:bookmarkEnd w:id="254"/>
      <w:bookmarkStart w:id="255" w:name="_Toc184308080"/>
      <w:bookmarkEnd w:id="255"/>
      <w:bookmarkStart w:id="256" w:name="_Toc184313287"/>
      <w:bookmarkEnd w:id="256"/>
      <w:bookmarkStart w:id="257" w:name="_Toc184310322"/>
      <w:bookmarkEnd w:id="257"/>
      <w:bookmarkStart w:id="258" w:name="_Toc184308083"/>
      <w:bookmarkEnd w:id="258"/>
      <w:bookmarkStart w:id="259" w:name="_Toc184312081"/>
      <w:bookmarkEnd w:id="259"/>
      <w:bookmarkStart w:id="260" w:name="_Toc184312103"/>
      <w:bookmarkEnd w:id="260"/>
      <w:bookmarkStart w:id="261" w:name="_Toc184314429"/>
      <w:bookmarkEnd w:id="261"/>
      <w:bookmarkStart w:id="262" w:name="_Toc184312135"/>
      <w:bookmarkEnd w:id="262"/>
      <w:bookmarkStart w:id="263" w:name="_Toc184314416"/>
      <w:bookmarkEnd w:id="263"/>
      <w:bookmarkStart w:id="264" w:name="_Toc184308070"/>
      <w:bookmarkEnd w:id="264"/>
      <w:bookmarkStart w:id="265" w:name="_Toc184308042"/>
      <w:bookmarkEnd w:id="265"/>
      <w:bookmarkStart w:id="266" w:name="_Toc184310306"/>
      <w:bookmarkEnd w:id="266"/>
      <w:bookmarkStart w:id="267" w:name="_Toc184310314"/>
      <w:bookmarkEnd w:id="267"/>
      <w:bookmarkStart w:id="268" w:name="_Toc184313301"/>
      <w:bookmarkEnd w:id="268"/>
      <w:bookmarkStart w:id="269" w:name="_Toc184313306"/>
      <w:bookmarkEnd w:id="269"/>
      <w:bookmarkStart w:id="270" w:name="_Toc184310333"/>
      <w:bookmarkEnd w:id="270"/>
      <w:bookmarkStart w:id="271" w:name="_Toc184310342"/>
      <w:bookmarkEnd w:id="271"/>
      <w:bookmarkStart w:id="272" w:name="_Toc184314449"/>
      <w:bookmarkEnd w:id="272"/>
      <w:bookmarkStart w:id="273" w:name="_Toc184308108"/>
      <w:bookmarkEnd w:id="273"/>
      <w:bookmarkStart w:id="274" w:name="_Toc184308106"/>
      <w:bookmarkEnd w:id="274"/>
      <w:bookmarkStart w:id="275" w:name="_Toc184312109"/>
      <w:bookmarkEnd w:id="275"/>
      <w:bookmarkStart w:id="276" w:name="_Toc184314479"/>
      <w:bookmarkEnd w:id="276"/>
      <w:bookmarkStart w:id="277" w:name="_Toc184308074"/>
      <w:bookmarkEnd w:id="277"/>
      <w:bookmarkStart w:id="278" w:name="_Toc184310321"/>
      <w:bookmarkEnd w:id="278"/>
      <w:bookmarkStart w:id="279" w:name="_Toc184308054"/>
      <w:bookmarkEnd w:id="279"/>
      <w:bookmarkStart w:id="280" w:name="_Toc184314482"/>
      <w:bookmarkEnd w:id="280"/>
      <w:bookmarkStart w:id="281" w:name="_Toc184313242"/>
      <w:bookmarkEnd w:id="281"/>
      <w:bookmarkStart w:id="282" w:name="_Toc184313297"/>
      <w:bookmarkEnd w:id="282"/>
      <w:bookmarkStart w:id="283" w:name="_Toc184308085"/>
      <w:bookmarkEnd w:id="283"/>
      <w:bookmarkStart w:id="284" w:name="_Toc184313305"/>
      <w:bookmarkEnd w:id="284"/>
      <w:bookmarkStart w:id="285" w:name="_Toc184310317"/>
      <w:bookmarkEnd w:id="285"/>
      <w:bookmarkStart w:id="286" w:name="_Toc184310304"/>
      <w:bookmarkEnd w:id="286"/>
      <w:bookmarkStart w:id="287" w:name="_Toc184312089"/>
      <w:bookmarkEnd w:id="287"/>
      <w:bookmarkStart w:id="288" w:name="_Toc184308087"/>
      <w:bookmarkEnd w:id="288"/>
      <w:bookmarkStart w:id="289" w:name="_Toc184310274"/>
      <w:bookmarkEnd w:id="289"/>
      <w:bookmarkStart w:id="290" w:name="_Toc184308039"/>
      <w:bookmarkEnd w:id="290"/>
      <w:bookmarkStart w:id="291" w:name="_Toc184314476"/>
      <w:bookmarkEnd w:id="291"/>
      <w:bookmarkStart w:id="292" w:name="_Toc184314452"/>
      <w:bookmarkEnd w:id="292"/>
      <w:bookmarkStart w:id="293" w:name="_Toc184313284"/>
      <w:bookmarkEnd w:id="293"/>
      <w:bookmarkStart w:id="294" w:name="_Toc184308099"/>
      <w:bookmarkEnd w:id="294"/>
      <w:bookmarkStart w:id="295" w:name="_Toc184312076"/>
      <w:bookmarkEnd w:id="295"/>
      <w:bookmarkStart w:id="296" w:name="_Toc184308092"/>
      <w:bookmarkEnd w:id="296"/>
      <w:bookmarkStart w:id="297" w:name="_Toc184314474"/>
      <w:bookmarkEnd w:id="297"/>
      <w:bookmarkStart w:id="298" w:name="_Toc184314421"/>
      <w:bookmarkEnd w:id="298"/>
      <w:bookmarkStart w:id="299" w:name="_Toc184312097"/>
      <w:bookmarkEnd w:id="299"/>
      <w:bookmarkStart w:id="300" w:name="_Toc184314425"/>
      <w:bookmarkEnd w:id="300"/>
      <w:bookmarkStart w:id="301" w:name="_Toc184308086"/>
      <w:bookmarkEnd w:id="301"/>
      <w:bookmarkStart w:id="302" w:name="_Toc184314450"/>
      <w:bookmarkEnd w:id="302"/>
      <w:bookmarkStart w:id="303" w:name="_Toc184312091"/>
      <w:bookmarkEnd w:id="303"/>
      <w:bookmarkStart w:id="304" w:name="_Toc184313298"/>
      <w:bookmarkEnd w:id="304"/>
      <w:bookmarkStart w:id="305" w:name="_Toc184312115"/>
      <w:bookmarkEnd w:id="305"/>
      <w:bookmarkStart w:id="306" w:name="_Toc184314460"/>
      <w:bookmarkEnd w:id="306"/>
      <w:bookmarkStart w:id="307" w:name="_Toc184310326"/>
      <w:bookmarkEnd w:id="307"/>
      <w:bookmarkStart w:id="308" w:name="_Toc184313261"/>
      <w:bookmarkEnd w:id="308"/>
      <w:bookmarkStart w:id="309" w:name="_Toc184314444"/>
      <w:bookmarkEnd w:id="309"/>
      <w:bookmarkStart w:id="310" w:name="_Toc184313293"/>
      <w:bookmarkEnd w:id="310"/>
      <w:bookmarkStart w:id="311" w:name="_Toc184308088"/>
      <w:bookmarkEnd w:id="311"/>
      <w:bookmarkStart w:id="312" w:name="_Toc184313246"/>
      <w:bookmarkEnd w:id="312"/>
      <w:bookmarkStart w:id="313" w:name="_Toc184312098"/>
      <w:bookmarkEnd w:id="313"/>
      <w:bookmarkStart w:id="314" w:name="_Toc184312125"/>
      <w:bookmarkEnd w:id="314"/>
      <w:bookmarkStart w:id="315" w:name="_Toc184308049"/>
      <w:bookmarkEnd w:id="315"/>
      <w:bookmarkStart w:id="316" w:name="_Toc184308072"/>
      <w:bookmarkEnd w:id="316"/>
      <w:bookmarkStart w:id="317" w:name="_Toc184312132"/>
      <w:bookmarkEnd w:id="317"/>
      <w:bookmarkStart w:id="318" w:name="_Toc184308103"/>
      <w:bookmarkEnd w:id="318"/>
      <w:bookmarkStart w:id="319" w:name="_Toc184308036"/>
      <w:bookmarkEnd w:id="319"/>
      <w:bookmarkStart w:id="320" w:name="_Toc184310303"/>
      <w:bookmarkEnd w:id="320"/>
      <w:bookmarkStart w:id="321" w:name="_Toc184313283"/>
      <w:bookmarkEnd w:id="321"/>
      <w:bookmarkStart w:id="322" w:name="_Toc184314468"/>
      <w:bookmarkEnd w:id="322"/>
      <w:bookmarkStart w:id="323" w:name="_Toc184310296"/>
      <w:bookmarkEnd w:id="323"/>
      <w:bookmarkStart w:id="324" w:name="_Toc184313251"/>
      <w:bookmarkEnd w:id="324"/>
      <w:bookmarkStart w:id="325" w:name="_Toc184314442"/>
      <w:bookmarkEnd w:id="325"/>
      <w:bookmarkStart w:id="326" w:name="_Toc184312136"/>
      <w:bookmarkEnd w:id="326"/>
      <w:bookmarkStart w:id="327" w:name="_Toc184310310"/>
      <w:bookmarkEnd w:id="327"/>
      <w:bookmarkStart w:id="328" w:name="_Toc184308102"/>
      <w:bookmarkEnd w:id="328"/>
      <w:bookmarkStart w:id="329" w:name="_Toc184314414"/>
      <w:bookmarkEnd w:id="329"/>
      <w:bookmarkStart w:id="330" w:name="_Toc184313265"/>
      <w:bookmarkEnd w:id="330"/>
      <w:bookmarkStart w:id="331" w:name="_Toc184310336"/>
      <w:bookmarkEnd w:id="331"/>
      <w:bookmarkStart w:id="332" w:name="_Toc184314457"/>
      <w:bookmarkEnd w:id="332"/>
      <w:bookmarkStart w:id="333" w:name="_Toc184310299"/>
      <w:bookmarkEnd w:id="333"/>
      <w:bookmarkStart w:id="334" w:name="_Toc184308075"/>
      <w:bookmarkEnd w:id="334"/>
      <w:bookmarkStart w:id="335" w:name="_Toc184308091"/>
      <w:bookmarkEnd w:id="335"/>
      <w:bookmarkStart w:id="336" w:name="_Toc184310344"/>
      <w:bookmarkEnd w:id="336"/>
      <w:bookmarkStart w:id="337" w:name="_Toc184313271"/>
      <w:bookmarkEnd w:id="337"/>
      <w:bookmarkStart w:id="338" w:name="_Toc184310282"/>
      <w:bookmarkEnd w:id="338"/>
      <w:bookmarkStart w:id="339" w:name="_Toc184308045"/>
      <w:bookmarkEnd w:id="339"/>
      <w:bookmarkStart w:id="340" w:name="_Toc184308064"/>
      <w:bookmarkEnd w:id="340"/>
      <w:bookmarkStart w:id="341" w:name="_Toc184308068"/>
      <w:bookmarkEnd w:id="341"/>
      <w:bookmarkStart w:id="342" w:name="_Toc184310289"/>
      <w:bookmarkEnd w:id="342"/>
      <w:bookmarkStart w:id="343" w:name="_Toc184310329"/>
      <w:bookmarkEnd w:id="343"/>
      <w:bookmarkStart w:id="344" w:name="_Toc184313270"/>
      <w:bookmarkEnd w:id="344"/>
      <w:bookmarkStart w:id="345" w:name="_Toc184312139"/>
      <w:bookmarkEnd w:id="345"/>
      <w:bookmarkStart w:id="346" w:name="_Toc184310300"/>
      <w:bookmarkEnd w:id="346"/>
      <w:bookmarkStart w:id="347" w:name="_Toc184312086"/>
      <w:bookmarkEnd w:id="347"/>
      <w:bookmarkStart w:id="348" w:name="_Toc184312100"/>
      <w:bookmarkEnd w:id="348"/>
      <w:bookmarkStart w:id="349" w:name="_Toc184308061"/>
      <w:bookmarkEnd w:id="349"/>
      <w:bookmarkStart w:id="350" w:name="_Toc184312105"/>
      <w:bookmarkEnd w:id="350"/>
      <w:bookmarkStart w:id="351" w:name="_Toc184310305"/>
      <w:bookmarkEnd w:id="351"/>
      <w:bookmarkStart w:id="352" w:name="_Toc184308079"/>
      <w:bookmarkEnd w:id="352"/>
      <w:bookmarkStart w:id="353" w:name="_Toc184312088"/>
      <w:bookmarkEnd w:id="353"/>
      <w:bookmarkStart w:id="354" w:name="_Toc184314419"/>
      <w:bookmarkEnd w:id="354"/>
      <w:bookmarkStart w:id="355" w:name="_Toc184308051"/>
      <w:bookmarkEnd w:id="355"/>
      <w:bookmarkStart w:id="356" w:name="_Toc184312087"/>
      <w:bookmarkEnd w:id="356"/>
      <w:bookmarkStart w:id="357" w:name="_Toc184312107"/>
      <w:bookmarkEnd w:id="357"/>
      <w:bookmarkStart w:id="358" w:name="_Toc184310276"/>
      <w:bookmarkEnd w:id="358"/>
      <w:bookmarkStart w:id="359" w:name="_Toc184308047"/>
      <w:bookmarkEnd w:id="359"/>
      <w:bookmarkStart w:id="360" w:name="_Toc184310331"/>
      <w:bookmarkEnd w:id="360"/>
      <w:bookmarkStart w:id="361" w:name="_Toc184313308"/>
      <w:bookmarkEnd w:id="361"/>
      <w:bookmarkStart w:id="362" w:name="_Toc184312133"/>
      <w:bookmarkEnd w:id="362"/>
      <w:bookmarkStart w:id="363" w:name="_Toc184313239"/>
      <w:bookmarkEnd w:id="363"/>
      <w:bookmarkStart w:id="364" w:name="_Toc184313276"/>
      <w:bookmarkEnd w:id="364"/>
      <w:bookmarkStart w:id="365" w:name="_Toc184312082"/>
      <w:bookmarkEnd w:id="365"/>
      <w:bookmarkStart w:id="366" w:name="_Toc184312084"/>
      <w:bookmarkEnd w:id="366"/>
      <w:bookmarkStart w:id="367" w:name="_Toc184310325"/>
      <w:bookmarkEnd w:id="367"/>
      <w:bookmarkStart w:id="368" w:name="_Toc184313302"/>
      <w:bookmarkEnd w:id="368"/>
      <w:bookmarkStart w:id="369" w:name="_Toc184310279"/>
      <w:bookmarkEnd w:id="369"/>
      <w:bookmarkStart w:id="370" w:name="_Toc184312127"/>
      <w:bookmarkEnd w:id="370"/>
      <w:bookmarkStart w:id="371" w:name="_Toc184310308"/>
      <w:bookmarkEnd w:id="371"/>
      <w:bookmarkStart w:id="372" w:name="_Toc184310335"/>
      <w:bookmarkEnd w:id="372"/>
      <w:bookmarkStart w:id="373" w:name="_Toc184313280"/>
      <w:bookmarkEnd w:id="373"/>
      <w:bookmarkStart w:id="374" w:name="_Toc184313310"/>
      <w:bookmarkEnd w:id="374"/>
      <w:bookmarkStart w:id="375" w:name="_Toc184310320"/>
      <w:bookmarkEnd w:id="375"/>
      <w:bookmarkStart w:id="376" w:name="_Toc184313257"/>
      <w:bookmarkEnd w:id="376"/>
      <w:bookmarkStart w:id="377" w:name="_Toc184310290"/>
      <w:bookmarkEnd w:id="377"/>
      <w:bookmarkStart w:id="378" w:name="_Toc184314448"/>
      <w:bookmarkEnd w:id="378"/>
      <w:bookmarkStart w:id="379" w:name="_Toc184310280"/>
      <w:bookmarkEnd w:id="379"/>
      <w:bookmarkStart w:id="380" w:name="_Toc184310284"/>
      <w:bookmarkEnd w:id="380"/>
      <w:bookmarkStart w:id="381" w:name="_Toc184313275"/>
      <w:bookmarkEnd w:id="381"/>
      <w:bookmarkStart w:id="382" w:name="_Toc184314467"/>
      <w:bookmarkEnd w:id="382"/>
      <w:bookmarkStart w:id="383" w:name="_Toc184314440"/>
      <w:bookmarkEnd w:id="383"/>
      <w:bookmarkStart w:id="384" w:name="_Toc184308048"/>
      <w:bookmarkEnd w:id="384"/>
      <w:bookmarkStart w:id="385" w:name="_Toc184312070"/>
      <w:bookmarkEnd w:id="385"/>
      <w:bookmarkStart w:id="386" w:name="_Toc184308097"/>
      <w:bookmarkEnd w:id="386"/>
      <w:bookmarkStart w:id="387" w:name="_Toc184308058"/>
      <w:bookmarkEnd w:id="387"/>
      <w:bookmarkStart w:id="388" w:name="_Toc184313274"/>
      <w:bookmarkEnd w:id="388"/>
      <w:bookmarkStart w:id="389" w:name="_Toc184308076"/>
      <w:bookmarkEnd w:id="389"/>
      <w:bookmarkStart w:id="390" w:name="_Toc184312134"/>
      <w:bookmarkEnd w:id="390"/>
      <w:bookmarkStart w:id="391" w:name="_Toc184312074"/>
      <w:bookmarkEnd w:id="391"/>
      <w:bookmarkStart w:id="392" w:name="_Toc184314478"/>
      <w:bookmarkEnd w:id="392"/>
      <w:bookmarkStart w:id="393" w:name="_Toc184308104"/>
      <w:bookmarkEnd w:id="393"/>
      <w:bookmarkStart w:id="394" w:name="_Toc184313278"/>
      <w:bookmarkEnd w:id="394"/>
      <w:bookmarkStart w:id="395" w:name="_Toc184313282"/>
      <w:bookmarkEnd w:id="395"/>
      <w:r>
        <w:rPr>
          <w:rFonts w:hint="eastAsia" w:ascii="宋体" w:hAnsi="宋体" w:cs="宋体"/>
          <w:b/>
          <w:color w:val="auto"/>
          <w:sz w:val="36"/>
          <w:szCs w:val="36"/>
          <w:highlight w:val="none"/>
        </w:rPr>
        <w:t>评标办法</w:t>
      </w:r>
    </w:p>
    <w:p w14:paraId="6F308F4B">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4996"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363"/>
        <w:gridCol w:w="5643"/>
        <w:gridCol w:w="780"/>
        <w:gridCol w:w="761"/>
      </w:tblGrid>
      <w:tr w14:paraId="1938F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94" w:type="pct"/>
            <w:vAlign w:val="center"/>
          </w:tcPr>
          <w:p w14:paraId="0C9B4B1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序号</w:t>
            </w:r>
          </w:p>
        </w:tc>
        <w:tc>
          <w:tcPr>
            <w:tcW w:w="734" w:type="pct"/>
            <w:vAlign w:val="center"/>
          </w:tcPr>
          <w:p w14:paraId="17D0E037">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评标项目</w:t>
            </w:r>
          </w:p>
        </w:tc>
        <w:tc>
          <w:tcPr>
            <w:tcW w:w="3039" w:type="pct"/>
            <w:vAlign w:val="center"/>
          </w:tcPr>
          <w:p w14:paraId="6094729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评分标准</w:t>
            </w:r>
          </w:p>
        </w:tc>
        <w:tc>
          <w:tcPr>
            <w:tcW w:w="420" w:type="pct"/>
            <w:vAlign w:val="center"/>
          </w:tcPr>
          <w:p w14:paraId="7B6C139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分值</w:t>
            </w:r>
          </w:p>
        </w:tc>
        <w:tc>
          <w:tcPr>
            <w:tcW w:w="410" w:type="pct"/>
            <w:vAlign w:val="center"/>
          </w:tcPr>
          <w:p w14:paraId="310DC2CC">
            <w:pPr>
              <w:spacing w:line="360" w:lineRule="auto"/>
              <w:jc w:val="center"/>
              <w:rPr>
                <w:rFonts w:ascii="宋体" w:hAnsi="宋体" w:cs="宋体"/>
                <w:bCs/>
                <w:color w:val="auto"/>
                <w:szCs w:val="21"/>
                <w:highlight w:val="none"/>
              </w:rPr>
            </w:pPr>
            <w:r>
              <w:rPr>
                <w:rFonts w:hint="eastAsia" w:ascii="宋体" w:hAnsi="宋体" w:cs="宋体"/>
                <w:bCs/>
                <w:color w:val="auto"/>
                <w:kern w:val="0"/>
                <w:szCs w:val="21"/>
                <w:highlight w:val="none"/>
                <w:lang w:val="zh-CN"/>
              </w:rPr>
              <w:t>备注</w:t>
            </w:r>
          </w:p>
        </w:tc>
      </w:tr>
      <w:tr w14:paraId="2104A1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05" w:hRule="atLeast"/>
          <w:jc w:val="center"/>
        </w:trPr>
        <w:tc>
          <w:tcPr>
            <w:tcW w:w="394" w:type="pct"/>
            <w:vAlign w:val="center"/>
          </w:tcPr>
          <w:p w14:paraId="4572B9C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734" w:type="pct"/>
            <w:vAlign w:val="center"/>
          </w:tcPr>
          <w:p w14:paraId="1EB971F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对招标文件的技术响应（15分）</w:t>
            </w:r>
          </w:p>
        </w:tc>
        <w:tc>
          <w:tcPr>
            <w:tcW w:w="3039" w:type="pct"/>
            <w:vAlign w:val="center"/>
          </w:tcPr>
          <w:p w14:paraId="683349D9">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对招标货物的性能及技术指标要求、主要技术参数、配置要求的响应情况的评审</w:t>
            </w:r>
          </w:p>
          <w:p w14:paraId="44F34740">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投标产品的性能及技术指标均满足招标文件要求的，得15分；对指标低于招标需求的（即负偏离）或未做出明确响应的，每项扣2分；</w:t>
            </w:r>
          </w:p>
          <w:p w14:paraId="42FAF4D6">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累计扣完本项分数为止。</w:t>
            </w:r>
          </w:p>
        </w:tc>
        <w:tc>
          <w:tcPr>
            <w:tcW w:w="420" w:type="pct"/>
            <w:vAlign w:val="center"/>
          </w:tcPr>
          <w:p w14:paraId="796AC86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15</w:t>
            </w:r>
          </w:p>
        </w:tc>
        <w:tc>
          <w:tcPr>
            <w:tcW w:w="410" w:type="pct"/>
            <w:vAlign w:val="center"/>
          </w:tcPr>
          <w:p w14:paraId="4B33E683">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14:paraId="3D6A03B1">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7AF37F8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jc w:val="center"/>
        </w:trPr>
        <w:tc>
          <w:tcPr>
            <w:tcW w:w="394" w:type="pct"/>
            <w:vAlign w:val="center"/>
          </w:tcPr>
          <w:p w14:paraId="586B3E06">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734" w:type="pct"/>
            <w:vAlign w:val="center"/>
          </w:tcPr>
          <w:p w14:paraId="75A3D89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对招标文件的商务响应（5分）</w:t>
            </w:r>
          </w:p>
        </w:tc>
        <w:tc>
          <w:tcPr>
            <w:tcW w:w="3039" w:type="pct"/>
            <w:vAlign w:val="center"/>
          </w:tcPr>
          <w:p w14:paraId="42E36F54">
            <w:pPr>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根据供应商对招标文件第三章采购需求中商务要求相关条款的响应情况进行评议：指标低于招标需求的（即负偏离）或未做出明确响应的，每项扣1分；累计扣完本项分数为止。</w:t>
            </w:r>
          </w:p>
          <w:p w14:paraId="00E4EB92">
            <w:pPr>
              <w:spacing w:line="360" w:lineRule="auto"/>
              <w:rPr>
                <w:rFonts w:ascii="宋体" w:hAnsi="宋体" w:cs="宋体"/>
                <w:bCs/>
                <w:color w:val="auto"/>
                <w:szCs w:val="21"/>
                <w:highlight w:val="none"/>
              </w:rPr>
            </w:pPr>
            <w:r>
              <w:rPr>
                <w:rFonts w:hint="eastAsia" w:ascii="宋体" w:hAnsi="宋体" w:cs="宋体"/>
                <w:bCs/>
                <w:color w:val="auto"/>
                <w:szCs w:val="21"/>
                <w:highlight w:val="none"/>
              </w:rPr>
              <w:t>累计扣完本项分数为止。</w:t>
            </w:r>
          </w:p>
        </w:tc>
        <w:tc>
          <w:tcPr>
            <w:tcW w:w="420" w:type="pct"/>
            <w:vAlign w:val="center"/>
          </w:tcPr>
          <w:p w14:paraId="753BE27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1A91C42">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客观</w:t>
            </w:r>
          </w:p>
          <w:p w14:paraId="758CD361">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w:t>
            </w:r>
          </w:p>
        </w:tc>
      </w:tr>
      <w:tr w14:paraId="5C22EF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66" w:hRule="atLeast"/>
          <w:jc w:val="center"/>
        </w:trPr>
        <w:tc>
          <w:tcPr>
            <w:tcW w:w="394" w:type="pct"/>
            <w:vAlign w:val="center"/>
          </w:tcPr>
          <w:p w14:paraId="49CF0D6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734" w:type="pct"/>
            <w:vAlign w:val="center"/>
          </w:tcPr>
          <w:p w14:paraId="251D60E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功能演示</w:t>
            </w:r>
          </w:p>
          <w:p w14:paraId="1AE328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3E468E61">
            <w:pPr>
              <w:spacing w:line="360" w:lineRule="auto"/>
              <w:rPr>
                <w:rFonts w:ascii="宋体" w:hAnsi="宋体" w:cs="宋体"/>
                <w:bCs/>
                <w:color w:val="auto"/>
                <w:szCs w:val="21"/>
                <w:highlight w:val="none"/>
              </w:rPr>
            </w:pPr>
            <w:r>
              <w:rPr>
                <w:rFonts w:hint="eastAsia" w:ascii="宋体" w:hAnsi="宋体" w:cs="宋体"/>
                <w:bCs/>
                <w:color w:val="auto"/>
                <w:szCs w:val="21"/>
                <w:highlight w:val="none"/>
              </w:rPr>
              <w:t>根据供应商提供的功能指标的演示功能进行评议；</w:t>
            </w:r>
          </w:p>
          <w:p w14:paraId="3D6BFAEC">
            <w:pPr>
              <w:spacing w:line="360" w:lineRule="auto"/>
              <w:rPr>
                <w:rFonts w:ascii="宋体" w:hAnsi="宋体" w:cs="宋体"/>
                <w:bCs/>
                <w:color w:val="auto"/>
                <w:szCs w:val="21"/>
                <w:highlight w:val="none"/>
              </w:rPr>
            </w:pPr>
            <w:r>
              <w:rPr>
                <w:rFonts w:hint="eastAsia" w:ascii="宋体" w:hAnsi="宋体" w:cs="宋体"/>
                <w:bCs/>
                <w:color w:val="auto"/>
                <w:szCs w:val="21"/>
                <w:highlight w:val="none"/>
              </w:rPr>
              <w:t>演示功能详尽，目标要求明确，得5分；演示功能详尽性尚可，目标要求明确性尚可，得4分；演示功能详尽性一般，目标要求明确性一般，得2分；演示功能不够详尽，目标要求不够明确，得1分；未演示的不得分。</w:t>
            </w:r>
          </w:p>
        </w:tc>
        <w:tc>
          <w:tcPr>
            <w:tcW w:w="420" w:type="pct"/>
            <w:vAlign w:val="center"/>
          </w:tcPr>
          <w:p w14:paraId="424BF5F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7E1937E">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1363261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评审</w:t>
            </w:r>
          </w:p>
        </w:tc>
      </w:tr>
      <w:tr w14:paraId="1B59BD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54" w:hRule="atLeast"/>
          <w:jc w:val="center"/>
        </w:trPr>
        <w:tc>
          <w:tcPr>
            <w:tcW w:w="394" w:type="pct"/>
            <w:vAlign w:val="center"/>
          </w:tcPr>
          <w:p w14:paraId="2C79C075">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4</w:t>
            </w:r>
          </w:p>
        </w:tc>
        <w:tc>
          <w:tcPr>
            <w:tcW w:w="734" w:type="pct"/>
            <w:vAlign w:val="center"/>
          </w:tcPr>
          <w:p w14:paraId="3F344A11">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技术指标先进性（5分）</w:t>
            </w:r>
          </w:p>
        </w:tc>
        <w:tc>
          <w:tcPr>
            <w:tcW w:w="3039" w:type="pct"/>
            <w:vAlign w:val="center"/>
          </w:tcPr>
          <w:p w14:paraId="22723E95">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技术指标先进性：评委对投标产品进行评议，技术性能先进充分满足要求且优化的得5分；技术性能较先进满足要求得4分；技术性能基本满足要求的得2分；技术性能不能完全满足要求的得1分；存在较大的缺陷、技术性能与要求差距较大的得0分。</w:t>
            </w:r>
          </w:p>
        </w:tc>
        <w:tc>
          <w:tcPr>
            <w:tcW w:w="420" w:type="pct"/>
            <w:vAlign w:val="center"/>
          </w:tcPr>
          <w:p w14:paraId="265E2E0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2CBBCB9">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22FA99CE">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4B43407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394" w:type="pct"/>
            <w:vAlign w:val="center"/>
          </w:tcPr>
          <w:p w14:paraId="1E6223F7">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5</w:t>
            </w:r>
          </w:p>
        </w:tc>
        <w:tc>
          <w:tcPr>
            <w:tcW w:w="734" w:type="pct"/>
            <w:vAlign w:val="center"/>
          </w:tcPr>
          <w:p w14:paraId="239708C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拟派项目实施人员</w:t>
            </w:r>
          </w:p>
          <w:p w14:paraId="7522D4A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67883099">
            <w:pPr>
              <w:spacing w:line="360" w:lineRule="auto"/>
              <w:rPr>
                <w:rFonts w:ascii="宋体" w:hAnsi="宋体" w:cs="宋体"/>
                <w:bCs/>
                <w:color w:val="auto"/>
                <w:szCs w:val="21"/>
                <w:highlight w:val="none"/>
              </w:rPr>
            </w:pPr>
            <w:r>
              <w:rPr>
                <w:rFonts w:hint="eastAsia" w:ascii="宋体" w:hAnsi="宋体" w:cs="宋体"/>
                <w:bCs/>
                <w:color w:val="auto"/>
                <w:szCs w:val="21"/>
                <w:highlight w:val="none"/>
              </w:rPr>
              <w:t>项目组人员：人员配置合理、齐全、数量充足，经验丰富，</w:t>
            </w:r>
            <w:r>
              <w:rPr>
                <w:rFonts w:hint="eastAsia" w:ascii="宋体" w:hAnsi="宋体" w:cs="宋体"/>
                <w:color w:val="auto"/>
                <w:kern w:val="0"/>
                <w:szCs w:val="21"/>
                <w:highlight w:val="none"/>
              </w:rPr>
              <w:t>投标人需结合自身实际提供售后服务机构技术服务人员情况（提供姓名、工作经验、所持有的相关维修专业证书情况等），需包含但不限于以下要点：①经验是否丰富；②是否持有相关维修专业证书情况；③专业性及配备是否充足。由评标委员会进行评议：</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人员配置合理、人员经验丰富且人员整体素质良好，能顺利完成售后任务的得5分；上述内容明确性尚可、合理性尚可，得4分；上述内容明确性一般、合理性一般，得2分；上述内容不够明确、不够合理，得1分；未提供的不得分。</w:t>
            </w:r>
          </w:p>
        </w:tc>
        <w:tc>
          <w:tcPr>
            <w:tcW w:w="420" w:type="pct"/>
            <w:vAlign w:val="center"/>
          </w:tcPr>
          <w:p w14:paraId="2DBB6CD1">
            <w:pPr>
              <w:spacing w:line="276"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7CED3F7C">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7E121579">
            <w:pPr>
              <w:spacing w:line="276"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42D0B8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394" w:type="pct"/>
            <w:vAlign w:val="center"/>
          </w:tcPr>
          <w:p w14:paraId="6DC5F8F6">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6</w:t>
            </w:r>
          </w:p>
        </w:tc>
        <w:tc>
          <w:tcPr>
            <w:tcW w:w="734" w:type="pct"/>
            <w:vAlign w:val="center"/>
          </w:tcPr>
          <w:p w14:paraId="6570591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质量确保</w:t>
            </w:r>
          </w:p>
          <w:p w14:paraId="27BFC21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03108875">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投标文件中有确保所供产品质量的措施方案，且科学、合理、可行的情况；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14:paraId="52A0E6B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611A1A1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069D9A54">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164E86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394" w:type="pct"/>
            <w:vAlign w:val="center"/>
          </w:tcPr>
          <w:p w14:paraId="0CB6F169">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7</w:t>
            </w:r>
          </w:p>
        </w:tc>
        <w:tc>
          <w:tcPr>
            <w:tcW w:w="734" w:type="pct"/>
            <w:vAlign w:val="center"/>
          </w:tcPr>
          <w:p w14:paraId="24529FD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质量跟踪</w:t>
            </w:r>
          </w:p>
          <w:p w14:paraId="4E290F6B">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5D51A887">
            <w:pPr>
              <w:spacing w:line="360" w:lineRule="auto"/>
              <w:rPr>
                <w:rFonts w:ascii="宋体" w:hAnsi="宋体" w:cs="宋体"/>
                <w:bCs/>
                <w:color w:val="auto"/>
                <w:szCs w:val="21"/>
                <w:highlight w:val="none"/>
              </w:rPr>
            </w:pPr>
            <w:r>
              <w:rPr>
                <w:rFonts w:hint="eastAsia" w:ascii="宋体" w:hAnsi="宋体" w:cs="宋体"/>
                <w:bCs/>
                <w:color w:val="auto"/>
                <w:kern w:val="0"/>
                <w:szCs w:val="21"/>
                <w:highlight w:val="none"/>
              </w:rPr>
              <w:t>投标文件中有所供产品质量跟踪保障服务体系，且科学、合理、可行的情况；</w:t>
            </w:r>
            <w:r>
              <w:rPr>
                <w:rFonts w:hint="eastAsia" w:ascii="宋体" w:hAnsi="宋体" w:cs="宋体"/>
                <w:bCs/>
                <w:color w:val="auto"/>
                <w:kern w:val="0"/>
                <w:szCs w:val="21"/>
                <w:highlight w:val="none"/>
                <w:lang w:bidi="ar"/>
              </w:rPr>
              <w:t>方案完善详细得5分；方案较完善详细得4分；方案略有瑕疵得2分；方案存在较多不满足的得1分，未提供得0分。</w:t>
            </w:r>
          </w:p>
        </w:tc>
        <w:tc>
          <w:tcPr>
            <w:tcW w:w="420" w:type="pct"/>
            <w:vAlign w:val="center"/>
          </w:tcPr>
          <w:p w14:paraId="1D328738">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59BA7EE7">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759138FA">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4B350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394" w:type="pct"/>
            <w:vAlign w:val="center"/>
          </w:tcPr>
          <w:p w14:paraId="4705F93C">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8</w:t>
            </w:r>
          </w:p>
        </w:tc>
        <w:tc>
          <w:tcPr>
            <w:tcW w:w="734" w:type="pct"/>
            <w:vAlign w:val="center"/>
          </w:tcPr>
          <w:p w14:paraId="77B05DD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实施方案</w:t>
            </w:r>
          </w:p>
          <w:p w14:paraId="7811205D">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7BE59876">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安装、调试计划、组织方案合理、可行，且具有针对性，有确保采购进度符合采购人要求措施和承诺等；</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14:paraId="348062F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7CAD8756">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6F2CF82C">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5F2FD6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394" w:type="pct"/>
            <w:vAlign w:val="center"/>
          </w:tcPr>
          <w:p w14:paraId="289AFBA4">
            <w:pPr>
              <w:spacing w:line="360" w:lineRule="auto"/>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9</w:t>
            </w:r>
          </w:p>
        </w:tc>
        <w:tc>
          <w:tcPr>
            <w:tcW w:w="734" w:type="pct"/>
            <w:vAlign w:val="center"/>
          </w:tcPr>
          <w:p w14:paraId="7D1F35A2">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验收方案</w:t>
            </w:r>
          </w:p>
          <w:p w14:paraId="097AE13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180017EF">
            <w:pPr>
              <w:spacing w:line="360" w:lineRule="auto"/>
              <w:rPr>
                <w:rFonts w:ascii="宋体" w:hAnsi="宋体" w:cs="宋体"/>
                <w:bCs/>
                <w:color w:val="auto"/>
                <w:kern w:val="0"/>
                <w:szCs w:val="21"/>
                <w:highlight w:val="none"/>
              </w:rPr>
            </w:pPr>
            <w:r>
              <w:rPr>
                <w:rFonts w:hint="eastAsia" w:ascii="宋体" w:hAnsi="宋体" w:cs="宋体"/>
                <w:bCs/>
                <w:color w:val="auto"/>
                <w:kern w:val="0"/>
                <w:szCs w:val="21"/>
                <w:highlight w:val="none"/>
              </w:rPr>
              <w:t>验收方案措施合理、可行，且具有针对性，确保验收结果的用户满意度的保障措施及技术服务保障优势；</w:t>
            </w:r>
            <w:r>
              <w:rPr>
                <w:rFonts w:hint="eastAsia" w:ascii="宋体" w:hAnsi="宋体" w:cs="宋体"/>
                <w:bCs/>
                <w:color w:val="auto"/>
                <w:kern w:val="0"/>
                <w:szCs w:val="21"/>
                <w:highlight w:val="none"/>
                <w:lang w:bidi="ar"/>
              </w:rPr>
              <w:t>实施方案完善详细得5分；方案较完善详细得4分；方案能够满足需求得2分；方案有瑕疵或存在较多不满足的得1分；未提供得0分。</w:t>
            </w:r>
          </w:p>
        </w:tc>
        <w:tc>
          <w:tcPr>
            <w:tcW w:w="420" w:type="pct"/>
            <w:vAlign w:val="center"/>
          </w:tcPr>
          <w:p w14:paraId="780C24F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F1AC2B5">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35F5B29A">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052FA8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394" w:type="pct"/>
            <w:vAlign w:val="center"/>
          </w:tcPr>
          <w:p w14:paraId="44720B95">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10</w:t>
            </w:r>
          </w:p>
        </w:tc>
        <w:tc>
          <w:tcPr>
            <w:tcW w:w="734" w:type="pct"/>
            <w:vAlign w:val="center"/>
          </w:tcPr>
          <w:p w14:paraId="5FD02CEC">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产品保质期（1分）</w:t>
            </w:r>
          </w:p>
        </w:tc>
        <w:tc>
          <w:tcPr>
            <w:tcW w:w="3039" w:type="pct"/>
            <w:vAlign w:val="center"/>
          </w:tcPr>
          <w:p w14:paraId="15CE4E6C">
            <w:pPr>
              <w:spacing w:line="360" w:lineRule="auto"/>
              <w:rPr>
                <w:rFonts w:ascii="宋体" w:hAnsi="宋体" w:cs="宋体"/>
                <w:bCs/>
                <w:color w:val="auto"/>
                <w:szCs w:val="21"/>
                <w:highlight w:val="none"/>
              </w:rPr>
            </w:pPr>
            <w:r>
              <w:rPr>
                <w:rFonts w:hint="eastAsia" w:ascii="宋体" w:hAnsi="宋体" w:cs="宋体"/>
                <w:bCs/>
                <w:color w:val="auto"/>
                <w:szCs w:val="21"/>
                <w:highlight w:val="none"/>
              </w:rPr>
              <w:t>产品保质期：保质期满足招标文件的不得分，多6个月的得0.5分，本项目最高1分。</w:t>
            </w:r>
          </w:p>
        </w:tc>
        <w:tc>
          <w:tcPr>
            <w:tcW w:w="420" w:type="pct"/>
            <w:vAlign w:val="center"/>
          </w:tcPr>
          <w:p w14:paraId="2F494E93">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10" w:type="pct"/>
            <w:vAlign w:val="center"/>
          </w:tcPr>
          <w:p w14:paraId="247FCE11">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14:paraId="3579CA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864" w:hRule="atLeast"/>
          <w:jc w:val="center"/>
        </w:trPr>
        <w:tc>
          <w:tcPr>
            <w:tcW w:w="394" w:type="pct"/>
            <w:vAlign w:val="center"/>
          </w:tcPr>
          <w:p w14:paraId="629DAE9F">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11</w:t>
            </w:r>
          </w:p>
        </w:tc>
        <w:tc>
          <w:tcPr>
            <w:tcW w:w="734" w:type="pct"/>
            <w:vAlign w:val="center"/>
          </w:tcPr>
          <w:p w14:paraId="0BFBBF9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维修能力</w:t>
            </w:r>
          </w:p>
          <w:p w14:paraId="09AE6425">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78394CD2">
            <w:pPr>
              <w:spacing w:line="360" w:lineRule="auto"/>
              <w:rPr>
                <w:rFonts w:ascii="宋体" w:hAnsi="宋体" w:cs="宋体"/>
                <w:bCs/>
                <w:color w:val="auto"/>
                <w:szCs w:val="21"/>
                <w:highlight w:val="none"/>
              </w:rPr>
            </w:pPr>
            <w:r>
              <w:rPr>
                <w:rFonts w:hint="eastAsia" w:ascii="宋体" w:hAnsi="宋体" w:cs="宋体"/>
                <w:bCs/>
                <w:color w:val="auto"/>
                <w:szCs w:val="21"/>
                <w:highlight w:val="none"/>
              </w:rPr>
              <w:t>维修能力：对供应商、生产厂家拟投入本项目的维修能力及响应时间进行评价，维修能力强、响应时间满足招标文件要求的，得5分；维修能力较好、响应时间满足招标文件要求的，得4分；维修能力一般、响应时间满足招标文件要求的，得2分；维修能力弱或响应时间不满足招标文件要求的，得1分</w:t>
            </w:r>
            <w:r>
              <w:rPr>
                <w:rFonts w:hint="eastAsia" w:ascii="宋体" w:hAnsi="宋体" w:cs="宋体"/>
                <w:bCs/>
                <w:color w:val="auto"/>
                <w:kern w:val="0"/>
                <w:szCs w:val="21"/>
                <w:highlight w:val="none"/>
                <w:lang w:bidi="ar"/>
              </w:rPr>
              <w:t>；未提供得0分。</w:t>
            </w:r>
          </w:p>
        </w:tc>
        <w:tc>
          <w:tcPr>
            <w:tcW w:w="420" w:type="pct"/>
            <w:vAlign w:val="center"/>
          </w:tcPr>
          <w:p w14:paraId="70033C7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3F578530">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6FF49E06">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5ACA81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394" w:type="pct"/>
            <w:vAlign w:val="center"/>
          </w:tcPr>
          <w:p w14:paraId="7A63A9EF">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12</w:t>
            </w:r>
          </w:p>
        </w:tc>
        <w:tc>
          <w:tcPr>
            <w:tcW w:w="734" w:type="pct"/>
            <w:vAlign w:val="center"/>
          </w:tcPr>
          <w:p w14:paraId="5AD214C9">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业绩（3分）</w:t>
            </w:r>
          </w:p>
        </w:tc>
        <w:tc>
          <w:tcPr>
            <w:tcW w:w="3039" w:type="pct"/>
            <w:vAlign w:val="center"/>
          </w:tcPr>
          <w:p w14:paraId="761C7B40">
            <w:pPr>
              <w:spacing w:line="360" w:lineRule="auto"/>
              <w:rPr>
                <w:rFonts w:ascii="宋体" w:hAnsi="宋体" w:cs="宋体"/>
                <w:bCs/>
                <w:color w:val="auto"/>
                <w:szCs w:val="21"/>
                <w:highlight w:val="none"/>
              </w:rPr>
            </w:pPr>
            <w:r>
              <w:rPr>
                <w:rFonts w:hint="eastAsia" w:ascii="宋体" w:hAnsi="宋体" w:cs="宋体"/>
                <w:bCs/>
                <w:color w:val="auto"/>
                <w:szCs w:val="21"/>
                <w:highlight w:val="none"/>
              </w:rPr>
              <w:t>业绩：2021年1月1日至今（以合同签订时间为准），供应商承接过的同类项目业绩，每提供一个有效合同得1分，最高3分。</w:t>
            </w:r>
          </w:p>
          <w:p w14:paraId="1302765A">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（投标文件中提供合同扫描件并加盖公章，未提供的或未按要求盖章的视为无效业绩）。</w:t>
            </w:r>
          </w:p>
        </w:tc>
        <w:tc>
          <w:tcPr>
            <w:tcW w:w="420" w:type="pct"/>
            <w:vAlign w:val="center"/>
          </w:tcPr>
          <w:p w14:paraId="690C6CD4">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3</w:t>
            </w:r>
          </w:p>
        </w:tc>
        <w:tc>
          <w:tcPr>
            <w:tcW w:w="410" w:type="pct"/>
            <w:vAlign w:val="center"/>
          </w:tcPr>
          <w:p w14:paraId="6501527D">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14:paraId="2A5BBC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697" w:hRule="atLeast"/>
          <w:jc w:val="center"/>
        </w:trPr>
        <w:tc>
          <w:tcPr>
            <w:tcW w:w="394" w:type="pct"/>
            <w:vAlign w:val="center"/>
          </w:tcPr>
          <w:p w14:paraId="38B231A5">
            <w:pPr>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13</w:t>
            </w:r>
          </w:p>
        </w:tc>
        <w:tc>
          <w:tcPr>
            <w:tcW w:w="734" w:type="pct"/>
            <w:vAlign w:val="center"/>
          </w:tcPr>
          <w:p w14:paraId="519C28B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培训方案</w:t>
            </w:r>
          </w:p>
          <w:p w14:paraId="04A2E150">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（5分）</w:t>
            </w:r>
          </w:p>
        </w:tc>
        <w:tc>
          <w:tcPr>
            <w:tcW w:w="3039" w:type="pct"/>
            <w:vAlign w:val="center"/>
          </w:tcPr>
          <w:p w14:paraId="2CC27C4C">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培训方案：评标委员会根据供应商的培训方案进行综合评议：培训方案内容全面完整、描述清晰，切实可行的得5分；培训方案内容较完整、描述清晰，可行的得4分；</w:t>
            </w:r>
          </w:p>
          <w:p w14:paraId="251FC5C6">
            <w:pPr>
              <w:spacing w:line="360" w:lineRule="auto"/>
              <w:rPr>
                <w:rFonts w:ascii="宋体" w:hAnsi="宋体" w:cs="宋体"/>
                <w:bCs/>
                <w:color w:val="auto"/>
                <w:szCs w:val="21"/>
                <w:highlight w:val="none"/>
              </w:rPr>
            </w:pPr>
            <w:r>
              <w:rPr>
                <w:rFonts w:hint="eastAsia" w:ascii="宋体" w:hAnsi="宋体" w:cs="宋体"/>
                <w:bCs/>
                <w:color w:val="auto"/>
                <w:szCs w:val="21"/>
                <w:highlight w:val="none"/>
              </w:rPr>
              <w:t>培训方案内容较全面完整、较描述清晰，切实可行一般的得2分。培训方案内容简单笼统，细化程度不足，但基本能满足采购人要求的得1分；未提供培训方案的，得0分。</w:t>
            </w:r>
          </w:p>
        </w:tc>
        <w:tc>
          <w:tcPr>
            <w:tcW w:w="420" w:type="pct"/>
            <w:vAlign w:val="center"/>
          </w:tcPr>
          <w:p w14:paraId="5BA1F69F">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410" w:type="pct"/>
            <w:vAlign w:val="center"/>
          </w:tcPr>
          <w:p w14:paraId="4315FFE5">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rPr>
              <w:t>主</w:t>
            </w:r>
            <w:r>
              <w:rPr>
                <w:rFonts w:hint="eastAsia" w:ascii="宋体" w:hAnsi="宋体" w:cs="宋体"/>
                <w:color w:val="auto"/>
                <w:szCs w:val="21"/>
                <w:highlight w:val="none"/>
                <w:lang w:val="zh-CN"/>
              </w:rPr>
              <w:t>观</w:t>
            </w:r>
          </w:p>
          <w:p w14:paraId="3DF7258C">
            <w:pPr>
              <w:spacing w:line="360" w:lineRule="auto"/>
              <w:jc w:val="center"/>
              <w:rPr>
                <w:rFonts w:ascii="宋体" w:hAnsi="宋体" w:cs="宋体"/>
                <w:bCs/>
                <w:color w:val="auto"/>
                <w:szCs w:val="21"/>
                <w:highlight w:val="none"/>
              </w:rPr>
            </w:pPr>
            <w:r>
              <w:rPr>
                <w:rFonts w:hint="eastAsia" w:ascii="宋体" w:hAnsi="宋体" w:cs="宋体"/>
                <w:color w:val="auto"/>
                <w:szCs w:val="21"/>
                <w:highlight w:val="none"/>
                <w:lang w:val="zh-CN"/>
              </w:rPr>
              <w:t>评审</w:t>
            </w:r>
          </w:p>
        </w:tc>
      </w:tr>
      <w:tr w14:paraId="609BD0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4" w:type="pct"/>
            <w:vAlign w:val="center"/>
          </w:tcPr>
          <w:p w14:paraId="2729C08D">
            <w:pPr>
              <w:widowControl/>
              <w:spacing w:line="360" w:lineRule="auto"/>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14</w:t>
            </w:r>
          </w:p>
        </w:tc>
        <w:tc>
          <w:tcPr>
            <w:tcW w:w="734" w:type="pct"/>
            <w:vAlign w:val="center"/>
          </w:tcPr>
          <w:p w14:paraId="1C605FA5">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节能环保加分（1分）</w:t>
            </w:r>
          </w:p>
        </w:tc>
        <w:tc>
          <w:tcPr>
            <w:tcW w:w="3039" w:type="pct"/>
            <w:vAlign w:val="center"/>
          </w:tcPr>
          <w:p w14:paraId="047279D9">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投标产品属于《节能产品政府采购品目清单》范围的且具有国家确定的认证机构出具的、处于有效期之内的节能产品认证证书的得0.5分；</w:t>
            </w:r>
          </w:p>
          <w:p w14:paraId="10648149">
            <w:pPr>
              <w:spacing w:line="360" w:lineRule="auto"/>
              <w:rPr>
                <w:rFonts w:ascii="宋体" w:hAnsi="宋体" w:cs="宋体"/>
                <w:bCs/>
                <w:color w:val="auto"/>
                <w:szCs w:val="21"/>
                <w:highlight w:val="none"/>
              </w:rPr>
            </w:pPr>
            <w:r>
              <w:rPr>
                <w:rFonts w:hint="eastAsia" w:ascii="宋体" w:hAnsi="宋体" w:cs="宋体"/>
                <w:bCs/>
                <w:color w:val="auto"/>
                <w:szCs w:val="21"/>
                <w:highlight w:val="none"/>
              </w:rPr>
              <w:t>投标产品属于《环境标志产品政府采购品目清单》范围的且具有国家确定的认证机构出具的、处于有效期之内的环境标志产品认证证书的得0.5分。</w:t>
            </w:r>
          </w:p>
          <w:p w14:paraId="550775A6">
            <w:pPr>
              <w:spacing w:line="360" w:lineRule="auto"/>
              <w:rPr>
                <w:rFonts w:ascii="宋体" w:hAnsi="宋体" w:cs="宋体"/>
                <w:bCs/>
                <w:color w:val="auto"/>
                <w:szCs w:val="21"/>
                <w:highlight w:val="none"/>
              </w:rPr>
            </w:pPr>
            <w:r>
              <w:rPr>
                <w:rFonts w:hint="eastAsia" w:ascii="宋体" w:hAnsi="宋体" w:cs="宋体"/>
                <w:bCs/>
                <w:color w:val="auto"/>
                <w:szCs w:val="21"/>
                <w:highlight w:val="none"/>
              </w:rPr>
              <w:t>注：投标文件中必须同时提供以下资料：</w:t>
            </w:r>
          </w:p>
          <w:p w14:paraId="03883034">
            <w:pPr>
              <w:spacing w:line="360" w:lineRule="auto"/>
              <w:rPr>
                <w:rFonts w:ascii="宋体" w:hAnsi="宋体" w:cs="宋体"/>
                <w:bCs/>
                <w:color w:val="auto"/>
                <w:szCs w:val="21"/>
                <w:highlight w:val="none"/>
              </w:rPr>
            </w:pPr>
            <w:r>
              <w:rPr>
                <w:rFonts w:hint="eastAsia" w:ascii="宋体" w:hAnsi="宋体" w:cs="宋体"/>
                <w:bCs/>
                <w:color w:val="auto"/>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CB64DC4">
            <w:pPr>
              <w:spacing w:line="360" w:lineRule="auto"/>
              <w:rPr>
                <w:rFonts w:ascii="宋体" w:hAnsi="宋体" w:cs="宋体"/>
                <w:bCs/>
                <w:color w:val="auto"/>
                <w:szCs w:val="21"/>
                <w:highlight w:val="none"/>
              </w:rPr>
            </w:pPr>
            <w:r>
              <w:rPr>
                <w:rFonts w:hint="eastAsia" w:ascii="宋体" w:hAnsi="宋体" w:cs="宋体"/>
                <w:bCs/>
                <w:color w:val="auto"/>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420" w:type="pct"/>
            <w:vAlign w:val="center"/>
          </w:tcPr>
          <w:p w14:paraId="38A2C9E5">
            <w:pPr>
              <w:widowControl/>
              <w:spacing w:line="360" w:lineRule="auto"/>
              <w:jc w:val="center"/>
              <w:textAlignment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410" w:type="pct"/>
            <w:vAlign w:val="center"/>
          </w:tcPr>
          <w:p w14:paraId="127D5262">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客观</w:t>
            </w:r>
            <w:r>
              <w:rPr>
                <w:rFonts w:hint="eastAsia" w:ascii="宋体" w:hAnsi="宋体" w:cs="宋体"/>
                <w:color w:val="auto"/>
                <w:szCs w:val="21"/>
                <w:highlight w:val="none"/>
                <w:lang w:val="zh-CN"/>
              </w:rPr>
              <w:t>评审</w:t>
            </w:r>
          </w:p>
        </w:tc>
      </w:tr>
      <w:tr w14:paraId="5BF321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394" w:type="pct"/>
            <w:vAlign w:val="center"/>
          </w:tcPr>
          <w:p w14:paraId="0E105CAD">
            <w:pPr>
              <w:widowControl/>
              <w:spacing w:line="360" w:lineRule="auto"/>
              <w:jc w:val="center"/>
              <w:textAlignment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15</w:t>
            </w:r>
          </w:p>
        </w:tc>
        <w:tc>
          <w:tcPr>
            <w:tcW w:w="734" w:type="pct"/>
            <w:vAlign w:val="center"/>
          </w:tcPr>
          <w:p w14:paraId="18794B30">
            <w:pPr>
              <w:adjustRightInd/>
              <w:spacing w:line="400" w:lineRule="exact"/>
              <w:jc w:val="center"/>
              <w:rPr>
                <w:rFonts w:ascii="宋体" w:hAnsi="宋体" w:cs="宋体"/>
                <w:color w:val="auto"/>
                <w:szCs w:val="21"/>
                <w:highlight w:val="none"/>
              </w:rPr>
            </w:pPr>
            <w:r>
              <w:rPr>
                <w:rFonts w:hint="eastAsia" w:ascii="宋体" w:hAnsi="宋体" w:cs="宋体"/>
                <w:color w:val="auto"/>
                <w:szCs w:val="21"/>
                <w:highlight w:val="none"/>
              </w:rPr>
              <w:t>价格分</w:t>
            </w:r>
          </w:p>
          <w:p w14:paraId="6938EDDE">
            <w:pPr>
              <w:widowControl/>
              <w:spacing w:line="360" w:lineRule="auto"/>
              <w:jc w:val="center"/>
              <w:textAlignment w:val="center"/>
              <w:rPr>
                <w:rFonts w:ascii="宋体" w:hAnsi="宋体" w:cs="宋体"/>
                <w:bCs/>
                <w:color w:val="auto"/>
                <w:szCs w:val="21"/>
                <w:highlight w:val="none"/>
              </w:rPr>
            </w:pPr>
            <w:r>
              <w:rPr>
                <w:rFonts w:hint="eastAsia" w:ascii="宋体" w:hAnsi="宋体" w:cs="宋体"/>
                <w:color w:val="auto"/>
                <w:szCs w:val="21"/>
                <w:highlight w:val="none"/>
              </w:rPr>
              <w:t>（30分）</w:t>
            </w:r>
          </w:p>
        </w:tc>
        <w:tc>
          <w:tcPr>
            <w:tcW w:w="5643" w:type="dxa"/>
            <w:vAlign w:val="center"/>
          </w:tcPr>
          <w:p w14:paraId="4F91CE99">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评标基准价指的是满足招标文件要求且最低的参与评审的价格。</w:t>
            </w:r>
          </w:p>
          <w:p w14:paraId="11F20274">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参与评审的价格=投标报价-小微企业价格扣除优惠值（如有）。</w:t>
            </w:r>
          </w:p>
          <w:p w14:paraId="06A3E0A8">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参与评审的价格为评标基准价的其价格得分得满分30分。</w:t>
            </w:r>
          </w:p>
          <w:p w14:paraId="769EA624">
            <w:pPr>
              <w:adjustRightInd/>
              <w:spacing w:line="4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其他供应商价格得分按照下列公式计算：</w:t>
            </w:r>
          </w:p>
          <w:p w14:paraId="4B98C856">
            <w:pPr>
              <w:adjustRightInd/>
              <w:spacing w:line="400" w:lineRule="exact"/>
              <w:rPr>
                <w:rFonts w:ascii="宋体" w:hAnsi="宋体" w:cs="宋体"/>
                <w:bCs/>
                <w:color w:val="auto"/>
                <w:szCs w:val="21"/>
                <w:highlight w:val="none"/>
              </w:rPr>
            </w:pPr>
            <w:r>
              <w:rPr>
                <w:rFonts w:hint="eastAsia" w:ascii="宋体" w:hAnsi="宋体" w:cs="宋体"/>
                <w:bCs/>
                <w:color w:val="auto"/>
                <w:kern w:val="0"/>
                <w:szCs w:val="21"/>
                <w:highlight w:val="none"/>
              </w:rPr>
              <w:t>价格得分=（评标基准价/参与评审的价格）×30%×100。</w:t>
            </w:r>
          </w:p>
        </w:tc>
        <w:tc>
          <w:tcPr>
            <w:tcW w:w="780" w:type="dxa"/>
            <w:vAlign w:val="center"/>
          </w:tcPr>
          <w:p w14:paraId="3DA4E7D4">
            <w:pPr>
              <w:adjustRightInd/>
              <w:spacing w:line="400" w:lineRule="exact"/>
              <w:jc w:val="center"/>
              <w:rPr>
                <w:rFonts w:ascii="宋体" w:hAnsi="宋体" w:cs="宋体"/>
                <w:bCs/>
                <w:color w:val="auto"/>
                <w:szCs w:val="21"/>
                <w:highlight w:val="none"/>
              </w:rPr>
            </w:pPr>
            <w:r>
              <w:rPr>
                <w:rFonts w:hint="eastAsia" w:ascii="宋体" w:hAnsi="宋体" w:cs="宋体"/>
                <w:color w:val="auto"/>
                <w:kern w:val="0"/>
                <w:szCs w:val="21"/>
                <w:highlight w:val="none"/>
              </w:rPr>
              <w:t>30</w:t>
            </w:r>
          </w:p>
        </w:tc>
        <w:tc>
          <w:tcPr>
            <w:tcW w:w="761" w:type="dxa"/>
            <w:vAlign w:val="center"/>
          </w:tcPr>
          <w:p w14:paraId="5B667691">
            <w:pPr>
              <w:adjustRightInd/>
              <w:spacing w:line="400" w:lineRule="exact"/>
              <w:jc w:val="center"/>
              <w:rPr>
                <w:rFonts w:ascii="宋体" w:hAnsi="宋体" w:cs="宋体"/>
                <w:bCs/>
                <w:color w:val="auto"/>
                <w:szCs w:val="21"/>
                <w:highlight w:val="none"/>
              </w:rPr>
            </w:pPr>
            <w:r>
              <w:rPr>
                <w:rFonts w:hint="eastAsia" w:ascii="宋体" w:hAnsi="宋体" w:cs="宋体"/>
                <w:color w:val="auto"/>
                <w:szCs w:val="21"/>
                <w:highlight w:val="none"/>
                <w:lang w:val="zh-CN"/>
              </w:rPr>
              <w:t>客观评审</w:t>
            </w:r>
          </w:p>
        </w:tc>
      </w:tr>
    </w:tbl>
    <w:p w14:paraId="62154845">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shd w:val="clear" w:color="auto" w:fill="FFFFFF"/>
        </w:rPr>
        <w:t>*</w:t>
      </w:r>
      <w:r>
        <w:rPr>
          <w:rFonts w:hint="eastAsia" w:ascii="宋体" w:hAnsi="宋体" w:cs="宋体"/>
          <w:b/>
          <w:color w:val="auto"/>
          <w:szCs w:val="21"/>
          <w:highlight w:val="none"/>
        </w:rPr>
        <w:t>备注：</w:t>
      </w:r>
      <w:r>
        <w:rPr>
          <w:rFonts w:hint="eastAsia" w:ascii="宋体" w:hAnsi="宋体" w:cs="宋体"/>
          <w:color w:val="auto"/>
          <w:szCs w:val="21"/>
          <w:highlight w:val="none"/>
        </w:rPr>
        <w:t>供应商编制投标文件（商务技术文件部分）时，建议按此目录（序号和内容）提供评标标准相应的商务技术资料。 </w:t>
      </w:r>
    </w:p>
    <w:p w14:paraId="0A6882C6">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一、评标方法</w:t>
      </w:r>
    </w:p>
    <w:p w14:paraId="7287A5E3">
      <w:pPr>
        <w:adjustRightInd/>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1.本项目采用综合评分法。</w:t>
      </w:r>
      <w:r>
        <w:rPr>
          <w:rFonts w:hint="eastAsia" w:ascii="宋体" w:hAnsi="宋体" w:cs="宋体"/>
          <w:color w:val="auto"/>
          <w:kern w:val="0"/>
          <w:szCs w:val="21"/>
          <w:highlight w:val="none"/>
        </w:rPr>
        <w:t>综合评分法，是指投标文件满足招标文件全部实质性要求，且按照评审因素的量化指标评审得分排名前三的供应商为中标候选人的评标方法。</w:t>
      </w:r>
    </w:p>
    <w:p w14:paraId="605F3510">
      <w:pPr>
        <w:adjustRightInd/>
        <w:spacing w:line="360" w:lineRule="auto"/>
        <w:rPr>
          <w:rFonts w:ascii="宋体" w:hAnsi="宋体" w:cs="宋体"/>
          <w:color w:val="auto"/>
          <w:kern w:val="0"/>
          <w:szCs w:val="21"/>
          <w:highlight w:val="none"/>
        </w:rPr>
      </w:pPr>
      <w:r>
        <w:rPr>
          <w:rFonts w:hint="eastAsia" w:ascii="宋体" w:hAnsi="宋体" w:cs="宋体"/>
          <w:b/>
          <w:color w:val="auto"/>
          <w:szCs w:val="21"/>
          <w:highlight w:val="none"/>
        </w:rPr>
        <w:t>二、评标标准</w:t>
      </w:r>
    </w:p>
    <w:p w14:paraId="38402B06">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color w:val="auto"/>
          <w:szCs w:val="21"/>
          <w:highlight w:val="none"/>
        </w:rPr>
        <w:t>评标标准：</w:t>
      </w:r>
      <w:r>
        <w:rPr>
          <w:rFonts w:hint="eastAsia" w:ascii="宋体" w:hAnsi="宋体" w:cs="宋体"/>
          <w:color w:val="auto"/>
          <w:kern w:val="0"/>
          <w:szCs w:val="21"/>
          <w:highlight w:val="none"/>
        </w:rPr>
        <w:t>见评标办法前附表。</w:t>
      </w:r>
    </w:p>
    <w:p w14:paraId="72E70A31">
      <w:pPr>
        <w:spacing w:line="360" w:lineRule="auto"/>
        <w:outlineLvl w:val="0"/>
        <w:rPr>
          <w:rFonts w:ascii="宋体" w:hAnsi="宋体" w:cs="宋体"/>
          <w:b/>
          <w:color w:val="auto"/>
          <w:szCs w:val="21"/>
          <w:highlight w:val="none"/>
        </w:rPr>
      </w:pPr>
      <w:r>
        <w:rPr>
          <w:rFonts w:hint="eastAsia" w:ascii="宋体" w:hAnsi="宋体" w:cs="宋体"/>
          <w:b/>
          <w:color w:val="auto"/>
          <w:szCs w:val="21"/>
          <w:highlight w:val="none"/>
        </w:rPr>
        <w:t>三、评标程序</w:t>
      </w:r>
    </w:p>
    <w:p w14:paraId="5984309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3.1符合性审查。</w:t>
      </w:r>
      <w:r>
        <w:rPr>
          <w:rFonts w:hint="eastAsia" w:ascii="宋体" w:hAnsi="宋体" w:cs="宋体"/>
          <w:color w:val="auto"/>
          <w:kern w:val="0"/>
          <w:szCs w:val="21"/>
          <w:highlight w:val="none"/>
        </w:rPr>
        <w:t>评标委员会应当对符合资格的供应商的投标文件进行符合性审查，以确定其是否满足招标文件的实质性要求。不满足招标文件的实质性要求的，投标无效。</w:t>
      </w:r>
    </w:p>
    <w:p w14:paraId="1417A088">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3.2 比较与评价。</w:t>
      </w:r>
      <w:r>
        <w:rPr>
          <w:rFonts w:hint="eastAsia" w:ascii="宋体" w:hAnsi="宋体" w:cs="宋体"/>
          <w:color w:val="auto"/>
          <w:kern w:val="0"/>
          <w:szCs w:val="21"/>
          <w:highlight w:val="none"/>
        </w:rPr>
        <w:t>评标委员会应当按照招标文件中规定的评标方法和标准，对符合性审查合格的投标文件进行商务和技术评估，综合比较与评价。</w:t>
      </w:r>
    </w:p>
    <w:p w14:paraId="1EEF0096">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3.3汇总商务技术得分。</w:t>
      </w:r>
      <w:r>
        <w:rPr>
          <w:rFonts w:hint="eastAsia" w:ascii="宋体" w:hAnsi="宋体" w:cs="宋体"/>
          <w:color w:val="auto"/>
          <w:kern w:val="0"/>
          <w:szCs w:val="21"/>
          <w:highlight w:val="none"/>
        </w:rPr>
        <w:t>评标委员会各成员应当独立对每个供应商的商务和技术文件进行评价，并汇总商务技术得分情况。商务和技术文件评审结束后进行报价文件评审。</w:t>
      </w:r>
    </w:p>
    <w:p w14:paraId="5BF0912A">
      <w:pPr>
        <w:spacing w:line="360" w:lineRule="auto"/>
        <w:ind w:firstLine="413" w:firstLineChars="196"/>
        <w:rPr>
          <w:rFonts w:ascii="宋体" w:hAnsi="宋体" w:cs="宋体"/>
          <w:b/>
          <w:color w:val="auto"/>
          <w:kern w:val="0"/>
          <w:szCs w:val="21"/>
          <w:highlight w:val="none"/>
        </w:rPr>
      </w:pPr>
      <w:r>
        <w:rPr>
          <w:rFonts w:hint="eastAsia" w:ascii="宋体" w:hAnsi="宋体" w:cs="宋体"/>
          <w:b/>
          <w:color w:val="auto"/>
          <w:kern w:val="0"/>
          <w:szCs w:val="21"/>
          <w:highlight w:val="none"/>
        </w:rPr>
        <w:t>3.4报价评审。</w:t>
      </w:r>
    </w:p>
    <w:p w14:paraId="095DD876">
      <w:pPr>
        <w:pStyle w:val="131"/>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3.4.1投标文件报价出现前后不一致的，按照下列规定修正：</w:t>
      </w:r>
    </w:p>
    <w:p w14:paraId="628666E9">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3.4.1.1投标文件中开标一览表(报价表)内容与投标文件中相应内容不一致的，以开标一览表(报价表)为准;</w:t>
      </w:r>
    </w:p>
    <w:p w14:paraId="3F5908BD">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3.4.1.2大写金额和小写金额不一致的，以大写金额为准;</w:t>
      </w:r>
    </w:p>
    <w:p w14:paraId="0856CD5B">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3.4.1.3单价金额小数点或者百分比有明显错位的，以开标一览表的总价为准，并修改单价;</w:t>
      </w:r>
    </w:p>
    <w:p w14:paraId="092476E6">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3.4.1.4总价金额与按单价汇总金额不一致的，以单价金额计算结果为准。</w:t>
      </w:r>
    </w:p>
    <w:p w14:paraId="6FA60F3E">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《政府采购货物和服务招标投标管理办法》第五十一条第二款的规定经供应商确认后产生约束力。</w:t>
      </w:r>
    </w:p>
    <w:p w14:paraId="6B220A97">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3.4.2投标文件出现不是唯一的、有选择性投标报价的，投标无效。</w:t>
      </w:r>
    </w:p>
    <w:p w14:paraId="3AC8B7DA">
      <w:pPr>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3.4.3投标报价超过招标文件中规定的预算金额或者最高限价的，投标无效。</w:t>
      </w:r>
    </w:p>
    <w:p w14:paraId="4E5201A8">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DF2D751">
      <w:pPr>
        <w:pStyle w:val="131"/>
        <w:spacing w:before="0"/>
        <w:ind w:firstLine="420"/>
        <w:rPr>
          <w:rFonts w:ascii="宋体" w:hAnsi="宋体" w:cs="宋体"/>
          <w:color w:val="auto"/>
          <w:kern w:val="0"/>
          <w:sz w:val="21"/>
          <w:szCs w:val="21"/>
          <w:highlight w:val="none"/>
        </w:rPr>
      </w:pPr>
      <w:r>
        <w:rPr>
          <w:rFonts w:hint="eastAsia" w:ascii="宋体" w:hAnsi="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10FD47B">
      <w:pPr>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3.5排序与推荐。</w:t>
      </w:r>
      <w:r>
        <w:rPr>
          <w:rFonts w:hint="eastAsia" w:ascii="宋体" w:hAnsi="宋体" w:cs="宋体"/>
          <w:color w:val="auto"/>
          <w:kern w:val="0"/>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评审得分第二的为第二中标候选人。</w:t>
      </w:r>
    </w:p>
    <w:p w14:paraId="4B7E7F55">
      <w:pPr>
        <w:spacing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083F0393">
      <w:pPr>
        <w:spacing w:line="360" w:lineRule="auto"/>
        <w:ind w:firstLine="413" w:firstLineChars="196"/>
        <w:rPr>
          <w:rFonts w:ascii="宋体" w:hAnsi="宋体" w:cs="宋体"/>
          <w:color w:val="auto"/>
          <w:kern w:val="0"/>
          <w:szCs w:val="21"/>
          <w:highlight w:val="none"/>
        </w:rPr>
      </w:pPr>
      <w:r>
        <w:rPr>
          <w:rFonts w:hint="eastAsia" w:ascii="宋体" w:hAnsi="宋体" w:cs="宋体"/>
          <w:b/>
          <w:color w:val="auto"/>
          <w:kern w:val="0"/>
          <w:szCs w:val="21"/>
          <w:highlight w:val="none"/>
        </w:rPr>
        <w:t>3.6编写评标报告。</w:t>
      </w:r>
      <w:r>
        <w:rPr>
          <w:rFonts w:hint="eastAsia" w:ascii="宋体" w:hAnsi="宋体" w:cs="宋体"/>
          <w:color w:val="auto"/>
          <w:kern w:val="0"/>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E3B5435">
      <w:pPr>
        <w:widowControl/>
        <w:shd w:val="clear" w:color="auto" w:fill="FFFFFF"/>
        <w:adjustRightInd/>
        <w:spacing w:after="225" w:line="315" w:lineRule="atLeast"/>
        <w:jc w:val="left"/>
        <w:rPr>
          <w:rFonts w:ascii="宋体" w:hAnsi="宋体" w:cs="宋体"/>
          <w:b/>
          <w:color w:val="auto"/>
          <w:szCs w:val="21"/>
          <w:highlight w:val="none"/>
        </w:rPr>
      </w:pPr>
      <w:r>
        <w:rPr>
          <w:rFonts w:hint="eastAsia" w:ascii="宋体" w:hAnsi="宋体" w:cs="宋体"/>
          <w:b/>
          <w:color w:val="auto"/>
          <w:szCs w:val="21"/>
          <w:highlight w:val="none"/>
        </w:rPr>
        <w:t>四、评标中的其他事项</w:t>
      </w:r>
    </w:p>
    <w:p w14:paraId="1B197AD8">
      <w:pPr>
        <w:pStyle w:val="131"/>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1646D54F">
      <w:pPr>
        <w:pStyle w:val="26"/>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4.2投标无效。</w:t>
      </w:r>
      <w:r>
        <w:rPr>
          <w:rFonts w:hint="eastAsia" w:cs="宋体"/>
          <w:color w:val="auto"/>
          <w:sz w:val="21"/>
          <w:szCs w:val="21"/>
          <w:highlight w:val="none"/>
        </w:rPr>
        <w:t>有下列情形之一的，投标无效：</w:t>
      </w:r>
    </w:p>
    <w:p w14:paraId="38203E57">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4.2.1供应商不具备招标文件中规定的资格要求的（供应商未提供有效的资格文件的，视为供应商不具备招标文件中规定的资格要求）；</w:t>
      </w:r>
    </w:p>
    <w:p w14:paraId="4992EB7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4.2.2投标文件未按照招标文件要求签署、盖章的；</w:t>
      </w:r>
    </w:p>
    <w:p w14:paraId="775662E0">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4.2.3采购人拟采购的产品属于政府强制采购的节能产品品目清单范围的，供应商相应的投标产品未获得国家确定的认证机构出具的、处于有效期之内的节能产品认证证书的；</w:t>
      </w:r>
    </w:p>
    <w:p w14:paraId="14268B1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4.2.4投标文件含有采购人不能接受的附加条件的；</w:t>
      </w:r>
    </w:p>
    <w:p w14:paraId="731256EF">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4.2.5投标文件中承诺的投标有效期少于招标文件中载明的投标有效期的；</w:t>
      </w:r>
    </w:p>
    <w:p w14:paraId="000A9B3F">
      <w:pPr>
        <w:snapToGrid w:val="0"/>
        <w:spacing w:line="360" w:lineRule="auto"/>
        <w:ind w:firstLine="105" w:firstLineChars="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4.2.6投标文件出现不是唯一的、有选择性投标报价的；</w:t>
      </w:r>
    </w:p>
    <w:p w14:paraId="54794B7A">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4.2.7投标报价超过招标文件中规定的预算金额或者最高限价的；</w:t>
      </w:r>
    </w:p>
    <w:p w14:paraId="6134840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4.2.8报价明显低于其他通过符合性审查供应商的报价，有可能影响产品质量或者不能诚信履约的，未能按要求提供书面说明或者提交相关证明材料，不能证明其报价合理性的；</w:t>
      </w:r>
    </w:p>
    <w:p w14:paraId="648A0DB1">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4.2.9供应商对根据修正原则修正后的报价不确认的；</w:t>
      </w:r>
    </w:p>
    <w:p w14:paraId="6351513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4.2.10供应商提供虚假材料投标的；</w:t>
      </w:r>
    </w:p>
    <w:p w14:paraId="2B688039">
      <w:pPr>
        <w:spacing w:line="360" w:lineRule="auto"/>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 xml:space="preserve">  4.2.11供应商有恶意串通、妨碍其他供应商的竞争行为、损害采购人或者其他供应商的合法权益情形的；</w:t>
      </w:r>
    </w:p>
    <w:p w14:paraId="6C85F62C">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4.2.12供应商仅提交备份投标文件，未在电子交易平台传输递交投标文件的，投标无效；</w:t>
      </w:r>
    </w:p>
    <w:p w14:paraId="350C183C">
      <w:pPr>
        <w:pStyle w:val="3"/>
        <w:ind w:left="862" w:leftChars="205"/>
        <w:rPr>
          <w:rFonts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4.2.13 投标文件不满足招标文件的其它实质性要求的；</w:t>
      </w:r>
    </w:p>
    <w:p w14:paraId="1098AE9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4.2.14法律、法规、规章（适用本市的）及省级以上规范性文件（适用本市的）规定的其他无效情形。</w:t>
      </w:r>
    </w:p>
    <w:p w14:paraId="2E21D7C7">
      <w:pPr>
        <w:pStyle w:val="26"/>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5.废标。</w:t>
      </w:r>
      <w:r>
        <w:rPr>
          <w:rFonts w:hint="eastAsia" w:cs="宋体"/>
          <w:color w:val="auto"/>
          <w:sz w:val="21"/>
          <w:szCs w:val="21"/>
          <w:highlight w:val="none"/>
        </w:rPr>
        <w:t>根据《中华人民共和国政府采购法》第三十六条之规定，在采购中，出现下列情形之一的，应予废标：</w:t>
      </w:r>
    </w:p>
    <w:p w14:paraId="23D00E78">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5.1符合专业条件的供应商或者对招标文件作实质响应的供应商不足3家的；</w:t>
      </w:r>
    </w:p>
    <w:p w14:paraId="162B3353">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5.2出现影响采购公正的违法、违规行为的；</w:t>
      </w:r>
    </w:p>
    <w:p w14:paraId="1C3217EA">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5.3供应商的报价均超过了采购预算，采购人不能支付的；</w:t>
      </w:r>
    </w:p>
    <w:p w14:paraId="361FE1CE">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5.4因重大变故，采购任务取消的。</w:t>
      </w:r>
    </w:p>
    <w:p w14:paraId="2A057F1F">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废标后，采购代理机构应当将废标理由通知所有供应商。</w:t>
      </w:r>
    </w:p>
    <w:p w14:paraId="26BA7BE7">
      <w:pPr>
        <w:pStyle w:val="26"/>
        <w:snapToGrid w:val="0"/>
        <w:spacing w:line="360" w:lineRule="auto"/>
        <w:ind w:firstLine="517" w:firstLineChars="245"/>
        <w:rPr>
          <w:rFonts w:cs="宋体"/>
          <w:color w:val="auto"/>
          <w:sz w:val="21"/>
          <w:szCs w:val="21"/>
          <w:highlight w:val="none"/>
        </w:rPr>
      </w:pPr>
      <w:r>
        <w:rPr>
          <w:rFonts w:hint="eastAsia" w:cs="宋体"/>
          <w:b/>
          <w:color w:val="auto"/>
          <w:sz w:val="21"/>
          <w:szCs w:val="21"/>
          <w:highlight w:val="none"/>
        </w:rPr>
        <w:t>6.修改招标文件，重新组织采购活动。</w:t>
      </w:r>
      <w:r>
        <w:rPr>
          <w:rFonts w:hint="eastAsia" w:cs="宋体"/>
          <w:color w:val="auto"/>
          <w:sz w:val="21"/>
          <w:szCs w:val="21"/>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7A76469">
      <w:pPr>
        <w:pStyle w:val="26"/>
        <w:snapToGrid w:val="0"/>
        <w:spacing w:line="360" w:lineRule="auto"/>
        <w:ind w:firstLine="422"/>
        <w:rPr>
          <w:rFonts w:cs="宋体"/>
          <w:color w:val="auto"/>
          <w:sz w:val="21"/>
          <w:szCs w:val="21"/>
          <w:highlight w:val="none"/>
        </w:rPr>
      </w:pPr>
      <w:r>
        <w:rPr>
          <w:rFonts w:hint="eastAsia" w:cs="宋体"/>
          <w:b/>
          <w:color w:val="auto"/>
          <w:kern w:val="0"/>
          <w:sz w:val="21"/>
          <w:szCs w:val="21"/>
          <w:highlight w:val="none"/>
        </w:rPr>
        <w:t>7.重新开展采购。</w:t>
      </w:r>
      <w:r>
        <w:rPr>
          <w:rFonts w:hint="eastAsia" w:cs="宋体"/>
          <w:color w:val="auto"/>
          <w:sz w:val="21"/>
          <w:szCs w:val="21"/>
          <w:highlight w:val="none"/>
        </w:rPr>
        <w:t>有政府采购法第七十一条、第七十二条规定的违法行为之一，影响或者可能影响中标结果的，依照下列规定处理：</w:t>
      </w:r>
    </w:p>
    <w:p w14:paraId="2A30D9B3">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7.1未确定中标供应商的，终止本次政府采购活动，重新开展政府采购活动。</w:t>
      </w:r>
    </w:p>
    <w:p w14:paraId="1C0E6296">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1B36FD4F">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7.3政府采购合同已签订但尚未履行的，撤销合同，从合格的中标候选人中另行确定中标供应商；没有合格的中标候选人的，重新开展政府采购活动。</w:t>
      </w:r>
    </w:p>
    <w:p w14:paraId="4F45C326">
      <w:pPr>
        <w:pStyle w:val="26"/>
        <w:snapToGrid w:val="0"/>
        <w:spacing w:line="360" w:lineRule="auto"/>
        <w:ind w:firstLine="420"/>
        <w:rPr>
          <w:rFonts w:cs="宋体"/>
          <w:color w:val="auto"/>
          <w:sz w:val="21"/>
          <w:szCs w:val="21"/>
          <w:highlight w:val="none"/>
        </w:rPr>
      </w:pPr>
      <w:r>
        <w:rPr>
          <w:rFonts w:hint="eastAsia" w:cs="宋体"/>
          <w:color w:val="auto"/>
          <w:sz w:val="21"/>
          <w:szCs w:val="21"/>
          <w:highlight w:val="none"/>
        </w:rPr>
        <w:t>7.4政府采购合同已经履行，给采购人、供应商造成损失的，由责任人承担赔偿责任。</w:t>
      </w:r>
    </w:p>
    <w:p w14:paraId="3FF4BB97">
      <w:pPr>
        <w:pStyle w:val="26"/>
        <w:snapToGrid w:val="0"/>
        <w:spacing w:line="360" w:lineRule="auto"/>
        <w:ind w:firstLine="420"/>
        <w:rPr>
          <w:rFonts w:cs="宋体"/>
          <w:color w:val="auto"/>
          <w:highlight w:val="none"/>
        </w:rPr>
      </w:pPr>
      <w:r>
        <w:rPr>
          <w:rFonts w:hint="eastAsia"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299C534E">
      <w:pPr>
        <w:pStyle w:val="26"/>
        <w:snapToGrid w:val="0"/>
        <w:spacing w:line="360" w:lineRule="auto"/>
        <w:ind w:firstLine="0" w:firstLineChars="0"/>
        <w:rPr>
          <w:rFonts w:cs="宋体"/>
          <w:color w:val="auto"/>
          <w:highlight w:val="none"/>
        </w:rPr>
      </w:pPr>
    </w:p>
    <w:bookmarkEnd w:id="28"/>
    <w:p w14:paraId="4B7DDCC7">
      <w:pPr>
        <w:rPr>
          <w:rFonts w:ascii="宋体" w:hAnsi="宋体" w:cs="宋体"/>
          <w:b/>
          <w:color w:val="auto"/>
          <w:sz w:val="36"/>
          <w:szCs w:val="36"/>
          <w:highlight w:val="none"/>
        </w:rPr>
      </w:pPr>
      <w:bookmarkStart w:id="396" w:name="第五部分"/>
      <w:bookmarkStart w:id="397" w:name="_Toc86217003"/>
    </w:p>
    <w:p w14:paraId="44B443A2">
      <w:pPr>
        <w:pStyle w:val="80"/>
        <w:rPr>
          <w:color w:val="auto"/>
          <w:highlight w:val="none"/>
          <w:lang w:val="en-US" w:eastAsia="zh-CN"/>
        </w:rPr>
      </w:pPr>
    </w:p>
    <w:p w14:paraId="0F3C0768">
      <w:pPr>
        <w:pStyle w:val="80"/>
        <w:rPr>
          <w:color w:val="auto"/>
          <w:highlight w:val="none"/>
          <w:lang w:val="en-US" w:eastAsia="zh-CN"/>
        </w:rPr>
      </w:pPr>
    </w:p>
    <w:p w14:paraId="2576C70C">
      <w:pPr>
        <w:pStyle w:val="80"/>
        <w:rPr>
          <w:color w:val="auto"/>
          <w:highlight w:val="none"/>
          <w:lang w:val="en-US" w:eastAsia="zh-CN"/>
        </w:rPr>
      </w:pPr>
    </w:p>
    <w:p w14:paraId="46BC8860">
      <w:pPr>
        <w:pStyle w:val="80"/>
        <w:rPr>
          <w:color w:val="auto"/>
          <w:highlight w:val="none"/>
          <w:lang w:val="en-US" w:eastAsia="zh-CN"/>
        </w:rPr>
      </w:pPr>
    </w:p>
    <w:p w14:paraId="67F4FE18">
      <w:pPr>
        <w:pStyle w:val="80"/>
        <w:rPr>
          <w:color w:val="auto"/>
          <w:highlight w:val="none"/>
          <w:lang w:val="en-US" w:eastAsia="zh-CN"/>
        </w:rPr>
      </w:pPr>
    </w:p>
    <w:p w14:paraId="46E20FE7">
      <w:pPr>
        <w:pStyle w:val="80"/>
        <w:rPr>
          <w:color w:val="auto"/>
          <w:highlight w:val="none"/>
          <w:lang w:val="en-US" w:eastAsia="zh-CN"/>
        </w:rPr>
      </w:pPr>
    </w:p>
    <w:p w14:paraId="31C87180">
      <w:pPr>
        <w:pStyle w:val="80"/>
        <w:rPr>
          <w:color w:val="auto"/>
          <w:highlight w:val="none"/>
          <w:lang w:val="en-US" w:eastAsia="zh-CN"/>
        </w:rPr>
      </w:pPr>
    </w:p>
    <w:p w14:paraId="650BB0E7">
      <w:pPr>
        <w:widowControl/>
        <w:adjustRightInd/>
        <w:ind w:firstLine="2168" w:firstLineChars="600"/>
        <w:jc w:val="left"/>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44239BC1">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甲方：（采购人）</w:t>
      </w:r>
    </w:p>
    <w:p w14:paraId="6D7F937C">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14:paraId="77614043">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14:paraId="182BD17E">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乙方：（中标人）</w:t>
      </w:r>
    </w:p>
    <w:p w14:paraId="7F67D763">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住所地：</w:t>
      </w:r>
    </w:p>
    <w:p w14:paraId="2E4D011C">
      <w:pPr>
        <w:spacing w:line="440" w:lineRule="exact"/>
        <w:contextualSpacing/>
        <w:jc w:val="left"/>
        <w:rPr>
          <w:rFonts w:ascii="宋体" w:hAnsi="宋体" w:cs="宋体"/>
          <w:bCs/>
          <w:color w:val="auto"/>
          <w:szCs w:val="21"/>
          <w:highlight w:val="none"/>
        </w:rPr>
      </w:pPr>
      <w:r>
        <w:rPr>
          <w:rFonts w:hint="eastAsia" w:ascii="宋体" w:hAnsi="宋体" w:cs="宋体"/>
          <w:bCs/>
          <w:color w:val="auto"/>
          <w:szCs w:val="21"/>
          <w:highlight w:val="none"/>
        </w:rPr>
        <w:t>联系方式：</w:t>
      </w:r>
    </w:p>
    <w:p w14:paraId="38E9FBD1">
      <w:pPr>
        <w:spacing w:line="360" w:lineRule="auto"/>
        <w:rPr>
          <w:rFonts w:ascii="宋体" w:hAnsi="宋体" w:eastAsia="Times New Roman" w:cs="仿宋"/>
          <w:b/>
          <w:bCs/>
          <w:color w:val="auto"/>
          <w:highlight w:val="none"/>
        </w:rPr>
      </w:pPr>
    </w:p>
    <w:p w14:paraId="1FAB8791">
      <w:pPr>
        <w:spacing w:line="400" w:lineRule="exact"/>
        <w:ind w:firstLine="420" w:firstLineChars="200"/>
        <w:rPr>
          <w:rFonts w:ascii="宋体" w:hAnsi="宋体" w:cs="宋体"/>
          <w:b/>
          <w:color w:val="auto"/>
          <w:szCs w:val="24"/>
          <w:highlight w:val="none"/>
          <w:u w:val="single"/>
        </w:rPr>
      </w:pPr>
      <w:r>
        <w:rPr>
          <w:rFonts w:hint="eastAsia" w:ascii="宋体" w:hAnsi="宋体" w:cs="宋体"/>
          <w:color w:val="auto"/>
          <w:szCs w:val="21"/>
          <w:highlight w:val="none"/>
        </w:rPr>
        <w:t>经公开招标采购（项目编号：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）及双方友好协商，</w:t>
      </w:r>
      <w:r>
        <w:rPr>
          <w:rFonts w:hint="eastAsia" w:ascii="宋体" w:hAnsi="宋体" w:cs="宋体"/>
          <w:color w:val="auto"/>
          <w:szCs w:val="21"/>
          <w:highlight w:val="none"/>
          <w:u w:val="single"/>
        </w:rPr>
        <w:t>浙江万里学院</w:t>
      </w:r>
      <w:r>
        <w:rPr>
          <w:rFonts w:hint="eastAsia" w:ascii="宋体" w:hAnsi="宋体" w:cs="宋体"/>
          <w:color w:val="auto"/>
          <w:szCs w:val="21"/>
          <w:highlight w:val="none"/>
        </w:rPr>
        <w:t>（以下简称甲方）与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（以下简称乙方）就甲方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项目向乙方采购以下产品，达成如下协议，并签订本合同书及合同技术附件。投标文件作为本合同技术附件，与本合同具有同等法律效力。</w:t>
      </w:r>
    </w:p>
    <w:p w14:paraId="4E45D94E">
      <w:pPr>
        <w:spacing w:line="400" w:lineRule="exact"/>
        <w:ind w:firstLine="420" w:firstLineChars="200"/>
        <w:rPr>
          <w:color w:val="auto"/>
          <w:highlight w:val="none"/>
        </w:rPr>
      </w:pPr>
      <w:r>
        <w:rPr>
          <w:rFonts w:hint="eastAsia" w:ascii="宋体" w:hAnsi="宋体" w:cs="宋体"/>
          <w:color w:val="auto"/>
          <w:szCs w:val="24"/>
          <w:highlight w:val="none"/>
        </w:rPr>
        <w:t>下列文件构成本合同的组成部分，认为是一个整体，彼此互相补充。为便于解释，组成合同的多个文件的优先支配地位的次序如下：a，本合同书；b，本合同书的附件；c，乙方的投标文件；d，甲方的招标文件。</w:t>
      </w:r>
    </w:p>
    <w:p w14:paraId="48F5ED06">
      <w:pPr>
        <w:pStyle w:val="791"/>
        <w:spacing w:line="400" w:lineRule="exact"/>
        <w:ind w:firstLine="0" w:firstLineChars="0"/>
        <w:rPr>
          <w:b/>
          <w:bCs/>
          <w:color w:val="auto"/>
          <w:highlight w:val="none"/>
        </w:rPr>
      </w:pPr>
      <w:r>
        <w:rPr>
          <w:rFonts w:hint="eastAsia"/>
          <w:b/>
          <w:bCs/>
          <w:color w:val="auto"/>
          <w:szCs w:val="21"/>
          <w:highlight w:val="none"/>
        </w:rPr>
        <w:t>一、</w:t>
      </w:r>
      <w:r>
        <w:rPr>
          <w:rFonts w:hint="eastAsia"/>
          <w:b/>
          <w:bCs/>
          <w:color w:val="auto"/>
          <w:highlight w:val="none"/>
        </w:rPr>
        <w:t>合同</w:t>
      </w:r>
      <w:r>
        <w:rPr>
          <w:b/>
          <w:bCs/>
          <w:color w:val="auto"/>
          <w:highlight w:val="none"/>
        </w:rPr>
        <w:t>内容</w:t>
      </w:r>
    </w:p>
    <w:tbl>
      <w:tblPr>
        <w:tblStyle w:val="6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83"/>
        <w:gridCol w:w="1555"/>
        <w:gridCol w:w="1336"/>
        <w:gridCol w:w="901"/>
        <w:gridCol w:w="1064"/>
        <w:gridCol w:w="1080"/>
        <w:gridCol w:w="841"/>
      </w:tblGrid>
      <w:tr w14:paraId="353E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662" w:type="dxa"/>
            <w:shd w:val="clear" w:color="auto" w:fill="auto"/>
            <w:vAlign w:val="center"/>
          </w:tcPr>
          <w:p w14:paraId="1E2C5DD2">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083" w:type="dxa"/>
            <w:shd w:val="clear" w:color="auto" w:fill="auto"/>
            <w:vAlign w:val="center"/>
          </w:tcPr>
          <w:p w14:paraId="29C765CC">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产品名称</w:t>
            </w:r>
          </w:p>
        </w:tc>
        <w:tc>
          <w:tcPr>
            <w:tcW w:w="1555" w:type="dxa"/>
            <w:shd w:val="clear" w:color="auto" w:fill="auto"/>
            <w:vAlign w:val="center"/>
          </w:tcPr>
          <w:p w14:paraId="06094C95">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产地、品牌</w:t>
            </w:r>
          </w:p>
        </w:tc>
        <w:tc>
          <w:tcPr>
            <w:tcW w:w="1336" w:type="dxa"/>
            <w:shd w:val="clear" w:color="auto" w:fill="auto"/>
            <w:vAlign w:val="center"/>
          </w:tcPr>
          <w:p w14:paraId="0F7BDEF0">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规格型号</w:t>
            </w:r>
          </w:p>
        </w:tc>
        <w:tc>
          <w:tcPr>
            <w:tcW w:w="901" w:type="dxa"/>
            <w:shd w:val="clear" w:color="auto" w:fill="auto"/>
            <w:vAlign w:val="center"/>
          </w:tcPr>
          <w:p w14:paraId="1639387A">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064" w:type="dxa"/>
            <w:shd w:val="clear" w:color="auto" w:fill="auto"/>
            <w:vAlign w:val="center"/>
          </w:tcPr>
          <w:p w14:paraId="33976D98">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单价（元）</w:t>
            </w:r>
          </w:p>
        </w:tc>
        <w:tc>
          <w:tcPr>
            <w:tcW w:w="1080" w:type="dxa"/>
            <w:shd w:val="clear" w:color="auto" w:fill="auto"/>
            <w:vAlign w:val="center"/>
          </w:tcPr>
          <w:p w14:paraId="0ABBA7B7">
            <w:pPr>
              <w:spacing w:line="360" w:lineRule="auto"/>
              <w:rPr>
                <w:rFonts w:ascii="宋体" w:hAnsi="宋体" w:cs="宋体"/>
                <w:b/>
                <w:bCs/>
                <w:color w:val="auto"/>
                <w:kern w:val="0"/>
                <w:szCs w:val="21"/>
                <w:highlight w:val="none"/>
              </w:rPr>
            </w:pPr>
            <w:r>
              <w:rPr>
                <w:rFonts w:hint="eastAsia" w:ascii="宋体" w:hAnsi="宋体" w:cs="宋体"/>
                <w:b/>
                <w:bCs/>
                <w:color w:val="auto"/>
                <w:szCs w:val="21"/>
                <w:highlight w:val="none"/>
              </w:rPr>
              <w:t>总价（元）</w:t>
            </w:r>
          </w:p>
        </w:tc>
        <w:tc>
          <w:tcPr>
            <w:tcW w:w="841" w:type="dxa"/>
            <w:shd w:val="clear" w:color="auto" w:fill="auto"/>
            <w:vAlign w:val="center"/>
          </w:tcPr>
          <w:p w14:paraId="470800C1">
            <w:pPr>
              <w:spacing w:line="360" w:lineRule="auto"/>
              <w:jc w:val="center"/>
              <w:rPr>
                <w:rFonts w:ascii="宋体" w:hAnsi="宋体" w:cs="宋体"/>
                <w:b/>
                <w:bCs/>
                <w:color w:val="auto"/>
                <w:kern w:val="0"/>
                <w:szCs w:val="21"/>
                <w:highlight w:val="none"/>
              </w:rPr>
            </w:pPr>
            <w:r>
              <w:rPr>
                <w:rFonts w:hint="eastAsia" w:ascii="宋体" w:hAnsi="宋体" w:cs="宋体"/>
                <w:b/>
                <w:bCs/>
                <w:color w:val="auto"/>
                <w:szCs w:val="21"/>
                <w:highlight w:val="none"/>
              </w:rPr>
              <w:t>备注</w:t>
            </w:r>
          </w:p>
        </w:tc>
      </w:tr>
      <w:tr w14:paraId="0C780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62" w:type="dxa"/>
            <w:shd w:val="clear" w:color="auto" w:fill="auto"/>
            <w:vAlign w:val="center"/>
          </w:tcPr>
          <w:p w14:paraId="1B508421">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083" w:type="dxa"/>
            <w:shd w:val="clear" w:color="auto" w:fill="auto"/>
            <w:vAlign w:val="center"/>
          </w:tcPr>
          <w:p w14:paraId="3BA6ED4A">
            <w:pPr>
              <w:widowControl/>
              <w:spacing w:line="360" w:lineRule="auto"/>
              <w:jc w:val="left"/>
              <w:rPr>
                <w:rFonts w:ascii="宋体" w:hAnsi="宋体" w:cs="宋体"/>
                <w:color w:val="auto"/>
                <w:kern w:val="0"/>
                <w:szCs w:val="21"/>
                <w:highlight w:val="none"/>
              </w:rPr>
            </w:pPr>
          </w:p>
        </w:tc>
        <w:tc>
          <w:tcPr>
            <w:tcW w:w="1555" w:type="dxa"/>
            <w:shd w:val="clear" w:color="auto" w:fill="auto"/>
            <w:vAlign w:val="center"/>
          </w:tcPr>
          <w:p w14:paraId="7990DD8A">
            <w:pPr>
              <w:widowControl/>
              <w:spacing w:line="360" w:lineRule="auto"/>
              <w:jc w:val="left"/>
              <w:rPr>
                <w:rFonts w:ascii="宋体" w:hAnsi="宋体" w:cs="宋体"/>
                <w:color w:val="auto"/>
                <w:kern w:val="0"/>
                <w:szCs w:val="21"/>
                <w:highlight w:val="none"/>
              </w:rPr>
            </w:pPr>
          </w:p>
        </w:tc>
        <w:tc>
          <w:tcPr>
            <w:tcW w:w="1336" w:type="dxa"/>
            <w:shd w:val="clear" w:color="auto" w:fill="auto"/>
            <w:vAlign w:val="center"/>
          </w:tcPr>
          <w:p w14:paraId="79EFDA04">
            <w:pPr>
              <w:widowControl/>
              <w:spacing w:line="360" w:lineRule="auto"/>
              <w:rPr>
                <w:rFonts w:ascii="宋体" w:hAnsi="宋体" w:cs="宋体"/>
                <w:color w:val="auto"/>
                <w:kern w:val="0"/>
                <w:szCs w:val="21"/>
                <w:highlight w:val="none"/>
              </w:rPr>
            </w:pPr>
          </w:p>
        </w:tc>
        <w:tc>
          <w:tcPr>
            <w:tcW w:w="901" w:type="dxa"/>
            <w:shd w:val="clear" w:color="auto" w:fill="auto"/>
            <w:vAlign w:val="center"/>
          </w:tcPr>
          <w:p w14:paraId="73EFDE2D">
            <w:pPr>
              <w:widowControl/>
              <w:spacing w:line="360" w:lineRule="auto"/>
              <w:jc w:val="center"/>
              <w:rPr>
                <w:rFonts w:ascii="宋体" w:hAnsi="宋体" w:cs="宋体"/>
                <w:color w:val="auto"/>
                <w:kern w:val="0"/>
                <w:szCs w:val="21"/>
                <w:highlight w:val="none"/>
              </w:rPr>
            </w:pPr>
          </w:p>
        </w:tc>
        <w:tc>
          <w:tcPr>
            <w:tcW w:w="1064" w:type="dxa"/>
            <w:shd w:val="clear" w:color="auto" w:fill="auto"/>
          </w:tcPr>
          <w:p w14:paraId="3858A317">
            <w:pPr>
              <w:widowControl/>
              <w:spacing w:line="360" w:lineRule="auto"/>
              <w:jc w:val="center"/>
              <w:rPr>
                <w:rFonts w:ascii="宋体" w:hAnsi="宋体" w:cs="宋体"/>
                <w:color w:val="auto"/>
                <w:kern w:val="0"/>
                <w:szCs w:val="21"/>
                <w:highlight w:val="none"/>
              </w:rPr>
            </w:pPr>
          </w:p>
        </w:tc>
        <w:tc>
          <w:tcPr>
            <w:tcW w:w="1080" w:type="dxa"/>
            <w:shd w:val="clear" w:color="auto" w:fill="auto"/>
          </w:tcPr>
          <w:p w14:paraId="060B65FB">
            <w:pPr>
              <w:widowControl/>
              <w:spacing w:line="360" w:lineRule="auto"/>
              <w:jc w:val="center"/>
              <w:rPr>
                <w:rFonts w:ascii="宋体" w:hAnsi="宋体" w:cs="宋体"/>
                <w:color w:val="auto"/>
                <w:kern w:val="0"/>
                <w:szCs w:val="21"/>
                <w:highlight w:val="none"/>
              </w:rPr>
            </w:pPr>
          </w:p>
        </w:tc>
        <w:tc>
          <w:tcPr>
            <w:tcW w:w="841" w:type="dxa"/>
            <w:shd w:val="clear" w:color="auto" w:fill="auto"/>
          </w:tcPr>
          <w:p w14:paraId="13E6F970">
            <w:pPr>
              <w:widowControl/>
              <w:spacing w:line="360" w:lineRule="auto"/>
              <w:jc w:val="center"/>
              <w:rPr>
                <w:rFonts w:ascii="宋体" w:hAnsi="宋体" w:cs="宋体"/>
                <w:color w:val="auto"/>
                <w:kern w:val="0"/>
                <w:szCs w:val="21"/>
                <w:highlight w:val="none"/>
              </w:rPr>
            </w:pPr>
          </w:p>
        </w:tc>
      </w:tr>
      <w:tr w14:paraId="7126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636" w:type="dxa"/>
            <w:gridSpan w:val="4"/>
            <w:shd w:val="clear" w:color="auto" w:fill="auto"/>
            <w:vAlign w:val="center"/>
          </w:tcPr>
          <w:p w14:paraId="077A4BD9">
            <w:pPr>
              <w:pStyle w:val="966"/>
              <w:spacing w:line="360" w:lineRule="auto"/>
              <w:ind w:firstLine="0" w:firstLineChars="0"/>
              <w:jc w:val="left"/>
              <w:rPr>
                <w:rFonts w:ascii="宋体" w:hAnsi="宋体" w:cs="宋体"/>
                <w:color w:val="auto"/>
                <w:kern w:val="0"/>
                <w:szCs w:val="21"/>
                <w:highlight w:val="none"/>
              </w:rPr>
            </w:pPr>
            <w:r>
              <w:rPr>
                <w:rFonts w:hint="eastAsia" w:ascii="宋体" w:hAnsi="宋体" w:cs="宋体"/>
                <w:b/>
                <w:bCs/>
                <w:color w:val="auto"/>
                <w:sz w:val="18"/>
                <w:szCs w:val="18"/>
                <w:highlight w:val="none"/>
                <w:lang w:val="zh-CN"/>
              </w:rPr>
              <w:t>合计大写：</w:t>
            </w:r>
          </w:p>
        </w:tc>
        <w:tc>
          <w:tcPr>
            <w:tcW w:w="3886" w:type="dxa"/>
            <w:gridSpan w:val="4"/>
            <w:shd w:val="clear" w:color="auto" w:fill="auto"/>
            <w:vAlign w:val="center"/>
          </w:tcPr>
          <w:p w14:paraId="433955E0">
            <w:pPr>
              <w:spacing w:line="360" w:lineRule="auto"/>
              <w:jc w:val="left"/>
              <w:rPr>
                <w:rFonts w:ascii="宋体" w:hAnsi="宋体" w:cs="宋体"/>
                <w:b/>
                <w:bCs/>
                <w:color w:val="auto"/>
                <w:kern w:val="0"/>
                <w:szCs w:val="21"/>
                <w:highlight w:val="none"/>
              </w:rPr>
            </w:pPr>
            <w:r>
              <w:rPr>
                <w:rFonts w:hint="eastAsia" w:ascii="宋体" w:hAnsi="宋体" w:cs="宋体"/>
                <w:b/>
                <w:bCs/>
                <w:color w:val="auto"/>
                <w:sz w:val="18"/>
                <w:szCs w:val="18"/>
                <w:highlight w:val="none"/>
                <w:lang w:val="zh-CN"/>
              </w:rPr>
              <w:t>合计小写：</w:t>
            </w:r>
          </w:p>
        </w:tc>
      </w:tr>
    </w:tbl>
    <w:p w14:paraId="5703B705">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二、合同金额</w:t>
      </w:r>
    </w:p>
    <w:p w14:paraId="57CB5417">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本合同金额为（大写）：</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元）人民币。</w:t>
      </w:r>
      <w:r>
        <w:rPr>
          <w:rFonts w:hint="eastAsia" w:hAnsi="宋体" w:cs="宋体"/>
          <w:color w:val="auto"/>
          <w:szCs w:val="21"/>
          <w:highlight w:val="none"/>
        </w:rPr>
        <w:t>上述合同金额是履行合同的最终价格，</w:t>
      </w:r>
      <w:r>
        <w:rPr>
          <w:rFonts w:hint="eastAsia" w:ascii="宋体" w:hAnsi="宋体" w:cs="宋体"/>
          <w:color w:val="auto"/>
          <w:szCs w:val="21"/>
          <w:highlight w:val="none"/>
        </w:rPr>
        <w:t>应包含本项目经</w:t>
      </w:r>
      <w:r>
        <w:rPr>
          <w:rFonts w:hint="eastAsia" w:hAnsi="宋体" w:cs="宋体"/>
          <w:color w:val="auto"/>
          <w:szCs w:val="21"/>
          <w:highlight w:val="none"/>
        </w:rPr>
        <w:t>甲方</w:t>
      </w:r>
      <w:r>
        <w:rPr>
          <w:rFonts w:hint="eastAsia" w:ascii="宋体" w:hAnsi="宋体" w:cs="宋体"/>
          <w:color w:val="auto"/>
          <w:szCs w:val="21"/>
          <w:highlight w:val="none"/>
        </w:rPr>
        <w:t>验收合格投入正式运行并交付</w:t>
      </w:r>
      <w:r>
        <w:rPr>
          <w:rFonts w:hint="eastAsia" w:hAnsi="宋体" w:cs="宋体"/>
          <w:color w:val="auto"/>
          <w:szCs w:val="21"/>
          <w:highlight w:val="none"/>
        </w:rPr>
        <w:t>甲方</w:t>
      </w:r>
      <w:r>
        <w:rPr>
          <w:rFonts w:hint="eastAsia" w:ascii="宋体" w:hAnsi="宋体" w:cs="宋体"/>
          <w:color w:val="auto"/>
          <w:szCs w:val="21"/>
          <w:highlight w:val="none"/>
        </w:rPr>
        <w:t>使用前发生的一切费用【包括设备产品/系统供货费用、安装调试费（含完成安装调试验收合格所需的所有零部件费用）、运输费、验收、人员培训费、中标服务费、售后服务、企业管理费、合理利润、风险费用、税金等为完成本项目所产生的全部费用】。</w:t>
      </w:r>
    </w:p>
    <w:p w14:paraId="4A164C9A">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三、技术资料</w:t>
      </w:r>
    </w:p>
    <w:p w14:paraId="6AD2E12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3.1乙方应按招标文件规定的时间向甲方提供使用货物的有关技术资料。</w:t>
      </w:r>
    </w:p>
    <w:p w14:paraId="7B268F4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E1C3D52">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四、知识产权</w:t>
      </w:r>
    </w:p>
    <w:p w14:paraId="6FF6B38E">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乙方应保证提供货物及服务过程中不会侵犯任何第三方的知识产权和其他权益。如因此发生任何针对甲方的争议、索赔、诉讼等，产生的一切法律责任与费用均由乙方承担。</w:t>
      </w:r>
    </w:p>
    <w:p w14:paraId="594BFE29">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五、产权担保</w:t>
      </w:r>
    </w:p>
    <w:p w14:paraId="41E45572">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乙方保证所交付的货物和服务的所有权完全属于乙方且无任何抵押、查封等产权瑕疵。</w:t>
      </w:r>
    </w:p>
    <w:p w14:paraId="5F76A10E">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六、转包或分包</w:t>
      </w:r>
    </w:p>
    <w:p w14:paraId="78A25791">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6.1本合同范围的货物及服务，应由乙方直接供应，不得转让他人供应；</w:t>
      </w:r>
    </w:p>
    <w:p w14:paraId="07A1E746">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6.2除非得到甲方的书面同意，乙方不得部分分包给他人供应。甲方有绝对权力阻止分包。</w:t>
      </w:r>
    </w:p>
    <w:p w14:paraId="5DA8E101">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七、交付期</w:t>
      </w:r>
    </w:p>
    <w:p w14:paraId="515799F5">
      <w:pPr>
        <w:snapToGrid w:val="0"/>
        <w:spacing w:line="440" w:lineRule="exact"/>
        <w:ind w:firstLine="420" w:firstLineChars="200"/>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国产设备自合同签订之日起30天内完成全部产品的供货，安装调试期为1周，并具备验收条件；</w:t>
      </w:r>
    </w:p>
    <w:p w14:paraId="708F9E0B">
      <w:pPr>
        <w:adjustRightInd w:val="0"/>
        <w:snapToGrid w:val="0"/>
        <w:spacing w:line="360" w:lineRule="exact"/>
        <w:rPr>
          <w:rFonts w:ascii="宋体" w:hAnsi="宋体" w:cs="宋体"/>
          <w:b/>
          <w:bCs/>
          <w:color w:val="auto"/>
          <w:szCs w:val="21"/>
          <w:highlight w:val="none"/>
        </w:rPr>
      </w:pPr>
      <w:r>
        <w:rPr>
          <w:rFonts w:hint="eastAsia" w:ascii="宋体" w:hAnsi="宋体" w:cs="宋体"/>
          <w:b/>
          <w:bCs/>
          <w:color w:val="auto"/>
          <w:szCs w:val="21"/>
          <w:highlight w:val="none"/>
        </w:rPr>
        <w:t>八、款项支付</w:t>
      </w:r>
    </w:p>
    <w:p w14:paraId="3440B8AA">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合同生效后7个工作日内支付国产设备合同价的40%；货到指定地点、安装调试完毕，经甲方验收合格且甲方收到发票后7个工作日内一次性付清剩余合同款项。</w:t>
      </w:r>
    </w:p>
    <w:p w14:paraId="2A9F8C0E">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九、税费</w:t>
      </w:r>
    </w:p>
    <w:p w14:paraId="4AE9B40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w:t>
      </w:r>
    </w:p>
    <w:p w14:paraId="32BE9432">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十、质量保证及售后服务</w:t>
      </w:r>
    </w:p>
    <w:p w14:paraId="70C246B4">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10.1</w:t>
      </w:r>
      <w:r>
        <w:rPr>
          <w:rFonts w:hint="eastAsia" w:ascii="宋体" w:hAnsi="宋体" w:cs="宋体"/>
          <w:color w:val="auto"/>
          <w:szCs w:val="21"/>
          <w:highlight w:val="none"/>
        </w:rPr>
        <w:t>乙方应按招标文件规定向甲方提供货物和服务。</w:t>
      </w:r>
      <w:r>
        <w:rPr>
          <w:rFonts w:hint="eastAsia" w:ascii="宋体" w:hAnsi="宋体" w:cs="宋体"/>
          <w:bCs/>
          <w:color w:val="auto"/>
          <w:szCs w:val="21"/>
          <w:highlight w:val="none"/>
        </w:rPr>
        <w:t xml:space="preserve"> </w:t>
      </w:r>
    </w:p>
    <w:p w14:paraId="67092134">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bCs/>
          <w:color w:val="auto"/>
          <w:szCs w:val="21"/>
          <w:highlight w:val="none"/>
        </w:rPr>
        <w:t>10.2</w:t>
      </w:r>
      <w:r>
        <w:rPr>
          <w:rFonts w:hint="eastAsia" w:ascii="宋体" w:hAnsi="宋体" w:cs="宋体"/>
          <w:bCs/>
          <w:color w:val="auto"/>
          <w:szCs w:val="21"/>
          <w:highlight w:val="none"/>
          <w:lang w:eastAsia="zh-CN"/>
        </w:rPr>
        <w:t>产品质保期</w:t>
      </w:r>
      <w:r>
        <w:rPr>
          <w:rFonts w:hint="eastAsia" w:ascii="宋体" w:hAnsi="宋体" w:cs="宋体"/>
          <w:color w:val="auto"/>
          <w:kern w:val="0"/>
          <w:szCs w:val="21"/>
          <w:highlight w:val="none"/>
          <w:u w:val="single"/>
          <w:lang w:val="en-US" w:eastAsia="zh-CN" w:bidi="ar"/>
        </w:rPr>
        <w:t xml:space="preserve">     </w:t>
      </w:r>
      <w:r>
        <w:rPr>
          <w:rFonts w:hint="eastAsia" w:ascii="宋体" w:hAnsi="宋体" w:cs="宋体"/>
          <w:color w:val="auto"/>
          <w:kern w:val="0"/>
          <w:szCs w:val="21"/>
          <w:highlight w:val="none"/>
          <w:lang w:bidi="ar"/>
        </w:rPr>
        <w:t>年，</w:t>
      </w:r>
      <w:r>
        <w:rPr>
          <w:rFonts w:hint="eastAsia" w:ascii="宋体" w:hAnsi="宋体" w:cs="宋体"/>
          <w:color w:val="auto"/>
          <w:szCs w:val="21"/>
          <w:highlight w:val="none"/>
        </w:rPr>
        <w:t>时间自本项目整体验收合格之日起计算。质保期内应保证所有产品及</w:t>
      </w:r>
      <w:r>
        <w:rPr>
          <w:rFonts w:hint="eastAsia" w:ascii="宋体" w:hAnsi="宋体" w:cs="宋体"/>
          <w:color w:val="auto"/>
          <w:szCs w:val="21"/>
          <w:highlight w:val="none"/>
          <w:lang w:eastAsia="zh-Hans"/>
        </w:rPr>
        <w:t>系统</w:t>
      </w:r>
      <w:r>
        <w:rPr>
          <w:rFonts w:hint="eastAsia" w:ascii="宋体" w:hAnsi="宋体" w:cs="宋体"/>
          <w:color w:val="auto"/>
          <w:szCs w:val="21"/>
          <w:highlight w:val="none"/>
        </w:rPr>
        <w:t>正常运行，质保期内</w:t>
      </w:r>
      <w:r>
        <w:rPr>
          <w:rFonts w:hint="eastAsia" w:ascii="宋体" w:hAnsi="宋体" w:cs="宋体"/>
          <w:color w:val="auto"/>
          <w:kern w:val="0"/>
          <w:szCs w:val="21"/>
          <w:highlight w:val="none"/>
        </w:rPr>
        <w:t>免费提供上门日常设备及系统维护、软件升级、零部件维修及更换、故障处理及定期回访服务等</w:t>
      </w:r>
      <w:r>
        <w:rPr>
          <w:rFonts w:hint="eastAsia" w:ascii="宋体" w:hAnsi="宋体" w:cs="宋体"/>
          <w:color w:val="auto"/>
          <w:highlight w:val="none"/>
        </w:rPr>
        <w:t>；</w:t>
      </w:r>
      <w:r>
        <w:rPr>
          <w:rFonts w:hint="eastAsia" w:ascii="宋体" w:hAnsi="宋体" w:cs="宋体"/>
          <w:color w:val="auto"/>
          <w:szCs w:val="21"/>
          <w:highlight w:val="none"/>
        </w:rPr>
        <w:t>质保期内被免费更换的零部件质量保证：自更换之日起计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173CBDC5">
      <w:pPr>
        <w:snapToGrid w:val="0"/>
        <w:spacing w:line="440" w:lineRule="exact"/>
        <w:ind w:firstLine="420" w:firstLineChars="200"/>
        <w:outlineLvl w:val="1"/>
        <w:rPr>
          <w:rFonts w:ascii="宋体" w:hAnsi="宋体" w:cs="宋体"/>
          <w:color w:val="auto"/>
          <w:kern w:val="0"/>
          <w:szCs w:val="21"/>
          <w:highlight w:val="none"/>
        </w:rPr>
      </w:pPr>
      <w:r>
        <w:rPr>
          <w:rFonts w:hint="eastAsia" w:ascii="宋体" w:hAnsi="宋体" w:cs="宋体"/>
          <w:color w:val="auto"/>
          <w:kern w:val="0"/>
          <w:szCs w:val="21"/>
          <w:highlight w:val="none"/>
        </w:rPr>
        <w:t>10.3</w:t>
      </w:r>
      <w:r>
        <w:rPr>
          <w:rFonts w:hint="eastAsia" w:ascii="宋体" w:hAnsi="宋体" w:cs="宋体"/>
          <w:color w:val="auto"/>
          <w:szCs w:val="21"/>
          <w:highlight w:val="none"/>
        </w:rPr>
        <w:t>本项目要求</w:t>
      </w:r>
      <w:r>
        <w:rPr>
          <w:rFonts w:hint="eastAsia" w:ascii="宋体" w:hAnsi="宋体" w:cs="宋体"/>
          <w:color w:val="auto"/>
          <w:highlight w:val="none"/>
        </w:rPr>
        <w:t>乙方提供上门安装调试服务，并为甲方提供安装、维护技术培训人数不少于2人；具体培训计划、时间、人数等均由甲方决定，乙方须无条件配合</w:t>
      </w:r>
      <w:r>
        <w:rPr>
          <w:rFonts w:hint="eastAsia" w:ascii="宋体" w:hAnsi="宋体" w:cs="宋体"/>
          <w:color w:val="auto"/>
          <w:kern w:val="0"/>
          <w:szCs w:val="21"/>
          <w:highlight w:val="none"/>
        </w:rPr>
        <w:t>。</w:t>
      </w:r>
    </w:p>
    <w:p w14:paraId="3AD6A3BB">
      <w:pPr>
        <w:snapToGrid w:val="0"/>
        <w:spacing w:line="440" w:lineRule="exact"/>
        <w:ind w:firstLine="420" w:firstLineChars="200"/>
        <w:rPr>
          <w:rFonts w:ascii="宋体" w:hAnsi="宋体" w:cs="宋体"/>
          <w:color w:val="auto"/>
          <w:highlight w:val="none"/>
        </w:rPr>
      </w:pPr>
      <w:r>
        <w:rPr>
          <w:rFonts w:hint="eastAsia" w:ascii="宋体" w:hAnsi="宋体" w:cs="宋体"/>
          <w:color w:val="auto"/>
          <w:kern w:val="0"/>
          <w:szCs w:val="21"/>
          <w:highlight w:val="none"/>
        </w:rPr>
        <w:t>10.4</w:t>
      </w:r>
      <w:r>
        <w:rPr>
          <w:rFonts w:hint="eastAsia" w:ascii="宋体" w:hAnsi="宋体" w:cs="宋体"/>
          <w:color w:val="auto"/>
          <w:highlight w:val="none"/>
        </w:rPr>
        <w:t>乙方对本项目提供长期有效的技术支持，开通全年24小时/天的不间断服务电话。乙方收到甲方故障维修通知后1小时内响应，4小时内派技术人员赶到现场进行修复，若8小时内无法修复必须告知甲方修复时间。如在24小时内不能解决问题，应提供同规格的替代产品给甲方代用，直至故障修复。乙方需提供足够的备件以适应甲方维修需求。</w:t>
      </w:r>
    </w:p>
    <w:p w14:paraId="210E74F7">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10.</w:t>
      </w:r>
      <w:r>
        <w:rPr>
          <w:rFonts w:ascii="宋体" w:hAnsi="宋体" w:cs="宋体"/>
          <w:color w:val="auto"/>
          <w:kern w:val="0"/>
          <w:szCs w:val="21"/>
          <w:highlight w:val="none"/>
        </w:rPr>
        <w:t>5</w:t>
      </w:r>
      <w:r>
        <w:rPr>
          <w:rFonts w:hint="eastAsia" w:ascii="宋体" w:hAnsi="宋体" w:cs="宋体"/>
          <w:color w:val="auto"/>
          <w:kern w:val="0"/>
          <w:szCs w:val="21"/>
          <w:highlight w:val="none"/>
        </w:rPr>
        <w:t>免费提供质保期内备品备件；乙方须提供足够的备品备件、附件和耗材并保证是原厂生产和同型号（质保期内项目所需的备品备件、附件和耗材清单及对应价格，详见合同附件），以满足实验室正常运行的需要。</w:t>
      </w:r>
    </w:p>
    <w:p w14:paraId="49EE729A">
      <w:pPr>
        <w:spacing w:line="400" w:lineRule="exact"/>
        <w:rPr>
          <w:rFonts w:ascii="宋体" w:hAnsi="宋体" w:cs="宋体"/>
          <w:b/>
          <w:color w:val="auto"/>
          <w:szCs w:val="21"/>
          <w:highlight w:val="none"/>
        </w:rPr>
      </w:pPr>
      <w:r>
        <w:rPr>
          <w:rFonts w:hint="eastAsia" w:ascii="宋体" w:hAnsi="宋体" w:cs="宋体"/>
          <w:b/>
          <w:color w:val="auto"/>
          <w:szCs w:val="21"/>
          <w:highlight w:val="none"/>
        </w:rPr>
        <w:t>十一、调试和验收</w:t>
      </w:r>
    </w:p>
    <w:p w14:paraId="76D38B52">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11.1甲方对乙方提交的货物依据招标文件上的技术规格要求和国家有关质量标准进行现场初步验收，外观、说明书符合招标文件技术要求的，给予签收，初步验收不合格的不予签收。货到后，甲方需在五个工作日内验收。</w:t>
      </w:r>
    </w:p>
    <w:p w14:paraId="25CEF8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11.2乙方交货前应对产品作出全面检查和对验收文件进行整理，并列出清单，作为甲方收货验收和使用的技术条件依据，检验的结果应随货物交甲方。</w:t>
      </w:r>
    </w:p>
    <w:p w14:paraId="13FA972C">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11.3对技术复杂的货物，甲方应请国家认可的专业检测机构参与初步验收及最终验收，并由其出具质量检测报告。</w:t>
      </w:r>
    </w:p>
    <w:p w14:paraId="78390681">
      <w:pPr>
        <w:snapToGrid w:val="0"/>
        <w:spacing w:line="44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rPr>
        <w:t>11.4验收时乙方必须在现场，验收完毕后作出验收结果报告。</w:t>
      </w:r>
    </w:p>
    <w:p w14:paraId="48A2D835">
      <w:pPr>
        <w:snapToGrid w:val="0"/>
        <w:spacing w:line="440" w:lineRule="exact"/>
        <w:rPr>
          <w:rFonts w:ascii="宋体" w:hAnsi="宋体" w:cs="宋体"/>
          <w:b/>
          <w:bCs/>
          <w:color w:val="auto"/>
          <w:szCs w:val="21"/>
          <w:highlight w:val="none"/>
        </w:rPr>
      </w:pPr>
      <w:r>
        <w:rPr>
          <w:rFonts w:hint="eastAsia" w:ascii="宋体" w:hAnsi="宋体" w:cs="宋体"/>
          <w:b/>
          <w:bCs/>
          <w:color w:val="auto"/>
          <w:szCs w:val="21"/>
          <w:highlight w:val="none"/>
        </w:rPr>
        <w:t xml:space="preserve">十二、保密条款 </w:t>
      </w:r>
    </w:p>
    <w:p w14:paraId="719DF702">
      <w:pPr>
        <w:snapToGri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12.1乙方对合同内容及履行合同过程中所获悉的属于甲方的且无法自公开渠道获得的文件及资料，应负保密义务,非经甲方书面同意，不得擅自利用或对外发表或披露。违反前述约定的,乙方应向甲方支付违约金</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万元；违约金不足以弥补甲方损失的，乙方还应负责赔偿。保密期限自乙方接收或知悉甲方信息资料之日起至该信息资料公开之日或甲方书面解除乙方保密义务之日止。</w:t>
      </w:r>
    </w:p>
    <w:p w14:paraId="4280F4F0">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十三、违约责任</w:t>
      </w:r>
    </w:p>
    <w:p w14:paraId="35CB80E4">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13.1甲方无正当理由拒收货物的，甲方向乙方偿付拒收货款总值的百分之五违约金。</w:t>
      </w:r>
    </w:p>
    <w:p w14:paraId="3F0A1B23">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13.2甲方无故逾期验收和办理货款支付手续的,甲方应按逾期付款总额每日万分之五向乙方支付违约金。</w:t>
      </w:r>
    </w:p>
    <w:p w14:paraId="2C0C68D1">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02DD7BAF">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13.4乙方所交的产品规格、技术参数、质量不符合合同规定及招</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标文件规定标准的，甲方有权拒收该货物，乙方愿意更换货物但逾期交货的，按乙方逾期交货处理。乙方拒绝更换货物的，甲方可单方面解除合同。</w:t>
      </w:r>
    </w:p>
    <w:p w14:paraId="4EE50E32">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十四、不可抗力</w:t>
      </w:r>
    </w:p>
    <w:p w14:paraId="57AD99E3">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14.1在合同有效期内，任何一方因不可抗力事件导致不能履行合同，则合同履行期可延长，其延长期与不可抗力影响期相同。</w:t>
      </w:r>
    </w:p>
    <w:p w14:paraId="1832FFEA">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14.2本条所述的“不可抗力”系指那些双方不可预见、不可避免、不可克服的事件,但不包括双方的违约或 疏忽。这些事件包括但不限于:战争、严重火灭、洪水、台风、地震、国家政策的重大变化,以及双方商定的其他事件。</w:t>
      </w:r>
    </w:p>
    <w:p w14:paraId="6FA0116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14.3不可抗力事件发生后，应立即通知对方，并寄送有关权威机构出具的证明。</w:t>
      </w:r>
    </w:p>
    <w:p w14:paraId="7AE2E692">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14.4不可抗力事件延续120天以上，双方应通过友好协商，确定是否继续履行合同。</w:t>
      </w:r>
    </w:p>
    <w:p w14:paraId="4AA0304F">
      <w:pPr>
        <w:spacing w:line="440" w:lineRule="exact"/>
        <w:jc w:val="left"/>
        <w:rPr>
          <w:rFonts w:ascii="宋体" w:hAnsi="宋体" w:cs="宋体"/>
          <w:b/>
          <w:bCs/>
          <w:color w:val="auto"/>
          <w:szCs w:val="21"/>
          <w:highlight w:val="none"/>
        </w:rPr>
      </w:pPr>
      <w:r>
        <w:rPr>
          <w:rFonts w:hint="eastAsia" w:ascii="宋体" w:hAnsi="宋体" w:cs="宋体"/>
          <w:b/>
          <w:bCs/>
          <w:color w:val="auto"/>
          <w:szCs w:val="21"/>
          <w:highlight w:val="none"/>
        </w:rPr>
        <w:t>十五、法律适用及争议解决</w:t>
      </w:r>
    </w:p>
    <w:p w14:paraId="083F27BF">
      <w:pPr>
        <w:spacing w:line="44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15.1本合同订立、解释、履行及争议解决，均适用中华人民共和国法律。</w:t>
      </w:r>
    </w:p>
    <w:p w14:paraId="5ED639F8">
      <w:pPr>
        <w:snapToGrid w:val="0"/>
        <w:spacing w:line="44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15.2双方在执行合同中所发生的一切争议，应通过协商解决。如协商不成，可向宁波市仲裁委员会申请仲裁。</w:t>
      </w:r>
    </w:p>
    <w:p w14:paraId="34A01C78">
      <w:pPr>
        <w:snapToGrid w:val="0"/>
        <w:spacing w:line="440" w:lineRule="exact"/>
        <w:rPr>
          <w:rFonts w:ascii="宋体" w:hAnsi="宋体" w:cs="宋体"/>
          <w:b/>
          <w:color w:val="auto"/>
          <w:szCs w:val="21"/>
          <w:highlight w:val="none"/>
        </w:rPr>
      </w:pPr>
      <w:r>
        <w:rPr>
          <w:rFonts w:hint="eastAsia" w:ascii="宋体" w:hAnsi="宋体" w:cs="宋体"/>
          <w:b/>
          <w:color w:val="auto"/>
          <w:szCs w:val="21"/>
          <w:highlight w:val="none"/>
        </w:rPr>
        <w:t>十六、合同生效及其它</w:t>
      </w:r>
    </w:p>
    <w:p w14:paraId="49C16D54">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16.1合同经双方法定代表人或授权委托代理人签字并加盖单位公章后生效。</w:t>
      </w:r>
    </w:p>
    <w:p w14:paraId="65860296">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16.2合同执行中涉及采购资金和采购内容修改或补充的，须签书面补充协议，方可作为主合同不可分割的一部分。</w:t>
      </w:r>
    </w:p>
    <w:p w14:paraId="5699AAE3">
      <w:pPr>
        <w:snapToGrid w:val="0"/>
        <w:spacing w:line="440" w:lineRule="exact"/>
        <w:ind w:left="420" w:leftChars="200"/>
        <w:rPr>
          <w:rFonts w:ascii="宋体" w:hAnsi="宋体" w:cs="宋体"/>
          <w:color w:val="auto"/>
          <w:szCs w:val="21"/>
          <w:highlight w:val="none"/>
        </w:rPr>
      </w:pPr>
      <w:r>
        <w:rPr>
          <w:rFonts w:hint="eastAsia" w:ascii="宋体" w:hAnsi="宋体" w:cs="宋体"/>
          <w:color w:val="auto"/>
          <w:szCs w:val="21"/>
          <w:highlight w:val="none"/>
        </w:rPr>
        <w:t>16.3本合同未尽事宜，遵照《民法典》有关条文执行。</w:t>
      </w:r>
    </w:p>
    <w:p w14:paraId="09CE3A48">
      <w:pPr>
        <w:snapToGri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16.4</w:t>
      </w:r>
      <w:r>
        <w:rPr>
          <w:color w:val="auto"/>
          <w:highlight w:val="none"/>
        </w:rPr>
        <w:t>本合同一式</w:t>
      </w:r>
      <w:r>
        <w:rPr>
          <w:rFonts w:hint="eastAsia"/>
          <w:color w:val="auto"/>
          <w:highlight w:val="none"/>
          <w:lang w:eastAsia="zh-CN"/>
        </w:rPr>
        <w:t>四</w:t>
      </w:r>
      <w:r>
        <w:rPr>
          <w:color w:val="auto"/>
          <w:highlight w:val="none"/>
        </w:rPr>
        <w:t>份，</w:t>
      </w:r>
      <w:r>
        <w:rPr>
          <w:rFonts w:hint="eastAsia"/>
          <w:color w:val="auto"/>
          <w:highlight w:val="none"/>
        </w:rPr>
        <w:t>具有同等法律效力，甲乙双方各执二份</w:t>
      </w:r>
      <w:r>
        <w:rPr>
          <w:color w:val="auto"/>
          <w:highlight w:val="none"/>
        </w:rPr>
        <w:t>。</w:t>
      </w:r>
    </w:p>
    <w:p w14:paraId="4109B68A">
      <w:pPr>
        <w:spacing w:line="440" w:lineRule="exact"/>
        <w:jc w:val="left"/>
        <w:rPr>
          <w:rFonts w:ascii="宋体" w:hAnsi="宋体" w:cs="宋体"/>
          <w:bCs/>
          <w:color w:val="auto"/>
          <w:szCs w:val="21"/>
          <w:highlight w:val="none"/>
        </w:rPr>
      </w:pPr>
    </w:p>
    <w:p w14:paraId="21EF4222">
      <w:pPr>
        <w:spacing w:line="440" w:lineRule="exact"/>
        <w:jc w:val="left"/>
        <w:rPr>
          <w:rFonts w:ascii="宋体" w:hAnsi="宋体" w:cs="宋体"/>
          <w:bCs/>
          <w:color w:val="auto"/>
          <w:szCs w:val="21"/>
          <w:highlight w:val="none"/>
        </w:rPr>
      </w:pPr>
    </w:p>
    <w:p w14:paraId="394E5B22">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甲方：                                   乙方： </w:t>
      </w:r>
    </w:p>
    <w:p w14:paraId="348C8B34">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地址：                                   地址： </w:t>
      </w:r>
    </w:p>
    <w:p w14:paraId="182AB90C">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法定（授权）代表人：                     法定（授权）代表人：</w:t>
      </w:r>
    </w:p>
    <w:p w14:paraId="70605B33">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签字日期：      年  月  日               签字日期：      年  月  日</w:t>
      </w:r>
    </w:p>
    <w:p w14:paraId="14D2F54B">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电    话：                               电    话： </w:t>
      </w:r>
    </w:p>
    <w:p w14:paraId="4C8FA515">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传    真：                               传    真：</w:t>
      </w:r>
    </w:p>
    <w:p w14:paraId="580E785D">
      <w:pPr>
        <w:spacing w:line="440" w:lineRule="exact"/>
        <w:jc w:val="left"/>
        <w:rPr>
          <w:rFonts w:ascii="宋体" w:hAnsi="宋体" w:cs="宋体"/>
          <w:bCs/>
          <w:color w:val="auto"/>
          <w:szCs w:val="21"/>
          <w:highlight w:val="none"/>
        </w:rPr>
      </w:pPr>
      <w:r>
        <w:rPr>
          <w:rFonts w:hint="eastAsia" w:ascii="宋体" w:hAnsi="宋体" w:cs="宋体"/>
          <w:bCs/>
          <w:color w:val="auto"/>
          <w:szCs w:val="21"/>
          <w:highlight w:val="none"/>
        </w:rPr>
        <w:t xml:space="preserve">开户银行：                               开户银行：       </w:t>
      </w:r>
    </w:p>
    <w:p w14:paraId="38CC0378">
      <w:pPr>
        <w:snapToGrid w:val="0"/>
        <w:spacing w:line="440" w:lineRule="exact"/>
        <w:rPr>
          <w:rFonts w:ascii="宋体" w:hAnsi="宋体" w:cs="宋体"/>
          <w:color w:val="auto"/>
          <w:szCs w:val="21"/>
          <w:highlight w:val="none"/>
        </w:rPr>
      </w:pPr>
      <w:r>
        <w:rPr>
          <w:rFonts w:hint="eastAsia" w:ascii="宋体" w:hAnsi="宋体" w:cs="宋体"/>
          <w:bCs/>
          <w:color w:val="auto"/>
          <w:szCs w:val="21"/>
          <w:highlight w:val="none"/>
        </w:rPr>
        <w:t>账    号：                               账    号：</w:t>
      </w:r>
    </w:p>
    <w:p w14:paraId="54713CC8">
      <w:pPr>
        <w:rPr>
          <w:rFonts w:ascii="宋体" w:hAnsi="宋体" w:cs="宋体"/>
          <w:color w:val="auto"/>
          <w:sz w:val="24"/>
          <w:highlight w:val="none"/>
        </w:rPr>
      </w:pPr>
    </w:p>
    <w:p w14:paraId="1F5488EA">
      <w:pPr>
        <w:rPr>
          <w:rFonts w:ascii="宋体" w:hAnsi="宋体" w:cs="宋体"/>
          <w:color w:val="auto"/>
          <w:sz w:val="24"/>
          <w:highlight w:val="none"/>
          <w:u w:val="single"/>
        </w:rPr>
      </w:pPr>
    </w:p>
    <w:p w14:paraId="017600B7">
      <w:pPr>
        <w:pStyle w:val="965"/>
        <w:widowControl/>
        <w:snapToGrid w:val="0"/>
        <w:spacing w:before="0" w:beforeLines="0" w:after="0" w:afterLines="0" w:line="360" w:lineRule="auto"/>
        <w:jc w:val="left"/>
        <w:rPr>
          <w:rFonts w:ascii="Arial" w:hAnsi="Arial" w:cs="Arial"/>
          <w:color w:val="auto"/>
          <w:sz w:val="21"/>
          <w:szCs w:val="21"/>
          <w:highlight w:val="none"/>
        </w:rPr>
      </w:pPr>
    </w:p>
    <w:p w14:paraId="7F7DC9AD">
      <w:pPr>
        <w:pStyle w:val="965"/>
        <w:widowControl/>
        <w:snapToGrid w:val="0"/>
        <w:spacing w:before="0" w:beforeLines="0" w:after="0" w:afterLines="0" w:line="360" w:lineRule="auto"/>
        <w:jc w:val="left"/>
        <w:rPr>
          <w:rFonts w:ascii="Arial" w:hAnsi="Arial" w:cs="Arial"/>
          <w:color w:val="auto"/>
          <w:sz w:val="21"/>
          <w:szCs w:val="21"/>
          <w:highlight w:val="none"/>
        </w:rPr>
      </w:pPr>
    </w:p>
    <w:p w14:paraId="0BFD81A1">
      <w:pPr>
        <w:pStyle w:val="965"/>
        <w:widowControl/>
        <w:snapToGrid w:val="0"/>
        <w:spacing w:before="0" w:beforeLines="0" w:after="0" w:afterLines="0" w:line="360" w:lineRule="auto"/>
        <w:jc w:val="left"/>
        <w:rPr>
          <w:rFonts w:ascii="Arial" w:hAnsi="Arial" w:cs="Arial"/>
          <w:color w:val="auto"/>
          <w:sz w:val="21"/>
          <w:szCs w:val="21"/>
          <w:highlight w:val="none"/>
        </w:rPr>
      </w:pPr>
    </w:p>
    <w:p w14:paraId="4FEF0415">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06781A81">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79F86C66">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4C4FD34B">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25ABE196">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5D8834D4">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4BDBFD73">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54F274CE">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3ED58FAE">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1D36B97B">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6481D7C1">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09547860">
      <w:pPr>
        <w:pStyle w:val="965"/>
        <w:widowControl/>
        <w:snapToGrid w:val="0"/>
        <w:spacing w:before="0" w:beforeLines="0" w:after="0" w:afterLines="0" w:line="360" w:lineRule="auto"/>
        <w:jc w:val="left"/>
        <w:rPr>
          <w:rFonts w:hint="eastAsia" w:ascii="Arial" w:hAnsi="Arial" w:cs="Arial"/>
          <w:color w:val="auto"/>
          <w:sz w:val="21"/>
          <w:szCs w:val="21"/>
          <w:highlight w:val="none"/>
        </w:rPr>
      </w:pPr>
    </w:p>
    <w:p w14:paraId="5AA3E89B">
      <w:pPr>
        <w:pStyle w:val="965"/>
        <w:widowControl/>
        <w:snapToGrid w:val="0"/>
        <w:spacing w:before="0" w:beforeLines="0" w:after="0" w:afterLines="0" w:line="360" w:lineRule="auto"/>
        <w:jc w:val="left"/>
        <w:rPr>
          <w:rFonts w:ascii="Arial" w:hAnsi="Arial" w:cs="Arial"/>
          <w:color w:val="auto"/>
          <w:sz w:val="21"/>
          <w:szCs w:val="21"/>
          <w:highlight w:val="none"/>
        </w:rPr>
      </w:pPr>
    </w:p>
    <w:p w14:paraId="4B434D96">
      <w:pPr>
        <w:pStyle w:val="965"/>
        <w:widowControl/>
        <w:snapToGrid w:val="0"/>
        <w:spacing w:before="0" w:beforeLines="0" w:after="0" w:afterLines="0" w:line="360" w:lineRule="auto"/>
        <w:jc w:val="left"/>
        <w:rPr>
          <w:rFonts w:ascii="Arial" w:hAnsi="Arial" w:cs="Arial"/>
          <w:color w:val="auto"/>
          <w:sz w:val="21"/>
          <w:szCs w:val="21"/>
          <w:highlight w:val="none"/>
        </w:rPr>
      </w:pPr>
    </w:p>
    <w:p w14:paraId="6F155EFA">
      <w:pPr>
        <w:pStyle w:val="965"/>
        <w:widowControl/>
        <w:snapToGrid w:val="0"/>
        <w:spacing w:before="0" w:beforeLines="0" w:after="0" w:afterLines="0" w:line="360" w:lineRule="auto"/>
        <w:jc w:val="left"/>
        <w:rPr>
          <w:rFonts w:ascii="Arial" w:hAnsi="Arial" w:cs="Arial"/>
          <w:color w:val="auto"/>
          <w:sz w:val="21"/>
          <w:szCs w:val="21"/>
          <w:highlight w:val="none"/>
        </w:rPr>
      </w:pPr>
    </w:p>
    <w:p w14:paraId="17D6D040">
      <w:pPr>
        <w:spacing w:line="360" w:lineRule="auto"/>
        <w:ind w:left="-420" w:leftChars="-200" w:right="-420" w:rightChars="-200" w:firstLine="480" w:firstLineChars="200"/>
        <w:jc w:val="center"/>
        <w:outlineLvl w:val="0"/>
        <w:rPr>
          <w:rFonts w:ascii="宋体" w:hAnsi="宋体" w:cs="宋体"/>
          <w:color w:val="auto"/>
          <w:sz w:val="24"/>
          <w:highlight w:val="none"/>
        </w:rPr>
      </w:pPr>
    </w:p>
    <w:p w14:paraId="6B4B4D0B">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6"/>
      <w:r>
        <w:rPr>
          <w:rFonts w:hint="eastAsia" w:ascii="宋体" w:hAnsi="宋体" w:cs="宋体"/>
          <w:b/>
          <w:color w:val="auto"/>
          <w:sz w:val="36"/>
          <w:szCs w:val="20"/>
          <w:highlight w:val="none"/>
        </w:rPr>
        <w:t xml:space="preserve"> </w:t>
      </w:r>
      <w:bookmarkEnd w:id="397"/>
      <w:r>
        <w:rPr>
          <w:rFonts w:hint="eastAsia" w:ascii="宋体" w:hAnsi="宋体" w:cs="宋体"/>
          <w:b/>
          <w:color w:val="auto"/>
          <w:sz w:val="36"/>
          <w:szCs w:val="20"/>
          <w:highlight w:val="none"/>
        </w:rPr>
        <w:t>应提交的有关格式范例</w:t>
      </w:r>
    </w:p>
    <w:p w14:paraId="36270049">
      <w:pPr>
        <w:spacing w:line="360" w:lineRule="auto"/>
        <w:jc w:val="center"/>
        <w:outlineLvl w:val="0"/>
        <w:rPr>
          <w:rFonts w:ascii="宋体" w:hAnsi="宋体" w:cs="宋体"/>
          <w:b/>
          <w:color w:val="auto"/>
          <w:kern w:val="0"/>
          <w:sz w:val="36"/>
          <w:szCs w:val="36"/>
          <w:highlight w:val="none"/>
        </w:rPr>
      </w:pPr>
    </w:p>
    <w:p w14:paraId="1E3E830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72E0E994">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5AF3AB">
      <w:pPr>
        <w:spacing w:line="360" w:lineRule="auto"/>
        <w:jc w:val="center"/>
        <w:outlineLvl w:val="0"/>
        <w:rPr>
          <w:rFonts w:ascii="宋体" w:hAnsi="宋体" w:cs="宋体"/>
          <w:b/>
          <w:color w:val="auto"/>
          <w:kern w:val="0"/>
          <w:sz w:val="36"/>
          <w:szCs w:val="36"/>
          <w:highlight w:val="none"/>
        </w:rPr>
      </w:pPr>
    </w:p>
    <w:p w14:paraId="1A1D838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3369C1E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642FDC7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1478E9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2D3D99AC">
      <w:pPr>
        <w:snapToGrid w:val="0"/>
        <w:spacing w:line="360" w:lineRule="auto"/>
        <w:ind w:firstLine="480" w:firstLineChars="200"/>
        <w:rPr>
          <w:rFonts w:ascii="宋体" w:hAnsi="宋体" w:cs="宋体"/>
          <w:color w:val="auto"/>
          <w:sz w:val="24"/>
          <w:highlight w:val="none"/>
        </w:rPr>
      </w:pPr>
    </w:p>
    <w:p w14:paraId="58696C8F">
      <w:pPr>
        <w:spacing w:line="360" w:lineRule="auto"/>
        <w:ind w:firstLine="480" w:firstLineChars="200"/>
        <w:rPr>
          <w:rFonts w:ascii="宋体" w:hAnsi="宋体" w:cs="宋体"/>
          <w:color w:val="auto"/>
          <w:sz w:val="24"/>
          <w:highlight w:val="none"/>
        </w:rPr>
      </w:pPr>
    </w:p>
    <w:p w14:paraId="44F5E508">
      <w:pPr>
        <w:snapToGrid w:val="0"/>
        <w:spacing w:line="360" w:lineRule="auto"/>
        <w:ind w:right="480"/>
        <w:jc w:val="center"/>
        <w:rPr>
          <w:rFonts w:ascii="宋体" w:hAnsi="宋体" w:cs="宋体"/>
          <w:b/>
          <w:color w:val="auto"/>
          <w:kern w:val="0"/>
          <w:szCs w:val="21"/>
          <w:highlight w:val="none"/>
        </w:rPr>
      </w:pPr>
      <w:r>
        <w:rPr>
          <w:rFonts w:hint="eastAsia" w:ascii="宋体" w:hAnsi="宋体" w:cs="宋体"/>
          <w:color w:val="auto"/>
          <w:kern w:val="0"/>
          <w:sz w:val="24"/>
          <w:highlight w:val="none"/>
        </w:rPr>
        <w:br w:type="page"/>
      </w:r>
      <w:r>
        <w:rPr>
          <w:rFonts w:hint="eastAsia" w:ascii="宋体" w:hAnsi="宋体" w:cs="宋体"/>
          <w:b/>
          <w:color w:val="auto"/>
          <w:kern w:val="0"/>
          <w:szCs w:val="21"/>
          <w:highlight w:val="none"/>
        </w:rPr>
        <w:t xml:space="preserve">  一、 符合参加政府采购活动应当具备的一般条件的承诺函</w:t>
      </w:r>
    </w:p>
    <w:p w14:paraId="09B3A94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14:paraId="6974E4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我方参与</w:t>
      </w:r>
      <w:r>
        <w:rPr>
          <w:rFonts w:hint="eastAsia" w:ascii="宋体" w:hAnsi="宋体" w:cs="宋体"/>
          <w:color w:val="auto"/>
          <w:szCs w:val="21"/>
          <w:highlight w:val="none"/>
          <w:lang w:eastAsia="zh-CN"/>
        </w:rPr>
        <w:t>浙江万里学院同声传译实验室建设项目【重发】</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CTZB-2024070151-01</w:t>
      </w:r>
      <w:r>
        <w:rPr>
          <w:rFonts w:hint="eastAsia" w:ascii="宋体" w:hAnsi="宋体" w:cs="宋体"/>
          <w:color w:val="auto"/>
          <w:szCs w:val="21"/>
          <w:highlight w:val="none"/>
        </w:rPr>
        <w:t>】政府采购活动，郑重承诺：</w:t>
      </w:r>
    </w:p>
    <w:p w14:paraId="608FA4CF">
      <w:pPr>
        <w:snapToGrid w:val="0"/>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（一）具备《中华人民共和国政府采购法》第二十二条第一款规定的条件：</w:t>
      </w:r>
    </w:p>
    <w:p w14:paraId="0109BFD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5954553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2、具有良好的商业信誉和健全的财务会计制度； </w:t>
      </w:r>
    </w:p>
    <w:p w14:paraId="2DF2DB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354CA19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3E8CDB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3C87C10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6、具有法律、行政法规规定的其他条件。</w:t>
      </w:r>
    </w:p>
    <w:p w14:paraId="2AF28B8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（二）未被信用中国（www.creditchina.gov.cn)、中国政府采购网（www.ccgp.gov.cn）列入失信被执行人、重大税收违法失信主体、政府采购严重违法失信行为记录名单。</w:t>
      </w:r>
    </w:p>
    <w:p w14:paraId="311D1CB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（三）不存在以下情况：</w:t>
      </w:r>
    </w:p>
    <w:p w14:paraId="3AE3B63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1、单位负责人为同一人或者存在直接控股、管理关系的不同供应商参加同一合同项下的政府采购活动的；</w:t>
      </w:r>
    </w:p>
    <w:p w14:paraId="557B467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2、为采购项目提供整体设计、规范编制或者项目管理、监理、检测等服务后再参加该采购项目的其他采购活动的。</w:t>
      </w:r>
    </w:p>
    <w:p w14:paraId="21766D1E">
      <w:pPr>
        <w:snapToGrid w:val="0"/>
        <w:spacing w:line="360" w:lineRule="auto"/>
        <w:ind w:firstLine="4830" w:firstLineChars="2300"/>
        <w:rPr>
          <w:rFonts w:ascii="宋体" w:hAnsi="宋体" w:cs="宋体"/>
          <w:color w:val="auto"/>
          <w:kern w:val="0"/>
          <w:szCs w:val="21"/>
          <w:highlight w:val="none"/>
        </w:rPr>
      </w:pPr>
      <w:r>
        <w:rPr>
          <w:rFonts w:hint="eastAsia" w:ascii="宋体" w:hAnsi="宋体" w:cs="宋体"/>
          <w:color w:val="auto"/>
          <w:kern w:val="0"/>
          <w:szCs w:val="21"/>
          <w:highlight w:val="none"/>
          <w:lang w:val="zh-CN"/>
        </w:rPr>
        <w:t>供应商名称(电子签名)：</w:t>
      </w:r>
    </w:p>
    <w:p w14:paraId="71D9CC7F">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14:paraId="07554470">
      <w:pPr>
        <w:snapToGrid w:val="0"/>
        <w:spacing w:line="360" w:lineRule="auto"/>
        <w:ind w:right="480"/>
        <w:jc w:val="center"/>
        <w:rPr>
          <w:rFonts w:ascii="宋体" w:hAnsi="宋体" w:cs="宋体"/>
          <w:b/>
          <w:color w:val="auto"/>
          <w:kern w:val="0"/>
          <w:sz w:val="32"/>
          <w:szCs w:val="32"/>
          <w:highlight w:val="none"/>
        </w:rPr>
      </w:pPr>
    </w:p>
    <w:p w14:paraId="43D3A5A1">
      <w:pPr>
        <w:snapToGrid w:val="0"/>
        <w:spacing w:line="360" w:lineRule="auto"/>
        <w:ind w:right="480"/>
        <w:jc w:val="center"/>
        <w:rPr>
          <w:rFonts w:ascii="宋体" w:hAnsi="宋体" w:cs="宋体"/>
          <w:b/>
          <w:color w:val="auto"/>
          <w:kern w:val="0"/>
          <w:sz w:val="32"/>
          <w:szCs w:val="32"/>
          <w:highlight w:val="none"/>
        </w:rPr>
      </w:pPr>
    </w:p>
    <w:p w14:paraId="42862638">
      <w:pPr>
        <w:snapToGrid w:val="0"/>
        <w:spacing w:line="360" w:lineRule="auto"/>
        <w:ind w:right="480"/>
        <w:jc w:val="center"/>
        <w:rPr>
          <w:rFonts w:ascii="宋体" w:hAnsi="宋体" w:cs="宋体"/>
          <w:b/>
          <w:color w:val="auto"/>
          <w:kern w:val="0"/>
          <w:sz w:val="32"/>
          <w:szCs w:val="32"/>
          <w:highlight w:val="none"/>
        </w:rPr>
      </w:pPr>
    </w:p>
    <w:p w14:paraId="01A89151">
      <w:pPr>
        <w:rPr>
          <w:rFonts w:ascii="宋体" w:hAnsi="宋体" w:cs="宋体"/>
          <w:color w:val="auto"/>
          <w:highlight w:val="none"/>
        </w:rPr>
      </w:pPr>
    </w:p>
    <w:p w14:paraId="63E4BEAF">
      <w:pPr>
        <w:snapToGrid w:val="0"/>
        <w:spacing w:line="360" w:lineRule="auto"/>
        <w:ind w:right="480"/>
        <w:jc w:val="center"/>
        <w:rPr>
          <w:rFonts w:ascii="宋体" w:hAnsi="宋体" w:cs="宋体"/>
          <w:b/>
          <w:color w:val="auto"/>
          <w:kern w:val="0"/>
          <w:sz w:val="32"/>
          <w:szCs w:val="32"/>
          <w:highlight w:val="none"/>
        </w:rPr>
      </w:pPr>
    </w:p>
    <w:p w14:paraId="31745E16">
      <w:pPr>
        <w:snapToGrid w:val="0"/>
        <w:spacing w:line="360" w:lineRule="auto"/>
        <w:ind w:right="480"/>
        <w:jc w:val="center"/>
        <w:rPr>
          <w:rFonts w:ascii="宋体" w:hAnsi="宋体" w:cs="宋体"/>
          <w:b/>
          <w:color w:val="auto"/>
          <w:kern w:val="0"/>
          <w:sz w:val="32"/>
          <w:szCs w:val="32"/>
          <w:highlight w:val="none"/>
        </w:rPr>
      </w:pPr>
    </w:p>
    <w:p w14:paraId="570B3CAF">
      <w:pPr>
        <w:snapToGrid w:val="0"/>
        <w:spacing w:line="360" w:lineRule="auto"/>
        <w:ind w:right="480"/>
        <w:jc w:val="center"/>
        <w:rPr>
          <w:rFonts w:ascii="宋体" w:hAnsi="宋体" w:cs="宋体"/>
          <w:b/>
          <w:color w:val="auto"/>
          <w:kern w:val="0"/>
          <w:sz w:val="32"/>
          <w:szCs w:val="32"/>
          <w:highlight w:val="none"/>
        </w:rPr>
      </w:pPr>
    </w:p>
    <w:p w14:paraId="258E95F4">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5F573E3D">
      <w:pPr>
        <w:widowControl/>
        <w:spacing w:line="360" w:lineRule="auto"/>
        <w:ind w:firstLine="422" w:firstLineChars="200"/>
        <w:jc w:val="center"/>
        <w:rPr>
          <w:rFonts w:ascii="宋体" w:hAnsi="宋体" w:cs="宋体"/>
          <w:b/>
          <w:color w:val="auto"/>
          <w:kern w:val="0"/>
          <w:szCs w:val="21"/>
          <w:highlight w:val="none"/>
        </w:rPr>
      </w:pPr>
      <w:r>
        <w:rPr>
          <w:rFonts w:hint="eastAsia" w:ascii="宋体" w:hAnsi="宋体" w:cs="宋体"/>
          <w:b/>
          <w:color w:val="auto"/>
          <w:kern w:val="0"/>
          <w:szCs w:val="21"/>
          <w:highlight w:val="none"/>
        </w:rPr>
        <w:t>二、联合协议（如果有）</w:t>
      </w:r>
    </w:p>
    <w:p w14:paraId="03BBFC7E">
      <w:pPr>
        <w:widowControl/>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[以联合体形式投标的，提供联合协议（附件5）；本项目不接受联合体投标或者供应商不以联合体形式投标的，则不需要提供）]</w:t>
      </w:r>
    </w:p>
    <w:p w14:paraId="6639750A">
      <w:pPr>
        <w:snapToGrid w:val="0"/>
        <w:spacing w:line="360" w:lineRule="auto"/>
        <w:ind w:right="480"/>
        <w:jc w:val="center"/>
        <w:rPr>
          <w:rFonts w:ascii="宋体" w:hAnsi="宋体" w:cs="宋体"/>
          <w:b/>
          <w:color w:val="auto"/>
          <w:kern w:val="0"/>
          <w:szCs w:val="21"/>
          <w:highlight w:val="none"/>
        </w:rPr>
      </w:pPr>
    </w:p>
    <w:p w14:paraId="5EB8F947">
      <w:pPr>
        <w:snapToGrid w:val="0"/>
        <w:spacing w:line="360" w:lineRule="auto"/>
        <w:ind w:right="480"/>
        <w:jc w:val="center"/>
        <w:rPr>
          <w:rFonts w:ascii="宋体" w:hAnsi="宋体" w:cs="宋体"/>
          <w:b/>
          <w:color w:val="auto"/>
          <w:kern w:val="0"/>
          <w:szCs w:val="21"/>
          <w:highlight w:val="none"/>
        </w:rPr>
      </w:pPr>
    </w:p>
    <w:p w14:paraId="63BFC4F0">
      <w:pPr>
        <w:snapToGrid w:val="0"/>
        <w:spacing w:line="360" w:lineRule="auto"/>
        <w:ind w:right="480"/>
        <w:jc w:val="center"/>
        <w:rPr>
          <w:rFonts w:ascii="宋体" w:hAnsi="宋体" w:cs="宋体"/>
          <w:b/>
          <w:color w:val="auto"/>
          <w:kern w:val="0"/>
          <w:szCs w:val="21"/>
          <w:highlight w:val="none"/>
        </w:rPr>
      </w:pPr>
      <w:r>
        <w:rPr>
          <w:rFonts w:hint="eastAsia" w:ascii="宋体" w:hAnsi="宋体" w:cs="宋体"/>
          <w:b/>
          <w:color w:val="auto"/>
          <w:kern w:val="0"/>
          <w:szCs w:val="21"/>
          <w:highlight w:val="none"/>
        </w:rPr>
        <w:t>三、落实政府采购政策需满足的资格要求</w:t>
      </w:r>
    </w:p>
    <w:p w14:paraId="50EBA888">
      <w:pPr>
        <w:spacing w:line="360" w:lineRule="auto"/>
        <w:rPr>
          <w:rFonts w:ascii="宋体" w:hAnsi="宋体" w:cs="宋体"/>
          <w:color w:val="auto"/>
          <w:szCs w:val="21"/>
          <w:highlight w:val="none"/>
        </w:rPr>
      </w:pPr>
      <w:r>
        <w:rPr>
          <w:rFonts w:hint="eastAsia" w:ascii="宋体" w:hAnsi="宋体" w:cs="宋体"/>
          <w:color w:val="auto"/>
          <w:szCs w:val="21"/>
          <w:highlight w:val="none"/>
        </w:rPr>
        <w:t>（根据招标公告落实政府采购政策需满足的资格要求选择提供相应的材料；未要求的，无需提供）</w:t>
      </w:r>
    </w:p>
    <w:p w14:paraId="037A7A31">
      <w:pPr>
        <w:snapToGrid w:val="0"/>
        <w:spacing w:before="50" w:after="50"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A</w:t>
      </w:r>
      <w:r>
        <w:rPr>
          <w:rFonts w:hint="eastAsia" w:ascii="宋体" w:hAnsi="宋体" w:cs="宋体"/>
          <w:color w:val="auto"/>
          <w:szCs w:val="21"/>
          <w:highlight w:val="none"/>
        </w:rPr>
        <w:t>.专门面向中小企业，服务全部由符合政策要求的中小企业（或小微企业）承接的，提供相应的中小企业声明函（附件</w:t>
      </w:r>
      <w:r>
        <w:rPr>
          <w:rFonts w:ascii="宋体" w:hAnsi="宋体" w:cs="宋体"/>
          <w:color w:val="auto"/>
          <w:szCs w:val="21"/>
          <w:highlight w:val="none"/>
        </w:rPr>
        <w:t>7</w:t>
      </w:r>
      <w:r>
        <w:rPr>
          <w:rFonts w:hint="eastAsia" w:ascii="宋体" w:hAnsi="宋体" w:cs="宋体"/>
          <w:color w:val="auto"/>
          <w:szCs w:val="21"/>
          <w:highlight w:val="none"/>
        </w:rPr>
        <w:t xml:space="preserve">）。 </w:t>
      </w:r>
    </w:p>
    <w:p w14:paraId="23A5D5E6">
      <w:pPr>
        <w:widowControl/>
        <w:spacing w:line="360" w:lineRule="auto"/>
        <w:ind w:firstLine="480"/>
        <w:jc w:val="left"/>
        <w:rPr>
          <w:rFonts w:ascii="宋体" w:hAnsi="宋体" w:cs="宋体"/>
          <w:color w:val="auto"/>
          <w:szCs w:val="21"/>
          <w:highlight w:val="none"/>
        </w:rPr>
      </w:pPr>
    </w:p>
    <w:p w14:paraId="692FE9F7">
      <w:pPr>
        <w:widowControl/>
        <w:spacing w:line="360" w:lineRule="auto"/>
        <w:ind w:firstLine="413" w:firstLineChars="196"/>
        <w:jc w:val="left"/>
        <w:rPr>
          <w:rFonts w:ascii="宋体" w:hAnsi="宋体" w:cs="宋体"/>
          <w:color w:val="auto"/>
          <w:szCs w:val="21"/>
          <w:highlight w:val="none"/>
        </w:rPr>
      </w:pPr>
      <w:r>
        <w:rPr>
          <w:rFonts w:hint="eastAsia" w:ascii="宋体" w:hAnsi="宋体" w:cs="宋体"/>
          <w:b/>
          <w:color w:val="auto"/>
          <w:szCs w:val="21"/>
          <w:highlight w:val="none"/>
        </w:rPr>
        <w:t>B.</w:t>
      </w:r>
      <w:r>
        <w:rPr>
          <w:rFonts w:hint="eastAsia" w:ascii="宋体" w:hAnsi="宋体" w:cs="宋体"/>
          <w:color w:val="auto"/>
          <w:szCs w:val="21"/>
          <w:highlight w:val="none"/>
        </w:rPr>
        <w:t>要求以联合体形式参加的，提供联合协议（附件</w:t>
      </w:r>
      <w:r>
        <w:rPr>
          <w:rFonts w:ascii="宋体" w:hAnsi="宋体" w:cs="宋体"/>
          <w:color w:val="auto"/>
          <w:szCs w:val="21"/>
          <w:highlight w:val="none"/>
        </w:rPr>
        <w:t>5</w:t>
      </w:r>
      <w:r>
        <w:rPr>
          <w:rFonts w:hint="eastAsia" w:ascii="宋体" w:hAnsi="宋体" w:cs="宋体"/>
          <w:color w:val="auto"/>
          <w:szCs w:val="21"/>
          <w:highlight w:val="none"/>
        </w:rPr>
        <w:t>）和中小企业声明函（附件</w:t>
      </w:r>
      <w:r>
        <w:rPr>
          <w:rFonts w:ascii="宋体" w:hAnsi="宋体" w:cs="宋体"/>
          <w:color w:val="auto"/>
          <w:szCs w:val="21"/>
          <w:highlight w:val="none"/>
        </w:rPr>
        <w:t>7</w:t>
      </w:r>
      <w:r>
        <w:rPr>
          <w:rFonts w:hint="eastAsia" w:ascii="宋体" w:hAnsi="宋体" w:cs="宋体"/>
          <w:color w:val="auto"/>
          <w:szCs w:val="21"/>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视同符合了资格条件，无需再与其他中小企业组成联合体参加政府采购活动，无需提供联合协议。</w:t>
      </w:r>
    </w:p>
    <w:p w14:paraId="3E379F30">
      <w:pPr>
        <w:snapToGrid w:val="0"/>
        <w:spacing w:before="50" w:after="50" w:line="360" w:lineRule="auto"/>
        <w:jc w:val="center"/>
        <w:rPr>
          <w:rFonts w:ascii="宋体" w:hAnsi="宋体" w:cs="宋体"/>
          <w:color w:val="auto"/>
          <w:szCs w:val="21"/>
          <w:highlight w:val="none"/>
        </w:rPr>
      </w:pPr>
      <w:r>
        <w:rPr>
          <w:rFonts w:hint="eastAsia" w:ascii="宋体" w:hAnsi="宋体" w:cs="宋体"/>
          <w:b/>
          <w:color w:val="auto"/>
          <w:szCs w:val="21"/>
          <w:highlight w:val="none"/>
        </w:rPr>
        <w:t xml:space="preserve">    </w:t>
      </w:r>
    </w:p>
    <w:p w14:paraId="5B86AB6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C、</w:t>
      </w:r>
      <w:r>
        <w:rPr>
          <w:rFonts w:hint="eastAsia" w:ascii="宋体" w:hAnsi="宋体" w:cs="宋体"/>
          <w:color w:val="auto"/>
          <w:szCs w:val="21"/>
          <w:highlight w:val="none"/>
        </w:rPr>
        <w:t>要求合同分包的，提供分包意向协议（附件6）和中小企业声明函（附件</w:t>
      </w:r>
      <w:r>
        <w:rPr>
          <w:rFonts w:ascii="宋体" w:hAnsi="宋体" w:cs="宋体"/>
          <w:color w:val="auto"/>
          <w:szCs w:val="21"/>
          <w:highlight w:val="none"/>
        </w:rPr>
        <w:t>7</w:t>
      </w:r>
      <w:r>
        <w:rPr>
          <w:rFonts w:hint="eastAsia" w:ascii="宋体" w:hAnsi="宋体" w:cs="宋体"/>
          <w:color w:val="auto"/>
          <w:szCs w:val="21"/>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Cs w:val="21"/>
          <w:highlight w:val="none"/>
        </w:rPr>
        <w:t>并相应达到了前述比例要求，</w:t>
      </w:r>
      <w:r>
        <w:rPr>
          <w:rFonts w:hint="eastAsia" w:ascii="宋体" w:hAnsi="宋体" w:cs="宋体"/>
          <w:color w:val="auto"/>
          <w:szCs w:val="21"/>
          <w:highlight w:val="none"/>
        </w:rPr>
        <w:t>视同符合了资格条件，无需再向中小企业分包，无需提供分包意向协议。</w:t>
      </w:r>
    </w:p>
    <w:p w14:paraId="3618DDDD">
      <w:pPr>
        <w:widowControl/>
        <w:spacing w:line="360" w:lineRule="auto"/>
        <w:ind w:left="150"/>
        <w:jc w:val="center"/>
        <w:rPr>
          <w:rFonts w:ascii="宋体" w:hAnsi="宋体" w:cs="宋体"/>
          <w:b/>
          <w:color w:val="auto"/>
          <w:kern w:val="0"/>
          <w:szCs w:val="21"/>
          <w:highlight w:val="none"/>
        </w:rPr>
      </w:pPr>
    </w:p>
    <w:p w14:paraId="3B3948E6">
      <w:pPr>
        <w:widowControl/>
        <w:spacing w:line="360" w:lineRule="auto"/>
        <w:ind w:left="150"/>
        <w:jc w:val="center"/>
        <w:rPr>
          <w:rFonts w:ascii="宋体" w:hAnsi="宋体" w:cs="宋体"/>
          <w:b/>
          <w:color w:val="auto"/>
          <w:kern w:val="0"/>
          <w:szCs w:val="21"/>
          <w:highlight w:val="none"/>
        </w:rPr>
      </w:pPr>
      <w:r>
        <w:rPr>
          <w:rFonts w:hint="eastAsia" w:ascii="宋体" w:hAnsi="宋体" w:cs="宋体"/>
          <w:b/>
          <w:color w:val="auto"/>
          <w:kern w:val="0"/>
          <w:szCs w:val="21"/>
          <w:highlight w:val="none"/>
        </w:rPr>
        <w:t>四、本项目的特定资格要求</w:t>
      </w:r>
    </w:p>
    <w:p w14:paraId="74B7EB4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（根据招标公告本项目的特定资格要求提供相应的材料；未要求的，无需提供）</w:t>
      </w:r>
    </w:p>
    <w:p w14:paraId="6FA194FD">
      <w:pPr>
        <w:rPr>
          <w:rFonts w:ascii="宋体" w:hAnsi="宋体" w:cs="宋体"/>
          <w:color w:val="auto"/>
          <w:highlight w:val="none"/>
        </w:rPr>
      </w:pPr>
    </w:p>
    <w:p w14:paraId="615312EC">
      <w:pPr>
        <w:snapToGrid w:val="0"/>
        <w:spacing w:line="360" w:lineRule="auto"/>
        <w:ind w:right="480"/>
        <w:jc w:val="center"/>
        <w:rPr>
          <w:rFonts w:ascii="宋体" w:hAnsi="宋体" w:cs="宋体"/>
          <w:b/>
          <w:color w:val="auto"/>
          <w:kern w:val="0"/>
          <w:sz w:val="32"/>
          <w:szCs w:val="32"/>
          <w:highlight w:val="none"/>
        </w:rPr>
      </w:pPr>
    </w:p>
    <w:p w14:paraId="7A1C5414">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4E1F59F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58FC0D27">
      <w:pPr>
        <w:spacing w:line="360" w:lineRule="auto"/>
        <w:jc w:val="center"/>
        <w:outlineLvl w:val="0"/>
        <w:rPr>
          <w:rFonts w:ascii="宋体" w:hAnsi="宋体" w:cs="宋体"/>
          <w:b/>
          <w:color w:val="auto"/>
          <w:kern w:val="0"/>
          <w:sz w:val="24"/>
          <w:highlight w:val="none"/>
        </w:rPr>
      </w:pPr>
    </w:p>
    <w:p w14:paraId="059DD12E">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F912C0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08BC0F49">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0234857">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2CE1B42">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DAB9C1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11BC556">
      <w:pPr>
        <w:snapToGrid w:val="0"/>
        <w:spacing w:line="360" w:lineRule="auto"/>
        <w:jc w:val="center"/>
        <w:rPr>
          <w:rFonts w:ascii="宋体" w:hAnsi="宋体" w:cs="宋体"/>
          <w:b/>
          <w:color w:val="auto"/>
          <w:kern w:val="0"/>
          <w:sz w:val="32"/>
          <w:szCs w:val="32"/>
          <w:highlight w:val="none"/>
          <w:lang w:val="zh-CN"/>
        </w:rPr>
      </w:pPr>
    </w:p>
    <w:p w14:paraId="6199CFBF">
      <w:pPr>
        <w:snapToGrid w:val="0"/>
        <w:spacing w:line="360" w:lineRule="auto"/>
        <w:jc w:val="center"/>
        <w:rPr>
          <w:rFonts w:ascii="宋体" w:hAnsi="宋体" w:cs="宋体"/>
          <w:b/>
          <w:color w:val="auto"/>
          <w:kern w:val="0"/>
          <w:sz w:val="32"/>
          <w:szCs w:val="32"/>
          <w:highlight w:val="none"/>
          <w:lang w:val="zh-CN"/>
        </w:rPr>
      </w:pPr>
    </w:p>
    <w:p w14:paraId="19FF1315">
      <w:pPr>
        <w:snapToGrid w:val="0"/>
        <w:spacing w:line="360" w:lineRule="auto"/>
        <w:jc w:val="center"/>
        <w:rPr>
          <w:rFonts w:ascii="宋体" w:hAnsi="宋体" w:cs="宋体"/>
          <w:b/>
          <w:color w:val="auto"/>
          <w:kern w:val="0"/>
          <w:sz w:val="32"/>
          <w:szCs w:val="32"/>
          <w:highlight w:val="none"/>
          <w:lang w:val="zh-CN"/>
        </w:rPr>
      </w:pPr>
    </w:p>
    <w:p w14:paraId="164C4AE6">
      <w:pPr>
        <w:snapToGrid w:val="0"/>
        <w:spacing w:line="360" w:lineRule="auto"/>
        <w:jc w:val="center"/>
        <w:rPr>
          <w:rFonts w:ascii="宋体" w:hAnsi="宋体" w:cs="宋体"/>
          <w:b/>
          <w:color w:val="auto"/>
          <w:kern w:val="0"/>
          <w:sz w:val="32"/>
          <w:szCs w:val="32"/>
          <w:highlight w:val="none"/>
          <w:lang w:val="zh-CN"/>
        </w:rPr>
      </w:pPr>
    </w:p>
    <w:p w14:paraId="261293E0">
      <w:pPr>
        <w:snapToGrid w:val="0"/>
        <w:spacing w:line="360" w:lineRule="auto"/>
        <w:jc w:val="center"/>
        <w:rPr>
          <w:rFonts w:ascii="宋体" w:hAnsi="宋体" w:cs="宋体"/>
          <w:b/>
          <w:color w:val="auto"/>
          <w:kern w:val="0"/>
          <w:sz w:val="32"/>
          <w:szCs w:val="32"/>
          <w:highlight w:val="none"/>
          <w:lang w:val="zh-CN"/>
        </w:rPr>
      </w:pPr>
    </w:p>
    <w:p w14:paraId="4C371345">
      <w:pPr>
        <w:snapToGrid w:val="0"/>
        <w:spacing w:line="360" w:lineRule="auto"/>
        <w:jc w:val="center"/>
        <w:rPr>
          <w:rFonts w:ascii="宋体" w:hAnsi="宋体" w:cs="宋体"/>
          <w:b/>
          <w:color w:val="auto"/>
          <w:kern w:val="0"/>
          <w:sz w:val="32"/>
          <w:szCs w:val="32"/>
          <w:highlight w:val="none"/>
          <w:lang w:val="zh-CN"/>
        </w:rPr>
      </w:pPr>
    </w:p>
    <w:p w14:paraId="532AAA9A">
      <w:pPr>
        <w:snapToGrid w:val="0"/>
        <w:spacing w:line="360" w:lineRule="auto"/>
        <w:jc w:val="center"/>
        <w:rPr>
          <w:rFonts w:ascii="宋体" w:hAnsi="宋体" w:cs="宋体"/>
          <w:b/>
          <w:color w:val="auto"/>
          <w:kern w:val="0"/>
          <w:sz w:val="32"/>
          <w:szCs w:val="32"/>
          <w:highlight w:val="none"/>
          <w:lang w:val="zh-CN"/>
        </w:rPr>
      </w:pPr>
    </w:p>
    <w:p w14:paraId="4CBF3A86">
      <w:pPr>
        <w:snapToGrid w:val="0"/>
        <w:spacing w:line="360" w:lineRule="auto"/>
        <w:jc w:val="center"/>
        <w:rPr>
          <w:rFonts w:ascii="宋体" w:hAnsi="宋体" w:cs="宋体"/>
          <w:b/>
          <w:color w:val="auto"/>
          <w:kern w:val="0"/>
          <w:sz w:val="32"/>
          <w:szCs w:val="32"/>
          <w:highlight w:val="none"/>
          <w:lang w:val="zh-CN"/>
        </w:rPr>
      </w:pPr>
    </w:p>
    <w:p w14:paraId="76D9069A">
      <w:pPr>
        <w:snapToGrid w:val="0"/>
        <w:spacing w:line="360" w:lineRule="auto"/>
        <w:jc w:val="center"/>
        <w:rPr>
          <w:rFonts w:ascii="宋体" w:hAnsi="宋体" w:cs="宋体"/>
          <w:b/>
          <w:color w:val="auto"/>
          <w:kern w:val="0"/>
          <w:sz w:val="32"/>
          <w:szCs w:val="32"/>
          <w:highlight w:val="none"/>
          <w:lang w:val="zh-CN"/>
        </w:rPr>
      </w:pPr>
    </w:p>
    <w:p w14:paraId="468F0A59">
      <w:pPr>
        <w:snapToGrid w:val="0"/>
        <w:spacing w:line="360" w:lineRule="auto"/>
        <w:jc w:val="center"/>
        <w:rPr>
          <w:rFonts w:ascii="宋体" w:hAnsi="宋体" w:cs="宋体"/>
          <w:b/>
          <w:color w:val="auto"/>
          <w:kern w:val="0"/>
          <w:sz w:val="32"/>
          <w:szCs w:val="32"/>
          <w:highlight w:val="none"/>
          <w:lang w:val="zh-CN"/>
        </w:rPr>
      </w:pPr>
    </w:p>
    <w:p w14:paraId="12819A76">
      <w:pPr>
        <w:snapToGrid w:val="0"/>
        <w:spacing w:line="360" w:lineRule="auto"/>
        <w:jc w:val="center"/>
        <w:rPr>
          <w:rFonts w:ascii="宋体" w:hAnsi="宋体" w:cs="宋体"/>
          <w:b/>
          <w:color w:val="auto"/>
          <w:kern w:val="0"/>
          <w:sz w:val="32"/>
          <w:szCs w:val="32"/>
          <w:highlight w:val="none"/>
          <w:lang w:val="zh-CN"/>
        </w:rPr>
      </w:pPr>
    </w:p>
    <w:p w14:paraId="395EFDC7">
      <w:pPr>
        <w:snapToGrid w:val="0"/>
        <w:spacing w:line="360" w:lineRule="auto"/>
        <w:jc w:val="center"/>
        <w:rPr>
          <w:rFonts w:ascii="宋体" w:hAnsi="宋体" w:cs="宋体"/>
          <w:b/>
          <w:color w:val="auto"/>
          <w:kern w:val="0"/>
          <w:sz w:val="32"/>
          <w:szCs w:val="32"/>
          <w:highlight w:val="none"/>
          <w:lang w:val="zh-CN"/>
        </w:rPr>
      </w:pPr>
    </w:p>
    <w:p w14:paraId="4E76F388">
      <w:pPr>
        <w:rPr>
          <w:rFonts w:ascii="宋体" w:hAnsi="宋体" w:cs="宋体"/>
          <w:b/>
          <w:color w:val="auto"/>
          <w:kern w:val="0"/>
          <w:sz w:val="32"/>
          <w:szCs w:val="32"/>
          <w:highlight w:val="none"/>
          <w:lang w:val="zh-CN"/>
        </w:rPr>
      </w:pPr>
    </w:p>
    <w:p w14:paraId="2A4E2309">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0562FD7">
      <w:pPr>
        <w:snapToGrid w:val="0"/>
        <w:spacing w:line="360" w:lineRule="auto"/>
        <w:jc w:val="center"/>
        <w:outlineLvl w:val="0"/>
        <w:rPr>
          <w:rFonts w:ascii="宋体" w:hAnsi="宋体" w:cs="宋体"/>
          <w:b/>
          <w:color w:val="auto"/>
          <w:szCs w:val="21"/>
          <w:highlight w:val="none"/>
        </w:rPr>
      </w:pPr>
      <w:r>
        <w:rPr>
          <w:rFonts w:hint="eastAsia" w:ascii="宋体" w:hAnsi="宋体" w:cs="宋体"/>
          <w:b/>
          <w:color w:val="auto"/>
          <w:kern w:val="0"/>
          <w:szCs w:val="21"/>
          <w:highlight w:val="none"/>
        </w:rPr>
        <w:t>一、投标</w:t>
      </w:r>
      <w:r>
        <w:rPr>
          <w:rFonts w:hint="eastAsia" w:ascii="宋体" w:hAnsi="宋体" w:cs="宋体"/>
          <w:b/>
          <w:color w:val="auto"/>
          <w:szCs w:val="21"/>
          <w:highlight w:val="none"/>
        </w:rPr>
        <w:t>函</w:t>
      </w:r>
    </w:p>
    <w:p w14:paraId="1479A004">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浙江万里学院、浙江省成套招标代理有限公司：</w:t>
      </w:r>
    </w:p>
    <w:p w14:paraId="28BD366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我方参加你方组织的</w:t>
      </w:r>
      <w:r>
        <w:rPr>
          <w:rFonts w:hint="eastAsia" w:ascii="宋体" w:hAnsi="宋体" w:cs="宋体"/>
          <w:color w:val="auto"/>
          <w:szCs w:val="21"/>
          <w:highlight w:val="none"/>
          <w:lang w:eastAsia="zh-CN"/>
        </w:rPr>
        <w:t>浙江万里学院同声传译实验室建设项目【重发】</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CTZB-2024070151-01</w:t>
      </w:r>
      <w:r>
        <w:rPr>
          <w:rFonts w:hint="eastAsia" w:ascii="宋体" w:hAnsi="宋体" w:cs="宋体"/>
          <w:color w:val="auto"/>
          <w:szCs w:val="21"/>
          <w:highlight w:val="none"/>
        </w:rPr>
        <w:t>】招标的有关活动，并对此项目进行投标。为此：</w:t>
      </w:r>
    </w:p>
    <w:p w14:paraId="60895301">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1、我方承诺投标有效期从提交投标文件的截止之日起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天（不少于90天），本投标文件在投标有效期满之前均具有约束力。</w:t>
      </w:r>
    </w:p>
    <w:p w14:paraId="458555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2、我方的投标文件包括以下内容：</w:t>
      </w:r>
    </w:p>
    <w:p w14:paraId="49AF21CF">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2.1资格文件：</w:t>
      </w:r>
    </w:p>
    <w:p w14:paraId="4D66314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2.1.1承诺函；</w:t>
      </w:r>
    </w:p>
    <w:p w14:paraId="3BF42A2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2.1.2</w:t>
      </w:r>
      <w:r>
        <w:rPr>
          <w:rFonts w:hint="eastAsia" w:ascii="宋体" w:hAnsi="宋体" w:cs="宋体"/>
          <w:snapToGrid w:val="0"/>
          <w:color w:val="auto"/>
          <w:kern w:val="28"/>
          <w:szCs w:val="21"/>
          <w:highlight w:val="none"/>
        </w:rPr>
        <w:t>联合协议</w:t>
      </w:r>
      <w:bookmarkStart w:id="398" w:name="_Hlk101257010"/>
      <w:r>
        <w:rPr>
          <w:rFonts w:hint="eastAsia" w:ascii="宋体" w:hAnsi="宋体" w:cs="宋体"/>
          <w:color w:val="auto"/>
          <w:szCs w:val="21"/>
          <w:highlight w:val="none"/>
        </w:rPr>
        <w:t>（如果有)</w:t>
      </w:r>
      <w:bookmarkEnd w:id="398"/>
      <w:r>
        <w:rPr>
          <w:rFonts w:hint="eastAsia" w:ascii="宋体" w:hAnsi="宋体" w:cs="宋体"/>
          <w:snapToGrid w:val="0"/>
          <w:color w:val="auto"/>
          <w:kern w:val="28"/>
          <w:szCs w:val="21"/>
          <w:highlight w:val="none"/>
        </w:rPr>
        <w:t>；</w:t>
      </w:r>
    </w:p>
    <w:p w14:paraId="608A65C7">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.1.3</w:t>
      </w:r>
      <w:r>
        <w:rPr>
          <w:rFonts w:hint="eastAsia" w:ascii="宋体" w:hAnsi="宋体" w:cs="宋体"/>
          <w:color w:val="auto"/>
          <w:szCs w:val="21"/>
          <w:highlight w:val="none"/>
        </w:rPr>
        <w:t>落实政府采购政策需满足的资格要求（如果有）；</w:t>
      </w:r>
    </w:p>
    <w:p w14:paraId="59BC6105">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2.1.</w:t>
      </w:r>
      <w:r>
        <w:rPr>
          <w:rFonts w:ascii="宋体" w:hAnsi="宋体" w:cs="宋体"/>
          <w:color w:val="auto"/>
          <w:szCs w:val="21"/>
          <w:highlight w:val="none"/>
        </w:rPr>
        <w:t>4</w:t>
      </w:r>
      <w:r>
        <w:rPr>
          <w:rFonts w:hint="eastAsia" w:ascii="宋体" w:hAnsi="宋体" w:cs="宋体"/>
          <w:color w:val="auto"/>
          <w:szCs w:val="21"/>
          <w:highlight w:val="none"/>
        </w:rPr>
        <w:t>本项目的特定资格要求（如果有)。</w:t>
      </w:r>
    </w:p>
    <w:p w14:paraId="41B67004">
      <w:pPr>
        <w:snapToGrid w:val="0"/>
        <w:spacing w:line="360" w:lineRule="auto"/>
        <w:ind w:left="210" w:leftChars="1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 xml:space="preserve"> </w:t>
      </w:r>
      <w:r>
        <w:rPr>
          <w:rFonts w:hint="eastAsia" w:ascii="宋体" w:hAnsi="宋体" w:cs="宋体"/>
          <w:color w:val="auto"/>
          <w:szCs w:val="21"/>
          <w:highlight w:val="none"/>
        </w:rPr>
        <w:t>商务技术</w:t>
      </w:r>
      <w:r>
        <w:rPr>
          <w:rFonts w:hint="eastAsia" w:ascii="宋体" w:hAnsi="宋体" w:cs="宋体"/>
          <w:color w:val="auto"/>
          <w:szCs w:val="21"/>
          <w:highlight w:val="none"/>
          <w:lang w:val="zh-CN"/>
        </w:rPr>
        <w:t>文件：</w:t>
      </w:r>
    </w:p>
    <w:p w14:paraId="2AF14183">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2.2.1投标函；</w:t>
      </w:r>
      <w:r>
        <w:rPr>
          <w:rFonts w:hint="eastAsia" w:ascii="宋体" w:hAnsi="宋体" w:cs="宋体"/>
          <w:color w:val="auto"/>
          <w:szCs w:val="21"/>
          <w:highlight w:val="none"/>
          <w:lang w:val="zh-CN"/>
        </w:rPr>
        <w:t xml:space="preserve"> </w:t>
      </w:r>
    </w:p>
    <w:p w14:paraId="7BC30EA9">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2.2.2授权委托书或法定代表人（单位负责人）身份证明；</w:t>
      </w:r>
    </w:p>
    <w:p w14:paraId="55A5BC17">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分包意向协议（如果有)；</w:t>
      </w:r>
    </w:p>
    <w:p w14:paraId="2EE3C43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4</w:t>
      </w:r>
      <w:r>
        <w:rPr>
          <w:rFonts w:hint="eastAsia" w:ascii="宋体" w:hAnsi="宋体" w:cs="宋体"/>
          <w:color w:val="auto"/>
          <w:szCs w:val="21"/>
          <w:highlight w:val="none"/>
        </w:rPr>
        <w:t>符合性审查资料；</w:t>
      </w:r>
    </w:p>
    <w:p w14:paraId="3233A1DD">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5</w:t>
      </w:r>
      <w:r>
        <w:rPr>
          <w:rFonts w:hint="eastAsia" w:ascii="宋体" w:hAnsi="宋体" w:cs="宋体"/>
          <w:color w:val="auto"/>
          <w:szCs w:val="21"/>
          <w:highlight w:val="none"/>
        </w:rPr>
        <w:t>评标标准相应的商务技术资料；</w:t>
      </w:r>
    </w:p>
    <w:p w14:paraId="47855952">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6</w:t>
      </w:r>
      <w:r>
        <w:rPr>
          <w:rFonts w:hint="eastAsia" w:ascii="宋体" w:hAnsi="宋体" w:cs="宋体"/>
          <w:color w:val="auto"/>
          <w:szCs w:val="21"/>
          <w:highlight w:val="none"/>
        </w:rPr>
        <w:t>投标标的清单；</w:t>
      </w:r>
    </w:p>
    <w:p w14:paraId="16B22D3A">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7</w:t>
      </w:r>
      <w:r>
        <w:rPr>
          <w:rFonts w:hint="eastAsia" w:ascii="宋体" w:hAnsi="宋体" w:cs="宋体"/>
          <w:color w:val="auto"/>
          <w:szCs w:val="21"/>
          <w:highlight w:val="none"/>
        </w:rPr>
        <w:t>商务技术偏离表；</w:t>
      </w:r>
    </w:p>
    <w:p w14:paraId="12AB891B">
      <w:pPr>
        <w:snapToGrid w:val="0"/>
        <w:spacing w:line="360" w:lineRule="auto"/>
        <w:ind w:left="420" w:leftChars="200" w:firstLine="420" w:firstLineChars="200"/>
        <w:rPr>
          <w:rFonts w:ascii="宋体" w:hAnsi="宋体" w:cs="宋体"/>
          <w:color w:val="auto"/>
          <w:szCs w:val="21"/>
          <w:highlight w:val="none"/>
          <w:lang w:val="zh-CN"/>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ascii="宋体" w:hAnsi="宋体" w:cs="宋体"/>
          <w:color w:val="auto"/>
          <w:szCs w:val="21"/>
          <w:highlight w:val="none"/>
        </w:rPr>
        <w:t>8</w:t>
      </w:r>
      <w:r>
        <w:rPr>
          <w:rFonts w:hint="eastAsia" w:ascii="宋体" w:hAnsi="宋体" w:cs="宋体"/>
          <w:color w:val="auto"/>
          <w:szCs w:val="21"/>
          <w:highlight w:val="none"/>
          <w:lang w:val="zh-CN"/>
        </w:rPr>
        <w:t>政府采购供应商廉洁自律承诺书；</w:t>
      </w:r>
    </w:p>
    <w:p w14:paraId="0F9C5DFA">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zh-CN"/>
        </w:rPr>
        <w:t>.</w:t>
      </w:r>
      <w:r>
        <w:rPr>
          <w:rFonts w:hint="eastAsia" w:ascii="宋体" w:hAnsi="宋体" w:cs="宋体"/>
          <w:color w:val="auto"/>
          <w:szCs w:val="21"/>
          <w:highlight w:val="none"/>
        </w:rPr>
        <w:t>3报价文件</w:t>
      </w:r>
    </w:p>
    <w:p w14:paraId="3364AE16">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2.3.1开标一览表（报价表）；</w:t>
      </w:r>
    </w:p>
    <w:p w14:paraId="6FD09BAD">
      <w:pPr>
        <w:snapToGrid w:val="0"/>
        <w:spacing w:line="360" w:lineRule="auto"/>
        <w:ind w:left="420" w:leftChars="200" w:firstLine="420" w:firstLineChars="200"/>
        <w:rPr>
          <w:rFonts w:ascii="宋体" w:hAnsi="宋体" w:cs="宋体"/>
          <w:color w:val="auto"/>
          <w:szCs w:val="21"/>
          <w:highlight w:val="none"/>
        </w:rPr>
      </w:pPr>
      <w:r>
        <w:rPr>
          <w:rFonts w:hint="eastAsia" w:ascii="宋体" w:hAnsi="宋体" w:cs="宋体"/>
          <w:color w:val="auto"/>
          <w:szCs w:val="21"/>
          <w:highlight w:val="none"/>
        </w:rPr>
        <w:t>2.3.2中小企业声明函（如果有）。</w:t>
      </w:r>
    </w:p>
    <w:p w14:paraId="7CEFA0B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3、我方承诺除商务技术偏离表列出的偏离外，我方响应招标文件的全部要求。</w:t>
      </w:r>
    </w:p>
    <w:p w14:paraId="6CBA769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4、如我方中标，我方承诺：4.1在收到中标通知书后，在中标通知书规定的期限内与你方签订合同； 4.2在签订合同时不向你方提出附加条件； 4.3按照招标文件要求提交履约保证金； 4.4在合同约定的期限内完成合同规定的全部义务。 </w:t>
      </w:r>
    </w:p>
    <w:p w14:paraId="797B6446">
      <w:pPr>
        <w:snapToGrid w:val="0"/>
        <w:spacing w:line="360" w:lineRule="auto"/>
        <w:ind w:left="210" w:leftChars="100" w:firstLine="420" w:firstLineChars="200"/>
        <w:rPr>
          <w:rFonts w:ascii="宋体" w:hAnsi="宋体" w:cs="宋体"/>
          <w:color w:val="auto"/>
          <w:szCs w:val="21"/>
          <w:highlight w:val="none"/>
        </w:rPr>
      </w:pPr>
      <w:r>
        <w:rPr>
          <w:rFonts w:hint="eastAsia" w:ascii="宋体" w:hAnsi="宋体" w:cs="宋体"/>
          <w:color w:val="auto"/>
          <w:szCs w:val="21"/>
          <w:highlight w:val="none"/>
        </w:rPr>
        <w:t>5、其他补充说明: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28F0ECE">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 xml:space="preserve">供应商名称（电子签名）：                          </w:t>
      </w:r>
    </w:p>
    <w:p w14:paraId="627E01CA">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3DCBDC1">
      <w:pPr>
        <w:snapToGrid w:val="0"/>
        <w:spacing w:line="360" w:lineRule="auto"/>
        <w:ind w:left="420" w:leftChars="200" w:firstLine="3675" w:firstLineChars="1750"/>
        <w:rPr>
          <w:rFonts w:ascii="宋体" w:hAnsi="宋体" w:cs="宋体"/>
          <w:color w:val="auto"/>
          <w:kern w:val="0"/>
          <w:szCs w:val="21"/>
          <w:highlight w:val="none"/>
          <w:u w:val="single"/>
        </w:rPr>
      </w:pPr>
    </w:p>
    <w:p w14:paraId="56806896">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0E1F23E9">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83D6D5">
      <w:pPr>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二、授权委托书或法定代表人（单位负责人、自然人本人）身份证明</w:t>
      </w:r>
    </w:p>
    <w:p w14:paraId="5242C2B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77DE520E">
      <w:pPr>
        <w:snapToGrid w:val="0"/>
        <w:spacing w:line="360" w:lineRule="auto"/>
        <w:jc w:val="center"/>
        <w:rPr>
          <w:rFonts w:ascii="宋体" w:hAnsi="宋体" w:cs="宋体"/>
          <w:color w:val="auto"/>
          <w:szCs w:val="21"/>
          <w:highlight w:val="none"/>
        </w:rPr>
      </w:pPr>
      <w:r>
        <w:rPr>
          <w:rFonts w:hint="eastAsia" w:ascii="宋体" w:hAnsi="宋体" w:cs="宋体"/>
          <w:b/>
          <w:color w:val="auto"/>
          <w:kern w:val="0"/>
          <w:szCs w:val="21"/>
          <w:highlight w:val="none"/>
          <w:lang w:val="zh-CN"/>
        </w:rPr>
        <w:t>授权委托书（适用于非联合体投标）</w:t>
      </w:r>
    </w:p>
    <w:p w14:paraId="32E9DF2A">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25869122">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浙江万里学院同声传译实验室建设项目【重发】</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CTZB-2024070151-01</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10F0FD13">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3AE16195">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03D9EF8C">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供应商名称(电子签名)：</w:t>
      </w:r>
    </w:p>
    <w:p w14:paraId="53F43EF7">
      <w:pPr>
        <w:snapToGrid w:val="0"/>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签发日期：  年  月   日</w:t>
      </w:r>
    </w:p>
    <w:p w14:paraId="3C1FB0D4">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FEDA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07" w:type="dxa"/>
          </w:tcPr>
          <w:p w14:paraId="5513582F">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693B93A">
            <w:pPr>
              <w:pStyle w:val="149"/>
              <w:adjustRightInd w:val="0"/>
              <w:spacing w:line="360" w:lineRule="auto"/>
              <w:rPr>
                <w:rFonts w:hAnsi="宋体" w:cs="宋体"/>
                <w:bCs/>
                <w:color w:val="auto"/>
                <w:sz w:val="24"/>
                <w:highlight w:val="none"/>
              </w:rPr>
            </w:pPr>
          </w:p>
        </w:tc>
      </w:tr>
    </w:tbl>
    <w:p w14:paraId="167AC12A">
      <w:pPr>
        <w:jc w:val="both"/>
        <w:rPr>
          <w:rFonts w:ascii="宋体" w:hAnsi="宋体" w:cs="宋体"/>
          <w:b/>
          <w:color w:val="auto"/>
          <w:kern w:val="0"/>
          <w:szCs w:val="21"/>
          <w:highlight w:val="none"/>
        </w:rPr>
      </w:pPr>
      <w:r>
        <w:rPr>
          <w:rFonts w:hint="eastAsia" w:ascii="宋体" w:hAnsi="宋体" w:cs="宋体"/>
          <w:b/>
          <w:color w:val="auto"/>
          <w:kern w:val="0"/>
          <w:szCs w:val="21"/>
          <w:highlight w:val="none"/>
          <w:lang w:val="zh-CN"/>
        </w:rPr>
        <w:t xml:space="preserve">     </w:t>
      </w:r>
      <w:r>
        <w:rPr>
          <w:rFonts w:hint="eastAsia" w:ascii="宋体" w:hAnsi="宋体" w:cs="宋体"/>
          <w:b/>
          <w:color w:val="auto"/>
          <w:kern w:val="0"/>
          <w:szCs w:val="21"/>
          <w:highlight w:val="none"/>
        </w:rPr>
        <w:t xml:space="preserve"> </w:t>
      </w:r>
    </w:p>
    <w:p w14:paraId="671EE88D">
      <w:pPr>
        <w:jc w:val="center"/>
        <w:rPr>
          <w:rFonts w:ascii="宋体" w:hAnsi="宋体" w:cs="宋体"/>
          <w:b/>
          <w:color w:val="auto"/>
          <w:kern w:val="0"/>
          <w:szCs w:val="21"/>
          <w:highlight w:val="none"/>
        </w:rPr>
      </w:pPr>
    </w:p>
    <w:p w14:paraId="705AFDD1">
      <w:pPr>
        <w:jc w:val="center"/>
        <w:rPr>
          <w:rFonts w:ascii="宋体" w:hAnsi="宋体" w:cs="宋体"/>
          <w:b/>
          <w:color w:val="auto"/>
          <w:kern w:val="0"/>
          <w:szCs w:val="21"/>
          <w:highlight w:val="none"/>
        </w:rPr>
      </w:pPr>
      <w:r>
        <w:rPr>
          <w:rFonts w:hint="eastAsia" w:ascii="宋体" w:hAnsi="宋体" w:cs="宋体"/>
          <w:b/>
          <w:color w:val="auto"/>
          <w:kern w:val="0"/>
          <w:szCs w:val="21"/>
          <w:highlight w:val="none"/>
          <w:lang w:val="zh-CN"/>
        </w:rPr>
        <w:t>授权委托书（适用于联合体投标）</w:t>
      </w:r>
    </w:p>
    <w:p w14:paraId="27C101B1">
      <w:pPr>
        <w:snapToGrid w:val="0"/>
        <w:spacing w:line="360" w:lineRule="auto"/>
        <w:rPr>
          <w:rFonts w:ascii="宋体" w:hAnsi="宋体" w:cs="宋体"/>
          <w:color w:val="auto"/>
          <w:szCs w:val="21"/>
          <w:highlight w:val="none"/>
        </w:rPr>
      </w:pPr>
    </w:p>
    <w:p w14:paraId="5B25F3DF">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728FFC39">
      <w:pPr>
        <w:snapToGrid w:val="0"/>
        <w:spacing w:line="360" w:lineRule="auto"/>
        <w:ind w:firstLine="576"/>
        <w:rPr>
          <w:rFonts w:ascii="宋体" w:hAnsi="宋体" w:cs="宋体"/>
          <w:color w:val="auto"/>
          <w:kern w:val="0"/>
          <w:szCs w:val="21"/>
          <w:highlight w:val="none"/>
        </w:rPr>
      </w:pPr>
      <w:r>
        <w:rPr>
          <w:rFonts w:hint="eastAsia" w:ascii="宋体" w:hAnsi="宋体" w:cs="宋体"/>
          <w:color w:val="auto"/>
          <w:kern w:val="0"/>
          <w:szCs w:val="21"/>
          <w:highlight w:val="none"/>
        </w:rPr>
        <w:t>现</w:t>
      </w:r>
      <w:r>
        <w:rPr>
          <w:rFonts w:hint="eastAsia" w:ascii="宋体" w:hAnsi="宋体" w:cs="宋体"/>
          <w:color w:val="auto"/>
          <w:kern w:val="0"/>
          <w:szCs w:val="21"/>
          <w:highlight w:val="none"/>
          <w:lang w:val="zh-CN"/>
        </w:rPr>
        <w:t>委托</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（姓名）为我方代理人（身份证号码：</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，手机：</w:t>
      </w:r>
      <w:r>
        <w:rPr>
          <w:rFonts w:hint="eastAsia" w:ascii="宋体" w:hAnsi="宋体" w:cs="宋体"/>
          <w:color w:val="auto"/>
          <w:kern w:val="0"/>
          <w:szCs w:val="21"/>
          <w:highlight w:val="none"/>
          <w:u w:val="single"/>
          <w:lang w:val="zh-CN"/>
        </w:rPr>
        <w:t xml:space="preserve">          </w:t>
      </w:r>
      <w:r>
        <w:rPr>
          <w:rFonts w:hint="eastAsia" w:ascii="宋体" w:hAnsi="宋体" w:cs="宋体"/>
          <w:color w:val="auto"/>
          <w:kern w:val="0"/>
          <w:szCs w:val="21"/>
          <w:highlight w:val="none"/>
          <w:lang w:val="zh-CN"/>
        </w:rPr>
        <w:t>），以我方名义处理</w:t>
      </w:r>
      <w:r>
        <w:rPr>
          <w:rFonts w:hint="eastAsia" w:ascii="宋体" w:hAnsi="宋体" w:cs="宋体"/>
          <w:color w:val="auto"/>
          <w:szCs w:val="21"/>
          <w:highlight w:val="none"/>
          <w:lang w:eastAsia="zh-CN"/>
        </w:rPr>
        <w:t>浙江万里学院同声传译实验室建设项目【重发】</w:t>
      </w:r>
      <w:r>
        <w:rPr>
          <w:rFonts w:hint="eastAsia" w:ascii="宋体" w:hAnsi="宋体" w:cs="宋体"/>
          <w:color w:val="auto"/>
          <w:szCs w:val="21"/>
          <w:highlight w:val="none"/>
        </w:rPr>
        <w:t>【招标编号：</w:t>
      </w:r>
      <w:r>
        <w:rPr>
          <w:rFonts w:hint="eastAsia" w:ascii="宋体" w:hAnsi="宋体" w:cs="宋体"/>
          <w:color w:val="auto"/>
          <w:szCs w:val="21"/>
          <w:highlight w:val="none"/>
          <w:lang w:eastAsia="zh-CN"/>
        </w:rPr>
        <w:t>CTZB-2024070151-01</w:t>
      </w:r>
      <w:r>
        <w:rPr>
          <w:rFonts w:hint="eastAsia" w:ascii="宋体" w:hAnsi="宋体" w:cs="宋体"/>
          <w:color w:val="auto"/>
          <w:szCs w:val="21"/>
          <w:highlight w:val="none"/>
        </w:rPr>
        <w:t>】</w:t>
      </w:r>
      <w:r>
        <w:rPr>
          <w:rFonts w:hint="eastAsia" w:ascii="宋体" w:hAnsi="宋体" w:cs="宋体"/>
          <w:color w:val="auto"/>
          <w:kern w:val="0"/>
          <w:szCs w:val="21"/>
          <w:highlight w:val="none"/>
          <w:lang w:val="zh-CN"/>
        </w:rPr>
        <w:t>政府采购投标的一切事项，其法律后果由我方承担。</w:t>
      </w:r>
    </w:p>
    <w:p w14:paraId="0152FAF6">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委托期限</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自</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日起至</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年</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日止。</w:t>
      </w:r>
    </w:p>
    <w:p w14:paraId="6E641F59">
      <w:pPr>
        <w:snapToGrid w:val="0"/>
        <w:spacing w:line="360" w:lineRule="auto"/>
        <w:rPr>
          <w:rFonts w:ascii="宋体" w:hAnsi="宋体" w:cs="宋体"/>
          <w:b/>
          <w:color w:val="auto"/>
          <w:kern w:val="0"/>
          <w:szCs w:val="21"/>
          <w:highlight w:val="none"/>
        </w:rPr>
      </w:pP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特此告知。</w:t>
      </w:r>
    </w:p>
    <w:p w14:paraId="293E5151">
      <w:pPr>
        <w:rPr>
          <w:rFonts w:ascii="宋体" w:hAnsi="宋体" w:cs="宋体"/>
          <w:color w:val="auto"/>
          <w:szCs w:val="21"/>
          <w:highlight w:val="none"/>
        </w:rPr>
      </w:pPr>
    </w:p>
    <w:p w14:paraId="0C292191">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C87ED49">
      <w:pPr>
        <w:snapToGrid w:val="0"/>
        <w:spacing w:line="360" w:lineRule="auto"/>
        <w:ind w:firstLine="4410" w:firstLineChars="21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联合体成员名称(电子签名/公章)：</w:t>
      </w:r>
    </w:p>
    <w:p w14:paraId="27E32BEC">
      <w:pPr>
        <w:snapToGrid w:val="0"/>
        <w:spacing w:line="360" w:lineRule="auto"/>
        <w:ind w:firstLine="5040" w:firstLineChars="2400"/>
        <w:rPr>
          <w:rFonts w:ascii="宋体" w:hAnsi="宋体" w:cs="宋体"/>
          <w:color w:val="auto"/>
          <w:szCs w:val="21"/>
          <w:highlight w:val="none"/>
        </w:rPr>
      </w:pPr>
      <w:r>
        <w:rPr>
          <w:rFonts w:hint="eastAsia" w:ascii="宋体" w:hAnsi="宋体" w:cs="宋体"/>
          <w:color w:val="auto"/>
          <w:kern w:val="0"/>
          <w:szCs w:val="21"/>
          <w:highlight w:val="none"/>
          <w:lang w:val="zh-CN"/>
        </w:rPr>
        <w:t>……</w:t>
      </w:r>
    </w:p>
    <w:p w14:paraId="13367A4E">
      <w:pPr>
        <w:pStyle w:val="149"/>
        <w:spacing w:line="360" w:lineRule="auto"/>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6BE7E16E">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4DA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9207" w:type="dxa"/>
          </w:tcPr>
          <w:p w14:paraId="2F7DD72E">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6564E2D1">
            <w:pPr>
              <w:pStyle w:val="149"/>
              <w:adjustRightInd w:val="0"/>
              <w:spacing w:line="360" w:lineRule="auto"/>
              <w:rPr>
                <w:rFonts w:hAnsi="宋体" w:cs="宋体"/>
                <w:bCs/>
                <w:color w:val="auto"/>
                <w:sz w:val="24"/>
                <w:highlight w:val="none"/>
              </w:rPr>
            </w:pPr>
          </w:p>
        </w:tc>
      </w:tr>
    </w:tbl>
    <w:p w14:paraId="1A91B359">
      <w:pPr>
        <w:snapToGrid w:val="0"/>
        <w:spacing w:line="360" w:lineRule="auto"/>
        <w:rPr>
          <w:rFonts w:ascii="宋体" w:hAnsi="宋体" w:cs="宋体"/>
          <w:color w:val="auto"/>
          <w:kern w:val="0"/>
          <w:szCs w:val="21"/>
          <w:highlight w:val="none"/>
          <w:lang w:val="zh-CN"/>
        </w:rPr>
      </w:pPr>
    </w:p>
    <w:p w14:paraId="49051C4B">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kern w:val="0"/>
          <w:szCs w:val="21"/>
          <w:highlight w:val="none"/>
          <w:lang w:val="zh-CN"/>
        </w:rPr>
        <w:t>法定代表人、单位负责人或自然人本人</w:t>
      </w:r>
      <w:r>
        <w:rPr>
          <w:rFonts w:hint="eastAsia" w:ascii="宋体" w:hAnsi="宋体" w:cs="宋体"/>
          <w:b/>
          <w:color w:val="auto"/>
          <w:szCs w:val="21"/>
          <w:highlight w:val="none"/>
        </w:rPr>
        <w:t>的身份证明（适用于法定代表人、单位负责人或者自然人本人代表供应商参加投标）</w:t>
      </w:r>
    </w:p>
    <w:p w14:paraId="3B74DA40">
      <w:pPr>
        <w:pStyle w:val="149"/>
        <w:spacing w:line="360" w:lineRule="auto"/>
        <w:rPr>
          <w:rFonts w:hAnsi="宋体" w:cs="宋体"/>
          <w:bCs/>
          <w:color w:val="auto"/>
          <w:highlight w:val="none"/>
        </w:rPr>
      </w:pPr>
      <w:r>
        <w:rPr>
          <w:rFonts w:hint="eastAsia" w:hAnsi="宋体" w:cs="宋体"/>
          <w:bCs/>
          <w:color w:val="auto"/>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A10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572150F">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98DDFE6">
            <w:pPr>
              <w:pStyle w:val="149"/>
              <w:adjustRightInd w:val="0"/>
              <w:spacing w:line="360" w:lineRule="auto"/>
              <w:rPr>
                <w:rFonts w:hAnsi="宋体" w:cs="宋体"/>
                <w:bCs/>
                <w:color w:val="auto"/>
                <w:sz w:val="24"/>
                <w:highlight w:val="none"/>
              </w:rPr>
            </w:pPr>
          </w:p>
        </w:tc>
      </w:tr>
    </w:tbl>
    <w:p w14:paraId="46A8C52C">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w:t>
      </w:r>
    </w:p>
    <w:p w14:paraId="644E4546">
      <w:pPr>
        <w:snapToGrid w:val="0"/>
        <w:spacing w:line="360" w:lineRule="auto"/>
        <w:ind w:firstLine="576"/>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供应商名称(电子签名)：                              </w:t>
      </w:r>
    </w:p>
    <w:p w14:paraId="05C71A44">
      <w:pPr>
        <w:spacing w:line="360" w:lineRule="auto"/>
        <w:jc w:val="cente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                   日期：  年  月  日</w:t>
      </w:r>
    </w:p>
    <w:p w14:paraId="044BB0EE">
      <w:pPr>
        <w:jc w:val="center"/>
        <w:rPr>
          <w:rFonts w:ascii="宋体" w:hAnsi="宋体" w:cs="宋体"/>
          <w:b/>
          <w:color w:val="auto"/>
          <w:kern w:val="0"/>
          <w:sz w:val="32"/>
          <w:szCs w:val="32"/>
          <w:highlight w:val="none"/>
        </w:rPr>
      </w:pPr>
    </w:p>
    <w:p w14:paraId="41B693D8">
      <w:pPr>
        <w:jc w:val="center"/>
        <w:rPr>
          <w:rFonts w:ascii="宋体" w:hAnsi="宋体" w:cs="宋体"/>
          <w:b/>
          <w:color w:val="auto"/>
          <w:kern w:val="0"/>
          <w:sz w:val="32"/>
          <w:szCs w:val="32"/>
          <w:highlight w:val="none"/>
        </w:rPr>
      </w:pPr>
    </w:p>
    <w:p w14:paraId="05FAF464">
      <w:pPr>
        <w:jc w:val="center"/>
        <w:rPr>
          <w:rFonts w:ascii="宋体" w:hAnsi="宋体" w:cs="宋体"/>
          <w:b/>
          <w:color w:val="auto"/>
          <w:kern w:val="0"/>
          <w:sz w:val="32"/>
          <w:szCs w:val="32"/>
          <w:highlight w:val="none"/>
        </w:rPr>
      </w:pPr>
    </w:p>
    <w:p w14:paraId="54257495">
      <w:pPr>
        <w:jc w:val="center"/>
        <w:rPr>
          <w:rFonts w:ascii="宋体" w:hAnsi="宋体" w:cs="宋体"/>
          <w:b/>
          <w:color w:val="auto"/>
          <w:kern w:val="0"/>
          <w:sz w:val="32"/>
          <w:szCs w:val="32"/>
          <w:highlight w:val="none"/>
        </w:rPr>
      </w:pPr>
    </w:p>
    <w:p w14:paraId="06201C25">
      <w:pPr>
        <w:jc w:val="center"/>
        <w:rPr>
          <w:rFonts w:ascii="宋体" w:hAnsi="宋体" w:cs="宋体"/>
          <w:b/>
          <w:color w:val="auto"/>
          <w:kern w:val="0"/>
          <w:sz w:val="32"/>
          <w:szCs w:val="32"/>
          <w:highlight w:val="none"/>
        </w:rPr>
      </w:pPr>
    </w:p>
    <w:p w14:paraId="0F7565C6">
      <w:pPr>
        <w:jc w:val="center"/>
        <w:rPr>
          <w:rFonts w:ascii="宋体" w:hAnsi="宋体" w:cs="宋体"/>
          <w:b/>
          <w:color w:val="auto"/>
          <w:kern w:val="0"/>
          <w:sz w:val="32"/>
          <w:szCs w:val="32"/>
          <w:highlight w:val="none"/>
        </w:rPr>
      </w:pPr>
    </w:p>
    <w:p w14:paraId="3DD5254E">
      <w:pPr>
        <w:jc w:val="center"/>
        <w:rPr>
          <w:rFonts w:ascii="宋体" w:hAnsi="宋体" w:cs="宋体"/>
          <w:b/>
          <w:color w:val="auto"/>
          <w:kern w:val="0"/>
          <w:sz w:val="32"/>
          <w:szCs w:val="32"/>
          <w:highlight w:val="none"/>
        </w:rPr>
      </w:pPr>
    </w:p>
    <w:p w14:paraId="51FFAEE5">
      <w:pPr>
        <w:jc w:val="center"/>
        <w:rPr>
          <w:rFonts w:ascii="宋体" w:hAnsi="宋体" w:cs="宋体"/>
          <w:b/>
          <w:color w:val="auto"/>
          <w:kern w:val="0"/>
          <w:sz w:val="32"/>
          <w:szCs w:val="32"/>
          <w:highlight w:val="none"/>
        </w:rPr>
      </w:pPr>
    </w:p>
    <w:p w14:paraId="6E668615">
      <w:pPr>
        <w:jc w:val="center"/>
        <w:rPr>
          <w:rFonts w:ascii="宋体" w:hAnsi="宋体" w:cs="宋体"/>
          <w:b/>
          <w:color w:val="auto"/>
          <w:kern w:val="0"/>
          <w:sz w:val="32"/>
          <w:szCs w:val="32"/>
          <w:highlight w:val="none"/>
        </w:rPr>
      </w:pPr>
    </w:p>
    <w:p w14:paraId="27F2D5B4">
      <w:pPr>
        <w:jc w:val="center"/>
        <w:rPr>
          <w:rFonts w:ascii="宋体" w:hAnsi="宋体" w:cs="宋体"/>
          <w:b/>
          <w:color w:val="auto"/>
          <w:kern w:val="0"/>
          <w:sz w:val="32"/>
          <w:szCs w:val="32"/>
          <w:highlight w:val="none"/>
        </w:rPr>
      </w:pPr>
    </w:p>
    <w:p w14:paraId="356A1775">
      <w:pPr>
        <w:snapToGrid w:val="0"/>
        <w:spacing w:line="360" w:lineRule="auto"/>
        <w:ind w:right="480"/>
        <w:rPr>
          <w:rFonts w:ascii="宋体" w:hAnsi="宋体" w:cs="宋体"/>
          <w:b/>
          <w:color w:val="auto"/>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18A860A">
      <w:pPr>
        <w:snapToGrid w:val="0"/>
        <w:spacing w:line="360"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三、分包意向协议（如果有）</w:t>
      </w:r>
    </w:p>
    <w:p w14:paraId="37D01891">
      <w:pPr>
        <w:widowControl/>
        <w:spacing w:line="360" w:lineRule="auto"/>
        <w:ind w:firstLine="105" w:firstLineChars="50"/>
        <w:jc w:val="left"/>
        <w:rPr>
          <w:rFonts w:ascii="宋体" w:hAnsi="宋体" w:cs="宋体"/>
          <w:color w:val="auto"/>
          <w:szCs w:val="21"/>
          <w:highlight w:val="none"/>
        </w:rPr>
      </w:pPr>
    </w:p>
    <w:p w14:paraId="3AADDD03">
      <w:pPr>
        <w:widowControl/>
        <w:spacing w:line="360" w:lineRule="auto"/>
        <w:ind w:firstLine="105" w:firstLineChars="50"/>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中标后以分包方式履行合同的，提供分包意向协议(附件6</w:t>
      </w:r>
      <w:r>
        <w:rPr>
          <w:rFonts w:ascii="宋体" w:hAnsi="宋体" w:cs="宋体"/>
          <w:b/>
          <w:color w:val="auto"/>
          <w:szCs w:val="21"/>
          <w:highlight w:val="none"/>
        </w:rPr>
        <w:t>)</w:t>
      </w:r>
      <w:r>
        <w:rPr>
          <w:rFonts w:hint="eastAsia" w:ascii="宋体" w:hAnsi="宋体" w:cs="宋体"/>
          <w:b/>
          <w:color w:val="auto"/>
          <w:szCs w:val="21"/>
          <w:highlight w:val="none"/>
        </w:rPr>
        <w:t>；采购人不同意分包或者供应商中标后不以分包方式履行合同的，则不需要提供。</w:t>
      </w:r>
      <w:r>
        <w:rPr>
          <w:rFonts w:hint="eastAsia" w:ascii="宋体" w:hAnsi="宋体" w:cs="宋体"/>
          <w:color w:val="auto"/>
          <w:szCs w:val="21"/>
          <w:highlight w:val="none"/>
        </w:rPr>
        <w:t>]</w:t>
      </w:r>
    </w:p>
    <w:p w14:paraId="385AF8D4">
      <w:pPr>
        <w:snapToGrid w:val="0"/>
        <w:spacing w:line="360" w:lineRule="auto"/>
        <w:rPr>
          <w:rFonts w:ascii="宋体" w:hAnsi="宋体" w:cs="宋体"/>
          <w:color w:val="auto"/>
          <w:kern w:val="0"/>
          <w:szCs w:val="21"/>
          <w:highlight w:val="none"/>
        </w:rPr>
      </w:pPr>
    </w:p>
    <w:p w14:paraId="77847F23">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四、符合性审查资料</w:t>
      </w:r>
    </w:p>
    <w:p w14:paraId="495C50ED">
      <w:pPr>
        <w:jc w:val="center"/>
        <w:rPr>
          <w:rFonts w:ascii="宋体" w:hAnsi="宋体" w:cs="宋体"/>
          <w:b/>
          <w:color w:val="auto"/>
          <w:kern w:val="0"/>
          <w:szCs w:val="21"/>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96"/>
        <w:gridCol w:w="3116"/>
        <w:gridCol w:w="1648"/>
      </w:tblGrid>
      <w:tr w14:paraId="5A21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75D87A">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4196" w:type="dxa"/>
            <w:vAlign w:val="center"/>
          </w:tcPr>
          <w:p w14:paraId="43EF0863">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实质性要求</w:t>
            </w:r>
          </w:p>
        </w:tc>
        <w:tc>
          <w:tcPr>
            <w:tcW w:w="3116" w:type="dxa"/>
            <w:vAlign w:val="center"/>
          </w:tcPr>
          <w:p w14:paraId="7A3E2E4A">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需要提供的符合性审查资料</w:t>
            </w:r>
          </w:p>
        </w:tc>
        <w:tc>
          <w:tcPr>
            <w:tcW w:w="1648" w:type="dxa"/>
            <w:vAlign w:val="center"/>
          </w:tcPr>
          <w:p w14:paraId="7FF3A8AB">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投标文件中的</w:t>
            </w:r>
          </w:p>
          <w:p w14:paraId="73BFC284">
            <w:pPr>
              <w:snapToGrid w:val="0"/>
              <w:spacing w:line="240" w:lineRule="atLeast"/>
              <w:jc w:val="center"/>
              <w:rPr>
                <w:rFonts w:ascii="宋体" w:hAnsi="宋体" w:cs="宋体"/>
                <w:b/>
                <w:color w:val="auto"/>
                <w:szCs w:val="21"/>
                <w:highlight w:val="none"/>
              </w:rPr>
            </w:pPr>
            <w:r>
              <w:rPr>
                <w:rFonts w:hint="eastAsia" w:ascii="宋体" w:hAnsi="宋体" w:cs="宋体"/>
                <w:b/>
                <w:color w:val="auto"/>
                <w:szCs w:val="21"/>
                <w:highlight w:val="none"/>
              </w:rPr>
              <w:t>页码位置</w:t>
            </w:r>
          </w:p>
        </w:tc>
      </w:tr>
      <w:tr w14:paraId="2142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339ABB">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4196" w:type="dxa"/>
          </w:tcPr>
          <w:p w14:paraId="48378312">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投标文件按照招标文件要求签署、盖章。</w:t>
            </w:r>
          </w:p>
        </w:tc>
        <w:tc>
          <w:tcPr>
            <w:tcW w:w="3116" w:type="dxa"/>
            <w:vAlign w:val="center"/>
          </w:tcPr>
          <w:p w14:paraId="1E72B80E">
            <w:pPr>
              <w:rPr>
                <w:rFonts w:ascii="宋体" w:hAnsi="宋体" w:cs="宋体"/>
                <w:color w:val="auto"/>
                <w:szCs w:val="21"/>
                <w:highlight w:val="none"/>
              </w:rPr>
            </w:pPr>
            <w:r>
              <w:rPr>
                <w:rFonts w:hint="eastAsia" w:ascii="宋体" w:hAnsi="宋体" w:cs="宋体"/>
                <w:color w:val="auto"/>
                <w:szCs w:val="21"/>
                <w:highlight w:val="none"/>
              </w:rPr>
              <w:t>需要使用电子签名或者签字盖章的投标文件的组成部分</w:t>
            </w:r>
          </w:p>
        </w:tc>
        <w:tc>
          <w:tcPr>
            <w:tcW w:w="1648" w:type="dxa"/>
          </w:tcPr>
          <w:p w14:paraId="5E395FD6">
            <w:pPr>
              <w:rPr>
                <w:rFonts w:ascii="宋体" w:hAnsi="宋体" w:cs="宋体"/>
                <w:color w:val="auto"/>
                <w:szCs w:val="21"/>
                <w:highlight w:val="none"/>
              </w:rPr>
            </w:pPr>
          </w:p>
          <w:p w14:paraId="7289F7FB">
            <w:pPr>
              <w:rPr>
                <w:rFonts w:ascii="宋体" w:hAnsi="宋体" w:cs="宋体"/>
                <w:color w:val="auto"/>
                <w:szCs w:val="21"/>
                <w:highlight w:val="none"/>
              </w:rPr>
            </w:pPr>
            <w:r>
              <w:rPr>
                <w:rFonts w:hint="eastAsia" w:ascii="宋体" w:hAnsi="宋体" w:cs="宋体"/>
                <w:color w:val="auto"/>
                <w:szCs w:val="21"/>
                <w:highlight w:val="none"/>
              </w:rPr>
              <w:t>见投标文件</w:t>
            </w:r>
          </w:p>
          <w:p w14:paraId="7CDED4F4">
            <w:pPr>
              <w:rPr>
                <w:rFonts w:ascii="宋体" w:hAnsi="宋体" w:cs="宋体"/>
                <w:color w:val="auto"/>
                <w:szCs w:val="21"/>
                <w:highlight w:val="none"/>
              </w:rPr>
            </w:pPr>
            <w:r>
              <w:rPr>
                <w:rFonts w:hint="eastAsia" w:ascii="宋体" w:hAnsi="宋体" w:cs="宋体"/>
                <w:color w:val="auto"/>
                <w:szCs w:val="21"/>
                <w:highlight w:val="none"/>
              </w:rPr>
              <w:t>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5622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C48726F">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4196" w:type="dxa"/>
          </w:tcPr>
          <w:p w14:paraId="60D4B822">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投标文件中承诺的投标有效期不少于招标文件中载明的投标有效期。</w:t>
            </w:r>
          </w:p>
        </w:tc>
        <w:tc>
          <w:tcPr>
            <w:tcW w:w="3116" w:type="dxa"/>
            <w:vAlign w:val="center"/>
          </w:tcPr>
          <w:p w14:paraId="5BA668AE">
            <w:pPr>
              <w:rPr>
                <w:rFonts w:ascii="宋体" w:hAnsi="宋体" w:cs="宋体"/>
                <w:color w:val="auto"/>
                <w:szCs w:val="21"/>
                <w:highlight w:val="none"/>
              </w:rPr>
            </w:pPr>
            <w:r>
              <w:rPr>
                <w:rFonts w:hint="eastAsia" w:ascii="宋体" w:hAnsi="宋体" w:cs="宋体"/>
                <w:color w:val="auto"/>
                <w:szCs w:val="21"/>
                <w:highlight w:val="none"/>
              </w:rPr>
              <w:t>投标函</w:t>
            </w:r>
          </w:p>
        </w:tc>
        <w:tc>
          <w:tcPr>
            <w:tcW w:w="1648" w:type="dxa"/>
          </w:tcPr>
          <w:p w14:paraId="01E4704E">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r w14:paraId="3871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028AF00">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4196" w:type="dxa"/>
          </w:tcPr>
          <w:p w14:paraId="3A78DF60">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投标文件满足招标文件的其它实质性要求。</w:t>
            </w:r>
          </w:p>
        </w:tc>
        <w:tc>
          <w:tcPr>
            <w:tcW w:w="3116" w:type="dxa"/>
            <w:vAlign w:val="center"/>
          </w:tcPr>
          <w:p w14:paraId="1DA55B49">
            <w:pPr>
              <w:rPr>
                <w:rFonts w:ascii="宋体" w:hAnsi="宋体" w:cs="宋体"/>
                <w:color w:val="auto"/>
                <w:szCs w:val="21"/>
                <w:highlight w:val="none"/>
              </w:rPr>
            </w:pPr>
            <w:r>
              <w:rPr>
                <w:rFonts w:hint="eastAsia" w:ascii="宋体" w:hAnsi="宋体" w:cs="宋体"/>
                <w:color w:val="auto"/>
                <w:kern w:val="0"/>
                <w:szCs w:val="21"/>
                <w:highlight w:val="none"/>
              </w:rPr>
              <w:t>招标文件其它实质性要求相应的材料（“★” 系指实质性要求条款，招标文件无其它实质性要求的，无需提供）</w:t>
            </w:r>
          </w:p>
        </w:tc>
        <w:tc>
          <w:tcPr>
            <w:tcW w:w="1648" w:type="dxa"/>
          </w:tcPr>
          <w:p w14:paraId="7D910383">
            <w:pPr>
              <w:rPr>
                <w:rFonts w:ascii="宋体" w:hAnsi="宋体" w:cs="宋体"/>
                <w:color w:val="auto"/>
                <w:szCs w:val="21"/>
                <w:highlight w:val="none"/>
              </w:rPr>
            </w:pPr>
            <w:r>
              <w:rPr>
                <w:rFonts w:hint="eastAsia" w:ascii="宋体" w:hAnsi="宋体" w:cs="宋体"/>
                <w:color w:val="auto"/>
                <w:szCs w:val="21"/>
                <w:highlight w:val="none"/>
              </w:rPr>
              <w:t>见投标文件第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页</w:t>
            </w:r>
          </w:p>
        </w:tc>
      </w:tr>
    </w:tbl>
    <w:p w14:paraId="55B151D5">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22843D8E">
      <w:pPr>
        <w:jc w:val="center"/>
        <w:rPr>
          <w:rFonts w:ascii="宋体" w:hAnsi="宋体" w:cs="宋体"/>
          <w:b/>
          <w:color w:val="auto"/>
          <w:kern w:val="0"/>
          <w:sz w:val="32"/>
          <w:szCs w:val="32"/>
          <w:highlight w:val="none"/>
        </w:rPr>
      </w:pPr>
    </w:p>
    <w:p w14:paraId="76196C36">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FF7DCF2">
      <w:pPr>
        <w:jc w:val="center"/>
        <w:rPr>
          <w:rFonts w:ascii="宋体" w:hAnsi="宋体" w:cs="宋体"/>
          <w:b/>
          <w:color w:val="auto"/>
          <w:kern w:val="0"/>
          <w:sz w:val="32"/>
          <w:szCs w:val="32"/>
          <w:highlight w:val="none"/>
        </w:rPr>
      </w:pPr>
    </w:p>
    <w:p w14:paraId="23806D05">
      <w:pPr>
        <w:jc w:val="center"/>
        <w:rPr>
          <w:rFonts w:ascii="宋体" w:hAnsi="宋体" w:cs="宋体"/>
          <w:b/>
          <w:color w:val="auto"/>
          <w:kern w:val="0"/>
          <w:sz w:val="32"/>
          <w:szCs w:val="32"/>
          <w:highlight w:val="none"/>
        </w:rPr>
      </w:pPr>
    </w:p>
    <w:p w14:paraId="0494DF81">
      <w:pPr>
        <w:jc w:val="center"/>
        <w:rPr>
          <w:rFonts w:ascii="宋体" w:hAnsi="宋体" w:cs="宋体"/>
          <w:b/>
          <w:color w:val="auto"/>
          <w:kern w:val="0"/>
          <w:sz w:val="32"/>
          <w:szCs w:val="32"/>
          <w:highlight w:val="none"/>
        </w:rPr>
      </w:pPr>
    </w:p>
    <w:p w14:paraId="4D6C3E58">
      <w:pPr>
        <w:jc w:val="center"/>
        <w:rPr>
          <w:rFonts w:ascii="宋体" w:hAnsi="宋体" w:cs="宋体"/>
          <w:b/>
          <w:color w:val="auto"/>
          <w:kern w:val="0"/>
          <w:sz w:val="32"/>
          <w:szCs w:val="32"/>
          <w:highlight w:val="none"/>
        </w:rPr>
      </w:pPr>
    </w:p>
    <w:p w14:paraId="5E98C86D">
      <w:pPr>
        <w:jc w:val="center"/>
        <w:rPr>
          <w:rFonts w:ascii="宋体" w:hAnsi="宋体" w:cs="宋体"/>
          <w:b/>
          <w:color w:val="auto"/>
          <w:kern w:val="0"/>
          <w:sz w:val="32"/>
          <w:szCs w:val="32"/>
          <w:highlight w:val="none"/>
        </w:rPr>
      </w:pPr>
    </w:p>
    <w:p w14:paraId="72066065">
      <w:pPr>
        <w:jc w:val="center"/>
        <w:rPr>
          <w:rFonts w:ascii="宋体" w:hAnsi="宋体" w:cs="宋体"/>
          <w:b/>
          <w:color w:val="auto"/>
          <w:kern w:val="0"/>
          <w:sz w:val="32"/>
          <w:szCs w:val="32"/>
          <w:highlight w:val="none"/>
        </w:rPr>
      </w:pPr>
    </w:p>
    <w:p w14:paraId="0BE6571E">
      <w:pPr>
        <w:jc w:val="center"/>
        <w:rPr>
          <w:rFonts w:ascii="宋体" w:hAnsi="宋体" w:cs="宋体"/>
          <w:b/>
          <w:color w:val="auto"/>
          <w:kern w:val="0"/>
          <w:sz w:val="32"/>
          <w:szCs w:val="32"/>
          <w:highlight w:val="none"/>
        </w:rPr>
      </w:pPr>
    </w:p>
    <w:p w14:paraId="7E1DC932">
      <w:pPr>
        <w:jc w:val="center"/>
        <w:rPr>
          <w:rFonts w:ascii="宋体" w:hAnsi="宋体" w:cs="宋体"/>
          <w:b/>
          <w:color w:val="auto"/>
          <w:kern w:val="0"/>
          <w:sz w:val="32"/>
          <w:szCs w:val="32"/>
          <w:highlight w:val="none"/>
        </w:rPr>
      </w:pPr>
    </w:p>
    <w:p w14:paraId="054C05DC">
      <w:pPr>
        <w:jc w:val="center"/>
        <w:rPr>
          <w:rFonts w:ascii="宋体" w:hAnsi="宋体" w:cs="宋体"/>
          <w:b/>
          <w:color w:val="auto"/>
          <w:kern w:val="0"/>
          <w:sz w:val="32"/>
          <w:szCs w:val="32"/>
          <w:highlight w:val="none"/>
        </w:rPr>
      </w:pPr>
    </w:p>
    <w:p w14:paraId="5B23FEDB">
      <w:pPr>
        <w:jc w:val="center"/>
        <w:rPr>
          <w:rFonts w:ascii="宋体" w:hAnsi="宋体" w:cs="宋体"/>
          <w:b/>
          <w:color w:val="auto"/>
          <w:kern w:val="0"/>
          <w:sz w:val="32"/>
          <w:szCs w:val="32"/>
          <w:highlight w:val="none"/>
        </w:rPr>
      </w:pPr>
    </w:p>
    <w:p w14:paraId="1DC9A532">
      <w:pPr>
        <w:jc w:val="center"/>
        <w:rPr>
          <w:rFonts w:ascii="宋体" w:hAnsi="宋体" w:cs="宋体"/>
          <w:b/>
          <w:color w:val="auto"/>
          <w:kern w:val="0"/>
          <w:sz w:val="32"/>
          <w:szCs w:val="32"/>
          <w:highlight w:val="none"/>
        </w:rPr>
      </w:pPr>
    </w:p>
    <w:p w14:paraId="46F47029">
      <w:pPr>
        <w:jc w:val="center"/>
        <w:rPr>
          <w:rFonts w:ascii="宋体" w:hAnsi="宋体" w:cs="宋体"/>
          <w:b/>
          <w:color w:val="auto"/>
          <w:kern w:val="0"/>
          <w:sz w:val="32"/>
          <w:szCs w:val="32"/>
          <w:highlight w:val="none"/>
        </w:rPr>
      </w:pPr>
    </w:p>
    <w:p w14:paraId="38E496AD">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FFC5143">
      <w:pPr>
        <w:jc w:val="center"/>
        <w:rPr>
          <w:rFonts w:ascii="宋体" w:hAnsi="宋体" w:cs="宋体"/>
          <w:color w:val="auto"/>
          <w:szCs w:val="21"/>
          <w:highlight w:val="none"/>
        </w:rPr>
      </w:pPr>
      <w:r>
        <w:rPr>
          <w:rFonts w:hint="eastAsia" w:ascii="宋体" w:hAnsi="宋体" w:cs="宋体"/>
          <w:b/>
          <w:color w:val="auto"/>
          <w:kern w:val="0"/>
          <w:szCs w:val="21"/>
          <w:highlight w:val="none"/>
        </w:rPr>
        <w:t>五、评标标准相应的商务技术资料</w:t>
      </w:r>
    </w:p>
    <w:p w14:paraId="5CAF8207">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（按招标文件第四部分评标办法前附表中“投标文件中评标标准相应的商务技术资料目录”提供资料。）</w:t>
      </w:r>
    </w:p>
    <w:p w14:paraId="44F421DF">
      <w:pPr>
        <w:jc w:val="center"/>
        <w:rPr>
          <w:rFonts w:ascii="宋体" w:hAnsi="宋体" w:cs="宋体"/>
          <w:b/>
          <w:color w:val="auto"/>
          <w:kern w:val="0"/>
          <w:szCs w:val="21"/>
          <w:highlight w:val="none"/>
        </w:rPr>
      </w:pPr>
    </w:p>
    <w:p w14:paraId="211B9868">
      <w:pPr>
        <w:jc w:val="center"/>
        <w:rPr>
          <w:rFonts w:ascii="宋体" w:hAnsi="宋体" w:cs="宋体"/>
          <w:b/>
          <w:color w:val="auto"/>
          <w:kern w:val="0"/>
          <w:szCs w:val="21"/>
          <w:highlight w:val="none"/>
        </w:rPr>
      </w:pPr>
    </w:p>
    <w:p w14:paraId="030DC993">
      <w:pPr>
        <w:jc w:val="center"/>
        <w:rPr>
          <w:rFonts w:ascii="宋体" w:hAnsi="宋体" w:cs="宋体"/>
          <w:b/>
          <w:color w:val="auto"/>
          <w:kern w:val="0"/>
          <w:szCs w:val="21"/>
          <w:highlight w:val="none"/>
        </w:rPr>
      </w:pPr>
    </w:p>
    <w:p w14:paraId="12346763">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49C553C3">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563"/>
        <w:gridCol w:w="1738"/>
        <w:gridCol w:w="1848"/>
        <w:gridCol w:w="1673"/>
      </w:tblGrid>
      <w:tr w14:paraId="5ECE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914E3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415EDA82">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名称</w:t>
            </w:r>
          </w:p>
        </w:tc>
        <w:tc>
          <w:tcPr>
            <w:tcW w:w="1563" w:type="dxa"/>
            <w:tcBorders>
              <w:top w:val="single" w:color="auto" w:sz="4" w:space="0"/>
              <w:left w:val="single" w:color="auto" w:sz="4" w:space="0"/>
              <w:bottom w:val="single" w:color="auto" w:sz="4" w:space="0"/>
              <w:right w:val="single" w:color="auto" w:sz="4" w:space="0"/>
            </w:tcBorders>
            <w:vAlign w:val="center"/>
          </w:tcPr>
          <w:p w14:paraId="41EEBB2C">
            <w:pPr>
              <w:spacing w:line="360" w:lineRule="auto"/>
              <w:jc w:val="both"/>
              <w:rPr>
                <w:rFonts w:ascii="宋体" w:hAnsi="宋体" w:cs="宋体"/>
                <w:b/>
                <w:color w:val="auto"/>
                <w:szCs w:val="21"/>
                <w:highlight w:val="none"/>
              </w:rPr>
            </w:pPr>
            <w:r>
              <w:rPr>
                <w:rFonts w:hint="eastAsia" w:ascii="宋体" w:hAnsi="宋体" w:cs="宋体"/>
                <w:b/>
                <w:color w:val="auto"/>
                <w:szCs w:val="21"/>
                <w:highlight w:val="none"/>
              </w:rPr>
              <w:t>品牌（如果有）</w:t>
            </w:r>
          </w:p>
        </w:tc>
        <w:tc>
          <w:tcPr>
            <w:tcW w:w="1738" w:type="dxa"/>
            <w:tcBorders>
              <w:top w:val="single" w:color="auto" w:sz="4" w:space="0"/>
              <w:left w:val="single" w:color="auto" w:sz="4" w:space="0"/>
              <w:bottom w:val="single" w:color="auto" w:sz="4" w:space="0"/>
              <w:right w:val="single" w:color="auto" w:sz="4" w:space="0"/>
            </w:tcBorders>
            <w:vAlign w:val="center"/>
          </w:tcPr>
          <w:p w14:paraId="11D33CE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规格型号</w:t>
            </w:r>
          </w:p>
        </w:tc>
        <w:tc>
          <w:tcPr>
            <w:tcW w:w="1848" w:type="dxa"/>
            <w:tcBorders>
              <w:top w:val="single" w:color="auto" w:sz="4" w:space="0"/>
              <w:left w:val="single" w:color="auto" w:sz="4" w:space="0"/>
              <w:bottom w:val="single" w:color="auto" w:sz="4" w:space="0"/>
              <w:right w:val="single" w:color="auto" w:sz="4" w:space="0"/>
            </w:tcBorders>
            <w:vAlign w:val="center"/>
          </w:tcPr>
          <w:p w14:paraId="30EDD33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7B0E7F9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7D4E4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EDA28D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5299A6D6">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41CE77E7">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123CFA59">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58F1C3CB">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5F220E3E">
            <w:pPr>
              <w:spacing w:line="360" w:lineRule="auto"/>
              <w:jc w:val="center"/>
              <w:rPr>
                <w:rFonts w:ascii="宋体" w:hAnsi="宋体" w:cs="宋体"/>
                <w:color w:val="auto"/>
                <w:szCs w:val="21"/>
                <w:highlight w:val="none"/>
              </w:rPr>
            </w:pPr>
          </w:p>
        </w:tc>
      </w:tr>
      <w:tr w14:paraId="547B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82606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DEE015">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5EB6E4E1">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1581AD55">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155EB945">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C69F107">
            <w:pPr>
              <w:spacing w:line="360" w:lineRule="auto"/>
              <w:jc w:val="center"/>
              <w:rPr>
                <w:rFonts w:ascii="宋体" w:hAnsi="宋体" w:cs="宋体"/>
                <w:color w:val="auto"/>
                <w:szCs w:val="21"/>
                <w:highlight w:val="none"/>
              </w:rPr>
            </w:pPr>
          </w:p>
        </w:tc>
      </w:tr>
      <w:tr w14:paraId="0717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8E29E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08F260F">
            <w:pPr>
              <w:snapToGrid w:val="0"/>
              <w:spacing w:line="360" w:lineRule="auto"/>
              <w:jc w:val="center"/>
              <w:rPr>
                <w:rFonts w:ascii="宋体" w:hAnsi="宋体" w:cs="宋体"/>
                <w:color w:val="auto"/>
                <w:szCs w:val="21"/>
                <w:highlight w:val="none"/>
              </w:rPr>
            </w:pPr>
          </w:p>
        </w:tc>
        <w:tc>
          <w:tcPr>
            <w:tcW w:w="1563" w:type="dxa"/>
            <w:tcBorders>
              <w:top w:val="single" w:color="auto" w:sz="4" w:space="0"/>
              <w:left w:val="single" w:color="auto" w:sz="4" w:space="0"/>
              <w:bottom w:val="single" w:color="auto" w:sz="4" w:space="0"/>
              <w:right w:val="single" w:color="auto" w:sz="4" w:space="0"/>
            </w:tcBorders>
            <w:vAlign w:val="center"/>
          </w:tcPr>
          <w:p w14:paraId="5E44458E">
            <w:pPr>
              <w:snapToGrid w:val="0"/>
              <w:spacing w:line="360" w:lineRule="auto"/>
              <w:jc w:val="center"/>
              <w:rPr>
                <w:rFonts w:ascii="宋体" w:hAnsi="宋体" w:cs="宋体"/>
                <w:color w:val="auto"/>
                <w:szCs w:val="21"/>
                <w:highlight w:val="none"/>
              </w:rPr>
            </w:pPr>
          </w:p>
        </w:tc>
        <w:tc>
          <w:tcPr>
            <w:tcW w:w="1738" w:type="dxa"/>
            <w:tcBorders>
              <w:top w:val="single" w:color="auto" w:sz="4" w:space="0"/>
              <w:left w:val="single" w:color="auto" w:sz="4" w:space="0"/>
              <w:bottom w:val="single" w:color="auto" w:sz="4" w:space="0"/>
              <w:right w:val="single" w:color="auto" w:sz="4" w:space="0"/>
            </w:tcBorders>
            <w:vAlign w:val="center"/>
          </w:tcPr>
          <w:p w14:paraId="639D93DC">
            <w:pPr>
              <w:snapToGrid w:val="0"/>
              <w:spacing w:line="360" w:lineRule="auto"/>
              <w:jc w:val="center"/>
              <w:rPr>
                <w:rFonts w:ascii="宋体" w:hAnsi="宋体" w:cs="宋体"/>
                <w:color w:val="auto"/>
                <w:szCs w:val="21"/>
                <w:highlight w:val="none"/>
              </w:rPr>
            </w:pPr>
          </w:p>
        </w:tc>
        <w:tc>
          <w:tcPr>
            <w:tcW w:w="1848" w:type="dxa"/>
            <w:tcBorders>
              <w:top w:val="single" w:color="auto" w:sz="4" w:space="0"/>
              <w:left w:val="single" w:color="auto" w:sz="4" w:space="0"/>
              <w:bottom w:val="single" w:color="auto" w:sz="4" w:space="0"/>
              <w:right w:val="single" w:color="auto" w:sz="4" w:space="0"/>
            </w:tcBorders>
            <w:vAlign w:val="center"/>
          </w:tcPr>
          <w:p w14:paraId="3B81D4CF">
            <w:pPr>
              <w:spacing w:line="360" w:lineRule="auto"/>
              <w:jc w:val="center"/>
              <w:rPr>
                <w:rFonts w:ascii="宋体" w:hAnsi="宋体" w:cs="宋体"/>
                <w:color w:val="auto"/>
                <w:szCs w:val="21"/>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A90FF4">
            <w:pPr>
              <w:spacing w:line="360" w:lineRule="auto"/>
              <w:jc w:val="center"/>
              <w:rPr>
                <w:rFonts w:ascii="宋体" w:hAnsi="宋体" w:cs="宋体"/>
                <w:color w:val="auto"/>
                <w:szCs w:val="21"/>
                <w:highlight w:val="none"/>
              </w:rPr>
            </w:pPr>
          </w:p>
        </w:tc>
      </w:tr>
    </w:tbl>
    <w:p w14:paraId="318D687E">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27846991">
      <w:pPr>
        <w:jc w:val="center"/>
        <w:rPr>
          <w:rFonts w:ascii="宋体" w:hAnsi="宋体" w:cs="宋体"/>
          <w:b/>
          <w:color w:val="auto"/>
          <w:kern w:val="0"/>
          <w:szCs w:val="21"/>
          <w:highlight w:val="none"/>
        </w:rPr>
      </w:pPr>
    </w:p>
    <w:p w14:paraId="491EF98F">
      <w:pPr>
        <w:jc w:val="center"/>
        <w:rPr>
          <w:rFonts w:ascii="宋体" w:hAnsi="宋体" w:cs="宋体"/>
          <w:b/>
          <w:color w:val="auto"/>
          <w:kern w:val="0"/>
          <w:szCs w:val="21"/>
          <w:highlight w:val="none"/>
        </w:rPr>
      </w:pPr>
    </w:p>
    <w:p w14:paraId="617D1827">
      <w:pPr>
        <w:rPr>
          <w:rFonts w:ascii="宋体" w:hAnsi="宋体" w:cs="宋体"/>
          <w:b/>
          <w:color w:val="auto"/>
          <w:kern w:val="0"/>
          <w:szCs w:val="21"/>
          <w:highlight w:val="none"/>
        </w:rPr>
      </w:pPr>
      <w:r>
        <w:rPr>
          <w:rFonts w:hint="eastAsia" w:ascii="宋体" w:hAnsi="宋体" w:cs="宋体"/>
          <w:b/>
          <w:color w:val="auto"/>
          <w:kern w:val="0"/>
          <w:szCs w:val="21"/>
          <w:highlight w:val="none"/>
        </w:rPr>
        <w:br w:type="page"/>
      </w:r>
    </w:p>
    <w:p w14:paraId="2C332DA4">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1CFAF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05A3F8">
            <w:pPr>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3683" w:type="dxa"/>
          </w:tcPr>
          <w:p w14:paraId="3F26426D">
            <w:pPr>
              <w:jc w:val="center"/>
              <w:rPr>
                <w:rFonts w:ascii="宋体" w:hAnsi="宋体" w:cs="宋体"/>
                <w:b/>
                <w:bCs/>
                <w:color w:val="auto"/>
                <w:szCs w:val="21"/>
                <w:highlight w:val="none"/>
              </w:rPr>
            </w:pPr>
            <w:r>
              <w:rPr>
                <w:rFonts w:hint="eastAsia" w:ascii="宋体" w:hAnsi="宋体" w:cs="宋体"/>
                <w:b/>
                <w:bCs/>
                <w:color w:val="auto"/>
                <w:szCs w:val="21"/>
                <w:highlight w:val="none"/>
              </w:rPr>
              <w:t>招标文件章节及具体内容</w:t>
            </w:r>
          </w:p>
        </w:tc>
        <w:tc>
          <w:tcPr>
            <w:tcW w:w="3546" w:type="dxa"/>
          </w:tcPr>
          <w:p w14:paraId="0AFF59B7">
            <w:pPr>
              <w:jc w:val="center"/>
              <w:rPr>
                <w:rFonts w:ascii="宋体" w:hAnsi="宋体" w:cs="宋体"/>
                <w:b/>
                <w:bCs/>
                <w:color w:val="auto"/>
                <w:szCs w:val="21"/>
                <w:highlight w:val="none"/>
              </w:rPr>
            </w:pPr>
            <w:r>
              <w:rPr>
                <w:rFonts w:hint="eastAsia" w:ascii="宋体" w:hAnsi="宋体" w:cs="宋体"/>
                <w:b/>
                <w:bCs/>
                <w:color w:val="auto"/>
                <w:szCs w:val="21"/>
                <w:highlight w:val="none"/>
              </w:rPr>
              <w:t>投标文件章节及具体内容</w:t>
            </w:r>
          </w:p>
        </w:tc>
        <w:tc>
          <w:tcPr>
            <w:tcW w:w="1276" w:type="dxa"/>
          </w:tcPr>
          <w:p w14:paraId="7B9758BE">
            <w:pPr>
              <w:jc w:val="center"/>
              <w:rPr>
                <w:rFonts w:ascii="宋体" w:hAnsi="宋体" w:cs="宋体"/>
                <w:b/>
                <w:bCs/>
                <w:color w:val="auto"/>
                <w:szCs w:val="21"/>
                <w:highlight w:val="none"/>
              </w:rPr>
            </w:pPr>
            <w:r>
              <w:rPr>
                <w:rFonts w:hint="eastAsia" w:ascii="宋体" w:hAnsi="宋体" w:cs="宋体"/>
                <w:b/>
                <w:bCs/>
                <w:color w:val="auto"/>
                <w:szCs w:val="21"/>
                <w:highlight w:val="none"/>
              </w:rPr>
              <w:t>偏离说明</w:t>
            </w:r>
          </w:p>
        </w:tc>
      </w:tr>
      <w:tr w14:paraId="46CA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360B54">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683" w:type="dxa"/>
          </w:tcPr>
          <w:p w14:paraId="355D4D07">
            <w:pPr>
              <w:jc w:val="center"/>
              <w:rPr>
                <w:rFonts w:ascii="宋体" w:hAnsi="宋体" w:cs="宋体"/>
                <w:b/>
                <w:color w:val="auto"/>
                <w:kern w:val="0"/>
                <w:szCs w:val="21"/>
                <w:highlight w:val="none"/>
              </w:rPr>
            </w:pPr>
          </w:p>
        </w:tc>
        <w:tc>
          <w:tcPr>
            <w:tcW w:w="3546" w:type="dxa"/>
          </w:tcPr>
          <w:p w14:paraId="575ED451">
            <w:pPr>
              <w:jc w:val="center"/>
              <w:rPr>
                <w:rFonts w:ascii="宋体" w:hAnsi="宋体" w:cs="宋体"/>
                <w:b/>
                <w:color w:val="auto"/>
                <w:kern w:val="0"/>
                <w:szCs w:val="21"/>
                <w:highlight w:val="none"/>
              </w:rPr>
            </w:pPr>
          </w:p>
        </w:tc>
        <w:tc>
          <w:tcPr>
            <w:tcW w:w="1276" w:type="dxa"/>
          </w:tcPr>
          <w:p w14:paraId="25F02D11">
            <w:pPr>
              <w:jc w:val="center"/>
              <w:rPr>
                <w:rFonts w:ascii="宋体" w:hAnsi="宋体" w:cs="宋体"/>
                <w:b/>
                <w:color w:val="auto"/>
                <w:kern w:val="0"/>
                <w:szCs w:val="21"/>
                <w:highlight w:val="none"/>
              </w:rPr>
            </w:pPr>
          </w:p>
        </w:tc>
      </w:tr>
      <w:tr w14:paraId="5313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53DD64">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3683" w:type="dxa"/>
          </w:tcPr>
          <w:p w14:paraId="2F5C20B4">
            <w:pPr>
              <w:jc w:val="center"/>
              <w:rPr>
                <w:rFonts w:ascii="宋体" w:hAnsi="宋体" w:cs="宋体"/>
                <w:b/>
                <w:color w:val="auto"/>
                <w:kern w:val="0"/>
                <w:szCs w:val="21"/>
                <w:highlight w:val="none"/>
              </w:rPr>
            </w:pPr>
          </w:p>
        </w:tc>
        <w:tc>
          <w:tcPr>
            <w:tcW w:w="3546" w:type="dxa"/>
          </w:tcPr>
          <w:p w14:paraId="1CD4C2EC">
            <w:pPr>
              <w:jc w:val="center"/>
              <w:rPr>
                <w:rFonts w:ascii="宋体" w:hAnsi="宋体" w:cs="宋体"/>
                <w:b/>
                <w:color w:val="auto"/>
                <w:kern w:val="0"/>
                <w:szCs w:val="21"/>
                <w:highlight w:val="none"/>
              </w:rPr>
            </w:pPr>
          </w:p>
        </w:tc>
        <w:tc>
          <w:tcPr>
            <w:tcW w:w="1276" w:type="dxa"/>
          </w:tcPr>
          <w:p w14:paraId="623E6741">
            <w:pPr>
              <w:jc w:val="center"/>
              <w:rPr>
                <w:rFonts w:ascii="宋体" w:hAnsi="宋体" w:cs="宋体"/>
                <w:b/>
                <w:color w:val="auto"/>
                <w:kern w:val="0"/>
                <w:szCs w:val="21"/>
                <w:highlight w:val="none"/>
              </w:rPr>
            </w:pPr>
          </w:p>
        </w:tc>
      </w:tr>
      <w:tr w14:paraId="0E92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EBF665">
            <w:pPr>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3683" w:type="dxa"/>
          </w:tcPr>
          <w:p w14:paraId="7419F104">
            <w:pPr>
              <w:jc w:val="center"/>
              <w:rPr>
                <w:rFonts w:ascii="宋体" w:hAnsi="宋体" w:cs="宋体"/>
                <w:b/>
                <w:color w:val="auto"/>
                <w:kern w:val="0"/>
                <w:szCs w:val="21"/>
                <w:highlight w:val="none"/>
              </w:rPr>
            </w:pPr>
          </w:p>
        </w:tc>
        <w:tc>
          <w:tcPr>
            <w:tcW w:w="3546" w:type="dxa"/>
          </w:tcPr>
          <w:p w14:paraId="08AC14C7">
            <w:pPr>
              <w:jc w:val="center"/>
              <w:rPr>
                <w:rFonts w:ascii="宋体" w:hAnsi="宋体" w:cs="宋体"/>
                <w:b/>
                <w:color w:val="auto"/>
                <w:kern w:val="0"/>
                <w:szCs w:val="21"/>
                <w:highlight w:val="none"/>
              </w:rPr>
            </w:pPr>
          </w:p>
        </w:tc>
        <w:tc>
          <w:tcPr>
            <w:tcW w:w="1276" w:type="dxa"/>
          </w:tcPr>
          <w:p w14:paraId="5DA24F18">
            <w:pPr>
              <w:jc w:val="center"/>
              <w:rPr>
                <w:rFonts w:ascii="宋体" w:hAnsi="宋体" w:cs="宋体"/>
                <w:b/>
                <w:color w:val="auto"/>
                <w:kern w:val="0"/>
                <w:szCs w:val="21"/>
                <w:highlight w:val="none"/>
              </w:rPr>
            </w:pPr>
          </w:p>
        </w:tc>
      </w:tr>
    </w:tbl>
    <w:p w14:paraId="50414DCC">
      <w:pPr>
        <w:jc w:val="left"/>
        <w:rPr>
          <w:rFonts w:ascii="宋体" w:hAnsi="宋体" w:cs="宋体"/>
          <w:color w:val="auto"/>
          <w:kern w:val="0"/>
          <w:szCs w:val="21"/>
          <w:highlight w:val="none"/>
        </w:rPr>
      </w:pPr>
      <w:r>
        <w:rPr>
          <w:rFonts w:hint="eastAsia" w:ascii="宋体" w:hAnsi="宋体" w:cs="宋体"/>
          <w:color w:val="auto"/>
          <w:kern w:val="0"/>
          <w:szCs w:val="21"/>
          <w:highlight w:val="none"/>
        </w:rPr>
        <w:t>供应商保证：除商务技术偏离表列出的偏离外，供应商响应招标文件的全部要求</w:t>
      </w:r>
    </w:p>
    <w:p w14:paraId="312641F0">
      <w:pPr>
        <w:jc w:val="center"/>
        <w:rPr>
          <w:rFonts w:ascii="宋体" w:hAnsi="宋体" w:cs="宋体"/>
          <w:b/>
          <w:color w:val="auto"/>
          <w:kern w:val="0"/>
          <w:szCs w:val="21"/>
          <w:highlight w:val="none"/>
        </w:rPr>
      </w:pPr>
    </w:p>
    <w:p w14:paraId="2B3D4E39">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5B15A593">
      <w:pPr>
        <w:ind w:firstLine="1254" w:firstLineChars="595"/>
        <w:rPr>
          <w:rFonts w:ascii="宋体" w:hAnsi="宋体" w:cs="宋体"/>
          <w:b/>
          <w:bCs/>
          <w:color w:val="auto"/>
          <w:szCs w:val="21"/>
          <w:highlight w:val="none"/>
        </w:rPr>
      </w:pPr>
    </w:p>
    <w:p w14:paraId="22F9160C">
      <w:pPr>
        <w:ind w:firstLine="1254" w:firstLineChars="595"/>
        <w:rPr>
          <w:rFonts w:ascii="宋体" w:hAnsi="宋体" w:cs="宋体"/>
          <w:b/>
          <w:bCs/>
          <w:color w:val="auto"/>
          <w:szCs w:val="21"/>
          <w:highlight w:val="none"/>
        </w:rPr>
      </w:pPr>
    </w:p>
    <w:p w14:paraId="13104C53">
      <w:pPr>
        <w:ind w:firstLine="1254" w:firstLineChars="595"/>
        <w:rPr>
          <w:rFonts w:ascii="宋体" w:hAnsi="宋体" w:cs="宋体"/>
          <w:b/>
          <w:bCs/>
          <w:color w:val="auto"/>
          <w:szCs w:val="21"/>
          <w:highlight w:val="none"/>
        </w:rPr>
      </w:pPr>
    </w:p>
    <w:p w14:paraId="37B01E48">
      <w:pPr>
        <w:widowControl/>
        <w:adjustRightInd/>
        <w:jc w:val="left"/>
        <w:rPr>
          <w:rFonts w:ascii="宋体" w:hAnsi="宋体" w:cs="宋体"/>
          <w:b/>
          <w:bCs/>
          <w:color w:val="auto"/>
          <w:szCs w:val="21"/>
          <w:highlight w:val="none"/>
        </w:rPr>
      </w:pPr>
      <w:r>
        <w:rPr>
          <w:rFonts w:ascii="宋体" w:hAnsi="宋体" w:cs="宋体"/>
          <w:b/>
          <w:bCs/>
          <w:color w:val="auto"/>
          <w:szCs w:val="21"/>
          <w:highlight w:val="none"/>
        </w:rPr>
        <w:br w:type="page"/>
      </w:r>
    </w:p>
    <w:p w14:paraId="2737732F">
      <w:pPr>
        <w:jc w:val="center"/>
        <w:rPr>
          <w:rFonts w:ascii="宋体" w:hAnsi="宋体" w:cs="宋体"/>
          <w:b/>
          <w:color w:val="auto"/>
          <w:kern w:val="0"/>
          <w:szCs w:val="21"/>
          <w:highlight w:val="none"/>
        </w:rPr>
      </w:pPr>
      <w:r>
        <w:rPr>
          <w:rFonts w:hint="eastAsia" w:ascii="宋体" w:hAnsi="宋体" w:cs="宋体"/>
          <w:b/>
          <w:bCs/>
          <w:color w:val="auto"/>
          <w:szCs w:val="21"/>
          <w:highlight w:val="none"/>
        </w:rPr>
        <w:t>八</w:t>
      </w:r>
      <w:r>
        <w:rPr>
          <w:rFonts w:hint="eastAsia" w:ascii="宋体" w:hAnsi="宋体" w:cs="宋体"/>
          <w:b/>
          <w:color w:val="auto"/>
          <w:kern w:val="0"/>
          <w:szCs w:val="21"/>
          <w:highlight w:val="none"/>
        </w:rPr>
        <w:t>、</w:t>
      </w:r>
      <w:r>
        <w:rPr>
          <w:rFonts w:hint="eastAsia" w:ascii="宋体" w:hAnsi="宋体" w:cs="宋体"/>
          <w:b/>
          <w:color w:val="auto"/>
          <w:kern w:val="0"/>
          <w:szCs w:val="21"/>
          <w:highlight w:val="none"/>
          <w:lang w:val="zh-CN"/>
        </w:rPr>
        <w:t>政府采购供应商廉洁自律承诺书</w:t>
      </w:r>
    </w:p>
    <w:p w14:paraId="0BE48FF4">
      <w:pPr>
        <w:snapToGrid w:val="0"/>
        <w:spacing w:line="360" w:lineRule="auto"/>
        <w:rPr>
          <w:rFonts w:ascii="宋体" w:hAnsi="宋体" w:cs="宋体"/>
          <w:color w:val="auto"/>
          <w:szCs w:val="21"/>
          <w:highlight w:val="none"/>
        </w:rPr>
      </w:pPr>
    </w:p>
    <w:p w14:paraId="00E73605">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6A8610B2">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我单位响应你</w:t>
      </w:r>
      <w:r>
        <w:rPr>
          <w:rFonts w:hint="eastAsia" w:ascii="宋体" w:hAnsi="宋体" w:cs="宋体"/>
          <w:color w:val="auto"/>
          <w:szCs w:val="21"/>
          <w:highlight w:val="none"/>
        </w:rPr>
        <w:t>单位</w:t>
      </w:r>
      <w:r>
        <w:rPr>
          <w:rFonts w:hint="eastAsia" w:ascii="宋体" w:hAnsi="宋体" w:cs="宋体"/>
          <w:color w:val="auto"/>
          <w:kern w:val="0"/>
          <w:szCs w:val="21"/>
          <w:highlight w:val="none"/>
          <w:lang w:val="zh-CN"/>
        </w:rPr>
        <w:t>项目招标要求参加投标。在这次投标过程中和中标后，我们将严格遵守国家法律法规要求，并郑重承诺：</w:t>
      </w:r>
    </w:p>
    <w:p w14:paraId="0ADF6939">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一、不向项目有关人员及部门赠送礼金礼物、有价证券、回扣以及中介费、介绍费、咨询费等好处费； </w:t>
      </w:r>
    </w:p>
    <w:p w14:paraId="77C47E9D">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二、不为项目有关人员及部门报销应由你方单位或个人支付的费用； </w:t>
      </w:r>
    </w:p>
    <w:p w14:paraId="77BD9245">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三、不向项目有关人员及部门提供有可能影响公正的宴请和健身娱乐等活动； </w:t>
      </w:r>
    </w:p>
    <w:p w14:paraId="403F4238">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四、不为项目有关人员及部门出国（境）、旅游等提供方便；</w:t>
      </w:r>
    </w:p>
    <w:p w14:paraId="2C92D238">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五、不为项目有关人员个人装修住房、婚丧嫁娶、配偶子女工作安排等提供好处；</w:t>
      </w:r>
    </w:p>
    <w:p w14:paraId="436EB538">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0B1EE56F">
      <w:pPr>
        <w:autoSpaceDE w:val="0"/>
        <w:autoSpaceDN w:val="0"/>
        <w:spacing w:line="360" w:lineRule="auto"/>
        <w:ind w:left="2" w:leftChars="1"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1BE98FB">
      <w:pPr>
        <w:autoSpaceDE w:val="0"/>
        <w:autoSpaceDN w:val="0"/>
        <w:spacing w:line="360" w:lineRule="auto"/>
        <w:ind w:left="2"/>
        <w:jc w:val="left"/>
        <w:rPr>
          <w:rFonts w:ascii="宋体" w:hAnsi="宋体" w:cs="宋体"/>
          <w:color w:val="auto"/>
          <w:kern w:val="0"/>
          <w:szCs w:val="21"/>
          <w:highlight w:val="none"/>
          <w:lang w:val="zh-CN"/>
        </w:rPr>
      </w:pPr>
    </w:p>
    <w:p w14:paraId="1925BA2A">
      <w:pPr>
        <w:autoSpaceDE w:val="0"/>
        <w:autoSpaceDN w:val="0"/>
        <w:spacing w:line="360" w:lineRule="auto"/>
        <w:ind w:left="2"/>
        <w:jc w:val="left"/>
        <w:rPr>
          <w:rFonts w:ascii="宋体" w:hAnsi="宋体" w:cs="宋体"/>
          <w:color w:val="auto"/>
          <w:kern w:val="0"/>
          <w:szCs w:val="21"/>
          <w:highlight w:val="none"/>
          <w:lang w:val="zh-CN"/>
        </w:rPr>
      </w:pPr>
    </w:p>
    <w:p w14:paraId="7F89B166">
      <w:pPr>
        <w:autoSpaceDE w:val="0"/>
        <w:autoSpaceDN w:val="0"/>
        <w:spacing w:line="360" w:lineRule="auto"/>
        <w:ind w:left="2"/>
        <w:jc w:val="left"/>
        <w:rPr>
          <w:rFonts w:ascii="宋体" w:hAnsi="宋体" w:cs="宋体"/>
          <w:color w:val="auto"/>
          <w:kern w:val="0"/>
          <w:szCs w:val="21"/>
          <w:highlight w:val="none"/>
          <w:lang w:val="zh-CN"/>
        </w:rPr>
      </w:pPr>
    </w:p>
    <w:p w14:paraId="64394968">
      <w:pPr>
        <w:autoSpaceDE w:val="0"/>
        <w:autoSpaceDN w:val="0"/>
        <w:spacing w:line="360" w:lineRule="auto"/>
        <w:ind w:left="2" w:leftChars="1" w:right="1120" w:firstLine="3990" w:firstLineChars="19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供应商名称（</w:t>
      </w:r>
      <w:r>
        <w:rPr>
          <w:rFonts w:hint="eastAsia" w:ascii="宋体" w:hAnsi="宋体" w:cs="宋体"/>
          <w:color w:val="auto"/>
          <w:szCs w:val="21"/>
          <w:highlight w:val="none"/>
        </w:rPr>
        <w:t>电子签名</w:t>
      </w:r>
      <w:r>
        <w:rPr>
          <w:rFonts w:hint="eastAsia" w:ascii="宋体" w:hAnsi="宋体" w:cs="宋体"/>
          <w:color w:val="auto"/>
          <w:kern w:val="0"/>
          <w:szCs w:val="21"/>
          <w:highlight w:val="none"/>
          <w:lang w:val="zh-CN"/>
        </w:rPr>
        <w:t xml:space="preserve">）：                                                                                                                                                                                                               </w:t>
      </w:r>
    </w:p>
    <w:p w14:paraId="38374876">
      <w:pPr>
        <w:spacing w:line="360" w:lineRule="auto"/>
        <w:ind w:left="4620" w:leftChars="2200"/>
        <w:rPr>
          <w:rFonts w:ascii="宋体" w:hAnsi="宋体" w:cs="宋体"/>
          <w:color w:val="auto"/>
          <w:szCs w:val="21"/>
          <w:highlight w:val="none"/>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zh-CN"/>
        </w:rPr>
        <w:t xml:space="preserve">   年   月   日</w:t>
      </w:r>
    </w:p>
    <w:p w14:paraId="05AABAA0">
      <w:pPr>
        <w:spacing w:line="360" w:lineRule="auto"/>
        <w:jc w:val="center"/>
        <w:rPr>
          <w:rFonts w:ascii="宋体" w:hAnsi="宋体" w:cs="宋体"/>
          <w:b/>
          <w:bCs/>
          <w:color w:val="auto"/>
          <w:szCs w:val="21"/>
          <w:highlight w:val="none"/>
        </w:rPr>
      </w:pPr>
    </w:p>
    <w:p w14:paraId="0FC863C2">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注：按本格式和要求提供。</w:t>
      </w:r>
    </w:p>
    <w:p w14:paraId="64EEED2E">
      <w:pPr>
        <w:spacing w:line="360" w:lineRule="auto"/>
        <w:jc w:val="center"/>
        <w:rPr>
          <w:rFonts w:ascii="宋体" w:hAnsi="宋体" w:cs="宋体"/>
          <w:b/>
          <w:bCs/>
          <w:color w:val="auto"/>
          <w:szCs w:val="21"/>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7A83EE31">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6AF4C3C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5A4CD99">
      <w:pPr>
        <w:spacing w:line="360" w:lineRule="auto"/>
        <w:jc w:val="center"/>
        <w:outlineLvl w:val="0"/>
        <w:rPr>
          <w:rFonts w:ascii="宋体" w:hAnsi="宋体" w:cs="宋体"/>
          <w:b/>
          <w:color w:val="auto"/>
          <w:kern w:val="0"/>
          <w:sz w:val="36"/>
          <w:szCs w:val="36"/>
          <w:highlight w:val="none"/>
        </w:rPr>
      </w:pPr>
    </w:p>
    <w:p w14:paraId="289EC4A9">
      <w:pPr>
        <w:numPr>
          <w:ilvl w:val="0"/>
          <w:numId w:val="4"/>
        </w:num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开标一览表（报价表）………………………………………………………（页码）</w:t>
      </w:r>
    </w:p>
    <w:p w14:paraId="12441534">
      <w:pPr>
        <w:pStyle w:val="24"/>
        <w:numPr>
          <w:ilvl w:val="0"/>
          <w:numId w:val="4"/>
        </w:numPr>
        <w:rPr>
          <w:color w:val="auto"/>
          <w:highlight w:val="none"/>
        </w:rPr>
      </w:pPr>
      <w:r>
        <w:rPr>
          <w:rFonts w:hint="eastAsia"/>
          <w:color w:val="auto"/>
          <w:highlight w:val="none"/>
        </w:rPr>
        <w:t>投标分项报价表</w:t>
      </w:r>
      <w:r>
        <w:rPr>
          <w:rFonts w:hint="eastAsia" w:hAnsi="宋体" w:cs="宋体"/>
          <w:color w:val="auto"/>
          <w:highlight w:val="none"/>
        </w:rPr>
        <w:t>………………………………………………………………（页码）</w:t>
      </w:r>
    </w:p>
    <w:p w14:paraId="5BF7D4F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（3）中小企业声明函………………………………………………………………（页码）</w:t>
      </w:r>
    </w:p>
    <w:p w14:paraId="1392CD1F">
      <w:pPr>
        <w:snapToGrid w:val="0"/>
        <w:spacing w:line="360" w:lineRule="auto"/>
        <w:ind w:right="480"/>
        <w:jc w:val="center"/>
        <w:rPr>
          <w:rFonts w:ascii="宋体" w:hAnsi="宋体" w:cs="宋体"/>
          <w:b/>
          <w:color w:val="auto"/>
          <w:kern w:val="0"/>
          <w:sz w:val="32"/>
          <w:szCs w:val="32"/>
          <w:highlight w:val="none"/>
        </w:rPr>
      </w:pPr>
    </w:p>
    <w:p w14:paraId="2905E9AA">
      <w:pPr>
        <w:snapToGrid w:val="0"/>
        <w:spacing w:line="360" w:lineRule="auto"/>
        <w:ind w:right="480"/>
        <w:jc w:val="center"/>
        <w:rPr>
          <w:rFonts w:ascii="宋体" w:hAnsi="宋体" w:cs="宋体"/>
          <w:b/>
          <w:color w:val="auto"/>
          <w:kern w:val="0"/>
          <w:sz w:val="32"/>
          <w:szCs w:val="32"/>
          <w:highlight w:val="none"/>
        </w:rPr>
      </w:pPr>
    </w:p>
    <w:p w14:paraId="7E9E7618">
      <w:pPr>
        <w:snapToGrid w:val="0"/>
        <w:spacing w:line="360" w:lineRule="auto"/>
        <w:ind w:right="480"/>
        <w:jc w:val="center"/>
        <w:rPr>
          <w:rFonts w:ascii="宋体" w:hAnsi="宋体" w:cs="宋体"/>
          <w:b/>
          <w:color w:val="auto"/>
          <w:kern w:val="0"/>
          <w:sz w:val="32"/>
          <w:szCs w:val="32"/>
          <w:highlight w:val="none"/>
        </w:rPr>
      </w:pPr>
    </w:p>
    <w:p w14:paraId="5A195EE3">
      <w:pPr>
        <w:snapToGrid w:val="0"/>
        <w:spacing w:line="360" w:lineRule="auto"/>
        <w:ind w:right="480"/>
        <w:jc w:val="center"/>
        <w:rPr>
          <w:rFonts w:ascii="宋体" w:hAnsi="宋体" w:cs="宋体"/>
          <w:b/>
          <w:color w:val="auto"/>
          <w:kern w:val="0"/>
          <w:sz w:val="32"/>
          <w:szCs w:val="32"/>
          <w:highlight w:val="none"/>
        </w:rPr>
      </w:pPr>
    </w:p>
    <w:p w14:paraId="0FDD0AC2">
      <w:pPr>
        <w:snapToGrid w:val="0"/>
        <w:spacing w:line="360" w:lineRule="auto"/>
        <w:ind w:right="480"/>
        <w:jc w:val="center"/>
        <w:rPr>
          <w:rFonts w:ascii="宋体" w:hAnsi="宋体" w:cs="宋体"/>
          <w:b/>
          <w:color w:val="auto"/>
          <w:kern w:val="0"/>
          <w:sz w:val="32"/>
          <w:szCs w:val="32"/>
          <w:highlight w:val="none"/>
        </w:rPr>
      </w:pPr>
    </w:p>
    <w:p w14:paraId="7E40B207">
      <w:pPr>
        <w:snapToGrid w:val="0"/>
        <w:spacing w:line="360" w:lineRule="auto"/>
        <w:ind w:right="480"/>
        <w:jc w:val="center"/>
        <w:rPr>
          <w:rFonts w:ascii="宋体" w:hAnsi="宋体" w:cs="宋体"/>
          <w:b/>
          <w:color w:val="auto"/>
          <w:kern w:val="0"/>
          <w:sz w:val="32"/>
          <w:szCs w:val="32"/>
          <w:highlight w:val="none"/>
        </w:rPr>
      </w:pPr>
    </w:p>
    <w:p w14:paraId="1686B359">
      <w:pPr>
        <w:snapToGrid w:val="0"/>
        <w:spacing w:line="360" w:lineRule="auto"/>
        <w:ind w:right="480"/>
        <w:jc w:val="center"/>
        <w:rPr>
          <w:rFonts w:ascii="宋体" w:hAnsi="宋体" w:cs="宋体"/>
          <w:b/>
          <w:color w:val="auto"/>
          <w:kern w:val="0"/>
          <w:sz w:val="32"/>
          <w:szCs w:val="32"/>
          <w:highlight w:val="none"/>
        </w:rPr>
      </w:pPr>
    </w:p>
    <w:p w14:paraId="52E11F47">
      <w:pPr>
        <w:snapToGrid w:val="0"/>
        <w:spacing w:line="360" w:lineRule="auto"/>
        <w:ind w:right="480"/>
        <w:jc w:val="center"/>
        <w:rPr>
          <w:rFonts w:ascii="宋体" w:hAnsi="宋体" w:cs="宋体"/>
          <w:b/>
          <w:color w:val="auto"/>
          <w:kern w:val="0"/>
          <w:sz w:val="32"/>
          <w:szCs w:val="32"/>
          <w:highlight w:val="none"/>
        </w:rPr>
      </w:pPr>
    </w:p>
    <w:p w14:paraId="0A1E806D">
      <w:pPr>
        <w:snapToGrid w:val="0"/>
        <w:spacing w:line="360" w:lineRule="auto"/>
        <w:ind w:right="480"/>
        <w:jc w:val="center"/>
        <w:rPr>
          <w:rFonts w:ascii="宋体" w:hAnsi="宋体" w:cs="宋体"/>
          <w:b/>
          <w:color w:val="auto"/>
          <w:kern w:val="0"/>
          <w:sz w:val="32"/>
          <w:szCs w:val="32"/>
          <w:highlight w:val="none"/>
        </w:rPr>
      </w:pPr>
    </w:p>
    <w:p w14:paraId="2FF5AA19">
      <w:pPr>
        <w:snapToGrid w:val="0"/>
        <w:spacing w:line="360" w:lineRule="auto"/>
        <w:ind w:right="480"/>
        <w:jc w:val="center"/>
        <w:rPr>
          <w:rFonts w:ascii="宋体" w:hAnsi="宋体" w:cs="宋体"/>
          <w:b/>
          <w:color w:val="auto"/>
          <w:kern w:val="0"/>
          <w:sz w:val="32"/>
          <w:szCs w:val="32"/>
          <w:highlight w:val="none"/>
        </w:rPr>
      </w:pPr>
    </w:p>
    <w:p w14:paraId="79934BCF">
      <w:pPr>
        <w:snapToGrid w:val="0"/>
        <w:spacing w:line="360" w:lineRule="auto"/>
        <w:ind w:right="480"/>
        <w:jc w:val="center"/>
        <w:rPr>
          <w:rFonts w:ascii="宋体" w:hAnsi="宋体" w:cs="宋体"/>
          <w:b/>
          <w:color w:val="auto"/>
          <w:kern w:val="0"/>
          <w:sz w:val="32"/>
          <w:szCs w:val="32"/>
          <w:highlight w:val="none"/>
        </w:rPr>
      </w:pPr>
    </w:p>
    <w:p w14:paraId="53CA53D2">
      <w:pPr>
        <w:snapToGrid w:val="0"/>
        <w:spacing w:line="360" w:lineRule="auto"/>
        <w:ind w:right="480"/>
        <w:jc w:val="center"/>
        <w:rPr>
          <w:rFonts w:ascii="宋体" w:hAnsi="宋体" w:cs="宋体"/>
          <w:b/>
          <w:color w:val="auto"/>
          <w:kern w:val="0"/>
          <w:sz w:val="32"/>
          <w:szCs w:val="32"/>
          <w:highlight w:val="none"/>
        </w:rPr>
      </w:pPr>
    </w:p>
    <w:p w14:paraId="30D9CF84">
      <w:pPr>
        <w:snapToGrid w:val="0"/>
        <w:spacing w:line="360" w:lineRule="auto"/>
        <w:ind w:right="480"/>
        <w:jc w:val="center"/>
        <w:rPr>
          <w:rFonts w:ascii="宋体" w:hAnsi="宋体" w:cs="宋体"/>
          <w:b/>
          <w:color w:val="auto"/>
          <w:kern w:val="0"/>
          <w:sz w:val="32"/>
          <w:szCs w:val="32"/>
          <w:highlight w:val="none"/>
        </w:rPr>
      </w:pPr>
    </w:p>
    <w:p w14:paraId="79578575">
      <w:pPr>
        <w:snapToGrid w:val="0"/>
        <w:spacing w:line="360" w:lineRule="auto"/>
        <w:ind w:right="480"/>
        <w:jc w:val="center"/>
        <w:rPr>
          <w:rFonts w:ascii="宋体" w:hAnsi="宋体" w:cs="宋体"/>
          <w:b/>
          <w:color w:val="auto"/>
          <w:kern w:val="0"/>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5082A84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p>
    <w:p w14:paraId="4B4BF22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一、开标一览表（报价表）</w:t>
      </w:r>
    </w:p>
    <w:p w14:paraId="2AC66362">
      <w:pPr>
        <w:snapToGrid w:val="0"/>
        <w:spacing w:line="360" w:lineRule="auto"/>
        <w:rPr>
          <w:rFonts w:ascii="宋体" w:hAnsi="宋体" w:cs="宋体"/>
          <w:color w:val="auto"/>
          <w:szCs w:val="21"/>
          <w:highlight w:val="none"/>
        </w:rPr>
      </w:pPr>
    </w:p>
    <w:p w14:paraId="1A0FE47C">
      <w:pPr>
        <w:snapToGrid w:val="0"/>
        <w:spacing w:line="360" w:lineRule="auto"/>
        <w:rPr>
          <w:rFonts w:ascii="宋体" w:hAnsi="宋体" w:cs="宋体"/>
          <w:color w:val="auto"/>
          <w:kern w:val="0"/>
          <w:szCs w:val="21"/>
          <w:highlight w:val="none"/>
        </w:rPr>
      </w:pPr>
      <w:r>
        <w:rPr>
          <w:rFonts w:hint="eastAsia" w:ascii="宋体" w:hAnsi="宋体" w:cs="宋体"/>
          <w:color w:val="auto"/>
          <w:szCs w:val="21"/>
          <w:highlight w:val="none"/>
        </w:rPr>
        <w:t>浙江万里学院、浙江省成套招标代理有限公司</w:t>
      </w:r>
      <w:r>
        <w:rPr>
          <w:rFonts w:hint="eastAsia" w:ascii="宋体" w:hAnsi="宋体" w:cs="宋体"/>
          <w:color w:val="auto"/>
          <w:kern w:val="0"/>
          <w:szCs w:val="21"/>
          <w:highlight w:val="none"/>
          <w:lang w:val="zh-CN"/>
        </w:rPr>
        <w:t>：</w:t>
      </w:r>
    </w:p>
    <w:p w14:paraId="5DE436E0">
      <w:pPr>
        <w:snapToGrid w:val="0"/>
        <w:spacing w:line="360" w:lineRule="auto"/>
        <w:ind w:firstLine="482"/>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Cs w:val="21"/>
          <w:highlight w:val="none"/>
          <w:lang w:eastAsia="zh-CN"/>
        </w:rPr>
        <w:t>浙江万里学院同声传译实验室建设项目【重发】</w:t>
      </w:r>
      <w:r>
        <w:rPr>
          <w:rFonts w:hint="eastAsia" w:ascii="宋体" w:hAnsi="宋体" w:cs="宋体"/>
          <w:color w:val="auto"/>
          <w:kern w:val="0"/>
          <w:szCs w:val="21"/>
          <w:highlight w:val="none"/>
          <w:lang w:val="zh-CN"/>
        </w:rPr>
        <w:t>【招标编号：</w:t>
      </w:r>
      <w:r>
        <w:rPr>
          <w:rFonts w:hint="eastAsia" w:ascii="宋体" w:hAnsi="宋体" w:cs="宋体"/>
          <w:color w:val="auto"/>
          <w:szCs w:val="21"/>
          <w:highlight w:val="none"/>
          <w:lang w:eastAsia="zh-CN"/>
        </w:rPr>
        <w:t>CTZB-2024070151-01</w:t>
      </w:r>
      <w:r>
        <w:rPr>
          <w:rFonts w:hint="eastAsia" w:ascii="宋体" w:hAnsi="宋体" w:cs="宋体"/>
          <w:color w:val="auto"/>
          <w:szCs w:val="21"/>
          <w:highlight w:val="none"/>
        </w:rPr>
        <w:t>】的实施</w:t>
      </w:r>
      <w:r>
        <w:rPr>
          <w:rFonts w:hint="eastAsia" w:ascii="宋体" w:hAnsi="宋体" w:cs="宋体"/>
          <w:color w:val="auto"/>
          <w:kern w:val="0"/>
          <w:szCs w:val="21"/>
          <w:highlight w:val="none"/>
          <w:lang w:val="zh-CN"/>
        </w:rPr>
        <w:t>。</w:t>
      </w:r>
    </w:p>
    <w:p w14:paraId="5B4E1723">
      <w:pPr>
        <w:spacing w:line="360" w:lineRule="auto"/>
        <w:jc w:val="center"/>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开标一览表（报价表）(单位均为人民币元)</w:t>
      </w:r>
    </w:p>
    <w:tbl>
      <w:tblPr>
        <w:tblStyle w:val="63"/>
        <w:tblW w:w="8959" w:type="dxa"/>
        <w:tblInd w:w="10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74"/>
        <w:gridCol w:w="3855"/>
        <w:gridCol w:w="2430"/>
      </w:tblGrid>
      <w:tr w14:paraId="428E99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674" w:type="dxa"/>
            <w:vAlign w:val="center"/>
          </w:tcPr>
          <w:p w14:paraId="3862264B">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采购内容</w:t>
            </w:r>
          </w:p>
        </w:tc>
        <w:tc>
          <w:tcPr>
            <w:tcW w:w="3855" w:type="dxa"/>
            <w:vAlign w:val="center"/>
          </w:tcPr>
          <w:p w14:paraId="1F8E5702">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投标报价</w:t>
            </w:r>
          </w:p>
        </w:tc>
        <w:tc>
          <w:tcPr>
            <w:tcW w:w="2430" w:type="dxa"/>
            <w:vAlign w:val="center"/>
          </w:tcPr>
          <w:p w14:paraId="3F6A67A6">
            <w:pPr>
              <w:pStyle w:val="26"/>
              <w:snapToGrid w:val="0"/>
              <w:spacing w:line="320" w:lineRule="exact"/>
              <w:ind w:firstLine="0" w:firstLineChars="0"/>
              <w:jc w:val="center"/>
              <w:rPr>
                <w:rFonts w:ascii="Arial" w:hAnsi="Arial"/>
                <w:b/>
                <w:bCs/>
                <w:color w:val="auto"/>
                <w:sz w:val="21"/>
                <w:szCs w:val="21"/>
                <w:highlight w:val="none"/>
              </w:rPr>
            </w:pPr>
            <w:r>
              <w:rPr>
                <w:rFonts w:hint="eastAsia" w:ascii="Arial" w:hAnsi="Arial"/>
                <w:b/>
                <w:bCs/>
                <w:color w:val="auto"/>
                <w:sz w:val="21"/>
                <w:szCs w:val="21"/>
                <w:highlight w:val="none"/>
              </w:rPr>
              <w:t>产地/品牌</w:t>
            </w:r>
          </w:p>
        </w:tc>
      </w:tr>
      <w:tr w14:paraId="5383FD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674" w:type="dxa"/>
            <w:vAlign w:val="center"/>
          </w:tcPr>
          <w:p w14:paraId="4F748DC7">
            <w:pPr>
              <w:pStyle w:val="26"/>
              <w:snapToGrid w:val="0"/>
              <w:spacing w:line="320" w:lineRule="exact"/>
              <w:ind w:firstLine="0" w:firstLineChars="0"/>
              <w:jc w:val="center"/>
              <w:rPr>
                <w:rFonts w:ascii="Arial" w:hAnsi="Arial"/>
                <w:color w:val="auto"/>
                <w:sz w:val="21"/>
                <w:szCs w:val="21"/>
                <w:highlight w:val="none"/>
              </w:rPr>
            </w:pPr>
          </w:p>
        </w:tc>
        <w:tc>
          <w:tcPr>
            <w:tcW w:w="3855" w:type="dxa"/>
            <w:vAlign w:val="center"/>
          </w:tcPr>
          <w:p w14:paraId="483A3D05">
            <w:pPr>
              <w:pStyle w:val="26"/>
              <w:snapToGrid w:val="0"/>
              <w:spacing w:line="320" w:lineRule="exact"/>
              <w:ind w:firstLine="0" w:firstLineChars="0"/>
              <w:jc w:val="left"/>
              <w:rPr>
                <w:rFonts w:ascii="Arial" w:hAnsi="Arial"/>
                <w:color w:val="auto"/>
                <w:sz w:val="21"/>
                <w:szCs w:val="21"/>
                <w:highlight w:val="none"/>
              </w:rPr>
            </w:pPr>
            <w:r>
              <w:rPr>
                <w:rFonts w:hint="eastAsia" w:ascii="Arial" w:hAnsi="Arial"/>
                <w:color w:val="auto"/>
                <w:sz w:val="21"/>
                <w:szCs w:val="21"/>
                <w:highlight w:val="none"/>
              </w:rPr>
              <w:t>小写：</w:t>
            </w:r>
          </w:p>
          <w:p w14:paraId="317D4353">
            <w:pPr>
              <w:pStyle w:val="26"/>
              <w:snapToGrid w:val="0"/>
              <w:spacing w:line="320" w:lineRule="exact"/>
              <w:ind w:firstLine="0" w:firstLineChars="0"/>
              <w:jc w:val="left"/>
              <w:rPr>
                <w:rFonts w:ascii="Arial" w:hAnsi="Arial"/>
                <w:color w:val="auto"/>
                <w:sz w:val="21"/>
                <w:szCs w:val="21"/>
                <w:highlight w:val="none"/>
              </w:rPr>
            </w:pPr>
          </w:p>
          <w:p w14:paraId="5F425407">
            <w:pPr>
              <w:pStyle w:val="26"/>
              <w:snapToGrid w:val="0"/>
              <w:spacing w:line="320" w:lineRule="exact"/>
              <w:ind w:firstLine="0" w:firstLineChars="0"/>
              <w:rPr>
                <w:rFonts w:ascii="Arial" w:hAnsi="Arial"/>
                <w:color w:val="auto"/>
                <w:sz w:val="21"/>
                <w:szCs w:val="21"/>
                <w:highlight w:val="none"/>
              </w:rPr>
            </w:pPr>
            <w:r>
              <w:rPr>
                <w:rFonts w:hint="eastAsia" w:ascii="Arial" w:hAnsi="Arial"/>
                <w:color w:val="auto"/>
                <w:sz w:val="21"/>
                <w:szCs w:val="21"/>
                <w:highlight w:val="none"/>
              </w:rPr>
              <w:t>大写：</w:t>
            </w:r>
          </w:p>
        </w:tc>
        <w:tc>
          <w:tcPr>
            <w:tcW w:w="2430" w:type="dxa"/>
            <w:vAlign w:val="center"/>
          </w:tcPr>
          <w:p w14:paraId="4897E43F">
            <w:pPr>
              <w:pStyle w:val="26"/>
              <w:snapToGrid w:val="0"/>
              <w:spacing w:line="320" w:lineRule="exact"/>
              <w:ind w:firstLine="0" w:firstLineChars="0"/>
              <w:rPr>
                <w:rFonts w:ascii="Arial" w:hAnsi="Arial"/>
                <w:color w:val="auto"/>
                <w:sz w:val="21"/>
                <w:szCs w:val="21"/>
                <w:highlight w:val="none"/>
              </w:rPr>
            </w:pPr>
          </w:p>
        </w:tc>
      </w:tr>
      <w:tr w14:paraId="47F07B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2674" w:type="dxa"/>
            <w:vAlign w:val="center"/>
          </w:tcPr>
          <w:p w14:paraId="0D25D47C">
            <w:pPr>
              <w:pStyle w:val="26"/>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投标声明</w:t>
            </w:r>
          </w:p>
        </w:tc>
        <w:tc>
          <w:tcPr>
            <w:tcW w:w="6285" w:type="dxa"/>
            <w:gridSpan w:val="2"/>
            <w:vAlign w:val="center"/>
          </w:tcPr>
          <w:p w14:paraId="7A1B222B">
            <w:pPr>
              <w:pStyle w:val="26"/>
              <w:snapToGrid w:val="0"/>
              <w:spacing w:line="320" w:lineRule="exact"/>
              <w:ind w:firstLine="0" w:firstLineChars="0"/>
              <w:jc w:val="center"/>
              <w:rPr>
                <w:rFonts w:ascii="Arial" w:hAnsi="Arial"/>
                <w:color w:val="auto"/>
                <w:sz w:val="21"/>
                <w:szCs w:val="21"/>
                <w:highlight w:val="none"/>
              </w:rPr>
            </w:pPr>
            <w:r>
              <w:rPr>
                <w:rFonts w:hint="eastAsia" w:ascii="Arial" w:hAnsi="Arial"/>
                <w:color w:val="auto"/>
                <w:sz w:val="21"/>
                <w:szCs w:val="21"/>
                <w:highlight w:val="none"/>
              </w:rPr>
              <w:t>若无，请打“/”号</w:t>
            </w:r>
          </w:p>
        </w:tc>
      </w:tr>
    </w:tbl>
    <w:p w14:paraId="37D20415">
      <w:pPr>
        <w:snapToGrid w:val="0"/>
        <w:spacing w:line="360" w:lineRule="auto"/>
        <w:ind w:left="480"/>
        <w:rPr>
          <w:rFonts w:ascii="宋体" w:hAnsi="宋体" w:cs="宋体"/>
          <w:b/>
          <w:color w:val="auto"/>
          <w:kern w:val="0"/>
          <w:szCs w:val="21"/>
          <w:highlight w:val="none"/>
          <w:lang w:val="zh-CN"/>
        </w:rPr>
      </w:pPr>
      <w:r>
        <w:rPr>
          <w:rFonts w:hint="eastAsia" w:ascii="宋体" w:hAnsi="宋体" w:cs="宋体"/>
          <w:b/>
          <w:color w:val="auto"/>
          <w:kern w:val="0"/>
          <w:szCs w:val="21"/>
          <w:highlight w:val="none"/>
          <w:lang w:val="zh-CN"/>
        </w:rPr>
        <w:t>注：</w:t>
      </w:r>
    </w:p>
    <w:p w14:paraId="6B70D597">
      <w:pPr>
        <w:spacing w:line="360" w:lineRule="auto"/>
        <w:ind w:left="-2" w:leftChars="-1"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1、供应商需按本表格式填写</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w:t>
      </w:r>
      <w:r>
        <w:rPr>
          <w:rFonts w:hint="eastAsia" w:ascii="宋体" w:hAnsi="宋体" w:cs="宋体"/>
          <w:color w:val="auto"/>
          <w:kern w:val="0"/>
          <w:szCs w:val="21"/>
          <w:highlight w:val="none"/>
          <w:lang w:val="zh-CN"/>
        </w:rPr>
        <w:t>。</w:t>
      </w:r>
    </w:p>
    <w:p w14:paraId="215D866E">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2、有关本项目实施所涉及的一切费用均计入报价。</w:t>
      </w:r>
      <w:r>
        <w:rPr>
          <w:rFonts w:hint="eastAsia" w:ascii="宋体" w:hAnsi="宋体" w:cs="宋体"/>
          <w:b/>
          <w:color w:val="auto"/>
          <w:kern w:val="0"/>
          <w:szCs w:val="21"/>
          <w:highlight w:val="none"/>
          <w:lang w:val="zh-CN"/>
        </w:rPr>
        <w:t>采购人将以合同形式有偿取得货物或服务，不接受供应商给予的赠品、回扣或者与采购无关的其他商品、服务</w:t>
      </w:r>
      <w:r>
        <w:rPr>
          <w:rFonts w:hint="eastAsia" w:ascii="宋体" w:hAnsi="宋体" w:cs="宋体"/>
          <w:color w:val="auto"/>
          <w:kern w:val="0"/>
          <w:szCs w:val="21"/>
          <w:highlight w:val="none"/>
          <w:lang w:val="zh-CN"/>
        </w:rPr>
        <w:t>，</w:t>
      </w:r>
      <w:r>
        <w:rPr>
          <w:rFonts w:hint="eastAsia" w:ascii="宋体" w:hAnsi="宋体" w:cs="宋体"/>
          <w:b/>
          <w:color w:val="auto"/>
          <w:kern w:val="0"/>
          <w:szCs w:val="21"/>
          <w:highlight w:val="none"/>
          <w:lang w:val="zh-CN"/>
        </w:rPr>
        <w:t>不得出现“0元”“免费赠送”等形式的无偿报价，</w:t>
      </w:r>
      <w:r>
        <w:rPr>
          <w:rFonts w:hint="eastAsia" w:ascii="宋体" w:hAnsi="宋体" w:cs="宋体"/>
          <w:b/>
          <w:color w:val="auto"/>
          <w:kern w:val="0"/>
          <w:szCs w:val="21"/>
          <w:highlight w:val="none"/>
        </w:rPr>
        <w:t>否则视为</w:t>
      </w:r>
      <w:r>
        <w:rPr>
          <w:rFonts w:hint="eastAsia" w:ascii="宋体" w:hAnsi="宋体" w:cs="宋体"/>
          <w:b/>
          <w:color w:val="auto"/>
          <w:szCs w:val="21"/>
          <w:highlight w:val="none"/>
        </w:rPr>
        <w:t>投标文件含有采购人不能接受的附加条件，投标无效</w:t>
      </w:r>
      <w:r>
        <w:rPr>
          <w:rFonts w:hint="eastAsia" w:ascii="宋体" w:hAnsi="宋体" w:cs="宋体"/>
          <w:b/>
          <w:color w:val="auto"/>
          <w:kern w:val="0"/>
          <w:szCs w:val="21"/>
          <w:highlight w:val="none"/>
          <w:lang w:val="zh-CN"/>
        </w:rPr>
        <w:t>；采购内容未包含在《开标一览表（报价表）》名称栏中，供应商不能作出合理解释的，</w:t>
      </w:r>
      <w:r>
        <w:rPr>
          <w:rFonts w:hint="eastAsia" w:ascii="宋体" w:hAnsi="宋体" w:cs="宋体"/>
          <w:b/>
          <w:color w:val="auto"/>
          <w:kern w:val="0"/>
          <w:szCs w:val="21"/>
          <w:highlight w:val="none"/>
        </w:rPr>
        <w:t>视为</w:t>
      </w:r>
      <w:r>
        <w:rPr>
          <w:rFonts w:hint="eastAsia" w:ascii="宋体" w:hAnsi="宋体" w:cs="宋体"/>
          <w:b/>
          <w:color w:val="auto"/>
          <w:szCs w:val="21"/>
          <w:highlight w:val="none"/>
        </w:rPr>
        <w:t>投标文件含有采购人不能接受的附加条件的，投标无效。</w:t>
      </w:r>
    </w:p>
    <w:p w14:paraId="0E2AB46A">
      <w:pPr>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3、特别提示：采购代理机构将对项目名称和项目编号，中标供应商名称、地址和中标金额，主要中标标的名称、服务范围、服务要求、服务时间、服务标准等予以公示。</w:t>
      </w:r>
    </w:p>
    <w:p w14:paraId="1ADD0988">
      <w:pPr>
        <w:snapToGrid w:val="0"/>
        <w:spacing w:line="360" w:lineRule="auto"/>
        <w:ind w:firstLine="420" w:firstLineChars="200"/>
        <w:jc w:val="left"/>
        <w:rPr>
          <w:rFonts w:ascii="宋体" w:hAnsi="宋体" w:cs="宋体"/>
          <w:color w:val="auto"/>
          <w:kern w:val="0"/>
          <w:szCs w:val="21"/>
          <w:highlight w:val="none"/>
          <w:lang w:val="zh-CN"/>
        </w:rPr>
      </w:pPr>
      <w:r>
        <w:rPr>
          <w:rFonts w:ascii="宋体" w:hAnsi="宋体" w:cs="宋体"/>
          <w:color w:val="auto"/>
          <w:kern w:val="0"/>
          <w:szCs w:val="21"/>
          <w:highlight w:val="none"/>
          <w:lang w:val="zh-CN"/>
        </w:rPr>
        <w:t>4</w:t>
      </w:r>
      <w:r>
        <w:rPr>
          <w:rFonts w:hint="eastAsia" w:ascii="宋体" w:hAnsi="宋体" w:cs="宋体"/>
          <w:color w:val="auto"/>
          <w:kern w:val="0"/>
          <w:szCs w:val="21"/>
          <w:highlight w:val="none"/>
          <w:lang w:val="zh-CN"/>
        </w:rPr>
        <w:t>、符合招标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3179BBD">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br w:type="page"/>
      </w:r>
    </w:p>
    <w:p w14:paraId="6B73F020">
      <w:pPr>
        <w:pStyle w:val="26"/>
        <w:widowControl/>
        <w:spacing w:line="360" w:lineRule="auto"/>
        <w:ind w:firstLine="482"/>
        <w:jc w:val="center"/>
        <w:rPr>
          <w:rFonts w:ascii="Arial" w:hAnsi="Arial" w:cs="Arial"/>
          <w:b/>
          <w:color w:val="auto"/>
          <w:highlight w:val="none"/>
        </w:rPr>
      </w:pPr>
      <w:r>
        <w:rPr>
          <w:rFonts w:hint="eastAsia" w:ascii="Arial" w:hAnsi="Arial" w:cs="Arial"/>
          <w:b/>
          <w:color w:val="auto"/>
          <w:highlight w:val="none"/>
        </w:rPr>
        <w:t>二、</w:t>
      </w:r>
      <w:r>
        <w:rPr>
          <w:rFonts w:ascii="Arial" w:hAnsi="Arial" w:cs="Arial"/>
          <w:b/>
          <w:color w:val="auto"/>
          <w:highlight w:val="none"/>
        </w:rPr>
        <w:t>投标分项报价表</w:t>
      </w:r>
    </w:p>
    <w:p w14:paraId="2FC6C943">
      <w:pPr>
        <w:pStyle w:val="26"/>
        <w:widowControl/>
        <w:tabs>
          <w:tab w:val="left" w:pos="4841"/>
        </w:tabs>
        <w:spacing w:line="360" w:lineRule="auto"/>
        <w:ind w:firstLine="482"/>
        <w:jc w:val="center"/>
        <w:rPr>
          <w:rFonts w:ascii="Arial" w:hAnsi="Arial" w:cs="Arial"/>
          <w:b/>
          <w:color w:val="auto"/>
          <w:highlight w:val="none"/>
        </w:rPr>
      </w:pPr>
    </w:p>
    <w:p w14:paraId="5EF8EB5B">
      <w:pPr>
        <w:widowControl/>
        <w:spacing w:line="360" w:lineRule="auto"/>
        <w:jc w:val="left"/>
        <w:rPr>
          <w:rFonts w:ascii="Arial" w:hAnsi="Arial" w:cs="Arial"/>
          <w:color w:val="auto"/>
          <w:highlight w:val="none"/>
          <w:u w:val="single"/>
        </w:rPr>
      </w:pPr>
      <w:r>
        <w:rPr>
          <w:rFonts w:ascii="Arial" w:hAnsi="Arial" w:cs="Arial"/>
          <w:color w:val="auto"/>
          <w:highlight w:val="none"/>
        </w:rPr>
        <w:t>项目名称：</w:t>
      </w:r>
      <w:r>
        <w:rPr>
          <w:rFonts w:ascii="Arial" w:hAnsi="Arial" w:cs="Arial"/>
          <w:color w:val="auto"/>
          <w:highlight w:val="none"/>
          <w:u w:val="single"/>
        </w:rPr>
        <w:t xml:space="preserve">                                       </w:t>
      </w:r>
      <w:r>
        <w:rPr>
          <w:rFonts w:ascii="Arial" w:hAnsi="Arial" w:cs="Arial"/>
          <w:color w:val="auto"/>
          <w:highlight w:val="none"/>
        </w:rPr>
        <w:t xml:space="preserve"> 项目编号：</w:t>
      </w:r>
      <w:r>
        <w:rPr>
          <w:rFonts w:ascii="Arial" w:hAnsi="Arial" w:cs="Arial"/>
          <w:color w:val="auto"/>
          <w:highlight w:val="none"/>
          <w:u w:val="single"/>
        </w:rPr>
        <w:t xml:space="preserve">         </w:t>
      </w:r>
      <w:r>
        <w:rPr>
          <w:rFonts w:hint="eastAsia" w:ascii="Arial" w:hAnsi="Arial" w:cs="Arial"/>
          <w:bCs/>
          <w:color w:val="auto"/>
          <w:szCs w:val="21"/>
          <w:highlight w:val="none"/>
        </w:rPr>
        <w:t>标段号：</w:t>
      </w:r>
      <w:r>
        <w:rPr>
          <w:rFonts w:ascii="Arial" w:hAnsi="Arial" w:cs="Arial"/>
          <w:color w:val="auto"/>
          <w:highlight w:val="none"/>
          <w:u w:val="single"/>
        </w:rPr>
        <w:t xml:space="preserve">         </w:t>
      </w:r>
    </w:p>
    <w:tbl>
      <w:tblPr>
        <w:tblStyle w:val="63"/>
        <w:tblW w:w="88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763"/>
        <w:gridCol w:w="1333"/>
        <w:gridCol w:w="1080"/>
        <w:gridCol w:w="735"/>
        <w:gridCol w:w="1620"/>
        <w:gridCol w:w="1530"/>
      </w:tblGrid>
      <w:tr w14:paraId="05FFE1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765" w:type="dxa"/>
            <w:vAlign w:val="center"/>
          </w:tcPr>
          <w:p w14:paraId="614D103E">
            <w:pPr>
              <w:spacing w:line="400" w:lineRule="exact"/>
              <w:jc w:val="center"/>
              <w:rPr>
                <w:rFonts w:ascii="Arial" w:hAnsi="Arial" w:cs="Arial"/>
                <w:color w:val="auto"/>
                <w:highlight w:val="none"/>
              </w:rPr>
            </w:pPr>
            <w:r>
              <w:rPr>
                <w:rFonts w:ascii="Arial" w:hAnsi="Arial" w:cs="Arial"/>
                <w:b/>
                <w:bCs/>
                <w:color w:val="auto"/>
                <w:highlight w:val="none"/>
              </w:rPr>
              <w:t>序号</w:t>
            </w:r>
          </w:p>
        </w:tc>
        <w:tc>
          <w:tcPr>
            <w:tcW w:w="1763" w:type="dxa"/>
            <w:vAlign w:val="center"/>
          </w:tcPr>
          <w:p w14:paraId="67499587">
            <w:pPr>
              <w:spacing w:line="400" w:lineRule="exact"/>
              <w:jc w:val="center"/>
              <w:rPr>
                <w:rFonts w:ascii="Arial" w:hAnsi="Arial" w:cs="Arial"/>
                <w:color w:val="auto"/>
                <w:highlight w:val="none"/>
              </w:rPr>
            </w:pPr>
            <w:r>
              <w:rPr>
                <w:rFonts w:ascii="Arial" w:hAnsi="Arial" w:cs="Arial"/>
                <w:b/>
                <w:bCs/>
                <w:color w:val="auto"/>
                <w:highlight w:val="none"/>
              </w:rPr>
              <w:t>产品/服务名称</w:t>
            </w:r>
          </w:p>
        </w:tc>
        <w:tc>
          <w:tcPr>
            <w:tcW w:w="1333" w:type="dxa"/>
            <w:vAlign w:val="center"/>
          </w:tcPr>
          <w:p w14:paraId="3DC7AED1">
            <w:pPr>
              <w:spacing w:line="400" w:lineRule="exact"/>
              <w:jc w:val="center"/>
              <w:rPr>
                <w:rFonts w:ascii="Arial" w:hAnsi="Arial" w:cs="Arial"/>
                <w:b/>
                <w:bCs/>
                <w:color w:val="auto"/>
                <w:highlight w:val="none"/>
              </w:rPr>
            </w:pPr>
            <w:r>
              <w:rPr>
                <w:rFonts w:ascii="Arial" w:hAnsi="Arial" w:cs="Arial"/>
                <w:b/>
                <w:bCs/>
                <w:color w:val="auto"/>
                <w:highlight w:val="none"/>
              </w:rPr>
              <w:t>产地及品牌</w:t>
            </w:r>
          </w:p>
        </w:tc>
        <w:tc>
          <w:tcPr>
            <w:tcW w:w="1080" w:type="dxa"/>
            <w:vAlign w:val="center"/>
          </w:tcPr>
          <w:p w14:paraId="1D0CDBE0">
            <w:pPr>
              <w:spacing w:line="400" w:lineRule="exact"/>
              <w:jc w:val="center"/>
              <w:rPr>
                <w:rFonts w:ascii="Arial" w:hAnsi="Arial" w:cs="Arial"/>
                <w:color w:val="auto"/>
                <w:highlight w:val="none"/>
              </w:rPr>
            </w:pPr>
            <w:r>
              <w:rPr>
                <w:rFonts w:ascii="Arial" w:hAnsi="Arial" w:cs="Arial"/>
                <w:b/>
                <w:bCs/>
                <w:color w:val="auto"/>
                <w:highlight w:val="none"/>
              </w:rPr>
              <w:t>规格型号</w:t>
            </w:r>
          </w:p>
        </w:tc>
        <w:tc>
          <w:tcPr>
            <w:tcW w:w="735" w:type="dxa"/>
            <w:vAlign w:val="center"/>
          </w:tcPr>
          <w:p w14:paraId="6B28A1D1">
            <w:pPr>
              <w:spacing w:line="400" w:lineRule="exact"/>
              <w:jc w:val="center"/>
              <w:rPr>
                <w:rFonts w:ascii="Arial" w:hAnsi="Arial" w:cs="Arial"/>
                <w:b/>
                <w:bCs/>
                <w:color w:val="auto"/>
                <w:highlight w:val="none"/>
              </w:rPr>
            </w:pPr>
            <w:r>
              <w:rPr>
                <w:rFonts w:ascii="Arial" w:hAnsi="Arial" w:cs="Arial"/>
                <w:b/>
                <w:bCs/>
                <w:color w:val="auto"/>
                <w:highlight w:val="none"/>
              </w:rPr>
              <w:t>数量</w:t>
            </w:r>
          </w:p>
        </w:tc>
        <w:tc>
          <w:tcPr>
            <w:tcW w:w="1620" w:type="dxa"/>
            <w:vAlign w:val="center"/>
          </w:tcPr>
          <w:p w14:paraId="595A9C58">
            <w:pPr>
              <w:spacing w:line="400" w:lineRule="exact"/>
              <w:jc w:val="center"/>
              <w:rPr>
                <w:rFonts w:ascii="Arial" w:hAnsi="Arial" w:cs="Arial"/>
                <w:b/>
                <w:bCs/>
                <w:color w:val="auto"/>
                <w:highlight w:val="none"/>
              </w:rPr>
            </w:pPr>
            <w:r>
              <w:rPr>
                <w:rFonts w:ascii="Arial" w:hAnsi="Arial" w:cs="Arial"/>
                <w:b/>
                <w:bCs/>
                <w:color w:val="auto"/>
                <w:highlight w:val="none"/>
              </w:rPr>
              <w:t>单价</w:t>
            </w:r>
          </w:p>
          <w:p w14:paraId="37266EBA">
            <w:pPr>
              <w:spacing w:line="400" w:lineRule="exact"/>
              <w:jc w:val="center"/>
              <w:rPr>
                <w:rFonts w:ascii="Arial" w:hAnsi="Arial" w:cs="Arial"/>
                <w:color w:val="auto"/>
                <w:highlight w:val="none"/>
              </w:rPr>
            </w:pPr>
            <w:r>
              <w:rPr>
                <w:rFonts w:ascii="Arial" w:hAnsi="Arial" w:cs="Arial"/>
                <w:b/>
                <w:bCs/>
                <w:color w:val="auto"/>
                <w:highlight w:val="none"/>
              </w:rPr>
              <w:t>（元/人民币）</w:t>
            </w:r>
          </w:p>
        </w:tc>
        <w:tc>
          <w:tcPr>
            <w:tcW w:w="1530" w:type="dxa"/>
            <w:vAlign w:val="center"/>
          </w:tcPr>
          <w:p w14:paraId="0E292D41">
            <w:pPr>
              <w:spacing w:line="400" w:lineRule="exact"/>
              <w:jc w:val="center"/>
              <w:rPr>
                <w:rFonts w:ascii="Arial" w:hAnsi="Arial" w:cs="Arial"/>
                <w:b/>
                <w:bCs/>
                <w:color w:val="auto"/>
                <w:highlight w:val="none"/>
              </w:rPr>
            </w:pPr>
            <w:r>
              <w:rPr>
                <w:rFonts w:ascii="Arial" w:hAnsi="Arial" w:cs="Arial"/>
                <w:b/>
                <w:bCs/>
                <w:color w:val="auto"/>
                <w:highlight w:val="none"/>
              </w:rPr>
              <w:t>合价</w:t>
            </w:r>
          </w:p>
          <w:p w14:paraId="0A2E1871">
            <w:pPr>
              <w:spacing w:line="400" w:lineRule="exact"/>
              <w:jc w:val="center"/>
              <w:rPr>
                <w:rFonts w:ascii="Arial" w:hAnsi="Arial" w:cs="Arial"/>
                <w:color w:val="auto"/>
                <w:highlight w:val="none"/>
              </w:rPr>
            </w:pPr>
            <w:r>
              <w:rPr>
                <w:rFonts w:ascii="Arial" w:hAnsi="Arial" w:cs="Arial"/>
                <w:b/>
                <w:bCs/>
                <w:color w:val="auto"/>
                <w:highlight w:val="none"/>
              </w:rPr>
              <w:t>（元/人民币）</w:t>
            </w:r>
          </w:p>
        </w:tc>
      </w:tr>
      <w:tr w14:paraId="7D2C12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42E06B8F">
            <w:pPr>
              <w:spacing w:line="400" w:lineRule="exact"/>
              <w:jc w:val="center"/>
              <w:rPr>
                <w:rFonts w:ascii="Arial" w:hAnsi="Arial" w:cs="Arial"/>
                <w:color w:val="auto"/>
                <w:highlight w:val="none"/>
              </w:rPr>
            </w:pPr>
            <w:r>
              <w:rPr>
                <w:rFonts w:ascii="Arial" w:hAnsi="Arial" w:cs="Arial"/>
                <w:color w:val="auto"/>
                <w:highlight w:val="none"/>
              </w:rPr>
              <w:t>1</w:t>
            </w:r>
          </w:p>
        </w:tc>
        <w:tc>
          <w:tcPr>
            <w:tcW w:w="1763" w:type="dxa"/>
            <w:shd w:val="clear" w:color="000000" w:fill="FFFFFF"/>
            <w:vAlign w:val="center"/>
          </w:tcPr>
          <w:p w14:paraId="18592B53">
            <w:pPr>
              <w:widowControl/>
              <w:spacing w:line="400" w:lineRule="exact"/>
              <w:jc w:val="center"/>
              <w:rPr>
                <w:rFonts w:ascii="Arial" w:hAnsi="Arial" w:cs="Arial"/>
                <w:color w:val="auto"/>
                <w:highlight w:val="none"/>
              </w:rPr>
            </w:pPr>
          </w:p>
        </w:tc>
        <w:tc>
          <w:tcPr>
            <w:tcW w:w="1333" w:type="dxa"/>
            <w:shd w:val="clear" w:color="000000" w:fill="FFFFFF"/>
            <w:vAlign w:val="center"/>
          </w:tcPr>
          <w:p w14:paraId="0AC10C8C">
            <w:pPr>
              <w:widowControl/>
              <w:spacing w:line="400" w:lineRule="exact"/>
              <w:jc w:val="center"/>
              <w:rPr>
                <w:rFonts w:ascii="Arial" w:hAnsi="Arial" w:cs="Arial"/>
                <w:color w:val="auto"/>
                <w:highlight w:val="none"/>
              </w:rPr>
            </w:pPr>
          </w:p>
        </w:tc>
        <w:tc>
          <w:tcPr>
            <w:tcW w:w="1080" w:type="dxa"/>
            <w:shd w:val="clear" w:color="000000" w:fill="FFFFFF"/>
            <w:vAlign w:val="center"/>
          </w:tcPr>
          <w:p w14:paraId="1FB87CCD">
            <w:pPr>
              <w:widowControl/>
              <w:spacing w:line="400" w:lineRule="exact"/>
              <w:jc w:val="center"/>
              <w:rPr>
                <w:rFonts w:ascii="Arial" w:hAnsi="Arial" w:cs="Arial"/>
                <w:color w:val="auto"/>
                <w:highlight w:val="none"/>
              </w:rPr>
            </w:pPr>
          </w:p>
        </w:tc>
        <w:tc>
          <w:tcPr>
            <w:tcW w:w="735" w:type="dxa"/>
            <w:shd w:val="clear" w:color="000000" w:fill="FFFFFF"/>
            <w:vAlign w:val="center"/>
          </w:tcPr>
          <w:p w14:paraId="6C17E4F2">
            <w:pPr>
              <w:widowControl/>
              <w:spacing w:line="400" w:lineRule="exact"/>
              <w:jc w:val="center"/>
              <w:rPr>
                <w:rFonts w:ascii="Arial" w:hAnsi="Arial" w:cs="Arial"/>
                <w:color w:val="auto"/>
                <w:highlight w:val="none"/>
              </w:rPr>
            </w:pPr>
          </w:p>
        </w:tc>
        <w:tc>
          <w:tcPr>
            <w:tcW w:w="1620" w:type="dxa"/>
          </w:tcPr>
          <w:p w14:paraId="2A1230AA">
            <w:pPr>
              <w:spacing w:line="400" w:lineRule="exact"/>
              <w:jc w:val="left"/>
              <w:rPr>
                <w:rFonts w:ascii="Arial" w:hAnsi="Arial" w:cs="Arial"/>
                <w:color w:val="auto"/>
                <w:highlight w:val="none"/>
              </w:rPr>
            </w:pPr>
          </w:p>
        </w:tc>
        <w:tc>
          <w:tcPr>
            <w:tcW w:w="1530" w:type="dxa"/>
          </w:tcPr>
          <w:p w14:paraId="5EE12DD3">
            <w:pPr>
              <w:spacing w:line="400" w:lineRule="exact"/>
              <w:jc w:val="left"/>
              <w:rPr>
                <w:rFonts w:ascii="Arial" w:hAnsi="Arial" w:cs="Arial"/>
                <w:color w:val="auto"/>
                <w:highlight w:val="none"/>
              </w:rPr>
            </w:pPr>
          </w:p>
        </w:tc>
      </w:tr>
      <w:tr w14:paraId="5C67D2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65" w:type="dxa"/>
            <w:shd w:val="clear" w:color="auto" w:fill="auto"/>
            <w:vAlign w:val="center"/>
          </w:tcPr>
          <w:p w14:paraId="270E0069">
            <w:pPr>
              <w:spacing w:line="400" w:lineRule="exact"/>
              <w:jc w:val="center"/>
              <w:rPr>
                <w:rFonts w:ascii="Arial" w:hAnsi="Arial" w:cs="Arial"/>
                <w:color w:val="auto"/>
                <w:highlight w:val="none"/>
              </w:rPr>
            </w:pPr>
            <w:r>
              <w:rPr>
                <w:rFonts w:ascii="Arial" w:hAnsi="Arial" w:cs="Arial"/>
                <w:color w:val="auto"/>
                <w:highlight w:val="none"/>
              </w:rPr>
              <w:t>2</w:t>
            </w:r>
          </w:p>
        </w:tc>
        <w:tc>
          <w:tcPr>
            <w:tcW w:w="1763" w:type="dxa"/>
            <w:shd w:val="clear" w:color="000000" w:fill="FFFFFF"/>
            <w:vAlign w:val="center"/>
          </w:tcPr>
          <w:p w14:paraId="25BD1880">
            <w:pPr>
              <w:widowControl/>
              <w:spacing w:line="400" w:lineRule="exact"/>
              <w:jc w:val="center"/>
              <w:rPr>
                <w:rFonts w:ascii="Arial" w:hAnsi="Arial" w:cs="Arial"/>
                <w:color w:val="auto"/>
                <w:highlight w:val="none"/>
              </w:rPr>
            </w:pPr>
          </w:p>
        </w:tc>
        <w:tc>
          <w:tcPr>
            <w:tcW w:w="1333" w:type="dxa"/>
            <w:shd w:val="clear" w:color="000000" w:fill="FFFFFF"/>
            <w:vAlign w:val="center"/>
          </w:tcPr>
          <w:p w14:paraId="053AB6F7">
            <w:pPr>
              <w:widowControl/>
              <w:spacing w:line="400" w:lineRule="exact"/>
              <w:jc w:val="center"/>
              <w:rPr>
                <w:rFonts w:ascii="Arial" w:hAnsi="Arial" w:cs="Arial"/>
                <w:color w:val="auto"/>
                <w:highlight w:val="none"/>
              </w:rPr>
            </w:pPr>
          </w:p>
        </w:tc>
        <w:tc>
          <w:tcPr>
            <w:tcW w:w="1080" w:type="dxa"/>
            <w:shd w:val="clear" w:color="000000" w:fill="FFFFFF"/>
            <w:vAlign w:val="center"/>
          </w:tcPr>
          <w:p w14:paraId="2A88578F">
            <w:pPr>
              <w:widowControl/>
              <w:spacing w:line="400" w:lineRule="exact"/>
              <w:jc w:val="center"/>
              <w:rPr>
                <w:rFonts w:ascii="Arial" w:hAnsi="Arial" w:cs="Arial"/>
                <w:color w:val="auto"/>
                <w:highlight w:val="none"/>
              </w:rPr>
            </w:pPr>
          </w:p>
        </w:tc>
        <w:tc>
          <w:tcPr>
            <w:tcW w:w="735" w:type="dxa"/>
            <w:shd w:val="clear" w:color="000000" w:fill="FFFFFF"/>
            <w:vAlign w:val="center"/>
          </w:tcPr>
          <w:p w14:paraId="2D36DBB2">
            <w:pPr>
              <w:widowControl/>
              <w:spacing w:line="400" w:lineRule="exact"/>
              <w:jc w:val="center"/>
              <w:rPr>
                <w:rFonts w:ascii="Arial" w:hAnsi="Arial" w:cs="Arial"/>
                <w:color w:val="auto"/>
                <w:highlight w:val="none"/>
              </w:rPr>
            </w:pPr>
          </w:p>
        </w:tc>
        <w:tc>
          <w:tcPr>
            <w:tcW w:w="1620" w:type="dxa"/>
          </w:tcPr>
          <w:p w14:paraId="5B31C297">
            <w:pPr>
              <w:spacing w:line="400" w:lineRule="exact"/>
              <w:jc w:val="left"/>
              <w:rPr>
                <w:rFonts w:ascii="Arial" w:hAnsi="Arial" w:cs="Arial"/>
                <w:color w:val="auto"/>
                <w:highlight w:val="none"/>
              </w:rPr>
            </w:pPr>
          </w:p>
        </w:tc>
        <w:tc>
          <w:tcPr>
            <w:tcW w:w="1530" w:type="dxa"/>
          </w:tcPr>
          <w:p w14:paraId="2EFCF9CA">
            <w:pPr>
              <w:spacing w:line="400" w:lineRule="exact"/>
              <w:jc w:val="left"/>
              <w:rPr>
                <w:rFonts w:ascii="Arial" w:hAnsi="Arial" w:cs="Arial"/>
                <w:color w:val="auto"/>
                <w:highlight w:val="none"/>
              </w:rPr>
            </w:pPr>
          </w:p>
        </w:tc>
      </w:tr>
      <w:tr w14:paraId="5412B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3857F97">
            <w:pPr>
              <w:spacing w:line="400" w:lineRule="exact"/>
              <w:jc w:val="center"/>
              <w:rPr>
                <w:rFonts w:ascii="Arial" w:hAnsi="Arial" w:cs="Arial"/>
                <w:color w:val="auto"/>
                <w:highlight w:val="none"/>
              </w:rPr>
            </w:pPr>
            <w:r>
              <w:rPr>
                <w:rFonts w:ascii="Arial" w:hAnsi="Arial" w:cs="Arial"/>
                <w:color w:val="auto"/>
                <w:highlight w:val="none"/>
              </w:rPr>
              <w:t>3</w:t>
            </w:r>
          </w:p>
        </w:tc>
        <w:tc>
          <w:tcPr>
            <w:tcW w:w="1763" w:type="dxa"/>
            <w:shd w:val="clear" w:color="000000" w:fill="FFFFFF"/>
            <w:vAlign w:val="center"/>
          </w:tcPr>
          <w:p w14:paraId="13F2F758">
            <w:pPr>
              <w:widowControl/>
              <w:spacing w:line="400" w:lineRule="exact"/>
              <w:jc w:val="center"/>
              <w:rPr>
                <w:rFonts w:ascii="Arial" w:hAnsi="Arial" w:cs="Arial"/>
                <w:color w:val="auto"/>
                <w:highlight w:val="none"/>
              </w:rPr>
            </w:pPr>
          </w:p>
        </w:tc>
        <w:tc>
          <w:tcPr>
            <w:tcW w:w="1333" w:type="dxa"/>
            <w:shd w:val="clear" w:color="000000" w:fill="FFFFFF"/>
            <w:vAlign w:val="center"/>
          </w:tcPr>
          <w:p w14:paraId="5AF69A4C">
            <w:pPr>
              <w:widowControl/>
              <w:spacing w:line="400" w:lineRule="exact"/>
              <w:jc w:val="center"/>
              <w:rPr>
                <w:rFonts w:ascii="Arial" w:hAnsi="Arial" w:cs="Arial"/>
                <w:color w:val="auto"/>
                <w:highlight w:val="none"/>
              </w:rPr>
            </w:pPr>
          </w:p>
        </w:tc>
        <w:tc>
          <w:tcPr>
            <w:tcW w:w="1080" w:type="dxa"/>
            <w:shd w:val="clear" w:color="000000" w:fill="FFFFFF"/>
            <w:vAlign w:val="center"/>
          </w:tcPr>
          <w:p w14:paraId="761BC41A">
            <w:pPr>
              <w:widowControl/>
              <w:spacing w:line="400" w:lineRule="exact"/>
              <w:jc w:val="center"/>
              <w:rPr>
                <w:rFonts w:ascii="Arial" w:hAnsi="Arial" w:cs="Arial"/>
                <w:color w:val="auto"/>
                <w:highlight w:val="none"/>
              </w:rPr>
            </w:pPr>
          </w:p>
        </w:tc>
        <w:tc>
          <w:tcPr>
            <w:tcW w:w="735" w:type="dxa"/>
            <w:shd w:val="clear" w:color="000000" w:fill="FFFFFF"/>
            <w:vAlign w:val="center"/>
          </w:tcPr>
          <w:p w14:paraId="3666984B">
            <w:pPr>
              <w:widowControl/>
              <w:spacing w:line="400" w:lineRule="exact"/>
              <w:jc w:val="center"/>
              <w:rPr>
                <w:rFonts w:ascii="Arial" w:hAnsi="Arial" w:cs="Arial"/>
                <w:color w:val="auto"/>
                <w:highlight w:val="none"/>
              </w:rPr>
            </w:pPr>
          </w:p>
        </w:tc>
        <w:tc>
          <w:tcPr>
            <w:tcW w:w="1620" w:type="dxa"/>
          </w:tcPr>
          <w:p w14:paraId="3408E20D">
            <w:pPr>
              <w:spacing w:line="400" w:lineRule="exact"/>
              <w:jc w:val="left"/>
              <w:rPr>
                <w:rFonts w:ascii="Arial" w:hAnsi="Arial" w:cs="Arial"/>
                <w:color w:val="auto"/>
                <w:highlight w:val="none"/>
              </w:rPr>
            </w:pPr>
          </w:p>
        </w:tc>
        <w:tc>
          <w:tcPr>
            <w:tcW w:w="1530" w:type="dxa"/>
          </w:tcPr>
          <w:p w14:paraId="2503A8E7">
            <w:pPr>
              <w:spacing w:line="400" w:lineRule="exact"/>
              <w:jc w:val="left"/>
              <w:rPr>
                <w:rFonts w:ascii="Arial" w:hAnsi="Arial" w:cs="Arial"/>
                <w:color w:val="auto"/>
                <w:highlight w:val="none"/>
              </w:rPr>
            </w:pPr>
          </w:p>
        </w:tc>
      </w:tr>
      <w:tr w14:paraId="12B51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4BC9894E">
            <w:pPr>
              <w:spacing w:line="400" w:lineRule="exact"/>
              <w:jc w:val="center"/>
              <w:rPr>
                <w:rFonts w:ascii="Arial" w:hAnsi="Arial" w:cs="Arial"/>
                <w:color w:val="auto"/>
                <w:highlight w:val="none"/>
              </w:rPr>
            </w:pPr>
            <w:r>
              <w:rPr>
                <w:rFonts w:ascii="Arial" w:hAnsi="Arial" w:cs="Arial"/>
                <w:color w:val="auto"/>
                <w:highlight w:val="none"/>
              </w:rPr>
              <w:t>4</w:t>
            </w:r>
          </w:p>
        </w:tc>
        <w:tc>
          <w:tcPr>
            <w:tcW w:w="1763" w:type="dxa"/>
            <w:shd w:val="clear" w:color="000000" w:fill="FFFFFF"/>
            <w:vAlign w:val="center"/>
          </w:tcPr>
          <w:p w14:paraId="43FBDFC5">
            <w:pPr>
              <w:widowControl/>
              <w:spacing w:line="400" w:lineRule="exact"/>
              <w:jc w:val="center"/>
              <w:rPr>
                <w:rFonts w:ascii="Arial" w:hAnsi="Arial" w:cs="Arial"/>
                <w:color w:val="auto"/>
                <w:highlight w:val="none"/>
              </w:rPr>
            </w:pPr>
          </w:p>
        </w:tc>
        <w:tc>
          <w:tcPr>
            <w:tcW w:w="1333" w:type="dxa"/>
            <w:shd w:val="clear" w:color="000000" w:fill="FFFFFF"/>
            <w:vAlign w:val="center"/>
          </w:tcPr>
          <w:p w14:paraId="6864669C">
            <w:pPr>
              <w:widowControl/>
              <w:spacing w:line="400" w:lineRule="exact"/>
              <w:jc w:val="center"/>
              <w:rPr>
                <w:rFonts w:ascii="Arial" w:hAnsi="Arial" w:cs="Arial"/>
                <w:color w:val="auto"/>
                <w:highlight w:val="none"/>
              </w:rPr>
            </w:pPr>
          </w:p>
        </w:tc>
        <w:tc>
          <w:tcPr>
            <w:tcW w:w="1080" w:type="dxa"/>
            <w:shd w:val="clear" w:color="000000" w:fill="FFFFFF"/>
            <w:vAlign w:val="center"/>
          </w:tcPr>
          <w:p w14:paraId="138B073D">
            <w:pPr>
              <w:widowControl/>
              <w:spacing w:line="400" w:lineRule="exact"/>
              <w:jc w:val="center"/>
              <w:rPr>
                <w:rFonts w:ascii="Arial" w:hAnsi="Arial" w:cs="Arial"/>
                <w:color w:val="auto"/>
                <w:highlight w:val="none"/>
              </w:rPr>
            </w:pPr>
          </w:p>
        </w:tc>
        <w:tc>
          <w:tcPr>
            <w:tcW w:w="735" w:type="dxa"/>
            <w:shd w:val="clear" w:color="000000" w:fill="FFFFFF"/>
            <w:vAlign w:val="center"/>
          </w:tcPr>
          <w:p w14:paraId="791945F0">
            <w:pPr>
              <w:widowControl/>
              <w:spacing w:line="400" w:lineRule="exact"/>
              <w:jc w:val="center"/>
              <w:rPr>
                <w:rFonts w:ascii="Arial" w:hAnsi="Arial" w:cs="Arial"/>
                <w:color w:val="auto"/>
                <w:highlight w:val="none"/>
              </w:rPr>
            </w:pPr>
          </w:p>
        </w:tc>
        <w:tc>
          <w:tcPr>
            <w:tcW w:w="1620" w:type="dxa"/>
          </w:tcPr>
          <w:p w14:paraId="3E44BE73">
            <w:pPr>
              <w:spacing w:line="400" w:lineRule="exact"/>
              <w:jc w:val="left"/>
              <w:rPr>
                <w:rFonts w:ascii="Arial" w:hAnsi="Arial" w:cs="Arial"/>
                <w:color w:val="auto"/>
                <w:highlight w:val="none"/>
              </w:rPr>
            </w:pPr>
          </w:p>
        </w:tc>
        <w:tc>
          <w:tcPr>
            <w:tcW w:w="1530" w:type="dxa"/>
          </w:tcPr>
          <w:p w14:paraId="33933D4D">
            <w:pPr>
              <w:spacing w:line="400" w:lineRule="exact"/>
              <w:jc w:val="left"/>
              <w:rPr>
                <w:rFonts w:ascii="Arial" w:hAnsi="Arial" w:cs="Arial"/>
                <w:color w:val="auto"/>
                <w:highlight w:val="none"/>
              </w:rPr>
            </w:pPr>
          </w:p>
        </w:tc>
      </w:tr>
      <w:tr w14:paraId="06E81D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402A5754">
            <w:pPr>
              <w:spacing w:line="400" w:lineRule="exact"/>
              <w:jc w:val="center"/>
              <w:rPr>
                <w:rFonts w:ascii="Arial" w:hAnsi="Arial" w:cs="Arial"/>
                <w:color w:val="auto"/>
                <w:highlight w:val="none"/>
              </w:rPr>
            </w:pPr>
            <w:r>
              <w:rPr>
                <w:rFonts w:ascii="Arial" w:hAnsi="Arial" w:cs="Arial"/>
                <w:color w:val="auto"/>
                <w:highlight w:val="none"/>
              </w:rPr>
              <w:t>…</w:t>
            </w:r>
          </w:p>
        </w:tc>
        <w:tc>
          <w:tcPr>
            <w:tcW w:w="1763" w:type="dxa"/>
            <w:shd w:val="clear" w:color="000000" w:fill="FFFFFF"/>
            <w:vAlign w:val="center"/>
          </w:tcPr>
          <w:p w14:paraId="35CBBD41">
            <w:pPr>
              <w:widowControl/>
              <w:spacing w:line="400" w:lineRule="exact"/>
              <w:jc w:val="center"/>
              <w:rPr>
                <w:rFonts w:ascii="Arial" w:hAnsi="Arial" w:cs="Arial"/>
                <w:color w:val="auto"/>
                <w:highlight w:val="none"/>
              </w:rPr>
            </w:pPr>
          </w:p>
        </w:tc>
        <w:tc>
          <w:tcPr>
            <w:tcW w:w="1333" w:type="dxa"/>
            <w:shd w:val="clear" w:color="000000" w:fill="FFFFFF"/>
            <w:vAlign w:val="center"/>
          </w:tcPr>
          <w:p w14:paraId="6357D498">
            <w:pPr>
              <w:widowControl/>
              <w:spacing w:line="400" w:lineRule="exact"/>
              <w:jc w:val="center"/>
              <w:rPr>
                <w:rFonts w:ascii="Arial" w:hAnsi="Arial" w:cs="Arial"/>
                <w:color w:val="auto"/>
                <w:highlight w:val="none"/>
              </w:rPr>
            </w:pPr>
          </w:p>
        </w:tc>
        <w:tc>
          <w:tcPr>
            <w:tcW w:w="1080" w:type="dxa"/>
            <w:shd w:val="clear" w:color="000000" w:fill="FFFFFF"/>
            <w:vAlign w:val="center"/>
          </w:tcPr>
          <w:p w14:paraId="30DD2F8E">
            <w:pPr>
              <w:widowControl/>
              <w:spacing w:line="400" w:lineRule="exact"/>
              <w:jc w:val="center"/>
              <w:rPr>
                <w:rFonts w:ascii="Arial" w:hAnsi="Arial" w:cs="Arial"/>
                <w:color w:val="auto"/>
                <w:highlight w:val="none"/>
              </w:rPr>
            </w:pPr>
          </w:p>
        </w:tc>
        <w:tc>
          <w:tcPr>
            <w:tcW w:w="735" w:type="dxa"/>
            <w:shd w:val="clear" w:color="000000" w:fill="FFFFFF"/>
            <w:vAlign w:val="center"/>
          </w:tcPr>
          <w:p w14:paraId="47946B3E">
            <w:pPr>
              <w:widowControl/>
              <w:spacing w:line="400" w:lineRule="exact"/>
              <w:jc w:val="center"/>
              <w:rPr>
                <w:rFonts w:ascii="Arial" w:hAnsi="Arial" w:cs="Arial"/>
                <w:color w:val="auto"/>
                <w:highlight w:val="none"/>
              </w:rPr>
            </w:pPr>
          </w:p>
        </w:tc>
        <w:tc>
          <w:tcPr>
            <w:tcW w:w="1620" w:type="dxa"/>
          </w:tcPr>
          <w:p w14:paraId="2A6942B2">
            <w:pPr>
              <w:spacing w:line="400" w:lineRule="exact"/>
              <w:jc w:val="left"/>
              <w:rPr>
                <w:rFonts w:ascii="Arial" w:hAnsi="Arial" w:cs="Arial"/>
                <w:color w:val="auto"/>
                <w:highlight w:val="none"/>
              </w:rPr>
            </w:pPr>
          </w:p>
        </w:tc>
        <w:tc>
          <w:tcPr>
            <w:tcW w:w="1530" w:type="dxa"/>
          </w:tcPr>
          <w:p w14:paraId="20FF779E">
            <w:pPr>
              <w:spacing w:line="400" w:lineRule="exact"/>
              <w:jc w:val="left"/>
              <w:rPr>
                <w:rFonts w:ascii="Arial" w:hAnsi="Arial" w:cs="Arial"/>
                <w:color w:val="auto"/>
                <w:highlight w:val="none"/>
              </w:rPr>
            </w:pPr>
          </w:p>
        </w:tc>
      </w:tr>
      <w:tr w14:paraId="2B3A29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3B152FA5">
            <w:pPr>
              <w:spacing w:line="400" w:lineRule="exact"/>
              <w:jc w:val="center"/>
              <w:rPr>
                <w:rFonts w:ascii="Arial" w:hAnsi="Arial" w:cs="Arial"/>
                <w:color w:val="auto"/>
                <w:highlight w:val="none"/>
              </w:rPr>
            </w:pPr>
          </w:p>
        </w:tc>
        <w:tc>
          <w:tcPr>
            <w:tcW w:w="1763" w:type="dxa"/>
            <w:shd w:val="clear" w:color="000000" w:fill="FFFFFF"/>
            <w:vAlign w:val="center"/>
          </w:tcPr>
          <w:p w14:paraId="26911022">
            <w:pPr>
              <w:widowControl/>
              <w:spacing w:line="400" w:lineRule="exact"/>
              <w:jc w:val="center"/>
              <w:rPr>
                <w:rFonts w:ascii="Arial" w:hAnsi="Arial" w:cs="Arial"/>
                <w:color w:val="auto"/>
                <w:highlight w:val="none"/>
              </w:rPr>
            </w:pPr>
          </w:p>
        </w:tc>
        <w:tc>
          <w:tcPr>
            <w:tcW w:w="1333" w:type="dxa"/>
            <w:shd w:val="clear" w:color="000000" w:fill="FFFFFF"/>
            <w:vAlign w:val="center"/>
          </w:tcPr>
          <w:p w14:paraId="0E8F3249">
            <w:pPr>
              <w:widowControl/>
              <w:spacing w:line="400" w:lineRule="exact"/>
              <w:jc w:val="center"/>
              <w:rPr>
                <w:rFonts w:ascii="Arial" w:hAnsi="Arial" w:cs="Arial"/>
                <w:color w:val="auto"/>
                <w:highlight w:val="none"/>
              </w:rPr>
            </w:pPr>
          </w:p>
        </w:tc>
        <w:tc>
          <w:tcPr>
            <w:tcW w:w="1080" w:type="dxa"/>
            <w:shd w:val="clear" w:color="000000" w:fill="FFFFFF"/>
            <w:vAlign w:val="center"/>
          </w:tcPr>
          <w:p w14:paraId="67372AAB">
            <w:pPr>
              <w:widowControl/>
              <w:spacing w:line="400" w:lineRule="exact"/>
              <w:jc w:val="center"/>
              <w:rPr>
                <w:rFonts w:ascii="Arial" w:hAnsi="Arial" w:cs="Arial"/>
                <w:color w:val="auto"/>
                <w:highlight w:val="none"/>
              </w:rPr>
            </w:pPr>
          </w:p>
        </w:tc>
        <w:tc>
          <w:tcPr>
            <w:tcW w:w="735" w:type="dxa"/>
            <w:shd w:val="clear" w:color="000000" w:fill="FFFFFF"/>
            <w:vAlign w:val="center"/>
          </w:tcPr>
          <w:p w14:paraId="48EA37AA">
            <w:pPr>
              <w:widowControl/>
              <w:spacing w:line="400" w:lineRule="exact"/>
              <w:jc w:val="center"/>
              <w:rPr>
                <w:rFonts w:ascii="Arial" w:hAnsi="Arial" w:cs="Arial"/>
                <w:color w:val="auto"/>
                <w:highlight w:val="none"/>
              </w:rPr>
            </w:pPr>
          </w:p>
        </w:tc>
        <w:tc>
          <w:tcPr>
            <w:tcW w:w="1620" w:type="dxa"/>
          </w:tcPr>
          <w:p w14:paraId="558BEEE9">
            <w:pPr>
              <w:spacing w:line="400" w:lineRule="exact"/>
              <w:jc w:val="left"/>
              <w:rPr>
                <w:rFonts w:ascii="Arial" w:hAnsi="Arial" w:cs="Arial"/>
                <w:color w:val="auto"/>
                <w:highlight w:val="none"/>
              </w:rPr>
            </w:pPr>
          </w:p>
        </w:tc>
        <w:tc>
          <w:tcPr>
            <w:tcW w:w="1530" w:type="dxa"/>
          </w:tcPr>
          <w:p w14:paraId="51EE743A">
            <w:pPr>
              <w:spacing w:line="400" w:lineRule="exact"/>
              <w:jc w:val="left"/>
              <w:rPr>
                <w:rFonts w:ascii="Arial" w:hAnsi="Arial" w:cs="Arial"/>
                <w:color w:val="auto"/>
                <w:highlight w:val="none"/>
              </w:rPr>
            </w:pPr>
          </w:p>
        </w:tc>
      </w:tr>
      <w:tr w14:paraId="5A5512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65CA5570">
            <w:pPr>
              <w:spacing w:line="400" w:lineRule="exact"/>
              <w:jc w:val="center"/>
              <w:rPr>
                <w:rFonts w:ascii="Arial" w:hAnsi="Arial" w:cs="Arial"/>
                <w:color w:val="auto"/>
                <w:highlight w:val="none"/>
              </w:rPr>
            </w:pPr>
          </w:p>
        </w:tc>
        <w:tc>
          <w:tcPr>
            <w:tcW w:w="1763" w:type="dxa"/>
            <w:shd w:val="clear" w:color="000000" w:fill="FFFFFF"/>
            <w:vAlign w:val="center"/>
          </w:tcPr>
          <w:p w14:paraId="2FE861D2">
            <w:pPr>
              <w:widowControl/>
              <w:spacing w:line="400" w:lineRule="exact"/>
              <w:jc w:val="center"/>
              <w:rPr>
                <w:rFonts w:ascii="Arial" w:hAnsi="Arial" w:cs="Arial"/>
                <w:color w:val="auto"/>
                <w:highlight w:val="none"/>
              </w:rPr>
            </w:pPr>
          </w:p>
        </w:tc>
        <w:tc>
          <w:tcPr>
            <w:tcW w:w="1333" w:type="dxa"/>
            <w:shd w:val="clear" w:color="000000" w:fill="FFFFFF"/>
            <w:vAlign w:val="center"/>
          </w:tcPr>
          <w:p w14:paraId="41C64BE9">
            <w:pPr>
              <w:widowControl/>
              <w:spacing w:line="400" w:lineRule="exact"/>
              <w:jc w:val="center"/>
              <w:rPr>
                <w:rFonts w:ascii="Arial" w:hAnsi="Arial" w:cs="Arial"/>
                <w:color w:val="auto"/>
                <w:highlight w:val="none"/>
              </w:rPr>
            </w:pPr>
          </w:p>
        </w:tc>
        <w:tc>
          <w:tcPr>
            <w:tcW w:w="1080" w:type="dxa"/>
            <w:shd w:val="clear" w:color="000000" w:fill="FFFFFF"/>
            <w:vAlign w:val="center"/>
          </w:tcPr>
          <w:p w14:paraId="6575F291">
            <w:pPr>
              <w:widowControl/>
              <w:spacing w:line="400" w:lineRule="exact"/>
              <w:jc w:val="center"/>
              <w:rPr>
                <w:rFonts w:ascii="Arial" w:hAnsi="Arial" w:cs="Arial"/>
                <w:color w:val="auto"/>
                <w:highlight w:val="none"/>
              </w:rPr>
            </w:pPr>
          </w:p>
        </w:tc>
        <w:tc>
          <w:tcPr>
            <w:tcW w:w="735" w:type="dxa"/>
            <w:shd w:val="clear" w:color="000000" w:fill="FFFFFF"/>
            <w:vAlign w:val="center"/>
          </w:tcPr>
          <w:p w14:paraId="75FD3441">
            <w:pPr>
              <w:widowControl/>
              <w:spacing w:line="400" w:lineRule="exact"/>
              <w:jc w:val="center"/>
              <w:rPr>
                <w:rFonts w:ascii="Arial" w:hAnsi="Arial" w:cs="Arial"/>
                <w:color w:val="auto"/>
                <w:highlight w:val="none"/>
              </w:rPr>
            </w:pPr>
          </w:p>
        </w:tc>
        <w:tc>
          <w:tcPr>
            <w:tcW w:w="1620" w:type="dxa"/>
          </w:tcPr>
          <w:p w14:paraId="1EB20F20">
            <w:pPr>
              <w:spacing w:line="400" w:lineRule="exact"/>
              <w:jc w:val="left"/>
              <w:rPr>
                <w:rFonts w:ascii="Arial" w:hAnsi="Arial" w:cs="Arial"/>
                <w:color w:val="auto"/>
                <w:highlight w:val="none"/>
              </w:rPr>
            </w:pPr>
          </w:p>
        </w:tc>
        <w:tc>
          <w:tcPr>
            <w:tcW w:w="1530" w:type="dxa"/>
          </w:tcPr>
          <w:p w14:paraId="54818B41">
            <w:pPr>
              <w:spacing w:line="400" w:lineRule="exact"/>
              <w:jc w:val="left"/>
              <w:rPr>
                <w:rFonts w:ascii="Arial" w:hAnsi="Arial" w:cs="Arial"/>
                <w:color w:val="auto"/>
                <w:highlight w:val="none"/>
              </w:rPr>
            </w:pPr>
          </w:p>
        </w:tc>
      </w:tr>
      <w:tr w14:paraId="1C0F82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02EBAEAE">
            <w:pPr>
              <w:spacing w:line="400" w:lineRule="exact"/>
              <w:jc w:val="center"/>
              <w:rPr>
                <w:rFonts w:ascii="Arial" w:hAnsi="Arial" w:cs="Arial"/>
                <w:color w:val="auto"/>
                <w:highlight w:val="none"/>
              </w:rPr>
            </w:pPr>
          </w:p>
        </w:tc>
        <w:tc>
          <w:tcPr>
            <w:tcW w:w="1763" w:type="dxa"/>
            <w:shd w:val="clear" w:color="000000" w:fill="FFFFFF"/>
            <w:vAlign w:val="center"/>
          </w:tcPr>
          <w:p w14:paraId="436C5089">
            <w:pPr>
              <w:widowControl/>
              <w:spacing w:line="400" w:lineRule="exact"/>
              <w:jc w:val="center"/>
              <w:rPr>
                <w:rFonts w:ascii="Arial" w:hAnsi="Arial" w:cs="Arial"/>
                <w:color w:val="auto"/>
                <w:highlight w:val="none"/>
              </w:rPr>
            </w:pPr>
          </w:p>
        </w:tc>
        <w:tc>
          <w:tcPr>
            <w:tcW w:w="1333" w:type="dxa"/>
            <w:shd w:val="clear" w:color="000000" w:fill="FFFFFF"/>
            <w:vAlign w:val="center"/>
          </w:tcPr>
          <w:p w14:paraId="2FC64D3D">
            <w:pPr>
              <w:widowControl/>
              <w:spacing w:line="400" w:lineRule="exact"/>
              <w:jc w:val="center"/>
              <w:rPr>
                <w:rFonts w:ascii="Arial" w:hAnsi="Arial" w:cs="Arial"/>
                <w:color w:val="auto"/>
                <w:highlight w:val="none"/>
              </w:rPr>
            </w:pPr>
          </w:p>
        </w:tc>
        <w:tc>
          <w:tcPr>
            <w:tcW w:w="1080" w:type="dxa"/>
            <w:shd w:val="clear" w:color="000000" w:fill="FFFFFF"/>
            <w:vAlign w:val="center"/>
          </w:tcPr>
          <w:p w14:paraId="755282E7">
            <w:pPr>
              <w:widowControl/>
              <w:spacing w:line="400" w:lineRule="exact"/>
              <w:jc w:val="center"/>
              <w:rPr>
                <w:rFonts w:ascii="Arial" w:hAnsi="Arial" w:cs="Arial"/>
                <w:color w:val="auto"/>
                <w:highlight w:val="none"/>
              </w:rPr>
            </w:pPr>
          </w:p>
        </w:tc>
        <w:tc>
          <w:tcPr>
            <w:tcW w:w="735" w:type="dxa"/>
            <w:shd w:val="clear" w:color="000000" w:fill="FFFFFF"/>
            <w:vAlign w:val="center"/>
          </w:tcPr>
          <w:p w14:paraId="7BD2F006">
            <w:pPr>
              <w:widowControl/>
              <w:spacing w:line="400" w:lineRule="exact"/>
              <w:jc w:val="center"/>
              <w:rPr>
                <w:rFonts w:ascii="Arial" w:hAnsi="Arial" w:cs="Arial"/>
                <w:color w:val="auto"/>
                <w:highlight w:val="none"/>
              </w:rPr>
            </w:pPr>
          </w:p>
        </w:tc>
        <w:tc>
          <w:tcPr>
            <w:tcW w:w="1620" w:type="dxa"/>
          </w:tcPr>
          <w:p w14:paraId="255BA310">
            <w:pPr>
              <w:spacing w:line="400" w:lineRule="exact"/>
              <w:jc w:val="left"/>
              <w:rPr>
                <w:rFonts w:ascii="Arial" w:hAnsi="Arial" w:cs="Arial"/>
                <w:color w:val="auto"/>
                <w:highlight w:val="none"/>
              </w:rPr>
            </w:pPr>
          </w:p>
        </w:tc>
        <w:tc>
          <w:tcPr>
            <w:tcW w:w="1530" w:type="dxa"/>
          </w:tcPr>
          <w:p w14:paraId="165542C6">
            <w:pPr>
              <w:spacing w:line="400" w:lineRule="exact"/>
              <w:jc w:val="left"/>
              <w:rPr>
                <w:rFonts w:ascii="Arial" w:hAnsi="Arial" w:cs="Arial"/>
                <w:color w:val="auto"/>
                <w:highlight w:val="none"/>
              </w:rPr>
            </w:pPr>
          </w:p>
        </w:tc>
      </w:tr>
      <w:tr w14:paraId="25DF84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6E9A8DA">
            <w:pPr>
              <w:spacing w:line="400" w:lineRule="exact"/>
              <w:jc w:val="center"/>
              <w:rPr>
                <w:rFonts w:ascii="Arial" w:hAnsi="Arial" w:cs="Arial"/>
                <w:color w:val="auto"/>
                <w:highlight w:val="none"/>
              </w:rPr>
            </w:pPr>
          </w:p>
        </w:tc>
        <w:tc>
          <w:tcPr>
            <w:tcW w:w="1763" w:type="dxa"/>
            <w:shd w:val="clear" w:color="000000" w:fill="FFFFFF"/>
            <w:vAlign w:val="center"/>
          </w:tcPr>
          <w:p w14:paraId="12CE9C65">
            <w:pPr>
              <w:widowControl/>
              <w:spacing w:line="400" w:lineRule="exact"/>
              <w:jc w:val="center"/>
              <w:rPr>
                <w:rFonts w:ascii="Arial" w:hAnsi="Arial" w:cs="Arial"/>
                <w:color w:val="auto"/>
                <w:highlight w:val="none"/>
              </w:rPr>
            </w:pPr>
          </w:p>
        </w:tc>
        <w:tc>
          <w:tcPr>
            <w:tcW w:w="1333" w:type="dxa"/>
            <w:shd w:val="clear" w:color="000000" w:fill="FFFFFF"/>
            <w:vAlign w:val="center"/>
          </w:tcPr>
          <w:p w14:paraId="19740DFA">
            <w:pPr>
              <w:widowControl/>
              <w:spacing w:line="400" w:lineRule="exact"/>
              <w:jc w:val="center"/>
              <w:rPr>
                <w:rFonts w:ascii="Arial" w:hAnsi="Arial" w:cs="Arial"/>
                <w:color w:val="auto"/>
                <w:highlight w:val="none"/>
              </w:rPr>
            </w:pPr>
          </w:p>
        </w:tc>
        <w:tc>
          <w:tcPr>
            <w:tcW w:w="1080" w:type="dxa"/>
            <w:shd w:val="clear" w:color="000000" w:fill="FFFFFF"/>
            <w:vAlign w:val="center"/>
          </w:tcPr>
          <w:p w14:paraId="2CEEADAD">
            <w:pPr>
              <w:widowControl/>
              <w:spacing w:line="400" w:lineRule="exact"/>
              <w:jc w:val="center"/>
              <w:rPr>
                <w:rFonts w:ascii="Arial" w:hAnsi="Arial" w:cs="Arial"/>
                <w:color w:val="auto"/>
                <w:highlight w:val="none"/>
              </w:rPr>
            </w:pPr>
          </w:p>
        </w:tc>
        <w:tc>
          <w:tcPr>
            <w:tcW w:w="735" w:type="dxa"/>
            <w:shd w:val="clear" w:color="000000" w:fill="FFFFFF"/>
            <w:vAlign w:val="center"/>
          </w:tcPr>
          <w:p w14:paraId="7D8BBABF">
            <w:pPr>
              <w:widowControl/>
              <w:spacing w:line="400" w:lineRule="exact"/>
              <w:jc w:val="center"/>
              <w:rPr>
                <w:rFonts w:ascii="Arial" w:hAnsi="Arial" w:cs="Arial"/>
                <w:color w:val="auto"/>
                <w:highlight w:val="none"/>
              </w:rPr>
            </w:pPr>
          </w:p>
        </w:tc>
        <w:tc>
          <w:tcPr>
            <w:tcW w:w="1620" w:type="dxa"/>
          </w:tcPr>
          <w:p w14:paraId="745C91EE">
            <w:pPr>
              <w:spacing w:line="400" w:lineRule="exact"/>
              <w:jc w:val="left"/>
              <w:rPr>
                <w:rFonts w:ascii="Arial" w:hAnsi="Arial" w:cs="Arial"/>
                <w:color w:val="auto"/>
                <w:highlight w:val="none"/>
              </w:rPr>
            </w:pPr>
          </w:p>
        </w:tc>
        <w:tc>
          <w:tcPr>
            <w:tcW w:w="1530" w:type="dxa"/>
          </w:tcPr>
          <w:p w14:paraId="7BF10D02">
            <w:pPr>
              <w:spacing w:line="400" w:lineRule="exact"/>
              <w:jc w:val="left"/>
              <w:rPr>
                <w:rFonts w:ascii="Arial" w:hAnsi="Arial" w:cs="Arial"/>
                <w:color w:val="auto"/>
                <w:highlight w:val="none"/>
              </w:rPr>
            </w:pPr>
          </w:p>
        </w:tc>
      </w:tr>
      <w:tr w14:paraId="7BCCC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3514057F">
            <w:pPr>
              <w:spacing w:line="400" w:lineRule="exact"/>
              <w:jc w:val="center"/>
              <w:rPr>
                <w:rFonts w:ascii="Arial" w:hAnsi="Arial" w:cs="Arial"/>
                <w:color w:val="auto"/>
                <w:highlight w:val="none"/>
              </w:rPr>
            </w:pPr>
          </w:p>
        </w:tc>
        <w:tc>
          <w:tcPr>
            <w:tcW w:w="1763" w:type="dxa"/>
            <w:shd w:val="clear" w:color="000000" w:fill="FFFFFF"/>
            <w:vAlign w:val="center"/>
          </w:tcPr>
          <w:p w14:paraId="77BF83D7">
            <w:pPr>
              <w:widowControl/>
              <w:spacing w:line="400" w:lineRule="exact"/>
              <w:jc w:val="center"/>
              <w:rPr>
                <w:rFonts w:ascii="Arial" w:hAnsi="Arial" w:cs="Arial"/>
                <w:color w:val="auto"/>
                <w:highlight w:val="none"/>
              </w:rPr>
            </w:pPr>
          </w:p>
        </w:tc>
        <w:tc>
          <w:tcPr>
            <w:tcW w:w="1333" w:type="dxa"/>
            <w:shd w:val="clear" w:color="000000" w:fill="FFFFFF"/>
            <w:vAlign w:val="center"/>
          </w:tcPr>
          <w:p w14:paraId="27C76DBF">
            <w:pPr>
              <w:widowControl/>
              <w:spacing w:line="400" w:lineRule="exact"/>
              <w:jc w:val="center"/>
              <w:rPr>
                <w:rFonts w:ascii="Arial" w:hAnsi="Arial" w:cs="Arial"/>
                <w:color w:val="auto"/>
                <w:highlight w:val="none"/>
              </w:rPr>
            </w:pPr>
          </w:p>
        </w:tc>
        <w:tc>
          <w:tcPr>
            <w:tcW w:w="1080" w:type="dxa"/>
            <w:shd w:val="clear" w:color="000000" w:fill="FFFFFF"/>
            <w:vAlign w:val="center"/>
          </w:tcPr>
          <w:p w14:paraId="5DFDFD54">
            <w:pPr>
              <w:widowControl/>
              <w:spacing w:line="400" w:lineRule="exact"/>
              <w:jc w:val="center"/>
              <w:rPr>
                <w:rFonts w:ascii="Arial" w:hAnsi="Arial" w:cs="Arial"/>
                <w:color w:val="auto"/>
                <w:highlight w:val="none"/>
              </w:rPr>
            </w:pPr>
          </w:p>
        </w:tc>
        <w:tc>
          <w:tcPr>
            <w:tcW w:w="735" w:type="dxa"/>
            <w:shd w:val="clear" w:color="000000" w:fill="FFFFFF"/>
            <w:vAlign w:val="center"/>
          </w:tcPr>
          <w:p w14:paraId="2666AE3B">
            <w:pPr>
              <w:widowControl/>
              <w:spacing w:line="400" w:lineRule="exact"/>
              <w:jc w:val="center"/>
              <w:rPr>
                <w:rFonts w:ascii="Arial" w:hAnsi="Arial" w:cs="Arial"/>
                <w:color w:val="auto"/>
                <w:highlight w:val="none"/>
              </w:rPr>
            </w:pPr>
          </w:p>
        </w:tc>
        <w:tc>
          <w:tcPr>
            <w:tcW w:w="1620" w:type="dxa"/>
          </w:tcPr>
          <w:p w14:paraId="4A6B1791">
            <w:pPr>
              <w:spacing w:line="400" w:lineRule="exact"/>
              <w:jc w:val="left"/>
              <w:rPr>
                <w:rFonts w:ascii="Arial" w:hAnsi="Arial" w:cs="Arial"/>
                <w:color w:val="auto"/>
                <w:highlight w:val="none"/>
              </w:rPr>
            </w:pPr>
          </w:p>
        </w:tc>
        <w:tc>
          <w:tcPr>
            <w:tcW w:w="1530" w:type="dxa"/>
          </w:tcPr>
          <w:p w14:paraId="7451B43B">
            <w:pPr>
              <w:spacing w:line="400" w:lineRule="exact"/>
              <w:jc w:val="left"/>
              <w:rPr>
                <w:rFonts w:ascii="Arial" w:hAnsi="Arial" w:cs="Arial"/>
                <w:color w:val="auto"/>
                <w:highlight w:val="none"/>
              </w:rPr>
            </w:pPr>
          </w:p>
        </w:tc>
      </w:tr>
      <w:tr w14:paraId="3E820F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CFE7A90">
            <w:pPr>
              <w:spacing w:line="400" w:lineRule="exact"/>
              <w:jc w:val="center"/>
              <w:rPr>
                <w:rFonts w:ascii="Arial" w:hAnsi="Arial" w:cs="Arial"/>
                <w:color w:val="auto"/>
                <w:highlight w:val="none"/>
              </w:rPr>
            </w:pPr>
          </w:p>
        </w:tc>
        <w:tc>
          <w:tcPr>
            <w:tcW w:w="1763" w:type="dxa"/>
            <w:shd w:val="clear" w:color="000000" w:fill="FFFFFF"/>
            <w:vAlign w:val="center"/>
          </w:tcPr>
          <w:p w14:paraId="24425D47">
            <w:pPr>
              <w:widowControl/>
              <w:spacing w:line="400" w:lineRule="exact"/>
              <w:jc w:val="center"/>
              <w:rPr>
                <w:rFonts w:ascii="Arial" w:hAnsi="Arial" w:cs="Arial"/>
                <w:color w:val="auto"/>
                <w:highlight w:val="none"/>
              </w:rPr>
            </w:pPr>
          </w:p>
        </w:tc>
        <w:tc>
          <w:tcPr>
            <w:tcW w:w="1333" w:type="dxa"/>
            <w:shd w:val="clear" w:color="000000" w:fill="FFFFFF"/>
            <w:vAlign w:val="center"/>
          </w:tcPr>
          <w:p w14:paraId="218C89C7">
            <w:pPr>
              <w:widowControl/>
              <w:spacing w:line="400" w:lineRule="exact"/>
              <w:jc w:val="center"/>
              <w:rPr>
                <w:rFonts w:ascii="Arial" w:hAnsi="Arial" w:cs="Arial"/>
                <w:color w:val="auto"/>
                <w:highlight w:val="none"/>
              </w:rPr>
            </w:pPr>
          </w:p>
        </w:tc>
        <w:tc>
          <w:tcPr>
            <w:tcW w:w="1080" w:type="dxa"/>
            <w:shd w:val="clear" w:color="000000" w:fill="FFFFFF"/>
            <w:vAlign w:val="center"/>
          </w:tcPr>
          <w:p w14:paraId="26FE3D35">
            <w:pPr>
              <w:widowControl/>
              <w:spacing w:line="400" w:lineRule="exact"/>
              <w:jc w:val="center"/>
              <w:rPr>
                <w:rFonts w:ascii="Arial" w:hAnsi="Arial" w:cs="Arial"/>
                <w:color w:val="auto"/>
                <w:highlight w:val="none"/>
              </w:rPr>
            </w:pPr>
          </w:p>
        </w:tc>
        <w:tc>
          <w:tcPr>
            <w:tcW w:w="735" w:type="dxa"/>
            <w:shd w:val="clear" w:color="000000" w:fill="FFFFFF"/>
            <w:vAlign w:val="center"/>
          </w:tcPr>
          <w:p w14:paraId="67F4D338">
            <w:pPr>
              <w:widowControl/>
              <w:spacing w:line="400" w:lineRule="exact"/>
              <w:jc w:val="center"/>
              <w:rPr>
                <w:rFonts w:ascii="Arial" w:hAnsi="Arial" w:cs="Arial"/>
                <w:color w:val="auto"/>
                <w:highlight w:val="none"/>
              </w:rPr>
            </w:pPr>
          </w:p>
        </w:tc>
        <w:tc>
          <w:tcPr>
            <w:tcW w:w="1620" w:type="dxa"/>
          </w:tcPr>
          <w:p w14:paraId="07B8DC48">
            <w:pPr>
              <w:spacing w:line="400" w:lineRule="exact"/>
              <w:jc w:val="left"/>
              <w:rPr>
                <w:rFonts w:ascii="Arial" w:hAnsi="Arial" w:cs="Arial"/>
                <w:color w:val="auto"/>
                <w:highlight w:val="none"/>
              </w:rPr>
            </w:pPr>
          </w:p>
        </w:tc>
        <w:tc>
          <w:tcPr>
            <w:tcW w:w="1530" w:type="dxa"/>
          </w:tcPr>
          <w:p w14:paraId="25695184">
            <w:pPr>
              <w:spacing w:line="400" w:lineRule="exact"/>
              <w:jc w:val="left"/>
              <w:rPr>
                <w:rFonts w:ascii="Arial" w:hAnsi="Arial" w:cs="Arial"/>
                <w:color w:val="auto"/>
                <w:highlight w:val="none"/>
              </w:rPr>
            </w:pPr>
          </w:p>
        </w:tc>
      </w:tr>
      <w:tr w14:paraId="4BA626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54D188FE">
            <w:pPr>
              <w:spacing w:line="400" w:lineRule="exact"/>
              <w:jc w:val="center"/>
              <w:rPr>
                <w:rFonts w:ascii="Arial" w:hAnsi="Arial" w:cs="Arial"/>
                <w:color w:val="auto"/>
                <w:highlight w:val="none"/>
              </w:rPr>
            </w:pPr>
          </w:p>
        </w:tc>
        <w:tc>
          <w:tcPr>
            <w:tcW w:w="1763" w:type="dxa"/>
            <w:shd w:val="clear" w:color="000000" w:fill="FFFFFF"/>
            <w:vAlign w:val="center"/>
          </w:tcPr>
          <w:p w14:paraId="14B9794B">
            <w:pPr>
              <w:widowControl/>
              <w:spacing w:line="400" w:lineRule="exact"/>
              <w:jc w:val="center"/>
              <w:rPr>
                <w:rFonts w:ascii="Arial" w:hAnsi="Arial" w:cs="Arial"/>
                <w:color w:val="auto"/>
                <w:highlight w:val="none"/>
              </w:rPr>
            </w:pPr>
          </w:p>
        </w:tc>
        <w:tc>
          <w:tcPr>
            <w:tcW w:w="1333" w:type="dxa"/>
            <w:shd w:val="clear" w:color="000000" w:fill="FFFFFF"/>
            <w:vAlign w:val="center"/>
          </w:tcPr>
          <w:p w14:paraId="2842719D">
            <w:pPr>
              <w:widowControl/>
              <w:spacing w:line="400" w:lineRule="exact"/>
              <w:jc w:val="center"/>
              <w:rPr>
                <w:rFonts w:ascii="Arial" w:hAnsi="Arial" w:cs="Arial"/>
                <w:color w:val="auto"/>
                <w:highlight w:val="none"/>
              </w:rPr>
            </w:pPr>
          </w:p>
        </w:tc>
        <w:tc>
          <w:tcPr>
            <w:tcW w:w="1080" w:type="dxa"/>
            <w:shd w:val="clear" w:color="000000" w:fill="FFFFFF"/>
            <w:vAlign w:val="center"/>
          </w:tcPr>
          <w:p w14:paraId="334F8A80">
            <w:pPr>
              <w:widowControl/>
              <w:spacing w:line="400" w:lineRule="exact"/>
              <w:jc w:val="center"/>
              <w:rPr>
                <w:rFonts w:ascii="Arial" w:hAnsi="Arial" w:cs="Arial"/>
                <w:color w:val="auto"/>
                <w:highlight w:val="none"/>
              </w:rPr>
            </w:pPr>
          </w:p>
        </w:tc>
        <w:tc>
          <w:tcPr>
            <w:tcW w:w="735" w:type="dxa"/>
            <w:shd w:val="clear" w:color="000000" w:fill="FFFFFF"/>
            <w:vAlign w:val="center"/>
          </w:tcPr>
          <w:p w14:paraId="6C79445C">
            <w:pPr>
              <w:widowControl/>
              <w:spacing w:line="400" w:lineRule="exact"/>
              <w:jc w:val="center"/>
              <w:rPr>
                <w:rFonts w:ascii="Arial" w:hAnsi="Arial" w:cs="Arial"/>
                <w:color w:val="auto"/>
                <w:highlight w:val="none"/>
              </w:rPr>
            </w:pPr>
          </w:p>
        </w:tc>
        <w:tc>
          <w:tcPr>
            <w:tcW w:w="1620" w:type="dxa"/>
          </w:tcPr>
          <w:p w14:paraId="01ABB3D8">
            <w:pPr>
              <w:spacing w:line="400" w:lineRule="exact"/>
              <w:jc w:val="left"/>
              <w:rPr>
                <w:rFonts w:ascii="Arial" w:hAnsi="Arial" w:cs="Arial"/>
                <w:color w:val="auto"/>
                <w:highlight w:val="none"/>
              </w:rPr>
            </w:pPr>
          </w:p>
        </w:tc>
        <w:tc>
          <w:tcPr>
            <w:tcW w:w="1530" w:type="dxa"/>
          </w:tcPr>
          <w:p w14:paraId="044B18FF">
            <w:pPr>
              <w:spacing w:line="400" w:lineRule="exact"/>
              <w:jc w:val="left"/>
              <w:rPr>
                <w:rFonts w:ascii="Arial" w:hAnsi="Arial" w:cs="Arial"/>
                <w:color w:val="auto"/>
                <w:highlight w:val="none"/>
              </w:rPr>
            </w:pPr>
          </w:p>
        </w:tc>
      </w:tr>
      <w:tr w14:paraId="2A8495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shd w:val="clear" w:color="auto" w:fill="auto"/>
            <w:vAlign w:val="center"/>
          </w:tcPr>
          <w:p w14:paraId="27B589D5">
            <w:pPr>
              <w:spacing w:line="400" w:lineRule="exact"/>
              <w:jc w:val="center"/>
              <w:rPr>
                <w:rFonts w:ascii="Arial" w:hAnsi="Arial" w:cs="Arial"/>
                <w:color w:val="auto"/>
                <w:highlight w:val="none"/>
              </w:rPr>
            </w:pPr>
          </w:p>
        </w:tc>
        <w:tc>
          <w:tcPr>
            <w:tcW w:w="1763" w:type="dxa"/>
            <w:shd w:val="clear" w:color="000000" w:fill="FFFFFF"/>
            <w:vAlign w:val="center"/>
          </w:tcPr>
          <w:p w14:paraId="37B5A2E8">
            <w:pPr>
              <w:widowControl/>
              <w:spacing w:line="400" w:lineRule="exact"/>
              <w:jc w:val="center"/>
              <w:rPr>
                <w:rFonts w:ascii="Arial" w:hAnsi="Arial" w:cs="Arial"/>
                <w:color w:val="auto"/>
                <w:highlight w:val="none"/>
              </w:rPr>
            </w:pPr>
          </w:p>
        </w:tc>
        <w:tc>
          <w:tcPr>
            <w:tcW w:w="1333" w:type="dxa"/>
            <w:shd w:val="clear" w:color="000000" w:fill="FFFFFF"/>
            <w:vAlign w:val="center"/>
          </w:tcPr>
          <w:p w14:paraId="068F7714">
            <w:pPr>
              <w:widowControl/>
              <w:spacing w:line="400" w:lineRule="exact"/>
              <w:jc w:val="center"/>
              <w:rPr>
                <w:rFonts w:ascii="Arial" w:hAnsi="Arial" w:cs="Arial"/>
                <w:color w:val="auto"/>
                <w:highlight w:val="none"/>
              </w:rPr>
            </w:pPr>
          </w:p>
        </w:tc>
        <w:tc>
          <w:tcPr>
            <w:tcW w:w="1080" w:type="dxa"/>
            <w:shd w:val="clear" w:color="000000" w:fill="FFFFFF"/>
            <w:vAlign w:val="center"/>
          </w:tcPr>
          <w:p w14:paraId="6E3C7628">
            <w:pPr>
              <w:widowControl/>
              <w:spacing w:line="400" w:lineRule="exact"/>
              <w:jc w:val="center"/>
              <w:rPr>
                <w:rFonts w:ascii="Arial" w:hAnsi="Arial" w:cs="Arial"/>
                <w:color w:val="auto"/>
                <w:highlight w:val="none"/>
              </w:rPr>
            </w:pPr>
          </w:p>
        </w:tc>
        <w:tc>
          <w:tcPr>
            <w:tcW w:w="735" w:type="dxa"/>
            <w:shd w:val="clear" w:color="000000" w:fill="FFFFFF"/>
            <w:vAlign w:val="center"/>
          </w:tcPr>
          <w:p w14:paraId="215276CD">
            <w:pPr>
              <w:widowControl/>
              <w:spacing w:line="400" w:lineRule="exact"/>
              <w:jc w:val="center"/>
              <w:rPr>
                <w:rFonts w:ascii="Arial" w:hAnsi="Arial" w:cs="Arial"/>
                <w:color w:val="auto"/>
                <w:highlight w:val="none"/>
              </w:rPr>
            </w:pPr>
          </w:p>
        </w:tc>
        <w:tc>
          <w:tcPr>
            <w:tcW w:w="1620" w:type="dxa"/>
          </w:tcPr>
          <w:p w14:paraId="665A8B7E">
            <w:pPr>
              <w:spacing w:line="400" w:lineRule="exact"/>
              <w:jc w:val="left"/>
              <w:rPr>
                <w:rFonts w:ascii="Arial" w:hAnsi="Arial" w:cs="Arial"/>
                <w:color w:val="auto"/>
                <w:highlight w:val="none"/>
              </w:rPr>
            </w:pPr>
          </w:p>
        </w:tc>
        <w:tc>
          <w:tcPr>
            <w:tcW w:w="1530" w:type="dxa"/>
          </w:tcPr>
          <w:p w14:paraId="02308B71">
            <w:pPr>
              <w:spacing w:line="400" w:lineRule="exact"/>
              <w:jc w:val="left"/>
              <w:rPr>
                <w:rFonts w:ascii="Arial" w:hAnsi="Arial" w:cs="Arial"/>
                <w:color w:val="auto"/>
                <w:highlight w:val="none"/>
              </w:rPr>
            </w:pPr>
          </w:p>
        </w:tc>
      </w:tr>
      <w:tr w14:paraId="4E35C6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528" w:type="dxa"/>
            <w:gridSpan w:val="2"/>
            <w:shd w:val="clear" w:color="auto" w:fill="auto"/>
            <w:vAlign w:val="center"/>
          </w:tcPr>
          <w:p w14:paraId="4C6DBCAE">
            <w:pPr>
              <w:spacing w:line="400" w:lineRule="exact"/>
              <w:jc w:val="center"/>
              <w:rPr>
                <w:rFonts w:ascii="Arial" w:hAnsi="Arial" w:cs="Arial"/>
                <w:color w:val="auto"/>
                <w:highlight w:val="none"/>
              </w:rPr>
            </w:pPr>
            <w:r>
              <w:rPr>
                <w:rFonts w:ascii="Arial" w:hAnsi="Arial" w:cs="Arial"/>
                <w:b/>
                <w:bCs/>
                <w:color w:val="auto"/>
                <w:highlight w:val="none"/>
              </w:rPr>
              <w:t>投标报价</w:t>
            </w:r>
          </w:p>
        </w:tc>
        <w:tc>
          <w:tcPr>
            <w:tcW w:w="1333" w:type="dxa"/>
            <w:shd w:val="clear" w:color="000000" w:fill="FFFFFF"/>
            <w:vAlign w:val="center"/>
          </w:tcPr>
          <w:p w14:paraId="74ACE819">
            <w:pPr>
              <w:spacing w:line="400" w:lineRule="exact"/>
              <w:jc w:val="left"/>
              <w:rPr>
                <w:rFonts w:ascii="Arial" w:hAnsi="Arial" w:cs="Arial"/>
                <w:color w:val="auto"/>
                <w:highlight w:val="none"/>
              </w:rPr>
            </w:pPr>
          </w:p>
        </w:tc>
        <w:tc>
          <w:tcPr>
            <w:tcW w:w="4965" w:type="dxa"/>
            <w:gridSpan w:val="4"/>
            <w:shd w:val="clear" w:color="000000" w:fill="FFFFFF"/>
            <w:vAlign w:val="center"/>
          </w:tcPr>
          <w:p w14:paraId="643EB094">
            <w:pPr>
              <w:spacing w:line="400" w:lineRule="exact"/>
              <w:jc w:val="left"/>
              <w:rPr>
                <w:rFonts w:ascii="Arial" w:hAnsi="Arial" w:cs="Arial"/>
                <w:color w:val="auto"/>
                <w:highlight w:val="none"/>
              </w:rPr>
            </w:pPr>
          </w:p>
        </w:tc>
      </w:tr>
    </w:tbl>
    <w:p w14:paraId="15CFBBC2">
      <w:pPr>
        <w:widowControl/>
        <w:spacing w:line="360" w:lineRule="auto"/>
        <w:jc w:val="left"/>
        <w:rPr>
          <w:rFonts w:ascii="Arial" w:hAnsi="Arial" w:cs="Arial"/>
          <w:color w:val="auto"/>
          <w:highlight w:val="none"/>
          <w:u w:val="single"/>
        </w:rPr>
      </w:pPr>
    </w:p>
    <w:p w14:paraId="4A34872F">
      <w:pPr>
        <w:widowControl/>
        <w:spacing w:line="360" w:lineRule="auto"/>
        <w:jc w:val="left"/>
        <w:rPr>
          <w:rFonts w:ascii="Arial" w:hAnsi="Arial" w:cs="Arial"/>
          <w:color w:val="auto"/>
          <w:highlight w:val="none"/>
          <w:u w:val="single"/>
        </w:rPr>
      </w:pPr>
    </w:p>
    <w:p w14:paraId="0D5BEDDC">
      <w:pPr>
        <w:widowControl/>
        <w:spacing w:line="360" w:lineRule="auto"/>
        <w:jc w:val="left"/>
        <w:rPr>
          <w:rFonts w:ascii="Arial" w:hAnsi="Arial" w:cs="Arial"/>
          <w:color w:val="auto"/>
          <w:highlight w:val="none"/>
          <w:u w:val="single"/>
        </w:rPr>
      </w:pPr>
    </w:p>
    <w:p w14:paraId="3D611A92">
      <w:pPr>
        <w:widowControl/>
        <w:spacing w:line="360" w:lineRule="auto"/>
        <w:jc w:val="left"/>
        <w:rPr>
          <w:rFonts w:ascii="Arial" w:hAnsi="Arial" w:cs="Arial"/>
          <w:color w:val="auto"/>
          <w:highlight w:val="none"/>
        </w:rPr>
      </w:pPr>
      <w:r>
        <w:rPr>
          <w:rFonts w:ascii="Arial" w:hAnsi="Arial" w:cs="Arial"/>
          <w:color w:val="auto"/>
          <w:highlight w:val="none"/>
        </w:rPr>
        <w:t>供应商（盖章）：</w:t>
      </w:r>
    </w:p>
    <w:p w14:paraId="5B299048">
      <w:pPr>
        <w:widowControl/>
        <w:spacing w:line="360" w:lineRule="auto"/>
        <w:jc w:val="left"/>
        <w:rPr>
          <w:rFonts w:ascii="Arial" w:hAnsi="Arial" w:cs="Arial"/>
          <w:color w:val="auto"/>
          <w:highlight w:val="none"/>
        </w:rPr>
      </w:pPr>
      <w:r>
        <w:rPr>
          <w:rFonts w:ascii="Arial" w:hAnsi="Arial" w:cs="Arial"/>
          <w:color w:val="auto"/>
          <w:highlight w:val="none"/>
        </w:rPr>
        <w:t xml:space="preserve">法定代表人或授权代表(签字或盖章)：                   </w:t>
      </w:r>
    </w:p>
    <w:p w14:paraId="1899519E">
      <w:pPr>
        <w:widowControl/>
        <w:spacing w:line="360" w:lineRule="auto"/>
        <w:jc w:val="left"/>
        <w:rPr>
          <w:rFonts w:ascii="Arial" w:hAnsi="Arial" w:cs="Arial"/>
          <w:color w:val="auto"/>
          <w:highlight w:val="none"/>
        </w:rPr>
      </w:pPr>
      <w:r>
        <w:rPr>
          <w:rFonts w:ascii="Arial" w:hAnsi="Arial" w:cs="Arial"/>
          <w:color w:val="auto"/>
          <w:highlight w:val="none"/>
        </w:rPr>
        <w:t>日  期：</w:t>
      </w:r>
    </w:p>
    <w:p w14:paraId="30FBDC36">
      <w:pPr>
        <w:pStyle w:val="24"/>
        <w:rPr>
          <w:color w:val="auto"/>
          <w:highlight w:val="none"/>
        </w:rPr>
      </w:pPr>
    </w:p>
    <w:p w14:paraId="1645A2A5">
      <w:pPr>
        <w:spacing w:line="360" w:lineRule="auto"/>
        <w:ind w:firstLine="422" w:firstLineChars="200"/>
        <w:rPr>
          <w:rFonts w:ascii="宋体" w:hAnsi="宋体" w:cs="宋体"/>
          <w:b/>
          <w:color w:val="auto"/>
          <w:kern w:val="0"/>
          <w:szCs w:val="21"/>
          <w:highlight w:val="none"/>
        </w:rPr>
      </w:pPr>
    </w:p>
    <w:p w14:paraId="0E7D6F27">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A833D9E">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76" w:right="1418" w:bottom="1247" w:left="1418" w:header="851" w:footer="992" w:gutter="0"/>
          <w:cols w:space="0" w:num="1"/>
          <w:titlePg/>
          <w:docGrid w:linePitch="312" w:charSpace="0"/>
        </w:sectPr>
      </w:pPr>
    </w:p>
    <w:p w14:paraId="32CE8B74">
      <w:pPr>
        <w:pStyle w:val="693"/>
        <w:keepNext w:val="0"/>
        <w:pageBreakBefore w:val="0"/>
        <w:tabs>
          <w:tab w:val="clear" w:pos="720"/>
        </w:tabs>
        <w:snapToGrid w:val="0"/>
        <w:spacing w:before="120" w:after="120"/>
        <w:outlineLvl w:val="9"/>
        <w:rPr>
          <w:rFonts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三、</w:t>
      </w:r>
      <w:r>
        <w:rPr>
          <w:rFonts w:hint="eastAsia" w:ascii="宋体" w:hAnsi="宋体" w:eastAsia="宋体" w:cs="宋体"/>
          <w:color w:val="auto"/>
          <w:sz w:val="21"/>
          <w:szCs w:val="21"/>
          <w:highlight w:val="none"/>
        </w:rPr>
        <w:t>中小企业声明函（如果有）</w:t>
      </w:r>
    </w:p>
    <w:p w14:paraId="27E6F919">
      <w:pPr>
        <w:widowControl/>
        <w:spacing w:line="360" w:lineRule="auto"/>
        <w:ind w:firstLine="105" w:firstLineChars="50"/>
        <w:jc w:val="left"/>
        <w:rPr>
          <w:rFonts w:ascii="宋体" w:hAnsi="宋体" w:cs="宋体"/>
          <w:b/>
          <w:color w:val="auto"/>
          <w:szCs w:val="21"/>
          <w:highlight w:val="none"/>
        </w:rPr>
      </w:pPr>
      <w:r>
        <w:rPr>
          <w:rFonts w:hint="eastAsia" w:ascii="宋体" w:hAnsi="宋体" w:cs="宋体"/>
          <w:b/>
          <w:color w:val="auto"/>
          <w:szCs w:val="21"/>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Cs w:val="21"/>
          <w:highlight w:val="none"/>
        </w:rPr>
        <w:t>7</w:t>
      </w:r>
      <w:r>
        <w:rPr>
          <w:rFonts w:hint="eastAsia" w:ascii="宋体" w:hAnsi="宋体" w:cs="宋体"/>
          <w:b/>
          <w:color w:val="auto"/>
          <w:szCs w:val="21"/>
          <w:highlight w:val="none"/>
        </w:rPr>
        <w:t>）。]</w:t>
      </w:r>
    </w:p>
    <w:p w14:paraId="0F7771BD">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706F88F">
      <w:pPr>
        <w:spacing w:line="360" w:lineRule="auto"/>
        <w:ind w:right="420" w:firstLine="3614" w:firstLineChars="1000"/>
        <w:rPr>
          <w:rFonts w:ascii="宋体" w:hAnsi="宋体" w:cs="宋体"/>
          <w:b/>
          <w:color w:val="auto"/>
          <w:kern w:val="0"/>
          <w:sz w:val="36"/>
          <w:szCs w:val="36"/>
          <w:highlight w:val="none"/>
        </w:rPr>
      </w:pPr>
    </w:p>
    <w:p w14:paraId="0D363E20">
      <w:pPr>
        <w:spacing w:line="360" w:lineRule="auto"/>
        <w:ind w:right="420" w:firstLine="3614" w:firstLineChars="1000"/>
        <w:rPr>
          <w:rFonts w:ascii="宋体" w:hAnsi="宋体" w:cs="宋体"/>
          <w:b/>
          <w:color w:val="auto"/>
          <w:kern w:val="0"/>
          <w:sz w:val="36"/>
          <w:szCs w:val="36"/>
          <w:highlight w:val="none"/>
        </w:rPr>
      </w:pPr>
    </w:p>
    <w:p w14:paraId="0089D1FC">
      <w:pPr>
        <w:spacing w:line="360" w:lineRule="auto"/>
        <w:ind w:right="420" w:firstLine="3614" w:firstLineChars="1000"/>
        <w:rPr>
          <w:rFonts w:ascii="宋体" w:hAnsi="宋体" w:cs="宋体"/>
          <w:b/>
          <w:color w:val="auto"/>
          <w:kern w:val="0"/>
          <w:sz w:val="36"/>
          <w:szCs w:val="36"/>
          <w:highlight w:val="none"/>
        </w:rPr>
      </w:pPr>
    </w:p>
    <w:p w14:paraId="58472AC9">
      <w:pPr>
        <w:spacing w:line="360" w:lineRule="auto"/>
        <w:ind w:right="420" w:firstLine="3614" w:firstLineChars="1000"/>
        <w:rPr>
          <w:rFonts w:ascii="宋体" w:hAnsi="宋体" w:cs="宋体"/>
          <w:b/>
          <w:color w:val="auto"/>
          <w:kern w:val="0"/>
          <w:sz w:val="36"/>
          <w:szCs w:val="36"/>
          <w:highlight w:val="none"/>
        </w:rPr>
      </w:pPr>
    </w:p>
    <w:p w14:paraId="7356569D">
      <w:pPr>
        <w:spacing w:line="360" w:lineRule="auto"/>
        <w:ind w:right="420" w:firstLine="3614" w:firstLineChars="1000"/>
        <w:rPr>
          <w:rFonts w:ascii="宋体" w:hAnsi="宋体" w:cs="宋体"/>
          <w:b/>
          <w:color w:val="auto"/>
          <w:kern w:val="0"/>
          <w:sz w:val="36"/>
          <w:szCs w:val="36"/>
          <w:highlight w:val="none"/>
        </w:rPr>
      </w:pPr>
    </w:p>
    <w:p w14:paraId="576BDC66">
      <w:pPr>
        <w:spacing w:line="360" w:lineRule="auto"/>
        <w:ind w:right="420" w:firstLine="3614" w:firstLineChars="1000"/>
        <w:rPr>
          <w:rFonts w:ascii="宋体" w:hAnsi="宋体" w:cs="宋体"/>
          <w:b/>
          <w:color w:val="auto"/>
          <w:kern w:val="0"/>
          <w:sz w:val="36"/>
          <w:szCs w:val="36"/>
          <w:highlight w:val="none"/>
        </w:rPr>
      </w:pPr>
    </w:p>
    <w:p w14:paraId="4B8AC23B">
      <w:pPr>
        <w:spacing w:line="360" w:lineRule="auto"/>
        <w:ind w:right="420" w:firstLine="3614" w:firstLineChars="1000"/>
        <w:rPr>
          <w:rFonts w:ascii="宋体" w:hAnsi="宋体" w:cs="宋体"/>
          <w:b/>
          <w:color w:val="auto"/>
          <w:kern w:val="0"/>
          <w:sz w:val="36"/>
          <w:szCs w:val="36"/>
          <w:highlight w:val="none"/>
        </w:rPr>
      </w:pPr>
    </w:p>
    <w:p w14:paraId="00ACC4BC">
      <w:pPr>
        <w:spacing w:line="360" w:lineRule="auto"/>
        <w:ind w:right="420" w:firstLine="3614" w:firstLineChars="1000"/>
        <w:rPr>
          <w:rFonts w:ascii="宋体" w:hAnsi="宋体" w:cs="宋体"/>
          <w:b/>
          <w:color w:val="auto"/>
          <w:kern w:val="0"/>
          <w:sz w:val="36"/>
          <w:szCs w:val="36"/>
          <w:highlight w:val="none"/>
        </w:rPr>
      </w:pPr>
    </w:p>
    <w:p w14:paraId="2914BC33">
      <w:pPr>
        <w:spacing w:line="360" w:lineRule="auto"/>
        <w:ind w:right="420" w:firstLine="3614" w:firstLineChars="1000"/>
        <w:rPr>
          <w:rFonts w:ascii="宋体" w:hAnsi="宋体" w:cs="宋体"/>
          <w:b/>
          <w:color w:val="auto"/>
          <w:kern w:val="0"/>
          <w:sz w:val="36"/>
          <w:szCs w:val="36"/>
          <w:highlight w:val="none"/>
        </w:rPr>
      </w:pPr>
    </w:p>
    <w:p w14:paraId="3C387CF6">
      <w:pPr>
        <w:spacing w:line="360" w:lineRule="auto"/>
        <w:ind w:right="420" w:firstLine="3614" w:firstLineChars="1000"/>
        <w:rPr>
          <w:rFonts w:ascii="宋体" w:hAnsi="宋体" w:cs="宋体"/>
          <w:b/>
          <w:color w:val="auto"/>
          <w:kern w:val="0"/>
          <w:sz w:val="36"/>
          <w:szCs w:val="36"/>
          <w:highlight w:val="none"/>
        </w:rPr>
      </w:pPr>
    </w:p>
    <w:p w14:paraId="1E946DDA">
      <w:pPr>
        <w:spacing w:line="360" w:lineRule="auto"/>
        <w:ind w:right="420" w:firstLine="3614" w:firstLineChars="1000"/>
        <w:rPr>
          <w:rFonts w:ascii="宋体" w:hAnsi="宋体" w:cs="宋体"/>
          <w:b/>
          <w:color w:val="auto"/>
          <w:kern w:val="0"/>
          <w:sz w:val="36"/>
          <w:szCs w:val="36"/>
          <w:highlight w:val="none"/>
        </w:rPr>
      </w:pPr>
    </w:p>
    <w:p w14:paraId="15DFDF4D">
      <w:pPr>
        <w:spacing w:line="360" w:lineRule="auto"/>
        <w:ind w:right="420" w:firstLine="3614" w:firstLineChars="1000"/>
        <w:rPr>
          <w:rFonts w:ascii="宋体" w:hAnsi="宋体" w:cs="宋体"/>
          <w:b/>
          <w:color w:val="auto"/>
          <w:kern w:val="0"/>
          <w:sz w:val="36"/>
          <w:szCs w:val="36"/>
          <w:highlight w:val="none"/>
        </w:rPr>
      </w:pPr>
    </w:p>
    <w:p w14:paraId="71B83C57">
      <w:pPr>
        <w:spacing w:line="360" w:lineRule="auto"/>
        <w:ind w:right="420" w:firstLine="3614" w:firstLineChars="1000"/>
        <w:rPr>
          <w:rFonts w:ascii="宋体" w:hAnsi="宋体" w:cs="宋体"/>
          <w:b/>
          <w:color w:val="auto"/>
          <w:kern w:val="0"/>
          <w:sz w:val="36"/>
          <w:szCs w:val="36"/>
          <w:highlight w:val="none"/>
        </w:rPr>
      </w:pPr>
    </w:p>
    <w:p w14:paraId="55214F71">
      <w:pPr>
        <w:spacing w:line="360" w:lineRule="auto"/>
        <w:ind w:right="420" w:firstLine="3614" w:firstLineChars="1000"/>
        <w:rPr>
          <w:rFonts w:ascii="宋体" w:hAnsi="宋体" w:cs="宋体"/>
          <w:b/>
          <w:color w:val="auto"/>
          <w:kern w:val="0"/>
          <w:sz w:val="36"/>
          <w:szCs w:val="36"/>
          <w:highlight w:val="none"/>
        </w:rPr>
      </w:pPr>
    </w:p>
    <w:p w14:paraId="18DA3A68">
      <w:pPr>
        <w:spacing w:line="360" w:lineRule="auto"/>
        <w:ind w:right="420" w:firstLine="3614" w:firstLineChars="1000"/>
        <w:rPr>
          <w:rFonts w:ascii="宋体" w:hAnsi="宋体" w:cs="宋体"/>
          <w:b/>
          <w:color w:val="auto"/>
          <w:kern w:val="0"/>
          <w:sz w:val="36"/>
          <w:szCs w:val="36"/>
          <w:highlight w:val="none"/>
        </w:rPr>
      </w:pPr>
    </w:p>
    <w:p w14:paraId="506C0685">
      <w:pPr>
        <w:spacing w:line="360" w:lineRule="auto"/>
        <w:ind w:right="420" w:firstLine="3614" w:firstLineChars="1000"/>
        <w:rPr>
          <w:rFonts w:ascii="宋体" w:hAnsi="宋体" w:cs="宋体"/>
          <w:b/>
          <w:color w:val="auto"/>
          <w:kern w:val="0"/>
          <w:sz w:val="36"/>
          <w:szCs w:val="36"/>
          <w:highlight w:val="none"/>
        </w:rPr>
      </w:pPr>
    </w:p>
    <w:p w14:paraId="31407F6A">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2BA10F09">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59D05F2">
      <w:pPr>
        <w:spacing w:line="360" w:lineRule="auto"/>
        <w:jc w:val="center"/>
        <w:rPr>
          <w:rFonts w:ascii="宋体" w:hAnsi="宋体" w:cs="宋体"/>
          <w:b/>
          <w:color w:val="auto"/>
          <w:spacing w:val="6"/>
          <w:sz w:val="32"/>
          <w:szCs w:val="32"/>
          <w:highlight w:val="none"/>
        </w:rPr>
      </w:pPr>
      <w:bookmarkStart w:id="399" w:name="OLE_LINK13"/>
      <w:bookmarkStart w:id="400" w:name="OLE_LINK14"/>
      <w:r>
        <w:rPr>
          <w:rFonts w:hint="eastAsia" w:ascii="宋体" w:hAnsi="宋体" w:cs="宋体"/>
          <w:b/>
          <w:color w:val="auto"/>
          <w:spacing w:val="6"/>
          <w:sz w:val="32"/>
          <w:szCs w:val="32"/>
          <w:highlight w:val="none"/>
        </w:rPr>
        <w:t>残疾人福利性单位声明函</w:t>
      </w:r>
    </w:p>
    <w:bookmarkEnd w:id="399"/>
    <w:bookmarkEnd w:id="400"/>
    <w:p w14:paraId="2FA8B215">
      <w:pPr>
        <w:spacing w:line="360" w:lineRule="auto"/>
        <w:rPr>
          <w:rFonts w:ascii="宋体" w:hAnsi="宋体" w:cs="宋体"/>
          <w:b/>
          <w:color w:val="auto"/>
          <w:spacing w:val="6"/>
          <w:sz w:val="30"/>
          <w:szCs w:val="30"/>
          <w:highlight w:val="none"/>
        </w:rPr>
      </w:pPr>
    </w:p>
    <w:p w14:paraId="371CE8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浙江万里学院同声传译实验室建设项目【重发】</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EA3D6F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CEF12F1">
      <w:pPr>
        <w:spacing w:line="360" w:lineRule="auto"/>
        <w:ind w:firstLine="480" w:firstLineChars="200"/>
        <w:rPr>
          <w:rFonts w:ascii="宋体" w:hAnsi="宋体" w:cs="宋体"/>
          <w:color w:val="auto"/>
          <w:sz w:val="24"/>
          <w:highlight w:val="none"/>
        </w:rPr>
      </w:pPr>
    </w:p>
    <w:p w14:paraId="51707D70">
      <w:pPr>
        <w:spacing w:line="360" w:lineRule="auto"/>
        <w:ind w:firstLine="480" w:firstLineChars="200"/>
        <w:rPr>
          <w:rFonts w:ascii="宋体" w:hAnsi="宋体" w:cs="宋体"/>
          <w:color w:val="auto"/>
          <w:sz w:val="24"/>
          <w:highlight w:val="none"/>
        </w:rPr>
      </w:pPr>
    </w:p>
    <w:p w14:paraId="0315837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465A8C8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32C2A27">
      <w:pPr>
        <w:spacing w:line="360" w:lineRule="auto"/>
        <w:ind w:firstLine="480" w:firstLineChars="200"/>
        <w:rPr>
          <w:rFonts w:ascii="宋体" w:hAnsi="宋体" w:cs="宋体"/>
          <w:color w:val="auto"/>
          <w:sz w:val="24"/>
          <w:highlight w:val="none"/>
        </w:rPr>
      </w:pPr>
    </w:p>
    <w:p w14:paraId="2EFD7087">
      <w:pPr>
        <w:spacing w:line="360" w:lineRule="auto"/>
        <w:ind w:firstLine="420" w:firstLineChars="200"/>
        <w:rPr>
          <w:rFonts w:ascii="宋体" w:hAnsi="宋体" w:cs="宋体"/>
          <w:color w:val="auto"/>
          <w:highlight w:val="none"/>
        </w:rPr>
      </w:pPr>
    </w:p>
    <w:p w14:paraId="43C4583B">
      <w:pPr>
        <w:spacing w:line="360" w:lineRule="auto"/>
        <w:ind w:firstLine="420" w:firstLineChars="200"/>
        <w:rPr>
          <w:rFonts w:ascii="宋体" w:hAnsi="宋体" w:cs="宋体"/>
          <w:color w:val="auto"/>
          <w:highlight w:val="none"/>
        </w:rPr>
      </w:pPr>
    </w:p>
    <w:p w14:paraId="457AC95A">
      <w:pPr>
        <w:spacing w:line="360" w:lineRule="auto"/>
        <w:ind w:firstLine="420" w:firstLineChars="200"/>
        <w:rPr>
          <w:rFonts w:ascii="宋体" w:hAnsi="宋体" w:cs="宋体"/>
          <w:color w:val="auto"/>
          <w:highlight w:val="none"/>
        </w:rPr>
      </w:pPr>
    </w:p>
    <w:p w14:paraId="024EB84C">
      <w:pPr>
        <w:spacing w:line="360" w:lineRule="auto"/>
        <w:ind w:firstLine="420" w:firstLineChars="200"/>
        <w:rPr>
          <w:rFonts w:ascii="宋体" w:hAnsi="宋体" w:cs="宋体"/>
          <w:color w:val="auto"/>
          <w:highlight w:val="none"/>
        </w:rPr>
      </w:pPr>
    </w:p>
    <w:p w14:paraId="77B65485">
      <w:pPr>
        <w:spacing w:line="360" w:lineRule="auto"/>
        <w:rPr>
          <w:rFonts w:ascii="宋体" w:hAnsi="宋体" w:cs="宋体"/>
          <w:b/>
          <w:color w:val="auto"/>
          <w:sz w:val="24"/>
          <w:highlight w:val="none"/>
        </w:rPr>
      </w:pPr>
    </w:p>
    <w:p w14:paraId="1B2E6AF9">
      <w:pPr>
        <w:spacing w:line="360" w:lineRule="auto"/>
        <w:rPr>
          <w:rFonts w:ascii="宋体" w:hAnsi="宋体" w:cs="宋体"/>
          <w:b/>
          <w:color w:val="auto"/>
          <w:sz w:val="24"/>
          <w:highlight w:val="none"/>
        </w:rPr>
      </w:pPr>
    </w:p>
    <w:p w14:paraId="65B53270">
      <w:pPr>
        <w:spacing w:line="360" w:lineRule="auto"/>
        <w:rPr>
          <w:rFonts w:ascii="宋体" w:hAnsi="宋体" w:cs="宋体"/>
          <w:b/>
          <w:color w:val="auto"/>
          <w:sz w:val="24"/>
          <w:highlight w:val="none"/>
        </w:rPr>
      </w:pPr>
    </w:p>
    <w:p w14:paraId="5B20D96A">
      <w:pPr>
        <w:spacing w:line="360" w:lineRule="auto"/>
        <w:rPr>
          <w:rFonts w:ascii="宋体" w:hAnsi="宋体" w:cs="宋体"/>
          <w:b/>
          <w:color w:val="auto"/>
          <w:sz w:val="24"/>
          <w:highlight w:val="none"/>
        </w:rPr>
      </w:pPr>
    </w:p>
    <w:p w14:paraId="26383C7C">
      <w:pPr>
        <w:spacing w:line="360" w:lineRule="auto"/>
        <w:rPr>
          <w:rFonts w:ascii="宋体" w:hAnsi="宋体" w:cs="宋体"/>
          <w:b/>
          <w:color w:val="auto"/>
          <w:sz w:val="24"/>
          <w:highlight w:val="none"/>
        </w:rPr>
      </w:pPr>
    </w:p>
    <w:p w14:paraId="7A337C63">
      <w:pPr>
        <w:spacing w:line="360" w:lineRule="auto"/>
        <w:rPr>
          <w:rFonts w:ascii="宋体" w:hAnsi="宋体" w:cs="宋体"/>
          <w:b/>
          <w:color w:val="auto"/>
          <w:sz w:val="24"/>
          <w:highlight w:val="none"/>
        </w:rPr>
      </w:pPr>
    </w:p>
    <w:p w14:paraId="40082B19">
      <w:pPr>
        <w:spacing w:line="360" w:lineRule="auto"/>
        <w:rPr>
          <w:rFonts w:ascii="宋体" w:hAnsi="宋体" w:cs="宋体"/>
          <w:b/>
          <w:color w:val="auto"/>
          <w:sz w:val="24"/>
          <w:highlight w:val="none"/>
        </w:rPr>
      </w:pPr>
    </w:p>
    <w:p w14:paraId="6FC401C7">
      <w:pPr>
        <w:spacing w:line="360" w:lineRule="auto"/>
        <w:rPr>
          <w:rFonts w:ascii="宋体" w:hAnsi="宋体" w:cs="宋体"/>
          <w:b/>
          <w:color w:val="auto"/>
          <w:sz w:val="24"/>
          <w:highlight w:val="none"/>
        </w:rPr>
      </w:pPr>
    </w:p>
    <w:p w14:paraId="03E38C68">
      <w:pPr>
        <w:spacing w:line="360" w:lineRule="auto"/>
        <w:rPr>
          <w:rFonts w:ascii="宋体" w:hAnsi="宋体" w:cs="宋体"/>
          <w:b/>
          <w:color w:val="auto"/>
          <w:sz w:val="24"/>
          <w:highlight w:val="none"/>
        </w:rPr>
      </w:pPr>
    </w:p>
    <w:p w14:paraId="4E28F18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6FA3287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7716E84">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4FC265C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48B8CA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F507D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0982F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AECD8C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54BF87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96894A">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A816AA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59B8A9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5C971D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4976C4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12F790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703C5C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DCDFE1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0C6B93A">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7FCBD5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BCEB77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BC8751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FC4400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769903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0FDD04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00D06B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D1AFC4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8D98294">
      <w:pPr>
        <w:spacing w:line="360" w:lineRule="auto"/>
        <w:jc w:val="center"/>
        <w:rPr>
          <w:rFonts w:ascii="宋体" w:hAnsi="宋体" w:cs="宋体"/>
          <w:b/>
          <w:bCs/>
          <w:color w:val="auto"/>
          <w:sz w:val="24"/>
          <w:highlight w:val="none"/>
        </w:rPr>
      </w:pPr>
    </w:p>
    <w:p w14:paraId="5947E31A">
      <w:pPr>
        <w:spacing w:line="360" w:lineRule="auto"/>
        <w:rPr>
          <w:rFonts w:ascii="宋体" w:hAnsi="宋体" w:cs="宋体"/>
          <w:b/>
          <w:color w:val="auto"/>
          <w:sz w:val="24"/>
          <w:highlight w:val="none"/>
        </w:rPr>
      </w:pPr>
    </w:p>
    <w:p w14:paraId="759DE273">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56CA007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7FAF34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DE2A74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E2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9C983B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505C08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E004586">
      <w:pPr>
        <w:widowControl/>
        <w:spacing w:line="360" w:lineRule="auto"/>
        <w:ind w:firstLine="600" w:firstLineChars="200"/>
        <w:jc w:val="left"/>
        <w:rPr>
          <w:rFonts w:ascii="宋体" w:hAnsi="宋体" w:cs="宋体"/>
          <w:color w:val="auto"/>
          <w:sz w:val="30"/>
          <w:szCs w:val="30"/>
          <w:highlight w:val="none"/>
        </w:rPr>
      </w:pPr>
    </w:p>
    <w:p w14:paraId="071917AE">
      <w:pPr>
        <w:spacing w:line="360" w:lineRule="auto"/>
        <w:jc w:val="center"/>
        <w:rPr>
          <w:rFonts w:ascii="宋体" w:hAnsi="宋体" w:cs="宋体"/>
          <w:b/>
          <w:color w:val="auto"/>
          <w:spacing w:val="6"/>
          <w:sz w:val="32"/>
          <w:szCs w:val="32"/>
          <w:highlight w:val="none"/>
        </w:rPr>
      </w:pPr>
    </w:p>
    <w:p w14:paraId="1B9668BC">
      <w:pPr>
        <w:spacing w:line="360" w:lineRule="auto"/>
        <w:jc w:val="center"/>
        <w:rPr>
          <w:rFonts w:ascii="宋体" w:hAnsi="宋体" w:cs="宋体"/>
          <w:b/>
          <w:color w:val="auto"/>
          <w:spacing w:val="6"/>
          <w:sz w:val="32"/>
          <w:szCs w:val="32"/>
          <w:highlight w:val="none"/>
        </w:rPr>
      </w:pPr>
    </w:p>
    <w:p w14:paraId="47E75FFC">
      <w:pPr>
        <w:spacing w:line="360" w:lineRule="auto"/>
        <w:jc w:val="center"/>
        <w:rPr>
          <w:rFonts w:ascii="宋体" w:hAnsi="宋体" w:cs="宋体"/>
          <w:b/>
          <w:color w:val="auto"/>
          <w:spacing w:val="6"/>
          <w:sz w:val="32"/>
          <w:szCs w:val="32"/>
          <w:highlight w:val="none"/>
        </w:rPr>
      </w:pPr>
    </w:p>
    <w:p w14:paraId="2C1B2A95">
      <w:pPr>
        <w:spacing w:line="360" w:lineRule="auto"/>
        <w:jc w:val="center"/>
        <w:rPr>
          <w:rFonts w:ascii="宋体" w:hAnsi="宋体" w:cs="宋体"/>
          <w:b/>
          <w:color w:val="auto"/>
          <w:spacing w:val="6"/>
          <w:sz w:val="32"/>
          <w:szCs w:val="32"/>
          <w:highlight w:val="none"/>
        </w:rPr>
      </w:pPr>
    </w:p>
    <w:p w14:paraId="33E7CEA1">
      <w:pPr>
        <w:spacing w:line="360" w:lineRule="auto"/>
        <w:jc w:val="center"/>
        <w:rPr>
          <w:rFonts w:ascii="宋体" w:hAnsi="宋体" w:cs="宋体"/>
          <w:b/>
          <w:color w:val="auto"/>
          <w:spacing w:val="6"/>
          <w:sz w:val="32"/>
          <w:szCs w:val="32"/>
          <w:highlight w:val="none"/>
        </w:rPr>
      </w:pPr>
    </w:p>
    <w:p w14:paraId="591F932F">
      <w:pPr>
        <w:spacing w:line="360" w:lineRule="auto"/>
        <w:jc w:val="center"/>
        <w:rPr>
          <w:rFonts w:ascii="宋体" w:hAnsi="宋体" w:cs="宋体"/>
          <w:b/>
          <w:color w:val="auto"/>
          <w:spacing w:val="6"/>
          <w:sz w:val="32"/>
          <w:szCs w:val="32"/>
          <w:highlight w:val="none"/>
        </w:rPr>
      </w:pPr>
    </w:p>
    <w:p w14:paraId="3A22E26F">
      <w:pPr>
        <w:spacing w:line="360" w:lineRule="auto"/>
        <w:jc w:val="center"/>
        <w:rPr>
          <w:rFonts w:ascii="宋体" w:hAnsi="宋体" w:cs="宋体"/>
          <w:b/>
          <w:color w:val="auto"/>
          <w:spacing w:val="6"/>
          <w:sz w:val="32"/>
          <w:szCs w:val="32"/>
          <w:highlight w:val="none"/>
        </w:rPr>
      </w:pPr>
    </w:p>
    <w:p w14:paraId="67195B89">
      <w:pPr>
        <w:spacing w:line="360" w:lineRule="auto"/>
        <w:jc w:val="center"/>
        <w:rPr>
          <w:rFonts w:ascii="宋体" w:hAnsi="宋体" w:cs="宋体"/>
          <w:b/>
          <w:color w:val="auto"/>
          <w:spacing w:val="6"/>
          <w:sz w:val="32"/>
          <w:szCs w:val="32"/>
          <w:highlight w:val="none"/>
        </w:rPr>
      </w:pPr>
    </w:p>
    <w:p w14:paraId="38E378F5">
      <w:pPr>
        <w:spacing w:line="360" w:lineRule="auto"/>
        <w:jc w:val="center"/>
        <w:rPr>
          <w:rFonts w:ascii="宋体" w:hAnsi="宋体" w:cs="宋体"/>
          <w:b/>
          <w:color w:val="auto"/>
          <w:spacing w:val="6"/>
          <w:sz w:val="32"/>
          <w:szCs w:val="32"/>
          <w:highlight w:val="none"/>
        </w:rPr>
      </w:pPr>
    </w:p>
    <w:p w14:paraId="24D22F2F">
      <w:pPr>
        <w:spacing w:line="360" w:lineRule="auto"/>
        <w:jc w:val="center"/>
        <w:rPr>
          <w:rFonts w:ascii="宋体" w:hAnsi="宋体" w:cs="宋体"/>
          <w:b/>
          <w:color w:val="auto"/>
          <w:spacing w:val="6"/>
          <w:sz w:val="32"/>
          <w:szCs w:val="32"/>
          <w:highlight w:val="none"/>
        </w:rPr>
      </w:pPr>
    </w:p>
    <w:p w14:paraId="7804BC81">
      <w:pPr>
        <w:spacing w:line="360" w:lineRule="auto"/>
        <w:jc w:val="center"/>
        <w:rPr>
          <w:rFonts w:ascii="宋体" w:hAnsi="宋体" w:cs="宋体"/>
          <w:b/>
          <w:color w:val="auto"/>
          <w:spacing w:val="6"/>
          <w:sz w:val="32"/>
          <w:szCs w:val="32"/>
          <w:highlight w:val="none"/>
        </w:rPr>
      </w:pPr>
    </w:p>
    <w:p w14:paraId="23B0A001">
      <w:pPr>
        <w:spacing w:line="360" w:lineRule="auto"/>
        <w:jc w:val="center"/>
        <w:rPr>
          <w:rFonts w:ascii="宋体" w:hAnsi="宋体" w:cs="宋体"/>
          <w:b/>
          <w:color w:val="auto"/>
          <w:spacing w:val="6"/>
          <w:sz w:val="32"/>
          <w:szCs w:val="32"/>
          <w:highlight w:val="none"/>
        </w:rPr>
      </w:pPr>
    </w:p>
    <w:p w14:paraId="736E7E69">
      <w:pPr>
        <w:spacing w:line="360" w:lineRule="auto"/>
        <w:jc w:val="left"/>
        <w:rPr>
          <w:rFonts w:ascii="宋体" w:hAnsi="宋体" w:cs="宋体"/>
          <w:b/>
          <w:color w:val="auto"/>
          <w:spacing w:val="6"/>
          <w:sz w:val="32"/>
          <w:szCs w:val="32"/>
          <w:highlight w:val="none"/>
        </w:rPr>
      </w:pPr>
    </w:p>
    <w:p w14:paraId="0F3DC280">
      <w:pPr>
        <w:spacing w:line="360" w:lineRule="auto"/>
        <w:jc w:val="left"/>
        <w:rPr>
          <w:rFonts w:ascii="宋体" w:hAnsi="宋体" w:cs="宋体"/>
          <w:b/>
          <w:color w:val="auto"/>
          <w:spacing w:val="6"/>
          <w:sz w:val="32"/>
          <w:szCs w:val="32"/>
          <w:highlight w:val="none"/>
        </w:rPr>
      </w:pPr>
    </w:p>
    <w:p w14:paraId="0130761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CDA2341">
      <w:pPr>
        <w:spacing w:line="360" w:lineRule="auto"/>
        <w:jc w:val="center"/>
        <w:rPr>
          <w:rFonts w:ascii="宋体" w:hAnsi="宋体" w:cs="宋体"/>
          <w:b/>
          <w:color w:val="auto"/>
          <w:sz w:val="24"/>
          <w:highlight w:val="none"/>
        </w:rPr>
      </w:pPr>
    </w:p>
    <w:p w14:paraId="729F24E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22B36C5F">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7790D71E">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81C11E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4C0528">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606312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84D406B">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52ACC3B">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AE8E791">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812847">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F46A0C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FCEC50">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1BD7DAA">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75A64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7A6FE6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839F7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011A35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2AE4E66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C505624">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F2096AB">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295041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83662E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D5B519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083832D">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39323AF">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6D8AAF2">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ADDF0A">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27D9525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EF44771">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BC021A3">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43F505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B62C07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DD04187">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C7C5BA6">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6C3318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B7FF1B7">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F89D794">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5F916A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43B2EC8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EF1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08BD09C">
      <w:pPr>
        <w:spacing w:line="360" w:lineRule="auto"/>
        <w:rPr>
          <w:rFonts w:ascii="宋体" w:hAnsi="宋体" w:cs="宋体"/>
          <w:b/>
          <w:color w:val="auto"/>
          <w:sz w:val="24"/>
          <w:highlight w:val="none"/>
        </w:rPr>
      </w:pPr>
    </w:p>
    <w:p w14:paraId="137BA53D">
      <w:pPr>
        <w:spacing w:line="360" w:lineRule="auto"/>
        <w:rPr>
          <w:rFonts w:ascii="宋体" w:hAnsi="宋体" w:cs="宋体"/>
          <w:b/>
          <w:color w:val="auto"/>
          <w:sz w:val="24"/>
          <w:highlight w:val="none"/>
        </w:rPr>
      </w:pPr>
    </w:p>
    <w:p w14:paraId="50F81E9D">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017BD44D">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02292BA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FDD076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24F03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3D95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43CCDD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00F7BA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5EE16F9">
      <w:pPr>
        <w:spacing w:line="360" w:lineRule="auto"/>
        <w:rPr>
          <w:rFonts w:ascii="宋体" w:hAnsi="宋体" w:cs="宋体"/>
          <w:b/>
          <w:color w:val="auto"/>
          <w:sz w:val="24"/>
          <w:highlight w:val="none"/>
        </w:rPr>
      </w:pPr>
    </w:p>
    <w:p w14:paraId="61CF0B5E">
      <w:pPr>
        <w:autoSpaceDE w:val="0"/>
        <w:autoSpaceDN w:val="0"/>
        <w:jc w:val="center"/>
        <w:rPr>
          <w:rFonts w:ascii="宋体" w:hAnsi="宋体" w:cs="宋体"/>
          <w:b/>
          <w:color w:val="auto"/>
          <w:spacing w:val="6"/>
          <w:sz w:val="32"/>
          <w:szCs w:val="32"/>
          <w:highlight w:val="none"/>
        </w:rPr>
      </w:pPr>
    </w:p>
    <w:p w14:paraId="6104DF1E">
      <w:pPr>
        <w:autoSpaceDE w:val="0"/>
        <w:autoSpaceDN w:val="0"/>
        <w:jc w:val="center"/>
        <w:rPr>
          <w:rFonts w:ascii="宋体" w:hAnsi="宋体" w:cs="宋体"/>
          <w:b/>
          <w:color w:val="auto"/>
          <w:spacing w:val="6"/>
          <w:sz w:val="32"/>
          <w:szCs w:val="32"/>
          <w:highlight w:val="none"/>
        </w:rPr>
      </w:pPr>
    </w:p>
    <w:p w14:paraId="5D136AC3">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F8F76AA">
      <w:pPr>
        <w:spacing w:line="360" w:lineRule="auto"/>
        <w:rPr>
          <w:rFonts w:ascii="宋体" w:hAnsi="宋体" w:cs="宋体"/>
          <w:color w:val="auto"/>
          <w:sz w:val="24"/>
          <w:highlight w:val="none"/>
          <w:u w:val="single"/>
        </w:rPr>
      </w:pPr>
    </w:p>
    <w:p w14:paraId="63855E13">
      <w:pPr>
        <w:spacing w:line="360" w:lineRule="auto"/>
        <w:rPr>
          <w:rFonts w:ascii="宋体" w:hAnsi="宋体" w:cs="宋体"/>
          <w:color w:val="auto"/>
          <w:sz w:val="24"/>
          <w:highlight w:val="none"/>
        </w:rPr>
      </w:pPr>
      <w:r>
        <w:rPr>
          <w:rFonts w:hint="eastAsia" w:ascii="宋体" w:hAnsi="宋体" w:cs="宋体"/>
          <w:color w:val="auto"/>
          <w:sz w:val="24"/>
          <w:highlight w:val="none"/>
          <w:u w:val="single"/>
        </w:rPr>
        <w:t>浙江万里学院、浙江省成套招标代理有限公司：</w:t>
      </w:r>
    </w:p>
    <w:p w14:paraId="1E0190E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浙江万里学院同声传译实验室建设项目【重发】</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CTZB-2024070151-01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4975C6E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D53EFAD">
      <w:pPr>
        <w:spacing w:line="360" w:lineRule="auto"/>
        <w:ind w:firstLine="494"/>
        <w:rPr>
          <w:rFonts w:ascii="宋体" w:hAnsi="宋体" w:cs="宋体"/>
          <w:color w:val="auto"/>
          <w:sz w:val="24"/>
          <w:highlight w:val="none"/>
        </w:rPr>
      </w:pPr>
    </w:p>
    <w:p w14:paraId="44699E2A">
      <w:pPr>
        <w:spacing w:line="360" w:lineRule="auto"/>
        <w:ind w:firstLine="494"/>
        <w:rPr>
          <w:rFonts w:ascii="宋体" w:hAnsi="宋体" w:cs="宋体"/>
          <w:color w:val="auto"/>
          <w:sz w:val="24"/>
          <w:highlight w:val="none"/>
        </w:rPr>
      </w:pPr>
    </w:p>
    <w:p w14:paraId="667E0110">
      <w:pPr>
        <w:spacing w:line="360" w:lineRule="auto"/>
        <w:ind w:firstLine="494"/>
        <w:rPr>
          <w:rFonts w:ascii="宋体" w:hAnsi="宋体" w:cs="宋体"/>
          <w:color w:val="auto"/>
          <w:sz w:val="24"/>
          <w:highlight w:val="none"/>
        </w:rPr>
      </w:pPr>
    </w:p>
    <w:p w14:paraId="5638BD61">
      <w:pPr>
        <w:spacing w:line="360" w:lineRule="auto"/>
        <w:ind w:firstLine="494"/>
        <w:rPr>
          <w:rFonts w:ascii="宋体" w:hAnsi="宋体" w:cs="宋体"/>
          <w:color w:val="auto"/>
          <w:sz w:val="24"/>
          <w:highlight w:val="none"/>
        </w:rPr>
      </w:pPr>
    </w:p>
    <w:p w14:paraId="043558BA">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5D930D8D">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BF55904">
      <w:pPr>
        <w:rPr>
          <w:rFonts w:ascii="宋体" w:hAnsi="宋体" w:cs="宋体"/>
          <w:color w:val="auto"/>
          <w:sz w:val="24"/>
          <w:highlight w:val="none"/>
        </w:rPr>
      </w:pPr>
      <w:r>
        <w:rPr>
          <w:rFonts w:hint="eastAsia" w:ascii="宋体" w:hAnsi="宋体" w:cs="宋体"/>
          <w:b/>
          <w:bCs/>
          <w:color w:val="auto"/>
          <w:sz w:val="24"/>
          <w:highlight w:val="none"/>
        </w:rPr>
        <w:t>附：</w:t>
      </w:r>
    </w:p>
    <w:p w14:paraId="6756534A">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29C3AE16">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29C3AE16">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C057D3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C057D36">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96B5FD3">
      <w:pPr>
        <w:autoSpaceDE w:val="0"/>
        <w:autoSpaceDN w:val="0"/>
        <w:jc w:val="center"/>
        <w:rPr>
          <w:rFonts w:ascii="宋体" w:hAnsi="宋体" w:cs="宋体"/>
          <w:b/>
          <w:color w:val="auto"/>
          <w:spacing w:val="6"/>
          <w:sz w:val="32"/>
          <w:szCs w:val="32"/>
          <w:highlight w:val="none"/>
        </w:rPr>
      </w:pPr>
    </w:p>
    <w:p w14:paraId="33557F03">
      <w:pPr>
        <w:autoSpaceDE w:val="0"/>
        <w:autoSpaceDN w:val="0"/>
        <w:jc w:val="center"/>
        <w:rPr>
          <w:rFonts w:ascii="宋体" w:hAnsi="宋体" w:cs="宋体"/>
          <w:b/>
          <w:color w:val="auto"/>
          <w:spacing w:val="6"/>
          <w:sz w:val="32"/>
          <w:szCs w:val="32"/>
          <w:highlight w:val="none"/>
        </w:rPr>
      </w:pPr>
    </w:p>
    <w:p w14:paraId="3C0D6506">
      <w:pPr>
        <w:autoSpaceDE w:val="0"/>
        <w:autoSpaceDN w:val="0"/>
        <w:jc w:val="center"/>
        <w:rPr>
          <w:rFonts w:ascii="宋体" w:hAnsi="宋体" w:cs="宋体"/>
          <w:b/>
          <w:color w:val="auto"/>
          <w:spacing w:val="6"/>
          <w:sz w:val="32"/>
          <w:szCs w:val="32"/>
          <w:highlight w:val="none"/>
        </w:rPr>
      </w:pPr>
    </w:p>
    <w:p w14:paraId="57C83D6D">
      <w:pPr>
        <w:autoSpaceDE w:val="0"/>
        <w:autoSpaceDN w:val="0"/>
        <w:jc w:val="center"/>
        <w:rPr>
          <w:rFonts w:ascii="宋体" w:hAnsi="宋体" w:cs="宋体"/>
          <w:b/>
          <w:color w:val="auto"/>
          <w:spacing w:val="6"/>
          <w:sz w:val="32"/>
          <w:szCs w:val="32"/>
          <w:highlight w:val="none"/>
        </w:rPr>
      </w:pPr>
    </w:p>
    <w:p w14:paraId="45E4AB15">
      <w:pPr>
        <w:autoSpaceDE w:val="0"/>
        <w:autoSpaceDN w:val="0"/>
        <w:jc w:val="center"/>
        <w:rPr>
          <w:rFonts w:ascii="宋体" w:hAnsi="宋体" w:cs="宋体"/>
          <w:b/>
          <w:color w:val="auto"/>
          <w:spacing w:val="6"/>
          <w:sz w:val="32"/>
          <w:szCs w:val="32"/>
          <w:highlight w:val="none"/>
        </w:rPr>
      </w:pPr>
    </w:p>
    <w:p w14:paraId="0A8A020D">
      <w:pPr>
        <w:autoSpaceDE w:val="0"/>
        <w:autoSpaceDN w:val="0"/>
        <w:jc w:val="center"/>
        <w:rPr>
          <w:rFonts w:ascii="宋体" w:hAnsi="宋体" w:cs="宋体"/>
          <w:b/>
          <w:color w:val="auto"/>
          <w:spacing w:val="6"/>
          <w:sz w:val="32"/>
          <w:szCs w:val="32"/>
          <w:highlight w:val="none"/>
        </w:rPr>
      </w:pPr>
    </w:p>
    <w:p w14:paraId="4855BAF5">
      <w:pPr>
        <w:autoSpaceDE w:val="0"/>
        <w:autoSpaceDN w:val="0"/>
        <w:jc w:val="center"/>
        <w:rPr>
          <w:rFonts w:ascii="宋体" w:hAnsi="宋体" w:cs="宋体"/>
          <w:b/>
          <w:color w:val="auto"/>
          <w:spacing w:val="6"/>
          <w:sz w:val="32"/>
          <w:szCs w:val="32"/>
          <w:highlight w:val="none"/>
        </w:rPr>
      </w:pPr>
    </w:p>
    <w:p w14:paraId="40EB428B">
      <w:pPr>
        <w:autoSpaceDE w:val="0"/>
        <w:autoSpaceDN w:val="0"/>
        <w:jc w:val="center"/>
        <w:rPr>
          <w:rFonts w:ascii="宋体" w:hAnsi="宋体" w:cs="宋体"/>
          <w:b/>
          <w:color w:val="auto"/>
          <w:spacing w:val="6"/>
          <w:sz w:val="32"/>
          <w:szCs w:val="32"/>
          <w:highlight w:val="none"/>
        </w:rPr>
      </w:pPr>
    </w:p>
    <w:p w14:paraId="2B6514FF">
      <w:pPr>
        <w:autoSpaceDE w:val="0"/>
        <w:autoSpaceDN w:val="0"/>
        <w:jc w:val="center"/>
        <w:rPr>
          <w:rFonts w:ascii="宋体" w:hAnsi="宋体" w:cs="宋体"/>
          <w:b/>
          <w:color w:val="auto"/>
          <w:spacing w:val="6"/>
          <w:sz w:val="32"/>
          <w:szCs w:val="32"/>
          <w:highlight w:val="none"/>
        </w:rPr>
      </w:pPr>
    </w:p>
    <w:p w14:paraId="4F21D2E4">
      <w:pPr>
        <w:autoSpaceDE w:val="0"/>
        <w:autoSpaceDN w:val="0"/>
        <w:jc w:val="center"/>
        <w:rPr>
          <w:rFonts w:ascii="宋体" w:hAnsi="宋体" w:cs="宋体"/>
          <w:b/>
          <w:color w:val="auto"/>
          <w:spacing w:val="6"/>
          <w:sz w:val="32"/>
          <w:szCs w:val="32"/>
          <w:highlight w:val="none"/>
        </w:rPr>
      </w:pPr>
    </w:p>
    <w:p w14:paraId="4F21E1BF">
      <w:pPr>
        <w:autoSpaceDE w:val="0"/>
        <w:autoSpaceDN w:val="0"/>
        <w:jc w:val="center"/>
        <w:rPr>
          <w:rFonts w:ascii="宋体" w:hAnsi="宋体" w:cs="宋体"/>
          <w:b/>
          <w:color w:val="auto"/>
          <w:spacing w:val="6"/>
          <w:sz w:val="32"/>
          <w:szCs w:val="32"/>
          <w:highlight w:val="none"/>
        </w:rPr>
      </w:pPr>
    </w:p>
    <w:p w14:paraId="6C4D7172">
      <w:pPr>
        <w:autoSpaceDE w:val="0"/>
        <w:autoSpaceDN w:val="0"/>
        <w:jc w:val="center"/>
        <w:rPr>
          <w:rFonts w:ascii="宋体" w:hAnsi="宋体" w:cs="宋体"/>
          <w:b/>
          <w:color w:val="auto"/>
          <w:spacing w:val="6"/>
          <w:sz w:val="32"/>
          <w:szCs w:val="32"/>
          <w:highlight w:val="none"/>
        </w:rPr>
      </w:pPr>
    </w:p>
    <w:p w14:paraId="47DB0E86">
      <w:pPr>
        <w:autoSpaceDE w:val="0"/>
        <w:autoSpaceDN w:val="0"/>
        <w:jc w:val="center"/>
        <w:rPr>
          <w:rFonts w:ascii="宋体" w:hAnsi="宋体" w:cs="宋体"/>
          <w:b/>
          <w:color w:val="auto"/>
          <w:spacing w:val="6"/>
          <w:sz w:val="32"/>
          <w:szCs w:val="32"/>
          <w:highlight w:val="none"/>
        </w:rPr>
      </w:pPr>
    </w:p>
    <w:p w14:paraId="73FA3830">
      <w:pPr>
        <w:autoSpaceDE w:val="0"/>
        <w:autoSpaceDN w:val="0"/>
        <w:jc w:val="center"/>
        <w:rPr>
          <w:rFonts w:ascii="宋体" w:hAnsi="宋体" w:cs="宋体"/>
          <w:b/>
          <w:color w:val="auto"/>
          <w:spacing w:val="6"/>
          <w:sz w:val="32"/>
          <w:szCs w:val="32"/>
          <w:highlight w:val="none"/>
        </w:rPr>
      </w:pPr>
    </w:p>
    <w:p w14:paraId="474E9612">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44DD8E91">
      <w:pPr>
        <w:widowControl/>
        <w:spacing w:line="360" w:lineRule="auto"/>
        <w:ind w:firstLine="482" w:firstLineChars="200"/>
        <w:jc w:val="left"/>
        <w:rPr>
          <w:rFonts w:ascii="宋体" w:hAnsi="宋体" w:cs="宋体"/>
          <w:b/>
          <w:color w:val="auto"/>
          <w:sz w:val="24"/>
          <w:highlight w:val="none"/>
        </w:rPr>
      </w:pPr>
    </w:p>
    <w:p w14:paraId="3E2D4E0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6C5FFFC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浙江万里学院同声传译实验室建设项目【重发】</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CTZB-2024070151-01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0161BC2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F92AC2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4234A5E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705B2B8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0CF9A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9AB367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34615F3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688BAFBC">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1"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1"/>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2"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2"/>
      <w:r>
        <w:rPr>
          <w:rFonts w:hint="eastAsia" w:ascii="宋体" w:hAnsi="宋体" w:cs="宋体"/>
          <w:b/>
          <w:color w:val="auto"/>
          <w:kern w:val="0"/>
          <w:sz w:val="24"/>
          <w:highlight w:val="none"/>
          <w:lang w:val="zh-CN"/>
        </w:rPr>
        <w:t>）</w:t>
      </w:r>
    </w:p>
    <w:p w14:paraId="743A1E6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3"/>
    </w:p>
    <w:p w14:paraId="3636BFA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3AA3B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5ED5999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2CB86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6EA1CB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6AB956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A064F21">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1AD54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74CB921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0114B9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FB359ED">
      <w:pPr>
        <w:autoSpaceDE w:val="0"/>
        <w:autoSpaceDN w:val="0"/>
        <w:jc w:val="center"/>
        <w:rPr>
          <w:rFonts w:ascii="宋体" w:hAnsi="宋体" w:cs="宋体"/>
          <w:b/>
          <w:color w:val="auto"/>
          <w:spacing w:val="6"/>
          <w:sz w:val="32"/>
          <w:szCs w:val="32"/>
          <w:highlight w:val="none"/>
        </w:rPr>
      </w:pPr>
    </w:p>
    <w:p w14:paraId="7B360C12">
      <w:pPr>
        <w:autoSpaceDE w:val="0"/>
        <w:autoSpaceDN w:val="0"/>
        <w:jc w:val="center"/>
        <w:rPr>
          <w:rFonts w:ascii="宋体" w:hAnsi="宋体" w:cs="宋体"/>
          <w:b/>
          <w:color w:val="auto"/>
          <w:spacing w:val="6"/>
          <w:sz w:val="32"/>
          <w:szCs w:val="32"/>
          <w:highlight w:val="none"/>
        </w:rPr>
      </w:pPr>
    </w:p>
    <w:p w14:paraId="2A2821DF">
      <w:pPr>
        <w:autoSpaceDE w:val="0"/>
        <w:autoSpaceDN w:val="0"/>
        <w:jc w:val="center"/>
        <w:rPr>
          <w:rFonts w:ascii="宋体" w:hAnsi="宋体" w:cs="宋体"/>
          <w:b/>
          <w:color w:val="auto"/>
          <w:spacing w:val="6"/>
          <w:sz w:val="32"/>
          <w:szCs w:val="32"/>
          <w:highlight w:val="none"/>
        </w:rPr>
      </w:pPr>
    </w:p>
    <w:p w14:paraId="16794222">
      <w:pPr>
        <w:autoSpaceDE w:val="0"/>
        <w:autoSpaceDN w:val="0"/>
        <w:jc w:val="center"/>
        <w:rPr>
          <w:rFonts w:ascii="宋体" w:hAnsi="宋体" w:cs="宋体"/>
          <w:b/>
          <w:color w:val="auto"/>
          <w:spacing w:val="6"/>
          <w:sz w:val="32"/>
          <w:szCs w:val="32"/>
          <w:highlight w:val="none"/>
        </w:rPr>
      </w:pPr>
    </w:p>
    <w:p w14:paraId="5526B069">
      <w:pPr>
        <w:autoSpaceDE w:val="0"/>
        <w:autoSpaceDN w:val="0"/>
        <w:jc w:val="center"/>
        <w:rPr>
          <w:rFonts w:ascii="宋体" w:hAnsi="宋体" w:cs="宋体"/>
          <w:b/>
          <w:color w:val="auto"/>
          <w:spacing w:val="6"/>
          <w:sz w:val="32"/>
          <w:szCs w:val="32"/>
          <w:highlight w:val="none"/>
        </w:rPr>
      </w:pPr>
    </w:p>
    <w:p w14:paraId="7D19DBFA">
      <w:pPr>
        <w:autoSpaceDE w:val="0"/>
        <w:autoSpaceDN w:val="0"/>
        <w:jc w:val="center"/>
        <w:rPr>
          <w:rFonts w:ascii="宋体" w:hAnsi="宋体" w:cs="宋体"/>
          <w:b/>
          <w:color w:val="auto"/>
          <w:spacing w:val="6"/>
          <w:sz w:val="32"/>
          <w:szCs w:val="32"/>
          <w:highlight w:val="none"/>
        </w:rPr>
      </w:pPr>
    </w:p>
    <w:p w14:paraId="7652EDE4">
      <w:pPr>
        <w:autoSpaceDE w:val="0"/>
        <w:autoSpaceDN w:val="0"/>
        <w:jc w:val="center"/>
        <w:rPr>
          <w:rFonts w:ascii="宋体" w:hAnsi="宋体" w:cs="宋体"/>
          <w:b/>
          <w:color w:val="auto"/>
          <w:spacing w:val="6"/>
          <w:sz w:val="32"/>
          <w:szCs w:val="32"/>
          <w:highlight w:val="none"/>
        </w:rPr>
      </w:pPr>
    </w:p>
    <w:p w14:paraId="7EF1A99C">
      <w:pPr>
        <w:autoSpaceDE w:val="0"/>
        <w:autoSpaceDN w:val="0"/>
        <w:jc w:val="center"/>
        <w:rPr>
          <w:rFonts w:ascii="宋体" w:hAnsi="宋体" w:cs="宋体"/>
          <w:b/>
          <w:color w:val="auto"/>
          <w:spacing w:val="6"/>
          <w:sz w:val="32"/>
          <w:szCs w:val="32"/>
          <w:highlight w:val="none"/>
        </w:rPr>
      </w:pPr>
    </w:p>
    <w:p w14:paraId="2428FB3B">
      <w:pPr>
        <w:autoSpaceDE w:val="0"/>
        <w:autoSpaceDN w:val="0"/>
        <w:jc w:val="center"/>
        <w:rPr>
          <w:rFonts w:ascii="宋体" w:hAnsi="宋体" w:cs="宋体"/>
          <w:b/>
          <w:color w:val="auto"/>
          <w:spacing w:val="6"/>
          <w:sz w:val="32"/>
          <w:szCs w:val="32"/>
          <w:highlight w:val="none"/>
        </w:rPr>
      </w:pPr>
    </w:p>
    <w:p w14:paraId="7BFB5415">
      <w:pPr>
        <w:autoSpaceDE w:val="0"/>
        <w:autoSpaceDN w:val="0"/>
        <w:jc w:val="center"/>
        <w:rPr>
          <w:rFonts w:ascii="宋体" w:hAnsi="宋体" w:cs="宋体"/>
          <w:b/>
          <w:color w:val="auto"/>
          <w:spacing w:val="6"/>
          <w:sz w:val="32"/>
          <w:szCs w:val="32"/>
          <w:highlight w:val="none"/>
        </w:rPr>
      </w:pPr>
    </w:p>
    <w:p w14:paraId="4EC664CA">
      <w:pPr>
        <w:autoSpaceDE w:val="0"/>
        <w:autoSpaceDN w:val="0"/>
        <w:jc w:val="center"/>
        <w:rPr>
          <w:rFonts w:ascii="宋体" w:hAnsi="宋体" w:cs="宋体"/>
          <w:b/>
          <w:color w:val="auto"/>
          <w:spacing w:val="6"/>
          <w:sz w:val="32"/>
          <w:szCs w:val="32"/>
          <w:highlight w:val="none"/>
        </w:rPr>
      </w:pPr>
    </w:p>
    <w:p w14:paraId="218F43AD">
      <w:pPr>
        <w:autoSpaceDE w:val="0"/>
        <w:autoSpaceDN w:val="0"/>
        <w:jc w:val="center"/>
        <w:rPr>
          <w:rFonts w:ascii="宋体" w:hAnsi="宋体" w:cs="宋体"/>
          <w:b/>
          <w:color w:val="auto"/>
          <w:spacing w:val="6"/>
          <w:sz w:val="32"/>
          <w:szCs w:val="32"/>
          <w:highlight w:val="none"/>
        </w:rPr>
      </w:pPr>
    </w:p>
    <w:p w14:paraId="47791C57">
      <w:pPr>
        <w:autoSpaceDE w:val="0"/>
        <w:autoSpaceDN w:val="0"/>
        <w:jc w:val="center"/>
        <w:rPr>
          <w:rFonts w:ascii="宋体" w:hAnsi="宋体" w:cs="宋体"/>
          <w:b/>
          <w:color w:val="auto"/>
          <w:spacing w:val="6"/>
          <w:sz w:val="32"/>
          <w:szCs w:val="32"/>
          <w:highlight w:val="none"/>
        </w:rPr>
      </w:pPr>
    </w:p>
    <w:p w14:paraId="5C5DA7E2">
      <w:pPr>
        <w:autoSpaceDE w:val="0"/>
        <w:autoSpaceDN w:val="0"/>
        <w:jc w:val="center"/>
        <w:rPr>
          <w:rFonts w:ascii="宋体" w:hAnsi="宋体" w:cs="宋体"/>
          <w:b/>
          <w:color w:val="auto"/>
          <w:spacing w:val="6"/>
          <w:sz w:val="32"/>
          <w:szCs w:val="32"/>
          <w:highlight w:val="none"/>
        </w:rPr>
      </w:pPr>
    </w:p>
    <w:p w14:paraId="417CD37A">
      <w:pPr>
        <w:autoSpaceDE w:val="0"/>
        <w:autoSpaceDN w:val="0"/>
        <w:jc w:val="center"/>
        <w:rPr>
          <w:rFonts w:ascii="宋体" w:hAnsi="宋体" w:cs="宋体"/>
          <w:b/>
          <w:color w:val="auto"/>
          <w:spacing w:val="6"/>
          <w:sz w:val="32"/>
          <w:szCs w:val="32"/>
          <w:highlight w:val="none"/>
        </w:rPr>
      </w:pPr>
    </w:p>
    <w:p w14:paraId="4B501794">
      <w:pPr>
        <w:autoSpaceDE w:val="0"/>
        <w:autoSpaceDN w:val="0"/>
        <w:jc w:val="center"/>
        <w:rPr>
          <w:rFonts w:ascii="宋体" w:hAnsi="宋体" w:cs="宋体"/>
          <w:b/>
          <w:color w:val="auto"/>
          <w:spacing w:val="6"/>
          <w:sz w:val="32"/>
          <w:szCs w:val="32"/>
          <w:highlight w:val="none"/>
        </w:rPr>
      </w:pPr>
    </w:p>
    <w:p w14:paraId="54517C42">
      <w:pPr>
        <w:autoSpaceDE w:val="0"/>
        <w:autoSpaceDN w:val="0"/>
        <w:jc w:val="center"/>
        <w:rPr>
          <w:rFonts w:ascii="宋体" w:hAnsi="宋体" w:cs="宋体"/>
          <w:b/>
          <w:color w:val="auto"/>
          <w:spacing w:val="6"/>
          <w:sz w:val="32"/>
          <w:szCs w:val="32"/>
          <w:highlight w:val="none"/>
        </w:rPr>
      </w:pPr>
    </w:p>
    <w:p w14:paraId="68185EB6">
      <w:pPr>
        <w:autoSpaceDE w:val="0"/>
        <w:autoSpaceDN w:val="0"/>
        <w:jc w:val="center"/>
        <w:rPr>
          <w:rFonts w:ascii="宋体" w:hAnsi="宋体" w:cs="宋体"/>
          <w:b/>
          <w:color w:val="auto"/>
          <w:spacing w:val="6"/>
          <w:sz w:val="32"/>
          <w:szCs w:val="32"/>
          <w:highlight w:val="none"/>
        </w:rPr>
      </w:pPr>
    </w:p>
    <w:p w14:paraId="362AAFD4">
      <w:pPr>
        <w:autoSpaceDE w:val="0"/>
        <w:autoSpaceDN w:val="0"/>
        <w:jc w:val="center"/>
        <w:rPr>
          <w:rFonts w:ascii="宋体" w:hAnsi="宋体" w:cs="宋体"/>
          <w:b/>
          <w:color w:val="auto"/>
          <w:spacing w:val="6"/>
          <w:sz w:val="32"/>
          <w:szCs w:val="32"/>
          <w:highlight w:val="none"/>
        </w:rPr>
      </w:pPr>
    </w:p>
    <w:p w14:paraId="31973D41">
      <w:pPr>
        <w:autoSpaceDE w:val="0"/>
        <w:autoSpaceDN w:val="0"/>
        <w:jc w:val="center"/>
        <w:rPr>
          <w:rFonts w:ascii="宋体" w:hAnsi="宋体" w:cs="宋体"/>
          <w:b/>
          <w:color w:val="auto"/>
          <w:spacing w:val="6"/>
          <w:sz w:val="32"/>
          <w:szCs w:val="32"/>
          <w:highlight w:val="none"/>
        </w:rPr>
      </w:pPr>
    </w:p>
    <w:p w14:paraId="71D831FF">
      <w:pPr>
        <w:autoSpaceDE w:val="0"/>
        <w:autoSpaceDN w:val="0"/>
        <w:jc w:val="center"/>
        <w:rPr>
          <w:rFonts w:ascii="宋体" w:hAnsi="宋体" w:cs="宋体"/>
          <w:b/>
          <w:color w:val="auto"/>
          <w:spacing w:val="6"/>
          <w:sz w:val="32"/>
          <w:szCs w:val="32"/>
          <w:highlight w:val="none"/>
        </w:rPr>
      </w:pPr>
    </w:p>
    <w:p w14:paraId="5D6D8F5E">
      <w:pPr>
        <w:autoSpaceDE w:val="0"/>
        <w:autoSpaceDN w:val="0"/>
        <w:jc w:val="center"/>
        <w:rPr>
          <w:rFonts w:ascii="宋体" w:hAnsi="宋体" w:cs="宋体"/>
          <w:b/>
          <w:color w:val="auto"/>
          <w:spacing w:val="6"/>
          <w:sz w:val="32"/>
          <w:szCs w:val="32"/>
          <w:highlight w:val="none"/>
        </w:rPr>
      </w:pPr>
    </w:p>
    <w:p w14:paraId="5C107CE9">
      <w:pPr>
        <w:widowControl/>
        <w:adjustRightInd/>
        <w:jc w:val="center"/>
        <w:rPr>
          <w:rFonts w:ascii="宋体" w:hAnsi="宋体" w:cs="宋体"/>
          <w:b/>
          <w:color w:val="auto"/>
          <w:kern w:val="0"/>
          <w:sz w:val="32"/>
          <w:szCs w:val="32"/>
          <w:highlight w:val="none"/>
        </w:rPr>
      </w:pPr>
      <w:r>
        <w:rPr>
          <w:rFonts w:ascii="宋体" w:hAnsi="宋体" w:cs="宋体"/>
          <w:b/>
          <w:color w:val="auto"/>
          <w:spacing w:val="6"/>
          <w:sz w:val="32"/>
          <w:szCs w:val="32"/>
          <w:highlight w:val="none"/>
        </w:rPr>
        <w:br w:type="page"/>
      </w: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2E16CEA2">
      <w:pPr>
        <w:widowControl/>
        <w:spacing w:line="360" w:lineRule="auto"/>
        <w:ind w:firstLine="120" w:firstLineChars="50"/>
        <w:jc w:val="left"/>
        <w:rPr>
          <w:rFonts w:ascii="宋体" w:hAnsi="宋体" w:cs="宋体"/>
          <w:color w:val="auto"/>
          <w:sz w:val="24"/>
          <w:highlight w:val="none"/>
        </w:rPr>
      </w:pPr>
    </w:p>
    <w:p w14:paraId="6AC69328">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2088D8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浙江万里学院同声传译实验室建设项目【重发】</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CTZB-2024070151-01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82667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AD359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F0EBBE7">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549E907B">
      <w:pPr>
        <w:rPr>
          <w:color w:val="auto"/>
          <w:highlight w:val="none"/>
        </w:rPr>
      </w:pPr>
      <w:r>
        <w:rPr>
          <w:rFonts w:hint="eastAsia"/>
          <w:color w:val="auto"/>
          <w:highlight w:val="none"/>
          <w:lang w:val="zh-CN"/>
        </w:rPr>
        <w:t xml:space="preserve"> </w:t>
      </w:r>
    </w:p>
    <w:p w14:paraId="52ECE6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50CB99E">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D8F9E83">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FD525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5750394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3F174E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4976C6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F1A2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90B5A0A">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849C962">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D0CE5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9325D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B7E154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4BEFF6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4D52BFCF">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供应商名称(电子签名)：</w:t>
      </w:r>
    </w:p>
    <w:p w14:paraId="54EF7EE9">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4D3BA27">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DB3E6E6">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90B224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0762290">
      <w:pPr>
        <w:autoSpaceDE w:val="0"/>
        <w:autoSpaceDN w:val="0"/>
        <w:jc w:val="center"/>
        <w:rPr>
          <w:rFonts w:ascii="宋体" w:hAnsi="宋体" w:cs="宋体"/>
          <w:b/>
          <w:color w:val="auto"/>
          <w:spacing w:val="6"/>
          <w:sz w:val="32"/>
          <w:szCs w:val="32"/>
          <w:highlight w:val="none"/>
        </w:rPr>
      </w:pPr>
    </w:p>
    <w:p w14:paraId="370ED9AE">
      <w:pPr>
        <w:autoSpaceDE w:val="0"/>
        <w:autoSpaceDN w:val="0"/>
        <w:jc w:val="center"/>
        <w:rPr>
          <w:rFonts w:ascii="宋体" w:hAnsi="宋体" w:cs="宋体"/>
          <w:b/>
          <w:color w:val="auto"/>
          <w:spacing w:val="6"/>
          <w:sz w:val="32"/>
          <w:szCs w:val="32"/>
          <w:highlight w:val="none"/>
        </w:rPr>
      </w:pPr>
    </w:p>
    <w:p w14:paraId="0EF4ABDE">
      <w:pPr>
        <w:autoSpaceDE w:val="0"/>
        <w:autoSpaceDN w:val="0"/>
        <w:jc w:val="center"/>
        <w:rPr>
          <w:rFonts w:ascii="宋体" w:hAnsi="宋体" w:cs="宋体"/>
          <w:b/>
          <w:color w:val="auto"/>
          <w:spacing w:val="6"/>
          <w:sz w:val="32"/>
          <w:szCs w:val="32"/>
          <w:highlight w:val="none"/>
        </w:rPr>
      </w:pPr>
    </w:p>
    <w:p w14:paraId="3402AEEB">
      <w:pPr>
        <w:autoSpaceDE w:val="0"/>
        <w:autoSpaceDN w:val="0"/>
        <w:jc w:val="center"/>
        <w:rPr>
          <w:rFonts w:ascii="宋体" w:hAnsi="宋体" w:cs="宋体"/>
          <w:b/>
          <w:color w:val="auto"/>
          <w:spacing w:val="6"/>
          <w:sz w:val="32"/>
          <w:szCs w:val="32"/>
          <w:highlight w:val="none"/>
        </w:rPr>
      </w:pPr>
    </w:p>
    <w:p w14:paraId="0BE78A64">
      <w:pPr>
        <w:autoSpaceDE w:val="0"/>
        <w:autoSpaceDN w:val="0"/>
        <w:jc w:val="center"/>
        <w:rPr>
          <w:rFonts w:ascii="宋体" w:hAnsi="宋体" w:cs="宋体"/>
          <w:b/>
          <w:color w:val="auto"/>
          <w:spacing w:val="6"/>
          <w:sz w:val="32"/>
          <w:szCs w:val="32"/>
          <w:highlight w:val="none"/>
        </w:rPr>
      </w:pPr>
    </w:p>
    <w:p w14:paraId="4AC241C8">
      <w:pPr>
        <w:autoSpaceDE w:val="0"/>
        <w:autoSpaceDN w:val="0"/>
        <w:jc w:val="center"/>
        <w:rPr>
          <w:rFonts w:ascii="宋体" w:hAnsi="宋体" w:cs="宋体"/>
          <w:b/>
          <w:color w:val="auto"/>
          <w:spacing w:val="6"/>
          <w:sz w:val="32"/>
          <w:szCs w:val="32"/>
          <w:highlight w:val="none"/>
        </w:rPr>
      </w:pPr>
    </w:p>
    <w:p w14:paraId="77B1C627">
      <w:pPr>
        <w:autoSpaceDE w:val="0"/>
        <w:autoSpaceDN w:val="0"/>
        <w:jc w:val="center"/>
        <w:rPr>
          <w:rFonts w:ascii="宋体" w:hAnsi="宋体" w:cs="宋体"/>
          <w:b/>
          <w:color w:val="auto"/>
          <w:spacing w:val="6"/>
          <w:sz w:val="32"/>
          <w:szCs w:val="32"/>
          <w:highlight w:val="none"/>
        </w:rPr>
      </w:pPr>
    </w:p>
    <w:p w14:paraId="5AEBBCA0">
      <w:pPr>
        <w:autoSpaceDE w:val="0"/>
        <w:autoSpaceDN w:val="0"/>
        <w:jc w:val="center"/>
        <w:rPr>
          <w:rFonts w:ascii="宋体" w:hAnsi="宋体" w:cs="宋体"/>
          <w:b/>
          <w:color w:val="auto"/>
          <w:spacing w:val="6"/>
          <w:sz w:val="32"/>
          <w:szCs w:val="32"/>
          <w:highlight w:val="none"/>
        </w:rPr>
      </w:pPr>
    </w:p>
    <w:p w14:paraId="35AA28B3">
      <w:pPr>
        <w:autoSpaceDE w:val="0"/>
        <w:autoSpaceDN w:val="0"/>
        <w:jc w:val="center"/>
        <w:rPr>
          <w:rFonts w:ascii="宋体" w:hAnsi="宋体" w:cs="宋体"/>
          <w:b/>
          <w:color w:val="auto"/>
          <w:spacing w:val="6"/>
          <w:sz w:val="32"/>
          <w:szCs w:val="32"/>
          <w:highlight w:val="none"/>
        </w:rPr>
      </w:pPr>
    </w:p>
    <w:p w14:paraId="3AC58077">
      <w:pPr>
        <w:autoSpaceDE w:val="0"/>
        <w:autoSpaceDN w:val="0"/>
        <w:jc w:val="center"/>
        <w:rPr>
          <w:rFonts w:ascii="宋体" w:hAnsi="宋体" w:cs="宋体"/>
          <w:b/>
          <w:color w:val="auto"/>
          <w:spacing w:val="6"/>
          <w:sz w:val="32"/>
          <w:szCs w:val="32"/>
          <w:highlight w:val="none"/>
        </w:rPr>
      </w:pPr>
    </w:p>
    <w:p w14:paraId="17F3732E">
      <w:pPr>
        <w:autoSpaceDE w:val="0"/>
        <w:autoSpaceDN w:val="0"/>
        <w:jc w:val="center"/>
        <w:rPr>
          <w:rFonts w:ascii="宋体" w:hAnsi="宋体" w:cs="宋体"/>
          <w:b/>
          <w:color w:val="auto"/>
          <w:spacing w:val="6"/>
          <w:sz w:val="32"/>
          <w:szCs w:val="32"/>
          <w:highlight w:val="none"/>
        </w:rPr>
      </w:pPr>
    </w:p>
    <w:p w14:paraId="362DAFA6">
      <w:pPr>
        <w:autoSpaceDE w:val="0"/>
        <w:autoSpaceDN w:val="0"/>
        <w:jc w:val="center"/>
        <w:rPr>
          <w:rFonts w:ascii="宋体" w:hAnsi="宋体" w:cs="宋体"/>
          <w:b/>
          <w:color w:val="auto"/>
          <w:spacing w:val="6"/>
          <w:sz w:val="32"/>
          <w:szCs w:val="32"/>
          <w:highlight w:val="none"/>
        </w:rPr>
      </w:pPr>
    </w:p>
    <w:p w14:paraId="77FBA46C">
      <w:pPr>
        <w:autoSpaceDE w:val="0"/>
        <w:autoSpaceDN w:val="0"/>
        <w:jc w:val="center"/>
        <w:rPr>
          <w:rFonts w:ascii="宋体" w:hAnsi="宋体" w:cs="宋体"/>
          <w:b/>
          <w:color w:val="auto"/>
          <w:spacing w:val="6"/>
          <w:sz w:val="32"/>
          <w:szCs w:val="32"/>
          <w:highlight w:val="none"/>
        </w:rPr>
      </w:pPr>
    </w:p>
    <w:p w14:paraId="0AA7B684">
      <w:pPr>
        <w:autoSpaceDE w:val="0"/>
        <w:autoSpaceDN w:val="0"/>
        <w:jc w:val="center"/>
        <w:rPr>
          <w:rFonts w:ascii="宋体" w:hAnsi="宋体" w:cs="宋体"/>
          <w:b/>
          <w:color w:val="auto"/>
          <w:spacing w:val="6"/>
          <w:sz w:val="32"/>
          <w:szCs w:val="32"/>
          <w:highlight w:val="none"/>
        </w:rPr>
      </w:pPr>
    </w:p>
    <w:p w14:paraId="3F31077B">
      <w:pPr>
        <w:autoSpaceDE w:val="0"/>
        <w:autoSpaceDN w:val="0"/>
        <w:jc w:val="center"/>
        <w:rPr>
          <w:rFonts w:ascii="宋体" w:hAnsi="宋体" w:cs="宋体"/>
          <w:b/>
          <w:color w:val="auto"/>
          <w:spacing w:val="6"/>
          <w:sz w:val="32"/>
          <w:szCs w:val="32"/>
          <w:highlight w:val="none"/>
        </w:rPr>
      </w:pPr>
    </w:p>
    <w:p w14:paraId="34D84C5B">
      <w:pPr>
        <w:autoSpaceDE w:val="0"/>
        <w:autoSpaceDN w:val="0"/>
        <w:jc w:val="center"/>
        <w:rPr>
          <w:rFonts w:ascii="宋体" w:hAnsi="宋体" w:cs="宋体"/>
          <w:b/>
          <w:color w:val="auto"/>
          <w:spacing w:val="6"/>
          <w:sz w:val="32"/>
          <w:szCs w:val="32"/>
          <w:highlight w:val="none"/>
        </w:rPr>
      </w:pPr>
    </w:p>
    <w:p w14:paraId="473FDBD8">
      <w:pPr>
        <w:autoSpaceDE w:val="0"/>
        <w:autoSpaceDN w:val="0"/>
        <w:jc w:val="center"/>
        <w:rPr>
          <w:rFonts w:ascii="宋体" w:hAnsi="宋体" w:cs="宋体"/>
          <w:b/>
          <w:color w:val="auto"/>
          <w:spacing w:val="6"/>
          <w:sz w:val="32"/>
          <w:szCs w:val="32"/>
          <w:highlight w:val="none"/>
        </w:rPr>
      </w:pPr>
    </w:p>
    <w:p w14:paraId="401B3847">
      <w:pPr>
        <w:autoSpaceDE w:val="0"/>
        <w:autoSpaceDN w:val="0"/>
        <w:jc w:val="center"/>
        <w:rPr>
          <w:rFonts w:ascii="宋体" w:hAnsi="宋体" w:cs="宋体"/>
          <w:b/>
          <w:color w:val="auto"/>
          <w:spacing w:val="6"/>
          <w:sz w:val="32"/>
          <w:szCs w:val="32"/>
          <w:highlight w:val="none"/>
        </w:rPr>
      </w:pPr>
    </w:p>
    <w:p w14:paraId="31627CB3">
      <w:pPr>
        <w:autoSpaceDE w:val="0"/>
        <w:autoSpaceDN w:val="0"/>
        <w:jc w:val="center"/>
        <w:rPr>
          <w:rFonts w:ascii="宋体" w:hAnsi="宋体" w:cs="宋体"/>
          <w:b/>
          <w:color w:val="auto"/>
          <w:spacing w:val="6"/>
          <w:sz w:val="32"/>
          <w:szCs w:val="32"/>
          <w:highlight w:val="none"/>
        </w:rPr>
      </w:pPr>
    </w:p>
    <w:p w14:paraId="76D015E4">
      <w:pPr>
        <w:autoSpaceDE w:val="0"/>
        <w:autoSpaceDN w:val="0"/>
        <w:jc w:val="center"/>
        <w:rPr>
          <w:rFonts w:ascii="宋体" w:hAnsi="宋体" w:cs="宋体"/>
          <w:b/>
          <w:color w:val="auto"/>
          <w:spacing w:val="6"/>
          <w:sz w:val="32"/>
          <w:szCs w:val="32"/>
          <w:highlight w:val="none"/>
        </w:rPr>
      </w:pPr>
    </w:p>
    <w:p w14:paraId="0952FA59">
      <w:pPr>
        <w:autoSpaceDE w:val="0"/>
        <w:autoSpaceDN w:val="0"/>
        <w:jc w:val="center"/>
        <w:rPr>
          <w:rFonts w:ascii="宋体" w:hAnsi="宋体" w:cs="宋体"/>
          <w:b/>
          <w:color w:val="auto"/>
          <w:spacing w:val="6"/>
          <w:sz w:val="32"/>
          <w:szCs w:val="32"/>
          <w:highlight w:val="none"/>
        </w:rPr>
      </w:pPr>
    </w:p>
    <w:p w14:paraId="37896117">
      <w:pPr>
        <w:autoSpaceDE w:val="0"/>
        <w:autoSpaceDN w:val="0"/>
        <w:jc w:val="center"/>
        <w:rPr>
          <w:rFonts w:ascii="宋体" w:hAnsi="宋体" w:cs="宋体"/>
          <w:b/>
          <w:color w:val="auto"/>
          <w:spacing w:val="6"/>
          <w:sz w:val="32"/>
          <w:szCs w:val="32"/>
          <w:highlight w:val="none"/>
        </w:rPr>
      </w:pPr>
    </w:p>
    <w:p w14:paraId="1489F3DD">
      <w:pPr>
        <w:autoSpaceDE w:val="0"/>
        <w:autoSpaceDN w:val="0"/>
        <w:jc w:val="center"/>
        <w:rPr>
          <w:rFonts w:ascii="宋体" w:hAnsi="宋体" w:cs="宋体"/>
          <w:b/>
          <w:color w:val="auto"/>
          <w:spacing w:val="6"/>
          <w:sz w:val="32"/>
          <w:szCs w:val="32"/>
          <w:highlight w:val="none"/>
        </w:rPr>
      </w:pPr>
    </w:p>
    <w:p w14:paraId="3DCEAD66">
      <w:pPr>
        <w:autoSpaceDE w:val="0"/>
        <w:autoSpaceDN w:val="0"/>
        <w:jc w:val="center"/>
        <w:rPr>
          <w:rFonts w:ascii="宋体" w:hAnsi="宋体" w:cs="宋体"/>
          <w:b/>
          <w:color w:val="auto"/>
          <w:spacing w:val="6"/>
          <w:sz w:val="32"/>
          <w:szCs w:val="32"/>
          <w:highlight w:val="none"/>
        </w:rPr>
      </w:pPr>
    </w:p>
    <w:p w14:paraId="789AC134">
      <w:pPr>
        <w:autoSpaceDE w:val="0"/>
        <w:autoSpaceDN w:val="0"/>
        <w:jc w:val="center"/>
        <w:rPr>
          <w:rFonts w:ascii="宋体" w:hAnsi="宋体" w:cs="宋体"/>
          <w:b/>
          <w:color w:val="auto"/>
          <w:spacing w:val="6"/>
          <w:sz w:val="32"/>
          <w:szCs w:val="32"/>
          <w:highlight w:val="none"/>
        </w:rPr>
      </w:pPr>
    </w:p>
    <w:p w14:paraId="7B28AA91">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6588CD7C">
      <w:pPr>
        <w:spacing w:line="360" w:lineRule="auto"/>
        <w:jc w:val="center"/>
        <w:rPr>
          <w:rFonts w:ascii="宋体" w:hAnsi="宋体" w:cs="宋体"/>
          <w:color w:val="auto"/>
          <w:sz w:val="24"/>
          <w:highlight w:val="none"/>
          <w:u w:val="single"/>
        </w:rPr>
      </w:pPr>
    </w:p>
    <w:p w14:paraId="05E0126F">
      <w:pPr>
        <w:spacing w:line="360" w:lineRule="auto"/>
        <w:jc w:val="center"/>
        <w:rPr>
          <w:rFonts w:ascii="Arial" w:hAnsi="Arial"/>
          <w:b/>
          <w:color w:val="auto"/>
          <w:sz w:val="24"/>
          <w:highlight w:val="none"/>
        </w:rPr>
      </w:pPr>
      <w:r>
        <w:rPr>
          <w:rFonts w:hint="eastAsia" w:ascii="Arial" w:hAnsi="Arial"/>
          <w:b/>
          <w:color w:val="auto"/>
          <w:sz w:val="24"/>
          <w:highlight w:val="none"/>
        </w:rPr>
        <w:t>中小企业声明函（货物）</w:t>
      </w:r>
    </w:p>
    <w:p w14:paraId="20A2FC69">
      <w:pPr>
        <w:spacing w:line="360" w:lineRule="auto"/>
        <w:jc w:val="center"/>
        <w:rPr>
          <w:rFonts w:ascii="Arial" w:hAnsi="Arial" w:cs="宋体"/>
          <w:color w:val="auto"/>
          <w:kern w:val="0"/>
          <w:sz w:val="24"/>
          <w:highlight w:val="none"/>
        </w:rPr>
      </w:pPr>
    </w:p>
    <w:p w14:paraId="2245BB55">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本公司郑重声明，根据《政府采购促进中小企业发展管理办法》（财库﹝2020﹞46 号）的规定，本公司参加</w:t>
      </w:r>
      <w:r>
        <w:rPr>
          <w:rFonts w:hint="eastAsia" w:ascii="Arial" w:hAnsi="Arial"/>
          <w:color w:val="auto"/>
          <w:sz w:val="24"/>
          <w:highlight w:val="none"/>
          <w:u w:val="single"/>
        </w:rPr>
        <w:t xml:space="preserve">  （采购人名称）  </w:t>
      </w:r>
      <w:r>
        <w:rPr>
          <w:rFonts w:hint="eastAsia" w:ascii="Arial" w:hAnsi="Arial"/>
          <w:color w:val="auto"/>
          <w:sz w:val="24"/>
          <w:highlight w:val="none"/>
        </w:rPr>
        <w:t>的</w:t>
      </w:r>
      <w:r>
        <w:rPr>
          <w:rFonts w:hint="eastAsia" w:ascii="Arial" w:hAnsi="Arial"/>
          <w:color w:val="auto"/>
          <w:sz w:val="24"/>
          <w:highlight w:val="none"/>
          <w:u w:val="single"/>
        </w:rPr>
        <w:t xml:space="preserve">  （项目名称）  </w:t>
      </w:r>
      <w:r>
        <w:rPr>
          <w:rFonts w:hint="eastAsia" w:ascii="Arial" w:hAnsi="Arial" w:cs="宋体"/>
          <w:color w:val="auto"/>
          <w:sz w:val="24"/>
          <w:highlight w:val="none"/>
        </w:rPr>
        <w:t>采购活动，提供的货物全部由符合政策要求的中小企业制造。相关企业（含联合体中的中小企业、签订分包意向协议的中小企业）的具体情况如下：</w:t>
      </w:r>
    </w:p>
    <w:p w14:paraId="2C20D8A9">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1、</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11E74AAB">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2、</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73B194D9">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3、</w:t>
      </w:r>
      <w:r>
        <w:rPr>
          <w:rFonts w:hint="eastAsia" w:ascii="Arial" w:hAnsi="Arial" w:cs="宋体"/>
          <w:color w:val="auto"/>
          <w:sz w:val="24"/>
          <w:highlight w:val="none"/>
          <w:u w:val="single"/>
        </w:rPr>
        <w:t xml:space="preserve"> （货物名称） </w:t>
      </w:r>
      <w:r>
        <w:rPr>
          <w:rFonts w:hint="eastAsia" w:ascii="Arial" w:hAnsi="Arial" w:cs="宋体"/>
          <w:color w:val="auto"/>
          <w:sz w:val="24"/>
          <w:highlight w:val="none"/>
        </w:rPr>
        <w:t>，属于</w:t>
      </w:r>
      <w:r>
        <w:rPr>
          <w:rFonts w:hint="eastAsia" w:ascii="Arial" w:hAnsi="Arial" w:cs="宋体"/>
          <w:b/>
          <w:bCs/>
          <w:color w:val="auto"/>
          <w:sz w:val="24"/>
          <w:highlight w:val="none"/>
          <w:u w:val="single"/>
        </w:rPr>
        <w:t>工业</w:t>
      </w:r>
      <w:r>
        <w:rPr>
          <w:rFonts w:hint="eastAsia" w:ascii="Arial" w:hAnsi="Arial"/>
          <w:b/>
          <w:bCs/>
          <w:color w:val="auto"/>
          <w:sz w:val="24"/>
          <w:highlight w:val="none"/>
          <w:u w:val="single"/>
        </w:rPr>
        <w:t>（本项内容不允许修改）</w:t>
      </w:r>
      <w:r>
        <w:rPr>
          <w:rFonts w:hint="eastAsia" w:ascii="Arial" w:hAnsi="Arial" w:cs="宋体"/>
          <w:color w:val="auto"/>
          <w:sz w:val="24"/>
          <w:highlight w:val="none"/>
        </w:rPr>
        <w:t>；制造商为</w:t>
      </w:r>
      <w:r>
        <w:rPr>
          <w:rFonts w:hint="eastAsia" w:ascii="Arial" w:hAnsi="Arial" w:cs="宋体"/>
          <w:color w:val="auto"/>
          <w:sz w:val="24"/>
          <w:highlight w:val="none"/>
          <w:u w:val="single"/>
        </w:rPr>
        <w:t>（企业名称）</w:t>
      </w:r>
      <w:r>
        <w:rPr>
          <w:rFonts w:hint="eastAsia" w:ascii="Arial" w:hAnsi="Arial" w:cs="宋体"/>
          <w:color w:val="auto"/>
          <w:sz w:val="24"/>
          <w:highlight w:val="none"/>
        </w:rPr>
        <w:t>，从业人员</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人，营业收入为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万元，资产总额为</w:t>
      </w:r>
      <w:r>
        <w:rPr>
          <w:rFonts w:hint="eastAsia" w:ascii="Arial" w:hAnsi="Arial" w:cs="宋体"/>
          <w:color w:val="auto"/>
          <w:sz w:val="24"/>
          <w:highlight w:val="none"/>
          <w:u w:val="single"/>
        </w:rPr>
        <w:t xml:space="preserve">    </w:t>
      </w:r>
      <w:r>
        <w:rPr>
          <w:rFonts w:hint="eastAsia" w:ascii="Arial" w:hAnsi="Arial" w:cs="宋体"/>
          <w:color w:val="auto"/>
          <w:sz w:val="24"/>
          <w:highlight w:val="none"/>
        </w:rPr>
        <w:t>万元</w:t>
      </w:r>
      <w:r>
        <w:rPr>
          <w:rFonts w:hint="eastAsia" w:ascii="Arial" w:hAnsi="Arial" w:cs="宋体"/>
          <w:color w:val="auto"/>
          <w:sz w:val="24"/>
          <w:highlight w:val="none"/>
          <w:vertAlign w:val="superscript"/>
        </w:rPr>
        <w:t>1</w:t>
      </w:r>
      <w:r>
        <w:rPr>
          <w:rFonts w:hint="eastAsia" w:ascii="Arial" w:hAnsi="Arial" w:cs="宋体"/>
          <w:color w:val="auto"/>
          <w:sz w:val="24"/>
          <w:highlight w:val="none"/>
        </w:rPr>
        <w:t>，属于</w:t>
      </w:r>
      <w:r>
        <w:rPr>
          <w:rFonts w:hint="eastAsia" w:ascii="Arial" w:hAnsi="Arial" w:cs="宋体"/>
          <w:color w:val="auto"/>
          <w:sz w:val="24"/>
          <w:highlight w:val="none"/>
          <w:u w:val="single"/>
        </w:rPr>
        <w:t>（中型企业、小型企业、微型企业）</w:t>
      </w:r>
      <w:r>
        <w:rPr>
          <w:rFonts w:hint="eastAsia" w:ascii="Arial" w:hAnsi="Arial" w:cs="宋体"/>
          <w:color w:val="auto"/>
          <w:sz w:val="24"/>
          <w:highlight w:val="none"/>
        </w:rPr>
        <w:t>；</w:t>
      </w:r>
    </w:p>
    <w:p w14:paraId="243D1452">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w:t>
      </w:r>
    </w:p>
    <w:p w14:paraId="7DA3CACF">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以上企业，不属于大企业的分支机构，不存在控股股东为大企业的情形，也不存在与大企业的负责人为同一人的情形。</w:t>
      </w:r>
    </w:p>
    <w:p w14:paraId="2AFAF6E4">
      <w:pPr>
        <w:spacing w:line="360" w:lineRule="auto"/>
        <w:ind w:firstLine="480" w:firstLineChars="200"/>
        <w:rPr>
          <w:rFonts w:ascii="Arial" w:hAnsi="Arial" w:cs="宋体"/>
          <w:color w:val="auto"/>
          <w:sz w:val="24"/>
          <w:highlight w:val="none"/>
        </w:rPr>
      </w:pPr>
      <w:r>
        <w:rPr>
          <w:rFonts w:hint="eastAsia" w:ascii="Arial" w:hAnsi="Arial" w:cs="宋体"/>
          <w:color w:val="auto"/>
          <w:sz w:val="24"/>
          <w:highlight w:val="none"/>
        </w:rPr>
        <w:t>本企业对上述声明内容的真实性负责。如有虚假，将依法承担相应责任。</w:t>
      </w:r>
    </w:p>
    <w:p w14:paraId="575408E0">
      <w:pPr>
        <w:spacing w:line="360" w:lineRule="auto"/>
        <w:jc w:val="left"/>
        <w:rPr>
          <w:rFonts w:ascii="Arial" w:hAnsi="Arial" w:cs="宋体"/>
          <w:color w:val="auto"/>
          <w:sz w:val="24"/>
          <w:highlight w:val="none"/>
        </w:rPr>
      </w:pPr>
    </w:p>
    <w:p w14:paraId="76E248A6">
      <w:pPr>
        <w:adjustRightInd/>
        <w:snapToGrid w:val="0"/>
        <w:spacing w:line="360" w:lineRule="auto"/>
        <w:rPr>
          <w:rFonts w:ascii="Arial" w:hAnsi="Arial"/>
          <w:color w:val="auto"/>
          <w:sz w:val="24"/>
          <w:highlight w:val="none"/>
        </w:rPr>
      </w:pPr>
      <w:r>
        <w:rPr>
          <w:rFonts w:hint="eastAsia" w:ascii="Arial" w:hAnsi="Arial"/>
          <w:color w:val="auto"/>
          <w:sz w:val="24"/>
          <w:highlight w:val="none"/>
        </w:rPr>
        <w:t>企业名称（盖章）：</w:t>
      </w:r>
    </w:p>
    <w:p w14:paraId="03DBEB74">
      <w:pPr>
        <w:adjustRightInd/>
        <w:snapToGrid w:val="0"/>
        <w:spacing w:line="360" w:lineRule="auto"/>
        <w:rPr>
          <w:rFonts w:ascii="Arial" w:hAnsi="Arial"/>
          <w:color w:val="auto"/>
          <w:sz w:val="24"/>
          <w:highlight w:val="none"/>
        </w:rPr>
      </w:pPr>
      <w:r>
        <w:rPr>
          <w:rFonts w:hint="eastAsia" w:ascii="Arial" w:hAnsi="Arial"/>
          <w:color w:val="auto"/>
          <w:sz w:val="24"/>
          <w:highlight w:val="none"/>
        </w:rPr>
        <w:t>日期：</w:t>
      </w:r>
    </w:p>
    <w:p w14:paraId="51D282C7">
      <w:pPr>
        <w:adjustRightInd/>
        <w:snapToGrid w:val="0"/>
        <w:spacing w:line="360" w:lineRule="auto"/>
        <w:rPr>
          <w:rFonts w:ascii="Arial" w:hAnsi="Arial"/>
          <w:color w:val="auto"/>
          <w:sz w:val="24"/>
          <w:highlight w:val="none"/>
          <w:u w:val="single"/>
        </w:rPr>
      </w:pPr>
      <w:r>
        <w:rPr>
          <w:rFonts w:hint="eastAsia" w:ascii="Arial" w:hAnsi="Arial"/>
          <w:color w:val="auto"/>
          <w:sz w:val="24"/>
          <w:highlight w:val="none"/>
          <w:u w:val="single"/>
        </w:rPr>
        <w:t xml:space="preserve">                  </w:t>
      </w:r>
    </w:p>
    <w:p w14:paraId="14F25E63">
      <w:pPr>
        <w:spacing w:line="360" w:lineRule="auto"/>
        <w:rPr>
          <w:rFonts w:ascii="Arial" w:hAnsi="Arial" w:cs="宋体"/>
          <w:color w:val="auto"/>
          <w:kern w:val="0"/>
          <w:sz w:val="24"/>
          <w:highlight w:val="none"/>
        </w:rPr>
      </w:pPr>
      <w:r>
        <w:rPr>
          <w:rFonts w:hint="eastAsia" w:ascii="Arial" w:hAnsi="Arial" w:cs="宋体"/>
          <w:color w:val="auto"/>
          <w:kern w:val="0"/>
          <w:sz w:val="24"/>
          <w:highlight w:val="none"/>
          <w:vertAlign w:val="superscript"/>
        </w:rPr>
        <w:t>1</w:t>
      </w:r>
      <w:r>
        <w:rPr>
          <w:rFonts w:hint="eastAsia" w:ascii="Arial" w:hAnsi="Arial" w:cs="宋体"/>
          <w:color w:val="auto"/>
          <w:kern w:val="0"/>
          <w:sz w:val="24"/>
          <w:highlight w:val="none"/>
        </w:rPr>
        <w:t>从业人员、营业收入、资产总额填报上一年度数据，无上一年度数据的新成立企业可不填报。</w:t>
      </w:r>
    </w:p>
    <w:p w14:paraId="4FB9BA48">
      <w:pPr>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注：</w:t>
      </w:r>
    </w:p>
    <w:p w14:paraId="4808DEB5">
      <w:pPr>
        <w:numPr>
          <w:ilvl w:val="0"/>
          <w:numId w:val="5"/>
        </w:numPr>
        <w:adjustRightInd/>
        <w:snapToGrid w:val="0"/>
        <w:spacing w:line="360" w:lineRule="auto"/>
        <w:ind w:firstLine="480" w:firstLineChars="200"/>
        <w:rPr>
          <w:rFonts w:ascii="Arial" w:hAnsi="Arial" w:cs="宋体"/>
          <w:color w:val="auto"/>
          <w:kern w:val="0"/>
          <w:sz w:val="24"/>
          <w:highlight w:val="none"/>
        </w:rPr>
      </w:pPr>
      <w:r>
        <w:rPr>
          <w:rFonts w:hint="eastAsia" w:ascii="Arial" w:hAnsi="Arial" w:cs="宋体"/>
          <w:color w:val="auto"/>
          <w:kern w:val="0"/>
          <w:sz w:val="24"/>
          <w:highlight w:val="none"/>
        </w:rPr>
        <w:t>根据工信部联企业[2011]300号文件，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w:t>
      </w:r>
    </w:p>
    <w:p w14:paraId="5773812D">
      <w:pPr>
        <w:numPr>
          <w:ilvl w:val="0"/>
          <w:numId w:val="5"/>
        </w:numPr>
        <w:adjustRightInd/>
        <w:snapToGrid w:val="0"/>
        <w:spacing w:line="360" w:lineRule="auto"/>
        <w:ind w:firstLine="482" w:firstLineChars="200"/>
        <w:rPr>
          <w:rFonts w:ascii="Arial" w:hAnsi="Arial"/>
          <w:b/>
          <w:color w:val="auto"/>
          <w:sz w:val="24"/>
          <w:highlight w:val="none"/>
        </w:rPr>
      </w:pPr>
      <w:r>
        <w:rPr>
          <w:rFonts w:hint="eastAsia" w:ascii="Arial" w:hAnsi="Arial" w:cs="宋体"/>
          <w:b/>
          <w:bCs/>
          <w:color w:val="auto"/>
          <w:kern w:val="0"/>
          <w:sz w:val="24"/>
          <w:highlight w:val="none"/>
        </w:rPr>
        <w:t>如接受联合体投标的项目，所有联合体参与方均需提供本表。</w:t>
      </w:r>
    </w:p>
    <w:p w14:paraId="21B17FCF">
      <w:pPr>
        <w:tabs>
          <w:tab w:val="left" w:pos="0"/>
        </w:tabs>
        <w:adjustRightInd/>
        <w:snapToGrid w:val="0"/>
        <w:spacing w:line="360" w:lineRule="auto"/>
        <w:rPr>
          <w:rFonts w:ascii="Arial" w:hAnsi="Arial" w:cs="宋体"/>
          <w:b/>
          <w:bCs/>
          <w:color w:val="auto"/>
          <w:kern w:val="0"/>
          <w:sz w:val="24"/>
          <w:highlight w:val="none"/>
        </w:rPr>
      </w:pPr>
      <w:r>
        <w:rPr>
          <w:rFonts w:hint="eastAsia" w:ascii="Arial" w:hAnsi="Arial" w:cs="宋体"/>
          <w:b/>
          <w:bCs/>
          <w:color w:val="auto"/>
          <w:kern w:val="0"/>
          <w:sz w:val="24"/>
          <w:highlight w:val="none"/>
        </w:rPr>
        <w:t>风险提示：</w:t>
      </w:r>
    </w:p>
    <w:p w14:paraId="5395C2EF">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对于非面向联合体的项目，在货物采购项目中，供应商提供的货物既有中型企业造，也有小微企业制造的，不享受办法规定的小微企业扶持政策。</w:t>
      </w:r>
    </w:p>
    <w:p w14:paraId="37B775D9">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供应商应当对其出具的《中小企业声明函》真实性负责，供应商出具的《中小企业声明函》内容不实的，属于提供虚假材料谋取中标。在实际操作中，供应商希望获得《办法》规定政策支持的，应从制造商处获得充分、准确的信息。对相关制造商信息了解不充分，或者不能确定相关信息真实、准确的，不建议出具《中小企业声明函》。</w:t>
      </w:r>
    </w:p>
    <w:p w14:paraId="25E75FEB">
      <w:pPr>
        <w:numPr>
          <w:ilvl w:val="0"/>
          <w:numId w:val="5"/>
        </w:numPr>
        <w:adjustRightInd/>
        <w:snapToGrid w:val="0"/>
        <w:spacing w:line="360" w:lineRule="auto"/>
        <w:ind w:firstLine="482" w:firstLineChars="200"/>
        <w:rPr>
          <w:rFonts w:ascii="Arial" w:hAnsi="Arial" w:cs="宋体"/>
          <w:b/>
          <w:bCs/>
          <w:color w:val="auto"/>
          <w:kern w:val="0"/>
          <w:sz w:val="24"/>
          <w:highlight w:val="none"/>
        </w:rPr>
      </w:pPr>
      <w:r>
        <w:rPr>
          <w:rFonts w:hint="eastAsia" w:ascii="Arial" w:hAnsi="Arial" w:cs="宋体"/>
          <w:b/>
          <w:bCs/>
          <w:color w:val="auto"/>
          <w:kern w:val="0"/>
          <w:sz w:val="24"/>
          <w:highlight w:val="none"/>
        </w:rPr>
        <w:t>如提供本函应将《采购清单》中的全部投标产品制造商相关企业的具体情况列明。</w:t>
      </w:r>
    </w:p>
    <w:p w14:paraId="45391839">
      <w:pPr>
        <w:pStyle w:val="3"/>
        <w:rPr>
          <w:rFonts w:ascii="宋体" w:hAnsi="宋体" w:eastAsia="宋体" w:cs="宋体"/>
          <w:color w:val="auto"/>
          <w:highlight w:val="none"/>
          <w:lang w:val="en-US"/>
        </w:rPr>
      </w:pPr>
      <w:bookmarkStart w:id="408" w:name="_GoBack"/>
      <w:bookmarkEnd w:id="408"/>
    </w:p>
    <w:p w14:paraId="3A9629C0">
      <w:pPr>
        <w:spacing w:line="360" w:lineRule="auto"/>
        <w:ind w:right="420"/>
        <w:rPr>
          <w:rFonts w:ascii="宋体" w:hAnsi="宋体" w:cs="宋体"/>
          <w:color w:val="auto"/>
          <w:highlight w:val="none"/>
        </w:rPr>
      </w:pPr>
    </w:p>
    <w:p w14:paraId="18A45948">
      <w:pPr>
        <w:spacing w:line="360" w:lineRule="auto"/>
        <w:rPr>
          <w:rFonts w:ascii="宋体" w:hAnsi="宋体" w:cs="宋体"/>
          <w:bCs/>
          <w:color w:val="auto"/>
          <w:sz w:val="24"/>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MS Gothic"/>
    <w:panose1 w:val="02020609040205080304"/>
    <w:charset w:val="80"/>
    <w:family w:val="roman"/>
    <w:pitch w:val="default"/>
    <w:sig w:usb0="00000000" w:usb1="00000000" w:usb2="00000010" w:usb3="00000000" w:csb0="0002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4DD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035AF">
    <w:pPr>
      <w:pStyle w:val="40"/>
      <w:framePr w:wrap="around" w:vAnchor="text" w:hAnchor="margin" w:xAlign="right" w:y="1"/>
      <w:rPr>
        <w:rStyle w:val="73"/>
      </w:rPr>
    </w:pPr>
    <w:r>
      <w:fldChar w:fldCharType="begin"/>
    </w:r>
    <w:r>
      <w:rPr>
        <w:rStyle w:val="73"/>
      </w:rPr>
      <w:instrText xml:space="preserve">PAGE  </w:instrText>
    </w:r>
    <w:r>
      <w:fldChar w:fldCharType="end"/>
    </w:r>
  </w:p>
  <w:p w14:paraId="298F4A95">
    <w:pPr>
      <w:pStyle w:val="40"/>
      <w:ind w:right="360"/>
    </w:pPr>
  </w:p>
  <w:p w14:paraId="44B9B97D"/>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6BE5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4" w:name="_Toc164085800"/>
    <w:bookmarkStart w:id="405" w:name="_Toc91899912"/>
    <w:bookmarkStart w:id="406" w:name="_Toc131845147"/>
    <w:bookmarkStart w:id="407" w:name="_Toc36110187"/>
    <w:r>
      <w:rPr>
        <w:rFonts w:hint="eastAsia" w:ascii="仿宋_GB2312" w:eastAsia="仿宋_GB2312"/>
        <w:kern w:val="0"/>
        <w:szCs w:val="21"/>
      </w:rPr>
      <w:t xml:space="preserve"> 页</w:t>
    </w:r>
    <w:bookmarkEnd w:id="404"/>
    <w:bookmarkEnd w:id="405"/>
    <w:bookmarkEnd w:id="406"/>
    <w:bookmarkEnd w:id="407"/>
  </w:p>
  <w:p w14:paraId="589429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0011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2E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01BD358">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C3E0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63F90E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C3923">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645BB67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668B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21DE7F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4E55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78C4E84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F079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433939F2">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D35E5">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79</w:t>
    </w:r>
    <w:r>
      <w:rPr>
        <w:rFonts w:hint="eastAsia" w:ascii="仿宋_GB2312" w:eastAsia="仿宋_GB2312"/>
        <w:kern w:val="0"/>
        <w:szCs w:val="21"/>
      </w:rPr>
      <w:fldChar w:fldCharType="end"/>
    </w:r>
    <w:r>
      <w:rPr>
        <w:rFonts w:hint="eastAsia" w:ascii="仿宋_GB2312" w:eastAsia="仿宋_GB2312"/>
        <w:kern w:val="0"/>
        <w:szCs w:val="21"/>
      </w:rPr>
      <w:t xml:space="preserve"> 页</w:t>
    </w:r>
  </w:p>
  <w:p w14:paraId="33FCB0C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47D29">
    <w:pPr>
      <w:pStyle w:val="41"/>
      <w:pBdr>
        <w:bottom w:val="single" w:color="auto" w:sz="6" w:space="4"/>
      </w:pBdr>
      <w:jc w:val="right"/>
    </w:pPr>
    <w:r>
      <w:t></w:t>
    </w:r>
    <w:r>
      <w:rPr>
        <w:rFonts w:hint="eastAsia"/>
      </w:rPr>
      <w:t xml:space="preserve">             </w:t>
    </w:r>
    <w:r>
      <w:t>政府采购公开招标文件</w:t>
    </w:r>
  </w:p>
  <w:p w14:paraId="4E7B70A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7C2E0">
    <w:pPr>
      <w:pStyle w:val="41"/>
    </w:pPr>
    <w:r>
      <w:t></w:t>
    </w:r>
    <w:r>
      <w:rPr>
        <w:rFonts w:hint="eastAsia"/>
      </w:rPr>
      <w:t xml:space="preserve">                                            </w:t>
    </w:r>
    <w:r>
      <w:t>政府采购公开招标文件</w:t>
    </w:r>
  </w:p>
  <w:p w14:paraId="340FB7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057C4">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58199">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56EF8B4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D78EF">
    <w:pPr>
      <w:pStyle w:val="41"/>
    </w:pPr>
    <w:r>
      <w:t></w:t>
    </w:r>
    <w:r>
      <w:rPr>
        <w:rFonts w:hint="eastAsia"/>
      </w:rPr>
      <w:t xml:space="preserve">         </w:t>
    </w:r>
  </w:p>
  <w:p w14:paraId="1F5521CE">
    <w:pPr>
      <w:pStyle w:val="41"/>
    </w:pPr>
    <w:r>
      <w:rPr>
        <w:rFonts w:hint="eastAsia"/>
      </w:rPr>
      <w:t xml:space="preserve">                                                                  </w:t>
    </w:r>
    <w: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FFC41">
    <w:pPr>
      <w:pStyle w:val="41"/>
      <w:rPr>
        <w:rFonts w:ascii="仿宋_GB2312" w:eastAsia="仿宋_GB2312"/>
        <w:b/>
        <w:i/>
        <w:u w:val="single"/>
      </w:rPr>
    </w:pPr>
    <w:r>
      <w:t></w:t>
    </w:r>
    <w:r>
      <w:rPr>
        <w:rFonts w:hint="eastAsia"/>
      </w:rPr>
      <w:t xml:space="preserve">                                                   </w:t>
    </w:r>
    <w:r>
      <w:t>政府采购公开招标文件</w:t>
    </w:r>
  </w:p>
  <w:p w14:paraId="75B57FC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5133">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2224F">
    <w:pPr>
      <w:pStyle w:val="41"/>
      <w:jc w:val="right"/>
      <w:rPr>
        <w:rFonts w:ascii="仿宋_GB2312" w:eastAsia="仿宋_GB2312"/>
        <w:b/>
        <w:i/>
        <w:u w:val="single"/>
      </w:rPr>
    </w:pPr>
    <w:r>
      <w:rPr>
        <w:rFonts w:hint="eastAsia"/>
      </w:rPr>
      <w:t xml:space="preserve">                                  </w:t>
    </w:r>
    <w:r>
      <w:t>政府采购公开招标文件</w:t>
    </w:r>
  </w:p>
  <w:p w14:paraId="0EBF2D4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14D5D">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4C018">
    <w:pPr>
      <w:pStyle w:val="41"/>
      <w:jc w:val="right"/>
      <w:rPr>
        <w:rFonts w:ascii="仿宋_GB2312" w:eastAsia="仿宋_GB2312"/>
        <w:b/>
        <w:i/>
        <w:iCs/>
        <w:u w:val="single"/>
      </w:rPr>
    </w:pPr>
    <w:r>
      <w:t>政府采购公开招标文件</w:t>
    </w:r>
  </w:p>
  <w:p w14:paraId="33A05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26429"/>
    <w:multiLevelType w:val="singleLevel"/>
    <w:tmpl w:val="8E826429"/>
    <w:lvl w:ilvl="0" w:tentative="0">
      <w:start w:val="1"/>
      <w:numFmt w:val="decimal"/>
      <w:suff w:val="nothing"/>
      <w:lvlText w:val="%1、"/>
      <w:lvlJc w:val="left"/>
      <w:pPr>
        <w:tabs>
          <w:tab w:val="left" w:pos="0"/>
        </w:tabs>
      </w:pPr>
      <w:rPr>
        <w:rFonts w:hint="default" w:ascii="Arial" w:hAnsi="Arial"/>
      </w:rPr>
    </w:lvl>
  </w:abstractNum>
  <w:abstractNum w:abstractNumId="1">
    <w:nsid w:val="B54EF7B5"/>
    <w:multiLevelType w:val="singleLevel"/>
    <w:tmpl w:val="B54EF7B5"/>
    <w:lvl w:ilvl="0" w:tentative="0">
      <w:start w:val="1"/>
      <w:numFmt w:val="chineseCounting"/>
      <w:suff w:val="nothing"/>
      <w:lvlText w:val="%1、"/>
      <w:lvlJc w:val="left"/>
      <w:rPr>
        <w:rFonts w:hint="eastAsia"/>
      </w:rPr>
    </w:lvl>
  </w:abstractNum>
  <w:abstractNum w:abstractNumId="2">
    <w:nsid w:val="00000021"/>
    <w:multiLevelType w:val="singleLevel"/>
    <w:tmpl w:val="00000021"/>
    <w:lvl w:ilvl="0" w:tentative="0">
      <w:start w:val="1"/>
      <w:numFmt w:val="decimal"/>
      <w:suff w:val="nothing"/>
      <w:lvlText w:val="（%1）"/>
      <w:lvlJc w:val="left"/>
    </w:lvl>
  </w:abstractNum>
  <w:abstractNum w:abstractNumId="3">
    <w:nsid w:val="57043F18"/>
    <w:multiLevelType w:val="singleLevel"/>
    <w:tmpl w:val="57043F18"/>
    <w:lvl w:ilvl="0" w:tentative="0">
      <w:start w:val="1"/>
      <w:numFmt w:val="decimal"/>
      <w:suff w:val="nothing"/>
      <w:lvlText w:val="%1"/>
      <w:lvlJc w:val="left"/>
      <w:pPr>
        <w:tabs>
          <w:tab w:val="left" w:pos="420"/>
        </w:tabs>
        <w:ind w:left="0" w:firstLine="0"/>
      </w:pPr>
      <w:rPr>
        <w:rFonts w:hint="default"/>
      </w:rPr>
    </w:lvl>
  </w:abstractNum>
  <w:abstractNum w:abstractNumId="4">
    <w:nsid w:val="630099AF"/>
    <w:multiLevelType w:val="singleLevel"/>
    <w:tmpl w:val="630099AF"/>
    <w:lvl w:ilvl="0" w:tentative="0">
      <w:start w:val="1"/>
      <w:numFmt w:val="decimal"/>
      <w:suff w:val="nothing"/>
      <w:lvlText w:val="（%1）"/>
      <w:lvlJc w:val="left"/>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0ODQ0MWVhYTk3NzhjZTE1NGViMDYyOTZlM2UyNm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61DE"/>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5EED"/>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4FE9"/>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CE4"/>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40"/>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19E"/>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2ED"/>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070A1"/>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E"/>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1DB"/>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481D"/>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523"/>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77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4F2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2FFD"/>
    <w:rsid w:val="006C3581"/>
    <w:rsid w:val="006C39A0"/>
    <w:rsid w:val="006C3EFE"/>
    <w:rsid w:val="006C432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056"/>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105"/>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6FB3"/>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63E"/>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622"/>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19B"/>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9D1"/>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684"/>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532"/>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C7E16"/>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898"/>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7D6"/>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B58"/>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97F67"/>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A11"/>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5BC1"/>
    <w:rsid w:val="00CA5D57"/>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D66"/>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6AD"/>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A1E"/>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115"/>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4FB"/>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41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2D8"/>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8A6"/>
    <w:rsid w:val="00FF2A7B"/>
    <w:rsid w:val="00FF3D2B"/>
    <w:rsid w:val="00FF49B4"/>
    <w:rsid w:val="00FF49F4"/>
    <w:rsid w:val="00FF5C6A"/>
    <w:rsid w:val="00FF651D"/>
    <w:rsid w:val="00FF6843"/>
    <w:rsid w:val="00FF6C25"/>
    <w:rsid w:val="010651D9"/>
    <w:rsid w:val="011E7D23"/>
    <w:rsid w:val="011F6449"/>
    <w:rsid w:val="01236AFB"/>
    <w:rsid w:val="019F7441"/>
    <w:rsid w:val="01B37585"/>
    <w:rsid w:val="01D55165"/>
    <w:rsid w:val="01DF6BF8"/>
    <w:rsid w:val="01E97344"/>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50D4"/>
    <w:rsid w:val="048F763B"/>
    <w:rsid w:val="049F330E"/>
    <w:rsid w:val="04AA775C"/>
    <w:rsid w:val="04AF1889"/>
    <w:rsid w:val="04F66F48"/>
    <w:rsid w:val="05251E14"/>
    <w:rsid w:val="05281683"/>
    <w:rsid w:val="059F12CB"/>
    <w:rsid w:val="05A16594"/>
    <w:rsid w:val="05A7762D"/>
    <w:rsid w:val="05E6627F"/>
    <w:rsid w:val="05F11A75"/>
    <w:rsid w:val="060E5941"/>
    <w:rsid w:val="06110FAF"/>
    <w:rsid w:val="06493CA7"/>
    <w:rsid w:val="065A6178"/>
    <w:rsid w:val="066F1CF3"/>
    <w:rsid w:val="06930BB8"/>
    <w:rsid w:val="06943233"/>
    <w:rsid w:val="06F63BC2"/>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529BD"/>
    <w:rsid w:val="09772C16"/>
    <w:rsid w:val="098353B5"/>
    <w:rsid w:val="09A92330"/>
    <w:rsid w:val="09B06B87"/>
    <w:rsid w:val="09C13146"/>
    <w:rsid w:val="09E04166"/>
    <w:rsid w:val="0A1C0718"/>
    <w:rsid w:val="0A3E7710"/>
    <w:rsid w:val="0A5B7E63"/>
    <w:rsid w:val="0AA374A5"/>
    <w:rsid w:val="0AAB7649"/>
    <w:rsid w:val="0ABC5606"/>
    <w:rsid w:val="0AEB73DB"/>
    <w:rsid w:val="0B30404E"/>
    <w:rsid w:val="0B4C6C14"/>
    <w:rsid w:val="0B547599"/>
    <w:rsid w:val="0B631A88"/>
    <w:rsid w:val="0B683D45"/>
    <w:rsid w:val="0B7F3F11"/>
    <w:rsid w:val="0B884417"/>
    <w:rsid w:val="0BF235E0"/>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3F7534"/>
    <w:rsid w:val="0D4A7419"/>
    <w:rsid w:val="0D784CA6"/>
    <w:rsid w:val="0D827401"/>
    <w:rsid w:val="0D84094E"/>
    <w:rsid w:val="0D875BAC"/>
    <w:rsid w:val="0D8A00E9"/>
    <w:rsid w:val="0D8D589E"/>
    <w:rsid w:val="0DA01C73"/>
    <w:rsid w:val="0DB4013F"/>
    <w:rsid w:val="0DD63300"/>
    <w:rsid w:val="0DDF73FD"/>
    <w:rsid w:val="0DF50604"/>
    <w:rsid w:val="0DF702FE"/>
    <w:rsid w:val="0E060E51"/>
    <w:rsid w:val="0E5604B2"/>
    <w:rsid w:val="0E6D5D79"/>
    <w:rsid w:val="0E9D0089"/>
    <w:rsid w:val="0EB803EE"/>
    <w:rsid w:val="0EF94D4B"/>
    <w:rsid w:val="0F3B6B7B"/>
    <w:rsid w:val="0F4958DC"/>
    <w:rsid w:val="0F515DF7"/>
    <w:rsid w:val="0F596BA8"/>
    <w:rsid w:val="0F6248D2"/>
    <w:rsid w:val="0F693536"/>
    <w:rsid w:val="0F7B0511"/>
    <w:rsid w:val="0F7B76D9"/>
    <w:rsid w:val="0F816ACD"/>
    <w:rsid w:val="0F9832DB"/>
    <w:rsid w:val="0FBF3FD2"/>
    <w:rsid w:val="0FBF7FF3"/>
    <w:rsid w:val="104A7C7A"/>
    <w:rsid w:val="10646583"/>
    <w:rsid w:val="107D4B15"/>
    <w:rsid w:val="108A3C80"/>
    <w:rsid w:val="10C26171"/>
    <w:rsid w:val="10F33360"/>
    <w:rsid w:val="10FC16EA"/>
    <w:rsid w:val="11034D52"/>
    <w:rsid w:val="110F1D40"/>
    <w:rsid w:val="11266F33"/>
    <w:rsid w:val="118963A1"/>
    <w:rsid w:val="11C6522A"/>
    <w:rsid w:val="11E104CC"/>
    <w:rsid w:val="11E20309"/>
    <w:rsid w:val="11F172D3"/>
    <w:rsid w:val="12121FAB"/>
    <w:rsid w:val="12255233"/>
    <w:rsid w:val="12530213"/>
    <w:rsid w:val="127723A9"/>
    <w:rsid w:val="12862074"/>
    <w:rsid w:val="12883966"/>
    <w:rsid w:val="129E45B4"/>
    <w:rsid w:val="12BB58E4"/>
    <w:rsid w:val="12D81596"/>
    <w:rsid w:val="13072A44"/>
    <w:rsid w:val="13517FF7"/>
    <w:rsid w:val="135F4BE2"/>
    <w:rsid w:val="139B1A0A"/>
    <w:rsid w:val="139D25C7"/>
    <w:rsid w:val="13BF3CE4"/>
    <w:rsid w:val="13E24600"/>
    <w:rsid w:val="141008D8"/>
    <w:rsid w:val="14125FE6"/>
    <w:rsid w:val="146D271E"/>
    <w:rsid w:val="14982588"/>
    <w:rsid w:val="149A5AD9"/>
    <w:rsid w:val="14A7619D"/>
    <w:rsid w:val="150536C3"/>
    <w:rsid w:val="150C1963"/>
    <w:rsid w:val="151447A0"/>
    <w:rsid w:val="154A6454"/>
    <w:rsid w:val="15762120"/>
    <w:rsid w:val="16A40D5F"/>
    <w:rsid w:val="16A8729C"/>
    <w:rsid w:val="16B33777"/>
    <w:rsid w:val="16B90C51"/>
    <w:rsid w:val="16BC70A7"/>
    <w:rsid w:val="16C6339E"/>
    <w:rsid w:val="172F2D79"/>
    <w:rsid w:val="17557BEF"/>
    <w:rsid w:val="17944BDB"/>
    <w:rsid w:val="17D349C1"/>
    <w:rsid w:val="1830729E"/>
    <w:rsid w:val="1870062C"/>
    <w:rsid w:val="18765C25"/>
    <w:rsid w:val="18817102"/>
    <w:rsid w:val="18830A15"/>
    <w:rsid w:val="18852B28"/>
    <w:rsid w:val="188B5321"/>
    <w:rsid w:val="18AF21DF"/>
    <w:rsid w:val="19932372"/>
    <w:rsid w:val="19A20DD5"/>
    <w:rsid w:val="19AE03F1"/>
    <w:rsid w:val="1A071A03"/>
    <w:rsid w:val="1A1F16AE"/>
    <w:rsid w:val="1A24233C"/>
    <w:rsid w:val="1A3B5C77"/>
    <w:rsid w:val="1A984BAD"/>
    <w:rsid w:val="1AB8220E"/>
    <w:rsid w:val="1AC6545D"/>
    <w:rsid w:val="1AE4166C"/>
    <w:rsid w:val="1AF06CFB"/>
    <w:rsid w:val="1AF11B8D"/>
    <w:rsid w:val="1B11359C"/>
    <w:rsid w:val="1B2A271F"/>
    <w:rsid w:val="1B530544"/>
    <w:rsid w:val="1B713184"/>
    <w:rsid w:val="1BA209CF"/>
    <w:rsid w:val="1BB4777D"/>
    <w:rsid w:val="1BD75AB8"/>
    <w:rsid w:val="1BF87D6F"/>
    <w:rsid w:val="1C0459C2"/>
    <w:rsid w:val="1C1B3B4A"/>
    <w:rsid w:val="1C88086E"/>
    <w:rsid w:val="1D266CE1"/>
    <w:rsid w:val="1D3963AF"/>
    <w:rsid w:val="1D6A673C"/>
    <w:rsid w:val="1D9247AE"/>
    <w:rsid w:val="1DB567EC"/>
    <w:rsid w:val="1DB9461B"/>
    <w:rsid w:val="1DC51F84"/>
    <w:rsid w:val="1DE417EA"/>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5238B8"/>
    <w:rsid w:val="216133FC"/>
    <w:rsid w:val="2193296F"/>
    <w:rsid w:val="21D56769"/>
    <w:rsid w:val="21E52EF3"/>
    <w:rsid w:val="21FB5D7B"/>
    <w:rsid w:val="22015E94"/>
    <w:rsid w:val="220B1C3D"/>
    <w:rsid w:val="221D1D20"/>
    <w:rsid w:val="22334A87"/>
    <w:rsid w:val="224C26A5"/>
    <w:rsid w:val="22BE6801"/>
    <w:rsid w:val="22F76B7B"/>
    <w:rsid w:val="233500BF"/>
    <w:rsid w:val="23377FF7"/>
    <w:rsid w:val="236B425F"/>
    <w:rsid w:val="23803555"/>
    <w:rsid w:val="23836192"/>
    <w:rsid w:val="23901F29"/>
    <w:rsid w:val="239C0061"/>
    <w:rsid w:val="23B908A4"/>
    <w:rsid w:val="23E95BEF"/>
    <w:rsid w:val="23FD0064"/>
    <w:rsid w:val="245375B0"/>
    <w:rsid w:val="24642C0A"/>
    <w:rsid w:val="24856C76"/>
    <w:rsid w:val="24B22173"/>
    <w:rsid w:val="24B95AD9"/>
    <w:rsid w:val="24BE24DA"/>
    <w:rsid w:val="24CF5825"/>
    <w:rsid w:val="24D663E6"/>
    <w:rsid w:val="24D77F2B"/>
    <w:rsid w:val="258B00E2"/>
    <w:rsid w:val="25A917A6"/>
    <w:rsid w:val="25BE27CC"/>
    <w:rsid w:val="25F74A5C"/>
    <w:rsid w:val="2628662C"/>
    <w:rsid w:val="262D45DE"/>
    <w:rsid w:val="265A7DB8"/>
    <w:rsid w:val="26871DC8"/>
    <w:rsid w:val="26A53EF9"/>
    <w:rsid w:val="26A94201"/>
    <w:rsid w:val="26AC274F"/>
    <w:rsid w:val="26BC386C"/>
    <w:rsid w:val="27044A29"/>
    <w:rsid w:val="27063507"/>
    <w:rsid w:val="270A70D1"/>
    <w:rsid w:val="271D34C8"/>
    <w:rsid w:val="275533BC"/>
    <w:rsid w:val="276142BF"/>
    <w:rsid w:val="27783712"/>
    <w:rsid w:val="27907362"/>
    <w:rsid w:val="27A27B40"/>
    <w:rsid w:val="27BA3F65"/>
    <w:rsid w:val="28333E1D"/>
    <w:rsid w:val="28454BD6"/>
    <w:rsid w:val="28455253"/>
    <w:rsid w:val="28551971"/>
    <w:rsid w:val="285B1C53"/>
    <w:rsid w:val="289F7086"/>
    <w:rsid w:val="28AB1725"/>
    <w:rsid w:val="28C32028"/>
    <w:rsid w:val="28CC490F"/>
    <w:rsid w:val="28DE40AA"/>
    <w:rsid w:val="29345E77"/>
    <w:rsid w:val="294C65AD"/>
    <w:rsid w:val="29806583"/>
    <w:rsid w:val="298B3C4C"/>
    <w:rsid w:val="29A529F3"/>
    <w:rsid w:val="29F26D24"/>
    <w:rsid w:val="2A15033F"/>
    <w:rsid w:val="2A1662C1"/>
    <w:rsid w:val="2A1C7367"/>
    <w:rsid w:val="2A2815FA"/>
    <w:rsid w:val="2A6B7251"/>
    <w:rsid w:val="2A6D6092"/>
    <w:rsid w:val="2A7D76B4"/>
    <w:rsid w:val="2A9229E9"/>
    <w:rsid w:val="2B437463"/>
    <w:rsid w:val="2B7807EE"/>
    <w:rsid w:val="2BA50BF7"/>
    <w:rsid w:val="2BBF00EC"/>
    <w:rsid w:val="2BC37CFD"/>
    <w:rsid w:val="2BD5237F"/>
    <w:rsid w:val="2BE536CE"/>
    <w:rsid w:val="2BE758D9"/>
    <w:rsid w:val="2C09049E"/>
    <w:rsid w:val="2C0A653C"/>
    <w:rsid w:val="2C191F85"/>
    <w:rsid w:val="2C851AC3"/>
    <w:rsid w:val="2CCB2770"/>
    <w:rsid w:val="2CE82D6F"/>
    <w:rsid w:val="2D343236"/>
    <w:rsid w:val="2D5C23F2"/>
    <w:rsid w:val="2DD15014"/>
    <w:rsid w:val="2DF72DE4"/>
    <w:rsid w:val="2E0220AF"/>
    <w:rsid w:val="2E4B082A"/>
    <w:rsid w:val="2E5504FD"/>
    <w:rsid w:val="2E5D4E86"/>
    <w:rsid w:val="2E5D790B"/>
    <w:rsid w:val="2E8C79A3"/>
    <w:rsid w:val="2E9A3C18"/>
    <w:rsid w:val="2EBB0FEE"/>
    <w:rsid w:val="2EC63002"/>
    <w:rsid w:val="2F0A6B38"/>
    <w:rsid w:val="2F946CCB"/>
    <w:rsid w:val="2FD25781"/>
    <w:rsid w:val="2FDC745C"/>
    <w:rsid w:val="2FFD7934"/>
    <w:rsid w:val="305D5DD5"/>
    <w:rsid w:val="30733ACD"/>
    <w:rsid w:val="308C3862"/>
    <w:rsid w:val="309379D8"/>
    <w:rsid w:val="30A270F7"/>
    <w:rsid w:val="30DF1478"/>
    <w:rsid w:val="30EC586F"/>
    <w:rsid w:val="314550B7"/>
    <w:rsid w:val="31501496"/>
    <w:rsid w:val="31701A99"/>
    <w:rsid w:val="319C6071"/>
    <w:rsid w:val="31AC537E"/>
    <w:rsid w:val="31E3679B"/>
    <w:rsid w:val="31E732FD"/>
    <w:rsid w:val="32131A00"/>
    <w:rsid w:val="3216448E"/>
    <w:rsid w:val="324E17F5"/>
    <w:rsid w:val="32517576"/>
    <w:rsid w:val="32BE5C2C"/>
    <w:rsid w:val="32FB6478"/>
    <w:rsid w:val="33263B3F"/>
    <w:rsid w:val="336963EB"/>
    <w:rsid w:val="33816EEB"/>
    <w:rsid w:val="33EB55CD"/>
    <w:rsid w:val="33EC4C02"/>
    <w:rsid w:val="340D2360"/>
    <w:rsid w:val="3410665D"/>
    <w:rsid w:val="34211214"/>
    <w:rsid w:val="342D54AE"/>
    <w:rsid w:val="342E63AB"/>
    <w:rsid w:val="348712AF"/>
    <w:rsid w:val="34950E68"/>
    <w:rsid w:val="34986E94"/>
    <w:rsid w:val="34AF62C9"/>
    <w:rsid w:val="34BA212D"/>
    <w:rsid w:val="34CB4388"/>
    <w:rsid w:val="34FA6E12"/>
    <w:rsid w:val="34FC39E1"/>
    <w:rsid w:val="35113DB1"/>
    <w:rsid w:val="354D7158"/>
    <w:rsid w:val="358D5588"/>
    <w:rsid w:val="35B64880"/>
    <w:rsid w:val="35E64C4C"/>
    <w:rsid w:val="362E51E7"/>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8DA785F"/>
    <w:rsid w:val="38E54BBA"/>
    <w:rsid w:val="39184F8F"/>
    <w:rsid w:val="39636459"/>
    <w:rsid w:val="396B7F6C"/>
    <w:rsid w:val="39A4659C"/>
    <w:rsid w:val="39B417A9"/>
    <w:rsid w:val="39FC5695"/>
    <w:rsid w:val="3A006D8E"/>
    <w:rsid w:val="3A3651E5"/>
    <w:rsid w:val="3A744481"/>
    <w:rsid w:val="3A8C7BEF"/>
    <w:rsid w:val="3A906246"/>
    <w:rsid w:val="3AC25EC7"/>
    <w:rsid w:val="3ADD0679"/>
    <w:rsid w:val="3B2349B7"/>
    <w:rsid w:val="3B616CFF"/>
    <w:rsid w:val="3B6259F6"/>
    <w:rsid w:val="3B976654"/>
    <w:rsid w:val="3BC01EFC"/>
    <w:rsid w:val="3BCA786A"/>
    <w:rsid w:val="3BD31E2F"/>
    <w:rsid w:val="3BF15831"/>
    <w:rsid w:val="3C105946"/>
    <w:rsid w:val="3C471448"/>
    <w:rsid w:val="3C5F759A"/>
    <w:rsid w:val="3C6C525A"/>
    <w:rsid w:val="3CCE23CB"/>
    <w:rsid w:val="3CD17D17"/>
    <w:rsid w:val="3CE7088B"/>
    <w:rsid w:val="3CF200C1"/>
    <w:rsid w:val="3D3C7F39"/>
    <w:rsid w:val="3D440F09"/>
    <w:rsid w:val="3D4504A0"/>
    <w:rsid w:val="3D8734BB"/>
    <w:rsid w:val="3D9A11D4"/>
    <w:rsid w:val="3DA16D89"/>
    <w:rsid w:val="3DA364BE"/>
    <w:rsid w:val="3DAA5B50"/>
    <w:rsid w:val="3DE041CB"/>
    <w:rsid w:val="3E0D48F6"/>
    <w:rsid w:val="3E1868B4"/>
    <w:rsid w:val="3E377251"/>
    <w:rsid w:val="3E42664B"/>
    <w:rsid w:val="3E5A7334"/>
    <w:rsid w:val="3E7B5D6B"/>
    <w:rsid w:val="3E843E66"/>
    <w:rsid w:val="3E8F51FE"/>
    <w:rsid w:val="3E926F87"/>
    <w:rsid w:val="3E9A59DE"/>
    <w:rsid w:val="3EAF4836"/>
    <w:rsid w:val="3EB43A28"/>
    <w:rsid w:val="3EC33DFA"/>
    <w:rsid w:val="3F060E16"/>
    <w:rsid w:val="3F1D1096"/>
    <w:rsid w:val="3F2F0234"/>
    <w:rsid w:val="3F6363FE"/>
    <w:rsid w:val="3F756B8F"/>
    <w:rsid w:val="3F842616"/>
    <w:rsid w:val="3F95482B"/>
    <w:rsid w:val="3FF85399"/>
    <w:rsid w:val="4019356B"/>
    <w:rsid w:val="40592157"/>
    <w:rsid w:val="406E1CAE"/>
    <w:rsid w:val="40A0133A"/>
    <w:rsid w:val="40C31A53"/>
    <w:rsid w:val="40FF545D"/>
    <w:rsid w:val="410067C8"/>
    <w:rsid w:val="4141683E"/>
    <w:rsid w:val="417740EE"/>
    <w:rsid w:val="418F0D2A"/>
    <w:rsid w:val="41D01505"/>
    <w:rsid w:val="421506B4"/>
    <w:rsid w:val="423B298F"/>
    <w:rsid w:val="42474939"/>
    <w:rsid w:val="424C3C57"/>
    <w:rsid w:val="42613FF3"/>
    <w:rsid w:val="42660D96"/>
    <w:rsid w:val="428667D2"/>
    <w:rsid w:val="429A76AC"/>
    <w:rsid w:val="42CC5472"/>
    <w:rsid w:val="42CD1CE0"/>
    <w:rsid w:val="42E1381E"/>
    <w:rsid w:val="42ED6459"/>
    <w:rsid w:val="42FE58DD"/>
    <w:rsid w:val="43174B3D"/>
    <w:rsid w:val="434B790E"/>
    <w:rsid w:val="435A7FDB"/>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776559"/>
    <w:rsid w:val="46893F2B"/>
    <w:rsid w:val="46C4686E"/>
    <w:rsid w:val="46E04819"/>
    <w:rsid w:val="46FF107D"/>
    <w:rsid w:val="470B6133"/>
    <w:rsid w:val="47734476"/>
    <w:rsid w:val="477B778F"/>
    <w:rsid w:val="478203EC"/>
    <w:rsid w:val="47A07396"/>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D6398F"/>
    <w:rsid w:val="4AEB7664"/>
    <w:rsid w:val="4AEC6C7C"/>
    <w:rsid w:val="4AF03209"/>
    <w:rsid w:val="4AFD7C19"/>
    <w:rsid w:val="4B0567D1"/>
    <w:rsid w:val="4B236AAE"/>
    <w:rsid w:val="4B707271"/>
    <w:rsid w:val="4B9739F7"/>
    <w:rsid w:val="4BA81261"/>
    <w:rsid w:val="4BEE2503"/>
    <w:rsid w:val="4C245A30"/>
    <w:rsid w:val="4C7E2F03"/>
    <w:rsid w:val="4CB6685F"/>
    <w:rsid w:val="4CC367FE"/>
    <w:rsid w:val="4D077F3C"/>
    <w:rsid w:val="4D123355"/>
    <w:rsid w:val="4D2A3B31"/>
    <w:rsid w:val="4D312C52"/>
    <w:rsid w:val="4D905305"/>
    <w:rsid w:val="4D964A72"/>
    <w:rsid w:val="4D9C1254"/>
    <w:rsid w:val="4DD202D7"/>
    <w:rsid w:val="4E3C4E24"/>
    <w:rsid w:val="4E5E3E4B"/>
    <w:rsid w:val="4E606D65"/>
    <w:rsid w:val="4E793892"/>
    <w:rsid w:val="4E800872"/>
    <w:rsid w:val="4EC569ED"/>
    <w:rsid w:val="4ECD49A4"/>
    <w:rsid w:val="4ED50EA1"/>
    <w:rsid w:val="4EEC050C"/>
    <w:rsid w:val="4F104EC3"/>
    <w:rsid w:val="4F47354A"/>
    <w:rsid w:val="4F820B32"/>
    <w:rsid w:val="4F911C54"/>
    <w:rsid w:val="4FE625E0"/>
    <w:rsid w:val="4FF004DC"/>
    <w:rsid w:val="5021480F"/>
    <w:rsid w:val="504D7AC8"/>
    <w:rsid w:val="50551558"/>
    <w:rsid w:val="50962ECB"/>
    <w:rsid w:val="50A42E38"/>
    <w:rsid w:val="50A4577F"/>
    <w:rsid w:val="50B73D1F"/>
    <w:rsid w:val="50BD5BC9"/>
    <w:rsid w:val="50C11EEE"/>
    <w:rsid w:val="50E97CFC"/>
    <w:rsid w:val="50FA4028"/>
    <w:rsid w:val="510D65B7"/>
    <w:rsid w:val="511157AB"/>
    <w:rsid w:val="511B52B6"/>
    <w:rsid w:val="5142540C"/>
    <w:rsid w:val="515C2152"/>
    <w:rsid w:val="5187453A"/>
    <w:rsid w:val="518832C8"/>
    <w:rsid w:val="519D3C50"/>
    <w:rsid w:val="51A0432A"/>
    <w:rsid w:val="51A86090"/>
    <w:rsid w:val="51B7396D"/>
    <w:rsid w:val="522E4CC3"/>
    <w:rsid w:val="5244713B"/>
    <w:rsid w:val="52615633"/>
    <w:rsid w:val="52635075"/>
    <w:rsid w:val="526F4DE4"/>
    <w:rsid w:val="52936DF7"/>
    <w:rsid w:val="52977FD4"/>
    <w:rsid w:val="52A25790"/>
    <w:rsid w:val="52A96B6F"/>
    <w:rsid w:val="52B45975"/>
    <w:rsid w:val="52D94AA4"/>
    <w:rsid w:val="52EA3A62"/>
    <w:rsid w:val="52F50BB8"/>
    <w:rsid w:val="53097272"/>
    <w:rsid w:val="53544462"/>
    <w:rsid w:val="5397158E"/>
    <w:rsid w:val="53E31D82"/>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6897871"/>
    <w:rsid w:val="56903F5F"/>
    <w:rsid w:val="569F0646"/>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10770C"/>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10C81"/>
    <w:rsid w:val="5AD63A24"/>
    <w:rsid w:val="5B2E1A1D"/>
    <w:rsid w:val="5B843A1C"/>
    <w:rsid w:val="5B873E3F"/>
    <w:rsid w:val="5BA43FD2"/>
    <w:rsid w:val="5C02690E"/>
    <w:rsid w:val="5C0E7531"/>
    <w:rsid w:val="5C196DA7"/>
    <w:rsid w:val="5C2A048C"/>
    <w:rsid w:val="5C2F11CB"/>
    <w:rsid w:val="5C80234E"/>
    <w:rsid w:val="5C8A680C"/>
    <w:rsid w:val="5CA45D12"/>
    <w:rsid w:val="5D0C4701"/>
    <w:rsid w:val="5D0F0395"/>
    <w:rsid w:val="5D221076"/>
    <w:rsid w:val="5D397964"/>
    <w:rsid w:val="5D5A391C"/>
    <w:rsid w:val="5D5F10C0"/>
    <w:rsid w:val="5D61614D"/>
    <w:rsid w:val="5D6475EF"/>
    <w:rsid w:val="5D891B7B"/>
    <w:rsid w:val="5DAD38EE"/>
    <w:rsid w:val="5E006862"/>
    <w:rsid w:val="5E0207B9"/>
    <w:rsid w:val="5E1834A1"/>
    <w:rsid w:val="5E261785"/>
    <w:rsid w:val="5E4A7017"/>
    <w:rsid w:val="5E552BBA"/>
    <w:rsid w:val="5E611C10"/>
    <w:rsid w:val="5E7A0F3F"/>
    <w:rsid w:val="5E9B16F3"/>
    <w:rsid w:val="5EFC7377"/>
    <w:rsid w:val="5F06174D"/>
    <w:rsid w:val="5F3A3602"/>
    <w:rsid w:val="5F45733B"/>
    <w:rsid w:val="5F6277C6"/>
    <w:rsid w:val="5F6D0B1D"/>
    <w:rsid w:val="5F8D0B82"/>
    <w:rsid w:val="5FCC5339"/>
    <w:rsid w:val="5FE34A5B"/>
    <w:rsid w:val="5FFE1E36"/>
    <w:rsid w:val="600E0D6D"/>
    <w:rsid w:val="601775C8"/>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7523B1"/>
    <w:rsid w:val="62885958"/>
    <w:rsid w:val="62D450C7"/>
    <w:rsid w:val="62F40B65"/>
    <w:rsid w:val="62FC2CFE"/>
    <w:rsid w:val="63024505"/>
    <w:rsid w:val="635600A5"/>
    <w:rsid w:val="635B1DB5"/>
    <w:rsid w:val="63711FED"/>
    <w:rsid w:val="63880DDC"/>
    <w:rsid w:val="638D750D"/>
    <w:rsid w:val="63AC6CC0"/>
    <w:rsid w:val="64055776"/>
    <w:rsid w:val="64240056"/>
    <w:rsid w:val="64372446"/>
    <w:rsid w:val="643E143A"/>
    <w:rsid w:val="64491666"/>
    <w:rsid w:val="648B6EEF"/>
    <w:rsid w:val="648F1206"/>
    <w:rsid w:val="64C158BF"/>
    <w:rsid w:val="64CE2EAA"/>
    <w:rsid w:val="653C3090"/>
    <w:rsid w:val="655C29BA"/>
    <w:rsid w:val="65854376"/>
    <w:rsid w:val="658767BE"/>
    <w:rsid w:val="65892531"/>
    <w:rsid w:val="66195831"/>
    <w:rsid w:val="662B7800"/>
    <w:rsid w:val="662E75B1"/>
    <w:rsid w:val="66342C2E"/>
    <w:rsid w:val="663E784C"/>
    <w:rsid w:val="668B6A45"/>
    <w:rsid w:val="67011F07"/>
    <w:rsid w:val="672F3F24"/>
    <w:rsid w:val="67317098"/>
    <w:rsid w:val="673E055F"/>
    <w:rsid w:val="67551CE3"/>
    <w:rsid w:val="679D07CE"/>
    <w:rsid w:val="67A22552"/>
    <w:rsid w:val="67B22DCC"/>
    <w:rsid w:val="67BE0201"/>
    <w:rsid w:val="67BE71AA"/>
    <w:rsid w:val="67D90273"/>
    <w:rsid w:val="67DE5875"/>
    <w:rsid w:val="67E55852"/>
    <w:rsid w:val="67EB1AB4"/>
    <w:rsid w:val="67FA1285"/>
    <w:rsid w:val="6845482A"/>
    <w:rsid w:val="68551F4F"/>
    <w:rsid w:val="68670E46"/>
    <w:rsid w:val="687C10C9"/>
    <w:rsid w:val="68840C16"/>
    <w:rsid w:val="68872541"/>
    <w:rsid w:val="68876EFB"/>
    <w:rsid w:val="68884654"/>
    <w:rsid w:val="689F444F"/>
    <w:rsid w:val="68B96DBB"/>
    <w:rsid w:val="68CA2805"/>
    <w:rsid w:val="68E937A3"/>
    <w:rsid w:val="690670F7"/>
    <w:rsid w:val="691664E5"/>
    <w:rsid w:val="693E15D3"/>
    <w:rsid w:val="69627681"/>
    <w:rsid w:val="6977531D"/>
    <w:rsid w:val="69C339CC"/>
    <w:rsid w:val="69CC2BFF"/>
    <w:rsid w:val="69FD55B8"/>
    <w:rsid w:val="6A0B1C62"/>
    <w:rsid w:val="6A2406C8"/>
    <w:rsid w:val="6ADE0BD1"/>
    <w:rsid w:val="6ADF0BB9"/>
    <w:rsid w:val="6AE96859"/>
    <w:rsid w:val="6B147746"/>
    <w:rsid w:val="6B24787C"/>
    <w:rsid w:val="6B4A14C9"/>
    <w:rsid w:val="6B573233"/>
    <w:rsid w:val="6B5B6274"/>
    <w:rsid w:val="6B935D53"/>
    <w:rsid w:val="6C196F71"/>
    <w:rsid w:val="6C226FCB"/>
    <w:rsid w:val="6C31226F"/>
    <w:rsid w:val="6C4517B8"/>
    <w:rsid w:val="6C552F0B"/>
    <w:rsid w:val="6C8C67B7"/>
    <w:rsid w:val="6C9D744C"/>
    <w:rsid w:val="6D167928"/>
    <w:rsid w:val="6D26299B"/>
    <w:rsid w:val="6D4772EC"/>
    <w:rsid w:val="6D9078AF"/>
    <w:rsid w:val="6DAA3FEF"/>
    <w:rsid w:val="6DC0172B"/>
    <w:rsid w:val="6DCB690C"/>
    <w:rsid w:val="6DD41A5B"/>
    <w:rsid w:val="6DF43C2E"/>
    <w:rsid w:val="6DF51CA3"/>
    <w:rsid w:val="6E2647C7"/>
    <w:rsid w:val="6E8335BD"/>
    <w:rsid w:val="6E8E12EF"/>
    <w:rsid w:val="6E972936"/>
    <w:rsid w:val="6ED446C5"/>
    <w:rsid w:val="6F2A7D94"/>
    <w:rsid w:val="6F8331F1"/>
    <w:rsid w:val="6FAE1A09"/>
    <w:rsid w:val="6FD75BF8"/>
    <w:rsid w:val="6FF42040"/>
    <w:rsid w:val="707723D0"/>
    <w:rsid w:val="709967AC"/>
    <w:rsid w:val="70F0232B"/>
    <w:rsid w:val="70F5661B"/>
    <w:rsid w:val="71360107"/>
    <w:rsid w:val="713B688E"/>
    <w:rsid w:val="71D43752"/>
    <w:rsid w:val="71E22D85"/>
    <w:rsid w:val="71F1796A"/>
    <w:rsid w:val="72154626"/>
    <w:rsid w:val="72262B5D"/>
    <w:rsid w:val="72283FF7"/>
    <w:rsid w:val="722E7212"/>
    <w:rsid w:val="723A0474"/>
    <w:rsid w:val="723A047C"/>
    <w:rsid w:val="725923E4"/>
    <w:rsid w:val="72864BF7"/>
    <w:rsid w:val="729023FC"/>
    <w:rsid w:val="729D55E2"/>
    <w:rsid w:val="73B7146B"/>
    <w:rsid w:val="73C0646E"/>
    <w:rsid w:val="742222F5"/>
    <w:rsid w:val="74476126"/>
    <w:rsid w:val="74706664"/>
    <w:rsid w:val="747F3682"/>
    <w:rsid w:val="748C4324"/>
    <w:rsid w:val="749C4185"/>
    <w:rsid w:val="74C74B98"/>
    <w:rsid w:val="74C900B3"/>
    <w:rsid w:val="74F8282B"/>
    <w:rsid w:val="75067759"/>
    <w:rsid w:val="75067CEF"/>
    <w:rsid w:val="75083B63"/>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173F28"/>
    <w:rsid w:val="77253FE2"/>
    <w:rsid w:val="77340A39"/>
    <w:rsid w:val="77351FD0"/>
    <w:rsid w:val="77472422"/>
    <w:rsid w:val="775F779B"/>
    <w:rsid w:val="777F31F2"/>
    <w:rsid w:val="77D1700D"/>
    <w:rsid w:val="77EC04CC"/>
    <w:rsid w:val="780E3BDC"/>
    <w:rsid w:val="78775729"/>
    <w:rsid w:val="78A42DB0"/>
    <w:rsid w:val="78A656AB"/>
    <w:rsid w:val="78B2245C"/>
    <w:rsid w:val="78B45466"/>
    <w:rsid w:val="78E172CC"/>
    <w:rsid w:val="78EA1D1F"/>
    <w:rsid w:val="7904172F"/>
    <w:rsid w:val="790F7E27"/>
    <w:rsid w:val="792A231A"/>
    <w:rsid w:val="79316829"/>
    <w:rsid w:val="794855EC"/>
    <w:rsid w:val="797E66A9"/>
    <w:rsid w:val="798518A4"/>
    <w:rsid w:val="79A97383"/>
    <w:rsid w:val="79D05643"/>
    <w:rsid w:val="79E27E8B"/>
    <w:rsid w:val="79F850CE"/>
    <w:rsid w:val="79FD443C"/>
    <w:rsid w:val="7A1D1975"/>
    <w:rsid w:val="7A1F4DCB"/>
    <w:rsid w:val="7A3E113F"/>
    <w:rsid w:val="7A3E5150"/>
    <w:rsid w:val="7A4670D6"/>
    <w:rsid w:val="7A534B63"/>
    <w:rsid w:val="7A615382"/>
    <w:rsid w:val="7A67303B"/>
    <w:rsid w:val="7AAB1D04"/>
    <w:rsid w:val="7AB71AC6"/>
    <w:rsid w:val="7ABA4368"/>
    <w:rsid w:val="7AD05746"/>
    <w:rsid w:val="7AD240C8"/>
    <w:rsid w:val="7B257FFD"/>
    <w:rsid w:val="7B273D20"/>
    <w:rsid w:val="7B343476"/>
    <w:rsid w:val="7B5A2978"/>
    <w:rsid w:val="7B5A7E4C"/>
    <w:rsid w:val="7B667AF9"/>
    <w:rsid w:val="7B7468F8"/>
    <w:rsid w:val="7B89048F"/>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3C1CEE"/>
    <w:rsid w:val="7F6F2C39"/>
    <w:rsid w:val="7F715AF2"/>
    <w:rsid w:val="7F886E69"/>
    <w:rsid w:val="7FAE370B"/>
    <w:rsid w:val="AFEF2161"/>
    <w:rsid w:val="BB7FA927"/>
    <w:rsid w:val="F5FFD31F"/>
    <w:rsid w:val="FFADD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6">
    <w:name w:val="Plain Text"/>
    <w:basedOn w:val="1"/>
    <w:next w:val="1"/>
    <w:link w:val="125"/>
    <w:autoRedefine/>
    <w:qFormat/>
    <w:uiPriority w:val="0"/>
    <w:rPr>
      <w:rFonts w:ascii="宋体" w:hAnsi="Courier New" w:cs="Arial"/>
      <w:snapToGrid w:val="0"/>
      <w:szCs w:val="21"/>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29"/>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2"/>
    <w:autoRedefine/>
    <w:qFormat/>
    <w:uiPriority w:val="0"/>
    <w:pPr>
      <w:shd w:val="clear" w:color="auto" w:fill="000080"/>
    </w:pPr>
  </w:style>
  <w:style w:type="paragraph" w:styleId="20">
    <w:name w:val="annotation text"/>
    <w:basedOn w:val="1"/>
    <w:link w:val="344"/>
    <w:autoRedefine/>
    <w:qFormat/>
    <w:uiPriority w:val="99"/>
    <w:pPr>
      <w:jc w:val="left"/>
    </w:pPr>
  </w:style>
  <w:style w:type="paragraph" w:styleId="21">
    <w:name w:val="Salutation"/>
    <w:basedOn w:val="1"/>
    <w:next w:val="1"/>
    <w:link w:val="298"/>
    <w:autoRedefine/>
    <w:qFormat/>
    <w:uiPriority w:val="0"/>
    <w:rPr>
      <w:rFonts w:ascii="仿宋_GB2312" w:eastAsia="仿宋_GB2312"/>
      <w:sz w:val="28"/>
      <w:szCs w:val="20"/>
    </w:rPr>
  </w:style>
  <w:style w:type="paragraph" w:styleId="22">
    <w:name w:val="Body Text 3"/>
    <w:basedOn w:val="1"/>
    <w:link w:val="330"/>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0"/>
    <w:autoRedefine/>
    <w:qFormat/>
    <w:uiPriority w:val="0"/>
    <w:pPr>
      <w:autoSpaceDE w:val="0"/>
      <w:autoSpaceDN w:val="0"/>
      <w:spacing w:line="360" w:lineRule="auto"/>
    </w:pPr>
    <w:rPr>
      <w:rFonts w:ascii="宋体" w:hAnsi="Arial" w:cs="Arial"/>
      <w:snapToGrid w:val="0"/>
      <w:sz w:val="24"/>
      <w:szCs w:val="21"/>
      <w:lang w:val="zh-CN"/>
    </w:rPr>
  </w:style>
  <w:style w:type="paragraph" w:customStyle="1" w:styleId="2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6">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5"/>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2"/>
    <w:autoRedefine/>
    <w:qFormat/>
    <w:uiPriority w:val="0"/>
    <w:pPr>
      <w:spacing w:after="120" w:line="480" w:lineRule="auto"/>
    </w:pPr>
  </w:style>
  <w:style w:type="paragraph" w:styleId="57">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6"/>
    <w:autoRedefine/>
    <w:qFormat/>
    <w:uiPriority w:val="0"/>
    <w:rPr>
      <w:b/>
      <w:bCs/>
    </w:rPr>
  </w:style>
  <w:style w:type="paragraph" w:styleId="61">
    <w:name w:val="Body Text First Indent"/>
    <w:basedOn w:val="24"/>
    <w:link w:val="321"/>
    <w:autoRedefine/>
    <w:qFormat/>
    <w:uiPriority w:val="0"/>
    <w:pPr>
      <w:ind w:firstLine="420"/>
    </w:pPr>
    <w:rPr>
      <w:rFonts w:hAnsi="Calibri" w:cs="Times New Roman"/>
      <w:snapToGrid/>
      <w:szCs w:val="20"/>
    </w:rPr>
  </w:style>
  <w:style w:type="paragraph" w:styleId="62">
    <w:name w:val="Body Text First Indent 2"/>
    <w:basedOn w:val="26"/>
    <w:link w:val="121"/>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AONormal"/>
    <w:autoRedefine/>
    <w:qFormat/>
    <w:uiPriority w:val="0"/>
    <w:pPr>
      <w:spacing w:line="260" w:lineRule="atLeast"/>
    </w:pPr>
    <w:rPr>
      <w:rFonts w:ascii="Calibri" w:hAnsi="Calibri" w:eastAsia="宋体" w:cs="Times New Roman"/>
      <w:sz w:val="22"/>
      <w:szCs w:val="22"/>
      <w:lang w:val="en-GB" w:eastAsia="en-US" w:bidi="ar-SA"/>
    </w:rPr>
  </w:style>
  <w:style w:type="paragraph" w:customStyle="1" w:styleId="81">
    <w:name w:val="首行缩进"/>
    <w:basedOn w:val="1"/>
    <w:autoRedefine/>
    <w:qFormat/>
    <w:uiPriority w:val="0"/>
    <w:pPr>
      <w:spacing w:line="360" w:lineRule="auto"/>
      <w:ind w:firstLine="480" w:firstLineChars="200"/>
    </w:pPr>
    <w:rPr>
      <w:rFonts w:ascii="宋体"/>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Char1"/>
    <w:link w:val="60"/>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首行缩进 2 Char"/>
    <w:link w:val="62"/>
    <w:autoRedefine/>
    <w:qFormat/>
    <w:uiPriority w:val="0"/>
    <w:rPr>
      <w:rFonts w:ascii="宋体" w:hAnsi="宋体"/>
      <w:kern w:val="2"/>
      <w:sz w:val="21"/>
      <w:szCs w:val="24"/>
    </w:rPr>
  </w:style>
  <w:style w:type="character" w:customStyle="1" w:styleId="122">
    <w:name w:val="font11"/>
    <w:basedOn w:val="70"/>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Char"/>
    <w:link w:val="6"/>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Char"/>
    <w:link w:val="47"/>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basedOn w:val="70"/>
    <w:autoRedefine/>
    <w:qFormat/>
    <w:uiPriority w:val="0"/>
    <w:rPr>
      <w:rFonts w:hint="eastAsia" w:ascii="仿宋_GB2312" w:eastAsia="仿宋_GB2312" w:cs="仿宋_GB2312"/>
      <w:color w:val="000000"/>
      <w:sz w:val="22"/>
      <w:szCs w:val="22"/>
      <w:u w:val="none"/>
    </w:rPr>
  </w:style>
  <w:style w:type="character" w:customStyle="1" w:styleId="147">
    <w:name w:val="标题 6 Char"/>
    <w:link w:val="9"/>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Char"/>
    <w:link w:val="36"/>
    <w:autoRedefine/>
    <w:qFormat/>
    <w:uiPriority w:val="0"/>
    <w:rPr>
      <w:rFonts w:ascii="宋体"/>
      <w:kern w:val="2"/>
      <w:sz w:val="24"/>
      <w:szCs w:val="21"/>
      <w:lang w:val="zh-CN"/>
    </w:rPr>
  </w:style>
  <w:style w:type="character" w:customStyle="1" w:styleId="182">
    <w:name w:val="标题 9 Char"/>
    <w:link w:val="12"/>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Char"/>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Char1"/>
    <w:link w:val="19"/>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basedOn w:val="70"/>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Char"/>
    <w:link w:val="31"/>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7"/>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Char"/>
    <w:link w:val="17"/>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Char3"/>
    <w:link w:val="2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Char"/>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Char2"/>
    <w:link w:val="59"/>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Char"/>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Char"/>
    <w:link w:val="21"/>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Char"/>
    <w:link w:val="57"/>
    <w:autoRedefine/>
    <w:qFormat/>
    <w:uiPriority w:val="0"/>
    <w:rPr>
      <w:rFonts w:ascii="黑体" w:hAnsi="Courier New" w:eastAsia="黑体"/>
    </w:rPr>
  </w:style>
  <w:style w:type="character" w:customStyle="1" w:styleId="302">
    <w:name w:val="正文文本 2 Char1"/>
    <w:link w:val="56"/>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Char"/>
    <w:link w:val="10"/>
    <w:autoRedefine/>
    <w:qFormat/>
    <w:uiPriority w:val="0"/>
    <w:rPr>
      <w:b/>
      <w:bCs/>
      <w:kern w:val="2"/>
      <w:sz w:val="24"/>
      <w:szCs w:val="24"/>
    </w:rPr>
  </w:style>
  <w:style w:type="character" w:customStyle="1" w:styleId="308">
    <w:name w:val="正文文本缩进 2 Char"/>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Char"/>
    <w:link w:val="50"/>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basedOn w:val="70"/>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首行缩进 Char"/>
    <w:link w:val="61"/>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Char2"/>
    <w:link w:val="7"/>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Char"/>
    <w:link w:val="22"/>
    <w:autoRedefine/>
    <w:qFormat/>
    <w:uiPriority w:val="0"/>
    <w:rPr>
      <w:kern w:val="2"/>
      <w:sz w:val="21"/>
    </w:rPr>
  </w:style>
  <w:style w:type="character" w:customStyle="1" w:styleId="331">
    <w:name w:val="font31"/>
    <w:basedOn w:val="70"/>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autoRedefine/>
    <w:qFormat/>
    <w:uiPriority w:val="99"/>
    <w:rPr>
      <w:kern w:val="2"/>
      <w:sz w:val="21"/>
      <w:szCs w:val="24"/>
    </w:rPr>
  </w:style>
  <w:style w:type="character" w:customStyle="1" w:styleId="345">
    <w:name w:val="签名 Char"/>
    <w:link w:val="42"/>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1"/>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basedOn w:val="70"/>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Char"/>
    <w:link w:val="53"/>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Char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Char2"/>
    <w:link w:val="41"/>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8"/>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autoRedefine/>
    <w:qFormat/>
    <w:uiPriority w:val="0"/>
    <w:pPr>
      <w:adjustRightInd/>
      <w:ind w:firstLine="420" w:firstLineChars="200"/>
    </w:pPr>
    <w:rPr>
      <w:rFonts w:eastAsia="仿宋_GB2312"/>
      <w:sz w:val="28"/>
    </w:rPr>
  </w:style>
  <w:style w:type="paragraph" w:customStyle="1" w:styleId="52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autoRedefine/>
    <w:qFormat/>
    <w:uiPriority w:val="0"/>
    <w:pPr>
      <w:adjustRightInd/>
      <w:ind w:firstLine="200" w:firstLineChars="200"/>
      <w:jc w:val="right"/>
    </w:pPr>
  </w:style>
  <w:style w:type="paragraph" w:customStyle="1" w:styleId="525">
    <w:name w:val="Char Char11 Char Char Char Char Char Char Char Char Char"/>
    <w:basedOn w:val="1"/>
    <w:autoRedefine/>
    <w:qFormat/>
    <w:uiPriority w:val="0"/>
    <w:pPr>
      <w:spacing w:line="360" w:lineRule="auto"/>
    </w:pPr>
    <w:rPr>
      <w:szCs w:val="20"/>
    </w:rPr>
  </w:style>
  <w:style w:type="paragraph" w:customStyle="1" w:styleId="526">
    <w:name w:val="正文1.25"/>
    <w:basedOn w:val="1"/>
    <w:autoRedefine/>
    <w:qFormat/>
    <w:uiPriority w:val="0"/>
    <w:pPr>
      <w:adjustRightInd/>
      <w:spacing w:line="300" w:lineRule="auto"/>
      <w:ind w:firstLine="480" w:firstLineChars="200"/>
    </w:pPr>
    <w:rPr>
      <w:sz w:val="24"/>
      <w:szCs w:val="20"/>
    </w:rPr>
  </w:style>
  <w:style w:type="paragraph" w:customStyle="1" w:styleId="52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autoRedefine/>
    <w:qFormat/>
    <w:uiPriority w:val="6"/>
    <w:rPr>
      <w:rFonts w:ascii="仿宋_GB2312" w:eastAsia="仿宋_GB2312"/>
      <w:b/>
      <w:sz w:val="32"/>
      <w:szCs w:val="20"/>
    </w:rPr>
  </w:style>
  <w:style w:type="paragraph" w:customStyle="1" w:styleId="531">
    <w:name w:val="列出段落2"/>
    <w:basedOn w:val="1"/>
    <w:autoRedefine/>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autoRedefine/>
    <w:qFormat/>
    <w:uiPriority w:val="0"/>
    <w:rPr>
      <w:rFonts w:eastAsia="仿宋_GB2312"/>
      <w:sz w:val="28"/>
      <w:szCs w:val="20"/>
    </w:rPr>
  </w:style>
  <w:style w:type="paragraph" w:customStyle="1" w:styleId="53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7"/>
    <w:autoRedefine/>
    <w:qFormat/>
    <w:uiPriority w:val="0"/>
    <w:pPr>
      <w:widowControl/>
      <w:jc w:val="left"/>
    </w:pPr>
    <w:rPr>
      <w:rFonts w:cs="宋体"/>
      <w:sz w:val="24"/>
      <w:szCs w:val="20"/>
    </w:rPr>
  </w:style>
  <w:style w:type="paragraph" w:customStyle="1" w:styleId="535">
    <w:name w:val="彩色列表 - 强调文字颜色 11"/>
    <w:basedOn w:val="1"/>
    <w:autoRedefine/>
    <w:qFormat/>
    <w:uiPriority w:val="0"/>
    <w:pPr>
      <w:adjustRightInd/>
      <w:ind w:firstLine="420" w:firstLineChars="200"/>
    </w:pPr>
    <w:rPr>
      <w:rFonts w:ascii="Calibri" w:hAnsi="Calibri"/>
      <w:szCs w:val="22"/>
    </w:rPr>
  </w:style>
  <w:style w:type="paragraph" w:customStyle="1" w:styleId="53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autoRedefine/>
    <w:qFormat/>
    <w:uiPriority w:val="6"/>
    <w:rPr>
      <w:szCs w:val="20"/>
    </w:rPr>
  </w:style>
  <w:style w:type="paragraph" w:customStyle="1" w:styleId="54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autoRedefine/>
    <w:qFormat/>
    <w:uiPriority w:val="0"/>
    <w:pPr>
      <w:spacing w:after="68"/>
    </w:pPr>
    <w:rPr>
      <w:rFonts w:ascii="FHLHE E+ Futura Bk" w:eastAsia="FHLHE E+ Futura Bk" w:cs="Times New Roman"/>
      <w:color w:val="auto"/>
    </w:rPr>
  </w:style>
  <w:style w:type="paragraph" w:customStyle="1" w:styleId="54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autoRedefine/>
    <w:qFormat/>
    <w:uiPriority w:val="0"/>
    <w:rPr>
      <w:rFonts w:ascii="宋体" w:eastAsia="宋体" w:cs="Times New Roman"/>
      <w:color w:val="auto"/>
    </w:rPr>
  </w:style>
  <w:style w:type="paragraph" w:customStyle="1" w:styleId="55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autoRedefine/>
    <w:qFormat/>
    <w:uiPriority w:val="0"/>
    <w:rPr>
      <w:rFonts w:ascii="仿宋_GB2312" w:eastAsia="仿宋_GB2312"/>
      <w:b/>
      <w:sz w:val="32"/>
      <w:szCs w:val="32"/>
    </w:rPr>
  </w:style>
  <w:style w:type="paragraph" w:customStyle="1" w:styleId="55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autoRedefine/>
    <w:qFormat/>
    <w:uiPriority w:val="0"/>
    <w:pPr>
      <w:spacing w:line="360" w:lineRule="auto"/>
    </w:pPr>
    <w:rPr>
      <w:szCs w:val="20"/>
    </w:rPr>
  </w:style>
  <w:style w:type="paragraph" w:customStyle="1" w:styleId="555">
    <w:name w:val="Char"/>
    <w:basedOn w:val="1"/>
    <w:autoRedefine/>
    <w:qFormat/>
    <w:uiPriority w:val="0"/>
    <w:rPr>
      <w:rFonts w:ascii="仿宋_GB2312" w:eastAsia="仿宋_GB2312"/>
      <w:b/>
      <w:sz w:val="32"/>
      <w:szCs w:val="32"/>
    </w:rPr>
  </w:style>
  <w:style w:type="paragraph" w:customStyle="1" w:styleId="55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autoRedefine/>
    <w:qFormat/>
    <w:uiPriority w:val="0"/>
    <w:rPr>
      <w:szCs w:val="20"/>
    </w:rPr>
  </w:style>
  <w:style w:type="paragraph" w:customStyle="1" w:styleId="55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autoRedefine/>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autoRedefine/>
    <w:qFormat/>
    <w:uiPriority w:val="0"/>
    <w:rPr>
      <w:szCs w:val="20"/>
    </w:rPr>
  </w:style>
  <w:style w:type="paragraph" w:customStyle="1" w:styleId="58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autoRedefine/>
    <w:qFormat/>
    <w:uiPriority w:val="0"/>
    <w:rPr>
      <w:rFonts w:ascii="Tahoma" w:hAnsi="Tahoma"/>
      <w:sz w:val="24"/>
      <w:szCs w:val="20"/>
    </w:rPr>
  </w:style>
  <w:style w:type="paragraph" w:customStyle="1" w:styleId="584">
    <w:name w:val="标题五"/>
    <w:basedOn w:val="1"/>
    <w:autoRedefine/>
    <w:qFormat/>
    <w:uiPriority w:val="0"/>
    <w:pPr>
      <w:adjustRightInd/>
      <w:spacing w:before="156" w:beforeLines="50" w:line="360" w:lineRule="auto"/>
    </w:pPr>
    <w:rPr>
      <w:b/>
      <w:sz w:val="24"/>
    </w:rPr>
  </w:style>
  <w:style w:type="paragraph" w:customStyle="1" w:styleId="585">
    <w:name w:val="Char Char1101"/>
    <w:basedOn w:val="1"/>
    <w:autoRedefine/>
    <w:qFormat/>
    <w:uiPriority w:val="0"/>
    <w:pPr>
      <w:spacing w:line="360" w:lineRule="auto"/>
    </w:pPr>
    <w:rPr>
      <w:rFonts w:ascii="Tahoma" w:hAnsi="Tahoma"/>
      <w:sz w:val="24"/>
      <w:szCs w:val="20"/>
    </w:rPr>
  </w:style>
  <w:style w:type="paragraph" w:customStyle="1" w:styleId="586">
    <w:name w:val="Char Char Char Char Char Char Char Char1"/>
    <w:basedOn w:val="1"/>
    <w:autoRedefine/>
    <w:qFormat/>
    <w:uiPriority w:val="0"/>
    <w:pPr>
      <w:tabs>
        <w:tab w:val="left" w:pos="360"/>
      </w:tabs>
    </w:pPr>
    <w:rPr>
      <w:sz w:val="24"/>
      <w:szCs w:val="20"/>
    </w:rPr>
  </w:style>
  <w:style w:type="paragraph" w:customStyle="1" w:styleId="587">
    <w:name w:val="Char Char Char 字元 字元"/>
    <w:basedOn w:val="1"/>
    <w:autoRedefine/>
    <w:qFormat/>
    <w:uiPriority w:val="0"/>
    <w:pPr>
      <w:adjustRightInd/>
      <w:spacing w:line="360" w:lineRule="auto"/>
      <w:ind w:firstLine="200" w:firstLineChars="200"/>
    </w:pPr>
    <w:rPr>
      <w:szCs w:val="20"/>
    </w:rPr>
  </w:style>
  <w:style w:type="paragraph" w:customStyle="1" w:styleId="58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autoRedefine/>
    <w:qFormat/>
    <w:uiPriority w:val="0"/>
    <w:rPr>
      <w:rFonts w:ascii="仿宋_GB2312" w:eastAsia="仿宋_GB2312"/>
      <w:b/>
      <w:sz w:val="32"/>
      <w:szCs w:val="32"/>
    </w:rPr>
  </w:style>
  <w:style w:type="paragraph" w:customStyle="1" w:styleId="59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6"/>
    <w:autoRedefine/>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autoRedefine/>
    <w:qFormat/>
    <w:uiPriority w:val="0"/>
    <w:pPr>
      <w:adjustRightInd/>
    </w:pPr>
    <w:rPr>
      <w:sz w:val="18"/>
      <w:szCs w:val="20"/>
    </w:rPr>
  </w:style>
  <w:style w:type="paragraph" w:customStyle="1" w:styleId="59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autoRedefine/>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autoRedefine/>
    <w:qFormat/>
    <w:uiPriority w:val="0"/>
    <w:pPr>
      <w:snapToGrid w:val="0"/>
      <w:spacing w:line="360" w:lineRule="auto"/>
    </w:pPr>
    <w:rPr>
      <w:rFonts w:ascii="宋体"/>
      <w:b/>
      <w:sz w:val="24"/>
      <w:szCs w:val="20"/>
    </w:rPr>
  </w:style>
  <w:style w:type="paragraph" w:customStyle="1" w:styleId="60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autoRedefine/>
    <w:qFormat/>
    <w:uiPriority w:val="7"/>
    <w:pPr>
      <w:adjustRightInd/>
    </w:pPr>
    <w:rPr>
      <w:rFonts w:ascii="宋体" w:hAnsi="Courier New"/>
    </w:rPr>
  </w:style>
  <w:style w:type="paragraph" w:customStyle="1" w:styleId="608">
    <w:name w:val="Char3"/>
    <w:basedOn w:val="1"/>
    <w:autoRedefine/>
    <w:qFormat/>
    <w:uiPriority w:val="0"/>
    <w:pPr>
      <w:adjustRightInd/>
    </w:pPr>
    <w:rPr>
      <w:rFonts w:ascii="仿宋_GB2312" w:eastAsia="仿宋_GB2312"/>
      <w:b/>
      <w:sz w:val="32"/>
      <w:szCs w:val="32"/>
    </w:rPr>
  </w:style>
  <w:style w:type="paragraph" w:customStyle="1" w:styleId="60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autoRedefine/>
    <w:qFormat/>
    <w:uiPriority w:val="0"/>
    <w:pPr>
      <w:widowControl/>
      <w:adjustRightInd/>
      <w:spacing w:after="160" w:line="240" w:lineRule="exact"/>
      <w:jc w:val="left"/>
    </w:pPr>
    <w:rPr>
      <w:szCs w:val="20"/>
    </w:rPr>
  </w:style>
  <w:style w:type="paragraph" w:customStyle="1" w:styleId="617">
    <w:name w:val="表格标题2"/>
    <w:basedOn w:val="618"/>
    <w:autoRedefine/>
    <w:qFormat/>
    <w:uiPriority w:val="0"/>
    <w:rPr>
      <w:b/>
    </w:rPr>
  </w:style>
  <w:style w:type="paragraph" w:customStyle="1" w:styleId="618">
    <w:name w:val="表格内文"/>
    <w:basedOn w:val="1"/>
    <w:autoRedefine/>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autoRedefine/>
    <w:qFormat/>
    <w:uiPriority w:val="0"/>
    <w:rPr>
      <w:rFonts w:ascii="仿宋_GB2312" w:eastAsia="仿宋_GB2312"/>
      <w:b/>
      <w:sz w:val="32"/>
      <w:szCs w:val="32"/>
    </w:rPr>
  </w:style>
  <w:style w:type="paragraph" w:customStyle="1" w:styleId="62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autoRedefine/>
    <w:qFormat/>
    <w:uiPriority w:val="0"/>
    <w:pPr>
      <w:spacing w:line="360" w:lineRule="auto"/>
    </w:pPr>
    <w:rPr>
      <w:szCs w:val="20"/>
    </w:rPr>
  </w:style>
  <w:style w:type="paragraph" w:customStyle="1" w:styleId="62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5">
    <w:name w:val="MM Topic 1"/>
    <w:basedOn w:val="2"/>
    <w:autoRedefine/>
    <w:qFormat/>
    <w:uiPriority w:val="0"/>
    <w:pPr>
      <w:tabs>
        <w:tab w:val="left" w:pos="840"/>
      </w:tabs>
      <w:adjustRightInd/>
      <w:ind w:left="840" w:hanging="420"/>
    </w:pPr>
  </w:style>
  <w:style w:type="paragraph" w:customStyle="1" w:styleId="6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autoRedefine/>
    <w:qFormat/>
    <w:uiPriority w:val="0"/>
    <w:pPr>
      <w:spacing w:line="360" w:lineRule="auto"/>
      <w:ind w:firstLine="200" w:firstLineChars="200"/>
    </w:pPr>
    <w:rPr>
      <w:kern w:val="0"/>
      <w:sz w:val="24"/>
      <w:szCs w:val="20"/>
    </w:rPr>
  </w:style>
  <w:style w:type="paragraph" w:customStyle="1" w:styleId="628">
    <w:name w:val="表格"/>
    <w:basedOn w:val="1"/>
    <w:autoRedefine/>
    <w:qFormat/>
    <w:uiPriority w:val="0"/>
    <w:pPr>
      <w:snapToGrid w:val="0"/>
      <w:ind w:firstLine="42" w:firstLineChars="21"/>
    </w:pPr>
    <w:rPr>
      <w:rFonts w:ascii="宋体" w:hAnsi="宋体"/>
      <w:kern w:val="0"/>
      <w:sz w:val="20"/>
      <w:szCs w:val="20"/>
    </w:rPr>
  </w:style>
  <w:style w:type="paragraph" w:customStyle="1" w:styleId="629">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autoRedefine/>
    <w:qFormat/>
    <w:uiPriority w:val="0"/>
    <w:pPr>
      <w:adjustRightInd/>
      <w:spacing w:line="300" w:lineRule="auto"/>
      <w:jc w:val="center"/>
    </w:pPr>
  </w:style>
  <w:style w:type="paragraph" w:customStyle="1" w:styleId="634">
    <w:name w:val="_Style 6"/>
    <w:basedOn w:val="1"/>
    <w:autoRedefine/>
    <w:qFormat/>
    <w:uiPriority w:val="34"/>
    <w:pPr>
      <w:adjustRightInd/>
      <w:ind w:firstLine="420" w:firstLineChars="200"/>
    </w:pPr>
    <w:rPr>
      <w:rFonts w:eastAsia="仿宋_GB2312"/>
      <w:sz w:val="28"/>
    </w:rPr>
  </w:style>
  <w:style w:type="paragraph" w:customStyle="1" w:styleId="63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autoRedefine/>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autoRedefine/>
    <w:qFormat/>
    <w:uiPriority w:val="0"/>
    <w:rPr>
      <w:rFonts w:ascii="仿宋_GB2312" w:eastAsia="仿宋_GB2312"/>
      <w:b/>
      <w:sz w:val="32"/>
      <w:szCs w:val="20"/>
    </w:rPr>
  </w:style>
  <w:style w:type="paragraph" w:customStyle="1" w:styleId="64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autoRedefine/>
    <w:qFormat/>
    <w:uiPriority w:val="0"/>
    <w:pPr>
      <w:adjustRightInd/>
      <w:ind w:firstLine="200" w:firstLineChars="200"/>
    </w:pPr>
    <w:rPr>
      <w:rFonts w:ascii="Tahoma" w:hAnsi="Tahoma"/>
      <w:sz w:val="24"/>
      <w:szCs w:val="20"/>
    </w:rPr>
  </w:style>
  <w:style w:type="paragraph" w:customStyle="1" w:styleId="647">
    <w:name w:val="a1"/>
    <w:basedOn w:val="1"/>
    <w:autoRedefine/>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autoRedefine/>
    <w:qFormat/>
    <w:uiPriority w:val="0"/>
    <w:pPr>
      <w:spacing w:after="156" w:afterLines="50"/>
      <w:jc w:val="left"/>
      <w:outlineLvl w:val="3"/>
    </w:pPr>
    <w:rPr>
      <w:sz w:val="24"/>
      <w:szCs w:val="24"/>
    </w:rPr>
  </w:style>
  <w:style w:type="paragraph" w:customStyle="1" w:styleId="64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autoRedefine/>
    <w:qFormat/>
    <w:uiPriority w:val="0"/>
    <w:pPr>
      <w:adjustRightInd/>
    </w:pPr>
    <w:rPr>
      <w:rFonts w:ascii="Tahoma" w:hAnsi="Tahoma"/>
      <w:sz w:val="24"/>
      <w:szCs w:val="20"/>
    </w:rPr>
  </w:style>
  <w:style w:type="paragraph" w:customStyle="1" w:styleId="65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autoRedefine/>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autoRedefine/>
    <w:qFormat/>
    <w:uiPriority w:val="0"/>
    <w:pPr>
      <w:tabs>
        <w:tab w:val="left" w:pos="1260"/>
        <w:tab w:val="left" w:pos="1680"/>
        <w:tab w:val="left" w:pos="2100"/>
      </w:tabs>
      <w:ind w:left="0"/>
      <w:outlineLvl w:val="3"/>
    </w:pPr>
  </w:style>
  <w:style w:type="paragraph" w:customStyle="1" w:styleId="657">
    <w:name w:val="一级条标题"/>
    <w:basedOn w:val="658"/>
    <w:next w:val="640"/>
    <w:autoRedefine/>
    <w:qFormat/>
    <w:uiPriority w:val="0"/>
    <w:pPr>
      <w:tabs>
        <w:tab w:val="left" w:pos="1260"/>
        <w:tab w:val="left" w:pos="1680"/>
      </w:tabs>
      <w:spacing w:before="0" w:beforeLines="0" w:after="0" w:afterLines="0"/>
      <w:ind w:left="1680"/>
      <w:outlineLvl w:val="2"/>
    </w:pPr>
  </w:style>
  <w:style w:type="paragraph" w:customStyle="1" w:styleId="658">
    <w:name w:val="章标题"/>
    <w:next w:val="64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autoRedefine/>
    <w:qFormat/>
    <w:uiPriority w:val="0"/>
    <w:pPr>
      <w:tabs>
        <w:tab w:val="left" w:pos="840"/>
      </w:tabs>
      <w:spacing w:after="0"/>
      <w:ind w:left="900"/>
    </w:pPr>
  </w:style>
  <w:style w:type="paragraph" w:customStyle="1" w:styleId="66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autoRedefine/>
    <w:qFormat/>
    <w:uiPriority w:val="6"/>
    <w:pPr>
      <w:widowControl/>
      <w:adjustRightInd/>
      <w:ind w:left="720" w:hanging="720"/>
    </w:pPr>
    <w:rPr>
      <w:color w:val="000000"/>
      <w:kern w:val="0"/>
      <w:sz w:val="24"/>
      <w:szCs w:val="20"/>
      <w:lang w:val="en-GB"/>
    </w:rPr>
  </w:style>
  <w:style w:type="paragraph" w:customStyle="1" w:styleId="668">
    <w:name w:val="表1"/>
    <w:basedOn w:val="1"/>
    <w:autoRedefine/>
    <w:qFormat/>
    <w:uiPriority w:val="0"/>
    <w:pPr>
      <w:tabs>
        <w:tab w:val="left" w:pos="703"/>
      </w:tabs>
      <w:adjustRightInd/>
      <w:spacing w:line="360" w:lineRule="auto"/>
      <w:ind w:left="703"/>
      <w:jc w:val="center"/>
    </w:pPr>
  </w:style>
  <w:style w:type="paragraph" w:customStyle="1" w:styleId="66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7"/>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7"/>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autoRedefine/>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7"/>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0"/>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4"/>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9"/>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8"/>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3"/>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3"/>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8"/>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纯文本3"/>
    <w:basedOn w:val="1"/>
    <w:autoRedefine/>
    <w:qFormat/>
    <w:uiPriority w:val="0"/>
    <w:pPr>
      <w:spacing w:before="156" w:beforeLines="50" w:after="156" w:afterLines="50" w:line="400" w:lineRule="exact"/>
    </w:pPr>
    <w:rPr>
      <w:rFonts w:ascii="宋体" w:hAnsi="Courier New"/>
      <w:sz w:val="24"/>
    </w:rPr>
  </w:style>
  <w:style w:type="paragraph" w:customStyle="1" w:styleId="965">
    <w:name w:val="纯文本4"/>
    <w:basedOn w:val="1"/>
    <w:autoRedefine/>
    <w:qFormat/>
    <w:uiPriority w:val="0"/>
    <w:pPr>
      <w:spacing w:before="156" w:beforeLines="50" w:after="156" w:afterLines="50" w:line="400" w:lineRule="exact"/>
    </w:pPr>
    <w:rPr>
      <w:rFonts w:ascii="宋体" w:hAnsi="Courier New"/>
      <w:sz w:val="24"/>
    </w:rPr>
  </w:style>
  <w:style w:type="paragraph" w:customStyle="1" w:styleId="966">
    <w:name w:val="_Style 2"/>
    <w:basedOn w:val="1"/>
    <w:autoRedefine/>
    <w:qFormat/>
    <w:uiPriority w:val="99"/>
    <w:pPr>
      <w:ind w:firstLine="42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45093</Words>
  <Characters>48645</Characters>
  <Lines>432</Lines>
  <Paragraphs>121</Paragraphs>
  <TotalTime>7</TotalTime>
  <ScaleCrop>false</ScaleCrop>
  <LinksUpToDate>false</LinksUpToDate>
  <CharactersWithSpaces>53207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一生何求</cp:lastModifiedBy>
  <cp:lastPrinted>2024-02-26T05:54:00Z</cp:lastPrinted>
  <dcterms:modified xsi:type="dcterms:W3CDTF">2024-07-30T05:45:49Z</dcterms:modified>
  <dc:title>杭州市市民卡扩大发卡工程</dc:title>
  <cp:revision>318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BA86294B1B59498FA0AB1CD9F8FC93D7_13</vt:lpwstr>
  </property>
</Properties>
</file>