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CC19C">
      <w:pPr>
        <w:spacing w:line="360" w:lineRule="auto"/>
        <w:jc w:val="center"/>
        <w:rPr>
          <w:rFonts w:ascii="宋体" w:hAnsi="宋体" w:cs="宋体"/>
          <w:b/>
          <w:color w:val="auto"/>
          <w:sz w:val="24"/>
          <w:highlight w:val="none"/>
        </w:rPr>
      </w:pPr>
      <w:bookmarkStart w:id="411" w:name="_GoBack"/>
    </w:p>
    <w:p w14:paraId="72A4CBB4">
      <w:pPr>
        <w:spacing w:line="360" w:lineRule="auto"/>
        <w:jc w:val="center"/>
        <w:rPr>
          <w:rFonts w:ascii="宋体" w:hAnsi="宋体" w:cs="宋体"/>
          <w:b/>
          <w:color w:val="auto"/>
          <w:sz w:val="24"/>
          <w:highlight w:val="none"/>
        </w:rPr>
      </w:pPr>
    </w:p>
    <w:p w14:paraId="17D7A86C">
      <w:pPr>
        <w:spacing w:line="360" w:lineRule="auto"/>
        <w:jc w:val="both"/>
        <w:rPr>
          <w:rFonts w:ascii="宋体" w:hAnsi="宋体" w:cs="宋体"/>
          <w:b/>
          <w:color w:val="auto"/>
          <w:sz w:val="44"/>
          <w:szCs w:val="44"/>
          <w:highlight w:val="none"/>
        </w:rPr>
      </w:pPr>
    </w:p>
    <w:p w14:paraId="44F846C4">
      <w:pPr>
        <w:adjustRightInd/>
        <w:spacing w:line="360" w:lineRule="auto"/>
        <w:jc w:val="center"/>
        <w:rPr>
          <w:rFonts w:ascii="宋体" w:hAnsi="宋体" w:cs="宋体"/>
          <w:b/>
          <w:color w:val="auto"/>
          <w:sz w:val="48"/>
          <w:szCs w:val="48"/>
          <w:highlight w:val="none"/>
        </w:rPr>
      </w:pPr>
    </w:p>
    <w:p w14:paraId="1A969DB0">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杭州市职业病防治院钱塘门诊部业务用房改造设计与施工一体化工程</w:t>
      </w:r>
    </w:p>
    <w:p w14:paraId="45784D9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99E905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5032139C">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编号:ZJZT-2025-10448</w:t>
      </w:r>
    </w:p>
    <w:p w14:paraId="5306AD71">
      <w:pPr>
        <w:adjustRightInd/>
        <w:spacing w:line="360" w:lineRule="auto"/>
        <w:rPr>
          <w:rFonts w:ascii="宋体" w:hAnsi="宋体" w:cs="宋体"/>
          <w:color w:val="auto"/>
          <w:sz w:val="28"/>
          <w:szCs w:val="20"/>
          <w:highlight w:val="none"/>
        </w:rPr>
      </w:pPr>
    </w:p>
    <w:p w14:paraId="4619DFF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710AA96">
      <w:pPr>
        <w:spacing w:line="360" w:lineRule="auto"/>
        <w:jc w:val="center"/>
        <w:rPr>
          <w:rFonts w:ascii="宋体" w:hAnsi="宋体" w:cs="宋体"/>
          <w:b/>
          <w:color w:val="auto"/>
          <w:sz w:val="44"/>
          <w:szCs w:val="44"/>
          <w:highlight w:val="none"/>
        </w:rPr>
      </w:pPr>
    </w:p>
    <w:p w14:paraId="5AB17636">
      <w:pPr>
        <w:spacing w:line="360" w:lineRule="auto"/>
        <w:jc w:val="center"/>
        <w:rPr>
          <w:rFonts w:ascii="宋体" w:hAnsi="宋体" w:cs="宋体"/>
          <w:color w:val="auto"/>
          <w:sz w:val="24"/>
          <w:highlight w:val="none"/>
        </w:rPr>
      </w:pPr>
    </w:p>
    <w:p w14:paraId="76245B20">
      <w:pPr>
        <w:spacing w:line="360" w:lineRule="auto"/>
        <w:jc w:val="center"/>
        <w:rPr>
          <w:rFonts w:ascii="宋体" w:hAnsi="宋体" w:cs="宋体"/>
          <w:color w:val="auto"/>
          <w:sz w:val="24"/>
          <w:highlight w:val="none"/>
        </w:rPr>
      </w:pPr>
    </w:p>
    <w:p w14:paraId="5F9846DF">
      <w:pPr>
        <w:spacing w:line="360" w:lineRule="auto"/>
        <w:rPr>
          <w:rFonts w:ascii="宋体" w:hAnsi="宋体" w:cs="宋体"/>
          <w:color w:val="auto"/>
          <w:sz w:val="32"/>
          <w:szCs w:val="32"/>
          <w:highlight w:val="none"/>
        </w:rPr>
      </w:pPr>
    </w:p>
    <w:p w14:paraId="5400071D">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杭州市职业病防治院</w:t>
      </w:r>
    </w:p>
    <w:p w14:paraId="15BE80F0">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浙江中通通信有限公司</w:t>
      </w:r>
    </w:p>
    <w:p w14:paraId="672470D0">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706C3D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EE5BDD7">
      <w:pPr>
        <w:spacing w:line="360" w:lineRule="auto"/>
        <w:jc w:val="center"/>
        <w:rPr>
          <w:rFonts w:ascii="宋体" w:hAnsi="宋体" w:cs="宋体"/>
          <w:color w:val="auto"/>
          <w:sz w:val="24"/>
          <w:highlight w:val="none"/>
        </w:rPr>
      </w:pPr>
    </w:p>
    <w:p w14:paraId="3A5968A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02D4E8">
      <w:pPr>
        <w:spacing w:line="360" w:lineRule="auto"/>
        <w:rPr>
          <w:rFonts w:ascii="宋体" w:hAnsi="宋体" w:cs="宋体"/>
          <w:color w:val="auto"/>
          <w:sz w:val="32"/>
          <w:szCs w:val="32"/>
          <w:highlight w:val="none"/>
        </w:rPr>
      </w:pPr>
    </w:p>
    <w:p w14:paraId="098B2B4E">
      <w:pPr>
        <w:spacing w:line="360" w:lineRule="auto"/>
        <w:rPr>
          <w:rFonts w:ascii="宋体" w:hAnsi="宋体" w:cs="宋体"/>
          <w:color w:val="auto"/>
          <w:sz w:val="32"/>
          <w:szCs w:val="32"/>
          <w:highlight w:val="none"/>
        </w:rPr>
      </w:pPr>
    </w:p>
    <w:p w14:paraId="7BFFE40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3BF0352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554D981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B76A9C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62EBCC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0D5321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D658381">
      <w:pPr>
        <w:spacing w:line="360" w:lineRule="auto"/>
        <w:ind w:firstLine="1280" w:firstLineChars="400"/>
        <w:rPr>
          <w:rFonts w:ascii="宋体" w:hAnsi="宋体" w:cs="宋体"/>
          <w:color w:val="auto"/>
          <w:sz w:val="32"/>
          <w:szCs w:val="32"/>
          <w:highlight w:val="none"/>
        </w:rPr>
      </w:pPr>
    </w:p>
    <w:p w14:paraId="788FB95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3637D0F">
      <w:pPr>
        <w:spacing w:line="360" w:lineRule="auto"/>
        <w:ind w:firstLine="549" w:firstLineChars="229"/>
        <w:rPr>
          <w:rFonts w:ascii="宋体" w:hAnsi="宋体" w:cs="宋体"/>
          <w:color w:val="auto"/>
          <w:sz w:val="24"/>
          <w:highlight w:val="none"/>
        </w:rPr>
      </w:pPr>
    </w:p>
    <w:p w14:paraId="17175A7C">
      <w:pPr>
        <w:spacing w:line="360" w:lineRule="auto"/>
        <w:ind w:firstLine="549" w:firstLineChars="229"/>
        <w:rPr>
          <w:rFonts w:ascii="宋体" w:hAnsi="宋体" w:cs="宋体"/>
          <w:color w:val="auto"/>
          <w:sz w:val="24"/>
          <w:highlight w:val="none"/>
        </w:rPr>
      </w:pPr>
    </w:p>
    <w:p w14:paraId="402E2DB8">
      <w:pPr>
        <w:spacing w:line="360" w:lineRule="auto"/>
        <w:ind w:firstLine="549" w:firstLineChars="229"/>
        <w:rPr>
          <w:rFonts w:ascii="宋体" w:hAnsi="宋体" w:cs="宋体"/>
          <w:color w:val="auto"/>
          <w:sz w:val="24"/>
          <w:highlight w:val="none"/>
        </w:rPr>
      </w:pPr>
    </w:p>
    <w:p w14:paraId="6242D5C3">
      <w:pPr>
        <w:spacing w:line="360" w:lineRule="auto"/>
        <w:ind w:firstLine="549" w:firstLineChars="229"/>
        <w:rPr>
          <w:rFonts w:ascii="宋体" w:hAnsi="宋体" w:cs="宋体"/>
          <w:color w:val="auto"/>
          <w:sz w:val="24"/>
          <w:highlight w:val="none"/>
        </w:rPr>
      </w:pPr>
    </w:p>
    <w:p w14:paraId="29DFF982">
      <w:pPr>
        <w:spacing w:line="360" w:lineRule="auto"/>
        <w:ind w:firstLine="549" w:firstLineChars="229"/>
        <w:rPr>
          <w:rFonts w:ascii="宋体" w:hAnsi="宋体" w:cs="宋体"/>
          <w:color w:val="auto"/>
          <w:sz w:val="24"/>
          <w:highlight w:val="none"/>
        </w:rPr>
      </w:pPr>
    </w:p>
    <w:p w14:paraId="735729ED">
      <w:pPr>
        <w:spacing w:line="360" w:lineRule="auto"/>
        <w:ind w:firstLine="549" w:firstLineChars="229"/>
        <w:rPr>
          <w:rFonts w:ascii="宋体" w:hAnsi="宋体" w:cs="宋体"/>
          <w:color w:val="auto"/>
          <w:sz w:val="24"/>
          <w:highlight w:val="none"/>
        </w:rPr>
      </w:pPr>
    </w:p>
    <w:p w14:paraId="5DFE8814">
      <w:pPr>
        <w:spacing w:line="360" w:lineRule="auto"/>
        <w:ind w:firstLine="549" w:firstLineChars="229"/>
        <w:rPr>
          <w:rFonts w:ascii="宋体" w:hAnsi="宋体" w:cs="宋体"/>
          <w:color w:val="auto"/>
          <w:sz w:val="24"/>
          <w:highlight w:val="none"/>
        </w:rPr>
      </w:pPr>
    </w:p>
    <w:p w14:paraId="1BD42DAA">
      <w:pPr>
        <w:spacing w:line="360" w:lineRule="auto"/>
        <w:ind w:firstLine="549" w:firstLineChars="229"/>
        <w:rPr>
          <w:rFonts w:ascii="宋体" w:hAnsi="宋体" w:cs="宋体"/>
          <w:color w:val="auto"/>
          <w:sz w:val="24"/>
          <w:highlight w:val="none"/>
        </w:rPr>
      </w:pPr>
    </w:p>
    <w:p w14:paraId="7411A56D">
      <w:pPr>
        <w:spacing w:line="360" w:lineRule="auto"/>
        <w:ind w:firstLine="549" w:firstLineChars="229"/>
        <w:rPr>
          <w:rFonts w:ascii="宋体" w:hAnsi="宋体" w:cs="宋体"/>
          <w:color w:val="auto"/>
          <w:sz w:val="24"/>
          <w:highlight w:val="none"/>
        </w:rPr>
      </w:pPr>
    </w:p>
    <w:p w14:paraId="7F8F0282">
      <w:pPr>
        <w:spacing w:line="360" w:lineRule="auto"/>
        <w:ind w:firstLine="549" w:firstLineChars="229"/>
        <w:rPr>
          <w:rFonts w:ascii="宋体" w:hAnsi="宋体" w:cs="宋体"/>
          <w:color w:val="auto"/>
          <w:sz w:val="24"/>
          <w:highlight w:val="none"/>
        </w:rPr>
      </w:pPr>
    </w:p>
    <w:p w14:paraId="04BFBEC8">
      <w:pPr>
        <w:spacing w:line="360" w:lineRule="auto"/>
        <w:ind w:firstLine="549" w:firstLineChars="229"/>
        <w:rPr>
          <w:rFonts w:ascii="宋体" w:hAnsi="宋体" w:cs="宋体"/>
          <w:color w:val="auto"/>
          <w:sz w:val="24"/>
          <w:highlight w:val="none"/>
        </w:rPr>
      </w:pPr>
    </w:p>
    <w:p w14:paraId="6F521B50">
      <w:pPr>
        <w:spacing w:line="360" w:lineRule="auto"/>
        <w:ind w:firstLine="549" w:firstLineChars="229"/>
        <w:rPr>
          <w:rFonts w:ascii="宋体" w:hAnsi="宋体" w:cs="宋体"/>
          <w:color w:val="auto"/>
          <w:sz w:val="24"/>
          <w:highlight w:val="none"/>
        </w:rPr>
      </w:pPr>
    </w:p>
    <w:p w14:paraId="469C2D83">
      <w:pPr>
        <w:spacing w:line="360" w:lineRule="auto"/>
        <w:rPr>
          <w:rFonts w:ascii="宋体" w:hAnsi="宋体" w:cs="宋体"/>
          <w:color w:val="auto"/>
          <w:sz w:val="24"/>
          <w:highlight w:val="none"/>
        </w:rPr>
      </w:pPr>
    </w:p>
    <w:p w14:paraId="0E3FF90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3FB0C1A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1E89EA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杭州市职业病防治院钱塘门诊部业务用房改造设计与施工一体化工程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58439E0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564178D">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ZJZT-2025-10448</w:t>
      </w:r>
    </w:p>
    <w:p w14:paraId="6CD84846">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杭州市职业病防治院钱塘门诊部业务用房改造设计与施工一体化工程</w:t>
      </w:r>
    </w:p>
    <w:p w14:paraId="31A64183">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 xml:space="preserve"> 2107707  </w:t>
      </w:r>
    </w:p>
    <w:p w14:paraId="4596F831">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2107707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其中设计部分120000元，施工部分1987707元</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6C0C5BE1">
      <w:pPr>
        <w:pStyle w:val="7"/>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杭州市职业病防治院钱塘门诊部业务用房改造设计与施工一体化工程。</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杭州市职业病防治院钱塘门诊部业务用房改造设计与施工一体化工程</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06B7DB9E">
      <w:pPr>
        <w:pStyle w:val="132"/>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90</w:t>
      </w:r>
      <w:r>
        <w:rPr>
          <w:rFonts w:hint="eastAsia" w:ascii="宋体" w:hAnsi="宋体" w:cs="宋体"/>
          <w:b/>
          <w:color w:val="auto"/>
          <w:highlight w:val="none"/>
          <w:lang w:val="en-US" w:eastAsia="zh-CN"/>
        </w:rPr>
        <w:t>日历日</w:t>
      </w:r>
    </w:p>
    <w:p w14:paraId="722941E2">
      <w:pPr>
        <w:pStyle w:val="7"/>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66A75BFF">
      <w:pPr>
        <w:pStyle w:val="7"/>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r>
        <w:rPr>
          <w:rFonts w:hint="eastAsia" w:hAnsi="宋体" w:cs="宋体"/>
          <w:color w:val="auto"/>
          <w:kern w:val="0"/>
          <w:sz w:val="24"/>
          <w:highlight w:val="none"/>
        </w:rPr>
        <w:t>。</w:t>
      </w:r>
    </w:p>
    <w:p w14:paraId="0BB6CF87">
      <w:pPr>
        <w:pStyle w:val="132"/>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460E105A">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3772F96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166E65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1ED1D7E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54E1AB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A8B4E34">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2187C954">
      <w:pPr>
        <w:numPr>
          <w:ilvl w:val="-1"/>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（1）具有建筑装修装饰工程专业承包二级（含）以上资质；</w:t>
      </w:r>
    </w:p>
    <w:p w14:paraId="7076A1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（2）具有有效的建设行政主管部门颁发的建筑装饰工程设计专项丙级及以上资质或工程设计建筑行业（建筑工程）乙级及以上资质或工程设计建筑行业乙级及以上资质或工程设计综合甲级资质；</w:t>
      </w:r>
    </w:p>
    <w:p w14:paraId="304A2C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（3）具有企业《安全生产许可证》（在有效期内）；</w:t>
      </w:r>
    </w:p>
    <w:p w14:paraId="47DB37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（4）项目负责人、设计负责人资格</w:t>
      </w:r>
      <w:r>
        <w:rPr>
          <w:rFonts w:hint="eastAsia" w:ascii="宋体" w:hAnsi="宋体" w:cs="宋体"/>
          <w:color w:val="auto"/>
          <w:sz w:val="24"/>
          <w:highlight w:val="none"/>
          <w:lang w:eastAsia="zh-CN"/>
        </w:rPr>
        <w:t>：</w:t>
      </w:r>
      <w:r>
        <w:rPr>
          <w:rFonts w:hint="eastAsia" w:ascii="宋体" w:hAnsi="宋体" w:cs="宋体"/>
          <w:color w:val="auto"/>
          <w:sz w:val="24"/>
          <w:highlight w:val="none"/>
        </w:rPr>
        <w:t>拟派项目负责人具有二级注册建造师执业资格（建筑工程）；拟派设计负责人具有二级注册建筑师执业资格。</w:t>
      </w:r>
    </w:p>
    <w:p w14:paraId="43E702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（5）拟派现场的安全专职管理员具有施工现场安全生产专职管理人员“三类人员”C类证书；</w:t>
      </w:r>
    </w:p>
    <w:p w14:paraId="20F7EB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（6）与参加本次项目同一合同项下采购活动的其他供应商不存在单位负责人为同一人或者直接控股、管理关系。</w:t>
      </w:r>
    </w:p>
    <w:p w14:paraId="59D0BD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（7）本项目拟定施工方作为联合体牵头方，设计方作为联合体成员方。</w:t>
      </w:r>
    </w:p>
    <w:p w14:paraId="2F651B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2E2CE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20047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9A685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87FFC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DC780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8A116B3">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09F76C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C7886B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BE9BC7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2098ED8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2BBC50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F1F459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506A1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760E97D4">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ABD1E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浙江省财政厅关于进一步加大政府采购支持中小企业力度助力扎实稳住经济的通知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1CB5E1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FC8A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0CB3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5B140334">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0BEEC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2A1098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杭州市职业病防治院</w:t>
      </w:r>
      <w:r>
        <w:rPr>
          <w:rFonts w:hint="eastAsia" w:ascii="宋体" w:hAnsi="宋体" w:cs="宋体"/>
          <w:color w:val="auto"/>
          <w:sz w:val="24"/>
          <w:highlight w:val="none"/>
        </w:rPr>
        <w:t xml:space="preserve"> </w:t>
      </w:r>
    </w:p>
    <w:p w14:paraId="4C09B4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址：杭州市朝晖二小区5幢       </w:t>
      </w:r>
    </w:p>
    <w:p w14:paraId="280A04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5AF9B9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沈宇航</w:t>
      </w:r>
      <w:r>
        <w:rPr>
          <w:rFonts w:hint="eastAsia" w:ascii="宋体" w:hAnsi="宋体" w:cs="宋体"/>
          <w:color w:val="auto"/>
          <w:sz w:val="24"/>
          <w:highlight w:val="none"/>
        </w:rPr>
        <w:t xml:space="preserve"> </w:t>
      </w:r>
    </w:p>
    <w:p w14:paraId="357A64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项目联系方式（询问）：0571-85131588 </w:t>
      </w:r>
    </w:p>
    <w:p w14:paraId="64CAB2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康红艳</w:t>
      </w:r>
    </w:p>
    <w:p w14:paraId="1BCF4F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0571-85059402</w:t>
      </w:r>
      <w:r>
        <w:rPr>
          <w:rFonts w:hint="eastAsia" w:ascii="宋体" w:hAnsi="宋体" w:cs="宋体"/>
          <w:color w:val="auto"/>
          <w:sz w:val="24"/>
          <w:highlight w:val="none"/>
        </w:rPr>
        <w:t xml:space="preserve"> </w:t>
      </w:r>
    </w:p>
    <w:p w14:paraId="2982E1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16DBDD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称：浙江中通通信有限公司</w:t>
      </w:r>
    </w:p>
    <w:p w14:paraId="1F415F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址：杭州市河东路215号</w:t>
      </w:r>
    </w:p>
    <w:p w14:paraId="6ED760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87B1C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胡博博、楼宇晨</w:t>
      </w:r>
      <w:r>
        <w:rPr>
          <w:rFonts w:hint="eastAsia" w:ascii="宋体" w:hAnsi="宋体" w:cs="宋体"/>
          <w:color w:val="auto"/>
          <w:sz w:val="24"/>
          <w:highlight w:val="none"/>
        </w:rPr>
        <w:t xml:space="preserve">          </w:t>
      </w:r>
    </w:p>
    <w:p w14:paraId="70D423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项目联系方式（询问）：18668155550、</w:t>
      </w:r>
      <w:r>
        <w:rPr>
          <w:rFonts w:hint="eastAsia" w:ascii="宋体" w:hAnsi="宋体" w:cs="宋体"/>
          <w:color w:val="auto"/>
          <w:sz w:val="24"/>
          <w:highlight w:val="none"/>
          <w:lang w:val="en-US" w:eastAsia="zh-CN"/>
        </w:rPr>
        <w:t>18072772106</w:t>
      </w:r>
    </w:p>
    <w:p w14:paraId="5979A1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赵阳君</w:t>
      </w:r>
      <w:r>
        <w:rPr>
          <w:rFonts w:hint="eastAsia" w:ascii="宋体" w:hAnsi="宋体" w:cs="宋体"/>
          <w:color w:val="auto"/>
          <w:sz w:val="24"/>
          <w:highlight w:val="none"/>
        </w:rPr>
        <w:t xml:space="preserve">              </w:t>
      </w:r>
    </w:p>
    <w:p w14:paraId="3F722F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质疑联系方式：18969114900</w:t>
      </w:r>
    </w:p>
    <w:p w14:paraId="7B579B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F9638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26BAF0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27C616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DA22C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49C6E4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14:paraId="53CF0414">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06E6BBA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3885ABDD">
      <w:pPr>
        <w:snapToGrid w:val="0"/>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783C67BC">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68228D5">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5F9D208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0726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D1FEF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4C714D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7062A9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2AA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DEE5A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14AA940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41A4DB5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2FE9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DB58A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07474D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1B0A22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标项1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4F760C7E">
            <w:pPr>
              <w:pStyle w:val="5"/>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2EBD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DDCE6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6206F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0114C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7EC5B1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BA5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4024E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C51C12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50E331F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加固工程、放射机房的屏蔽防护工程</w:t>
            </w:r>
            <w:r>
              <w:rPr>
                <w:rFonts w:hint="eastAsia" w:ascii="宋体" w:hAnsi="宋体" w:cs="宋体"/>
                <w:color w:val="auto"/>
                <w:sz w:val="24"/>
                <w:highlight w:val="none"/>
              </w:rPr>
              <w:t>工作分包。</w:t>
            </w:r>
          </w:p>
          <w:p w14:paraId="5861220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29C829">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84E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17AD5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130BCA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14F7B7C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9A012BF">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232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8EDE9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537088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756802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F4883B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6C2F7C0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298B9D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9D3D5B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7C7627E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F9B79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28901C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531757D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3755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B114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13B9202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4EF95F3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C17A93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51B0B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6290E3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2B976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649698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7CF32CF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421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DE9F2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4443D5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602614D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1D87E66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0AEA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98D11C2">
            <w:pPr>
              <w:snapToGrid w:val="0"/>
              <w:spacing w:line="360" w:lineRule="auto"/>
              <w:jc w:val="center"/>
              <w:rPr>
                <w:rFonts w:ascii="宋体" w:hAnsi="宋体" w:cs="宋体"/>
                <w:color w:val="auto"/>
                <w:sz w:val="24"/>
                <w:highlight w:val="none"/>
              </w:rPr>
            </w:pPr>
          </w:p>
        </w:tc>
        <w:tc>
          <w:tcPr>
            <w:tcW w:w="2093" w:type="dxa"/>
            <w:vMerge w:val="continue"/>
            <w:vAlign w:val="center"/>
          </w:tcPr>
          <w:p w14:paraId="77716DB8">
            <w:pPr>
              <w:snapToGrid w:val="0"/>
              <w:spacing w:line="360" w:lineRule="auto"/>
              <w:jc w:val="center"/>
              <w:rPr>
                <w:rFonts w:ascii="宋体" w:hAnsi="宋体" w:cs="宋体"/>
                <w:b/>
                <w:color w:val="auto"/>
                <w:sz w:val="24"/>
                <w:highlight w:val="none"/>
              </w:rPr>
            </w:pPr>
          </w:p>
        </w:tc>
        <w:tc>
          <w:tcPr>
            <w:tcW w:w="6927" w:type="dxa"/>
            <w:vAlign w:val="center"/>
          </w:tcPr>
          <w:p w14:paraId="7AA2CF2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08C3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E20E2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4237F3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111CE76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D7D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7978D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387EDD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7B4CEE4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0F666C8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106745F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F500720">
            <w:pPr>
              <w:snapToGrid w:val="0"/>
              <w:ind w:firstLine="241" w:firstLineChars="100"/>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7288703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18DA09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14F8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1F3033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06F55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3935234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F5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6674E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11DE31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65E1C8F6">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杭州市拱墅区河东路215号浙江中通通信有限公司</w:t>
            </w:r>
            <w:r>
              <w:rPr>
                <w:rFonts w:hint="eastAsia" w:hAnsi="宋体" w:cs="宋体"/>
                <w:color w:val="auto"/>
                <w:sz w:val="24"/>
                <w:highlight w:val="none"/>
                <w:u w:val="single"/>
                <w:lang w:val="en-US" w:eastAsia="zh-CN"/>
              </w:rPr>
              <w:t>D</w:t>
            </w:r>
            <w:r>
              <w:rPr>
                <w:rFonts w:hint="eastAsia" w:hAnsi="宋体" w:cs="宋体"/>
                <w:color w:val="auto"/>
                <w:sz w:val="24"/>
                <w:highlight w:val="none"/>
                <w:u w:val="single"/>
              </w:rPr>
              <w:t>楼</w:t>
            </w:r>
            <w:r>
              <w:rPr>
                <w:rFonts w:hint="eastAsia" w:hAnsi="宋体" w:cs="宋体"/>
                <w:color w:val="auto"/>
                <w:kern w:val="28"/>
                <w:sz w:val="24"/>
                <w:szCs w:val="24"/>
                <w:highlight w:val="none"/>
              </w:rPr>
              <w:t>；</w:t>
            </w:r>
          </w:p>
          <w:p w14:paraId="00E6B77A">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18668155550</w:t>
            </w:r>
            <w:r>
              <w:rPr>
                <w:rFonts w:hint="eastAsia" w:hAnsi="宋体" w:cs="宋体"/>
                <w:color w:val="auto"/>
                <w:sz w:val="24"/>
                <w:szCs w:val="24"/>
                <w:highlight w:val="none"/>
              </w:rPr>
              <w:t>。</w:t>
            </w:r>
          </w:p>
          <w:p w14:paraId="60695B0B">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55B9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64C76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6CB87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46B35E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7080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69426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316B0A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427BF9A3">
            <w:pPr>
              <w:spacing w:line="360" w:lineRule="auto"/>
              <w:rPr>
                <w:rFonts w:hint="default"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1</w:t>
            </w:r>
            <w:r>
              <w:rPr>
                <w:rFonts w:hint="eastAsia" w:ascii="宋体" w:hAnsi="宋体" w:cs="宋体"/>
                <w:snapToGrid w:val="0"/>
                <w:color w:val="auto"/>
                <w:kern w:val="28"/>
                <w:sz w:val="24"/>
                <w:highlight w:val="none"/>
              </w:rPr>
              <w:t>、采购代理服务费根据《国家计委关于印发〈招标代理服务收费管理暂行办法〉的通知（计价格[2002]1980号文）》、《国家发展改革委办公厅关于招标代理服务收费有关问题的通知（发改办价格[2003]857号文）》和《国家发展改革委关于降低部分建设项目收费标准规范收费行为等有关问题的通知（发改价格[2011]534号文》规定的</w:t>
            </w:r>
            <w:r>
              <w:rPr>
                <w:rFonts w:hint="eastAsia" w:ascii="宋体" w:hAnsi="宋体" w:cs="宋体"/>
                <w:snapToGrid w:val="0"/>
                <w:color w:val="auto"/>
                <w:kern w:val="28"/>
                <w:sz w:val="24"/>
                <w:highlight w:val="none"/>
                <w:lang w:val="en-US" w:eastAsia="zh-CN"/>
              </w:rPr>
              <w:t>80</w:t>
            </w:r>
            <w:r>
              <w:rPr>
                <w:rFonts w:hint="eastAsia" w:ascii="宋体" w:hAnsi="宋体" w:cs="宋体"/>
                <w:snapToGrid w:val="0"/>
                <w:color w:val="auto"/>
                <w:kern w:val="28"/>
                <w:sz w:val="24"/>
                <w:highlight w:val="none"/>
              </w:rPr>
              <w:t>%计算</w:t>
            </w:r>
            <w:r>
              <w:rPr>
                <w:rFonts w:hint="eastAsia" w:ascii="宋体" w:hAnsi="宋体" w:cs="宋体"/>
                <w:snapToGrid w:val="0"/>
                <w:color w:val="auto"/>
                <w:kern w:val="28"/>
                <w:sz w:val="24"/>
                <w:highlight w:val="none"/>
                <w:lang w:val="en-US" w:eastAsia="zh-CN"/>
              </w:rPr>
              <w:t>。</w:t>
            </w:r>
          </w:p>
          <w:p w14:paraId="42C96E8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2、缴纳方式：成交供应商在收到招标代理服务费付款通知书后7日内向招标代理机构银行电汇/转账支付招标代理服务费。</w:t>
            </w:r>
          </w:p>
        </w:tc>
      </w:tr>
    </w:tbl>
    <w:p w14:paraId="66B0B99A">
      <w:pPr>
        <w:snapToGrid w:val="0"/>
        <w:spacing w:line="360" w:lineRule="auto"/>
        <w:jc w:val="center"/>
        <w:rPr>
          <w:rFonts w:ascii="宋体" w:hAnsi="宋体" w:cs="宋体"/>
          <w:b/>
          <w:color w:val="auto"/>
          <w:sz w:val="32"/>
          <w:szCs w:val="20"/>
          <w:highlight w:val="none"/>
        </w:rPr>
      </w:pPr>
    </w:p>
    <w:bookmarkEnd w:id="10"/>
    <w:p w14:paraId="1AF9B9DB">
      <w:pPr>
        <w:widowControl/>
        <w:adjustRightInd/>
        <w:jc w:val="left"/>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14:paraId="62C098A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D7A70B7">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5F5BAC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4FBB5A">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6E8F92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052DBB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42227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6B0371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AE35E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F8621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35BC4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4F5A722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3095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118CA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8EC3611">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7B4D9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85EA0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EFEBAE8">
      <w:pPr>
        <w:pStyle w:val="5"/>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D3663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376FCB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F8BD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8480B6">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7C2F550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1FB9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24900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7CF77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E350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EA270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DAC61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8E333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6C038E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A8F4DB">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326C76A6">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44EF823">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7B33F797">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61CA2024">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BDBF16">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51FEB28">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E018C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7C45A7D">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23A2A3D6">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B75431B">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62ADBFF6">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06415267">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C373308">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9371D97">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F08673C">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CC87614">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433920A6">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08CB603B">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5B1AB7F">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2E2B2AA">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CC55EDA">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41D200EB">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1DFB840">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9AC65F5">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BB2E219">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D1EFB96">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942400A">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EF5905A">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6933042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518E0F47">
      <w:pPr>
        <w:pStyle w:val="892"/>
        <w:shd w:val="clear" w:color="auto" w:fill="FFFFFF"/>
        <w:snapToGrid w:val="0"/>
        <w:spacing w:after="240" w:afterAutospacing="0" w:line="360" w:lineRule="auto"/>
        <w:ind w:firstLine="480" w:firstLineChars="200"/>
        <w:contextualSpacing/>
        <w:rPr>
          <w:rFonts w:hint="eastAsia"/>
          <w:color w:val="auto"/>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2243DD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EDA936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3CDDD358">
      <w:pPr>
        <w:pStyle w:val="892"/>
        <w:shd w:val="clear" w:color="auto" w:fill="FFFFFF"/>
        <w:snapToGrid w:val="0"/>
        <w:spacing w:after="240" w:afterAutospacing="0" w:line="360" w:lineRule="auto"/>
        <w:ind w:firstLine="480" w:firstLineChars="200"/>
        <w:contextualSpacing/>
        <w:rPr>
          <w:rFonts w:hint="eastAsia"/>
          <w:color w:val="auto"/>
          <w:highlight w:val="none"/>
        </w:rPr>
      </w:pPr>
    </w:p>
    <w:p w14:paraId="6267703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55CD3DFC">
      <w:pPr>
        <w:pStyle w:val="132"/>
        <w:snapToGrid w:val="0"/>
        <w:spacing w:before="0"/>
        <w:ind w:firstLine="360"/>
        <w:rPr>
          <w:rFonts w:ascii="宋体" w:hAnsi="宋体" w:cs="宋体"/>
          <w:color w:val="auto"/>
          <w:sz w:val="18"/>
          <w:szCs w:val="18"/>
          <w:highlight w:val="none"/>
        </w:rPr>
      </w:pPr>
    </w:p>
    <w:p w14:paraId="348BE92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45AFF7F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DF8D34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0EE8693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61A44A2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423FBD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6F2686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4F9CFE3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C60834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04126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0BCC6B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7763BF8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850510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17ED037">
      <w:pPr>
        <w:pStyle w:val="25"/>
        <w:rPr>
          <w:rFonts w:hAnsi="宋体" w:cs="宋体"/>
          <w:color w:val="auto"/>
          <w:sz w:val="18"/>
          <w:szCs w:val="18"/>
          <w:highlight w:val="none"/>
          <w:lang w:val="en-US"/>
        </w:rPr>
      </w:pPr>
    </w:p>
    <w:p w14:paraId="0E159DB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14EE154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2EC4F2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6691965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4EB22FF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4F2F02E1">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7E70060">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3A748E7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4BE7F49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3EB6F9C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649CA5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2559B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132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Start w:id="16" w:name="_Hlk101257010"/>
      <w:r>
        <w:rPr>
          <w:rFonts w:hint="eastAsia" w:ascii="宋体" w:hAnsi="宋体" w:cs="宋体"/>
          <w:snapToGrid w:val="0"/>
          <w:color w:val="auto"/>
          <w:kern w:val="28"/>
          <w:sz w:val="24"/>
          <w:szCs w:val="20"/>
          <w:highlight w:val="none"/>
        </w:rPr>
        <w:t>（如果有)</w:t>
      </w:r>
      <w:bookmarkEnd w:id="15"/>
      <w:bookmarkEnd w:id="16"/>
      <w:r>
        <w:rPr>
          <w:rFonts w:hint="eastAsia" w:ascii="宋体" w:hAnsi="宋体" w:cs="宋体"/>
          <w:snapToGrid w:val="0"/>
          <w:color w:val="auto"/>
          <w:kern w:val="28"/>
          <w:sz w:val="24"/>
          <w:szCs w:val="20"/>
          <w:highlight w:val="none"/>
        </w:rPr>
        <w:t>；</w:t>
      </w:r>
    </w:p>
    <w:p w14:paraId="631A0A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1566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9A87D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4000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788B54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E39A09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7347CA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F4909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7BE805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5BD51FF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60525F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223F7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006D49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17BB019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4D37818D">
      <w:pPr>
        <w:pStyle w:val="5"/>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C44CE6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3A19769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74691301">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14:paraId="0508E77A">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4BBBB1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829AED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418AAAA">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51B74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1684327">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40484D0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F1E4075">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22C4698A">
      <w:pPr>
        <w:pStyle w:val="132"/>
        <w:snapToGrid w:val="0"/>
        <w:spacing w:before="0"/>
        <w:ind w:firstLine="0" w:firstLineChars="0"/>
        <w:rPr>
          <w:rFonts w:ascii="宋体" w:hAnsi="宋体" w:cs="宋体"/>
          <w:b/>
          <w:color w:val="auto"/>
          <w:szCs w:val="24"/>
          <w:highlight w:val="none"/>
        </w:rPr>
      </w:pPr>
    </w:p>
    <w:p w14:paraId="1C3A848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24E561F">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C71BC5F">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6A83E0AD">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15523BB1">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0B6452F4">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14F05F2B">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C5188C3">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13D8F721">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3B222E6E">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1666D5EE">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E6C5D8B">
      <w:pPr>
        <w:pStyle w:val="3"/>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4DB1ECB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3FB53F0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2BE9394">
      <w:pPr>
        <w:pStyle w:val="132"/>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6827A372">
      <w:pPr>
        <w:pStyle w:val="132"/>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3ACB6467">
      <w:pPr>
        <w:pStyle w:val="132"/>
        <w:spacing w:before="0"/>
        <w:ind w:firstLine="643"/>
        <w:rPr>
          <w:rFonts w:ascii="宋体" w:hAnsi="宋体" w:cs="宋体"/>
          <w:b/>
          <w:color w:val="auto"/>
          <w:sz w:val="32"/>
          <w:highlight w:val="none"/>
        </w:rPr>
      </w:pPr>
    </w:p>
    <w:p w14:paraId="6ACFFAA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5C61AEFF">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81C7CE">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3A732A98">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6A53C613">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21DD039">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B7FC6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79E25B3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247E330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D63164C">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BF3EC5">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1D4F3BA">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295B029">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65CA095A">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39723E9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537AB11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DFFC5CC">
      <w:pPr>
        <w:pStyle w:val="132"/>
        <w:spacing w:before="0"/>
        <w:ind w:firstLine="0" w:firstLineChars="0"/>
        <w:rPr>
          <w:rFonts w:ascii="宋体" w:hAnsi="宋体" w:cs="宋体"/>
          <w:color w:val="auto"/>
          <w:kern w:val="0"/>
          <w:szCs w:val="24"/>
          <w:highlight w:val="none"/>
        </w:rPr>
      </w:pPr>
    </w:p>
    <w:p w14:paraId="070ABC8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529DC0F7">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39840173">
      <w:pPr>
        <w:spacing w:line="360" w:lineRule="auto"/>
        <w:rPr>
          <w:rFonts w:ascii="宋体" w:hAnsi="宋体" w:cs="宋体"/>
          <w:b/>
          <w:color w:val="auto"/>
          <w:sz w:val="24"/>
          <w:highlight w:val="none"/>
        </w:rPr>
      </w:pPr>
    </w:p>
    <w:p w14:paraId="21E771F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24AF51B8">
      <w:pPr>
        <w:pStyle w:val="3"/>
        <w:spacing w:line="360" w:lineRule="auto"/>
        <w:ind w:left="479" w:hanging="479" w:hangingChars="199"/>
        <w:rPr>
          <w:rFonts w:cs="宋体"/>
          <w:b/>
          <w:color w:val="auto"/>
          <w:highlight w:val="none"/>
        </w:rPr>
      </w:pPr>
      <w:r>
        <w:rPr>
          <w:rFonts w:hint="eastAsia" w:cs="宋体"/>
          <w:b/>
          <w:color w:val="auto"/>
          <w:highlight w:val="none"/>
        </w:rPr>
        <w:t>22. 确定成交供应商</w:t>
      </w:r>
    </w:p>
    <w:p w14:paraId="096A96CE">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770C853">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16E93FD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4A07B5A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07D99D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E877F89">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0763DDE">
      <w:pPr>
        <w:snapToGrid w:val="0"/>
        <w:spacing w:line="360" w:lineRule="auto"/>
        <w:ind w:left="120" w:leftChars="57" w:firstLine="482" w:firstLineChars="150"/>
        <w:jc w:val="center"/>
        <w:rPr>
          <w:rFonts w:ascii="宋体" w:hAnsi="宋体" w:cs="宋体"/>
          <w:b/>
          <w:color w:val="auto"/>
          <w:sz w:val="32"/>
          <w:highlight w:val="none"/>
        </w:rPr>
      </w:pPr>
    </w:p>
    <w:p w14:paraId="5CC4810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2C266F6A">
      <w:pPr>
        <w:pStyle w:val="3"/>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FA93F6C">
      <w:pPr>
        <w:pStyle w:val="3"/>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29E9934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ED4F652">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2E333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CC2E9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789E731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30EF6ACE">
      <w:pPr>
        <w:pStyle w:val="3"/>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06379B2">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78AEAED">
      <w:pPr>
        <w:pStyle w:val="5"/>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7B8433">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5CE54607">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60812560">
      <w:pPr>
        <w:rPr>
          <w:color w:val="auto"/>
          <w:highlight w:val="none"/>
        </w:rPr>
      </w:pPr>
    </w:p>
    <w:p w14:paraId="270F1FFC">
      <w:pPr>
        <w:snapToGrid w:val="0"/>
        <w:spacing w:line="360" w:lineRule="auto"/>
        <w:ind w:firstLine="3357" w:firstLineChars="1045"/>
        <w:rPr>
          <w:rFonts w:ascii="宋体" w:hAnsi="宋体" w:cs="宋体"/>
          <w:b/>
          <w:color w:val="auto"/>
          <w:sz w:val="32"/>
          <w:highlight w:val="none"/>
        </w:rPr>
      </w:pPr>
    </w:p>
    <w:p w14:paraId="1787A91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1AB7928C">
      <w:pPr>
        <w:pStyle w:val="132"/>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9E0BFA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2446CA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D56A6B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2F9267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C28CA2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70CAD0C">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D56D61B">
      <w:pPr>
        <w:tabs>
          <w:tab w:val="left" w:pos="0"/>
        </w:tabs>
        <w:spacing w:line="360" w:lineRule="auto"/>
        <w:ind w:firstLine="480"/>
        <w:rPr>
          <w:rFonts w:ascii="宋体" w:hAnsi="宋体" w:cs="宋体"/>
          <w:color w:val="auto"/>
          <w:sz w:val="24"/>
          <w:highlight w:val="none"/>
        </w:rPr>
      </w:pPr>
    </w:p>
    <w:p w14:paraId="5C60536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4FFA3933">
      <w:pPr>
        <w:pStyle w:val="3"/>
        <w:spacing w:line="360" w:lineRule="auto"/>
        <w:ind w:firstLine="0" w:firstLineChars="0"/>
        <w:rPr>
          <w:rFonts w:cs="宋体"/>
          <w:b/>
          <w:color w:val="auto"/>
          <w:highlight w:val="none"/>
        </w:rPr>
      </w:pPr>
      <w:r>
        <w:rPr>
          <w:rFonts w:hint="eastAsia" w:cs="宋体"/>
          <w:b/>
          <w:color w:val="auto"/>
          <w:highlight w:val="none"/>
        </w:rPr>
        <w:t>30.验收</w:t>
      </w:r>
    </w:p>
    <w:p w14:paraId="71296FC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7D885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0868CD7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AB6F0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14A9C650">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8" w:name="_Hlt74729768"/>
      <w:bookmarkEnd w:id="18"/>
      <w:bookmarkStart w:id="19" w:name="_Hlt68403820"/>
      <w:bookmarkEnd w:id="19"/>
      <w:bookmarkStart w:id="20" w:name="_Hlt74707468"/>
      <w:bookmarkEnd w:id="20"/>
      <w:bookmarkStart w:id="21" w:name="_Hlt68073093"/>
      <w:bookmarkEnd w:id="21"/>
      <w:bookmarkStart w:id="22" w:name="_Hlt75236011"/>
      <w:bookmarkEnd w:id="22"/>
      <w:bookmarkStart w:id="23" w:name="_Hlt68072990"/>
      <w:bookmarkEnd w:id="23"/>
      <w:bookmarkStart w:id="24" w:name="_Hlt68057669"/>
      <w:bookmarkEnd w:id="24"/>
      <w:bookmarkStart w:id="25" w:name="_Hlt75236290"/>
      <w:bookmarkEnd w:id="25"/>
      <w:bookmarkStart w:id="26" w:name="_Hlt74714665"/>
      <w:bookmarkEnd w:id="26"/>
      <w:bookmarkStart w:id="27" w:name="_Hlt75236101"/>
      <w:bookmarkEnd w:id="27"/>
      <w:bookmarkStart w:id="28" w:name="_Hlt74730295"/>
      <w:bookmarkEnd w:id="28"/>
      <w:bookmarkStart w:id="29" w:name="_Hlt68072998"/>
      <w:bookmarkEnd w:id="29"/>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D9B269D">
      <w:pPr>
        <w:pStyle w:val="81"/>
        <w:rPr>
          <w:color w:val="auto"/>
          <w:highlight w:val="none"/>
        </w:rPr>
        <w:sectPr>
          <w:pgSz w:w="11906" w:h="16838"/>
          <w:pgMar w:top="1440" w:right="1080" w:bottom="1440" w:left="1080" w:header="851" w:footer="992" w:gutter="0"/>
          <w:cols w:space="720" w:num="1"/>
          <w:titlePg/>
          <w:docGrid w:linePitch="312" w:charSpace="0"/>
        </w:sectPr>
      </w:pPr>
    </w:p>
    <w:bookmarkEnd w:id="12"/>
    <w:bookmarkEnd w:id="13"/>
    <w:p w14:paraId="03F7C2D1">
      <w:pPr>
        <w:pStyle w:val="33"/>
        <w:spacing w:line="360" w:lineRule="auto"/>
        <w:jc w:val="center"/>
        <w:rPr>
          <w:rFonts w:hAnsi="宋体" w:cs="宋体"/>
          <w:b/>
          <w:snapToGrid/>
          <w:color w:val="auto"/>
          <w:sz w:val="36"/>
          <w:szCs w:val="20"/>
          <w:highlight w:val="none"/>
        </w:rPr>
      </w:pPr>
      <w:bookmarkStart w:id="30" w:name="第四部分"/>
      <w:r>
        <w:rPr>
          <w:rFonts w:hint="eastAsia" w:hAnsi="宋体" w:cs="宋体"/>
          <w:b/>
          <w:snapToGrid/>
          <w:color w:val="auto"/>
          <w:sz w:val="36"/>
          <w:szCs w:val="20"/>
          <w:highlight w:val="none"/>
        </w:rPr>
        <w:t>第三部分 采购需求</w:t>
      </w:r>
    </w:p>
    <w:p w14:paraId="795C3D38">
      <w:pPr>
        <w:pStyle w:val="60"/>
        <w:spacing w:line="360" w:lineRule="auto"/>
        <w:ind w:firstLine="482" w:firstLineChars="200"/>
        <w:rPr>
          <w:rFonts w:hint="default" w:ascii="宋体" w:hAnsi="宋体" w:cs="宋体"/>
          <w:b/>
          <w:color w:val="auto"/>
          <w:sz w:val="24"/>
          <w:szCs w:val="24"/>
          <w:highlight w:val="none"/>
        </w:rPr>
      </w:pPr>
      <w:bookmarkStart w:id="31" w:name="_Toc231019578"/>
      <w:bookmarkStart w:id="32" w:name="_Toc31251"/>
      <w:r>
        <w:rPr>
          <w:rFonts w:hint="default" w:ascii="宋体" w:hAnsi="宋体" w:cs="宋体"/>
          <w:b/>
          <w:color w:val="auto"/>
          <w:sz w:val="24"/>
          <w:szCs w:val="24"/>
          <w:highlight w:val="none"/>
        </w:rPr>
        <w:t>一、项目概况</w:t>
      </w:r>
      <w:bookmarkEnd w:id="31"/>
      <w:bookmarkEnd w:id="32"/>
    </w:p>
    <w:p w14:paraId="496CECF5">
      <w:pPr>
        <w:pStyle w:val="6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（一）项目名称：杭州市职业病防治院钱塘门诊部业务用房改造设计与施工一体化工程</w:t>
      </w:r>
    </w:p>
    <w:p w14:paraId="73795B9B">
      <w:pPr>
        <w:pStyle w:val="60"/>
        <w:spacing w:line="360" w:lineRule="auto"/>
        <w:ind w:firstLine="600"/>
        <w:rPr>
          <w:rFonts w:hint="default" w:ascii="宋体" w:hAnsi="宋体" w:cs="宋体"/>
          <w:color w:val="auto"/>
          <w:sz w:val="24"/>
          <w:szCs w:val="24"/>
          <w:highlight w:val="none"/>
        </w:rPr>
      </w:pPr>
      <w:r>
        <w:rPr>
          <w:rFonts w:hint="default" w:ascii="宋体" w:hAnsi="宋体" w:cs="宋体"/>
          <w:color w:val="auto"/>
          <w:sz w:val="24"/>
          <w:szCs w:val="24"/>
          <w:highlight w:val="none"/>
        </w:rPr>
        <w:t xml:space="preserve">（二）建设地点：杭州市钱塘区白杨街道11号大街469号和达物流园1幢1层及2层部分 </w:t>
      </w:r>
    </w:p>
    <w:p w14:paraId="01FE0E6F">
      <w:pPr>
        <w:pStyle w:val="60"/>
        <w:spacing w:line="360" w:lineRule="auto"/>
        <w:ind w:firstLine="600"/>
        <w:rPr>
          <w:rFonts w:hint="default" w:ascii="宋体" w:hAnsi="宋体" w:cs="宋体"/>
          <w:color w:val="auto"/>
          <w:sz w:val="24"/>
          <w:szCs w:val="24"/>
          <w:highlight w:val="none"/>
        </w:rPr>
      </w:pPr>
      <w:r>
        <w:rPr>
          <w:rFonts w:hint="default" w:ascii="宋体" w:hAnsi="宋体" w:cs="宋体"/>
          <w:color w:val="auto"/>
          <w:sz w:val="24"/>
          <w:szCs w:val="24"/>
          <w:highlight w:val="none"/>
        </w:rPr>
        <w:t>（三）建设单位：杭州市职业病防治院</w:t>
      </w:r>
    </w:p>
    <w:p w14:paraId="22777E2C">
      <w:pPr>
        <w:pStyle w:val="6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二、工程招标范围及内容</w:t>
      </w:r>
    </w:p>
    <w:p w14:paraId="67249F58">
      <w:pPr>
        <w:pStyle w:val="60"/>
        <w:spacing w:line="360" w:lineRule="auto"/>
        <w:ind w:firstLine="600"/>
        <w:rPr>
          <w:rFonts w:hint="default" w:ascii="宋体" w:hAnsi="宋体" w:cs="宋体"/>
          <w:color w:val="auto"/>
          <w:sz w:val="24"/>
          <w:szCs w:val="24"/>
          <w:highlight w:val="none"/>
        </w:rPr>
      </w:pPr>
      <w:r>
        <w:rPr>
          <w:rFonts w:hint="default" w:ascii="宋体" w:hAnsi="宋体" w:cs="宋体"/>
          <w:color w:val="auto"/>
          <w:sz w:val="24"/>
          <w:szCs w:val="24"/>
          <w:highlight w:val="none"/>
        </w:rPr>
        <w:t>1、招标范围：</w:t>
      </w:r>
    </w:p>
    <w:p w14:paraId="50F4BBB1">
      <w:pPr>
        <w:pStyle w:val="6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（1)工程前期报批；</w:t>
      </w:r>
    </w:p>
    <w:p w14:paraId="76A79BC9">
      <w:pPr>
        <w:pStyle w:val="6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（2）工程设计：施工图阶段设计；</w:t>
      </w:r>
    </w:p>
    <w:p w14:paraId="5C009413">
      <w:pPr>
        <w:pStyle w:val="6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（3）工程采购范围：图纸及发包人与技术交底前发布指令的范围建筑材料及设备、构成工程不可分割的设施设备等；</w:t>
      </w:r>
    </w:p>
    <w:p w14:paraId="1D17ABAC">
      <w:pPr>
        <w:pStyle w:val="6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（4）工程施工范围：工程设计图纸及发包人与技术交底前发布指令的范围所有工程（含配套建筑、结构、水、电、弱电智能化等）；</w:t>
      </w:r>
    </w:p>
    <w:p w14:paraId="028E4D07">
      <w:pPr>
        <w:pStyle w:val="6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（5）工程项目质量、安全、进度、费用、合同、信息等管理和控制；</w:t>
      </w:r>
    </w:p>
    <w:p w14:paraId="14E1E3BB">
      <w:pPr>
        <w:pStyle w:val="6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（6）竣工验收及移交备案工作。</w:t>
      </w:r>
    </w:p>
    <w:p w14:paraId="4EAC2B0E">
      <w:pPr>
        <w:pStyle w:val="60"/>
        <w:spacing w:line="360" w:lineRule="auto"/>
        <w:ind w:firstLine="600"/>
        <w:rPr>
          <w:rFonts w:hint="default" w:ascii="宋体" w:hAnsi="宋体" w:cs="宋体"/>
          <w:color w:val="auto"/>
          <w:sz w:val="24"/>
          <w:szCs w:val="24"/>
          <w:highlight w:val="none"/>
        </w:rPr>
      </w:pPr>
      <w:r>
        <w:rPr>
          <w:rFonts w:hint="default" w:ascii="宋体" w:hAnsi="宋体" w:cs="宋体"/>
          <w:color w:val="auto"/>
          <w:sz w:val="24"/>
          <w:szCs w:val="24"/>
          <w:highlight w:val="none"/>
        </w:rPr>
        <w:t>2、具体内容包括但不限于：</w:t>
      </w:r>
    </w:p>
    <w:p w14:paraId="60C220A0">
      <w:pPr>
        <w:pStyle w:val="60"/>
        <w:spacing w:line="360" w:lineRule="auto"/>
        <w:ind w:firstLine="600"/>
        <w:rPr>
          <w:rFonts w:hint="default" w:ascii="宋体" w:hAnsi="宋体" w:cs="宋体"/>
          <w:color w:val="auto"/>
          <w:sz w:val="24"/>
          <w:szCs w:val="24"/>
          <w:highlight w:val="none"/>
        </w:rPr>
      </w:pPr>
      <w:r>
        <w:rPr>
          <w:rFonts w:hint="default" w:ascii="宋体" w:hAnsi="宋体" w:cs="宋体"/>
          <w:color w:val="auto"/>
          <w:sz w:val="24"/>
          <w:szCs w:val="24"/>
          <w:highlight w:val="none"/>
        </w:rPr>
        <w:t>施工面积及范围:</w:t>
      </w:r>
    </w:p>
    <w:p w14:paraId="6A547F73">
      <w:pPr>
        <w:pStyle w:val="60"/>
        <w:spacing w:line="360" w:lineRule="auto"/>
        <w:ind w:firstLine="600"/>
        <w:rPr>
          <w:rFonts w:hint="default" w:ascii="宋体" w:hAnsi="宋体" w:cs="宋体"/>
          <w:color w:val="auto"/>
          <w:sz w:val="24"/>
          <w:szCs w:val="24"/>
          <w:highlight w:val="none"/>
        </w:rPr>
      </w:pPr>
      <w:r>
        <w:rPr>
          <w:rFonts w:hint="default" w:ascii="宋体" w:hAnsi="宋体" w:cs="宋体"/>
          <w:color w:val="auto"/>
          <w:sz w:val="24"/>
          <w:szCs w:val="24"/>
          <w:highlight w:val="none"/>
        </w:rPr>
        <w:t>施工面积：935.38平方米</w:t>
      </w:r>
    </w:p>
    <w:p w14:paraId="1025B4DA">
      <w:pPr>
        <w:pStyle w:val="6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施工范围：新址原有建筑墙体的拆除、大厅、休息区、新址放射科（含放射机房及CT机房加固及防辐射建造）,特检科，职业病科等区域改造装修；</w:t>
      </w:r>
    </w:p>
    <w:p w14:paraId="3F933E3F">
      <w:pPr>
        <w:pStyle w:val="6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 xml:space="preserve">三、报价要求 </w:t>
      </w:r>
    </w:p>
    <w:p w14:paraId="0E47F139">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（1）投标人应当根据本企业的具体经营状况、技术装备水平、管理水平，视工程的实际情况、风险程度，自主报价。投标人不得以低于其企业成本的投标报价竞标。</w:t>
      </w:r>
    </w:p>
    <w:p w14:paraId="72E95F40">
      <w:pPr>
        <w:pStyle w:val="59"/>
        <w:autoSpaceDE w:val="0"/>
        <w:spacing w:line="360" w:lineRule="auto"/>
        <w:rPr>
          <w:rFonts w:hint="default" w:ascii="宋体" w:hAnsi="宋体" w:cs="宋体"/>
          <w:color w:val="auto"/>
          <w:sz w:val="24"/>
          <w:szCs w:val="24"/>
          <w:highlight w:val="none"/>
        </w:rPr>
      </w:pPr>
      <w:r>
        <w:rPr>
          <w:rFonts w:hint="default" w:ascii="宋体" w:hAnsi="宋体" w:cs="宋体"/>
          <w:color w:val="auto"/>
          <w:sz w:val="24"/>
          <w:szCs w:val="24"/>
          <w:highlight w:val="none"/>
        </w:rPr>
        <w:t>投标人应根据其投标报价情况提供书面报价说明。报价说明的主要内容包括：投标报价的编制依据；对投标工期、质量、材料、施工等方面的承诺；综合单价中考虑的风险因素、风险范围（幅度）；措施项目的依据；其他需要说明的问题。</w:t>
      </w:r>
    </w:p>
    <w:p w14:paraId="55C3825D">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2）招标人对材料设备品牌有要求的，投标人应按照招标人的要求确定品牌，并充分考虑供货等风险进行报价，若投标人选定的品牌在实施时无法供货或无法正常供货，将由招标人在本招标文件推荐的其余品牌中指定，材料（设备）价格不予调整。</w:t>
      </w:r>
    </w:p>
    <w:p w14:paraId="2AA70A4F">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（3）除非招标人规定，投标人自行报价的内容不得以暂定价的形式出现，否则，招标人将视为确定报价，并作为合同价执行。</w:t>
      </w:r>
    </w:p>
    <w:p w14:paraId="2B7074D0">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（4）按照《杭州市人民政府办公厅关于印发杭州市建设工程推广应用预拌砂浆管理办法的通知》（杭政办函【2011】32 号文件）和《杭州市商品混凝土管理办法》（市政府令第115 号）的要求使用预拌砂浆和商品混凝土，投标人应将使用预拌砂浆和商品混凝土的费用计入投标报价。</w:t>
      </w:r>
    </w:p>
    <w:p w14:paraId="665E3843">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5）投标单位应根据有关要求加强安全防护、文明施工工作。文明施工、环境保护、安全施工、临时设施费等措施费用必须充分保证，按照《关于贯彻执行浙江省建设工程计价依据（2018版）的通知》执行计入投标报价。若未按规定计取，投标人自行承担风险，招标人将不另行支付。</w:t>
      </w:r>
    </w:p>
    <w:p w14:paraId="70B5A53E">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6）规费（含危险作业意外伤害保险、农民工工伤保险等规费）、税金等，投标人须按市政府、市建设行政主管部门颁发的有关文件计入投标报价。若未按规定计取，投标人自行承担风险，招标人将不另行支付。最新如遇政策性调整，则按相应规定调整。</w:t>
      </w:r>
    </w:p>
    <w:p w14:paraId="0C6445CF">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7）“施工现场在线监测系统”、民工宿舍“空调设施”等安装费用项目，投标人必须按照市政府、市建设行政主管部门颁发的有关文件的设置要求或标准规定计入投标报价。若未按规定计取，投标人自行承担风险，招标人将不另行支付。</w:t>
      </w:r>
    </w:p>
    <w:p w14:paraId="312860DE">
      <w:pPr>
        <w:pStyle w:val="6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四、时间要求</w:t>
      </w:r>
    </w:p>
    <w:p w14:paraId="2479DE7C">
      <w:pPr>
        <w:pStyle w:val="60"/>
        <w:spacing w:line="360" w:lineRule="auto"/>
        <w:ind w:firstLine="600"/>
        <w:rPr>
          <w:rFonts w:hint="default" w:ascii="宋体" w:hAnsi="宋体" w:cs="宋体"/>
          <w:color w:val="auto"/>
          <w:sz w:val="24"/>
          <w:szCs w:val="24"/>
          <w:highlight w:val="none"/>
        </w:rPr>
      </w:pPr>
      <w:r>
        <w:rPr>
          <w:rFonts w:hint="default" w:ascii="宋体" w:hAnsi="宋体" w:cs="宋体"/>
          <w:color w:val="auto"/>
          <w:sz w:val="24"/>
          <w:szCs w:val="24"/>
          <w:highlight w:val="none"/>
        </w:rPr>
        <w:t>90个</w:t>
      </w:r>
      <w:r>
        <w:rPr>
          <w:rFonts w:hint="eastAsia" w:ascii="宋体" w:hAnsi="宋体" w:cs="宋体"/>
          <w:color w:val="auto"/>
          <w:sz w:val="24"/>
          <w:szCs w:val="24"/>
          <w:highlight w:val="none"/>
          <w:lang w:eastAsia="zh-CN"/>
        </w:rPr>
        <w:t>日历日</w:t>
      </w:r>
      <w:r>
        <w:rPr>
          <w:rFonts w:hint="default" w:ascii="宋体" w:hAnsi="宋体" w:cs="宋体"/>
          <w:color w:val="auto"/>
          <w:sz w:val="24"/>
          <w:szCs w:val="24"/>
          <w:highlight w:val="none"/>
        </w:rPr>
        <w:t>。</w:t>
      </w:r>
    </w:p>
    <w:p w14:paraId="46EC9E63">
      <w:pPr>
        <w:pStyle w:val="6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五、工程质量要求：</w:t>
      </w:r>
    </w:p>
    <w:p w14:paraId="78B4334F">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1、本工程质量必须保质保量保进度完成；</w:t>
      </w:r>
    </w:p>
    <w:p w14:paraId="683325F7">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2、中标方必须严格按照招标说明、工程技术要求及行业规范进行设计及施工，并无条件地接受招标方全方位、全过程的监督管理；</w:t>
      </w:r>
    </w:p>
    <w:p w14:paraId="0C8789EE">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3、所有材料设备必须检验合格且经招标方同意后，方可用于本工程；</w:t>
      </w:r>
    </w:p>
    <w:p w14:paraId="30B464CD">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4、隐蔽工程必须经招标方检查、验收后，方可进行下一道工序；</w:t>
      </w:r>
    </w:p>
    <w:p w14:paraId="01DD086A">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5、招标方有权监督、检查、检验施工方的施工质量、进度。中标方应把工程质量放在首位，加强技术管理和质量保证体系，严格认真地执行技术标准和规范。</w:t>
      </w:r>
    </w:p>
    <w:p w14:paraId="295FA835">
      <w:pPr>
        <w:pStyle w:val="59"/>
        <w:autoSpaceDE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6、施工中的所有材料必须符合环保要求，确保在施工结束后室内的空气质量达到国家标准要求。特殊工程（放射科装修部分）竣工后需通过专家论证验收。</w:t>
      </w:r>
    </w:p>
    <w:p w14:paraId="08FB9C48">
      <w:pPr>
        <w:pStyle w:val="59"/>
        <w:autoSpaceDE w:val="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7、如涉及对原有房屋拆除及加固项目时，中标方需拥有相关设计及施工资质或委托具有相关资质的中小企业进行作业。</w:t>
      </w:r>
    </w:p>
    <w:p w14:paraId="605072F8">
      <w:pPr>
        <w:pStyle w:val="59"/>
        <w:autoSpaceDE w:val="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8、本项目针对放射科进行装修，中标方防辐射设计及施工需满足《放射诊断放射防护要求》（GBZ 130-2020），</w:t>
      </w:r>
      <w:r>
        <w:rPr>
          <w:rFonts w:hint="eastAsia" w:ascii="宋体" w:hAnsi="宋体" w:cs="宋体"/>
          <w:b/>
          <w:color w:val="auto"/>
          <w:sz w:val="24"/>
          <w:szCs w:val="24"/>
          <w:highlight w:val="none"/>
          <w:lang w:val="en-US" w:eastAsia="zh-CN"/>
        </w:rPr>
        <w:t>并且</w:t>
      </w:r>
      <w:r>
        <w:rPr>
          <w:rFonts w:hint="default" w:ascii="宋体" w:hAnsi="宋体" w:cs="宋体"/>
          <w:b/>
          <w:color w:val="auto"/>
          <w:sz w:val="24"/>
          <w:szCs w:val="24"/>
          <w:highlight w:val="none"/>
        </w:rPr>
        <w:t>部分指标</w:t>
      </w:r>
      <w:r>
        <w:rPr>
          <w:rFonts w:hint="eastAsia" w:ascii="宋体" w:hAnsi="宋体" w:cs="宋体"/>
          <w:b/>
          <w:color w:val="auto"/>
          <w:sz w:val="24"/>
          <w:szCs w:val="24"/>
          <w:highlight w:val="none"/>
          <w:lang w:val="en-US" w:eastAsia="zh-CN"/>
        </w:rPr>
        <w:t>在此基础上还</w:t>
      </w:r>
      <w:r>
        <w:rPr>
          <w:rFonts w:hint="default" w:ascii="宋体" w:hAnsi="宋体" w:cs="宋体"/>
          <w:b/>
          <w:color w:val="auto"/>
          <w:sz w:val="24"/>
          <w:szCs w:val="24"/>
          <w:highlight w:val="none"/>
        </w:rPr>
        <w:t>需满足以下参数：</w:t>
      </w:r>
    </w:p>
    <w:p w14:paraId="04E4DC45">
      <w:pPr>
        <w:pStyle w:val="59"/>
        <w:autoSpaceDE w:val="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（1）屏蔽防护厚度要求：CT室不低于4mmPb铅当量；DR室主投射方向不低于4mmPb铅当量，其他方向不低于3mmPb铅当量；</w:t>
      </w:r>
    </w:p>
    <w:p w14:paraId="624E21B5">
      <w:pPr>
        <w:pStyle w:val="59"/>
        <w:autoSpaceDE w:val="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（2）机房门和窗关闭时需满足上述铅当量，CT室候诊厅联通门为电动门，室内可考虑推拉门；DR室为电动门；</w:t>
      </w:r>
    </w:p>
    <w:p w14:paraId="6D2308EE">
      <w:pPr>
        <w:pStyle w:val="59"/>
        <w:autoSpaceDE w:val="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（3）进出管道等薄弱节点的屏蔽防护厚度不得低于同侧墙体屏蔽防护厚度，机房排风系统需独立设置符合相关标准。</w:t>
      </w:r>
    </w:p>
    <w:p w14:paraId="29729545">
      <w:pPr>
        <w:snapToGrid w:val="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六、本项目的材料、设备、施工必须达到现行中华人民共和国及省、市、行业的一切有关法规、规范的要求，如设计施工图纸、技术文件、标准及规范要求有出入则以较严格者为准。</w:t>
      </w:r>
    </w:p>
    <w:p w14:paraId="45C23BAC">
      <w:pPr>
        <w:snapToGrid w:val="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七、质保要求（保修期自全部工程竣工验收合格之日起计算）</w:t>
      </w:r>
    </w:p>
    <w:p w14:paraId="2CBCD047">
      <w:pPr>
        <w:snapToGrid w:val="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（1）有防水要求的区域如卫生间和外墙面的防渗漏为5年；</w:t>
      </w:r>
    </w:p>
    <w:p w14:paraId="0FD69B09">
      <w:pPr>
        <w:snapToGrid w:val="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（2）设备安装和装修工程为2年；</w:t>
      </w:r>
    </w:p>
    <w:p w14:paraId="5416AE36">
      <w:pPr>
        <w:snapToGrid w:val="0"/>
        <w:spacing w:line="360"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（3）工程量清单涉及的其他工程为2年。</w:t>
      </w:r>
    </w:p>
    <w:p w14:paraId="1189FBF0">
      <w:pPr>
        <w:snapToGrid w:val="0"/>
        <w:spacing w:line="360" w:lineRule="auto"/>
        <w:ind w:firstLine="484" w:firstLineChars="201"/>
        <w:rPr>
          <w:rFonts w:hint="default" w:ascii="宋体" w:hAnsi="宋体" w:cs="宋体"/>
          <w:b/>
          <w:color w:val="auto"/>
          <w:sz w:val="24"/>
          <w:szCs w:val="24"/>
          <w:highlight w:val="none"/>
        </w:rPr>
      </w:pPr>
      <w:r>
        <w:rPr>
          <w:rFonts w:hint="default" w:ascii="宋体" w:hAnsi="宋体" w:cs="宋体"/>
          <w:b/>
          <w:color w:val="auto"/>
          <w:sz w:val="24"/>
          <w:szCs w:val="24"/>
          <w:highlight w:val="none"/>
        </w:rPr>
        <w:t>八、其它要求</w:t>
      </w:r>
    </w:p>
    <w:p w14:paraId="6BCCC53A">
      <w:pPr>
        <w:pStyle w:val="33"/>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项目地处市中心且边办公边施工，施工过程中应做好如下内容（包括但不限于）</w:t>
      </w:r>
    </w:p>
    <w:p w14:paraId="101D52A9">
      <w:pPr>
        <w:pStyle w:val="33"/>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1、成品保护：</w:t>
      </w:r>
    </w:p>
    <w:p w14:paraId="3AA8D99B">
      <w:pPr>
        <w:pStyle w:val="33"/>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（1）该项目牵涉的楼层多、范围广，在施工过程中应提前做好材料机械运输通道、施工区域成品半成品及未施工区域的成品保护工作。</w:t>
      </w:r>
    </w:p>
    <w:p w14:paraId="3E412629">
      <w:pPr>
        <w:pStyle w:val="33"/>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（2）成品保护费用由各投标单位根据成品保护方案充分考虑在技术组织措施费中。</w:t>
      </w:r>
    </w:p>
    <w:p w14:paraId="59DB3DD6">
      <w:pPr>
        <w:pStyle w:val="33"/>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2、垂直运输：</w:t>
      </w:r>
    </w:p>
    <w:p w14:paraId="4E2932C5">
      <w:pPr>
        <w:pStyle w:val="33"/>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（1）在允许的时段内从楼梯、电梯搬运进出场材料。相应的技术组织措施费由投标单位自行考虑在报价中。</w:t>
      </w:r>
    </w:p>
    <w:p w14:paraId="604E123C">
      <w:pPr>
        <w:pStyle w:val="33"/>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（2）因室外场地有限，材料进场前应提前和业主沟通卸货点及临时堆放点并不得长久堆放。</w:t>
      </w:r>
    </w:p>
    <w:p w14:paraId="24114221">
      <w:pPr>
        <w:pStyle w:val="33"/>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3、夜间施工：夜间施工时间应按业主要求执行，施工噪声不能超过 55 分贝，夜间施工增加费由投标单位根据总工期、发包人对正常营业的特殊需求、发包人的改造进度要求、招标工作范围等因素综合考虑在投标报价中。</w:t>
      </w:r>
    </w:p>
    <w:p w14:paraId="68A2354A">
      <w:pPr>
        <w:pStyle w:val="33"/>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4、施工顺序：因本项目为边办公边施工，施工顺序的开展应根据甲方要求，各项内业工作的搭接需根据业主要求统筹有序安排，施工单位在投标报价阶段及施工过程中应紧密结合业主的具体要求执行。</w:t>
      </w:r>
    </w:p>
    <w:p w14:paraId="2E3E20E7">
      <w:pPr>
        <w:pStyle w:val="33"/>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5、由于本项目为设计及施工一体化招标，投标人需自行前往工程现场进行踏勘，充分考虑现场实际情况。</w:t>
      </w:r>
    </w:p>
    <w:p w14:paraId="0E6FD057">
      <w:pPr>
        <w:pStyle w:val="34"/>
        <w:tabs>
          <w:tab w:val="right" w:leader="dot" w:pos="9403"/>
        </w:tabs>
        <w:ind w:left="0" w:leftChars="0"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6、其他</w:t>
      </w:r>
    </w:p>
    <w:p w14:paraId="128BC16A">
      <w:pPr>
        <w:pStyle w:val="34"/>
        <w:tabs>
          <w:tab w:val="right" w:leader="dot" w:pos="9403"/>
        </w:tabs>
        <w:spacing w:line="360" w:lineRule="auto"/>
        <w:ind w:left="0" w:leftChars="0" w:firstLine="480" w:firstLineChars="200"/>
        <w:rPr>
          <w:rFonts w:hint="default" w:ascii="宋体" w:hAnsi="宋体" w:cs="宋体"/>
          <w:snapToGrid w:val="0"/>
          <w:color w:val="auto"/>
          <w:sz w:val="24"/>
          <w:szCs w:val="24"/>
          <w:highlight w:val="none"/>
        </w:rPr>
      </w:pPr>
      <w:r>
        <w:rPr>
          <w:rFonts w:hint="default" w:ascii="宋体" w:hAnsi="宋体" w:cs="宋体"/>
          <w:snapToGrid w:val="0"/>
          <w:color w:val="auto"/>
          <w:sz w:val="24"/>
          <w:szCs w:val="24"/>
          <w:highlight w:val="none"/>
        </w:rPr>
        <w:t>（1）各楼层需拆除的工作内容由各投标单位结合原有装修图、最新招标图纸、招标范围、市场行情、当地政府部门对垃圾清运的相关要求等进行综合报价，除木材等搬运途中不会产生粉尘的建筑垃圾外，其余所有建筑垃圾均应装袋密封搬运，每次堆放时间不得超过3天，并应派专人进行必要的清理工作。</w:t>
      </w:r>
    </w:p>
    <w:p w14:paraId="383921C3">
      <w:pPr>
        <w:spacing w:line="360" w:lineRule="auto"/>
        <w:ind w:firstLine="480" w:firstLineChars="200"/>
        <w:rPr>
          <w:rFonts w:hint="default" w:ascii="宋体" w:hAnsi="宋体" w:cs="宋体"/>
          <w:snapToGrid w:val="0"/>
          <w:color w:val="auto"/>
          <w:sz w:val="24"/>
          <w:szCs w:val="24"/>
          <w:highlight w:val="none"/>
        </w:rPr>
      </w:pPr>
      <w:r>
        <w:rPr>
          <w:rFonts w:hint="default" w:ascii="宋体" w:hAnsi="宋体" w:cs="宋体"/>
          <w:snapToGrid w:val="0"/>
          <w:color w:val="auto"/>
          <w:sz w:val="24"/>
          <w:szCs w:val="24"/>
          <w:highlight w:val="none"/>
        </w:rPr>
        <w:t>（2）因项目地处市中心且边办公边施工，中标人应派专人做好施工现场管理工作，包括但不限于：a 生活垃圾（如快餐盒）的及时清理工作；b 禁止施工现场随意大小便;c 禁止施工现场的人员住宿；d 禁止随意出入非施工区域；e 招标人的其他特殊要求。各投标单位在投标报价中应充分考虑相应的措施及费用。</w:t>
      </w:r>
    </w:p>
    <w:p w14:paraId="5077231F">
      <w:pPr>
        <w:pStyle w:val="33"/>
        <w:numPr>
          <w:ilvl w:val="0"/>
          <w:numId w:val="0"/>
        </w:num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九、主要材料设备推荐品牌（厂家）</w:t>
      </w:r>
    </w:p>
    <w:p w14:paraId="7EE0F6C4">
      <w:pPr>
        <w:pStyle w:val="34"/>
        <w:numPr>
          <w:ilvl w:val="0"/>
          <w:numId w:val="0"/>
        </w:numPr>
        <w:tabs>
          <w:tab w:val="right" w:leader="dot" w:pos="9403"/>
        </w:tabs>
        <w:spacing w:line="360" w:lineRule="auto"/>
        <w:ind w:left="0" w:firstLine="480"/>
        <w:rPr>
          <w:rFonts w:hint="default" w:ascii="宋体" w:hAnsi="宋体" w:cs="宋体"/>
          <w:snapToGrid w:val="0"/>
          <w:color w:val="auto"/>
          <w:sz w:val="24"/>
          <w:szCs w:val="24"/>
          <w:highlight w:val="none"/>
        </w:rPr>
      </w:pPr>
      <w:r>
        <w:rPr>
          <w:rFonts w:hint="default" w:ascii="宋体" w:hAnsi="宋体" w:cs="宋体"/>
          <w:snapToGrid w:val="0"/>
          <w:color w:val="auto"/>
          <w:sz w:val="24"/>
          <w:szCs w:val="24"/>
          <w:highlight w:val="none"/>
        </w:rPr>
        <w:t>招标人推荐了主要材料设备品牌或厂家的，若投标人在投标时未选择招标人推荐品牌或厂家的，投标人应在投标文件中提供相当于招标人推荐品牌产品或厂家的证明材料。投标人在投标文件中未填报品牌（厂家）或未选择招标人推荐品牌（厂家）或未提供同档次品牌（厂家）证明材料的，在施工时招标人有权在推荐品牌内指定，投标价格不变。</w:t>
      </w:r>
    </w:p>
    <w:p w14:paraId="4F14EEBB">
      <w:pPr>
        <w:numPr>
          <w:ilvl w:val="0"/>
          <w:numId w:val="0"/>
        </w:numPr>
        <w:spacing w:line="360" w:lineRule="auto"/>
        <w:ind w:firstLine="480" w:firstLineChars="20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主要材料推荐品牌</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794"/>
        <w:gridCol w:w="4500"/>
        <w:gridCol w:w="950"/>
      </w:tblGrid>
      <w:tr w14:paraId="36CC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73DE45">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top"/>
          </w:tcPr>
          <w:p w14:paraId="3FDD77CD">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材料名称</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top"/>
          </w:tcPr>
          <w:p w14:paraId="16D8F699">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推荐品牌厂家</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78B438">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备注</w:t>
            </w:r>
          </w:p>
        </w:tc>
      </w:tr>
      <w:tr w14:paraId="3072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420C53">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2500B0">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水泥</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2DB035">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钱潮、海螺、红狮或相当于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93B3D">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59CC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B0518E">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2</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8FE3E8">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预拌砂浆</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ACCDC1">
            <w:pPr>
              <w:pStyle w:val="33"/>
              <w:spacing w:line="320" w:lineRule="exact"/>
              <w:rPr>
                <w:rFonts w:hint="default" w:hAnsi="宋体" w:cs="宋体"/>
                <w:color w:val="auto"/>
                <w:sz w:val="24"/>
                <w:szCs w:val="24"/>
                <w:highlight w:val="none"/>
              </w:rPr>
            </w:pPr>
            <w:r>
              <w:rPr>
                <w:rFonts w:hint="default" w:hAnsi="宋体" w:cs="宋体"/>
                <w:color w:val="auto"/>
                <w:sz w:val="24"/>
                <w:szCs w:val="24"/>
                <w:highlight w:val="none"/>
              </w:rPr>
              <w:t>杭州天翔、桐乡明敏、浙江田昌或相当于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48FF79">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3B55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D9032C">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3</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D64A5B">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加气块</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29C1F5">
            <w:pPr>
              <w:pStyle w:val="33"/>
              <w:spacing w:line="320" w:lineRule="exact"/>
              <w:rPr>
                <w:rFonts w:hint="default" w:hAnsi="宋体" w:cs="宋体"/>
                <w:color w:val="auto"/>
                <w:sz w:val="24"/>
                <w:szCs w:val="24"/>
                <w:highlight w:val="none"/>
              </w:rPr>
            </w:pPr>
            <w:r>
              <w:rPr>
                <w:rFonts w:hint="default" w:hAnsi="宋体" w:cs="宋体"/>
                <w:color w:val="auto"/>
                <w:sz w:val="24"/>
                <w:szCs w:val="24"/>
                <w:highlight w:val="none"/>
              </w:rPr>
              <w:t>萧山开元、湖州汇能、杭州杭加或相当于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F5B8DA">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3C56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8B675F">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D4FD4C">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电线、电缆</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689727">
            <w:pPr>
              <w:pStyle w:val="33"/>
              <w:spacing w:line="320" w:lineRule="exact"/>
              <w:rPr>
                <w:rFonts w:hint="default" w:hAnsi="宋体" w:cs="宋体"/>
                <w:color w:val="auto"/>
                <w:sz w:val="24"/>
                <w:szCs w:val="24"/>
                <w:highlight w:val="none"/>
              </w:rPr>
            </w:pPr>
            <w:r>
              <w:rPr>
                <w:rFonts w:hint="default" w:hAnsi="宋体" w:cs="宋体"/>
                <w:color w:val="auto"/>
                <w:sz w:val="24"/>
                <w:szCs w:val="24"/>
                <w:highlight w:val="none"/>
              </w:rPr>
              <w:t>浙江万马、杭州中策、浙江永通或相当于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C02945">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4015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171C89">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54143">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JDG电管</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43A01">
            <w:pPr>
              <w:pStyle w:val="33"/>
              <w:spacing w:line="320" w:lineRule="exact"/>
              <w:rPr>
                <w:rFonts w:hint="default" w:hAnsi="宋体" w:cs="宋体"/>
                <w:color w:val="auto"/>
                <w:sz w:val="24"/>
                <w:szCs w:val="24"/>
                <w:highlight w:val="none"/>
              </w:rPr>
            </w:pPr>
            <w:r>
              <w:rPr>
                <w:rFonts w:hint="default" w:hAnsi="宋体" w:cs="宋体"/>
                <w:color w:val="auto"/>
                <w:sz w:val="24"/>
                <w:szCs w:val="24"/>
                <w:highlight w:val="none"/>
              </w:rPr>
              <w:t>浙江久立、北京泰瑞安、杭州天一或相当于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840C3">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4818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2536C">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6</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D24D25">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给水管</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245E2">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中财、卫星、联塑或相当于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529E32">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0971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B24C27">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5A94B1">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石膏板</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5B2FB1">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 xml:space="preserve">泰山、杰科、龙牌或相当于 </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7E06B">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3223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3CEC4E">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8</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C16F79">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阻燃板</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2470CF">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千年舟、兔宝宝、莫干山或相当于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B815F7">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39AD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E8405">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8B71BF">
            <w:pPr>
              <w:pStyle w:val="33"/>
              <w:spacing w:line="320" w:lineRule="exact"/>
              <w:rPr>
                <w:rFonts w:hint="default" w:hAnsi="宋体" w:cs="宋体"/>
                <w:color w:val="auto"/>
                <w:sz w:val="24"/>
                <w:szCs w:val="24"/>
                <w:highlight w:val="none"/>
              </w:rPr>
            </w:pPr>
            <w:r>
              <w:rPr>
                <w:rFonts w:hint="default" w:hAnsi="宋体" w:cs="宋体"/>
                <w:color w:val="auto"/>
                <w:sz w:val="24"/>
                <w:szCs w:val="24"/>
                <w:highlight w:val="none"/>
              </w:rPr>
              <w:t>LED灯具（筒灯、LED暗藏灯带、平板灯）</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A9909C">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雷士，三雄极光，欧普或相当于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AF6CC5">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1BCE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3DD533">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10</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38F135">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开关、插座</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877E">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公牛、正泰、西门子或相当于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22BB5">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6736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EC2FE">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89B1C7">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乳胶漆</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39F11A">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多乐士、立邦、华润或相当于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7A5C6">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1BD2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50A45">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7F7DD">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防水材料</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7FF06">
            <w:pPr>
              <w:pStyle w:val="33"/>
              <w:spacing w:line="320" w:lineRule="exact"/>
              <w:rPr>
                <w:rFonts w:hint="default" w:hAnsi="宋体" w:cs="宋体"/>
                <w:color w:val="auto"/>
                <w:sz w:val="24"/>
                <w:szCs w:val="24"/>
                <w:highlight w:val="none"/>
              </w:rPr>
            </w:pPr>
            <w:r>
              <w:rPr>
                <w:rFonts w:hint="default" w:hAnsi="宋体" w:cs="宋体"/>
                <w:color w:val="auto"/>
                <w:sz w:val="24"/>
                <w:szCs w:val="24"/>
                <w:highlight w:val="none"/>
              </w:rPr>
              <w:t>东方雨虹、广州科顺、深圳卓宝或相当于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C9A430">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3288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CF6DD">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C9EC53">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复合木地板</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3052C">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水木年华、欧格佳、迈瑞森或相当于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1843B4">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6D20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79851">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D65DA5">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瓷砖（防滑地砖、玻化砖）</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630A87">
            <w:pPr>
              <w:pStyle w:val="33"/>
              <w:spacing w:line="320" w:lineRule="exact"/>
              <w:rPr>
                <w:rFonts w:hint="default" w:hAnsi="宋体" w:cs="宋体"/>
                <w:color w:val="auto"/>
                <w:sz w:val="24"/>
                <w:szCs w:val="24"/>
                <w:highlight w:val="none"/>
              </w:rPr>
            </w:pPr>
            <w:r>
              <w:rPr>
                <w:rFonts w:hint="default" w:hAnsi="宋体" w:cs="宋体"/>
                <w:color w:val="auto"/>
                <w:sz w:val="24"/>
                <w:szCs w:val="24"/>
                <w:highlight w:val="none"/>
              </w:rPr>
              <w:t>斯米克，马可波罗，简一或相当于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BFB20D">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02FD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BF962">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15</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269A2A">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铝合金窗（型材）</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654587">
            <w:pPr>
              <w:pStyle w:val="33"/>
              <w:spacing w:line="320" w:lineRule="exact"/>
              <w:rPr>
                <w:rFonts w:hint="default" w:hAnsi="宋体" w:cs="宋体"/>
                <w:color w:val="auto"/>
                <w:sz w:val="24"/>
                <w:szCs w:val="24"/>
                <w:highlight w:val="none"/>
              </w:rPr>
            </w:pPr>
            <w:r>
              <w:rPr>
                <w:rFonts w:hint="default" w:hAnsi="宋体" w:cs="宋体"/>
                <w:color w:val="auto"/>
                <w:sz w:val="24"/>
                <w:szCs w:val="24"/>
                <w:highlight w:val="none"/>
              </w:rPr>
              <w:t>兴发、南山、新中亚或相当于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058464">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7B1B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8FE63">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16</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3E2BC">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木质防火门</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16A5A8">
            <w:pPr>
              <w:pStyle w:val="33"/>
              <w:spacing w:line="320" w:lineRule="exact"/>
              <w:rPr>
                <w:rFonts w:hint="default" w:hAnsi="宋体" w:cs="宋体"/>
                <w:color w:val="auto"/>
                <w:sz w:val="24"/>
                <w:szCs w:val="24"/>
                <w:highlight w:val="none"/>
              </w:rPr>
            </w:pPr>
            <w:r>
              <w:rPr>
                <w:rFonts w:hint="default" w:hAnsi="宋体" w:cs="宋体"/>
                <w:color w:val="auto"/>
                <w:sz w:val="24"/>
                <w:szCs w:val="24"/>
                <w:highlight w:val="none"/>
              </w:rPr>
              <w:t>浙江唐门、杭木杜娟、浙江申瑞或相当于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41306">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r w14:paraId="7C44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527FE6">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17</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9B3B6A">
            <w:pPr>
              <w:pStyle w:val="33"/>
              <w:spacing w:line="480" w:lineRule="exact"/>
              <w:rPr>
                <w:rFonts w:hint="default" w:hAnsi="宋体" w:cs="宋体"/>
                <w:color w:val="auto"/>
                <w:sz w:val="24"/>
                <w:szCs w:val="24"/>
                <w:highlight w:val="none"/>
              </w:rPr>
            </w:pPr>
            <w:r>
              <w:rPr>
                <w:rFonts w:hint="default" w:hAnsi="宋体" w:cs="宋体"/>
                <w:color w:val="auto"/>
                <w:sz w:val="24"/>
                <w:szCs w:val="24"/>
                <w:highlight w:val="none"/>
              </w:rPr>
              <w:t>地胶板</w:t>
            </w:r>
          </w:p>
        </w:tc>
        <w:tc>
          <w:tcPr>
            <w:tcW w:w="4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3DEE20">
            <w:pPr>
              <w:pStyle w:val="33"/>
              <w:spacing w:line="320" w:lineRule="exact"/>
              <w:rPr>
                <w:rFonts w:hint="default" w:hAnsi="宋体" w:cs="宋体"/>
                <w:color w:val="auto"/>
                <w:sz w:val="24"/>
                <w:szCs w:val="24"/>
                <w:highlight w:val="none"/>
              </w:rPr>
            </w:pPr>
            <w:r>
              <w:rPr>
                <w:rFonts w:hint="default" w:hAnsi="宋体" w:cs="宋体"/>
                <w:color w:val="auto"/>
                <w:sz w:val="24"/>
                <w:szCs w:val="24"/>
                <w:highlight w:val="none"/>
              </w:rPr>
              <w:t>得嘉、洁福、阿姆斯壮或相当于</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043FAD">
            <w:pPr>
              <w:pStyle w:val="33"/>
              <w:spacing w:line="480" w:lineRule="exact"/>
              <w:jc w:val="center"/>
              <w:rPr>
                <w:rFonts w:hint="default" w:hAnsi="宋体" w:cs="宋体"/>
                <w:color w:val="auto"/>
                <w:sz w:val="24"/>
                <w:szCs w:val="24"/>
                <w:highlight w:val="none"/>
              </w:rPr>
            </w:pPr>
            <w:r>
              <w:rPr>
                <w:rFonts w:hint="default" w:hAnsi="宋体" w:cs="宋体"/>
                <w:color w:val="auto"/>
                <w:sz w:val="24"/>
                <w:szCs w:val="24"/>
                <w:highlight w:val="none"/>
              </w:rPr>
              <w:t>合格</w:t>
            </w:r>
          </w:p>
        </w:tc>
      </w:tr>
    </w:tbl>
    <w:p w14:paraId="6AAE1699">
      <w:pPr>
        <w:snapToGrid w:val="0"/>
        <w:spacing w:line="288"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注：所投品牌需送样由甲方确认，必须为正厂正品</w:t>
      </w:r>
    </w:p>
    <w:p w14:paraId="47554487">
      <w:pPr>
        <w:snapToGrid w:val="0"/>
        <w:spacing w:line="288" w:lineRule="auto"/>
        <w:ind w:firstLine="482" w:firstLineChars="200"/>
        <w:rPr>
          <w:rFonts w:hint="default" w:ascii="宋体" w:hAnsi="宋体" w:cs="宋体"/>
          <w:b/>
          <w:color w:val="auto"/>
          <w:sz w:val="24"/>
          <w:szCs w:val="24"/>
          <w:highlight w:val="none"/>
        </w:rPr>
      </w:pPr>
    </w:p>
    <w:p w14:paraId="795E011E">
      <w:pPr>
        <w:snapToGrid w:val="0"/>
        <w:spacing w:line="288"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备注：1、如技术要求中未特别注明需执行的国家相关标准、行业标准、地方标准或者其他标准、规范，则统一执行最新标准、规范。</w:t>
      </w:r>
    </w:p>
    <w:p w14:paraId="728467C1">
      <w:pPr>
        <w:snapToGrid w:val="0"/>
        <w:spacing w:line="288" w:lineRule="auto"/>
        <w:ind w:firstLine="482" w:firstLineChars="200"/>
        <w:rPr>
          <w:rFonts w:hint="default" w:ascii="宋体" w:hAnsi="宋体" w:cs="宋体"/>
          <w:b/>
          <w:color w:val="auto"/>
          <w:sz w:val="24"/>
          <w:szCs w:val="24"/>
          <w:highlight w:val="none"/>
        </w:rPr>
      </w:pPr>
      <w:r>
        <w:rPr>
          <w:rFonts w:hint="default" w:ascii="宋体" w:hAnsi="宋体" w:cs="宋体"/>
          <w:b/>
          <w:color w:val="auto"/>
          <w:sz w:val="24"/>
          <w:szCs w:val="24"/>
          <w:highlight w:val="none"/>
        </w:rPr>
        <w:t>2、除磋商文件中所明确的技术规格和品牌外，欢迎其他能满足本项目技术需求且性能相当于或高于所明确品牌的产品参加磋商，同时在采购需求偏离表中作出详细对比说明。</w:t>
      </w:r>
    </w:p>
    <w:p w14:paraId="15CA23F3">
      <w:pPr>
        <w:spacing w:line="360" w:lineRule="auto"/>
        <w:jc w:val="left"/>
        <w:rPr>
          <w:rFonts w:ascii="宋体" w:hAnsi="宋体"/>
          <w:color w:val="auto"/>
          <w:sz w:val="24"/>
          <w:highlight w:val="none"/>
          <w:u w:val="single"/>
        </w:rPr>
      </w:pPr>
      <w:r>
        <w:rPr>
          <w:rFonts w:hint="default" w:ascii="宋体" w:hAnsi="宋体" w:cs="宋体"/>
          <w:b/>
          <w:color w:val="auto"/>
          <w:sz w:val="24"/>
          <w:szCs w:val="24"/>
          <w:highlight w:val="none"/>
        </w:rPr>
        <w:t>3.以上各项费用明细将按合同专用条款约定的方式结算和支付。</w:t>
      </w:r>
    </w:p>
    <w:p w14:paraId="24443AF8">
      <w:pPr>
        <w:widowControl/>
        <w:ind w:firstLine="720" w:firstLineChars="300"/>
        <w:jc w:val="left"/>
        <w:rPr>
          <w:rFonts w:ascii="宋体" w:hAnsi="宋体" w:cs="宋体"/>
          <w:bCs/>
          <w:color w:val="auto"/>
          <w:sz w:val="24"/>
          <w:highlight w:val="none"/>
        </w:rPr>
      </w:pPr>
    </w:p>
    <w:p w14:paraId="6F7670F7">
      <w:pPr>
        <w:rPr>
          <w:rFonts w:ascii="宋体" w:hAnsi="宋体" w:cs="宋体"/>
          <w:snapToGrid w:val="0"/>
          <w:color w:val="auto"/>
          <w:kern w:val="0"/>
          <w:sz w:val="24"/>
          <w:highlight w:val="none"/>
        </w:rPr>
      </w:pPr>
    </w:p>
    <w:p w14:paraId="691EC78F">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3" w:name="_Toc184312114"/>
      <w:bookmarkEnd w:id="33"/>
      <w:bookmarkStart w:id="34" w:name="_Toc184308063"/>
      <w:bookmarkEnd w:id="34"/>
      <w:bookmarkStart w:id="35" w:name="_Toc184312106"/>
      <w:bookmarkEnd w:id="35"/>
      <w:bookmarkStart w:id="36" w:name="_Toc184314410"/>
      <w:bookmarkEnd w:id="36"/>
      <w:bookmarkStart w:id="37" w:name="_Toc184308097"/>
      <w:bookmarkEnd w:id="37"/>
      <w:bookmarkStart w:id="38" w:name="_Toc184308107"/>
      <w:bookmarkEnd w:id="38"/>
      <w:bookmarkStart w:id="39" w:name="_Toc184314446"/>
      <w:bookmarkEnd w:id="39"/>
      <w:bookmarkStart w:id="40" w:name="_Toc184313287"/>
      <w:bookmarkEnd w:id="40"/>
      <w:bookmarkStart w:id="41" w:name="_Toc184310336"/>
      <w:bookmarkEnd w:id="41"/>
      <w:bookmarkStart w:id="42" w:name="_Toc184308101"/>
      <w:bookmarkEnd w:id="42"/>
      <w:bookmarkStart w:id="43" w:name="_Toc184313245"/>
      <w:bookmarkEnd w:id="43"/>
      <w:bookmarkStart w:id="44" w:name="_Toc184314463"/>
      <w:bookmarkEnd w:id="44"/>
      <w:bookmarkStart w:id="45" w:name="_Toc184310344"/>
      <w:bookmarkEnd w:id="45"/>
      <w:bookmarkStart w:id="46" w:name="_Toc184308085"/>
      <w:bookmarkEnd w:id="46"/>
      <w:bookmarkStart w:id="47" w:name="_Toc184312121"/>
      <w:bookmarkEnd w:id="47"/>
      <w:bookmarkStart w:id="48" w:name="_Toc184308039"/>
      <w:bookmarkEnd w:id="48"/>
      <w:bookmarkStart w:id="49" w:name="_Toc184308084"/>
      <w:bookmarkEnd w:id="49"/>
      <w:bookmarkStart w:id="50" w:name="_Toc184314478"/>
      <w:bookmarkEnd w:id="50"/>
      <w:bookmarkStart w:id="51" w:name="_Toc184312136"/>
      <w:bookmarkEnd w:id="51"/>
      <w:bookmarkStart w:id="52" w:name="_Toc184313309"/>
      <w:bookmarkEnd w:id="52"/>
      <w:bookmarkStart w:id="53" w:name="_Toc184313253"/>
      <w:bookmarkEnd w:id="53"/>
      <w:bookmarkStart w:id="54" w:name="_Toc184313268"/>
      <w:bookmarkEnd w:id="54"/>
      <w:bookmarkStart w:id="55" w:name="_Toc184310315"/>
      <w:bookmarkEnd w:id="55"/>
      <w:bookmarkStart w:id="56" w:name="_Toc184308091"/>
      <w:bookmarkEnd w:id="56"/>
      <w:bookmarkStart w:id="57" w:name="_Toc184312097"/>
      <w:bookmarkEnd w:id="57"/>
      <w:bookmarkStart w:id="58" w:name="_Toc184312127"/>
      <w:bookmarkEnd w:id="58"/>
      <w:bookmarkStart w:id="59" w:name="_Toc184314461"/>
      <w:bookmarkEnd w:id="59"/>
      <w:bookmarkStart w:id="60" w:name="_Toc184310321"/>
      <w:bookmarkEnd w:id="60"/>
      <w:bookmarkStart w:id="61" w:name="_Toc184312071"/>
      <w:bookmarkEnd w:id="61"/>
      <w:bookmarkStart w:id="62" w:name="_Toc184313242"/>
      <w:bookmarkEnd w:id="62"/>
      <w:bookmarkStart w:id="63" w:name="_Toc184312085"/>
      <w:bookmarkEnd w:id="63"/>
      <w:bookmarkStart w:id="64" w:name="_Toc184312078"/>
      <w:bookmarkEnd w:id="64"/>
      <w:bookmarkStart w:id="65" w:name="_Toc184314411"/>
      <w:bookmarkEnd w:id="65"/>
      <w:bookmarkStart w:id="66" w:name="_Toc184313275"/>
      <w:bookmarkEnd w:id="66"/>
      <w:bookmarkStart w:id="67" w:name="_Toc184313285"/>
      <w:bookmarkEnd w:id="67"/>
      <w:bookmarkStart w:id="68" w:name="_Toc184308075"/>
      <w:bookmarkEnd w:id="68"/>
      <w:bookmarkStart w:id="69" w:name="_Toc184313299"/>
      <w:bookmarkEnd w:id="69"/>
      <w:bookmarkStart w:id="70" w:name="_Toc184312124"/>
      <w:bookmarkEnd w:id="70"/>
      <w:bookmarkStart w:id="71" w:name="_Toc184308089"/>
      <w:bookmarkEnd w:id="71"/>
      <w:bookmarkStart w:id="72" w:name="_Toc184308036"/>
      <w:bookmarkEnd w:id="72"/>
      <w:bookmarkStart w:id="73" w:name="_Toc184314465"/>
      <w:bookmarkEnd w:id="73"/>
      <w:bookmarkStart w:id="74" w:name="_Toc184312125"/>
      <w:bookmarkEnd w:id="74"/>
      <w:bookmarkStart w:id="75" w:name="_Toc184314441"/>
      <w:bookmarkEnd w:id="75"/>
      <w:bookmarkStart w:id="76" w:name="_Toc184310290"/>
      <w:bookmarkEnd w:id="76"/>
      <w:bookmarkStart w:id="77" w:name="_Toc184313286"/>
      <w:bookmarkEnd w:id="77"/>
      <w:bookmarkStart w:id="78" w:name="_Toc184310297"/>
      <w:bookmarkEnd w:id="78"/>
      <w:bookmarkStart w:id="79" w:name="_Toc184313291"/>
      <w:bookmarkEnd w:id="79"/>
      <w:bookmarkStart w:id="80" w:name="_Toc184313280"/>
      <w:bookmarkEnd w:id="80"/>
      <w:bookmarkStart w:id="81" w:name="_Toc184312110"/>
      <w:bookmarkEnd w:id="81"/>
      <w:bookmarkStart w:id="82" w:name="_Toc184312132"/>
      <w:bookmarkEnd w:id="82"/>
      <w:bookmarkStart w:id="83" w:name="_Toc184313279"/>
      <w:bookmarkEnd w:id="83"/>
      <w:bookmarkStart w:id="84" w:name="_Toc184308061"/>
      <w:bookmarkEnd w:id="84"/>
      <w:bookmarkStart w:id="85" w:name="_Toc184313273"/>
      <w:bookmarkEnd w:id="85"/>
      <w:bookmarkStart w:id="86" w:name="_Toc184308082"/>
      <w:bookmarkEnd w:id="86"/>
      <w:bookmarkStart w:id="87" w:name="_Toc184313260"/>
      <w:bookmarkEnd w:id="87"/>
      <w:bookmarkStart w:id="88" w:name="_Toc184312104"/>
      <w:bookmarkEnd w:id="88"/>
      <w:bookmarkStart w:id="89" w:name="_Toc184313262"/>
      <w:bookmarkEnd w:id="89"/>
      <w:bookmarkStart w:id="90" w:name="_Toc184313301"/>
      <w:bookmarkEnd w:id="90"/>
      <w:bookmarkStart w:id="91" w:name="_Toc184308060"/>
      <w:bookmarkEnd w:id="91"/>
      <w:bookmarkStart w:id="92" w:name="_Toc184310307"/>
      <w:bookmarkEnd w:id="92"/>
      <w:bookmarkStart w:id="93" w:name="_Toc184308056"/>
      <w:bookmarkEnd w:id="93"/>
      <w:bookmarkStart w:id="94" w:name="_Toc184313296"/>
      <w:bookmarkEnd w:id="94"/>
      <w:bookmarkStart w:id="95" w:name="_Toc184310323"/>
      <w:bookmarkEnd w:id="95"/>
      <w:bookmarkStart w:id="96" w:name="_Toc184312091"/>
      <w:bookmarkEnd w:id="96"/>
      <w:bookmarkStart w:id="97" w:name="_Toc184314432"/>
      <w:bookmarkEnd w:id="97"/>
      <w:bookmarkStart w:id="98" w:name="_Toc184314419"/>
      <w:bookmarkEnd w:id="98"/>
      <w:bookmarkStart w:id="99" w:name="_Toc184313271"/>
      <w:bookmarkEnd w:id="99"/>
      <w:bookmarkStart w:id="100" w:name="_Toc184308086"/>
      <w:bookmarkEnd w:id="100"/>
      <w:bookmarkStart w:id="101" w:name="_Toc184310286"/>
      <w:bookmarkEnd w:id="101"/>
      <w:bookmarkStart w:id="102" w:name="_Toc184313277"/>
      <w:bookmarkEnd w:id="102"/>
      <w:bookmarkStart w:id="103" w:name="_Toc184313276"/>
      <w:bookmarkEnd w:id="103"/>
      <w:bookmarkStart w:id="104" w:name="_Toc184308050"/>
      <w:bookmarkEnd w:id="104"/>
      <w:bookmarkStart w:id="105" w:name="_Toc184314417"/>
      <w:bookmarkEnd w:id="105"/>
      <w:bookmarkStart w:id="106" w:name="_Toc184312082"/>
      <w:bookmarkEnd w:id="106"/>
      <w:bookmarkStart w:id="107" w:name="_Toc184314444"/>
      <w:bookmarkEnd w:id="107"/>
      <w:bookmarkStart w:id="108" w:name="_Toc184313256"/>
      <w:bookmarkEnd w:id="108"/>
      <w:bookmarkStart w:id="109" w:name="_Toc184310289"/>
      <w:bookmarkEnd w:id="109"/>
      <w:bookmarkStart w:id="110" w:name="_Toc184313247"/>
      <w:bookmarkEnd w:id="110"/>
      <w:bookmarkStart w:id="111" w:name="_Toc184313303"/>
      <w:bookmarkEnd w:id="111"/>
      <w:bookmarkStart w:id="112" w:name="_Toc184312103"/>
      <w:bookmarkEnd w:id="112"/>
      <w:bookmarkStart w:id="113" w:name="_Toc184313269"/>
      <w:bookmarkEnd w:id="113"/>
      <w:bookmarkStart w:id="114" w:name="_Toc184313251"/>
      <w:bookmarkEnd w:id="114"/>
      <w:bookmarkStart w:id="115" w:name="_Toc184313259"/>
      <w:bookmarkEnd w:id="115"/>
      <w:bookmarkStart w:id="116" w:name="_Toc184310299"/>
      <w:bookmarkEnd w:id="116"/>
      <w:bookmarkStart w:id="117" w:name="_Toc184314450"/>
      <w:bookmarkEnd w:id="117"/>
      <w:bookmarkStart w:id="118" w:name="_Toc184310319"/>
      <w:bookmarkEnd w:id="118"/>
      <w:bookmarkStart w:id="119" w:name="_Toc184308077"/>
      <w:bookmarkEnd w:id="119"/>
      <w:bookmarkStart w:id="120" w:name="_Toc184312131"/>
      <w:bookmarkEnd w:id="120"/>
      <w:bookmarkStart w:id="121" w:name="_Toc184308046"/>
      <w:bookmarkEnd w:id="121"/>
      <w:bookmarkStart w:id="122" w:name="_Toc184312079"/>
      <w:bookmarkEnd w:id="122"/>
      <w:bookmarkStart w:id="123" w:name="_Toc184308108"/>
      <w:bookmarkEnd w:id="123"/>
      <w:bookmarkStart w:id="124" w:name="_Toc184312067"/>
      <w:bookmarkEnd w:id="124"/>
      <w:bookmarkStart w:id="125" w:name="_Toc184310273"/>
      <w:bookmarkEnd w:id="125"/>
      <w:bookmarkStart w:id="126" w:name="_Toc184312074"/>
      <w:bookmarkEnd w:id="126"/>
      <w:bookmarkStart w:id="127" w:name="_Toc184310296"/>
      <w:bookmarkEnd w:id="127"/>
      <w:bookmarkStart w:id="128" w:name="_Toc184314436"/>
      <w:bookmarkEnd w:id="128"/>
      <w:bookmarkStart w:id="129" w:name="_Toc184314481"/>
      <w:bookmarkEnd w:id="129"/>
      <w:bookmarkStart w:id="130" w:name="_Toc184313272"/>
      <w:bookmarkEnd w:id="130"/>
      <w:bookmarkStart w:id="131" w:name="_Toc184312129"/>
      <w:bookmarkEnd w:id="131"/>
      <w:bookmarkStart w:id="132" w:name="_Toc184310278"/>
      <w:bookmarkEnd w:id="132"/>
      <w:bookmarkStart w:id="133" w:name="_Toc184310284"/>
      <w:bookmarkEnd w:id="133"/>
      <w:bookmarkStart w:id="134" w:name="_Toc184313306"/>
      <w:bookmarkEnd w:id="134"/>
      <w:bookmarkStart w:id="135" w:name="_Toc184310330"/>
      <w:bookmarkEnd w:id="135"/>
      <w:bookmarkStart w:id="136" w:name="_Toc184308067"/>
      <w:bookmarkEnd w:id="136"/>
      <w:bookmarkStart w:id="137" w:name="_Toc184312118"/>
      <w:bookmarkEnd w:id="137"/>
      <w:bookmarkStart w:id="138" w:name="_Toc184310298"/>
      <w:bookmarkEnd w:id="138"/>
      <w:bookmarkStart w:id="139" w:name="_Toc184310328"/>
      <w:bookmarkEnd w:id="139"/>
      <w:bookmarkStart w:id="140" w:name="_Toc184312075"/>
      <w:bookmarkEnd w:id="140"/>
      <w:bookmarkStart w:id="141" w:name="_Toc184308058"/>
      <w:bookmarkEnd w:id="141"/>
      <w:bookmarkStart w:id="142" w:name="_Toc184310333"/>
      <w:bookmarkEnd w:id="142"/>
      <w:bookmarkStart w:id="143" w:name="_Toc184314429"/>
      <w:bookmarkEnd w:id="143"/>
      <w:bookmarkStart w:id="144" w:name="_Toc184314453"/>
      <w:bookmarkEnd w:id="144"/>
      <w:bookmarkStart w:id="145" w:name="_Toc184314480"/>
      <w:bookmarkEnd w:id="145"/>
      <w:bookmarkStart w:id="146" w:name="_Toc184313300"/>
      <w:bookmarkEnd w:id="146"/>
      <w:bookmarkStart w:id="147" w:name="_Toc184314412"/>
      <w:bookmarkEnd w:id="147"/>
      <w:bookmarkStart w:id="148" w:name="_Toc184310293"/>
      <w:bookmarkEnd w:id="148"/>
      <w:bookmarkStart w:id="149" w:name="_Toc184312070"/>
      <w:bookmarkEnd w:id="149"/>
      <w:bookmarkStart w:id="150" w:name="_Toc184312077"/>
      <w:bookmarkEnd w:id="150"/>
      <w:bookmarkStart w:id="151" w:name="_Toc184308051"/>
      <w:bookmarkEnd w:id="151"/>
      <w:bookmarkStart w:id="152" w:name="_Toc184310274"/>
      <w:bookmarkEnd w:id="152"/>
      <w:bookmarkStart w:id="153" w:name="_Toc184313266"/>
      <w:bookmarkEnd w:id="153"/>
      <w:bookmarkStart w:id="154" w:name="_Toc184313290"/>
      <w:bookmarkEnd w:id="154"/>
      <w:bookmarkStart w:id="155" w:name="_Toc184314458"/>
      <w:bookmarkEnd w:id="155"/>
      <w:bookmarkStart w:id="156" w:name="_Toc184314427"/>
      <w:bookmarkEnd w:id="156"/>
      <w:bookmarkStart w:id="157" w:name="_Toc184310313"/>
      <w:bookmarkEnd w:id="157"/>
      <w:bookmarkStart w:id="158" w:name="_Toc184313305"/>
      <w:bookmarkEnd w:id="158"/>
      <w:bookmarkStart w:id="159" w:name="_Toc184310308"/>
      <w:bookmarkEnd w:id="159"/>
      <w:bookmarkStart w:id="160" w:name="_Toc184308062"/>
      <w:bookmarkEnd w:id="160"/>
      <w:bookmarkStart w:id="161" w:name="_Toc184312101"/>
      <w:bookmarkEnd w:id="161"/>
      <w:bookmarkStart w:id="162" w:name="_Toc184313294"/>
      <w:bookmarkEnd w:id="162"/>
      <w:bookmarkStart w:id="163" w:name="_Toc184312126"/>
      <w:bookmarkEnd w:id="163"/>
      <w:bookmarkStart w:id="164" w:name="_Toc184310325"/>
      <w:bookmarkEnd w:id="164"/>
      <w:bookmarkStart w:id="165" w:name="_Toc184312117"/>
      <w:bookmarkEnd w:id="165"/>
      <w:bookmarkStart w:id="166" w:name="_Toc184310310"/>
      <w:bookmarkEnd w:id="166"/>
      <w:bookmarkStart w:id="167" w:name="_Toc184312069"/>
      <w:bookmarkEnd w:id="167"/>
      <w:bookmarkStart w:id="168" w:name="_Toc184314423"/>
      <w:bookmarkEnd w:id="168"/>
      <w:bookmarkStart w:id="169" w:name="_Toc184308093"/>
      <w:bookmarkEnd w:id="169"/>
      <w:bookmarkStart w:id="170" w:name="_Toc184314448"/>
      <w:bookmarkEnd w:id="170"/>
      <w:bookmarkStart w:id="171" w:name="_Toc184308037"/>
      <w:bookmarkEnd w:id="171"/>
      <w:bookmarkStart w:id="172" w:name="_Toc184314466"/>
      <w:bookmarkEnd w:id="172"/>
      <w:bookmarkStart w:id="173" w:name="_Toc184308052"/>
      <w:bookmarkEnd w:id="173"/>
      <w:bookmarkStart w:id="174" w:name="_Toc184310334"/>
      <w:bookmarkEnd w:id="174"/>
      <w:bookmarkStart w:id="175" w:name="_Toc184310283"/>
      <w:bookmarkEnd w:id="175"/>
      <w:bookmarkStart w:id="176" w:name="_Toc184310332"/>
      <w:bookmarkEnd w:id="176"/>
      <w:bookmarkStart w:id="177" w:name="_Toc184313243"/>
      <w:bookmarkEnd w:id="177"/>
      <w:bookmarkStart w:id="178" w:name="_Toc184308038"/>
      <w:bookmarkEnd w:id="178"/>
      <w:bookmarkStart w:id="179" w:name="_Toc184313248"/>
      <w:bookmarkEnd w:id="179"/>
      <w:bookmarkStart w:id="180" w:name="_Toc184310317"/>
      <w:bookmarkEnd w:id="180"/>
      <w:bookmarkStart w:id="181" w:name="_Toc184310340"/>
      <w:bookmarkEnd w:id="181"/>
      <w:bookmarkStart w:id="182" w:name="_Toc184312084"/>
      <w:bookmarkEnd w:id="182"/>
      <w:bookmarkStart w:id="183" w:name="_Toc184314439"/>
      <w:bookmarkEnd w:id="183"/>
      <w:bookmarkStart w:id="184" w:name="_Toc184313255"/>
      <w:bookmarkEnd w:id="184"/>
      <w:bookmarkStart w:id="185" w:name="_Toc184312072"/>
      <w:bookmarkEnd w:id="185"/>
      <w:bookmarkStart w:id="186" w:name="_Toc184313241"/>
      <w:bookmarkEnd w:id="186"/>
      <w:bookmarkStart w:id="187" w:name="_Toc184313293"/>
      <w:bookmarkEnd w:id="187"/>
      <w:bookmarkStart w:id="188" w:name="_Toc184314440"/>
      <w:bookmarkEnd w:id="188"/>
      <w:bookmarkStart w:id="189" w:name="_Toc184308095"/>
      <w:bookmarkEnd w:id="189"/>
      <w:bookmarkStart w:id="190" w:name="_Toc184310300"/>
      <w:bookmarkEnd w:id="190"/>
      <w:bookmarkStart w:id="191" w:name="_Toc184308094"/>
      <w:bookmarkEnd w:id="191"/>
      <w:bookmarkStart w:id="192" w:name="_Toc184312087"/>
      <w:bookmarkEnd w:id="192"/>
      <w:bookmarkStart w:id="193" w:name="_Toc184308099"/>
      <w:bookmarkEnd w:id="193"/>
      <w:bookmarkStart w:id="194" w:name="_Toc184310341"/>
      <w:bookmarkEnd w:id="194"/>
      <w:bookmarkStart w:id="195" w:name="_Toc184313267"/>
      <w:bookmarkEnd w:id="195"/>
      <w:bookmarkStart w:id="196" w:name="_Toc184314430"/>
      <w:bookmarkEnd w:id="196"/>
      <w:bookmarkStart w:id="197" w:name="_Toc184310285"/>
      <w:bookmarkEnd w:id="197"/>
      <w:bookmarkStart w:id="198" w:name="_Toc184313264"/>
      <w:bookmarkEnd w:id="198"/>
      <w:bookmarkStart w:id="199" w:name="_Toc184312133"/>
      <w:bookmarkEnd w:id="199"/>
      <w:bookmarkStart w:id="200" w:name="_Toc184312089"/>
      <w:bookmarkEnd w:id="200"/>
      <w:bookmarkStart w:id="201" w:name="_Toc184313307"/>
      <w:bookmarkEnd w:id="201"/>
      <w:bookmarkStart w:id="202" w:name="_Toc184312107"/>
      <w:bookmarkEnd w:id="202"/>
      <w:bookmarkStart w:id="203" w:name="_Toc184314475"/>
      <w:bookmarkEnd w:id="203"/>
      <w:bookmarkStart w:id="204" w:name="_Toc184314438"/>
      <w:bookmarkEnd w:id="204"/>
      <w:bookmarkStart w:id="205" w:name="_Toc184308053"/>
      <w:bookmarkEnd w:id="205"/>
      <w:bookmarkStart w:id="206" w:name="_Toc184314464"/>
      <w:bookmarkEnd w:id="206"/>
      <w:bookmarkStart w:id="207" w:name="_Toc184310295"/>
      <w:bookmarkEnd w:id="207"/>
      <w:bookmarkStart w:id="208" w:name="_Toc184308106"/>
      <w:bookmarkEnd w:id="208"/>
      <w:bookmarkStart w:id="209" w:name="_Toc184314425"/>
      <w:bookmarkEnd w:id="209"/>
      <w:bookmarkStart w:id="210" w:name="_Toc184310276"/>
      <w:bookmarkEnd w:id="210"/>
      <w:bookmarkStart w:id="211" w:name="_Toc184308096"/>
      <w:bookmarkEnd w:id="211"/>
      <w:bookmarkStart w:id="212" w:name="_Toc184310314"/>
      <w:bookmarkEnd w:id="212"/>
      <w:bookmarkStart w:id="213" w:name="_Toc184312128"/>
      <w:bookmarkEnd w:id="213"/>
      <w:bookmarkStart w:id="214" w:name="_Toc184314467"/>
      <w:bookmarkEnd w:id="214"/>
      <w:bookmarkStart w:id="215" w:name="_Toc184314476"/>
      <w:bookmarkEnd w:id="215"/>
      <w:bookmarkStart w:id="216" w:name="_Toc184313289"/>
      <w:bookmarkEnd w:id="216"/>
      <w:bookmarkStart w:id="217" w:name="_Toc184310303"/>
      <w:bookmarkEnd w:id="217"/>
      <w:bookmarkStart w:id="218" w:name="_Toc184312073"/>
      <w:bookmarkEnd w:id="218"/>
      <w:bookmarkStart w:id="219" w:name="_Toc184310282"/>
      <w:bookmarkEnd w:id="219"/>
      <w:bookmarkStart w:id="220" w:name="_Toc184308092"/>
      <w:bookmarkEnd w:id="220"/>
      <w:bookmarkStart w:id="221" w:name="_Toc184312096"/>
      <w:bookmarkEnd w:id="221"/>
      <w:bookmarkStart w:id="222" w:name="_Toc184314426"/>
      <w:bookmarkEnd w:id="222"/>
      <w:bookmarkStart w:id="223" w:name="_Toc184312094"/>
      <w:bookmarkEnd w:id="223"/>
      <w:bookmarkStart w:id="224" w:name="_Toc184313239"/>
      <w:bookmarkEnd w:id="224"/>
      <w:bookmarkStart w:id="225" w:name="_Toc184310322"/>
      <w:bookmarkEnd w:id="225"/>
      <w:bookmarkStart w:id="226" w:name="_Toc184308065"/>
      <w:bookmarkEnd w:id="226"/>
      <w:bookmarkStart w:id="227" w:name="_Toc184308040"/>
      <w:bookmarkEnd w:id="227"/>
      <w:bookmarkStart w:id="228" w:name="_Toc184314428"/>
      <w:bookmarkEnd w:id="228"/>
      <w:bookmarkStart w:id="229" w:name="_Toc184312112"/>
      <w:bookmarkEnd w:id="229"/>
      <w:bookmarkStart w:id="230" w:name="_Toc184312090"/>
      <w:bookmarkEnd w:id="230"/>
      <w:bookmarkStart w:id="231" w:name="_Toc184310335"/>
      <w:bookmarkEnd w:id="231"/>
      <w:bookmarkStart w:id="232" w:name="_Toc184314435"/>
      <w:bookmarkEnd w:id="232"/>
      <w:bookmarkStart w:id="233" w:name="_Toc184312138"/>
      <w:bookmarkEnd w:id="233"/>
      <w:bookmarkStart w:id="234" w:name="_Toc184313284"/>
      <w:bookmarkEnd w:id="234"/>
      <w:bookmarkStart w:id="235" w:name="_Toc184313254"/>
      <w:bookmarkEnd w:id="235"/>
      <w:bookmarkStart w:id="236" w:name="_Toc184313274"/>
      <w:bookmarkEnd w:id="236"/>
      <w:bookmarkStart w:id="237" w:name="_Toc184308087"/>
      <w:bookmarkEnd w:id="237"/>
      <w:bookmarkStart w:id="238" w:name="_Toc184308054"/>
      <w:bookmarkEnd w:id="238"/>
      <w:bookmarkStart w:id="239" w:name="_Toc184314415"/>
      <w:bookmarkEnd w:id="239"/>
      <w:bookmarkStart w:id="240" w:name="_Toc184308072"/>
      <w:bookmarkEnd w:id="240"/>
      <w:bookmarkStart w:id="241" w:name="_Toc184313308"/>
      <w:bookmarkEnd w:id="241"/>
      <w:bookmarkStart w:id="242" w:name="_Toc184310305"/>
      <w:bookmarkEnd w:id="242"/>
      <w:bookmarkStart w:id="243" w:name="_Toc184312122"/>
      <w:bookmarkEnd w:id="243"/>
      <w:bookmarkStart w:id="244" w:name="_Toc184308076"/>
      <w:bookmarkEnd w:id="244"/>
      <w:bookmarkStart w:id="245" w:name="_Toc184314479"/>
      <w:bookmarkEnd w:id="245"/>
      <w:bookmarkStart w:id="246" w:name="_Toc184312092"/>
      <w:bookmarkEnd w:id="246"/>
      <w:bookmarkStart w:id="247" w:name="_Toc184313265"/>
      <w:bookmarkEnd w:id="247"/>
      <w:bookmarkStart w:id="248" w:name="_Toc184313244"/>
      <w:bookmarkEnd w:id="248"/>
      <w:bookmarkStart w:id="249" w:name="_Toc184314455"/>
      <w:bookmarkEnd w:id="249"/>
      <w:bookmarkStart w:id="250" w:name="_Toc184314449"/>
      <w:bookmarkEnd w:id="250"/>
      <w:bookmarkStart w:id="251" w:name="_Toc184314473"/>
      <w:bookmarkEnd w:id="251"/>
      <w:bookmarkStart w:id="252" w:name="_Toc184314451"/>
      <w:bookmarkEnd w:id="252"/>
      <w:bookmarkStart w:id="253" w:name="_Toc184312111"/>
      <w:bookmarkEnd w:id="253"/>
      <w:bookmarkStart w:id="254" w:name="_Toc184314454"/>
      <w:bookmarkEnd w:id="254"/>
      <w:bookmarkStart w:id="255" w:name="_Toc184312109"/>
      <w:bookmarkEnd w:id="255"/>
      <w:bookmarkStart w:id="256" w:name="_Toc184308044"/>
      <w:bookmarkEnd w:id="256"/>
      <w:bookmarkStart w:id="257" w:name="_Toc184312080"/>
      <w:bookmarkEnd w:id="257"/>
      <w:bookmarkStart w:id="258" w:name="_Toc184310281"/>
      <w:bookmarkEnd w:id="258"/>
      <w:bookmarkStart w:id="259" w:name="_Toc184314431"/>
      <w:bookmarkEnd w:id="259"/>
      <w:bookmarkStart w:id="260" w:name="_Toc184312068"/>
      <w:bookmarkEnd w:id="260"/>
      <w:bookmarkStart w:id="261" w:name="_Toc184308078"/>
      <w:bookmarkEnd w:id="261"/>
      <w:bookmarkStart w:id="262" w:name="_Toc184310302"/>
      <w:bookmarkEnd w:id="262"/>
      <w:bookmarkStart w:id="263" w:name="_Toc184310306"/>
      <w:bookmarkEnd w:id="263"/>
      <w:bookmarkStart w:id="264" w:name="_Toc184308074"/>
      <w:bookmarkEnd w:id="264"/>
      <w:bookmarkStart w:id="265" w:name="_Toc184313310"/>
      <w:bookmarkEnd w:id="265"/>
      <w:bookmarkStart w:id="266" w:name="_Toc184313297"/>
      <w:bookmarkEnd w:id="266"/>
      <w:bookmarkStart w:id="267" w:name="_Toc184308059"/>
      <w:bookmarkEnd w:id="267"/>
      <w:bookmarkStart w:id="268" w:name="_Toc184310338"/>
      <w:bookmarkEnd w:id="268"/>
      <w:bookmarkStart w:id="269" w:name="_Toc184308057"/>
      <w:bookmarkEnd w:id="269"/>
      <w:bookmarkStart w:id="270" w:name="_Toc184313261"/>
      <w:bookmarkEnd w:id="270"/>
      <w:bookmarkStart w:id="271" w:name="_Toc184308043"/>
      <w:bookmarkEnd w:id="271"/>
      <w:bookmarkStart w:id="272" w:name="_Toc184308055"/>
      <w:bookmarkEnd w:id="272"/>
      <w:bookmarkStart w:id="273" w:name="_Toc184313240"/>
      <w:bookmarkEnd w:id="273"/>
      <w:bookmarkStart w:id="274" w:name="_Toc184314418"/>
      <w:bookmarkEnd w:id="274"/>
      <w:bookmarkStart w:id="275" w:name="_Toc184314471"/>
      <w:bookmarkEnd w:id="275"/>
      <w:bookmarkStart w:id="276" w:name="_Toc184314445"/>
      <w:bookmarkEnd w:id="276"/>
      <w:bookmarkStart w:id="277" w:name="_Toc184313295"/>
      <w:bookmarkEnd w:id="277"/>
      <w:bookmarkStart w:id="278" w:name="_Toc184310343"/>
      <w:bookmarkEnd w:id="278"/>
      <w:bookmarkStart w:id="279" w:name="_Toc184313281"/>
      <w:bookmarkEnd w:id="279"/>
      <w:bookmarkStart w:id="280" w:name="_Toc184308045"/>
      <w:bookmarkEnd w:id="280"/>
      <w:bookmarkStart w:id="281" w:name="_Toc184308047"/>
      <w:bookmarkEnd w:id="281"/>
      <w:bookmarkStart w:id="282" w:name="_Toc184308098"/>
      <w:bookmarkEnd w:id="282"/>
      <w:bookmarkStart w:id="283" w:name="_Toc184308103"/>
      <w:bookmarkEnd w:id="283"/>
      <w:bookmarkStart w:id="284" w:name="_Toc184314416"/>
      <w:bookmarkEnd w:id="284"/>
      <w:bookmarkStart w:id="285" w:name="_Toc184313278"/>
      <w:bookmarkEnd w:id="285"/>
      <w:bookmarkStart w:id="286" w:name="_Toc184314472"/>
      <w:bookmarkEnd w:id="286"/>
      <w:bookmarkStart w:id="287" w:name="_Toc184312130"/>
      <w:bookmarkEnd w:id="287"/>
      <w:bookmarkStart w:id="288" w:name="_Toc184313283"/>
      <w:bookmarkEnd w:id="288"/>
      <w:bookmarkStart w:id="289" w:name="_Toc184314459"/>
      <w:bookmarkEnd w:id="289"/>
      <w:bookmarkStart w:id="290" w:name="_Toc184313302"/>
      <w:bookmarkEnd w:id="290"/>
      <w:bookmarkStart w:id="291" w:name="_Toc184314474"/>
      <w:bookmarkEnd w:id="291"/>
      <w:bookmarkStart w:id="292" w:name="_Toc184313304"/>
      <w:bookmarkEnd w:id="292"/>
      <w:bookmarkStart w:id="293" w:name="_Toc184314457"/>
      <w:bookmarkEnd w:id="293"/>
      <w:bookmarkStart w:id="294" w:name="_Toc184310327"/>
      <w:bookmarkEnd w:id="294"/>
      <w:bookmarkStart w:id="295" w:name="_Toc184312076"/>
      <w:bookmarkEnd w:id="295"/>
      <w:bookmarkStart w:id="296" w:name="_Toc184308042"/>
      <w:bookmarkEnd w:id="296"/>
      <w:bookmarkStart w:id="297" w:name="_Toc184310316"/>
      <w:bookmarkEnd w:id="297"/>
      <w:bookmarkStart w:id="298" w:name="_Toc184310337"/>
      <w:bookmarkEnd w:id="298"/>
      <w:bookmarkStart w:id="299" w:name="_Toc184308079"/>
      <w:bookmarkEnd w:id="299"/>
      <w:bookmarkStart w:id="300" w:name="_Toc184308048"/>
      <w:bookmarkEnd w:id="300"/>
      <w:bookmarkStart w:id="301" w:name="_Toc184312093"/>
      <w:bookmarkEnd w:id="301"/>
      <w:bookmarkStart w:id="302" w:name="_Toc184308068"/>
      <w:bookmarkEnd w:id="302"/>
      <w:bookmarkStart w:id="303" w:name="_Toc184308083"/>
      <w:bookmarkEnd w:id="303"/>
      <w:bookmarkStart w:id="304" w:name="_Toc184314442"/>
      <w:bookmarkEnd w:id="304"/>
      <w:bookmarkStart w:id="305" w:name="_Toc184310318"/>
      <w:bookmarkEnd w:id="305"/>
      <w:bookmarkStart w:id="306" w:name="_Toc184313257"/>
      <w:bookmarkEnd w:id="306"/>
      <w:bookmarkStart w:id="307" w:name="_Toc184308102"/>
      <w:bookmarkEnd w:id="307"/>
      <w:bookmarkStart w:id="308" w:name="_Toc184314420"/>
      <w:bookmarkEnd w:id="308"/>
      <w:bookmarkStart w:id="309" w:name="_Toc184312134"/>
      <w:bookmarkEnd w:id="309"/>
      <w:bookmarkStart w:id="310" w:name="_Toc184313252"/>
      <w:bookmarkEnd w:id="310"/>
      <w:bookmarkStart w:id="311" w:name="_Toc184314421"/>
      <w:bookmarkEnd w:id="311"/>
      <w:bookmarkStart w:id="312" w:name="_Toc184314462"/>
      <w:bookmarkEnd w:id="312"/>
      <w:bookmarkStart w:id="313" w:name="_Toc184310342"/>
      <w:bookmarkEnd w:id="313"/>
      <w:bookmarkStart w:id="314" w:name="_Toc184310324"/>
      <w:bookmarkEnd w:id="314"/>
      <w:bookmarkStart w:id="315" w:name="_Toc184314434"/>
      <w:bookmarkEnd w:id="315"/>
      <w:bookmarkStart w:id="316" w:name="_Toc184310275"/>
      <w:bookmarkEnd w:id="316"/>
      <w:bookmarkStart w:id="317" w:name="_Toc184310280"/>
      <w:bookmarkEnd w:id="317"/>
      <w:bookmarkStart w:id="318" w:name="_Toc184313298"/>
      <w:bookmarkEnd w:id="318"/>
      <w:bookmarkStart w:id="319" w:name="_Toc184308041"/>
      <w:bookmarkEnd w:id="319"/>
      <w:bookmarkStart w:id="320" w:name="_Toc184312123"/>
      <w:bookmarkEnd w:id="320"/>
      <w:bookmarkStart w:id="321" w:name="_Toc184310312"/>
      <w:bookmarkEnd w:id="321"/>
      <w:bookmarkStart w:id="322" w:name="_Toc184312105"/>
      <w:bookmarkEnd w:id="322"/>
      <w:bookmarkStart w:id="323" w:name="_Toc184314470"/>
      <w:bookmarkEnd w:id="323"/>
      <w:bookmarkStart w:id="324" w:name="_Toc184314452"/>
      <w:bookmarkEnd w:id="324"/>
      <w:bookmarkStart w:id="325" w:name="_Toc184310292"/>
      <w:bookmarkEnd w:id="325"/>
      <w:bookmarkStart w:id="326" w:name="_Toc184312083"/>
      <w:bookmarkEnd w:id="326"/>
      <w:bookmarkStart w:id="327" w:name="_Toc184310279"/>
      <w:bookmarkEnd w:id="327"/>
      <w:bookmarkStart w:id="328" w:name="_Toc184310326"/>
      <w:bookmarkEnd w:id="328"/>
      <w:bookmarkStart w:id="329" w:name="_Toc184310277"/>
      <w:bookmarkEnd w:id="329"/>
      <w:bookmarkStart w:id="330" w:name="_Toc184310294"/>
      <w:bookmarkEnd w:id="330"/>
      <w:bookmarkStart w:id="331" w:name="_Toc184312137"/>
      <w:bookmarkEnd w:id="331"/>
      <w:bookmarkStart w:id="332" w:name="_Toc184314477"/>
      <w:bookmarkEnd w:id="332"/>
      <w:bookmarkStart w:id="333" w:name="_Toc184312115"/>
      <w:bookmarkEnd w:id="333"/>
      <w:bookmarkStart w:id="334" w:name="_Toc184310287"/>
      <w:bookmarkEnd w:id="334"/>
      <w:bookmarkStart w:id="335" w:name="_Toc184313292"/>
      <w:bookmarkEnd w:id="335"/>
      <w:bookmarkStart w:id="336" w:name="_Toc184310311"/>
      <w:bookmarkEnd w:id="336"/>
      <w:bookmarkStart w:id="337" w:name="_Toc184314413"/>
      <w:bookmarkEnd w:id="337"/>
      <w:bookmarkStart w:id="338" w:name="_Toc184314468"/>
      <w:bookmarkEnd w:id="338"/>
      <w:bookmarkStart w:id="339" w:name="_Toc184312139"/>
      <w:bookmarkEnd w:id="339"/>
      <w:bookmarkStart w:id="340" w:name="_Toc184308071"/>
      <w:bookmarkEnd w:id="340"/>
      <w:bookmarkStart w:id="341" w:name="_Toc184313263"/>
      <w:bookmarkEnd w:id="341"/>
      <w:bookmarkStart w:id="342" w:name="_Toc184310301"/>
      <w:bookmarkEnd w:id="342"/>
      <w:bookmarkStart w:id="343" w:name="_Toc184312113"/>
      <w:bookmarkEnd w:id="343"/>
      <w:bookmarkStart w:id="344" w:name="_Toc184310288"/>
      <w:bookmarkEnd w:id="344"/>
      <w:bookmarkStart w:id="345" w:name="_Toc184312119"/>
      <w:bookmarkEnd w:id="345"/>
      <w:bookmarkStart w:id="346" w:name="_Toc184310339"/>
      <w:bookmarkEnd w:id="346"/>
      <w:bookmarkStart w:id="347" w:name="_Toc184308049"/>
      <w:bookmarkEnd w:id="347"/>
      <w:bookmarkStart w:id="348" w:name="_Toc184312081"/>
      <w:bookmarkEnd w:id="348"/>
      <w:bookmarkStart w:id="349" w:name="_Toc184312100"/>
      <w:bookmarkEnd w:id="349"/>
      <w:bookmarkStart w:id="350" w:name="_Toc184308073"/>
      <w:bookmarkEnd w:id="350"/>
      <w:bookmarkStart w:id="351" w:name="_Toc184312108"/>
      <w:bookmarkEnd w:id="351"/>
      <w:bookmarkStart w:id="352" w:name="_Toc184314422"/>
      <w:bookmarkEnd w:id="352"/>
      <w:bookmarkStart w:id="353" w:name="_Toc184310309"/>
      <w:bookmarkEnd w:id="353"/>
      <w:bookmarkStart w:id="354" w:name="_Toc184310329"/>
      <w:bookmarkEnd w:id="354"/>
      <w:bookmarkStart w:id="355" w:name="_Toc184314414"/>
      <w:bookmarkEnd w:id="355"/>
      <w:bookmarkStart w:id="356" w:name="_Toc184312095"/>
      <w:bookmarkEnd w:id="356"/>
      <w:bookmarkStart w:id="357" w:name="_Toc184308070"/>
      <w:bookmarkEnd w:id="357"/>
      <w:bookmarkStart w:id="358" w:name="_Toc184313249"/>
      <w:bookmarkEnd w:id="358"/>
      <w:bookmarkStart w:id="359" w:name="_Toc184312086"/>
      <w:bookmarkEnd w:id="359"/>
      <w:bookmarkStart w:id="360" w:name="_Toc184310331"/>
      <w:bookmarkEnd w:id="360"/>
      <w:bookmarkStart w:id="361" w:name="_Toc184310291"/>
      <w:bookmarkEnd w:id="361"/>
      <w:bookmarkStart w:id="362" w:name="_Toc184314460"/>
      <w:bookmarkEnd w:id="362"/>
      <w:bookmarkStart w:id="363" w:name="_Toc184313250"/>
      <w:bookmarkEnd w:id="363"/>
      <w:bookmarkStart w:id="364" w:name="_Toc184310304"/>
      <w:bookmarkEnd w:id="364"/>
      <w:bookmarkStart w:id="365" w:name="_Toc184308100"/>
      <w:bookmarkEnd w:id="365"/>
      <w:bookmarkStart w:id="366" w:name="_Toc184314469"/>
      <w:bookmarkEnd w:id="366"/>
      <w:bookmarkStart w:id="367" w:name="_Toc184312135"/>
      <w:bookmarkEnd w:id="367"/>
      <w:bookmarkStart w:id="368" w:name="_Toc184314456"/>
      <w:bookmarkEnd w:id="368"/>
      <w:bookmarkStart w:id="369" w:name="_Toc184308069"/>
      <w:bookmarkEnd w:id="369"/>
      <w:bookmarkStart w:id="370" w:name="_Toc184308066"/>
      <w:bookmarkEnd w:id="370"/>
      <w:bookmarkStart w:id="371" w:name="_Toc184314447"/>
      <w:bookmarkEnd w:id="371"/>
      <w:bookmarkStart w:id="372" w:name="_Toc184313238"/>
      <w:bookmarkEnd w:id="372"/>
      <w:bookmarkStart w:id="373" w:name="_Toc184312102"/>
      <w:bookmarkEnd w:id="373"/>
      <w:bookmarkStart w:id="374" w:name="_Toc184308080"/>
      <w:bookmarkEnd w:id="374"/>
      <w:bookmarkStart w:id="375" w:name="_Toc184313258"/>
      <w:bookmarkEnd w:id="375"/>
      <w:bookmarkStart w:id="376" w:name="_Toc184312116"/>
      <w:bookmarkEnd w:id="376"/>
      <w:bookmarkStart w:id="377" w:name="_Toc184310320"/>
      <w:bookmarkEnd w:id="377"/>
      <w:bookmarkStart w:id="378" w:name="_Toc184313282"/>
      <w:bookmarkEnd w:id="378"/>
      <w:bookmarkStart w:id="379" w:name="_Toc184313288"/>
      <w:bookmarkEnd w:id="379"/>
      <w:bookmarkStart w:id="380" w:name="_Toc184314437"/>
      <w:bookmarkEnd w:id="380"/>
      <w:bookmarkStart w:id="381" w:name="_Toc184308104"/>
      <w:bookmarkEnd w:id="381"/>
      <w:bookmarkStart w:id="382" w:name="_Toc184308064"/>
      <w:bookmarkEnd w:id="382"/>
      <w:bookmarkStart w:id="383" w:name="_Toc184308088"/>
      <w:bookmarkEnd w:id="383"/>
      <w:bookmarkStart w:id="384" w:name="_Toc184314443"/>
      <w:bookmarkEnd w:id="384"/>
      <w:bookmarkStart w:id="385" w:name="_Toc184310272"/>
      <w:bookmarkEnd w:id="385"/>
      <w:bookmarkStart w:id="386" w:name="_Toc184312088"/>
      <w:bookmarkEnd w:id="386"/>
      <w:bookmarkStart w:id="387" w:name="_Toc184313270"/>
      <w:bookmarkEnd w:id="387"/>
      <w:bookmarkStart w:id="388" w:name="_Toc184312098"/>
      <w:bookmarkEnd w:id="388"/>
      <w:bookmarkStart w:id="389" w:name="_Toc184314433"/>
      <w:bookmarkEnd w:id="389"/>
      <w:bookmarkStart w:id="390" w:name="_Toc184308081"/>
      <w:bookmarkEnd w:id="390"/>
      <w:bookmarkStart w:id="391" w:name="_Toc184308090"/>
      <w:bookmarkEnd w:id="391"/>
      <w:bookmarkStart w:id="392" w:name="_Toc184314482"/>
      <w:bookmarkEnd w:id="392"/>
      <w:bookmarkStart w:id="393" w:name="_Toc184313246"/>
      <w:bookmarkEnd w:id="393"/>
      <w:bookmarkStart w:id="394" w:name="_Toc184312120"/>
      <w:bookmarkEnd w:id="394"/>
      <w:bookmarkStart w:id="395" w:name="_Toc184312099"/>
      <w:bookmarkEnd w:id="395"/>
      <w:bookmarkStart w:id="396" w:name="_Toc184314424"/>
      <w:bookmarkEnd w:id="396"/>
      <w:bookmarkStart w:id="397" w:name="_Toc184308105"/>
      <w:bookmarkEnd w:id="397"/>
      <w:r>
        <w:rPr>
          <w:rFonts w:hint="eastAsia" w:ascii="宋体" w:hAnsi="宋体" w:cs="宋体"/>
          <w:b/>
          <w:color w:val="auto"/>
          <w:sz w:val="36"/>
          <w:szCs w:val="20"/>
          <w:highlight w:val="none"/>
        </w:rPr>
        <w:t xml:space="preserve"> 评审办法</w:t>
      </w:r>
    </w:p>
    <w:p w14:paraId="15B57B6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002B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7D52811">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7" w:type="dxa"/>
            <w:vAlign w:val="center"/>
          </w:tcPr>
          <w:p w14:paraId="2E959F08">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vAlign w:val="center"/>
          </w:tcPr>
          <w:p w14:paraId="1429EFA3">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3" w:type="dxa"/>
          </w:tcPr>
          <w:p w14:paraId="56C4ADBF">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7CD1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47314FD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p>
        </w:tc>
        <w:tc>
          <w:tcPr>
            <w:tcW w:w="5897" w:type="dxa"/>
            <w:shd w:val="clear" w:color="auto" w:fill="auto"/>
            <w:vAlign w:val="top"/>
          </w:tcPr>
          <w:p w14:paraId="5D456E8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供应商同类项目业绩：磋商供应商自20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年1月1日以来完成过类似</w:t>
            </w:r>
            <w:r>
              <w:rPr>
                <w:rFonts w:hint="eastAsia" w:ascii="宋体" w:hAnsi="宋体" w:eastAsia="宋体" w:cs="宋体"/>
                <w:color w:val="auto"/>
                <w:sz w:val="24"/>
                <w:highlight w:val="none"/>
                <w:lang w:val="en-US" w:eastAsia="zh-CN"/>
              </w:rPr>
              <w:t>装修改造</w:t>
            </w:r>
            <w:r>
              <w:rPr>
                <w:rFonts w:hint="eastAsia" w:ascii="宋体" w:hAnsi="宋体" w:eastAsia="宋体" w:cs="宋体"/>
                <w:color w:val="auto"/>
                <w:sz w:val="24"/>
                <w:highlight w:val="none"/>
              </w:rPr>
              <w:t>项目业绩的，每个得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11A8C1E2">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业绩证明材料：须</w:t>
            </w:r>
            <w:r>
              <w:rPr>
                <w:rFonts w:hint="eastAsia" w:ascii="宋体" w:hAnsi="宋体" w:eastAsia="宋体" w:cs="宋体"/>
                <w:color w:val="auto"/>
                <w:sz w:val="24"/>
                <w:highlight w:val="none"/>
                <w:lang w:val="en-US" w:eastAsia="zh-CN"/>
              </w:rPr>
              <w:t>同时</w:t>
            </w:r>
            <w:r>
              <w:rPr>
                <w:rFonts w:hint="eastAsia" w:ascii="宋体" w:hAnsi="宋体" w:eastAsia="宋体" w:cs="宋体"/>
                <w:color w:val="auto"/>
                <w:sz w:val="24"/>
                <w:highlight w:val="none"/>
              </w:rPr>
              <w:t>提供中标通知书</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施工合同</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竣工验收证明；要求证明材料能反映评审要素，提供的证明材料不完整或不能反映评审要素的将不予认可。</w:t>
            </w:r>
          </w:p>
        </w:tc>
        <w:tc>
          <w:tcPr>
            <w:tcW w:w="793" w:type="dxa"/>
            <w:shd w:val="clear" w:color="auto" w:fill="auto"/>
            <w:vAlign w:val="center"/>
          </w:tcPr>
          <w:p w14:paraId="7C794C2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2133" w:type="dxa"/>
            <w:shd w:val="clear" w:color="auto" w:fill="auto"/>
            <w:vAlign w:val="center"/>
          </w:tcPr>
          <w:p w14:paraId="3F81EF32">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2677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0B03E5C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w:t>
            </w:r>
          </w:p>
        </w:tc>
        <w:tc>
          <w:tcPr>
            <w:tcW w:w="5897" w:type="dxa"/>
            <w:shd w:val="clear" w:color="auto" w:fill="auto"/>
            <w:vAlign w:val="top"/>
          </w:tcPr>
          <w:p w14:paraId="073EA078">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体系认证:供应商具有质量管理体系认证证书、环境认证体系认证证书和职业健康管理体系认证证书。每个得1分，最高3分。</w:t>
            </w:r>
          </w:p>
          <w:p w14:paraId="5F170067">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证明材料:提供证书复印件并提供国家市场监督管理总局全国认证认可信息公共服务平台(http://cx.cnca.cn/CertECloud/index/index/page)查询截图，否则不得分。</w:t>
            </w:r>
          </w:p>
        </w:tc>
        <w:tc>
          <w:tcPr>
            <w:tcW w:w="793" w:type="dxa"/>
            <w:shd w:val="clear" w:color="auto" w:fill="auto"/>
            <w:vAlign w:val="center"/>
          </w:tcPr>
          <w:p w14:paraId="1B2AD2B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2133" w:type="dxa"/>
            <w:shd w:val="clear" w:color="auto" w:fill="auto"/>
            <w:vAlign w:val="center"/>
          </w:tcPr>
          <w:p w14:paraId="7C8003B9">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349F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5CD8A43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3</w:t>
            </w:r>
          </w:p>
        </w:tc>
        <w:tc>
          <w:tcPr>
            <w:tcW w:w="5897" w:type="dxa"/>
            <w:shd w:val="clear" w:color="auto" w:fill="auto"/>
            <w:vAlign w:val="top"/>
          </w:tcPr>
          <w:p w14:paraId="3F1071E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拟派项目负责人具有工程师技术职称证书的，得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分，没有不得分。</w:t>
            </w:r>
          </w:p>
          <w:p w14:paraId="48602607">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证明材料：提供职称证书扫描件及近三个月来任意时间的社保证明</w:t>
            </w:r>
            <w:r>
              <w:rPr>
                <w:rFonts w:hint="eastAsia" w:ascii="宋体" w:hAnsi="宋体" w:eastAsia="宋体" w:cs="宋体"/>
                <w:color w:val="auto"/>
                <w:sz w:val="24"/>
                <w:highlight w:val="none"/>
                <w:lang w:val="en-US" w:eastAsia="zh-CN"/>
              </w:rPr>
              <w:t>材料</w:t>
            </w:r>
            <w:r>
              <w:rPr>
                <w:rFonts w:hint="eastAsia" w:ascii="宋体" w:hAnsi="宋体" w:eastAsia="宋体" w:cs="宋体"/>
                <w:color w:val="auto"/>
                <w:sz w:val="24"/>
                <w:highlight w:val="none"/>
              </w:rPr>
              <w:t>。</w:t>
            </w:r>
          </w:p>
        </w:tc>
        <w:tc>
          <w:tcPr>
            <w:tcW w:w="793" w:type="dxa"/>
            <w:shd w:val="clear" w:color="auto" w:fill="auto"/>
            <w:vAlign w:val="center"/>
          </w:tcPr>
          <w:p w14:paraId="6EF294E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133" w:type="dxa"/>
            <w:shd w:val="clear" w:color="auto" w:fill="auto"/>
            <w:vAlign w:val="center"/>
          </w:tcPr>
          <w:p w14:paraId="433F0251">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37DA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11BF7DC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w:t>
            </w:r>
          </w:p>
        </w:tc>
        <w:tc>
          <w:tcPr>
            <w:tcW w:w="5897" w:type="dxa"/>
            <w:shd w:val="clear" w:color="auto" w:fill="auto"/>
            <w:vAlign w:val="top"/>
          </w:tcPr>
          <w:p w14:paraId="54D88A9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拟派技术负责人具有</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rPr>
              <w:t>级工程师技术职称的得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分，具有工程师技术职称证书的，得1分，没有不得分。</w:t>
            </w:r>
          </w:p>
          <w:p w14:paraId="5AAD8C77">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证明材料：提供职称证书扫描件及近三个月来任意时间的社保证明材料。</w:t>
            </w:r>
          </w:p>
        </w:tc>
        <w:tc>
          <w:tcPr>
            <w:tcW w:w="793" w:type="dxa"/>
            <w:shd w:val="clear" w:color="auto" w:fill="auto"/>
            <w:vAlign w:val="center"/>
          </w:tcPr>
          <w:p w14:paraId="5FA1E98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133" w:type="dxa"/>
            <w:shd w:val="clear" w:color="auto" w:fill="auto"/>
            <w:vAlign w:val="center"/>
          </w:tcPr>
          <w:p w14:paraId="66134983">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76D0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6ABA8A9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5897" w:type="dxa"/>
            <w:shd w:val="clear" w:color="auto" w:fill="auto"/>
            <w:vAlign w:val="top"/>
          </w:tcPr>
          <w:p w14:paraId="0CAB5E7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拟派项目</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rPr>
              <w:t>业绩:拟派项目经理自2021年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月1日以来(以合同签订时间为准)以项目经理身份参与的类似项业绩，每个业绩得</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分，本项最高得1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1EB06A20">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(证明材料:需同时提供中标通知书</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合同和竣工验收报告，上述证明材料如无法体现项目经理名字的提供业主证明材料。)</w:t>
            </w:r>
          </w:p>
        </w:tc>
        <w:tc>
          <w:tcPr>
            <w:tcW w:w="793" w:type="dxa"/>
            <w:shd w:val="clear" w:color="auto" w:fill="auto"/>
            <w:vAlign w:val="center"/>
          </w:tcPr>
          <w:p w14:paraId="3606E96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2133" w:type="dxa"/>
            <w:shd w:val="clear" w:color="auto" w:fill="auto"/>
            <w:vAlign w:val="center"/>
          </w:tcPr>
          <w:p w14:paraId="7C388E99">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6B3C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37B339B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5897" w:type="dxa"/>
            <w:shd w:val="clear" w:color="auto" w:fill="auto"/>
            <w:vAlign w:val="top"/>
          </w:tcPr>
          <w:p w14:paraId="7CCAE6AC">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项目管理班子其他人员配置：技术负责人、安全员、施工员、质量员、材料员、资料员、预算员，配置齐全的，得3.5分，提供人员配置表及对应的证书扫描件，每缺一项扣0.5分，本项分值扣完为止。【提供相关证明材料及人员近三个月任一个月在本单位缴纳社保证明，未提供或提供不全的不得分。】</w:t>
            </w:r>
          </w:p>
        </w:tc>
        <w:tc>
          <w:tcPr>
            <w:tcW w:w="793" w:type="dxa"/>
            <w:shd w:val="clear" w:color="auto" w:fill="auto"/>
            <w:vAlign w:val="center"/>
          </w:tcPr>
          <w:p w14:paraId="72E99C1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3.5</w:t>
            </w:r>
          </w:p>
        </w:tc>
        <w:tc>
          <w:tcPr>
            <w:tcW w:w="2133" w:type="dxa"/>
            <w:shd w:val="clear" w:color="auto" w:fill="auto"/>
            <w:vAlign w:val="center"/>
          </w:tcPr>
          <w:p w14:paraId="20A17F5E">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0203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3485166A">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7</w:t>
            </w:r>
          </w:p>
        </w:tc>
        <w:tc>
          <w:tcPr>
            <w:tcW w:w="5897" w:type="dxa"/>
            <w:shd w:val="clear" w:color="auto" w:fill="auto"/>
            <w:vAlign w:val="top"/>
          </w:tcPr>
          <w:p w14:paraId="4A271460">
            <w:pPr>
              <w:pStyle w:val="33"/>
              <w:spacing w:line="480" w:lineRule="exact"/>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rPr>
              <w:t>总体施工部署、场地平面布置及说明</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部署详细、布置合理的得（3，4]分；方案可行、基本满足采购需求的得（2，3]分；方案一般、部分满足得（0，1]分，不满足不得分。</w:t>
            </w:r>
          </w:p>
        </w:tc>
        <w:tc>
          <w:tcPr>
            <w:tcW w:w="793" w:type="dxa"/>
            <w:shd w:val="clear" w:color="auto" w:fill="auto"/>
            <w:vAlign w:val="center"/>
          </w:tcPr>
          <w:p w14:paraId="35745FC4">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4</w:t>
            </w:r>
          </w:p>
        </w:tc>
        <w:tc>
          <w:tcPr>
            <w:tcW w:w="2133" w:type="dxa"/>
            <w:shd w:val="clear" w:color="auto" w:fill="auto"/>
            <w:vAlign w:val="center"/>
          </w:tcPr>
          <w:p w14:paraId="5E2B19E2">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08D1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5D7DA3E8">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8</w:t>
            </w:r>
          </w:p>
        </w:tc>
        <w:tc>
          <w:tcPr>
            <w:tcW w:w="5897" w:type="dxa"/>
            <w:shd w:val="clear" w:color="auto" w:fill="auto"/>
            <w:vAlign w:val="top"/>
          </w:tcPr>
          <w:p w14:paraId="00F081B3">
            <w:pPr>
              <w:pStyle w:val="33"/>
              <w:spacing w:line="480" w:lineRule="exact"/>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rPr>
              <w:t>主要施工方案</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方案详细、安全措施、满足采购需求的得（3，5]分；方案可行、基本满足采购需求的得（1，3]分；方案一般、部分满足得（0，1]分，不满足不得分。</w:t>
            </w:r>
          </w:p>
        </w:tc>
        <w:tc>
          <w:tcPr>
            <w:tcW w:w="793" w:type="dxa"/>
            <w:shd w:val="clear" w:color="auto" w:fill="auto"/>
            <w:vAlign w:val="center"/>
          </w:tcPr>
          <w:p w14:paraId="0E80C873">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5</w:t>
            </w:r>
          </w:p>
        </w:tc>
        <w:tc>
          <w:tcPr>
            <w:tcW w:w="2133" w:type="dxa"/>
            <w:shd w:val="clear" w:color="auto" w:fill="auto"/>
            <w:vAlign w:val="center"/>
          </w:tcPr>
          <w:p w14:paraId="337C4D9E">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0004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7E450A9D">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9</w:t>
            </w:r>
          </w:p>
        </w:tc>
        <w:tc>
          <w:tcPr>
            <w:tcW w:w="5897" w:type="dxa"/>
            <w:shd w:val="clear" w:color="auto" w:fill="auto"/>
            <w:vAlign w:val="top"/>
          </w:tcPr>
          <w:p w14:paraId="6AFE4EA1">
            <w:pPr>
              <w:pStyle w:val="33"/>
              <w:spacing w:line="480" w:lineRule="exact"/>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rPr>
              <w:t>工程质量保障措施</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方案合理，</w:t>
            </w:r>
            <w:r>
              <w:rPr>
                <w:rFonts w:hint="eastAsia" w:ascii="宋体" w:hAnsi="宋体" w:eastAsia="宋体" w:cs="宋体"/>
                <w:color w:val="auto"/>
                <w:sz w:val="24"/>
                <w:szCs w:val="24"/>
                <w:highlight w:val="none"/>
                <w:vertAlign w:val="baseline"/>
                <w:lang w:val="en-US" w:eastAsia="zh-CN"/>
              </w:rPr>
              <w:t>完全</w:t>
            </w:r>
            <w:r>
              <w:rPr>
                <w:rFonts w:hint="eastAsia" w:ascii="宋体" w:hAnsi="宋体" w:eastAsia="宋体" w:cs="宋体"/>
                <w:color w:val="auto"/>
                <w:sz w:val="24"/>
                <w:szCs w:val="24"/>
                <w:highlight w:val="none"/>
                <w:vertAlign w:val="baseline"/>
              </w:rPr>
              <w:t>符合采购需求，针对性强的得</w:t>
            </w:r>
            <w:r>
              <w:rPr>
                <w:rFonts w:hint="eastAsia" w:ascii="宋体" w:hAnsi="宋体" w:eastAsia="宋体" w:cs="宋体"/>
                <w:color w:val="auto"/>
                <w:sz w:val="24"/>
                <w:szCs w:val="24"/>
                <w:highlight w:val="none"/>
                <w:vertAlign w:val="baseline"/>
                <w:lang w:val="en-US" w:eastAsia="zh-CN"/>
              </w:rPr>
              <w:t>（3，4]</w:t>
            </w:r>
            <w:r>
              <w:rPr>
                <w:rFonts w:hint="eastAsia" w:ascii="宋体" w:hAnsi="宋体" w:eastAsia="宋体" w:cs="宋体"/>
                <w:color w:val="auto"/>
                <w:sz w:val="24"/>
                <w:szCs w:val="24"/>
                <w:highlight w:val="none"/>
                <w:vertAlign w:val="baseline"/>
              </w:rPr>
              <w:t>分；方案基本可行、</w:t>
            </w:r>
            <w:r>
              <w:rPr>
                <w:rFonts w:hint="eastAsia" w:ascii="宋体" w:hAnsi="宋体" w:eastAsia="宋体" w:cs="宋体"/>
                <w:color w:val="auto"/>
                <w:sz w:val="24"/>
                <w:szCs w:val="24"/>
                <w:highlight w:val="none"/>
                <w:vertAlign w:val="baseline"/>
                <w:lang w:val="en-US" w:eastAsia="zh-CN"/>
              </w:rPr>
              <w:t>较为</w:t>
            </w:r>
            <w:r>
              <w:rPr>
                <w:rFonts w:hint="eastAsia" w:ascii="宋体" w:hAnsi="宋体" w:eastAsia="宋体" w:cs="宋体"/>
                <w:color w:val="auto"/>
                <w:sz w:val="24"/>
                <w:szCs w:val="24"/>
                <w:highlight w:val="none"/>
                <w:vertAlign w:val="baseline"/>
              </w:rPr>
              <w:t>符合采购需求，针对性较强的得</w:t>
            </w:r>
            <w:r>
              <w:rPr>
                <w:rFonts w:hint="eastAsia" w:ascii="宋体" w:hAnsi="宋体" w:eastAsia="宋体" w:cs="宋体"/>
                <w:color w:val="auto"/>
                <w:sz w:val="24"/>
                <w:szCs w:val="24"/>
                <w:highlight w:val="none"/>
                <w:vertAlign w:val="baseline"/>
                <w:lang w:val="en-US" w:eastAsia="zh-CN"/>
              </w:rPr>
              <w:t>（1，3]</w:t>
            </w:r>
            <w:r>
              <w:rPr>
                <w:rFonts w:hint="eastAsia" w:ascii="宋体" w:hAnsi="宋体" w:eastAsia="宋体" w:cs="宋体"/>
                <w:color w:val="auto"/>
                <w:sz w:val="24"/>
                <w:szCs w:val="24"/>
                <w:highlight w:val="none"/>
                <w:vertAlign w:val="baseline"/>
              </w:rPr>
              <w:t>分；方案一般，基本符合采购需求，针对性一般的得</w:t>
            </w:r>
            <w:r>
              <w:rPr>
                <w:rFonts w:hint="eastAsia" w:ascii="宋体" w:hAnsi="宋体" w:eastAsia="宋体" w:cs="宋体"/>
                <w:color w:val="auto"/>
                <w:sz w:val="24"/>
                <w:szCs w:val="24"/>
                <w:highlight w:val="none"/>
                <w:vertAlign w:val="baseline"/>
                <w:lang w:val="en-US" w:eastAsia="zh-CN"/>
              </w:rPr>
              <w:t>（0，1]</w:t>
            </w:r>
            <w:r>
              <w:rPr>
                <w:rFonts w:hint="eastAsia" w:ascii="宋体" w:hAnsi="宋体" w:eastAsia="宋体" w:cs="宋体"/>
                <w:color w:val="auto"/>
                <w:sz w:val="24"/>
                <w:szCs w:val="24"/>
                <w:highlight w:val="none"/>
                <w:vertAlign w:val="baseline"/>
              </w:rPr>
              <w:t>分；方案不完整、不符合采购需求，没有针对性的不得分。</w:t>
            </w:r>
          </w:p>
        </w:tc>
        <w:tc>
          <w:tcPr>
            <w:tcW w:w="793" w:type="dxa"/>
            <w:shd w:val="clear" w:color="auto" w:fill="auto"/>
            <w:vAlign w:val="center"/>
          </w:tcPr>
          <w:p w14:paraId="60898BA6">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4</w:t>
            </w:r>
          </w:p>
        </w:tc>
        <w:tc>
          <w:tcPr>
            <w:tcW w:w="2133" w:type="dxa"/>
            <w:shd w:val="clear" w:color="auto" w:fill="auto"/>
            <w:vAlign w:val="center"/>
          </w:tcPr>
          <w:p w14:paraId="3450A2C4">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7C75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3C4C5007">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10</w:t>
            </w:r>
          </w:p>
        </w:tc>
        <w:tc>
          <w:tcPr>
            <w:tcW w:w="5897" w:type="dxa"/>
            <w:shd w:val="clear" w:color="auto" w:fill="auto"/>
            <w:vAlign w:val="top"/>
          </w:tcPr>
          <w:p w14:paraId="10FD45B0">
            <w:pPr>
              <w:pStyle w:val="33"/>
              <w:spacing w:line="480" w:lineRule="exact"/>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设计方案及设计图纸的合理性、完备性。设计合理，充分满足要求的得（12，20]分；设计一般，满足要求的得（4，12]分；设计较差，基本满足要求的得（0，4]分；设计差，无法满足要求的不得分。</w:t>
            </w:r>
          </w:p>
        </w:tc>
        <w:tc>
          <w:tcPr>
            <w:tcW w:w="793" w:type="dxa"/>
            <w:shd w:val="clear" w:color="auto" w:fill="auto"/>
            <w:vAlign w:val="center"/>
          </w:tcPr>
          <w:p w14:paraId="1B333A41">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20</w:t>
            </w:r>
          </w:p>
        </w:tc>
        <w:tc>
          <w:tcPr>
            <w:tcW w:w="2133" w:type="dxa"/>
            <w:shd w:val="clear" w:color="auto" w:fill="auto"/>
            <w:vAlign w:val="center"/>
          </w:tcPr>
          <w:p w14:paraId="43D41121">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378A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385FF7A2">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11</w:t>
            </w:r>
          </w:p>
        </w:tc>
        <w:tc>
          <w:tcPr>
            <w:tcW w:w="5897" w:type="dxa"/>
            <w:shd w:val="clear" w:color="auto" w:fill="auto"/>
            <w:vAlign w:val="top"/>
          </w:tcPr>
          <w:p w14:paraId="6EB9E088">
            <w:pPr>
              <w:pStyle w:val="33"/>
              <w:spacing w:line="480" w:lineRule="exact"/>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rPr>
              <w:t>施工进度计划和保障措施</w:t>
            </w:r>
            <w:r>
              <w:rPr>
                <w:rFonts w:hint="eastAsia" w:ascii="宋体" w:hAnsi="宋体" w:eastAsia="宋体" w:cs="宋体"/>
                <w:color w:val="auto"/>
                <w:sz w:val="24"/>
                <w:szCs w:val="24"/>
                <w:highlight w:val="none"/>
                <w:vertAlign w:val="baseline"/>
                <w:lang w:val="en-US" w:eastAsia="zh-CN"/>
              </w:rPr>
              <w:t>.对应措施切实可行的得（6，8]分；对应措施不够切实且可行性一般的得（3，6]分，对应措施不切实际且可行性较差的得（0，3]分，不提供不得分。</w:t>
            </w:r>
          </w:p>
        </w:tc>
        <w:tc>
          <w:tcPr>
            <w:tcW w:w="793" w:type="dxa"/>
            <w:shd w:val="clear" w:color="auto" w:fill="auto"/>
            <w:vAlign w:val="center"/>
          </w:tcPr>
          <w:p w14:paraId="29652B82">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8</w:t>
            </w:r>
          </w:p>
        </w:tc>
        <w:tc>
          <w:tcPr>
            <w:tcW w:w="2133" w:type="dxa"/>
            <w:shd w:val="clear" w:color="auto" w:fill="auto"/>
            <w:vAlign w:val="center"/>
          </w:tcPr>
          <w:p w14:paraId="3252EEDF">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3D04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3AAC03B9">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12</w:t>
            </w:r>
          </w:p>
        </w:tc>
        <w:tc>
          <w:tcPr>
            <w:tcW w:w="5897" w:type="dxa"/>
            <w:shd w:val="clear" w:color="auto" w:fill="auto"/>
            <w:vAlign w:val="top"/>
          </w:tcPr>
          <w:p w14:paraId="7E8C00B9">
            <w:pPr>
              <w:pStyle w:val="33"/>
              <w:spacing w:line="480" w:lineRule="exact"/>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rPr>
              <w:t>安全生产、文明施工、环境保护措施</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方案详细、安全措施、满足采购需求的得（4，6]分；方案可行、基本满足采购需求的得（2，4]分；方案一般、部分满足得（0，2]分，不满足不得分。</w:t>
            </w:r>
          </w:p>
        </w:tc>
        <w:tc>
          <w:tcPr>
            <w:tcW w:w="793" w:type="dxa"/>
            <w:shd w:val="clear" w:color="auto" w:fill="auto"/>
            <w:vAlign w:val="center"/>
          </w:tcPr>
          <w:p w14:paraId="077B5ECD">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6</w:t>
            </w:r>
          </w:p>
        </w:tc>
        <w:tc>
          <w:tcPr>
            <w:tcW w:w="2133" w:type="dxa"/>
            <w:shd w:val="clear" w:color="auto" w:fill="auto"/>
            <w:vAlign w:val="center"/>
          </w:tcPr>
          <w:p w14:paraId="5814D647">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6713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3294206D">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13</w:t>
            </w:r>
          </w:p>
        </w:tc>
        <w:tc>
          <w:tcPr>
            <w:tcW w:w="5897" w:type="dxa"/>
            <w:shd w:val="clear" w:color="auto" w:fill="auto"/>
            <w:vAlign w:val="top"/>
          </w:tcPr>
          <w:p w14:paraId="726C5C34">
            <w:pPr>
              <w:pStyle w:val="33"/>
              <w:spacing w:line="480" w:lineRule="exact"/>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rPr>
              <w:t>主要施工设备配置情况</w:t>
            </w:r>
            <w:r>
              <w:rPr>
                <w:rFonts w:hint="eastAsia" w:ascii="宋体" w:hAnsi="宋体" w:eastAsia="宋体" w:cs="宋体"/>
                <w:color w:val="auto"/>
                <w:sz w:val="24"/>
                <w:szCs w:val="24"/>
                <w:highlight w:val="none"/>
                <w:vertAlign w:val="baseline"/>
                <w:lang w:eastAsia="zh-CN"/>
              </w:rPr>
              <w:t>。设备</w:t>
            </w:r>
            <w:r>
              <w:rPr>
                <w:rFonts w:hint="eastAsia" w:ascii="宋体" w:hAnsi="宋体" w:eastAsia="宋体" w:cs="宋体"/>
                <w:color w:val="auto"/>
                <w:sz w:val="24"/>
                <w:szCs w:val="24"/>
                <w:highlight w:val="none"/>
                <w:vertAlign w:val="baseline"/>
                <w:lang w:val="en-US" w:eastAsia="zh-CN"/>
              </w:rPr>
              <w:t>满足施工需求的得（3，4]分；基本施工需求的得（1，</w:t>
            </w:r>
            <w:r>
              <w:rPr>
                <w:rFonts w:hint="eastAsia"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lang w:val="en-US" w:eastAsia="zh-CN"/>
              </w:rPr>
              <w:t>]分；部分满足施工需求的得（0，1]分，不满足不得分。</w:t>
            </w:r>
          </w:p>
        </w:tc>
        <w:tc>
          <w:tcPr>
            <w:tcW w:w="793" w:type="dxa"/>
            <w:shd w:val="clear" w:color="auto" w:fill="auto"/>
            <w:vAlign w:val="center"/>
          </w:tcPr>
          <w:p w14:paraId="25B1FC15">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4</w:t>
            </w:r>
          </w:p>
        </w:tc>
        <w:tc>
          <w:tcPr>
            <w:tcW w:w="2133" w:type="dxa"/>
            <w:shd w:val="clear" w:color="auto" w:fill="auto"/>
            <w:vAlign w:val="center"/>
          </w:tcPr>
          <w:p w14:paraId="52506497">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10FC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55E62D99">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14</w:t>
            </w:r>
          </w:p>
        </w:tc>
        <w:tc>
          <w:tcPr>
            <w:tcW w:w="5897" w:type="dxa"/>
            <w:shd w:val="clear" w:color="auto" w:fill="auto"/>
            <w:vAlign w:val="top"/>
          </w:tcPr>
          <w:p w14:paraId="0C93A828">
            <w:pPr>
              <w:pStyle w:val="33"/>
              <w:spacing w:line="480" w:lineRule="exact"/>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rPr>
              <w:t>针对本工程的重点、难点和关键点分析（包括不停业施工重难点），相应的对策措施方案，合理化建议，对本项目实施过程中工作要点、关键点、难点所采取措施，对采购人现状等方面的设计规划建议、合理化建议，分析到位有明确解决思路和措施且设计规划建议、合理化建议合理完善有利于本项目实施的。方案详细完善的得</w:t>
            </w:r>
            <w:r>
              <w:rPr>
                <w:rFonts w:hint="eastAsia" w:ascii="宋体" w:hAnsi="宋体" w:eastAsia="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分，方案较详细完善的得</w:t>
            </w:r>
            <w:r>
              <w:rPr>
                <w:rFonts w:hint="eastAsia" w:ascii="宋体" w:hAnsi="宋体" w:eastAsia="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rPr>
              <w:t>分，方案不够详细完善的得</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分</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不提供的不得分。</w:t>
            </w:r>
          </w:p>
        </w:tc>
        <w:tc>
          <w:tcPr>
            <w:tcW w:w="793" w:type="dxa"/>
            <w:shd w:val="clear" w:color="auto" w:fill="auto"/>
            <w:vAlign w:val="center"/>
          </w:tcPr>
          <w:p w14:paraId="11DC89E0">
            <w:pPr>
              <w:pStyle w:val="33"/>
              <w:spacing w:line="480" w:lineRule="exact"/>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4</w:t>
            </w:r>
          </w:p>
        </w:tc>
        <w:tc>
          <w:tcPr>
            <w:tcW w:w="2133" w:type="dxa"/>
            <w:shd w:val="clear" w:color="auto" w:fill="auto"/>
            <w:vAlign w:val="center"/>
          </w:tcPr>
          <w:p w14:paraId="5A1BCE2F">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14:paraId="052D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643B78E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5897" w:type="dxa"/>
            <w:shd w:val="clear" w:color="auto" w:fill="auto"/>
            <w:vAlign w:val="top"/>
          </w:tcPr>
          <w:p w14:paraId="795F5654">
            <w:pPr>
              <w:widowControl/>
              <w:shd w:val="clear" w:color="auto" w:fill="FFFFFF"/>
              <w:adjustRightInd/>
              <w:spacing w:after="225" w:line="315" w:lineRule="atLeast"/>
              <w:ind w:firstLine="42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］的计算公式计算。</w:t>
            </w:r>
          </w:p>
          <w:p w14:paraId="66D2EA70">
            <w:pPr>
              <w:widowControl/>
              <w:shd w:val="clear" w:color="auto" w:fill="FFFFFF"/>
              <w:adjustRightInd/>
              <w:spacing w:after="225" w:line="315" w:lineRule="atLeast"/>
              <w:ind w:firstLine="42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评标过程中，不得去掉报价中的最高报价和最低报价。</w:t>
            </w:r>
          </w:p>
        </w:tc>
        <w:tc>
          <w:tcPr>
            <w:tcW w:w="793" w:type="dxa"/>
            <w:shd w:val="clear" w:color="auto" w:fill="auto"/>
            <w:vAlign w:val="center"/>
          </w:tcPr>
          <w:p w14:paraId="7C4E0E75">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2133" w:type="dxa"/>
            <w:shd w:val="clear" w:color="auto" w:fill="auto"/>
            <w:vAlign w:val="center"/>
          </w:tcPr>
          <w:p w14:paraId="535AEAC2">
            <w:pPr>
              <w:spacing w:line="360" w:lineRule="auto"/>
              <w:jc w:val="center"/>
              <w:outlineLvl w:val="0"/>
              <w:rPr>
                <w:rFonts w:hint="eastAsia" w:ascii="宋体" w:hAnsi="宋体" w:eastAsia="宋体" w:cs="宋体"/>
                <w:color w:val="auto"/>
                <w:kern w:val="2"/>
                <w:sz w:val="24"/>
                <w:szCs w:val="24"/>
                <w:highlight w:val="none"/>
                <w:lang w:val="en-US" w:eastAsia="zh-CN" w:bidi="ar-SA"/>
              </w:rPr>
            </w:pPr>
          </w:p>
        </w:tc>
      </w:tr>
    </w:tbl>
    <w:p w14:paraId="5178A6F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4A6C244D">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6B350899">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C43C02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2483B3DF">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58150C8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5550C04F">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70F7C87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20680101">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19D749AD">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02D04215">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70A67E07">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2CC7FF1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2C51323C">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AD5DA15">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D0A4F4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486700D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39EE8A4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AD7407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BAB8327">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636400D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4259F96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29E147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0C78308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CE4766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EBD945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5B307BE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76FBAB9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25C1084">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6F79A10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C2A4682">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24263C7C">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C8C92D4">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655137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551140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6308F3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D414E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248AC3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4F9B60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6AD1A7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3F1773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76E31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713BAF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099040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06849F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33566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38B1CF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C6CD609">
      <w:pPr>
        <w:pStyle w:val="3"/>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1D9A27D">
      <w:pPr>
        <w:pStyle w:val="3"/>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617D4AF4">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6CEA1C8B">
      <w:pPr>
        <w:pStyle w:val="3"/>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E98C4FC">
      <w:pPr>
        <w:pStyle w:val="3"/>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316B64C">
      <w:pPr>
        <w:pStyle w:val="3"/>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8FE64FA">
      <w:pPr>
        <w:pStyle w:val="3"/>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4EB177EA">
      <w:pPr>
        <w:pStyle w:val="3"/>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05E189A7">
      <w:pPr>
        <w:pStyle w:val="3"/>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49510427">
      <w:pPr>
        <w:pStyle w:val="3"/>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6ACA621C">
      <w:pPr>
        <w:pStyle w:val="3"/>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FB75784">
      <w:pPr>
        <w:pStyle w:val="3"/>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0"/>
    <w:p w14:paraId="2B592DED">
      <w:pPr>
        <w:spacing w:beforeLines="0" w:afterLines="0" w:line="360" w:lineRule="auto"/>
        <w:jc w:val="center"/>
        <w:rPr>
          <w:rFonts w:hint="default" w:ascii="宋体" w:hAnsi="宋体" w:cs="宋体"/>
          <w:b/>
          <w:color w:val="auto"/>
          <w:sz w:val="24"/>
          <w:szCs w:val="24"/>
          <w:highlight w:val="none"/>
        </w:rPr>
      </w:pPr>
      <w:bookmarkStart w:id="398" w:name="第五部分"/>
      <w:bookmarkStart w:id="399" w:name="_Toc86217003"/>
    </w:p>
    <w:p w14:paraId="0D7D38C1">
      <w:pPr>
        <w:spacing w:beforeLines="0" w:afterLines="0" w:line="360" w:lineRule="auto"/>
        <w:jc w:val="center"/>
        <w:outlineLvl w:val="0"/>
        <w:rPr>
          <w:rFonts w:hint="default" w:ascii="宋体" w:hAnsi="宋体" w:cs="宋体"/>
          <w:b/>
          <w:color w:val="auto"/>
          <w:sz w:val="36"/>
          <w:szCs w:val="36"/>
          <w:highlight w:val="none"/>
        </w:rPr>
      </w:pPr>
      <w:r>
        <w:rPr>
          <w:rFonts w:hint="default" w:ascii="宋体" w:hAnsi="宋体" w:cs="宋体"/>
          <w:b/>
          <w:color w:val="auto"/>
          <w:sz w:val="36"/>
          <w:szCs w:val="36"/>
          <w:highlight w:val="none"/>
        </w:rPr>
        <w:t>第五部分 拟签订的合同文本</w:t>
      </w:r>
    </w:p>
    <w:p w14:paraId="54F95F16">
      <w:pPr>
        <w:snapToGrid w:val="0"/>
        <w:spacing w:beforeLines="0" w:afterLines="0" w:line="360" w:lineRule="auto"/>
        <w:jc w:val="center"/>
        <w:rPr>
          <w:rFonts w:hint="default" w:ascii="宋体" w:hAnsi="宋体"/>
          <w:b/>
          <w:color w:val="auto"/>
          <w:sz w:val="21"/>
          <w:szCs w:val="24"/>
          <w:highlight w:val="none"/>
        </w:rPr>
      </w:pPr>
      <w:r>
        <w:rPr>
          <w:rFonts w:hint="default" w:ascii="宋体" w:hAnsi="宋体"/>
          <w:b/>
          <w:color w:val="auto"/>
          <w:sz w:val="21"/>
          <w:szCs w:val="24"/>
          <w:highlight w:val="none"/>
        </w:rPr>
        <w:t>杭州市职业病防治院办公楼装修改造设计与施工一体化工程合同</w:t>
      </w:r>
    </w:p>
    <w:p w14:paraId="47DB2405">
      <w:pPr>
        <w:snapToGrid w:val="0"/>
        <w:spacing w:beforeLines="0" w:afterLines="0" w:line="360" w:lineRule="auto"/>
        <w:jc w:val="center"/>
        <w:rPr>
          <w:rFonts w:hint="default" w:ascii="宋体" w:hAnsi="宋体"/>
          <w:color w:val="auto"/>
          <w:sz w:val="21"/>
          <w:szCs w:val="21"/>
          <w:highlight w:val="none"/>
        </w:rPr>
      </w:pPr>
      <w:r>
        <w:rPr>
          <w:rFonts w:hint="default" w:ascii="宋体" w:hAnsi="宋体"/>
          <w:color w:val="auto"/>
          <w:sz w:val="21"/>
          <w:szCs w:val="21"/>
          <w:highlight w:val="none"/>
        </w:rPr>
        <w:t>（本合同为合同样稿，最终稿由双方协商后确定；签订合同时删除此行）</w:t>
      </w:r>
    </w:p>
    <w:p w14:paraId="2834FD9B">
      <w:pPr>
        <w:pStyle w:val="59"/>
        <w:adjustRightInd w:val="0"/>
        <w:snapToGrid w:val="0"/>
        <w:spacing w:before="120" w:beforeLines="0" w:afterLines="0" w:line="300" w:lineRule="auto"/>
        <w:rPr>
          <w:rFonts w:hint="default" w:cs="Calibri"/>
          <w:b/>
          <w:color w:val="auto"/>
          <w:sz w:val="30"/>
          <w:szCs w:val="30"/>
          <w:highlight w:val="none"/>
        </w:rPr>
      </w:pPr>
      <w:r>
        <w:rPr>
          <w:rFonts w:hint="default" w:cs="Calibri"/>
          <w:b/>
          <w:color w:val="auto"/>
          <w:sz w:val="30"/>
          <w:szCs w:val="30"/>
          <w:highlight w:val="none"/>
        </w:rPr>
        <w:t>GF-2020-0216</w:t>
      </w:r>
      <w:r>
        <w:rPr>
          <w:rFonts w:hint="default" w:ascii="宋体" w:cs="Calibri"/>
          <w:b/>
          <w:color w:val="auto"/>
          <w:sz w:val="30"/>
          <w:szCs w:val="30"/>
          <w:highlight w:val="none"/>
        </w:rPr>
        <w:t>《建设项目工程总承包合同示范文本》（示范文本）</w:t>
      </w:r>
    </w:p>
    <w:p w14:paraId="6B230F9E">
      <w:pPr>
        <w:pStyle w:val="59"/>
        <w:adjustRightInd w:val="0"/>
        <w:snapToGrid w:val="0"/>
        <w:spacing w:before="120" w:beforeLines="0" w:afterLines="0" w:line="300" w:lineRule="auto"/>
        <w:jc w:val="center"/>
        <w:rPr>
          <w:rFonts w:hint="default" w:cs="Calibri"/>
          <w:b/>
          <w:color w:val="auto"/>
          <w:sz w:val="30"/>
          <w:szCs w:val="30"/>
          <w:highlight w:val="none"/>
        </w:rPr>
      </w:pPr>
    </w:p>
    <w:p w14:paraId="5E45BC4A">
      <w:pPr>
        <w:pStyle w:val="970"/>
        <w:keepNext w:val="0"/>
        <w:keepLines w:val="0"/>
        <w:widowControl/>
        <w:adjustRightInd w:val="0"/>
        <w:snapToGrid w:val="0"/>
        <w:spacing w:before="0" w:beforeLines="0" w:after="50" w:afterLines="0" w:line="360" w:lineRule="auto"/>
        <w:jc w:val="center"/>
        <w:outlineLvl w:val="9"/>
        <w:rPr>
          <w:rFonts w:hint="default" w:cs="Times New Roman"/>
          <w:color w:val="auto"/>
          <w:sz w:val="36"/>
          <w:szCs w:val="36"/>
          <w:highlight w:val="none"/>
        </w:rPr>
      </w:pPr>
      <w:r>
        <w:rPr>
          <w:rFonts w:hint="default"/>
          <w:color w:val="auto"/>
          <w:sz w:val="36"/>
          <w:szCs w:val="36"/>
          <w:highlight w:val="none"/>
        </w:rPr>
        <w:t>第一部分 合同协议书</w:t>
      </w:r>
    </w:p>
    <w:p w14:paraId="01920212">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rPr>
        <w:t xml:space="preserve">  杭州市职业病防治院   </w:t>
      </w:r>
    </w:p>
    <w:p w14:paraId="2BA75F4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rPr>
        <w:t xml:space="preserve">                                    </w:t>
      </w:r>
    </w:p>
    <w:p w14:paraId="4C86ABB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根据《中华人民共和国民法典》、《中华人民共和国建筑法》及有关法律规定，遵循平等、自愿、公平和诚实信用的原则，双方就</w:t>
      </w:r>
      <w:r>
        <w:rPr>
          <w:rFonts w:hint="eastAsia" w:ascii="仿宋" w:hAnsi="仿宋" w:eastAsia="仿宋" w:cs="仿宋"/>
          <w:color w:val="auto"/>
          <w:sz w:val="24"/>
          <w:szCs w:val="24"/>
          <w:highlight w:val="none"/>
          <w:u w:val="single"/>
        </w:rPr>
        <w:t xml:space="preserve"> 杭州市职业病防治院钱塘门诊部业务用房改造设计与施工一体化工程</w:t>
      </w:r>
      <w:r>
        <w:rPr>
          <w:rFonts w:hint="eastAsia" w:ascii="仿宋" w:hAnsi="仿宋" w:eastAsia="仿宋" w:cs="仿宋"/>
          <w:color w:val="auto"/>
          <w:sz w:val="24"/>
          <w:szCs w:val="24"/>
          <w:highlight w:val="none"/>
        </w:rPr>
        <w:t>及有关事项协商一致，共同达成如下协议：</w:t>
      </w:r>
    </w:p>
    <w:p w14:paraId="3698489F">
      <w:pPr>
        <w:pStyle w:val="972"/>
        <w:spacing w:before="0" w:beforeLines="0" w:after="0" w:afterLines="0" w:line="360" w:lineRule="auto"/>
        <w:ind w:left="0"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一、工程概况</w:t>
      </w:r>
    </w:p>
    <w:p w14:paraId="48F1A9E7">
      <w:pPr>
        <w:pStyle w:val="843"/>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 工程名称：</w:t>
      </w:r>
      <w:r>
        <w:rPr>
          <w:rFonts w:hint="eastAsia" w:ascii="仿宋" w:hAnsi="仿宋" w:eastAsia="仿宋" w:cs="仿宋"/>
          <w:color w:val="auto"/>
          <w:sz w:val="24"/>
          <w:szCs w:val="24"/>
          <w:highlight w:val="none"/>
          <w:u w:val="single"/>
        </w:rPr>
        <w:t xml:space="preserve">杭州市职业病防治院钱塘门诊部业务用房改造设计与施工一体化工程 </w:t>
      </w:r>
    </w:p>
    <w:p w14:paraId="0D7E0C89">
      <w:pPr>
        <w:pStyle w:val="843"/>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工程地点：</w:t>
      </w:r>
      <w:r>
        <w:rPr>
          <w:rFonts w:hint="eastAsia" w:ascii="仿宋" w:hAnsi="仿宋" w:eastAsia="仿宋" w:cs="仿宋"/>
          <w:color w:val="auto"/>
          <w:sz w:val="24"/>
          <w:szCs w:val="24"/>
          <w:highlight w:val="none"/>
          <w:u w:val="single"/>
        </w:rPr>
        <w:t xml:space="preserve">杭州市钱塘区白杨街道11号大街469号和达物流园1幢1层及2层部分  </w:t>
      </w:r>
    </w:p>
    <w:p w14:paraId="60BEFCDD">
      <w:pPr>
        <w:pStyle w:val="843"/>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 工程审批、核准或备案文号：</w:t>
      </w:r>
      <w:r>
        <w:rPr>
          <w:rFonts w:hint="eastAsia" w:ascii="仿宋" w:hAnsi="仿宋" w:eastAsia="仿宋" w:cs="仿宋"/>
          <w:color w:val="auto"/>
          <w:sz w:val="24"/>
          <w:szCs w:val="24"/>
          <w:highlight w:val="none"/>
          <w:u w:val="single"/>
        </w:rPr>
        <w:t xml:space="preserve">    </w:t>
      </w:r>
    </w:p>
    <w:p w14:paraId="258AD1AB">
      <w:pPr>
        <w:pStyle w:val="843"/>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资金来源：</w:t>
      </w:r>
      <w:r>
        <w:rPr>
          <w:rFonts w:hint="eastAsia" w:ascii="仿宋" w:hAnsi="仿宋" w:eastAsia="仿宋" w:cs="仿宋"/>
          <w:color w:val="auto"/>
          <w:sz w:val="24"/>
          <w:szCs w:val="24"/>
          <w:highlight w:val="none"/>
          <w:u w:val="single"/>
        </w:rPr>
        <w:t>财政资金+自筹资金</w:t>
      </w:r>
      <w:r>
        <w:rPr>
          <w:rFonts w:hint="eastAsia" w:ascii="仿宋" w:hAnsi="仿宋" w:eastAsia="仿宋" w:cs="仿宋"/>
          <w:color w:val="auto"/>
          <w:sz w:val="24"/>
          <w:szCs w:val="24"/>
          <w:highlight w:val="none"/>
        </w:rPr>
        <w:t>。</w:t>
      </w:r>
    </w:p>
    <w:p w14:paraId="7DF898D7">
      <w:pPr>
        <w:pStyle w:val="6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 工程内容及规模： 杭州市职业病防治院钱塘门诊部业务用房改造设计与施工一体化工程，包含：</w:t>
      </w:r>
    </w:p>
    <w:p w14:paraId="48BF6438">
      <w:pPr>
        <w:pStyle w:val="6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（1)工程前期报批；</w:t>
      </w:r>
    </w:p>
    <w:p w14:paraId="51BFB30D">
      <w:pPr>
        <w:pStyle w:val="6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（2）工程设计：施工图阶段设计；</w:t>
      </w:r>
    </w:p>
    <w:p w14:paraId="1B946F8C">
      <w:pPr>
        <w:pStyle w:val="6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（3）工程采购范围：图纸及发包人与技术交底前发布指令的范围建筑材料及设备、构成工程不可分割的设施设备等；</w:t>
      </w:r>
    </w:p>
    <w:p w14:paraId="23DA4402">
      <w:pPr>
        <w:pStyle w:val="6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（4）工程施工范围：工程设计图纸及发包人与技术交底前发布指令的范围所有工程（含配套建筑、结构、水、电、弱电智能化等）；</w:t>
      </w:r>
    </w:p>
    <w:p w14:paraId="64F42482">
      <w:pPr>
        <w:pStyle w:val="6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（5）工程项目质量、安全、进度、费用、合同、信息等管理和控制；</w:t>
      </w:r>
    </w:p>
    <w:p w14:paraId="07A1BFCA">
      <w:pPr>
        <w:pStyle w:val="6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（6）竣工验收及移交备案工作。</w:t>
      </w:r>
    </w:p>
    <w:p w14:paraId="0A4068BD">
      <w:pPr>
        <w:pStyle w:val="6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2、施工面积及范围:</w:t>
      </w:r>
    </w:p>
    <w:p w14:paraId="1C4AB8AB">
      <w:pPr>
        <w:pStyle w:val="6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施工面积：935.38平方米</w:t>
      </w:r>
    </w:p>
    <w:p w14:paraId="561701BE">
      <w:pPr>
        <w:pStyle w:val="6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施工范围：新址原有建筑墙体的拆除、大厅、休息区、新址放射科（含放射机房及CT机房加固及防辐射建造）,特检科，职业病科等区域改造装修；</w:t>
      </w:r>
    </w:p>
    <w:p w14:paraId="43B07FAB">
      <w:pPr>
        <w:pStyle w:val="60"/>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具体内容以招标文件描述以及发包人指令要求为准。</w:t>
      </w:r>
    </w:p>
    <w:p w14:paraId="1597CA37">
      <w:pPr>
        <w:pStyle w:val="701"/>
        <w:spacing w:beforeLines="0" w:afterLines="0" w:line="288"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工程承包范围：杭州市职业病防治院钱塘门诊部业务用房改造设计与施工一体化工程，具体包括本工程的设计、施工（含拆除）、材料设备采购、安装、调试及试运行、验收、移交、人员培训及技术服务和指导、工程缺陷责任期内的缺陷修复、保修服务等内容，以及对工程的质量、安全、工期和造价等全面负责。具体详见第四章“采购内容及技术要求”范围内的。</w:t>
      </w:r>
    </w:p>
    <w:p w14:paraId="648DAD37">
      <w:pPr>
        <w:pStyle w:val="972"/>
        <w:spacing w:before="0" w:beforeLines="0" w:after="0" w:afterLines="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二、合同工期</w:t>
      </w:r>
    </w:p>
    <w:p w14:paraId="00531253">
      <w:pPr>
        <w:pStyle w:val="701"/>
        <w:spacing w:beforeLines="0" w:afterLines="0" w:line="288"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rPr>
        <w:t>90日历日</w:t>
      </w:r>
      <w:r>
        <w:rPr>
          <w:rFonts w:hint="eastAsia" w:ascii="仿宋" w:hAnsi="仿宋" w:eastAsia="仿宋" w:cs="仿宋"/>
          <w:color w:val="auto"/>
          <w:sz w:val="24"/>
          <w:szCs w:val="24"/>
          <w:highlight w:val="none"/>
        </w:rPr>
        <w:t>。</w:t>
      </w:r>
    </w:p>
    <w:p w14:paraId="1CDC0442">
      <w:pPr>
        <w:pStyle w:val="701"/>
        <w:spacing w:beforeLines="0" w:afterLines="0" w:line="288"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计划开工时间：  年  月   日，计划竣工日期： 年  月  日。</w:t>
      </w:r>
    </w:p>
    <w:p w14:paraId="4D8410FF">
      <w:pPr>
        <w:pStyle w:val="701"/>
        <w:spacing w:beforeLines="0" w:afterLines="0" w:line="288"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设计工期：收到成交通知书后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日历日</w:t>
      </w:r>
      <w:r>
        <w:rPr>
          <w:rFonts w:hint="eastAsia" w:ascii="仿宋" w:hAnsi="仿宋" w:eastAsia="仿宋" w:cs="仿宋"/>
          <w:color w:val="auto"/>
          <w:sz w:val="24"/>
          <w:szCs w:val="24"/>
          <w:highlight w:val="none"/>
        </w:rPr>
        <w:t>内完成；</w:t>
      </w:r>
    </w:p>
    <w:p w14:paraId="5CCA0445">
      <w:pPr>
        <w:pStyle w:val="701"/>
        <w:spacing w:beforeLines="0" w:afterLines="0" w:line="288"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日历日</w:t>
      </w:r>
      <w:r>
        <w:rPr>
          <w:rFonts w:hint="eastAsia" w:ascii="仿宋" w:hAnsi="仿宋" w:eastAsia="仿宋" w:cs="仿宋"/>
          <w:color w:val="auto"/>
          <w:sz w:val="24"/>
          <w:szCs w:val="24"/>
          <w:highlight w:val="none"/>
        </w:rPr>
        <w:t>。</w:t>
      </w:r>
    </w:p>
    <w:p w14:paraId="0A2E806D">
      <w:pPr>
        <w:pStyle w:val="972"/>
        <w:spacing w:before="0" w:beforeLines="0" w:after="0" w:afterLines="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三、质量标准</w:t>
      </w:r>
    </w:p>
    <w:p w14:paraId="64494E63">
      <w:pPr>
        <w:pStyle w:val="701"/>
        <w:spacing w:beforeLines="0" w:afterLines="0" w:line="288"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设计质量标准：符合现行国家有关工程设计质量评定标准的合格要求，达到《建筑工程设计文件编制深度规定（2016版）》，且满足浙江省《绿色建筑设计标准》DB33/1092-2016二星级要求。</w:t>
      </w:r>
    </w:p>
    <w:p w14:paraId="77AD72CE">
      <w:pPr>
        <w:pStyle w:val="843"/>
        <w:spacing w:beforeLines="0" w:afterLines="0" w:line="360" w:lineRule="auto"/>
        <w:ind w:firstLine="470" w:firstLineChars="196"/>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施工质量标准：符合现行国家有关工程施工验收规范和标准的合格要求。</w:t>
      </w:r>
    </w:p>
    <w:p w14:paraId="2E2DAF82">
      <w:pPr>
        <w:pStyle w:val="972"/>
        <w:spacing w:before="0" w:beforeLines="0" w:after="0" w:afterLines="0"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四、签约合同价与合同价格形式</w:t>
      </w:r>
    </w:p>
    <w:p w14:paraId="276074B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签约合同价（含税）为：</w:t>
      </w:r>
    </w:p>
    <w:p w14:paraId="304A7E7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人民币（大写)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E17B3C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具体构成详见价格清单。其中： </w:t>
      </w:r>
    </w:p>
    <w:p w14:paraId="401F7D5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设计费（含税包干）：</w:t>
      </w:r>
    </w:p>
    <w:p w14:paraId="1D83F49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人民币（大写)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元）；适用税率：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%，税金为人民币（大写)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元）； </w:t>
      </w:r>
    </w:p>
    <w:p w14:paraId="3EA239E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设备购置费（含税）：</w:t>
      </w:r>
    </w:p>
    <w:p w14:paraId="3F134DD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人民币（大写) </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元）；适用税率：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%，税金为人民币（大写)</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元）； </w:t>
      </w:r>
    </w:p>
    <w:p w14:paraId="5015AC12">
      <w:pPr>
        <w:pStyle w:val="843"/>
        <w:numPr>
          <w:ilvl w:val="0"/>
          <w:numId w:val="0"/>
        </w:numPr>
        <w:spacing w:beforeLines="0" w:afterLines="0" w:line="360" w:lineRule="auto"/>
        <w:ind w:left="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（3）建筑安装工程费（含税）：</w:t>
      </w:r>
    </w:p>
    <w:p w14:paraId="7D40A021">
      <w:pPr>
        <w:pStyle w:val="843"/>
        <w:numPr>
          <w:ilvl w:val="0"/>
          <w:numId w:val="0"/>
        </w:numPr>
        <w:spacing w:beforeLines="0" w:afterLines="0" w:line="360" w:lineRule="auto"/>
        <w:ind w:left="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元）；适用税率：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%，税金为人民币（大写)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75CFF0CD">
      <w:pPr>
        <w:pStyle w:val="843"/>
        <w:spacing w:beforeLines="0" w:afterLines="0" w:line="360" w:lineRule="auto"/>
        <w:ind w:left="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暂估价（含税）：人民币（大写)</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元）。</w:t>
      </w:r>
    </w:p>
    <w:p w14:paraId="655439C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暂列金额（含税）：人民币（大写)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2B08A0B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双方约定的其他费用（含税）：</w:t>
      </w:r>
    </w:p>
    <w:p w14:paraId="392B2FD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元）；适用税率：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%，税金为人民币（大写)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2813257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合同价格形式：</w:t>
      </w:r>
    </w:p>
    <w:p w14:paraId="6DF70F7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合同价格形式为总价合同。除合同约定可以调整的情形外，合同总价不予调整。调整的情形主要包括以下内容：</w:t>
      </w:r>
    </w:p>
    <w:p w14:paraId="1A059DBD">
      <w:pPr>
        <w:pStyle w:val="974"/>
        <w:snapToGrid w:val="0"/>
        <w:spacing w:beforeLines="0" w:afterLines="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（1）因国家法律法规政策变化引起的合同价格的变化；</w:t>
      </w:r>
    </w:p>
    <w:p w14:paraId="46A0EFF6">
      <w:pPr>
        <w:pStyle w:val="974"/>
        <w:snapToGrid w:val="0"/>
        <w:spacing w:beforeLines="0" w:afterLines="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（2）不可预见的地质条件造成的工程费用的变化；</w:t>
      </w:r>
    </w:p>
    <w:p w14:paraId="559FD03D">
      <w:pPr>
        <w:pStyle w:val="974"/>
        <w:snapToGrid w:val="0"/>
        <w:spacing w:beforeLines="0" w:afterLines="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（3）在工程实施过程中需进行增减引起的工程费用的变化；</w:t>
      </w:r>
    </w:p>
    <w:p w14:paraId="2B472E37">
      <w:pPr>
        <w:pStyle w:val="974"/>
        <w:snapToGrid w:val="0"/>
        <w:spacing w:beforeLines="0" w:afterLines="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（4）不可抗力造成的工程费用的变化。</w:t>
      </w:r>
    </w:p>
    <w:p w14:paraId="20DEF1B4">
      <w:pPr>
        <w:pStyle w:val="974"/>
        <w:snapToGrid w:val="0"/>
        <w:spacing w:beforeLines="0" w:afterLines="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具体调整范围和调整方法由双方在合同中约定或经双方协商一致。调整后的合同总价原则上不得超过经核定的总承包范围对应的投资概算。</w:t>
      </w:r>
    </w:p>
    <w:p w14:paraId="74A917FF">
      <w:pPr>
        <w:pStyle w:val="972"/>
        <w:spacing w:before="0" w:beforeLines="0" w:after="0" w:afterLines="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五、工程总承包项目经理(项目负责人）</w:t>
      </w:r>
    </w:p>
    <w:p w14:paraId="1324D4D2">
      <w:pPr>
        <w:pStyle w:val="843"/>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工程总承包项目经理：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1DBFA31">
      <w:pPr>
        <w:pStyle w:val="972"/>
        <w:spacing w:before="0" w:beforeLines="0" w:after="0" w:afterLines="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六、合同文件构成</w:t>
      </w:r>
    </w:p>
    <w:p w14:paraId="6FA3FF7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w:t>
      </w:r>
    </w:p>
    <w:p w14:paraId="5C5B0DE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中标通知书；</w:t>
      </w:r>
    </w:p>
    <w:p w14:paraId="14A36F7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投标函及投标函附录；</w:t>
      </w:r>
    </w:p>
    <w:p w14:paraId="78564D7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专用合同条件及《采购内容及技术要求》等附件；</w:t>
      </w:r>
    </w:p>
    <w:p w14:paraId="1EDFBDD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通用合同条件；</w:t>
      </w:r>
    </w:p>
    <w:p w14:paraId="7B390F9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经采纳的承包人建议书； </w:t>
      </w:r>
    </w:p>
    <w:p w14:paraId="09D06CA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价格清单；</w:t>
      </w:r>
    </w:p>
    <w:p w14:paraId="279C071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双方约定的其他合同文件。</w:t>
      </w:r>
    </w:p>
    <w:p w14:paraId="09D8D85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上述各项合同文件包括双方就该项合同文件所作出的补充和修改，属于同一类内容的合同文件应以最新签署的为准。专用合同条件及其附件须经合同当事人签字或盖章。</w:t>
      </w:r>
    </w:p>
    <w:p w14:paraId="102D30EC">
      <w:pPr>
        <w:pStyle w:val="972"/>
        <w:spacing w:before="0" w:beforeLines="0" w:after="0" w:afterLines="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七、承诺</w:t>
      </w:r>
    </w:p>
    <w:p w14:paraId="025B2F2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发包人承诺按照法律规定履行项目审批手续、筹集工程建设资金并按照合同约定的期限和方式支付合同价款。</w:t>
      </w:r>
    </w:p>
    <w:p w14:paraId="3CCE328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承包人承诺按照法律规定及合同约定组织完成工程的设计、采购和施工等工作，确保工程质量和安全，不进行转包及违法分包，并在缺陷责任期及保修期内承担相应的工程维修责任。</w:t>
      </w:r>
    </w:p>
    <w:p w14:paraId="11A3D3A9">
      <w:pPr>
        <w:pStyle w:val="972"/>
        <w:spacing w:before="0" w:beforeLines="0" w:after="0" w:afterLines="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八、订立时间</w:t>
      </w:r>
    </w:p>
    <w:p w14:paraId="6B5EF03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日订立。</w:t>
      </w:r>
    </w:p>
    <w:p w14:paraId="360C1D8C">
      <w:pPr>
        <w:pStyle w:val="972"/>
        <w:spacing w:before="0" w:beforeLines="0" w:after="0" w:afterLines="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九、订立地点</w:t>
      </w:r>
    </w:p>
    <w:p w14:paraId="6C906A9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订立。</w:t>
      </w:r>
    </w:p>
    <w:p w14:paraId="111A5520">
      <w:pPr>
        <w:pStyle w:val="972"/>
        <w:spacing w:before="0" w:beforeLines="0" w:after="0" w:afterLines="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十、合同生效</w:t>
      </w:r>
    </w:p>
    <w:p w14:paraId="3689325B">
      <w:pPr>
        <w:pStyle w:val="843"/>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本合同经双方盖章后成立。</w:t>
      </w:r>
    </w:p>
    <w:p w14:paraId="59CC05D0">
      <w:pPr>
        <w:pStyle w:val="972"/>
        <w:spacing w:before="0" w:beforeLines="0" w:after="0" w:afterLines="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十一、合同份数</w:t>
      </w:r>
    </w:p>
    <w:p w14:paraId="25558DAD">
      <w:pPr>
        <w:pStyle w:val="843"/>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份，均具有同等法律效力，发包人执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份，承包人执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6D8389CF">
      <w:pPr>
        <w:pStyle w:val="843"/>
        <w:spacing w:beforeLines="0" w:afterLines="0" w:line="360" w:lineRule="auto"/>
        <w:ind w:firstLine="600"/>
        <w:rPr>
          <w:rFonts w:hint="eastAsia" w:ascii="仿宋" w:hAnsi="仿宋" w:eastAsia="仿宋" w:cs="仿宋"/>
          <w:color w:val="auto"/>
          <w:sz w:val="24"/>
          <w:szCs w:val="24"/>
          <w:highlight w:val="none"/>
        </w:rPr>
      </w:pPr>
    </w:p>
    <w:tbl>
      <w:tblPr>
        <w:tblStyle w:val="64"/>
        <w:tblpPr w:leftFromText="180" w:rightFromText="180" w:vertAnchor="text" w:horzAnchor="page" w:tblpX="1702" w:tblpY="1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7"/>
        <w:gridCol w:w="4565"/>
      </w:tblGrid>
      <w:tr w14:paraId="496C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7" w:type="dxa"/>
            <w:tcBorders>
              <w:top w:val="nil"/>
              <w:left w:val="nil"/>
              <w:bottom w:val="nil"/>
              <w:right w:val="nil"/>
              <w:tl2br w:val="nil"/>
              <w:tr2bl w:val="nil"/>
            </w:tcBorders>
            <w:noWrap/>
            <w:vAlign w:val="top"/>
          </w:tcPr>
          <w:p w14:paraId="2491C401">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发包人：（公章）</w:t>
            </w:r>
          </w:p>
          <w:p w14:paraId="0CEC13C7">
            <w:pPr>
              <w:pStyle w:val="975"/>
              <w:spacing w:beforeLines="0" w:afterLines="0" w:line="360" w:lineRule="auto"/>
              <w:ind w:firstLine="420"/>
              <w:rPr>
                <w:rFonts w:hint="eastAsia" w:ascii="仿宋" w:hAnsi="仿宋" w:eastAsia="仿宋" w:cs="仿宋"/>
                <w:color w:val="auto"/>
                <w:sz w:val="24"/>
                <w:szCs w:val="24"/>
                <w:highlight w:val="none"/>
              </w:rPr>
            </w:pPr>
          </w:p>
          <w:p w14:paraId="63ED2407">
            <w:pPr>
              <w:pStyle w:val="975"/>
              <w:spacing w:beforeLines="0" w:afterLines="0" w:line="360" w:lineRule="auto"/>
              <w:ind w:firstLine="420"/>
              <w:rPr>
                <w:rFonts w:hint="eastAsia" w:ascii="仿宋" w:hAnsi="仿宋" w:eastAsia="仿宋" w:cs="仿宋"/>
                <w:color w:val="auto"/>
                <w:sz w:val="24"/>
                <w:szCs w:val="24"/>
                <w:highlight w:val="none"/>
              </w:rPr>
            </w:pPr>
          </w:p>
        </w:tc>
        <w:tc>
          <w:tcPr>
            <w:tcW w:w="4565" w:type="dxa"/>
            <w:tcBorders>
              <w:top w:val="nil"/>
              <w:left w:val="nil"/>
              <w:bottom w:val="nil"/>
              <w:right w:val="nil"/>
              <w:tl2br w:val="nil"/>
              <w:tr2bl w:val="nil"/>
            </w:tcBorders>
            <w:noWrap/>
            <w:vAlign w:val="top"/>
          </w:tcPr>
          <w:p w14:paraId="3E9E6C65">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承包人：（公章）</w:t>
            </w:r>
          </w:p>
          <w:p w14:paraId="1344C57E">
            <w:pPr>
              <w:pStyle w:val="975"/>
              <w:spacing w:beforeLines="0" w:afterLines="0" w:line="360" w:lineRule="auto"/>
              <w:ind w:firstLine="420"/>
              <w:rPr>
                <w:rFonts w:hint="eastAsia" w:ascii="仿宋" w:hAnsi="仿宋" w:eastAsia="仿宋" w:cs="仿宋"/>
                <w:color w:val="auto"/>
                <w:sz w:val="24"/>
                <w:szCs w:val="24"/>
                <w:highlight w:val="none"/>
              </w:rPr>
            </w:pPr>
          </w:p>
          <w:p w14:paraId="23DC9834">
            <w:pPr>
              <w:pStyle w:val="975"/>
              <w:spacing w:beforeLines="0" w:afterLines="0" w:line="360" w:lineRule="auto"/>
              <w:ind w:firstLine="420"/>
              <w:rPr>
                <w:rFonts w:hint="eastAsia" w:ascii="仿宋" w:hAnsi="仿宋" w:eastAsia="仿宋" w:cs="仿宋"/>
                <w:color w:val="auto"/>
                <w:sz w:val="24"/>
                <w:szCs w:val="24"/>
                <w:highlight w:val="none"/>
              </w:rPr>
            </w:pPr>
          </w:p>
        </w:tc>
      </w:tr>
      <w:tr w14:paraId="4A94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4507" w:type="dxa"/>
            <w:tcBorders>
              <w:top w:val="nil"/>
              <w:left w:val="nil"/>
              <w:bottom w:val="nil"/>
              <w:right w:val="nil"/>
              <w:tl2br w:val="nil"/>
              <w:tr2bl w:val="nil"/>
            </w:tcBorders>
            <w:noWrap/>
            <w:vAlign w:val="top"/>
          </w:tcPr>
          <w:p w14:paraId="5D584AED">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p>
          <w:p w14:paraId="0561B938">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p>
        </w:tc>
        <w:tc>
          <w:tcPr>
            <w:tcW w:w="4565" w:type="dxa"/>
            <w:tcBorders>
              <w:top w:val="nil"/>
              <w:left w:val="nil"/>
              <w:bottom w:val="nil"/>
              <w:right w:val="nil"/>
              <w:tl2br w:val="nil"/>
              <w:tr2bl w:val="nil"/>
            </w:tcBorders>
            <w:noWrap/>
            <w:vAlign w:val="top"/>
          </w:tcPr>
          <w:p w14:paraId="18DAECB4">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p>
          <w:p w14:paraId="088CE1B6">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p>
        </w:tc>
      </w:tr>
      <w:tr w14:paraId="793E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07" w:type="dxa"/>
            <w:tcBorders>
              <w:top w:val="nil"/>
              <w:left w:val="nil"/>
              <w:bottom w:val="nil"/>
              <w:right w:val="nil"/>
              <w:tl2br w:val="nil"/>
              <w:tr2bl w:val="nil"/>
            </w:tcBorders>
            <w:noWrap/>
            <w:vAlign w:val="top"/>
          </w:tcPr>
          <w:p w14:paraId="5B54DF34">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r>
              <w:rPr>
                <w:rFonts w:hint="eastAsia" w:ascii="仿宋" w:hAnsi="仿宋" w:eastAsia="仿宋" w:cs="仿宋"/>
                <w:color w:val="auto"/>
                <w:kern w:val="0"/>
                <w:sz w:val="24"/>
                <w:szCs w:val="24"/>
                <w:highlight w:val="none"/>
                <w:u w:val="single"/>
              </w:rPr>
              <w:t xml:space="preserve">            </w:t>
            </w:r>
          </w:p>
          <w:p w14:paraId="44205615">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kern w:val="0"/>
                <w:sz w:val="24"/>
                <w:szCs w:val="24"/>
                <w:highlight w:val="none"/>
                <w:u w:val="single"/>
              </w:rPr>
              <w:t xml:space="preserve">                       </w:t>
            </w:r>
          </w:p>
          <w:p w14:paraId="7733307E">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kern w:val="0"/>
                <w:sz w:val="24"/>
                <w:szCs w:val="24"/>
                <w:highlight w:val="none"/>
                <w:u w:val="single"/>
              </w:rPr>
              <w:t xml:space="preserve">                      </w:t>
            </w:r>
          </w:p>
          <w:p w14:paraId="112DC129">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kern w:val="0"/>
                <w:sz w:val="24"/>
                <w:szCs w:val="24"/>
                <w:highlight w:val="none"/>
                <w:u w:val="single"/>
              </w:rPr>
              <w:t xml:space="preserve">                 </w:t>
            </w:r>
          </w:p>
          <w:p w14:paraId="0C80647B">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kern w:val="0"/>
                <w:sz w:val="24"/>
                <w:szCs w:val="24"/>
                <w:highlight w:val="none"/>
                <w:u w:val="single"/>
              </w:rPr>
              <w:t xml:space="preserve">                 </w:t>
            </w:r>
          </w:p>
          <w:p w14:paraId="7E6DEF1C">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kern w:val="0"/>
                <w:sz w:val="24"/>
                <w:szCs w:val="24"/>
                <w:highlight w:val="none"/>
                <w:u w:val="single"/>
              </w:rPr>
              <w:t xml:space="preserve">                       </w:t>
            </w:r>
          </w:p>
          <w:p w14:paraId="2D56965E">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r>
              <w:rPr>
                <w:rFonts w:hint="eastAsia" w:ascii="仿宋" w:hAnsi="仿宋" w:eastAsia="仿宋" w:cs="仿宋"/>
                <w:color w:val="auto"/>
                <w:kern w:val="0"/>
                <w:sz w:val="24"/>
                <w:szCs w:val="24"/>
                <w:highlight w:val="none"/>
                <w:u w:val="single"/>
              </w:rPr>
              <w:t xml:space="preserve">                      </w:t>
            </w:r>
          </w:p>
          <w:p w14:paraId="4A724258">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kern w:val="0"/>
                <w:sz w:val="24"/>
                <w:szCs w:val="24"/>
                <w:highlight w:val="none"/>
                <w:u w:val="single"/>
              </w:rPr>
              <w:t xml:space="preserve">                    </w:t>
            </w:r>
          </w:p>
          <w:p w14:paraId="0FFDDFC9">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kern w:val="0"/>
                <w:sz w:val="24"/>
                <w:szCs w:val="24"/>
                <w:highlight w:val="none"/>
                <w:u w:val="single"/>
              </w:rPr>
              <w:t xml:space="preserve">                   </w:t>
            </w:r>
          </w:p>
          <w:p w14:paraId="7A06B19D">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r>
              <w:rPr>
                <w:rFonts w:hint="eastAsia" w:ascii="仿宋" w:hAnsi="仿宋" w:eastAsia="仿宋" w:cs="仿宋"/>
                <w:color w:val="auto"/>
                <w:kern w:val="0"/>
                <w:sz w:val="24"/>
                <w:szCs w:val="24"/>
                <w:highlight w:val="none"/>
                <w:u w:val="single"/>
              </w:rPr>
              <w:t xml:space="preserve">                       </w:t>
            </w:r>
          </w:p>
        </w:tc>
        <w:tc>
          <w:tcPr>
            <w:tcW w:w="4565" w:type="dxa"/>
            <w:tcBorders>
              <w:top w:val="nil"/>
              <w:left w:val="nil"/>
              <w:bottom w:val="nil"/>
              <w:right w:val="nil"/>
              <w:tl2br w:val="nil"/>
              <w:tr2bl w:val="nil"/>
            </w:tcBorders>
            <w:noWrap/>
            <w:vAlign w:val="top"/>
          </w:tcPr>
          <w:p w14:paraId="75CA4A2D">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r>
              <w:rPr>
                <w:rFonts w:hint="eastAsia" w:ascii="仿宋" w:hAnsi="仿宋" w:eastAsia="仿宋" w:cs="仿宋"/>
                <w:color w:val="auto"/>
                <w:kern w:val="0"/>
                <w:sz w:val="24"/>
                <w:szCs w:val="24"/>
                <w:highlight w:val="none"/>
                <w:u w:val="single"/>
              </w:rPr>
              <w:t xml:space="preserve">            </w:t>
            </w:r>
          </w:p>
          <w:p w14:paraId="097068BB">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kern w:val="0"/>
                <w:sz w:val="24"/>
                <w:szCs w:val="24"/>
                <w:highlight w:val="none"/>
                <w:u w:val="single"/>
              </w:rPr>
              <w:t xml:space="preserve">                        </w:t>
            </w:r>
          </w:p>
          <w:p w14:paraId="12D0CDB3">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kern w:val="0"/>
                <w:sz w:val="24"/>
                <w:szCs w:val="24"/>
                <w:highlight w:val="none"/>
                <w:u w:val="single"/>
              </w:rPr>
              <w:t xml:space="preserve">                      </w:t>
            </w:r>
          </w:p>
          <w:p w14:paraId="56468864">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kern w:val="0"/>
                <w:sz w:val="24"/>
                <w:szCs w:val="24"/>
                <w:highlight w:val="none"/>
                <w:u w:val="single"/>
              </w:rPr>
              <w:t xml:space="preserve">                  </w:t>
            </w:r>
          </w:p>
          <w:p w14:paraId="3B7D83B3">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kern w:val="0"/>
                <w:sz w:val="24"/>
                <w:szCs w:val="24"/>
                <w:highlight w:val="none"/>
                <w:u w:val="single"/>
              </w:rPr>
              <w:t xml:space="preserve">                 </w:t>
            </w:r>
          </w:p>
          <w:p w14:paraId="2272E253">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kern w:val="0"/>
                <w:sz w:val="24"/>
                <w:szCs w:val="24"/>
                <w:highlight w:val="none"/>
                <w:u w:val="single"/>
              </w:rPr>
              <w:t xml:space="preserve">                       </w:t>
            </w:r>
          </w:p>
          <w:p w14:paraId="18AB7842">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kern w:val="0"/>
                <w:sz w:val="24"/>
                <w:szCs w:val="24"/>
                <w:highlight w:val="none"/>
                <w:u w:val="single"/>
              </w:rPr>
              <w:t xml:space="preserve">                       </w:t>
            </w:r>
          </w:p>
          <w:p w14:paraId="217AB30A">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kern w:val="0"/>
                <w:sz w:val="24"/>
                <w:szCs w:val="24"/>
                <w:highlight w:val="none"/>
                <w:u w:val="single"/>
              </w:rPr>
              <w:t xml:space="preserve">                   </w:t>
            </w:r>
          </w:p>
          <w:p w14:paraId="34172DE8">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kern w:val="0"/>
                <w:sz w:val="24"/>
                <w:szCs w:val="24"/>
                <w:highlight w:val="none"/>
                <w:u w:val="single"/>
              </w:rPr>
              <w:t xml:space="preserve">                   </w:t>
            </w:r>
          </w:p>
          <w:p w14:paraId="72E0CA84">
            <w:pPr>
              <w:pStyle w:val="975"/>
              <w:spacing w:beforeLines="0" w:afterLines="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r>
              <w:rPr>
                <w:rFonts w:hint="eastAsia" w:ascii="仿宋" w:hAnsi="仿宋" w:eastAsia="仿宋" w:cs="仿宋"/>
                <w:color w:val="auto"/>
                <w:sz w:val="24"/>
                <w:szCs w:val="24"/>
                <w:highlight w:val="none"/>
                <w:u w:val="single"/>
              </w:rPr>
              <w:t xml:space="preserve">                       </w:t>
            </w:r>
          </w:p>
        </w:tc>
      </w:tr>
    </w:tbl>
    <w:p w14:paraId="7D94316D">
      <w:pPr>
        <w:pStyle w:val="843"/>
        <w:spacing w:beforeLines="0" w:after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p>
    <w:p w14:paraId="5833CD23">
      <w:pPr>
        <w:pStyle w:val="843"/>
        <w:spacing w:beforeLines="0" w:afterLines="0" w:line="360" w:lineRule="auto"/>
        <w:rPr>
          <w:rFonts w:hint="eastAsia" w:ascii="仿宋" w:hAnsi="仿宋" w:eastAsia="仿宋" w:cs="仿宋"/>
          <w:color w:val="auto"/>
          <w:sz w:val="24"/>
          <w:szCs w:val="24"/>
          <w:highlight w:val="none"/>
        </w:rPr>
      </w:pPr>
    </w:p>
    <w:p w14:paraId="45277C27">
      <w:pPr>
        <w:pStyle w:val="843"/>
        <w:spacing w:beforeLines="0" w:afterLines="0" w:line="360" w:lineRule="auto"/>
        <w:rPr>
          <w:rFonts w:hint="eastAsia" w:ascii="仿宋" w:hAnsi="仿宋" w:eastAsia="仿宋" w:cs="仿宋"/>
          <w:color w:val="auto"/>
          <w:sz w:val="24"/>
          <w:szCs w:val="24"/>
          <w:highlight w:val="none"/>
        </w:rPr>
      </w:pPr>
    </w:p>
    <w:p w14:paraId="7CE4062D">
      <w:pPr>
        <w:pStyle w:val="843"/>
        <w:spacing w:beforeLines="0" w:afterLines="0" w:line="360" w:lineRule="auto"/>
        <w:rPr>
          <w:rFonts w:hint="eastAsia" w:ascii="仿宋" w:hAnsi="仿宋" w:eastAsia="仿宋" w:cs="仿宋"/>
          <w:color w:val="auto"/>
          <w:sz w:val="24"/>
          <w:szCs w:val="24"/>
          <w:highlight w:val="none"/>
        </w:rPr>
      </w:pPr>
    </w:p>
    <w:p w14:paraId="5D94E788">
      <w:pPr>
        <w:pStyle w:val="970"/>
        <w:keepNext w:val="0"/>
        <w:keepLines w:val="0"/>
        <w:widowControl/>
        <w:numPr>
          <w:ilvl w:val="0"/>
          <w:numId w:val="2"/>
        </w:numPr>
        <w:autoSpaceDN w:val="0"/>
        <w:adjustRightInd w:val="0"/>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通用合同条件</w:t>
      </w:r>
    </w:p>
    <w:p w14:paraId="6AC3F374">
      <w:pPr>
        <w:pStyle w:val="843"/>
        <w:spacing w:beforeLines="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（略）</w:t>
      </w:r>
    </w:p>
    <w:p w14:paraId="7705837D">
      <w:pPr>
        <w:pStyle w:val="970"/>
        <w:keepNext w:val="0"/>
        <w:keepLines w:val="0"/>
        <w:widowControl/>
        <w:adjustRightInd w:val="0"/>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专用合同条件</w:t>
      </w:r>
    </w:p>
    <w:p w14:paraId="0ABF0EF5">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第1条 一般约定</w:t>
      </w:r>
    </w:p>
    <w:p w14:paraId="753AB28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词语定义和解释</w:t>
      </w:r>
    </w:p>
    <w:p w14:paraId="5DCC780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合同</w:t>
      </w:r>
    </w:p>
    <w:p w14:paraId="4D7AFEF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1.1.1.10 其他合同文件：</w:t>
      </w:r>
      <w:r>
        <w:rPr>
          <w:rFonts w:hint="eastAsia" w:ascii="仿宋" w:hAnsi="仿宋" w:eastAsia="仿宋" w:cs="仿宋"/>
          <w:color w:val="auto"/>
          <w:sz w:val="24"/>
          <w:szCs w:val="24"/>
          <w:highlight w:val="none"/>
          <w:u w:val="single"/>
        </w:rPr>
        <w:t>招标文件、补充文件、投标文件，询标纪要，双方在履行合同过程中形成的双方授权代表签署的会议纪要、备忘录、和洽商等书面形式的文件</w:t>
      </w:r>
      <w:r>
        <w:rPr>
          <w:rFonts w:hint="eastAsia" w:ascii="仿宋" w:hAnsi="仿宋" w:eastAsia="仿宋" w:cs="仿宋"/>
          <w:color w:val="auto"/>
          <w:sz w:val="24"/>
          <w:szCs w:val="24"/>
          <w:highlight w:val="none"/>
        </w:rPr>
        <w:t>。</w:t>
      </w:r>
    </w:p>
    <w:p w14:paraId="08CE230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工程和设备</w:t>
      </w:r>
    </w:p>
    <w:p w14:paraId="63A8336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1.1.3.5 单位/区段工程的范围：</w:t>
      </w:r>
      <w:r>
        <w:rPr>
          <w:rFonts w:hint="eastAsia" w:ascii="仿宋" w:hAnsi="仿宋" w:eastAsia="仿宋" w:cs="仿宋"/>
          <w:color w:val="auto"/>
          <w:sz w:val="24"/>
          <w:szCs w:val="24"/>
          <w:highlight w:val="none"/>
          <w:u w:val="single"/>
        </w:rPr>
        <w:t xml:space="preserve"> /   </w:t>
      </w:r>
    </w:p>
    <w:p w14:paraId="6DC3296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1.1.3.9 作为施工场所组成部分的其他场所包括：</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EA8599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1.1.3.10 永久占地包括：</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B83527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1.1.3.11 临时占地包括：</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D4E0D7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语言文字</w:t>
      </w:r>
    </w:p>
    <w:p w14:paraId="05DB771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本合同除使用汉语外，还使用</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语言。</w:t>
      </w:r>
    </w:p>
    <w:p w14:paraId="62D6905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法律</w:t>
      </w:r>
    </w:p>
    <w:p w14:paraId="53BE4E6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适用于合同的其他规范性文件：</w:t>
      </w:r>
    </w:p>
    <w:p w14:paraId="32F4B648">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1.3.1《浙江省房屋建筑和市政基础设施项目工程总承包计价规则》（2018版）</w:t>
      </w:r>
    </w:p>
    <w:p w14:paraId="5DADA1DD">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1.3.2《关于颁发浙江省建设工程计价依据（2018版）的通知》浙建建﹝2018﹞61号；</w:t>
      </w:r>
    </w:p>
    <w:p w14:paraId="7408B3D0">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1.3.3《关于进一步加强杭州市建设工程市场要素价格动态管理的指导意见》（杭建市发〔2018〕579 号）；</w:t>
      </w:r>
    </w:p>
    <w:p w14:paraId="3FC8AC01">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1.3.4省市建设行政部门颁发的其他现行有效文件(包括但不仅限于以下文件)：</w:t>
      </w:r>
    </w:p>
    <w:p w14:paraId="163A055D">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（1）《关于巩固 G20 杭州峰会成果进一步加强建设工程文明施工管理的若干意见》（杭建工发〔2017〕112 号）；</w:t>
      </w:r>
    </w:p>
    <w:p w14:paraId="6C26D557">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（2）《杭州市建设领域农民工“无欠薪”管理实施细则（试行）》（杭建市〔2018〕161号）；</w:t>
      </w:r>
    </w:p>
    <w:p w14:paraId="369FDBCB">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（3）《关于在全省工程建设领域改革保证金制度的通知》（浙建〔2020〕7号）；</w:t>
      </w:r>
    </w:p>
    <w:p w14:paraId="67FB5A9A">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（4）《杭州市人民政府关于修改〈杭州市城市管理相对集中行政处罚权实施办法〉等16件市政府规章部分条款的决定》（杭州市人民政府令第320号）；</w:t>
      </w:r>
    </w:p>
    <w:p w14:paraId="184BEC2F">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（5）《杭州市建筑市场管理若干规定》（杭州市人民政府令第277号，第320号修改）；</w:t>
      </w:r>
    </w:p>
    <w:p w14:paraId="01CC1B39">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（6）《杭州市建设工程文明施工管理规定》（杭州市人民政府令第278号，第320号修改）；</w:t>
      </w:r>
    </w:p>
    <w:p w14:paraId="6E593C88">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（7）《杭州市建设工程施工安全管理条例》（杭州市人民代表大会常务委员会公告第40号）；</w:t>
      </w:r>
    </w:p>
    <w:p w14:paraId="35EC72A4">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（8）《关于打造“文明工地”创建全国文明城市活动实施方案》（杭建监总〔2011〕21号）；</w:t>
      </w:r>
    </w:p>
    <w:p w14:paraId="327A8C0D">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（9）《关于进一步明确本市政府投资项目工程结算审查费用管理相关事项的通知》（杭财基〔2014〕109号）；</w:t>
      </w:r>
    </w:p>
    <w:p w14:paraId="0CF7E0BC">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（10）《关于在招投标活动中对渣土处置相关事项的通知》（杭州市建设工程招标投标管理办公室）；</w:t>
      </w:r>
    </w:p>
    <w:p w14:paraId="2C13F0B0">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（11）《关于在房屋建筑和市政基础设施工程中推行施工过程结算的实施意见》（浙建〔2020〕5号）；</w:t>
      </w:r>
    </w:p>
    <w:p w14:paraId="6051A152">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12）《关于发布杭州市工程渣土消纳市场信息价的通知》杭渣土领〔2020〕1号及《关于明确杭州市工程渣土运输及消纳项目计价清单和报价口径的通知》，关于明确杭州市工程渣土运输及消纳项目计价清单编制和报价口径的通知； </w:t>
      </w:r>
    </w:p>
    <w:p w14:paraId="1EB79CD3">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（13）《杭州市政府投资项目概算管理办法（试行）》（杭发改投资〔2013〕422 号）；</w:t>
      </w:r>
    </w:p>
    <w:p w14:paraId="54ED1D3A">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（14）《关于转发省造价管理总站&lt;关于发布营改增后浙江省建设工程施工取费费率的通知&gt;的通知》（杭建造价投资办〔2016〕23 号）；</w:t>
      </w:r>
    </w:p>
    <w:p w14:paraId="42C62DA8">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（15）其他：国家现行法律法规、标准规范及浙江省、杭州市、西湖区相关的法律 法规、标准规范等。</w:t>
      </w:r>
    </w:p>
    <w:p w14:paraId="202271D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标准和规范</w:t>
      </w:r>
    </w:p>
    <w:p w14:paraId="248F5584">
      <w:pPr>
        <w:pStyle w:val="60"/>
        <w:widowControl/>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1.4.1 适用于本合同的标准、规范（名称）包括：</w:t>
      </w:r>
      <w:r>
        <w:rPr>
          <w:rFonts w:hint="eastAsia" w:ascii="仿宋" w:hAnsi="仿宋" w:eastAsia="仿宋" w:cs="仿宋"/>
          <w:color w:val="auto"/>
          <w:sz w:val="24"/>
          <w:szCs w:val="24"/>
          <w:highlight w:val="none"/>
          <w:u w:val="single"/>
          <w:lang w:bidi="ar"/>
        </w:rPr>
        <w:t>《中华人民共和国民法典》、《中华人民共和国建筑法》、《中华人民共和国招标投标法》和《建筑工程质量管理条例》等国家颁布的有关法律、行政法规，建设部（或专业部门）规章及工程所在地的地方性（省、市、县）法规、规章</w:t>
      </w:r>
      <w:r>
        <w:rPr>
          <w:rFonts w:hint="eastAsia" w:ascii="仿宋" w:hAnsi="仿宋" w:eastAsia="仿宋" w:cs="仿宋"/>
          <w:color w:val="auto"/>
          <w:sz w:val="24"/>
          <w:szCs w:val="24"/>
          <w:highlight w:val="none"/>
          <w:u w:val="single"/>
        </w:rPr>
        <w:t>。</w:t>
      </w:r>
    </w:p>
    <w:p w14:paraId="5B5ADB8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发包人提供的国外标准、规范的名称：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；发包人提供的国外标准、规范的份数：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；发包人提供的国外标准、规范的时间：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554D29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没有成文规范、标准规定的约定：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ADFA27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发包人对于工程的技术标准、功能要求：</w:t>
      </w:r>
      <w:r>
        <w:rPr>
          <w:rFonts w:hint="eastAsia" w:ascii="仿宋" w:hAnsi="仿宋" w:eastAsia="仿宋" w:cs="仿宋"/>
          <w:color w:val="auto"/>
          <w:sz w:val="24"/>
          <w:szCs w:val="24"/>
          <w:highlight w:val="none"/>
          <w:u w:val="single"/>
        </w:rPr>
        <w:t xml:space="preserve"> 按现行国家、行业或地方标准要求 </w:t>
      </w:r>
      <w:r>
        <w:rPr>
          <w:rFonts w:hint="eastAsia" w:ascii="仿宋" w:hAnsi="仿宋" w:eastAsia="仿宋" w:cs="仿宋"/>
          <w:color w:val="auto"/>
          <w:sz w:val="24"/>
          <w:szCs w:val="24"/>
          <w:highlight w:val="none"/>
        </w:rPr>
        <w:t>。</w:t>
      </w:r>
    </w:p>
    <w:p w14:paraId="11B3720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合同文件的优先顺序</w:t>
      </w:r>
    </w:p>
    <w:p w14:paraId="02F8053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合同文件组成及优先顺序为：</w:t>
      </w:r>
      <w:r>
        <w:rPr>
          <w:rFonts w:hint="eastAsia" w:ascii="仿宋" w:hAnsi="仿宋" w:eastAsia="仿宋" w:cs="仿宋"/>
          <w:color w:val="auto"/>
          <w:sz w:val="24"/>
          <w:szCs w:val="24"/>
          <w:highlight w:val="none"/>
          <w:u w:val="single"/>
        </w:rPr>
        <w:t>按通用条款</w:t>
      </w:r>
      <w:r>
        <w:rPr>
          <w:rFonts w:hint="eastAsia" w:ascii="仿宋" w:hAnsi="仿宋" w:eastAsia="仿宋" w:cs="仿宋"/>
          <w:color w:val="auto"/>
          <w:sz w:val="24"/>
          <w:szCs w:val="24"/>
          <w:highlight w:val="none"/>
        </w:rPr>
        <w:t>。</w:t>
      </w:r>
    </w:p>
    <w:p w14:paraId="372E2CB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文件的提供和照管</w:t>
      </w:r>
    </w:p>
    <w:p w14:paraId="0152819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发包人文件的提供</w:t>
      </w:r>
    </w:p>
    <w:p w14:paraId="7244814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发包人文件的提供期限、名称、数量和形式：</w:t>
      </w:r>
      <w:r>
        <w:rPr>
          <w:rFonts w:hint="eastAsia" w:ascii="仿宋" w:hAnsi="仿宋" w:eastAsia="仿宋" w:cs="仿宋"/>
          <w:color w:val="auto"/>
          <w:sz w:val="24"/>
          <w:szCs w:val="24"/>
          <w:highlight w:val="none"/>
          <w:u w:val="single"/>
        </w:rPr>
        <w:t xml:space="preserve"> /   </w:t>
      </w:r>
    </w:p>
    <w:p w14:paraId="026D3F6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承包人文件的提供</w:t>
      </w:r>
    </w:p>
    <w:p w14:paraId="7F23A479">
      <w:pPr>
        <w:pStyle w:val="60"/>
        <w:widowControl/>
        <w:snapToGrid w:val="0"/>
        <w:spacing w:beforeLines="0" w:afterLines="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承包人文件的内容、提供期限、名称、数量和形式：</w:t>
      </w:r>
    </w:p>
    <w:p w14:paraId="0267C96C">
      <w:pPr>
        <w:pStyle w:val="60"/>
        <w:widowControl/>
        <w:snapToGrid w:val="0"/>
        <w:spacing w:beforeLines="0" w:afterLines="0"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（1）设计文件：数量与内容应满足各种必要的审查、审批、备案需要；时间满足进度计划要求。 </w:t>
      </w:r>
    </w:p>
    <w:p w14:paraId="3543759D">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施工资料：内容包括施工管理资料、施工技术资料、进度造价资料、施工物资资料、施工记录、施工试验记录与检测报告、施工质量验收记录等，以及第三方监测单位出具施工监测资料。除本专用合同条件其他条款明确提供时间外，提供期限、形式按发包人、监理单位的要求执行。</w:t>
      </w:r>
      <w:r>
        <w:rPr>
          <w:rFonts w:hint="eastAsia" w:ascii="仿宋" w:hAnsi="仿宋" w:eastAsia="仿宋" w:cs="仿宋"/>
          <w:color w:val="auto"/>
          <w:sz w:val="24"/>
          <w:szCs w:val="24"/>
          <w:highlight w:val="none"/>
        </w:rPr>
        <w:t xml:space="preserve"> </w:t>
      </w:r>
    </w:p>
    <w:p w14:paraId="352450B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文件的照管</w:t>
      </w:r>
    </w:p>
    <w:p w14:paraId="47C52A3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关于现场文件准备的约定：</w:t>
      </w:r>
      <w:r>
        <w:rPr>
          <w:rFonts w:hint="eastAsia" w:ascii="仿宋" w:hAnsi="仿宋" w:eastAsia="仿宋" w:cs="仿宋"/>
          <w:color w:val="auto"/>
          <w:sz w:val="24"/>
          <w:szCs w:val="24"/>
          <w:highlight w:val="none"/>
          <w:u w:val="single"/>
          <w:lang w:bidi="ar"/>
        </w:rPr>
        <w:t>承包人应在施工现场准备图纸、投标文件、施工合同及其他发包人要求的与工程相关文件，供发包人及有关人员进行工程检查时使用</w:t>
      </w:r>
      <w:r>
        <w:rPr>
          <w:rFonts w:hint="eastAsia" w:ascii="仿宋" w:hAnsi="仿宋" w:eastAsia="仿宋" w:cs="仿宋"/>
          <w:color w:val="auto"/>
          <w:sz w:val="24"/>
          <w:szCs w:val="24"/>
          <w:highlight w:val="none"/>
        </w:rPr>
        <w:t>。</w:t>
      </w:r>
    </w:p>
    <w:p w14:paraId="67F812A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联络</w:t>
      </w:r>
    </w:p>
    <w:p w14:paraId="230D9F3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发包人指定的送达方式（包括电子传输方式）：</w:t>
      </w:r>
      <w:r>
        <w:rPr>
          <w:rFonts w:hint="eastAsia" w:ascii="仿宋" w:hAnsi="仿宋" w:eastAsia="仿宋" w:cs="仿宋"/>
          <w:color w:val="auto"/>
          <w:sz w:val="24"/>
          <w:szCs w:val="24"/>
          <w:highlight w:val="none"/>
          <w:u w:val="single"/>
        </w:rPr>
        <w:t xml:space="preserve">书面、电子邮件   </w:t>
      </w:r>
      <w:r>
        <w:rPr>
          <w:rFonts w:hint="eastAsia" w:ascii="仿宋" w:hAnsi="仿宋" w:eastAsia="仿宋" w:cs="仿宋"/>
          <w:color w:val="auto"/>
          <w:sz w:val="24"/>
          <w:szCs w:val="24"/>
          <w:highlight w:val="none"/>
        </w:rPr>
        <w:t>。</w:t>
      </w:r>
    </w:p>
    <w:p w14:paraId="419481A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发包人的送达地址：</w:t>
      </w:r>
      <w:r>
        <w:rPr>
          <w:rFonts w:hint="eastAsia" w:ascii="仿宋" w:hAnsi="仿宋" w:eastAsia="仿宋" w:cs="仿宋"/>
          <w:color w:val="auto"/>
          <w:sz w:val="24"/>
          <w:szCs w:val="24"/>
          <w:highlight w:val="none"/>
          <w:u w:val="single"/>
        </w:rPr>
        <w:t xml:space="preserve">工程项目部或其承包人项目组电子邮箱   </w:t>
      </w:r>
      <w:r>
        <w:rPr>
          <w:rFonts w:hint="eastAsia" w:ascii="仿宋" w:hAnsi="仿宋" w:eastAsia="仿宋" w:cs="仿宋"/>
          <w:color w:val="auto"/>
          <w:sz w:val="24"/>
          <w:szCs w:val="24"/>
          <w:highlight w:val="none"/>
        </w:rPr>
        <w:t>。</w:t>
      </w:r>
    </w:p>
    <w:p w14:paraId="0E50892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承包人指定的送达方式（包括电子传输方式）： </w:t>
      </w:r>
      <w:r>
        <w:rPr>
          <w:rFonts w:hint="eastAsia" w:ascii="仿宋" w:hAnsi="仿宋" w:eastAsia="仿宋" w:cs="仿宋"/>
          <w:color w:val="auto"/>
          <w:sz w:val="24"/>
          <w:szCs w:val="24"/>
          <w:highlight w:val="none"/>
          <w:u w:val="single"/>
        </w:rPr>
        <w:t xml:space="preserve"> 书面、电子邮件    </w:t>
      </w:r>
      <w:r>
        <w:rPr>
          <w:rFonts w:hint="eastAsia" w:ascii="仿宋" w:hAnsi="仿宋" w:eastAsia="仿宋" w:cs="仿宋"/>
          <w:color w:val="auto"/>
          <w:sz w:val="24"/>
          <w:szCs w:val="24"/>
          <w:highlight w:val="none"/>
        </w:rPr>
        <w:t>。</w:t>
      </w:r>
    </w:p>
    <w:p w14:paraId="673DE0E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承包人的送达地址：</w:t>
      </w:r>
      <w:r>
        <w:rPr>
          <w:rFonts w:hint="eastAsia" w:ascii="仿宋" w:hAnsi="仿宋" w:eastAsia="仿宋" w:cs="仿宋"/>
          <w:color w:val="auto"/>
          <w:sz w:val="24"/>
          <w:szCs w:val="24"/>
          <w:highlight w:val="none"/>
          <w:u w:val="single"/>
        </w:rPr>
        <w:t xml:space="preserve">  工程项目部或其发包人指定电子邮箱       </w:t>
      </w:r>
      <w:r>
        <w:rPr>
          <w:rFonts w:hint="eastAsia" w:ascii="仿宋" w:hAnsi="仿宋" w:eastAsia="仿宋" w:cs="仿宋"/>
          <w:color w:val="auto"/>
          <w:sz w:val="24"/>
          <w:szCs w:val="24"/>
          <w:highlight w:val="none"/>
        </w:rPr>
        <w:t>。</w:t>
      </w:r>
    </w:p>
    <w:p w14:paraId="6491F94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 知识产权</w:t>
      </w:r>
    </w:p>
    <w:p w14:paraId="1A1FBA9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 由发包人（或以发包人名义）编制的《采购内容及技术要求》和其他文件的著作权归属：</w:t>
      </w:r>
      <w:r>
        <w:rPr>
          <w:rFonts w:hint="eastAsia" w:ascii="仿宋" w:hAnsi="仿宋" w:eastAsia="仿宋" w:cs="仿宋"/>
          <w:color w:val="auto"/>
          <w:sz w:val="24"/>
          <w:szCs w:val="24"/>
          <w:highlight w:val="none"/>
          <w:u w:val="single"/>
        </w:rPr>
        <w:t xml:space="preserve">   归属发包人          </w:t>
      </w:r>
      <w:r>
        <w:rPr>
          <w:rFonts w:hint="eastAsia" w:ascii="仿宋" w:hAnsi="仿宋" w:eastAsia="仿宋" w:cs="仿宋"/>
          <w:color w:val="auto"/>
          <w:sz w:val="24"/>
          <w:szCs w:val="24"/>
          <w:highlight w:val="none"/>
        </w:rPr>
        <w:t>。</w:t>
      </w:r>
    </w:p>
    <w:p w14:paraId="1B6773E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1.10.2 由承包人（或以承包人名义）为实施工程所编制的文件、承包人完成的设计工作成果和建造完成的建筑物的知识产权归属：</w:t>
      </w:r>
      <w:r>
        <w:rPr>
          <w:rFonts w:hint="eastAsia" w:ascii="仿宋" w:hAnsi="仿宋" w:eastAsia="仿宋" w:cs="仿宋"/>
          <w:color w:val="auto"/>
          <w:sz w:val="24"/>
          <w:szCs w:val="24"/>
          <w:highlight w:val="none"/>
          <w:u w:val="single"/>
        </w:rPr>
        <w:t xml:space="preserve"> 按通用条款约定</w:t>
      </w:r>
      <w:r>
        <w:rPr>
          <w:rFonts w:hint="eastAsia" w:ascii="仿宋" w:hAnsi="仿宋" w:eastAsia="仿宋" w:cs="仿宋"/>
          <w:color w:val="auto"/>
          <w:sz w:val="24"/>
          <w:szCs w:val="24"/>
          <w:highlight w:val="none"/>
        </w:rPr>
        <w:t>。</w:t>
      </w:r>
    </w:p>
    <w:p w14:paraId="493087B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1.10.4 承包人在投标文件中采用的专利、专有技术、技术秘密的使用费的承担方式：</w:t>
      </w:r>
      <w:r>
        <w:rPr>
          <w:rFonts w:hint="eastAsia" w:ascii="仿宋" w:hAnsi="仿宋" w:eastAsia="仿宋" w:cs="仿宋"/>
          <w:color w:val="auto"/>
          <w:sz w:val="24"/>
          <w:szCs w:val="24"/>
          <w:highlight w:val="none"/>
          <w:u w:val="single"/>
        </w:rPr>
        <w:t xml:space="preserve">    已包含在签约合同价中。 </w:t>
      </w:r>
      <w:r>
        <w:rPr>
          <w:rFonts w:hint="eastAsia" w:ascii="仿宋" w:hAnsi="仿宋" w:eastAsia="仿宋" w:cs="仿宋"/>
          <w:color w:val="auto"/>
          <w:sz w:val="24"/>
          <w:szCs w:val="24"/>
          <w:highlight w:val="none"/>
        </w:rPr>
        <w:t>。</w:t>
      </w:r>
    </w:p>
    <w:p w14:paraId="4F564DA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保密</w:t>
      </w:r>
    </w:p>
    <w:p w14:paraId="74C3C40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双方订立的商业保密协议（名称）：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，作为本合同附件。</w:t>
      </w:r>
    </w:p>
    <w:p w14:paraId="7EB050F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双方订立的技术保密协议（名称）：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，作为本合同附件。</w:t>
      </w:r>
    </w:p>
    <w:p w14:paraId="03EB63E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责任限制</w:t>
      </w:r>
    </w:p>
    <w:p w14:paraId="4C5DFD6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承包人对发包人赔偿责任的最高限额为</w:t>
      </w:r>
      <w:r>
        <w:rPr>
          <w:rFonts w:hint="eastAsia" w:ascii="仿宋" w:hAnsi="仿宋" w:eastAsia="仿宋" w:cs="仿宋"/>
          <w:color w:val="auto"/>
          <w:sz w:val="24"/>
          <w:szCs w:val="24"/>
          <w:highlight w:val="none"/>
          <w:u w:val="single"/>
        </w:rPr>
        <w:t xml:space="preserve"> 按通用条款约定   </w:t>
      </w:r>
      <w:r>
        <w:rPr>
          <w:rFonts w:hint="eastAsia" w:ascii="仿宋" w:hAnsi="仿宋" w:eastAsia="仿宋" w:cs="仿宋"/>
          <w:color w:val="auto"/>
          <w:sz w:val="24"/>
          <w:szCs w:val="24"/>
          <w:highlight w:val="none"/>
        </w:rPr>
        <w:t>。</w:t>
      </w:r>
    </w:p>
    <w:p w14:paraId="1477E16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1.13 建筑信息模型技术的应用 </w:t>
      </w:r>
    </w:p>
    <w:p w14:paraId="2DAC161F">
      <w:pPr>
        <w:pStyle w:val="843"/>
        <w:widowControl/>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关于建筑信息模型技术的开发、使用、存储、传输、交付及费用约定如下：</w:t>
      </w:r>
      <w:r>
        <w:rPr>
          <w:rFonts w:hint="eastAsia" w:ascii="仿宋" w:hAnsi="仿宋" w:eastAsia="仿宋" w:cs="仿宋"/>
          <w:color w:val="auto"/>
          <w:sz w:val="24"/>
          <w:szCs w:val="24"/>
          <w:highlight w:val="none"/>
          <w:u w:val="single"/>
        </w:rPr>
        <w:t xml:space="preserve"> 本工程无建筑信息模型技术应用要求</w:t>
      </w:r>
      <w:r>
        <w:rPr>
          <w:rFonts w:hint="eastAsia" w:ascii="仿宋" w:hAnsi="仿宋" w:eastAsia="仿宋" w:cs="仿宋"/>
          <w:color w:val="auto"/>
          <w:sz w:val="24"/>
          <w:szCs w:val="24"/>
          <w:highlight w:val="none"/>
        </w:rPr>
        <w:t>。</w:t>
      </w:r>
    </w:p>
    <w:p w14:paraId="087F1672">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第2条 发包人</w:t>
      </w:r>
    </w:p>
    <w:p w14:paraId="41190C2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提供施工现场和工作条件</w:t>
      </w:r>
    </w:p>
    <w:p w14:paraId="226F21C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提供施工现场</w:t>
      </w:r>
    </w:p>
    <w:p w14:paraId="780866ED">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关于发包人提供施工现场的范围和期限：</w:t>
      </w:r>
      <w:r>
        <w:rPr>
          <w:rFonts w:hint="eastAsia" w:ascii="仿宋" w:hAnsi="仿宋" w:eastAsia="仿宋" w:cs="仿宋"/>
          <w:color w:val="auto"/>
          <w:sz w:val="24"/>
          <w:szCs w:val="24"/>
          <w:highlight w:val="none"/>
          <w:u w:val="single"/>
        </w:rPr>
        <w:t>已具备施工条件。</w:t>
      </w:r>
    </w:p>
    <w:p w14:paraId="2C208EA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提供工作条件</w:t>
      </w:r>
    </w:p>
    <w:p w14:paraId="34D2FAC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关于发包人应负责提供的工作条件包括：</w:t>
      </w:r>
    </w:p>
    <w:p w14:paraId="1A2F7C8A">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将施工用水、电力、通讯线路等施工所必需的条件接至施工现场内；如在签订合同后，临时用水、用电尚未办理完成，须由承包人自行解决临时用水、用电问题并承担相关的费用，且不得以此影响进场准备工作。</w:t>
      </w:r>
    </w:p>
    <w:p w14:paraId="28A7C6DB">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（2）保证向承包人提供正常施工所需要的进入施工现场的交通条件；</w:t>
      </w:r>
    </w:p>
    <w:p w14:paraId="0356C360">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（3）协调处理施工现场周围地下管线和邻近建筑物、构筑物、古树名木、文物、化石及坟墓等的保护工作，并承担相关费用；</w:t>
      </w:r>
    </w:p>
    <w:p w14:paraId="2A06C980">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对工程现场临近发包人正在使用、运行、或由发包人用于生产的建筑物、构筑物、生产装置、设施、设备等，设置隔离设施，竖立禁止入内、禁止动火的明显标志，并以书面形式通知承包人须遵守的安全规定和位置范围。</w:t>
      </w:r>
    </w:p>
    <w:p w14:paraId="4E6A39EC">
      <w:pPr>
        <w:pStyle w:val="843"/>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 提供基础资料</w:t>
      </w:r>
    </w:p>
    <w:p w14:paraId="6F082053">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关于发包人应提供的基础资料的范围和期限：</w:t>
      </w:r>
      <w:r>
        <w:rPr>
          <w:rFonts w:hint="eastAsia" w:ascii="仿宋" w:hAnsi="仿宋" w:eastAsia="仿宋" w:cs="仿宋"/>
          <w:color w:val="auto"/>
          <w:sz w:val="24"/>
          <w:szCs w:val="24"/>
          <w:highlight w:val="none"/>
          <w:u w:val="single"/>
        </w:rPr>
        <w:t xml:space="preserve"> 合同签订后7天内向承包人提供原建筑平面图一份。 </w:t>
      </w:r>
    </w:p>
    <w:p w14:paraId="488C338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支付合同价款</w:t>
      </w:r>
    </w:p>
    <w:p w14:paraId="22D62C4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发包人提供资金来源证明及资金安排的期限要求：</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7E3A2DA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 发包人提供支付担保的形式、期限、金额（或比例）：</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C1B53E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其他义务</w:t>
      </w:r>
    </w:p>
    <w:p w14:paraId="40DB138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发包人应履行的其他义务：</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DD8734A">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第3条 发包人的管理</w:t>
      </w:r>
    </w:p>
    <w:p w14:paraId="4B3F451D">
      <w:pPr>
        <w:pStyle w:val="843"/>
        <w:spacing w:beforeLines="0" w:afterLines="0"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发包人代表</w:t>
      </w:r>
    </w:p>
    <w:p w14:paraId="54E6B37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发包人代表的姓名：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A6A1CB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发包人代表的身份证号：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1EE7AF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发包人代表的职务：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E3D114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发包人代表的联系电话：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B8C0FD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发包人代表的电子邮箱：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8F5472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发包人代表的通信地址：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49503B9">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发包人对发包人代表的授权范围如下：</w:t>
      </w:r>
      <w:r>
        <w:rPr>
          <w:rFonts w:hint="eastAsia" w:ascii="仿宋" w:hAnsi="仿宋" w:eastAsia="仿宋" w:cs="仿宋"/>
          <w:color w:val="auto"/>
          <w:sz w:val="24"/>
          <w:szCs w:val="24"/>
          <w:highlight w:val="none"/>
          <w:u w:val="single"/>
        </w:rPr>
        <w:t>项目总负责，具有设计、施工、采购各阶段的协调管理工作 ；</w:t>
      </w:r>
    </w:p>
    <w:p w14:paraId="2AE3AB8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发包人代表的职责：</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bidi="ar"/>
        </w:rPr>
        <w:t>代表发包人针对本工程做好设计、施工、采购等各阶段管理、协调和监督工作，行使发包人委托的权利，履行发包人的义务。</w:t>
      </w:r>
    </w:p>
    <w:p w14:paraId="08E09EC6">
      <w:pPr>
        <w:pStyle w:val="843"/>
        <w:spacing w:beforeLines="0" w:afterLines="0"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3.2 发包人人员  </w:t>
      </w:r>
    </w:p>
    <w:p w14:paraId="66FB141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发包人人员姓名：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50878E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发包人人员职务：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1E4799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发包人人员职责：</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8566B3A">
      <w:pPr>
        <w:pStyle w:val="843"/>
        <w:spacing w:beforeLines="0" w:afterLines="0"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工程师</w:t>
      </w:r>
    </w:p>
    <w:p w14:paraId="68A4DDE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本工程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E8F3DE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第三方监理公司监督管理范围、内容：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ECD640F">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第三方监理公司权限：</w:t>
      </w:r>
      <w:r>
        <w:rPr>
          <w:rFonts w:hint="eastAsia" w:ascii="仿宋" w:hAnsi="仿宋" w:eastAsia="仿宋" w:cs="仿宋"/>
          <w:color w:val="auto"/>
          <w:sz w:val="24"/>
          <w:szCs w:val="24"/>
          <w:highlight w:val="none"/>
          <w:u w:val="single"/>
        </w:rPr>
        <w:t xml:space="preserve">按建设部、浙江省建设厅规定和发包方委托监理合同所授予的监理工程师职权执行（如工程质量、安全、进度、投资、文明施工等全面管理、月完成产值、联系单和工程结算的审核） </w:t>
      </w:r>
      <w:r>
        <w:rPr>
          <w:rFonts w:hint="eastAsia" w:ascii="仿宋" w:hAnsi="仿宋" w:eastAsia="仿宋" w:cs="仿宋"/>
          <w:color w:val="auto"/>
          <w:sz w:val="24"/>
          <w:szCs w:val="24"/>
          <w:highlight w:val="none"/>
        </w:rPr>
        <w:t>。</w:t>
      </w:r>
    </w:p>
    <w:p w14:paraId="4E03377F">
      <w:pPr>
        <w:pStyle w:val="843"/>
        <w:spacing w:beforeLines="0" w:afterLines="0" w:line="360" w:lineRule="auto"/>
        <w:ind w:firstLine="64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3.6 商定或确定  </w:t>
      </w:r>
    </w:p>
    <w:p w14:paraId="05F58AE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关于商定时间限制的具体约定：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6F7678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关于商定或确定效力的具体约定：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；关于对工程师的确定提出异议的具体约定：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402065B">
      <w:pPr>
        <w:pStyle w:val="843"/>
        <w:spacing w:beforeLines="0" w:afterLines="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会议</w:t>
      </w:r>
    </w:p>
    <w:p w14:paraId="45FC1325">
      <w:pPr>
        <w:pStyle w:val="60"/>
        <w:widowControl/>
        <w:snapToGrid w:val="0"/>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 关于召开会议的具体约定：</w:t>
      </w:r>
      <w:r>
        <w:rPr>
          <w:rFonts w:hint="eastAsia" w:ascii="仿宋" w:hAnsi="仿宋" w:eastAsia="仿宋" w:cs="仿宋"/>
          <w:color w:val="auto"/>
          <w:sz w:val="24"/>
          <w:szCs w:val="24"/>
          <w:highlight w:val="none"/>
          <w:u w:val="single"/>
          <w:lang w:bidi="ar"/>
        </w:rPr>
        <w:t>（1）设计人员应及时到现场协助解决施工中遇到的技术问题，按时参加例会（如有需要）、工程专题会、工程验收会等会议，如不能响应此条款，按2000元/次向发包人承担违约责任。（2）因承包人原因，未能按照合同约定的设计审查阶段及其审查会议的时间安排提交相关阶段的设计文件或提交的相关设计文件不符合相关审查阶段的设计深度要求,造成设计审查会议延误的，由承包人自费采取措施赶上；造成关键路径延误或给发包人造成损失(包括审查会议准备费用)的，由承包人承担。（3）本工程的设计阶段、设计阶段审查会议的组织和时间安排：由承包人负责组织设计阶段审查会议，并承担会议相关费用。（4）承包人的项目经理应按时参加发包人组织的工作会议。施工期间应积极配合发包人要求，承包人在投标时必须予以充分考虑，今后不得擅自调整。（5）发包人或相关主管部门管理认为需召开工作协调会时，承包人应当准时参加，会议上提出的问题必须当场确定解决方案，承包人对其派出与会人员的签字确认负全部责任，并应当执行会议决定， 否则视作未履行合同义务。</w:t>
      </w:r>
    </w:p>
    <w:p w14:paraId="644B2180">
      <w:pPr>
        <w:pStyle w:val="60"/>
        <w:widowControl/>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 关于保存和提供会议纪要的具体约定：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bidi="ar"/>
        </w:rPr>
        <w:t>承包人应保存每次会议参加人签名的记录，并将会议纪要提供给出席会议的人员。任何根据此类会议以及会议纪要采取的行动应符合本合同的约定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0ECE7EA">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第4条 承包人</w:t>
      </w:r>
    </w:p>
    <w:p w14:paraId="2578983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承包人的一般义务</w:t>
      </w:r>
    </w:p>
    <w:p w14:paraId="1AD1B5C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承包人应履行的其他义务：</w:t>
      </w:r>
    </w:p>
    <w:p w14:paraId="69158025">
      <w:pPr>
        <w:pStyle w:val="6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（1）工程总承包，包含所有施工图设计，所有设计成果必须经由发包人认可后方可实施。</w:t>
      </w:r>
    </w:p>
    <w:p w14:paraId="1ECDAFF6">
      <w:pPr>
        <w:pStyle w:val="6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（2）工程主要材料、设备的采购，采购前须经发包人认可方可实施，若未经发包人签字认可擅自采购安装产生的后果由承包人承担。</w:t>
      </w:r>
    </w:p>
    <w:p w14:paraId="5558FB66">
      <w:pPr>
        <w:pStyle w:val="6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（3）工程施工、验收（办理竣工验收备案手续）和保修服务等。</w:t>
      </w:r>
    </w:p>
    <w:p w14:paraId="4DA6590D">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经合同双方商定，承包人应提交的报表类别、名称、内容、报告期、提交的时间和份数：1）合同签订后，承包人立即组织项目推进，提供项目管理规划、项目资金使用计划、审查后的施工图（按照招标文件所列的标准进行设计）工程量清单及预算；需报发包人及其委托的跟踪审计单位的审核；2）每月25日前提供进度计划、资金使用计划；3）每月25日前提供当月完成工程量和工作价款表、安全施工措施费清单及价款、施工质量情况、原材料质量及检查情况、现场签证及设计变更情况。对于实际的进度与已批准的进度计划不符时，不论何种原因，承包人应按发包人批复意见的要求在3天内提交一式八份修订后的进度计划重新报送发包人审批。若承包人因其自身原因未能按批准的进度计划按期完工或完成预定的工作，承包人应采取有效措施赶上进度，承包人收到通知后的3天内按经发包人批准后进度计划编制一式八份赶工措施报告报送发包人审批，承包人应承担采取赶工措施所增加的一切费用。如不按期提供的，发包人有权拒付工程款；4）每周周报应包括上周计划完成情况、上周实际完成情况、下周计划情况（包括工程材料、设备的采购），现场工料机投入，需要协调解决的问题等。以上报表报监理、跟踪审计审核，审核后报发包人；5）设备材料进场时，提交“供应材料设备一览表”，需包含材料设备名称、规格型号、品牌、计量单位、数量、单价、供应时间、送达地点，并附送产品合格证复印件；6）以上条款涉及时间约定的，如确需延长的须经发包人同意。</w:t>
      </w:r>
    </w:p>
    <w:p w14:paraId="3412D158">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承包人承担施工安全保卫工作及夜间施工照明的责任和要求：应办理施工临时手续，施工现场的夜间照明线路必须单独敷设。承包人必须按合同及总承包实施计划进行施工组织，项目部管理人员在所辖工程或分项工程施工期间（包括准备和收尾阶段），均须专职在岗，不得兼任其他项目任何职务。承包人应加强安全生产管理，制定安全操作规程，保证工程施工的安全，承包人应教育其职工进行文明施工，配备必要的安全生产设施和劳动保护用具。承包人应对其管辖范围内的人员和设备（包括发包人的人员和设备）以及工程的安全负责，应负责做好其所辖人员的工作场所和居住区的日常治安管理和安全保护工作，设置必要的消防水源和消防设备。承包人必须对施工现场的用电安全负责。施工现场用电必须遵照杭州市建委颁布的施工现场用电管理条例执行。在工地现场做好警戒告示牌和围护，提醒进入施工现场人员的注意，所发生的费用由承包人承担。如若违规，承包人应按2000元/次向发包人支付违约金，造成甲方和他方损失的，赔偿所有损失，并按有关法律法规处理。</w:t>
      </w:r>
    </w:p>
    <w:p w14:paraId="156E4C6B">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6）承包人办理的有关环卫和施工噪音管理等手续：按有关规定办理质安监、排污、夜间施工等手续，费用自理。若因承包人原因导致的罚款和处罚由承包人承担，由此引起的进度延误不予顺延，造成甲方和他方损失的，乙方赔偿所有损失。 </w:t>
      </w:r>
    </w:p>
    <w:p w14:paraId="4F66EE28">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7）完工工程成品保护的特殊要求及费用承担：工程未正式办理交付手续前，成品保护由承包人完全负责（包括所需费用），如果保护期间发生损坏，承包人须自费予以修复，直至发包人满意为止。交付手续办清后，非质量原因引起的损坏由发包人负责。 </w:t>
      </w:r>
    </w:p>
    <w:p w14:paraId="7B270E57">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施工现场清洁卫生的要求：按《杭州市建筑工程施工场地文明管理规定》的要求执行。工程交接完成后，7天内应清除掉现场内所有不再需要的临时工程、设施、承包人的设备和多余材料、生活垃圾和废物，达到发包人满意的状态。如承包人交接完成7天后仍不清除、修复，发包人可自行完成，发生的费用由承包人承担，从工程款中扣除。</w:t>
      </w:r>
    </w:p>
    <w:p w14:paraId="074D889D">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9）合同履约期间承包人应遵守国家及当地政府发布的法令、法规，包括交通、治安、绿化、噪音、渣土管理、污水排放、外来民工登记等规定。因承包人原因引起的行政处罚等费用，由承包人承担。承包人须教育职工和民工遵纪守法，严禁打架、斗殴、赌博等违法行为发生，由此产生的后果由承包人负责。若发现 1 次，承包人应按 2000 元/次向发包人支付违约金。 </w:t>
      </w:r>
    </w:p>
    <w:p w14:paraId="0918EE2F">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（10）施工时发生异常情况，应及时向发包人单位报告，知情不报引起的工程损失或其他损失由承包人承担。</w:t>
      </w:r>
    </w:p>
    <w:p w14:paraId="26D853FE">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（11）承包人有责任为发包人、质监单位等进行工程检查时免费提供安全保护用具和各种设施的方便。 </w:t>
      </w:r>
    </w:p>
    <w:p w14:paraId="02BCC5A5">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（12）承包人需配备资料员及时开展资料收集工作。竣工验收时必须提供完整的竣工资料，包括竣工图、隐检工程记录资料、性能测试报告及材料、设备的合格证、质保单及使用说明等资料等工程资料。</w:t>
      </w:r>
    </w:p>
    <w:p w14:paraId="49B65016">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（13）承包人应事先到工地踏勘以充分了解工地位置、情况、道路、储存空间、装卸限制等的基础建设等情况、场地现状。任何因忽视或误解工地情况而导致的索赔申请将不获批准。 </w:t>
      </w:r>
    </w:p>
    <w:p w14:paraId="45655FC9">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（14）承包人进场前，需提交施工现场总平面布置图，经发包人的认可或按照发包人的要求修改后，方可进行施工现场布置。</w:t>
      </w:r>
    </w:p>
    <w:p w14:paraId="145A072E">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（15）承包人应考虑自备发电设备，以防止施工过程中的临时停电对工程进度和质量等的影响，费用自理。</w:t>
      </w:r>
    </w:p>
    <w:p w14:paraId="277798F2">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16）承包人在施工过程中不论遇到何种困难，均不得以任何理由（例如发包人未签证费用或签证价格不符合自身主张）擅自停工或变相停工（发包人要求的除外），否则由此造成的一切后果和经济损失均由承包人承担，同时发包人有权处以2000 元/天的处罚。 </w:t>
      </w:r>
    </w:p>
    <w:p w14:paraId="7242E7A8">
      <w:pPr>
        <w:pStyle w:val="60"/>
        <w:widowControl/>
        <w:snapToGrid w:val="0"/>
        <w:spacing w:beforeLines="0" w:afterLines="0" w:line="360" w:lineRule="auto"/>
        <w:ind w:firstLine="6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u w:val="single"/>
        </w:rPr>
        <w:t>（17）渣土外运引起的相关费用（如需以发包人名义办理的保证金等）均由承包人负责缴纳，承包人应及时办理建筑渣土（余土、泥浆）外运和处置的相关手续。</w:t>
      </w:r>
      <w:r>
        <w:rPr>
          <w:rFonts w:hint="eastAsia" w:ascii="仿宋" w:hAnsi="仿宋" w:eastAsia="仿宋" w:cs="仿宋"/>
          <w:color w:val="auto"/>
          <w:sz w:val="24"/>
          <w:szCs w:val="24"/>
          <w:highlight w:val="none"/>
          <w:lang w:bidi="ar"/>
        </w:rPr>
        <w:t xml:space="preserve"> </w:t>
      </w:r>
    </w:p>
    <w:p w14:paraId="277E5D2B">
      <w:pPr>
        <w:pStyle w:val="60"/>
        <w:widowControl/>
        <w:snapToGrid w:val="0"/>
        <w:spacing w:beforeLines="0" w:afterLines="0" w:line="360" w:lineRule="auto"/>
        <w:ind w:firstLine="6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u w:val="single"/>
        </w:rPr>
        <w:t>（18）承包人必须根据国家住建部、省级造价主管部门对造价从业人员执业管理的相关法律法规规定以及国标计价规范的规定编制施工图预算。</w:t>
      </w:r>
      <w:r>
        <w:rPr>
          <w:rFonts w:hint="eastAsia" w:ascii="仿宋" w:hAnsi="仿宋" w:eastAsia="仿宋" w:cs="仿宋"/>
          <w:color w:val="auto"/>
          <w:sz w:val="24"/>
          <w:szCs w:val="24"/>
          <w:highlight w:val="none"/>
          <w:lang w:bidi="ar"/>
        </w:rPr>
        <w:t xml:space="preserve"> </w:t>
      </w:r>
    </w:p>
    <w:p w14:paraId="35669618">
      <w:pPr>
        <w:pStyle w:val="44"/>
        <w:tabs>
          <w:tab w:val="right" w:leader="dot" w:pos="9403"/>
        </w:tabs>
        <w:spacing w:beforeLines="0" w:afterLines="0"/>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（19）承包人必须对发包人提供的材料设备进行保管，如临电设施设备等，发生人为损坏由承包人负责承担相应费用。</w:t>
      </w:r>
    </w:p>
    <w:p w14:paraId="6B31BB0A">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20）因承包人原因，未能按照合同约定的设计审查阶段及其审查会议的时间安排提交相关阶段的设计文件、或提交的相关设计文件不符合相关审查阶段的设计深度要求时，承包人应在3日内向发包人提出补充资料的要求。因承包人原因，造成设计审查会议延误的，由承包人自费采取措施赶上；造成关键路径延误，或给发包人造成损失(包括审查会议准备费用)的，由承包人承担。</w:t>
      </w:r>
    </w:p>
    <w:p w14:paraId="0EF7C8E8">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（21）承包人扩初图设计、施工图设计和专项设计应按发包人要求及可研进行深化及设计，未经发包人书面许可不得调整。</w:t>
      </w:r>
    </w:p>
    <w:p w14:paraId="7DC6A633">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（22）本工程依据最后中标价进行限额设计。各项施工图和专项设计完成后，承包人应随同图纸报送预算资料，报发包人或发包人委托的全过程跟踪审计进行预算造价审核。</w:t>
      </w:r>
    </w:p>
    <w:p w14:paraId="1639ADE2">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（23）所选用材料应在主材推荐表中选用，在此之外选用应有发包人书面同意认可。</w:t>
      </w:r>
    </w:p>
    <w:p w14:paraId="090A4B66">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（24）直接影响工程品质和外观效果的材料、设备，必须经发包人认可后才能正式使用，如发包人对上述所选择的材料、设备不满意的，承包人须无条件同意并积极调整。</w:t>
      </w:r>
    </w:p>
    <w:p w14:paraId="07870453">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25）本工程所采用的所有建筑材料、设备到货时，应由发包人代表、承包人双方、监理就材料规定的种类、产地、品牌、型号、系列、数量、规格、单价、技术参数、质量等级等，按发包人招标时规定的品牌和国家制定的有关质量标准规范要求进行验收或抽查试验，承包人并应向验收人员提供有关产品合格证、许可证、准用证等证明和出厂日期等以供核对。若承包人在施工过程中采用不合格或不符合招标文件要求及投标文件承诺的材料、设备时，一经发现必须无条件更换，承包人不得以各种理由加以拒绝。如有实际使用材料与原报验材料不一致时，承包人按2万元/次向发包人承担违约责任，且发包人有权责令整改。如因选用材料不符合要求而返工引起工期延误的延误工期责任由承包人承担。</w:t>
      </w:r>
    </w:p>
    <w:p w14:paraId="2CEDC58A">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（26）合同双方约定的施工组织设计应包括的主要内容：1）施工方案； 2）施工现场平面布置图；3）施工进度计划和保证措施； 4）劳动力及材料供应计划；5）施工机械设备的选用；6）质量保证体系及措施；7）安全生产、文明施工措施；8）环境保护、成本控制措施；9）合同当事人约定的其他内容；10）会议纪要等。</w:t>
      </w:r>
    </w:p>
    <w:p w14:paraId="283AD096">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（27）需要提交的主要单项工程、主要分部分项工程施工组织设计的名称、份数和时间：相应工程开工前7天内向发包人提供主要单项工程、主要分部分项工程施工组织设计八份。</w:t>
      </w:r>
    </w:p>
    <w:p w14:paraId="04A6DA2F">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（28）临时用水、用电等和节点铺设均由承包人自行计划，自行铺设，自行申报，产生的费用均包含在合同价中，且不得以此影响进场准备工作。</w:t>
      </w:r>
    </w:p>
    <w:p w14:paraId="288E791E">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注意事项：临时用水的接入，处理排污，自行解决。</w:t>
      </w:r>
    </w:p>
    <w:p w14:paraId="20A6E275">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（29）完工工程成品保护的特殊要求及费用承担：工程未正式办理交付手续前，成品保护由承包人完全负责（包括所需费用），如果保护期间发生损坏，承包人须自费予以修复，直至发包人满意为止。</w:t>
      </w:r>
    </w:p>
    <w:p w14:paraId="72846250">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30）需要承包人报送样品的材料或工程设备，样品的种类、名称、规格、数量要求：主要建筑、安装材料（设备）须按双方约定的品牌、系列、规格并经发包人书面同意封样后方可订货。否则引起的损失由承包人承担。未明确品牌、系列的材料，承包人提供的样品不能满足设计要求的，发包人有权要求承包人调换，直至发包人满意为止，引起的损失由承包人承担且不应以此理由要求顺延工期。</w:t>
      </w:r>
    </w:p>
    <w:p w14:paraId="72A9A864">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31）施工现场清洁卫生的要求：按《杭州市建筑工程施工场地文明管理规定》的要求执行，并承担公共部位的清洁和因施工被损坏的绿化恢复费用。工程交接完成后，3天内应清除掉现场内所有不再需要的临时工程、设施、承包人的设备和多余材料、生活垃圾和废物，并修复因施工损坏的绿化，达到发包人满意的状态。如承包人交工3天后仍不清除、修复，发包人可自行或委托第三方完成，发生的费用及由此造成发包人的损失由承包人承担。</w:t>
      </w:r>
    </w:p>
    <w:p w14:paraId="3AAA6FFB">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32）合同履约期间承包人应遵守国家及当地政府发布的法律、法规，包括交通、治安、绿化、噪音、渣土管理、污水排放、外来民工登记等规定。因承包人原因引起的行政处罚等费用由承包人承担。承包人须教育职工和民工遵纪守法，严禁打架、斗殴、赌博等违法行为发生，由此产生的后果由承包人负责。</w:t>
      </w:r>
    </w:p>
    <w:p w14:paraId="4D2FA13C">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（33）施工时发生异常情况，应及时向发包人报告，知情不报引起的工程损失或其他损失由承包人全权负责。</w:t>
      </w:r>
    </w:p>
    <w:p w14:paraId="0AD64C05">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（34）承包人的项目负责人应按时参加发包人组织的工作会议。施工期间应积极配合发包人要求。</w:t>
      </w:r>
    </w:p>
    <w:p w14:paraId="103599C1">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（35）承包人应做好包括开槽、补槽、补洞，门窗安装后边缝的修补，修补质量需经发包人书面确认。</w:t>
      </w:r>
    </w:p>
    <w:p w14:paraId="2645A767">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（36）如涉及对原有房屋拆除及加固项目时，中标方需拥有相关设计及施工资质或委托具有相关资质的中小企业进行作业。</w:t>
      </w:r>
    </w:p>
    <w:p w14:paraId="66FA072A">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（37）本项目针对放射科进行装修，中标方防辐射设计及施工需满足《放射诊断放射防护要求》（GBZ 130-2020）要求，</w:t>
      </w:r>
      <w:r>
        <w:rPr>
          <w:rFonts w:hint="eastAsia" w:ascii="仿宋" w:hAnsi="仿宋" w:eastAsia="仿宋" w:cs="仿宋"/>
          <w:color w:val="auto"/>
          <w:sz w:val="24"/>
          <w:szCs w:val="24"/>
          <w:highlight w:val="none"/>
          <w:u w:val="single"/>
        </w:rPr>
        <w:t>并且</w:t>
      </w:r>
      <w:r>
        <w:rPr>
          <w:rFonts w:hint="eastAsia" w:ascii="仿宋" w:hAnsi="仿宋" w:eastAsia="仿宋" w:cs="仿宋"/>
          <w:color w:val="auto"/>
          <w:sz w:val="24"/>
          <w:szCs w:val="24"/>
          <w:highlight w:val="none"/>
          <w:u w:val="single"/>
        </w:rPr>
        <w:t>部分指标</w:t>
      </w:r>
      <w:r>
        <w:rPr>
          <w:rFonts w:hint="eastAsia" w:ascii="仿宋" w:hAnsi="仿宋" w:eastAsia="仿宋" w:cs="仿宋"/>
          <w:color w:val="auto"/>
          <w:sz w:val="24"/>
          <w:szCs w:val="24"/>
          <w:highlight w:val="none"/>
          <w:u w:val="single"/>
        </w:rPr>
        <w:t>在此基础上还</w:t>
      </w:r>
      <w:r>
        <w:rPr>
          <w:rFonts w:hint="eastAsia" w:ascii="仿宋" w:hAnsi="仿宋" w:eastAsia="仿宋" w:cs="仿宋"/>
          <w:color w:val="auto"/>
          <w:sz w:val="24"/>
          <w:szCs w:val="24"/>
          <w:highlight w:val="none"/>
          <w:u w:val="single"/>
        </w:rPr>
        <w:t>需满足以下参数：</w:t>
      </w:r>
    </w:p>
    <w:p w14:paraId="27301F58">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1）屏蔽防护厚度要求：CT室不低于4mmPb铅当量；DR室主投射方向不低于4mmPb铅当量，其他方向不低于3mmPb铅当量；</w:t>
      </w:r>
    </w:p>
    <w:p w14:paraId="07454A21">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2）机房门和窗关闭时需满足上述铅当量，CT室候诊厅联通门为电动门，室内可考虑推拉门；DR室为电动门；</w:t>
      </w:r>
    </w:p>
    <w:p w14:paraId="03C4DD99">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3）进出管道等薄弱节点的屏蔽防护厚度不得低于同侧墙体屏蔽防护厚度，机房排风系统需独立设置符合相关标准。</w:t>
      </w:r>
    </w:p>
    <w:p w14:paraId="09C6390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履约担保</w:t>
      </w:r>
    </w:p>
    <w:p w14:paraId="079DCE9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承包人是否提供履约担保：</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color w:val="auto"/>
          <w:sz w:val="24"/>
          <w:szCs w:val="24"/>
          <w:highlight w:val="none"/>
        </w:rPr>
        <w:t>。</w:t>
      </w:r>
    </w:p>
    <w:p w14:paraId="2CC7902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工程总承包项目经理</w:t>
      </w:r>
    </w:p>
    <w:p w14:paraId="05C0422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 工程总承包项目经理姓名：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5D6389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执业资格或职称类型：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C06B72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执业资格证或职称证号码：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649B55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2AF5F5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5F0A17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63641F7">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承包人未提交劳动合同，以及没有为工程总承包项目经理缴纳社会保险证明的违约责任：</w:t>
      </w:r>
      <w:r>
        <w:rPr>
          <w:rFonts w:hint="eastAsia" w:ascii="仿宋" w:hAnsi="仿宋" w:eastAsia="仿宋" w:cs="仿宋"/>
          <w:color w:val="auto"/>
          <w:sz w:val="24"/>
          <w:szCs w:val="24"/>
          <w:highlight w:val="none"/>
          <w:u w:val="single"/>
        </w:rPr>
        <w:t>签订合同前未提交项目经理劳动合同、缴纳社会保险证明的，则视为违约，直接解除合同，并向发包人支付违约金壹万元，如造成发包人损失超过违约金金额的，超出部分由承包人承担。</w:t>
      </w:r>
    </w:p>
    <w:p w14:paraId="58762225">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4.3.2 工程总承包项目经理</w:t>
      </w:r>
      <w:r>
        <w:rPr>
          <w:rFonts w:hint="eastAsia" w:ascii="仿宋" w:hAnsi="仿宋" w:eastAsia="仿宋" w:cs="仿宋"/>
          <w:color w:val="auto"/>
          <w:sz w:val="24"/>
          <w:szCs w:val="24"/>
          <w:highlight w:val="none"/>
          <w:u w:val="single"/>
        </w:rPr>
        <w:t>（设计负责人、施工负责人）</w:t>
      </w:r>
      <w:r>
        <w:rPr>
          <w:rFonts w:hint="eastAsia" w:ascii="仿宋" w:hAnsi="仿宋" w:eastAsia="仿宋" w:cs="仿宋"/>
          <w:color w:val="auto"/>
          <w:sz w:val="24"/>
          <w:szCs w:val="24"/>
          <w:highlight w:val="none"/>
        </w:rPr>
        <w:t>每月在现场的时间要求：</w:t>
      </w:r>
      <w:r>
        <w:rPr>
          <w:rFonts w:hint="eastAsia" w:ascii="仿宋" w:hAnsi="仿宋" w:eastAsia="仿宋" w:cs="仿宋"/>
          <w:color w:val="auto"/>
          <w:sz w:val="24"/>
          <w:szCs w:val="24"/>
          <w:highlight w:val="none"/>
          <w:u w:val="single"/>
        </w:rPr>
        <w:t>项目经理每月在现场时间不得少于 22日，每日不得少于8小时，项目经理到位率达不到合同约定比例的，项目经理（设计负责人、施工负责人）每少一天由承包人向发包人承担违约金人民币1000_元；所有违约金直接在当次工程款中扣除。由上述原因增加的费用和（或）延误的工期均由承包人承担。</w:t>
      </w:r>
    </w:p>
    <w:p w14:paraId="66EBC496">
      <w:pPr>
        <w:pStyle w:val="25"/>
        <w:spacing w:beforeLines="0" w:after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工程总承包项目经理未经批准擅自离开施工现场的违约责任：</w:t>
      </w:r>
      <w:r>
        <w:rPr>
          <w:rFonts w:hint="eastAsia" w:ascii="仿宋" w:hAnsi="仿宋" w:eastAsia="仿宋" w:cs="仿宋"/>
          <w:color w:val="auto"/>
          <w:sz w:val="24"/>
          <w:szCs w:val="24"/>
          <w:highlight w:val="none"/>
          <w:u w:val="single"/>
        </w:rPr>
        <w:t>支付违约金1000元/次。</w:t>
      </w:r>
    </w:p>
    <w:p w14:paraId="29A5F08E">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4.3.3 承包人对工程总承包项目经理的授权范围:</w:t>
      </w:r>
      <w:r>
        <w:rPr>
          <w:rFonts w:hint="eastAsia" w:ascii="仿宋" w:hAnsi="仿宋" w:eastAsia="仿宋" w:cs="仿宋"/>
          <w:color w:val="auto"/>
          <w:sz w:val="24"/>
          <w:szCs w:val="24"/>
          <w:highlight w:val="none"/>
          <w:u w:val="single"/>
        </w:rPr>
        <w:t xml:space="preserve">全面负责本项目的设计、施工，负责工程质量控制、进度控制、现场安全生产、文明施工管理、造价及合同管理、信息管理和施工现场的组织协调，以及执行法律法规规章、建设工程施工合同和施工规范等文件规定的承包人应做的工作。 </w:t>
      </w:r>
    </w:p>
    <w:p w14:paraId="56253BBD">
      <w:pPr>
        <w:pStyle w:val="60"/>
        <w:widowControl/>
        <w:snapToGrid w:val="0"/>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 承包人擅自更换工程总承包项目经理的违约责任：</w:t>
      </w:r>
      <w:r>
        <w:rPr>
          <w:rFonts w:hint="eastAsia" w:ascii="仿宋" w:hAnsi="仿宋" w:eastAsia="仿宋" w:cs="仿宋"/>
          <w:color w:val="auto"/>
          <w:sz w:val="24"/>
          <w:szCs w:val="24"/>
          <w:highlight w:val="none"/>
          <w:u w:val="single"/>
        </w:rPr>
        <w:t xml:space="preserve"> 须支付违约金1万元/人/次。若承包人确需更换项目经理的，继任项目经理注册执业资格、管理经验不得低于原项目经理的注册执业资格、管理经验。承包人更换项目经理时，应提前7天书面通知发包人，并征得发包人和相关质监部门的书面同意。通知中应当载明继任人员的注册执业资格、管理经验等资料。</w:t>
      </w:r>
    </w:p>
    <w:p w14:paraId="07974EB8">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4.3.5 承包人无正当理由拒绝更换工程总承包项目经理的违约责任:</w:t>
      </w:r>
      <w:r>
        <w:rPr>
          <w:rFonts w:hint="eastAsia" w:ascii="仿宋" w:hAnsi="仿宋" w:eastAsia="仿宋" w:cs="仿宋"/>
          <w:color w:val="auto"/>
          <w:sz w:val="24"/>
          <w:szCs w:val="24"/>
          <w:highlight w:val="none"/>
          <w:u w:val="single"/>
        </w:rPr>
        <w:t xml:space="preserve"> 从工程款中按1万元/人/次扣减承包人违约金，上述违约金直接在当次工程款中扣除。由上述原因增加的费用和（或）延误的工期均由承包人承担。</w:t>
      </w:r>
    </w:p>
    <w:p w14:paraId="1A395A2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承包人人员</w:t>
      </w:r>
    </w:p>
    <w:p w14:paraId="5209B25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 人员安排</w:t>
      </w:r>
    </w:p>
    <w:p w14:paraId="7128B0E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承包人提交项目管理机构及施工现场人员安排的报告的期限：</w:t>
      </w:r>
      <w:r>
        <w:rPr>
          <w:rFonts w:hint="eastAsia" w:ascii="仿宋" w:hAnsi="仿宋" w:eastAsia="仿宋" w:cs="仿宋"/>
          <w:color w:val="auto"/>
          <w:sz w:val="24"/>
          <w:szCs w:val="24"/>
          <w:highlight w:val="none"/>
          <w:u w:val="single"/>
        </w:rPr>
        <w:t xml:space="preserve"> 合同签订后7天内</w:t>
      </w:r>
      <w:r>
        <w:rPr>
          <w:rFonts w:hint="eastAsia" w:ascii="仿宋" w:hAnsi="仿宋" w:eastAsia="仿宋" w:cs="仿宋"/>
          <w:color w:val="auto"/>
          <w:sz w:val="24"/>
          <w:szCs w:val="24"/>
          <w:highlight w:val="none"/>
        </w:rPr>
        <w:t>。</w:t>
      </w:r>
    </w:p>
    <w:p w14:paraId="712B2A5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承包人提交关键人员信息及注册执业资格等证明其具备担任关键人员能力的相关文件的期限：</w:t>
      </w:r>
      <w:r>
        <w:rPr>
          <w:rFonts w:hint="eastAsia" w:ascii="仿宋" w:hAnsi="仿宋" w:eastAsia="仿宋" w:cs="仿宋"/>
          <w:color w:val="auto"/>
          <w:sz w:val="24"/>
          <w:szCs w:val="24"/>
          <w:highlight w:val="none"/>
          <w:u w:val="single"/>
        </w:rPr>
        <w:t xml:space="preserve">以投标文件项目组人员组成表为准 </w:t>
      </w:r>
      <w:r>
        <w:rPr>
          <w:rFonts w:hint="eastAsia" w:ascii="仿宋" w:hAnsi="仿宋" w:eastAsia="仿宋" w:cs="仿宋"/>
          <w:color w:val="auto"/>
          <w:sz w:val="24"/>
          <w:szCs w:val="24"/>
          <w:highlight w:val="none"/>
        </w:rPr>
        <w:t>。</w:t>
      </w:r>
    </w:p>
    <w:p w14:paraId="334708F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4.4.2 关键人员更换</w:t>
      </w:r>
    </w:p>
    <w:p w14:paraId="2F095967">
      <w:pPr>
        <w:pStyle w:val="60"/>
        <w:widowControl/>
        <w:snapToGrid w:val="0"/>
        <w:spacing w:beforeLines="0" w:afterLines="0" w:line="360" w:lineRule="auto"/>
        <w:ind w:firstLine="60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承包人擅自更换关键人员的违约责任：</w:t>
      </w:r>
      <w:r>
        <w:rPr>
          <w:rFonts w:hint="eastAsia" w:ascii="仿宋" w:hAnsi="仿宋" w:eastAsia="仿宋" w:cs="仿宋"/>
          <w:color w:val="auto"/>
          <w:sz w:val="24"/>
          <w:szCs w:val="24"/>
          <w:highlight w:val="none"/>
          <w:u w:val="single"/>
        </w:rPr>
        <w:t xml:space="preserve">设计负责人：未经发包人同意，承包人擅自更换设计负责人的，处以承包人1万元/人/次的违约金。因管理原因发生重大质量安全事故不适合再任、因生病住院、终止劳动合同关系等无法继续履行合同责任和义务确需更换的，由承包人提供相关情况证明并征得发包人同意后予以更换。经发包人同意后更换的设计负责人的，其注册执业资格专业须与原设计负责人执业资格专业相同，执业资格等级不得低于原负责人执业资格等级，并具备类似工程管理经验与原设计负责人相匹配。 </w:t>
      </w:r>
    </w:p>
    <w:p w14:paraId="2A90D5B8">
      <w:pPr>
        <w:pStyle w:val="60"/>
        <w:widowControl/>
        <w:snapToGrid w:val="0"/>
        <w:spacing w:beforeLines="0" w:afterLines="0" w:line="360" w:lineRule="auto"/>
        <w:ind w:firstLine="60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施工负责人：未经发包人同意，承包人擅自更换施工负责人的，处以承包人1万元/人/次的违约金。因管理原因发生重大质量安全事故不适合再任、因生病住院、终止劳动合同关系等无法继续履行合同责任和义务确需更换的，由承包人提供相关情况证明并征得发包人同意后予以更换。经发包人同意后更换的施工负责人的，其注册执业资格专业须与原施工负责人执业资格专业相同，执业资格等级不得低于原施工负责人执业资格等级，并具备类似工程管理经验与原施工负责人相匹配。</w:t>
      </w:r>
      <w:r>
        <w:rPr>
          <w:rFonts w:hint="eastAsia" w:ascii="仿宋" w:hAnsi="仿宋" w:eastAsia="仿宋" w:cs="仿宋"/>
          <w:color w:val="auto"/>
          <w:sz w:val="24"/>
          <w:szCs w:val="24"/>
          <w:highlight w:val="none"/>
        </w:rPr>
        <w:t xml:space="preserve"> </w:t>
      </w:r>
    </w:p>
    <w:p w14:paraId="21AA7233">
      <w:pPr>
        <w:pStyle w:val="60"/>
        <w:widowControl/>
        <w:snapToGrid w:val="0"/>
        <w:spacing w:beforeLines="0" w:afterLines="0" w:line="360" w:lineRule="auto"/>
        <w:ind w:firstLine="6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承包人无正当理由拒绝撤换关键人员的违约责任：</w:t>
      </w:r>
      <w:r>
        <w:rPr>
          <w:rFonts w:hint="eastAsia" w:ascii="仿宋" w:hAnsi="仿宋" w:eastAsia="仿宋" w:cs="仿宋"/>
          <w:color w:val="auto"/>
          <w:sz w:val="24"/>
          <w:szCs w:val="24"/>
          <w:highlight w:val="none"/>
          <w:u w:val="single"/>
        </w:rPr>
        <w:t>未经发包人同意，承包人不得更换其他关键人员的，擅自更换的处以承包人1万元/人/次的违约金。确需更换的，其数量、注册执业资格、管理经验须与本项目相匹配，并应征得发包人同意</w:t>
      </w:r>
      <w:r>
        <w:rPr>
          <w:rFonts w:hint="eastAsia" w:ascii="仿宋" w:hAnsi="仿宋" w:eastAsia="仿宋" w:cs="仿宋"/>
          <w:color w:val="auto"/>
          <w:sz w:val="24"/>
          <w:szCs w:val="24"/>
          <w:highlight w:val="none"/>
        </w:rPr>
        <w:t>。</w:t>
      </w:r>
    </w:p>
    <w:p w14:paraId="594C302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 现场管理关键人员在岗要求</w:t>
      </w:r>
    </w:p>
    <w:p w14:paraId="44BABA7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承包人现场管理关键人员离开施工现场的批准要求：</w:t>
      </w:r>
      <w:r>
        <w:rPr>
          <w:rFonts w:hint="eastAsia" w:ascii="仿宋" w:hAnsi="仿宋" w:eastAsia="仿宋" w:cs="仿宋"/>
          <w:color w:val="auto"/>
          <w:sz w:val="24"/>
          <w:szCs w:val="24"/>
          <w:highlight w:val="none"/>
          <w:u w:val="single"/>
        </w:rPr>
        <w:t>提前1天报监理单位及发包人审批，未批准同意的不得擅自离开施工现场</w:t>
      </w:r>
      <w:r>
        <w:rPr>
          <w:rFonts w:hint="eastAsia" w:ascii="仿宋" w:hAnsi="仿宋" w:eastAsia="仿宋" w:cs="仿宋"/>
          <w:color w:val="auto"/>
          <w:sz w:val="24"/>
          <w:szCs w:val="24"/>
          <w:highlight w:val="none"/>
        </w:rPr>
        <w:t>。</w:t>
      </w:r>
    </w:p>
    <w:p w14:paraId="5984D5D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承包人现场管理关键人员擅自离开施工现场的违约责任：</w:t>
      </w:r>
      <w:r>
        <w:rPr>
          <w:rFonts w:hint="eastAsia" w:ascii="仿宋" w:hAnsi="仿宋" w:eastAsia="仿宋" w:cs="仿宋"/>
          <w:color w:val="auto"/>
          <w:sz w:val="24"/>
          <w:szCs w:val="24"/>
          <w:highlight w:val="none"/>
          <w:u w:val="single"/>
        </w:rPr>
        <w:t>设计负责人、施工负责人按照1000元/人·次支付违约金，其他关键人员按找500元/人·次支付违约金</w:t>
      </w:r>
      <w:r>
        <w:rPr>
          <w:rFonts w:hint="eastAsia" w:ascii="仿宋" w:hAnsi="仿宋" w:eastAsia="仿宋" w:cs="仿宋"/>
          <w:color w:val="auto"/>
          <w:sz w:val="24"/>
          <w:szCs w:val="24"/>
          <w:highlight w:val="none"/>
        </w:rPr>
        <w:t>。</w:t>
      </w:r>
    </w:p>
    <w:p w14:paraId="0E0999B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 分包</w:t>
      </w:r>
    </w:p>
    <w:p w14:paraId="09F7B09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 一般约定</w:t>
      </w:r>
    </w:p>
    <w:p w14:paraId="1E1475D1">
      <w:pPr>
        <w:pStyle w:val="58"/>
        <w:shd w:val="clear" w:color="auto" w:fill="FFFFFF"/>
        <w:spacing w:before="0" w:beforeLines="0" w:beforeAutospacing="0" w:after="0" w:afterLines="0" w:afterAutospacing="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禁止分包的工程包括：</w:t>
      </w:r>
      <w:r>
        <w:rPr>
          <w:rFonts w:hint="eastAsia" w:ascii="仿宋" w:hAnsi="仿宋" w:eastAsia="仿宋" w:cs="仿宋"/>
          <w:color w:val="auto"/>
          <w:kern w:val="2"/>
          <w:sz w:val="24"/>
          <w:szCs w:val="24"/>
          <w:highlight w:val="none"/>
          <w:u w:val="single"/>
        </w:rPr>
        <w:t>关键性工程、主体工程。</w:t>
      </w:r>
    </w:p>
    <w:p w14:paraId="1D4317F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 分包的确定</w:t>
      </w:r>
    </w:p>
    <w:p w14:paraId="13921D21">
      <w:pPr>
        <w:pStyle w:val="843"/>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允许分包的工程包括：</w:t>
      </w:r>
      <w:r>
        <w:rPr>
          <w:rFonts w:hint="eastAsia" w:ascii="仿宋" w:hAnsi="仿宋" w:eastAsia="仿宋" w:cs="仿宋"/>
          <w:color w:val="auto"/>
          <w:sz w:val="24"/>
          <w:szCs w:val="24"/>
          <w:highlight w:val="none"/>
          <w:u w:val="single"/>
        </w:rPr>
        <w:t xml:space="preserve"> 加固工程、放射机房的屏蔽防护工程 </w:t>
      </w:r>
    </w:p>
    <w:p w14:paraId="3858CE57">
      <w:pPr>
        <w:pStyle w:val="58"/>
        <w:shd w:val="clear" w:color="auto" w:fill="FFFFFF"/>
        <w:spacing w:before="0" w:beforeLines="0" w:beforeAutospacing="0" w:after="0" w:afterLines="0" w:afterAutospacing="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其他关于分包的约定：</w:t>
      </w:r>
      <w:r>
        <w:rPr>
          <w:rFonts w:hint="eastAsia" w:ascii="仿宋" w:hAnsi="仿宋" w:eastAsia="仿宋" w:cs="仿宋"/>
          <w:color w:val="auto"/>
          <w:kern w:val="2"/>
          <w:sz w:val="24"/>
          <w:szCs w:val="24"/>
          <w:highlight w:val="none"/>
          <w:u w:val="single"/>
        </w:rPr>
        <w:t>统一纳入总包管理</w:t>
      </w:r>
    </w:p>
    <w:p w14:paraId="04CD3A8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4.5.5 分包合同价款支付</w:t>
      </w:r>
    </w:p>
    <w:p w14:paraId="7CE3C951">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关于分包合同价款支付的约定：</w:t>
      </w:r>
      <w:r>
        <w:rPr>
          <w:rFonts w:hint="eastAsia" w:ascii="仿宋" w:hAnsi="仿宋" w:eastAsia="仿宋" w:cs="仿宋"/>
          <w:color w:val="auto"/>
          <w:sz w:val="24"/>
          <w:szCs w:val="24"/>
          <w:highlight w:val="none"/>
          <w:u w:val="single"/>
        </w:rPr>
        <w:t>已包含在总包合同价款中，发包人统一打款给承包人，由承包人支付。</w:t>
      </w:r>
    </w:p>
    <w:p w14:paraId="7CF64DB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 联合体</w:t>
      </w:r>
    </w:p>
    <w:p w14:paraId="79D4F7FA">
      <w:pPr>
        <w:pStyle w:val="843"/>
        <w:spacing w:beforeLines="0" w:afterLines="0"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4.6.2 联合体各成员的分工、费用收取、发票开具等事项：</w:t>
      </w:r>
      <w:r>
        <w:rPr>
          <w:rFonts w:hint="eastAsia" w:ascii="仿宋" w:hAnsi="仿宋" w:eastAsia="仿宋" w:cs="仿宋"/>
          <w:color w:val="auto"/>
          <w:sz w:val="24"/>
          <w:szCs w:val="24"/>
          <w:highlight w:val="none"/>
          <w:u w:val="single"/>
        </w:rPr>
        <w:t>/</w:t>
      </w:r>
    </w:p>
    <w:p w14:paraId="57056FE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 承包人现场查勘</w:t>
      </w:r>
    </w:p>
    <w:p w14:paraId="6017F9E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4.7.1 双方当事人对现场查勘的责任承担的约定：</w:t>
      </w:r>
      <w:r>
        <w:rPr>
          <w:rFonts w:hint="eastAsia" w:ascii="仿宋" w:hAnsi="仿宋" w:eastAsia="仿宋" w:cs="仿宋"/>
          <w:color w:val="auto"/>
          <w:sz w:val="24"/>
          <w:szCs w:val="24"/>
          <w:highlight w:val="none"/>
          <w:u w:val="single"/>
        </w:rPr>
        <w:t>按通用条款约定</w:t>
      </w:r>
      <w:r>
        <w:rPr>
          <w:rFonts w:hint="eastAsia" w:ascii="仿宋" w:hAnsi="仿宋" w:eastAsia="仿宋" w:cs="仿宋"/>
          <w:color w:val="auto"/>
          <w:sz w:val="24"/>
          <w:szCs w:val="24"/>
          <w:highlight w:val="none"/>
        </w:rPr>
        <w:t>。</w:t>
      </w:r>
    </w:p>
    <w:p w14:paraId="019CDBF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 不可预见的困难</w:t>
      </w:r>
    </w:p>
    <w:p w14:paraId="1DCC162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不可预见的困难包括：</w:t>
      </w:r>
      <w:r>
        <w:rPr>
          <w:rFonts w:hint="eastAsia" w:ascii="仿宋" w:hAnsi="仿宋" w:eastAsia="仿宋" w:cs="仿宋"/>
          <w:color w:val="auto"/>
          <w:sz w:val="24"/>
          <w:szCs w:val="24"/>
          <w:highlight w:val="none"/>
          <w:u w:val="single"/>
        </w:rPr>
        <w:t>按通用条款约定。</w:t>
      </w:r>
    </w:p>
    <w:p w14:paraId="3E383752">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第5条 设计</w:t>
      </w:r>
    </w:p>
    <w:p w14:paraId="581C1EB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承包人文件审查</w:t>
      </w:r>
    </w:p>
    <w:p w14:paraId="671752F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 承包人文件审查的期限：</w:t>
      </w:r>
      <w:r>
        <w:rPr>
          <w:rFonts w:hint="eastAsia" w:ascii="仿宋" w:hAnsi="仿宋" w:eastAsia="仿宋" w:cs="仿宋"/>
          <w:color w:val="auto"/>
          <w:sz w:val="24"/>
          <w:szCs w:val="24"/>
          <w:highlight w:val="none"/>
          <w:u w:val="single"/>
        </w:rPr>
        <w:t xml:space="preserve"> 按通用条款约定</w:t>
      </w:r>
      <w:r>
        <w:rPr>
          <w:rFonts w:hint="eastAsia" w:ascii="仿宋" w:hAnsi="仿宋" w:eastAsia="仿宋" w:cs="仿宋"/>
          <w:color w:val="auto"/>
          <w:sz w:val="24"/>
          <w:szCs w:val="24"/>
          <w:highlight w:val="none"/>
        </w:rPr>
        <w:t>。</w:t>
      </w:r>
    </w:p>
    <w:p w14:paraId="465DABC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5.2.2 审查会议的审查形式和时间安排为：</w:t>
      </w:r>
      <w:r>
        <w:rPr>
          <w:rFonts w:hint="eastAsia" w:ascii="仿宋" w:hAnsi="仿宋" w:eastAsia="仿宋" w:cs="仿宋"/>
          <w:color w:val="auto"/>
          <w:sz w:val="24"/>
          <w:szCs w:val="24"/>
          <w:highlight w:val="none"/>
          <w:u w:val="single"/>
        </w:rPr>
        <w:t>/。</w:t>
      </w:r>
    </w:p>
    <w:p w14:paraId="6425259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5.2.3 关于第三方审查单位的约定：</w:t>
      </w:r>
      <w:r>
        <w:rPr>
          <w:rFonts w:hint="eastAsia" w:ascii="仿宋" w:hAnsi="仿宋" w:eastAsia="仿宋" w:cs="仿宋"/>
          <w:color w:val="auto"/>
          <w:sz w:val="24"/>
          <w:szCs w:val="24"/>
          <w:highlight w:val="none"/>
          <w:u w:val="single"/>
        </w:rPr>
        <w:t>工程施工图需第三方审查单位审查，审查单位按政府相关部门规定。</w:t>
      </w:r>
    </w:p>
    <w:p w14:paraId="284A16F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培训</w:t>
      </w:r>
    </w:p>
    <w:p w14:paraId="06A3665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培训的时长为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，承包人应为培训提供的人员、设施和其它必要条件为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3666AD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竣工文件</w:t>
      </w:r>
    </w:p>
    <w:p w14:paraId="785E94A3">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5.4.1 竣工文件的形式、提供的份数、技术标准以及其它相关要求：</w:t>
      </w:r>
      <w:r>
        <w:rPr>
          <w:rFonts w:hint="eastAsia" w:ascii="仿宋" w:hAnsi="仿宋" w:eastAsia="仿宋" w:cs="仿宋"/>
          <w:color w:val="auto"/>
          <w:sz w:val="24"/>
          <w:szCs w:val="24"/>
          <w:highlight w:val="none"/>
          <w:u w:val="single"/>
        </w:rPr>
        <w:t>竣工文件包括竣工图、隐检工程记录资料、性能测试报告及材料、设备的合格证、质保单及使用说明等工程资料，工程各节点照片档案，以及声像资料。纸质数量暂定5套原件（有一套如质保单等可以复印件），工程竣工图电子版2套（光盘）。竣工格式按城建档案馆要求。</w:t>
      </w:r>
    </w:p>
    <w:p w14:paraId="3281062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5.4.3 关于竣工文件的其他约定：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55B461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 操作和维修手册</w:t>
      </w:r>
    </w:p>
    <w:p w14:paraId="02C3251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5.5.3 对最终操作和维修手册的约定：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11250AD">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第6条 材料、工程设备</w:t>
      </w:r>
    </w:p>
    <w:p w14:paraId="0D55A4D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实施方法</w:t>
      </w:r>
    </w:p>
    <w:p w14:paraId="0531C85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双方当事人约定的实施方法、设备、设施和材料：</w:t>
      </w:r>
      <w:r>
        <w:rPr>
          <w:rFonts w:hint="eastAsia" w:ascii="仿宋" w:hAnsi="仿宋" w:eastAsia="仿宋" w:cs="仿宋"/>
          <w:color w:val="auto"/>
          <w:sz w:val="24"/>
          <w:szCs w:val="24"/>
          <w:highlight w:val="none"/>
          <w:u w:val="single"/>
        </w:rPr>
        <w:t xml:space="preserve"> / </w:t>
      </w:r>
    </w:p>
    <w:p w14:paraId="2784BC2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材料和工程设备</w:t>
      </w:r>
    </w:p>
    <w:p w14:paraId="598D33F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6.2.1 发包人提供的材料和工程设备 </w:t>
      </w:r>
    </w:p>
    <w:p w14:paraId="4483B05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发包人提供的材料和工程设备验收后，由</w:t>
      </w:r>
      <w:r>
        <w:rPr>
          <w:rFonts w:hint="eastAsia" w:ascii="仿宋" w:hAnsi="仿宋" w:eastAsia="仿宋" w:cs="仿宋"/>
          <w:color w:val="auto"/>
          <w:sz w:val="24"/>
          <w:szCs w:val="24"/>
          <w:highlight w:val="none"/>
          <w:u w:val="single"/>
        </w:rPr>
        <w:t xml:space="preserve">  承包人  </w:t>
      </w:r>
      <w:r>
        <w:rPr>
          <w:rFonts w:hint="eastAsia" w:ascii="仿宋" w:hAnsi="仿宋" w:eastAsia="仿宋" w:cs="仿宋"/>
          <w:color w:val="auto"/>
          <w:sz w:val="24"/>
          <w:szCs w:val="24"/>
          <w:highlight w:val="none"/>
        </w:rPr>
        <w:t>负责接收、运输和保管。</w:t>
      </w:r>
    </w:p>
    <w:p w14:paraId="59F3CBC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 承包人提供的材料和工程设备</w:t>
      </w:r>
    </w:p>
    <w:p w14:paraId="5B0D84CD">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材料和工程设备的类别、估算数量：</w:t>
      </w:r>
      <w:r>
        <w:rPr>
          <w:rFonts w:hint="eastAsia" w:ascii="仿宋" w:hAnsi="仿宋" w:eastAsia="仿宋" w:cs="仿宋"/>
          <w:color w:val="auto"/>
          <w:sz w:val="24"/>
          <w:szCs w:val="24"/>
          <w:highlight w:val="none"/>
          <w:u w:val="single"/>
        </w:rPr>
        <w:t>按设计施工图和技术文件要求组织工程物资采购(包括备品备件、专用工具及厂商提交的技术文件)，负责运抵现场，并对其需用量、质量检查结果和性能负责。所有进场设备的采购需提前20天向发包人提供书面的计划，经发包人或监理书面审核后方可进场，未经认可安装的设备，发包人不予认可，由此产生的一切后果由承包人自行承担。</w:t>
      </w:r>
    </w:p>
    <w:p w14:paraId="707574E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竣工后试验的生产性材料的类别或（和）清单：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E29B61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6.2.3 材料和工程设备的保管 </w:t>
      </w:r>
    </w:p>
    <w:p w14:paraId="6962E8A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发包人供应的材料和工程设备的保管费用由 </w:t>
      </w:r>
      <w:r>
        <w:rPr>
          <w:rFonts w:hint="eastAsia" w:ascii="仿宋" w:hAnsi="仿宋" w:eastAsia="仿宋" w:cs="仿宋"/>
          <w:color w:val="auto"/>
          <w:sz w:val="24"/>
          <w:szCs w:val="24"/>
          <w:highlight w:val="none"/>
          <w:u w:val="single"/>
        </w:rPr>
        <w:t xml:space="preserve"> 承包人  </w:t>
      </w:r>
      <w:r>
        <w:rPr>
          <w:rFonts w:hint="eastAsia" w:ascii="仿宋" w:hAnsi="仿宋" w:eastAsia="仿宋" w:cs="仿宋"/>
          <w:color w:val="auto"/>
          <w:sz w:val="24"/>
          <w:szCs w:val="24"/>
          <w:highlight w:val="none"/>
        </w:rPr>
        <w:t>承担。</w:t>
      </w:r>
    </w:p>
    <w:p w14:paraId="5F83ACC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承包人提交保管、维护方案的时间：</w:t>
      </w:r>
      <w:r>
        <w:rPr>
          <w:rFonts w:hint="eastAsia" w:ascii="仿宋" w:hAnsi="仿宋" w:eastAsia="仿宋" w:cs="仿宋"/>
          <w:color w:val="auto"/>
          <w:sz w:val="24"/>
          <w:szCs w:val="24"/>
          <w:highlight w:val="none"/>
          <w:u w:val="single"/>
        </w:rPr>
        <w:t xml:space="preserve"> 合同签订后20天内  </w:t>
      </w:r>
      <w:r>
        <w:rPr>
          <w:rFonts w:hint="eastAsia" w:ascii="仿宋" w:hAnsi="仿宋" w:eastAsia="仿宋" w:cs="仿宋"/>
          <w:color w:val="auto"/>
          <w:sz w:val="24"/>
          <w:szCs w:val="24"/>
          <w:highlight w:val="none"/>
        </w:rPr>
        <w:t>。</w:t>
      </w:r>
    </w:p>
    <w:p w14:paraId="6B95921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发包人提供的库房、堆场、设施和设备： </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68FB389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 样品</w:t>
      </w:r>
    </w:p>
    <w:p w14:paraId="5732123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6.3.1 样品的报送与封存</w:t>
      </w:r>
    </w:p>
    <w:p w14:paraId="1A2122CF">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需要承包人报送样品的材料或工程设备，样品种类、名称、规格、数量：</w:t>
      </w:r>
    </w:p>
    <w:p w14:paraId="47541D1E">
      <w:pPr>
        <w:pStyle w:val="843"/>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主要建筑、安装材料（设备）须按双方约定的品牌、系列、规格并经发包人代表和发包人书面同意封样后方可订货。否则引起的损失由承包人承担。未明确品牌、系列的材料，发包人对承包人提供的样品不能满足设计要求或式样、颜色不满意或价格不合理（指市场的实际价格和承包人所报价或与承包人投标时所报价相差较大），发包人有权要求承包人调换，直至发包人满意为止，引起的损失由承包人承担且不应以此理由要求顺延工期</w:t>
      </w:r>
      <w:r>
        <w:rPr>
          <w:rFonts w:hint="eastAsia" w:ascii="仿宋" w:hAnsi="仿宋" w:eastAsia="仿宋" w:cs="仿宋"/>
          <w:color w:val="auto"/>
          <w:sz w:val="24"/>
          <w:szCs w:val="24"/>
          <w:highlight w:val="none"/>
        </w:rPr>
        <w:t>。</w:t>
      </w:r>
    </w:p>
    <w:p w14:paraId="76E1B92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 质量检查</w:t>
      </w:r>
    </w:p>
    <w:p w14:paraId="173046A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6.4.1 工程质量要求 </w:t>
      </w:r>
    </w:p>
    <w:p w14:paraId="2B9E54E2">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工程质量的特殊标准或要求：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bidi="ar"/>
        </w:rPr>
        <w:t>承包人的施工应符合合同约定的质量标准。施工质量评定以合同中约定的质量检验评定标准为依据。对不符合质量标准的施工部位，承包人应自费修复、返工、更换等。因此造成竣工日期延误的，由承包人负责。</w:t>
      </w:r>
      <w:r>
        <w:rPr>
          <w:rFonts w:hint="eastAsia" w:ascii="仿宋" w:hAnsi="仿宋" w:eastAsia="仿宋" w:cs="仿宋"/>
          <w:color w:val="auto"/>
          <w:sz w:val="24"/>
          <w:szCs w:val="24"/>
          <w:highlight w:val="none"/>
          <w:u w:val="single"/>
        </w:rPr>
        <w:t xml:space="preserve"> </w:t>
      </w:r>
    </w:p>
    <w:p w14:paraId="17D93DA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6.4.2 质量检查</w:t>
      </w:r>
    </w:p>
    <w:p w14:paraId="57982075">
      <w:pPr>
        <w:pStyle w:val="60"/>
        <w:widowControl/>
        <w:spacing w:beforeLines="0" w:afterLines="0"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除通用合同条件已列明的质量检查的地点外，发包人有权进行质量检查的其他地点：</w:t>
      </w:r>
    </w:p>
    <w:p w14:paraId="28E511A2">
      <w:pPr>
        <w:pStyle w:val="60"/>
        <w:widowControl/>
        <w:spacing w:beforeLines="0" w:afterLines="0" w:line="360" w:lineRule="auto"/>
        <w:ind w:firstLine="480" w:firstLineChars="200"/>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bidi="ar"/>
        </w:rPr>
        <w:t>承包人及其分包人应随时接受发包人所进行的安全、质量的监督和检查。承包人应为此类监督、检查提供方便。</w:t>
      </w:r>
    </w:p>
    <w:p w14:paraId="6C3A21CF">
      <w:pPr>
        <w:pStyle w:val="60"/>
        <w:widowControl/>
        <w:spacing w:beforeLines="0" w:afterLines="0" w:line="360" w:lineRule="auto"/>
        <w:ind w:firstLine="480" w:firstLineChars="200"/>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u w:val="single"/>
          <w:lang w:bidi="ar"/>
        </w:rPr>
        <w:t>(2)承包人委托第三方对施工质量进行检查、检验、检测和试验时，应以书面形式通知发包人。</w:t>
      </w:r>
    </w:p>
    <w:p w14:paraId="1A43A062">
      <w:pPr>
        <w:pStyle w:val="60"/>
        <w:widowControl/>
        <w:spacing w:beforeLines="0" w:afterLines="0" w:line="360" w:lineRule="auto"/>
        <w:ind w:firstLine="480" w:firstLineChars="200"/>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u w:val="single"/>
          <w:lang w:bidi="ar"/>
        </w:rPr>
        <w:t>（3）承包人应遵守施工质量管理的有关规定，负有对其操作人员进行培训、考核、图纸交底、技术交底、操作规程交底、安全程序交底和质量标准交底，及消除事故隐患的责任。</w:t>
      </w:r>
    </w:p>
    <w:p w14:paraId="0606FE00">
      <w:pPr>
        <w:pStyle w:val="60"/>
        <w:widowControl/>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bidi="ar"/>
        </w:rPr>
        <w:t>（4）承包人应按照设计文件、施工标准和合同约定，负责编写施工试验和检测方案，对施工物资（包括建筑构配件）进行检查、检验、检测和试验，不合格的不得使用。并有义务自费修复和（或）更换不合格的工程物资，因此造成竣工日期延误的，由承包人负责。</w:t>
      </w:r>
    </w:p>
    <w:p w14:paraId="7294B15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6.4.3 隐蔽工程检查</w:t>
      </w:r>
    </w:p>
    <w:p w14:paraId="41723AC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关于隐蔽工程和中间验收的特别约定：</w:t>
      </w:r>
      <w:r>
        <w:rPr>
          <w:rFonts w:hint="eastAsia" w:ascii="仿宋" w:hAnsi="仿宋" w:eastAsia="仿宋" w:cs="仿宋"/>
          <w:color w:val="auto"/>
          <w:sz w:val="24"/>
          <w:szCs w:val="24"/>
          <w:highlight w:val="none"/>
          <w:u w:val="single"/>
        </w:rPr>
        <w:t>工程具备覆盖、掩盖条件或达到协议条款约定的中间验收部位，承包人自检合格后在隐蔽和中间验收48小时通知监理人参加。通知包括承包人自检记录、隐蔽和中间验收的内容、验收时间和地点。承包人准备验收记录。验收合格，监理人代表在验收记录上签字后，方可进行隐蔽和继续施工。验收不合格，承包人在发包人限定时间内修改后重新验收</w:t>
      </w:r>
      <w:r>
        <w:rPr>
          <w:rFonts w:hint="eastAsia" w:ascii="仿宋" w:hAnsi="仿宋" w:eastAsia="仿宋" w:cs="仿宋"/>
          <w:color w:val="auto"/>
          <w:sz w:val="24"/>
          <w:szCs w:val="24"/>
          <w:highlight w:val="none"/>
        </w:rPr>
        <w:t>。因验收不合格导致返工而延误工期的责任由承包人自行承担</w:t>
      </w:r>
    </w:p>
    <w:p w14:paraId="32A7898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 由承包人试验和检验</w:t>
      </w:r>
    </w:p>
    <w:p w14:paraId="2351EA6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6.5.1 试验设备与试验人员</w:t>
      </w:r>
    </w:p>
    <w:p w14:paraId="3D719F7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试验的内容、时间和地点：</w:t>
      </w:r>
      <w:r>
        <w:rPr>
          <w:rFonts w:hint="eastAsia" w:ascii="仿宋" w:hAnsi="仿宋" w:eastAsia="仿宋" w:cs="仿宋"/>
          <w:color w:val="auto"/>
          <w:sz w:val="24"/>
          <w:szCs w:val="24"/>
          <w:highlight w:val="none"/>
          <w:u w:val="single"/>
        </w:rPr>
        <w:t xml:space="preserve">按国家有关规定和工程师要求执行  </w:t>
      </w:r>
      <w:r>
        <w:rPr>
          <w:rFonts w:hint="eastAsia" w:ascii="仿宋" w:hAnsi="仿宋" w:eastAsia="仿宋" w:cs="仿宋"/>
          <w:color w:val="auto"/>
          <w:sz w:val="24"/>
          <w:szCs w:val="24"/>
          <w:highlight w:val="none"/>
        </w:rPr>
        <w:t>。</w:t>
      </w:r>
    </w:p>
    <w:p w14:paraId="579839A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试验所需要的试验设备、取样装置、试验场所和试验条件：</w:t>
      </w:r>
      <w:r>
        <w:rPr>
          <w:rFonts w:hint="eastAsia" w:ascii="仿宋" w:hAnsi="仿宋" w:eastAsia="仿宋" w:cs="仿宋"/>
          <w:color w:val="auto"/>
          <w:sz w:val="24"/>
          <w:szCs w:val="24"/>
          <w:highlight w:val="none"/>
          <w:u w:val="single"/>
        </w:rPr>
        <w:t>按国家有关规定和工程师要求执行</w:t>
      </w:r>
      <w:r>
        <w:rPr>
          <w:rFonts w:hint="eastAsia" w:ascii="仿宋" w:hAnsi="仿宋" w:eastAsia="仿宋" w:cs="仿宋"/>
          <w:color w:val="auto"/>
          <w:sz w:val="24"/>
          <w:szCs w:val="24"/>
          <w:highlight w:val="none"/>
        </w:rPr>
        <w:t>。</w:t>
      </w:r>
    </w:p>
    <w:p w14:paraId="1461B9D8">
      <w:pPr>
        <w:pStyle w:val="843"/>
        <w:spacing w:beforeLines="0" w:afterLines="0"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试验和检验费用的计价原则：</w:t>
      </w:r>
      <w:r>
        <w:rPr>
          <w:rFonts w:hint="eastAsia" w:ascii="仿宋" w:hAnsi="仿宋" w:eastAsia="仿宋" w:cs="仿宋"/>
          <w:color w:val="auto"/>
          <w:sz w:val="24"/>
          <w:szCs w:val="24"/>
          <w:highlight w:val="none"/>
          <w:u w:val="single"/>
        </w:rPr>
        <w:t>费用已计入合同价。</w:t>
      </w:r>
    </w:p>
    <w:p w14:paraId="76DA25BF">
      <w:pPr>
        <w:pStyle w:val="843"/>
        <w:spacing w:beforeLines="0" w:after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第7条 施工</w:t>
      </w:r>
    </w:p>
    <w:p w14:paraId="41DE13E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交通运输</w:t>
      </w:r>
    </w:p>
    <w:p w14:paraId="7D210D8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 出入现场的权利</w:t>
      </w:r>
    </w:p>
    <w:p w14:paraId="78E6E38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关于出入现场的权利的约定：</w:t>
      </w:r>
      <w:r>
        <w:rPr>
          <w:rFonts w:hint="eastAsia" w:ascii="仿宋" w:hAnsi="仿宋" w:eastAsia="仿宋" w:cs="仿宋"/>
          <w:color w:val="auto"/>
          <w:sz w:val="24"/>
          <w:szCs w:val="24"/>
          <w:highlight w:val="none"/>
          <w:u w:val="single"/>
        </w:rPr>
        <w:t>按通用条款约定。</w:t>
      </w:r>
    </w:p>
    <w:p w14:paraId="224B083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 场外交通</w:t>
      </w:r>
    </w:p>
    <w:p w14:paraId="723A304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关于场外交通的特别约定：</w:t>
      </w:r>
      <w:r>
        <w:rPr>
          <w:rFonts w:hint="eastAsia" w:ascii="仿宋" w:hAnsi="仿宋" w:eastAsia="仿宋" w:cs="仿宋"/>
          <w:color w:val="auto"/>
          <w:sz w:val="24"/>
          <w:szCs w:val="24"/>
          <w:highlight w:val="none"/>
          <w:u w:val="single"/>
        </w:rPr>
        <w:t>按通用条款约定。</w:t>
      </w:r>
    </w:p>
    <w:p w14:paraId="647650B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7.1.3 场内交通</w:t>
      </w:r>
    </w:p>
    <w:p w14:paraId="5FD56C3E">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关于场内交通的特别约定：</w:t>
      </w:r>
      <w:r>
        <w:rPr>
          <w:rFonts w:hint="eastAsia" w:ascii="仿宋" w:hAnsi="仿宋" w:eastAsia="仿宋" w:cs="仿宋"/>
          <w:color w:val="auto"/>
          <w:sz w:val="24"/>
          <w:szCs w:val="24"/>
          <w:highlight w:val="none"/>
          <w:u w:val="single"/>
        </w:rPr>
        <w:t>按通用条款约定。</w:t>
      </w:r>
    </w:p>
    <w:p w14:paraId="54C13FF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关于场内交通与场外交通边界的约定：</w:t>
      </w:r>
      <w:r>
        <w:rPr>
          <w:rFonts w:hint="eastAsia" w:ascii="仿宋" w:hAnsi="仿宋" w:eastAsia="仿宋" w:cs="仿宋"/>
          <w:color w:val="auto"/>
          <w:sz w:val="24"/>
          <w:szCs w:val="24"/>
          <w:highlight w:val="none"/>
          <w:u w:val="single"/>
        </w:rPr>
        <w:t>以建筑红线为界</w:t>
      </w:r>
      <w:r>
        <w:rPr>
          <w:rFonts w:hint="eastAsia" w:ascii="仿宋" w:hAnsi="仿宋" w:eastAsia="仿宋" w:cs="仿宋"/>
          <w:color w:val="auto"/>
          <w:sz w:val="24"/>
          <w:szCs w:val="24"/>
          <w:highlight w:val="none"/>
        </w:rPr>
        <w:t>。</w:t>
      </w:r>
    </w:p>
    <w:p w14:paraId="43BCA60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7.1.4 超大件和超重件的运输</w:t>
      </w:r>
    </w:p>
    <w:p w14:paraId="42C45B1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运输超大件或超重件所需的道路和桥梁临时加固改造费用和其他有关费用由</w:t>
      </w:r>
      <w:r>
        <w:rPr>
          <w:rFonts w:hint="eastAsia" w:ascii="仿宋" w:hAnsi="仿宋" w:eastAsia="仿宋" w:cs="仿宋"/>
          <w:color w:val="auto"/>
          <w:sz w:val="24"/>
          <w:szCs w:val="24"/>
          <w:highlight w:val="none"/>
          <w:u w:val="single"/>
        </w:rPr>
        <w:t xml:space="preserve">  承包人  </w:t>
      </w:r>
      <w:r>
        <w:rPr>
          <w:rFonts w:hint="eastAsia" w:ascii="仿宋" w:hAnsi="仿宋" w:eastAsia="仿宋" w:cs="仿宋"/>
          <w:color w:val="auto"/>
          <w:sz w:val="24"/>
          <w:szCs w:val="24"/>
          <w:highlight w:val="none"/>
        </w:rPr>
        <w:t>承担。</w:t>
      </w:r>
    </w:p>
    <w:p w14:paraId="529C26C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施工设备和临时设施</w:t>
      </w:r>
    </w:p>
    <w:p w14:paraId="024AF83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7.2.1 承包人提供的施工设备和临时设施</w:t>
      </w:r>
    </w:p>
    <w:p w14:paraId="2997C62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临时设施的费用和临时占地手续和费用承担的特别约定：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10467E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 发包人提供的施工设备和临时设施</w:t>
      </w:r>
    </w:p>
    <w:p w14:paraId="0CB676C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发包人提供的施工设备或临时设施范围：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BF3B88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现场合作</w:t>
      </w:r>
    </w:p>
    <w:p w14:paraId="3B4F97F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关于现场合作费用的特别约定：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376208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测量放线</w:t>
      </w:r>
    </w:p>
    <w:p w14:paraId="47E2B0BB">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7.4.1 关于测量放线的特别约定的技术规范：</w:t>
      </w:r>
      <w:r>
        <w:rPr>
          <w:rFonts w:hint="eastAsia" w:ascii="仿宋" w:hAnsi="仿宋" w:eastAsia="仿宋" w:cs="仿宋"/>
          <w:color w:val="auto"/>
          <w:sz w:val="24"/>
          <w:szCs w:val="24"/>
          <w:highlight w:val="none"/>
          <w:u w:val="single"/>
        </w:rPr>
        <w:t>/  。</w:t>
      </w:r>
    </w:p>
    <w:p w14:paraId="4897115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施工控制网资料的告知期限：</w:t>
      </w:r>
      <w:r>
        <w:rPr>
          <w:rFonts w:hint="eastAsia" w:ascii="仿宋" w:hAnsi="仿宋" w:eastAsia="仿宋" w:cs="仿宋"/>
          <w:color w:val="auto"/>
          <w:sz w:val="24"/>
          <w:szCs w:val="24"/>
          <w:highlight w:val="none"/>
          <w:u w:val="single"/>
        </w:rPr>
        <w:t xml:space="preserve">       完成后7天内         </w:t>
      </w:r>
      <w:r>
        <w:rPr>
          <w:rFonts w:hint="eastAsia" w:ascii="仿宋" w:hAnsi="仿宋" w:eastAsia="仿宋" w:cs="仿宋"/>
          <w:color w:val="auto"/>
          <w:sz w:val="24"/>
          <w:szCs w:val="24"/>
          <w:highlight w:val="none"/>
        </w:rPr>
        <w:t>。</w:t>
      </w:r>
    </w:p>
    <w:p w14:paraId="2CAD35A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 现场劳动用工</w:t>
      </w:r>
    </w:p>
    <w:p w14:paraId="21C3DB0A">
      <w:pPr>
        <w:pStyle w:val="60"/>
        <w:widowControl/>
        <w:snapToGrid w:val="0"/>
        <w:spacing w:beforeLines="0" w:afterLines="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7.5.2 合同当事人对建筑工人工资清偿事宜和违约责任的约定：</w:t>
      </w:r>
      <w:r>
        <w:rPr>
          <w:rFonts w:hint="eastAsia" w:ascii="仿宋" w:hAnsi="仿宋" w:eastAsia="仿宋" w:cs="仿宋"/>
          <w:color w:val="auto"/>
          <w:sz w:val="24"/>
          <w:szCs w:val="24"/>
          <w:highlight w:val="none"/>
          <w:u w:val="single"/>
        </w:rPr>
        <w:t xml:space="preserve">承包人应按照《关于印发&lt;杭州市建设领域农民工“无欠薪”管理实施细则（试行）&gt;的通知》（杭建市[2018]161 号）文件执行。 </w:t>
      </w:r>
    </w:p>
    <w:p w14:paraId="240AC6E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 安全文明施工</w:t>
      </w:r>
    </w:p>
    <w:p w14:paraId="504ADA3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7.6.1 安全生产要求</w:t>
      </w:r>
    </w:p>
    <w:p w14:paraId="2E7D7552">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合同当事人对安全施工的要求：</w:t>
      </w:r>
      <w:r>
        <w:rPr>
          <w:rFonts w:hint="eastAsia" w:ascii="仿宋" w:hAnsi="仿宋" w:eastAsia="仿宋" w:cs="仿宋"/>
          <w:color w:val="auto"/>
          <w:sz w:val="24"/>
          <w:szCs w:val="24"/>
          <w:highlight w:val="none"/>
          <w:u w:val="single"/>
        </w:rPr>
        <w:t>施工现场按照《建筑施工安全检查标准》（JGJ59-2011）评定达到“合格”标准。</w:t>
      </w:r>
    </w:p>
    <w:p w14:paraId="7D14B47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7.6.3 文明施工</w:t>
      </w:r>
    </w:p>
    <w:p w14:paraId="43D4A98C">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合同当事人对文明施工的要求：</w:t>
      </w:r>
      <w:r>
        <w:rPr>
          <w:rFonts w:hint="eastAsia" w:ascii="仿宋" w:hAnsi="仿宋" w:eastAsia="仿宋" w:cs="仿宋"/>
          <w:color w:val="auto"/>
          <w:sz w:val="24"/>
          <w:szCs w:val="24"/>
          <w:highlight w:val="none"/>
          <w:u w:val="single"/>
        </w:rPr>
        <w:t>①</w:t>
      </w:r>
      <w:r>
        <w:rPr>
          <w:rFonts w:hint="eastAsia" w:ascii="仿宋" w:hAnsi="仿宋" w:eastAsia="仿宋" w:cs="仿宋"/>
          <w:color w:val="auto"/>
          <w:sz w:val="24"/>
          <w:szCs w:val="24"/>
          <w:highlight w:val="none"/>
          <w:u w:val="single"/>
          <w:lang w:val="zh-CN"/>
        </w:rPr>
        <w:t>遵守地方政府和有关部门对施工场地交通、环卫、安全和施工噪音等管理规定，并办理相关审批手续。②承包人应采取有效措施尽量减小尘土和噪音污染，需要进行夜间作业时应经有关部门批准。③其他：</w:t>
      </w:r>
      <w:r>
        <w:rPr>
          <w:rFonts w:hint="eastAsia" w:ascii="仿宋" w:hAnsi="仿宋" w:eastAsia="仿宋" w:cs="仿宋"/>
          <w:color w:val="auto"/>
          <w:sz w:val="24"/>
          <w:szCs w:val="24"/>
          <w:highlight w:val="none"/>
          <w:u w:val="single"/>
        </w:rPr>
        <w:t>文明施工按杭州市人民政府令第278号文《杭州市建设工程文明施工管理规定》、杭建监总（2003）38号关于实施《杭州市市政建设工地安全生产、文明施工管理实施细则（试行）的通知》、杭建监总[2011]21号《关于打造“文明工地”创建全国文明城市活动实施方案》，否则若造成工程损失或人身伤害，由承包人承担全部责任及费用。</w:t>
      </w:r>
    </w:p>
    <w:p w14:paraId="116479A4">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A348180">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文明施工还需做的其他工作：①所有现场作业人员必须统一着装，后背印有企业名称。②必须在开工前配置文明施工班组24小时常态响应，该班组今后由监理单位进行考核及统一调度。协调好设备及电气安装、消防设施等配套单位的施工安排，配合做好相关的安全文明施工工作。</w:t>
      </w:r>
    </w:p>
    <w:p w14:paraId="27F21B1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 临时性公用设施</w:t>
      </w:r>
    </w:p>
    <w:p w14:paraId="1D56390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关于临时性公用设施的特别约定：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3854E5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7.10 现场安保</w:t>
      </w:r>
    </w:p>
    <w:p w14:paraId="5DCC4DF8">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承包人现场安保义务的特别约定：</w:t>
      </w:r>
      <w:r>
        <w:rPr>
          <w:rFonts w:hint="eastAsia" w:ascii="仿宋" w:hAnsi="仿宋" w:eastAsia="仿宋" w:cs="仿宋"/>
          <w:color w:val="auto"/>
          <w:sz w:val="24"/>
          <w:szCs w:val="24"/>
          <w:highlight w:val="none"/>
          <w:u w:val="single"/>
        </w:rPr>
        <w:t>：①承包人应做好包括生活区在内的管辖区的治安保卫工作。②承包人应对进入施工现场的施工人员进行安全文明施工教育，配备必要的劳动保护用具，保证工程的施工安全和人身安全。③承包人应强化安全意识，抓好安全生产，杜绝事故发生，施工中若非因发包人原因发生安全及人身事故均由承包人自行负责处理，并承担全部费用。④承包人必须严格遵守和执行中华人民共和国以及杭州市安全生产和劳动保护有关规定和建设工程安全管理条例。⑤承包人应对施工安全负责，在施工过程中要实现“五无”、“两控制”目标，确保安全。⑥承包人应配备专职安全负责人，以确保生产安全。⑦承包人应服从当地政府有关部门在社会治安、综合治理、计划生育、交通管理、环境保护等的管理规定，承包人应安排专职人员负责条款的执行，发包人有权对此进行监督、检查。⑧承包人在工程施工期间，必须配备专职用电管理员，全面负责施工用电的管理。</w:t>
      </w:r>
    </w:p>
    <w:p w14:paraId="79726C54">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第8条 工期和进度</w:t>
      </w:r>
    </w:p>
    <w:p w14:paraId="48DEB41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开始工作</w:t>
      </w:r>
    </w:p>
    <w:p w14:paraId="5481CBF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 开始准备工作：</w:t>
      </w:r>
      <w:r>
        <w:rPr>
          <w:rFonts w:hint="eastAsia" w:ascii="仿宋" w:hAnsi="仿宋" w:eastAsia="仿宋" w:cs="仿宋"/>
          <w:color w:val="auto"/>
          <w:sz w:val="24"/>
          <w:szCs w:val="24"/>
          <w:highlight w:val="none"/>
          <w:u w:val="single"/>
        </w:rPr>
        <w:t>详见专用条款4.1 承包人的一般义务。</w:t>
      </w:r>
    </w:p>
    <w:p w14:paraId="15E70CC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 发包人可在计划开始工作之日起84日后发出开始工作通知的特殊情形：</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B4E3DB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竣工日期</w:t>
      </w:r>
    </w:p>
    <w:p w14:paraId="09BBAB1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竣工日期的约定：</w:t>
      </w:r>
      <w:r>
        <w:rPr>
          <w:rFonts w:hint="eastAsia" w:ascii="仿宋" w:hAnsi="仿宋" w:eastAsia="仿宋" w:cs="仿宋"/>
          <w:color w:val="auto"/>
          <w:sz w:val="24"/>
          <w:szCs w:val="24"/>
          <w:highlight w:val="none"/>
          <w:u w:val="single"/>
        </w:rPr>
        <w:t xml:space="preserve"> 按通用条款约定。</w:t>
      </w:r>
    </w:p>
    <w:p w14:paraId="3238CF1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项目实施计划</w:t>
      </w:r>
    </w:p>
    <w:p w14:paraId="312B4ED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8.3.1 项目实施计划的内容</w:t>
      </w:r>
    </w:p>
    <w:p w14:paraId="646D8DDA">
      <w:pPr>
        <w:pStyle w:val="60"/>
        <w:widowControl/>
        <w:snapToGrid w:val="0"/>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项目实施计划的内容：</w:t>
      </w:r>
      <w:r>
        <w:rPr>
          <w:rFonts w:hint="eastAsia" w:ascii="仿宋" w:hAnsi="仿宋" w:eastAsia="仿宋" w:cs="仿宋"/>
          <w:color w:val="auto"/>
          <w:sz w:val="24"/>
          <w:szCs w:val="24"/>
          <w:highlight w:val="none"/>
          <w:u w:val="single"/>
        </w:rPr>
        <w:t>（1）合同签订一周后，承包人提供项目管理规划、项目资金使用计划；（2）每月25日前提供当月完成工程量和工作价款表、安全施工措施费清单及价款、施工质量情况、原材料质量及检查情况、现场签证及设计变更情况；（3）每周周报应包括上周计划完成情况、上周实际完成情况、下周计划情况，现场工料机投入，需要协调解决的问题等。以上报表报发包人审核后；（4）设备材料进场时，提交“供应材料设备一览表”，需包含材料设备名称、规格型号、品牌、计量单位、数量、单价、供应时间、送达地点，并附送产品合格证复印件。</w:t>
      </w:r>
    </w:p>
    <w:p w14:paraId="411421D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8.3.2 项目实施计划的提交和修改</w:t>
      </w:r>
    </w:p>
    <w:p w14:paraId="75C0B550">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项目实施计划的提交及修改期限：</w:t>
      </w:r>
      <w:r>
        <w:rPr>
          <w:rFonts w:hint="eastAsia" w:ascii="仿宋" w:hAnsi="仿宋" w:eastAsia="仿宋" w:cs="仿宋"/>
          <w:color w:val="auto"/>
          <w:sz w:val="24"/>
          <w:szCs w:val="24"/>
          <w:highlight w:val="none"/>
          <w:u w:val="single"/>
        </w:rPr>
        <w:t>发包人对承包人文件若有合理意见和要求的，承包人应在收到意见和要求后的7</w:t>
      </w:r>
      <w:r>
        <w:rPr>
          <w:rFonts w:hint="eastAsia" w:ascii="仿宋" w:hAnsi="仿宋" w:eastAsia="仿宋" w:cs="仿宋"/>
          <w:color w:val="auto"/>
          <w:sz w:val="24"/>
          <w:szCs w:val="24"/>
          <w:highlight w:val="none"/>
          <w:u w:val="single"/>
        </w:rPr>
        <w:t>日历日</w:t>
      </w:r>
      <w:r>
        <w:rPr>
          <w:rFonts w:hint="eastAsia" w:ascii="仿宋" w:hAnsi="仿宋" w:eastAsia="仿宋" w:cs="仿宋"/>
          <w:color w:val="auto"/>
          <w:sz w:val="24"/>
          <w:szCs w:val="24"/>
          <w:highlight w:val="none"/>
          <w:u w:val="single"/>
        </w:rPr>
        <w:t xml:space="preserve">自费修改完善，并进行重新报送。发包人的审查并不减轻或免除承包人根据合同约定应当承担的责任。   </w:t>
      </w:r>
    </w:p>
    <w:p w14:paraId="26F05BF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项目进度计划</w:t>
      </w:r>
    </w:p>
    <w:p w14:paraId="1EA7F1DA">
      <w:pPr>
        <w:pStyle w:val="843"/>
        <w:spacing w:beforeLines="0" w:afterLines="0" w:line="360" w:lineRule="auto"/>
        <w:ind w:firstLine="60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8.4.1 工程师在收到进度计划后确认或提出修改意见的期限：</w:t>
      </w:r>
      <w:r>
        <w:rPr>
          <w:rFonts w:hint="eastAsia" w:ascii="仿宋" w:hAnsi="仿宋" w:eastAsia="仿宋" w:cs="仿宋"/>
          <w:color w:val="auto"/>
          <w:sz w:val="24"/>
          <w:szCs w:val="24"/>
          <w:highlight w:val="none"/>
          <w:u w:val="single"/>
        </w:rPr>
        <w:t xml:space="preserve"> 发包人原则上应在收到报送的文件后7</w:t>
      </w:r>
      <w:r>
        <w:rPr>
          <w:rFonts w:hint="eastAsia" w:ascii="仿宋" w:hAnsi="仿宋" w:eastAsia="仿宋" w:cs="仿宋"/>
          <w:color w:val="auto"/>
          <w:sz w:val="24"/>
          <w:szCs w:val="24"/>
          <w:highlight w:val="none"/>
          <w:u w:val="single"/>
        </w:rPr>
        <w:t>日历日</w:t>
      </w:r>
      <w:r>
        <w:rPr>
          <w:rFonts w:hint="eastAsia" w:ascii="仿宋" w:hAnsi="仿宋" w:eastAsia="仿宋" w:cs="仿宋"/>
          <w:color w:val="auto"/>
          <w:sz w:val="24"/>
          <w:szCs w:val="24"/>
          <w:highlight w:val="none"/>
          <w:u w:val="single"/>
        </w:rPr>
        <w:t>内审查完毕。</w:t>
      </w:r>
    </w:p>
    <w:p w14:paraId="7FAEE968">
      <w:pPr>
        <w:pStyle w:val="60"/>
        <w:widowControl/>
        <w:snapToGrid w:val="0"/>
        <w:spacing w:beforeLines="0" w:afterLines="0" w:line="360" w:lineRule="auto"/>
        <w:ind w:firstLine="6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8.4.2 进度计划的具体要求：</w:t>
      </w:r>
      <w:r>
        <w:rPr>
          <w:rFonts w:hint="eastAsia" w:ascii="仿宋" w:hAnsi="仿宋" w:eastAsia="仿宋" w:cs="仿宋"/>
          <w:color w:val="auto"/>
          <w:sz w:val="24"/>
          <w:szCs w:val="24"/>
          <w:highlight w:val="none"/>
          <w:u w:val="single"/>
        </w:rPr>
        <w:t>各种进度计划均要求同时上报电子版。</w:t>
      </w:r>
    </w:p>
    <w:p w14:paraId="33E96A70">
      <w:pPr>
        <w:pStyle w:val="60"/>
        <w:widowControl/>
        <w:snapToGrid w:val="0"/>
        <w:spacing w:beforeLines="0" w:afterLines="0" w:line="360" w:lineRule="auto"/>
        <w:ind w:firstLine="6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关键路径及关键路径变化的确定原则：</w:t>
      </w:r>
      <w:r>
        <w:rPr>
          <w:rFonts w:hint="eastAsia" w:ascii="仿宋" w:hAnsi="仿宋" w:eastAsia="仿宋" w:cs="仿宋"/>
          <w:color w:val="auto"/>
          <w:sz w:val="24"/>
          <w:szCs w:val="24"/>
          <w:highlight w:val="none"/>
          <w:u w:val="single"/>
        </w:rPr>
        <w:t xml:space="preserve">由承包人上报，发包人审定为准，若由于非发包人及非不可抗力因素而造成项目节点落后，承包人应做出充分说明，并提交书面整改报告。 </w:t>
      </w:r>
    </w:p>
    <w:p w14:paraId="0FEF66E3">
      <w:pPr>
        <w:pStyle w:val="60"/>
        <w:widowControl/>
        <w:snapToGrid w:val="0"/>
        <w:spacing w:beforeLines="0" w:afterLines="0" w:line="360" w:lineRule="auto"/>
        <w:ind w:firstLine="6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承包人提交项目进度计划的份数和时间：</w:t>
      </w:r>
      <w:r>
        <w:rPr>
          <w:rFonts w:hint="eastAsia" w:ascii="仿宋" w:hAnsi="仿宋" w:eastAsia="仿宋" w:cs="仿宋"/>
          <w:color w:val="auto"/>
          <w:sz w:val="24"/>
          <w:szCs w:val="24"/>
          <w:highlight w:val="none"/>
          <w:u w:val="single"/>
        </w:rPr>
        <w:t>承包人应在开工3日前，向发包人提交五份包括设计、采购、施工、竣工试验等内容的项目总体进度计划5份。</w:t>
      </w:r>
      <w:r>
        <w:rPr>
          <w:rFonts w:hint="eastAsia" w:ascii="仿宋" w:hAnsi="仿宋" w:eastAsia="仿宋" w:cs="仿宋"/>
          <w:color w:val="auto"/>
          <w:sz w:val="24"/>
          <w:szCs w:val="24"/>
          <w:highlight w:val="none"/>
        </w:rPr>
        <w:t xml:space="preserve"> </w:t>
      </w:r>
    </w:p>
    <w:p w14:paraId="6110DB12">
      <w:pPr>
        <w:pStyle w:val="60"/>
        <w:widowControl/>
        <w:snapToGrid w:val="0"/>
        <w:spacing w:beforeLines="0" w:afterLines="0" w:line="360" w:lineRule="auto"/>
        <w:ind w:firstLine="6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8.4.3 进度计划的修订</w:t>
      </w:r>
    </w:p>
    <w:p w14:paraId="558771D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承包人提交修订项目进度计划申请报告的期限：</w:t>
      </w:r>
      <w:r>
        <w:rPr>
          <w:rFonts w:hint="eastAsia" w:ascii="仿宋" w:hAnsi="仿宋" w:eastAsia="仿宋" w:cs="仿宋"/>
          <w:color w:val="auto"/>
          <w:sz w:val="24"/>
          <w:szCs w:val="24"/>
          <w:highlight w:val="none"/>
          <w:u w:val="single"/>
        </w:rPr>
        <w:t xml:space="preserve"> 按通用条款执行。 </w:t>
      </w:r>
    </w:p>
    <w:p w14:paraId="72BA37C8">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发包人批复修订项目进度计划申请报告的期限：</w:t>
      </w:r>
      <w:r>
        <w:rPr>
          <w:rFonts w:hint="eastAsia" w:ascii="仿宋" w:hAnsi="仿宋" w:eastAsia="仿宋" w:cs="仿宋"/>
          <w:color w:val="auto"/>
          <w:sz w:val="24"/>
          <w:szCs w:val="24"/>
          <w:highlight w:val="none"/>
          <w:u w:val="single"/>
        </w:rPr>
        <w:t xml:space="preserve"> 按通用条款执行。</w:t>
      </w:r>
    </w:p>
    <w:p w14:paraId="19581EA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承包人答复发包人提出修订合同计划的期限：</w:t>
      </w:r>
      <w:r>
        <w:rPr>
          <w:rFonts w:hint="eastAsia" w:ascii="仿宋" w:hAnsi="仿宋" w:eastAsia="仿宋" w:cs="仿宋"/>
          <w:color w:val="auto"/>
          <w:sz w:val="24"/>
          <w:szCs w:val="24"/>
          <w:highlight w:val="none"/>
          <w:u w:val="single"/>
        </w:rPr>
        <w:t xml:space="preserve">  按通用条款执行</w:t>
      </w:r>
      <w:r>
        <w:rPr>
          <w:rFonts w:hint="eastAsia" w:ascii="仿宋" w:hAnsi="仿宋" w:eastAsia="仿宋" w:cs="仿宋"/>
          <w:color w:val="auto"/>
          <w:sz w:val="24"/>
          <w:szCs w:val="24"/>
          <w:highlight w:val="none"/>
        </w:rPr>
        <w:t>。</w:t>
      </w:r>
    </w:p>
    <w:p w14:paraId="629E7BE2">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发生本合同约定的可以予以工期顺延的情形时，承包人应在事件发生后 7 </w:t>
      </w:r>
      <w:r>
        <w:rPr>
          <w:rFonts w:hint="eastAsia" w:ascii="仿宋" w:hAnsi="仿宋" w:eastAsia="仿宋" w:cs="仿宋"/>
          <w:color w:val="auto"/>
          <w:sz w:val="24"/>
          <w:szCs w:val="24"/>
          <w:highlight w:val="none"/>
          <w:u w:val="single"/>
        </w:rPr>
        <w:t>日历日</w:t>
      </w:r>
      <w:r>
        <w:rPr>
          <w:rFonts w:hint="eastAsia" w:ascii="仿宋" w:hAnsi="仿宋" w:eastAsia="仿宋" w:cs="仿宋"/>
          <w:color w:val="auto"/>
          <w:sz w:val="24"/>
          <w:szCs w:val="24"/>
          <w:highlight w:val="none"/>
          <w:u w:val="single"/>
        </w:rPr>
        <w:t>内向发包人提出工期顺延的申请，经发包人签证后予以相应顺延。若承包人未在上述期限内提出工期顺延申请，视为其放弃工期顺延权利。</w:t>
      </w:r>
    </w:p>
    <w:p w14:paraId="2078C4C9">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除合同约定情况外，承包人应充分考虑节假日、高温限电、停水停电、工程量增减等不确定因素对工程总工期目标的影响，要求承包人必须提供相应保证正常施工方案及承诺，提前做好民工轮休安排，要有针对性实质措施，由此带来的工期延误，总工期不予顺延。</w:t>
      </w:r>
    </w:p>
    <w:p w14:paraId="129E671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 进度报告</w:t>
      </w:r>
    </w:p>
    <w:p w14:paraId="5E41C04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进度报告的具体要求：</w:t>
      </w:r>
      <w:r>
        <w:rPr>
          <w:rFonts w:hint="eastAsia" w:ascii="仿宋" w:hAnsi="仿宋" w:eastAsia="仿宋" w:cs="仿宋"/>
          <w:color w:val="auto"/>
          <w:sz w:val="24"/>
          <w:szCs w:val="24"/>
          <w:highlight w:val="none"/>
          <w:u w:val="single"/>
        </w:rPr>
        <w:t xml:space="preserve">  按通用条款约定   </w:t>
      </w:r>
      <w:r>
        <w:rPr>
          <w:rFonts w:hint="eastAsia" w:ascii="仿宋" w:hAnsi="仿宋" w:eastAsia="仿宋" w:cs="仿宋"/>
          <w:color w:val="auto"/>
          <w:sz w:val="24"/>
          <w:szCs w:val="24"/>
          <w:highlight w:val="none"/>
        </w:rPr>
        <w:t>。</w:t>
      </w:r>
    </w:p>
    <w:p w14:paraId="1B6896F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 工期延误</w:t>
      </w:r>
    </w:p>
    <w:p w14:paraId="17801F6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8.7.2 因承包人原因导致工期延误</w:t>
      </w:r>
    </w:p>
    <w:p w14:paraId="05EFD900">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因承包人原因使各施工节点工期延误，按招标文件工期要求的时间为控制节点，每延误一天支付违约金人民币3000元，但竣工若最终验收合格日期未发生延误的，发包人承诺将已扣除的工期违约金退还承包人。竣工验收合格日期延误的，每延误一天支付违约金人民币3000元；交付使用日期延误的，每延误一天支付违约金3000元。控制节点延误天数、验收合格日期延误天数、交付日期延误天数不累加，承包人以三者中的最大延误天数向发包人支付违约金，违约金累计最高支付金额不超过合同价格的10％，违约金达到上限后或经发包人催告后仍未在合理期间内完成工程内容的，发包人有权单方解除本合同，由承包人按照合同总额的 10 %承担违约金，造成损失由承包人全部承担。如发包人未解除合同的，不免除承包人应承担的违约责任和赔偿责任。</w:t>
      </w:r>
    </w:p>
    <w:p w14:paraId="7A3C368C">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由于承包人原因，承包人进度工程量未达到进度计划工程量的20%及以上的或者实际施工进度晚于施工进度计划30天及以上的，发包人有权单方解除本合同，由承包人按照合同总额的 10  %承担违约金，造成损失由承包人全部承担。</w:t>
      </w:r>
    </w:p>
    <w:p w14:paraId="043D6A2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8.7.3 行政审批迟延</w:t>
      </w:r>
    </w:p>
    <w:p w14:paraId="32A458D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行政审批报送的职责分工：</w:t>
      </w:r>
      <w:r>
        <w:rPr>
          <w:rFonts w:hint="eastAsia" w:ascii="仿宋" w:hAnsi="仿宋" w:eastAsia="仿宋" w:cs="仿宋"/>
          <w:color w:val="auto"/>
          <w:sz w:val="24"/>
          <w:szCs w:val="24"/>
          <w:highlight w:val="none"/>
          <w:u w:val="single"/>
        </w:rPr>
        <w:t>总承包工作范围涉及的相关审批报送由承包人负责。因发包人原因导致费用增加由发包人承担，因承包人原因导致费用增加由承包人承担；非双方原因导致费用增加由双方另行协商处理。</w:t>
      </w:r>
    </w:p>
    <w:p w14:paraId="68AE70A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8.7.4 异常恶劣的气候条件</w:t>
      </w:r>
    </w:p>
    <w:p w14:paraId="0FD3BE0E">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双方约定视为异常恶劣的气候条件的情形：</w:t>
      </w:r>
      <w:r>
        <w:rPr>
          <w:rFonts w:hint="eastAsia" w:ascii="仿宋" w:hAnsi="仿宋" w:eastAsia="仿宋" w:cs="仿宋"/>
          <w:color w:val="auto"/>
          <w:sz w:val="24"/>
          <w:szCs w:val="24"/>
          <w:highlight w:val="none"/>
          <w:u w:val="single"/>
        </w:rPr>
        <w:t>（1）日最高气温达到40度及以上的天气；（2）启动台风橙色及以上预警的天气；（3）启动防汛预案一级响应的天气；（4）启动防冻预案一级响应的天气。</w:t>
      </w:r>
    </w:p>
    <w:p w14:paraId="6907DB1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工期提前</w:t>
      </w:r>
    </w:p>
    <w:p w14:paraId="01C3AF0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8.8.2 承包人提前竣工的奖励：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FFC04FC">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第9条 竣工试验</w:t>
      </w:r>
    </w:p>
    <w:p w14:paraId="4201FEC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竣工试验的义务</w:t>
      </w:r>
    </w:p>
    <w:p w14:paraId="3422E14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9.1.3 竣工试验的阶段、内容和顺序：</w:t>
      </w:r>
      <w:r>
        <w:rPr>
          <w:rFonts w:hint="eastAsia" w:ascii="仿宋" w:hAnsi="仿宋" w:eastAsia="仿宋" w:cs="仿宋"/>
          <w:color w:val="auto"/>
          <w:sz w:val="24"/>
          <w:szCs w:val="24"/>
          <w:highlight w:val="none"/>
          <w:u w:val="single"/>
        </w:rPr>
        <w:t xml:space="preserve">   包含竣工验收试验等，按建筑相关法律法规及《建筑工程施工质量验收统一标准》（GB-50300-2013）规定由承包人完成并承担费用</w:t>
      </w:r>
      <w:r>
        <w:rPr>
          <w:rFonts w:hint="eastAsia" w:ascii="仿宋" w:hAnsi="仿宋" w:eastAsia="仿宋" w:cs="仿宋"/>
          <w:color w:val="auto"/>
          <w:sz w:val="24"/>
          <w:szCs w:val="24"/>
          <w:highlight w:val="none"/>
        </w:rPr>
        <w:t>。</w:t>
      </w:r>
    </w:p>
    <w:p w14:paraId="2E4D48A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竣工试验的操作要求：</w:t>
      </w:r>
      <w:r>
        <w:rPr>
          <w:rFonts w:hint="eastAsia" w:ascii="仿宋" w:hAnsi="仿宋" w:eastAsia="仿宋" w:cs="仿宋"/>
          <w:color w:val="auto"/>
          <w:sz w:val="24"/>
          <w:szCs w:val="24"/>
          <w:highlight w:val="none"/>
          <w:u w:val="single"/>
        </w:rPr>
        <w:t xml:space="preserve">    按通用条款约定  </w:t>
      </w:r>
      <w:r>
        <w:rPr>
          <w:rFonts w:hint="eastAsia" w:ascii="仿宋" w:hAnsi="仿宋" w:eastAsia="仿宋" w:cs="仿宋"/>
          <w:color w:val="auto"/>
          <w:sz w:val="24"/>
          <w:szCs w:val="24"/>
          <w:highlight w:val="none"/>
        </w:rPr>
        <w:t>。</w:t>
      </w:r>
    </w:p>
    <w:p w14:paraId="5296DDA7">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第10条 验收和工程接收</w:t>
      </w:r>
    </w:p>
    <w:p w14:paraId="411ECF0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竣工验收</w:t>
      </w:r>
    </w:p>
    <w:p w14:paraId="4650680D">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10.1.2 关于竣工验收程序的约定：</w:t>
      </w:r>
      <w:r>
        <w:rPr>
          <w:rFonts w:hint="eastAsia" w:ascii="仿宋" w:hAnsi="仿宋" w:eastAsia="仿宋" w:cs="仿宋"/>
          <w:color w:val="auto"/>
          <w:sz w:val="24"/>
          <w:szCs w:val="24"/>
          <w:highlight w:val="none"/>
          <w:u w:val="single"/>
        </w:rPr>
        <w:t>（1）工程具备竣工验收条件的，承包人应按通用条款约定及《杭州市房屋建筑工程和市政基础工程竣工验收备案管理实施细则》的规定申请竣工验收，由监理人、发包人按合同通用条款约定的程序组织竣工验收。</w:t>
      </w:r>
    </w:p>
    <w:p w14:paraId="39796106">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（2）承包人必须协助发包人完成工程验收及交接工作，工程质量初验不合格，由承包方负责返工修补合格并承担费用和工期损失外，按合同价的3%向发包人承担违约金。</w:t>
      </w:r>
    </w:p>
    <w:p w14:paraId="73562F6A">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（3）工程竣工验收合格的，则工程竣工验收合格之日为工程实际竣工日期；如因验收不合格的，则承包人应当按发包人的要求进行整改，整改完成并经验收合格之日视为实际竣工日期。</w:t>
      </w:r>
    </w:p>
    <w:p w14:paraId="32FB17B9">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（4）经过验收合格的工程，承包人有责任保护、管理至全部工程验收通过并整体移交发包人之日止，相应费用包含在合同价款中。</w:t>
      </w:r>
    </w:p>
    <w:p w14:paraId="0A326E55">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因承包人原因导致无法办理竣工验收备案手续的，发包人有权拒绝支付工程款。因承包人原因导致竣工资料未能在合同约定期限内提交的，将按3000元/天向发包人承担违约金，结算时从承包人应得工程款中扣除。</w:t>
      </w:r>
    </w:p>
    <w:p w14:paraId="2AFC2112">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工程竣工验收通过后，承包人需对工程按本工程交付标准进行全面的清洁卫生工作，所需费用包含在合同价款中。如承包人未按要求完成清洁工作的，发包人有权委托第三方处理，所产生的费用，由承包人承担。承包人拒付的，发包人有权从工程款中直接扣除。</w:t>
      </w:r>
    </w:p>
    <w:p w14:paraId="4B5E052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工程的接收</w:t>
      </w:r>
    </w:p>
    <w:p w14:paraId="5C1A146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10.3.1工程接收的先后顺序、时间安排和其他要求：</w:t>
      </w:r>
      <w:r>
        <w:rPr>
          <w:rFonts w:hint="eastAsia" w:ascii="仿宋" w:hAnsi="仿宋" w:eastAsia="仿宋" w:cs="仿宋"/>
          <w:color w:val="auto"/>
          <w:sz w:val="24"/>
          <w:szCs w:val="24"/>
          <w:highlight w:val="none"/>
          <w:u w:val="single"/>
        </w:rPr>
        <w:t>工程竣工验收通过后15天内，承包人将全部工程交付给发包人</w:t>
      </w:r>
      <w:r>
        <w:rPr>
          <w:rFonts w:hint="eastAsia" w:ascii="仿宋" w:hAnsi="仿宋" w:eastAsia="仿宋" w:cs="仿宋"/>
          <w:color w:val="auto"/>
          <w:sz w:val="24"/>
          <w:szCs w:val="24"/>
          <w:highlight w:val="none"/>
        </w:rPr>
        <w:t>。</w:t>
      </w:r>
    </w:p>
    <w:p w14:paraId="07B61B9B">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10.3.2 接受工程时承包人需提交竣工验收资料的类别、内容、份数和提交时间：</w:t>
      </w:r>
      <w:r>
        <w:rPr>
          <w:rFonts w:hint="eastAsia" w:ascii="仿宋" w:hAnsi="仿宋" w:eastAsia="仿宋" w:cs="仿宋"/>
          <w:color w:val="auto"/>
          <w:sz w:val="24"/>
          <w:szCs w:val="24"/>
          <w:highlight w:val="none"/>
          <w:u w:val="single"/>
        </w:rPr>
        <w:t>在竣工验收合格后30日内提交捌份符合国家及杭州市相关规范要求的验收资料。</w:t>
      </w:r>
    </w:p>
    <w:p w14:paraId="54C190F0">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10.3.3 发包人逾期接收工程的违约责任：</w:t>
      </w:r>
      <w:r>
        <w:rPr>
          <w:rFonts w:hint="eastAsia" w:ascii="仿宋" w:hAnsi="仿宋" w:eastAsia="仿宋" w:cs="仿宋"/>
          <w:color w:val="auto"/>
          <w:sz w:val="24"/>
          <w:szCs w:val="24"/>
          <w:highlight w:val="none"/>
          <w:u w:val="single"/>
        </w:rPr>
        <w:t xml:space="preserve"> /。</w:t>
      </w:r>
    </w:p>
    <w:p w14:paraId="19693DE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10.3.4 承包人无正当理由不移交工程的违约责任：</w:t>
      </w:r>
      <w:r>
        <w:rPr>
          <w:rFonts w:hint="eastAsia" w:ascii="仿宋" w:hAnsi="仿宋" w:eastAsia="仿宋" w:cs="仿宋"/>
          <w:color w:val="auto"/>
          <w:sz w:val="24"/>
          <w:szCs w:val="24"/>
          <w:highlight w:val="none"/>
          <w:u w:val="single"/>
        </w:rPr>
        <w:t>承包人无正当理由不移交工程的违约责任：每延误一天承包人应承担3000元的违约金，且因逾期移交工程而给发包人造成经济损失的，承包人应赔偿发包人全部损失。</w:t>
      </w:r>
    </w:p>
    <w:p w14:paraId="095F3B7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 接收证书</w:t>
      </w:r>
    </w:p>
    <w:p w14:paraId="6F8AD239">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10.4.1 工程接收证书颁发时间</w:t>
      </w:r>
      <w:r>
        <w:rPr>
          <w:rFonts w:hint="eastAsia" w:ascii="仿宋" w:hAnsi="仿宋" w:eastAsia="仿宋" w:cs="仿宋"/>
          <w:color w:val="auto"/>
          <w:sz w:val="24"/>
          <w:szCs w:val="24"/>
          <w:highlight w:val="none"/>
          <w:u w:val="single"/>
        </w:rPr>
        <w:t>：按通用条款约定。</w:t>
      </w:r>
    </w:p>
    <w:p w14:paraId="047937C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 竣工退场</w:t>
      </w:r>
    </w:p>
    <w:p w14:paraId="3F03A3D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10.5.1 竣工退场的相关约定：</w:t>
      </w:r>
      <w:r>
        <w:rPr>
          <w:rFonts w:hint="eastAsia" w:ascii="仿宋" w:hAnsi="仿宋" w:eastAsia="仿宋" w:cs="仿宋"/>
          <w:color w:val="auto"/>
          <w:sz w:val="24"/>
          <w:szCs w:val="24"/>
          <w:highlight w:val="none"/>
          <w:u w:val="single"/>
        </w:rPr>
        <w:t>颁发工程接收证书后14天内。工程交付前要清除场地内的材料设备、临时设施、硬化地坪、施工机械的基础等，以及外运所有的建筑垃圾，所需费用承包人自理。如逾期退场的，每逾期一日，应按1万元支付违约金</w:t>
      </w:r>
      <w:r>
        <w:rPr>
          <w:rFonts w:hint="eastAsia" w:ascii="仿宋" w:hAnsi="仿宋" w:eastAsia="仿宋" w:cs="仿宋"/>
          <w:color w:val="auto"/>
          <w:sz w:val="24"/>
          <w:szCs w:val="24"/>
          <w:highlight w:val="none"/>
        </w:rPr>
        <w:t>。</w:t>
      </w:r>
    </w:p>
    <w:p w14:paraId="1A10A95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10.5.3人员撤离</w:t>
      </w:r>
    </w:p>
    <w:p w14:paraId="3E5B761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工程师同意需在缺陷责任期内继续工作和使用的人员、施工设备和临时工程的内容：</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21D335B5">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第11条 缺陷责任与保修</w:t>
      </w:r>
    </w:p>
    <w:p w14:paraId="22603D2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缺陷责任期</w:t>
      </w:r>
    </w:p>
    <w:p w14:paraId="7EFB5D0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缺陷责任期的期限：</w:t>
      </w:r>
      <w:r>
        <w:rPr>
          <w:rFonts w:hint="eastAsia" w:ascii="仿宋" w:hAnsi="仿宋" w:eastAsia="仿宋" w:cs="仿宋"/>
          <w:color w:val="auto"/>
          <w:sz w:val="24"/>
          <w:szCs w:val="24"/>
          <w:highlight w:val="none"/>
          <w:u w:val="single"/>
        </w:rPr>
        <w:t>从工程竣工验收合格之日起24个月</w:t>
      </w:r>
      <w:r>
        <w:rPr>
          <w:rFonts w:hint="eastAsia" w:ascii="仿宋" w:hAnsi="仿宋" w:eastAsia="仿宋" w:cs="仿宋"/>
          <w:color w:val="auto"/>
          <w:sz w:val="24"/>
          <w:szCs w:val="24"/>
          <w:highlight w:val="none"/>
        </w:rPr>
        <w:t>。</w:t>
      </w:r>
    </w:p>
    <w:p w14:paraId="4591D1C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缺陷调查</w:t>
      </w:r>
    </w:p>
    <w:p w14:paraId="64FCA92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11.3.4 修复通知</w:t>
      </w:r>
    </w:p>
    <w:p w14:paraId="5888719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承包人收到保修通知并到达工程现场的合理时间：</w:t>
      </w:r>
      <w:r>
        <w:rPr>
          <w:rFonts w:hint="eastAsia" w:ascii="仿宋" w:hAnsi="仿宋" w:eastAsia="仿宋" w:cs="仿宋"/>
          <w:color w:val="auto"/>
          <w:sz w:val="24"/>
          <w:szCs w:val="24"/>
          <w:highlight w:val="none"/>
          <w:u w:val="single"/>
        </w:rPr>
        <w:t>按工程质量保修协议规定执行</w:t>
      </w:r>
      <w:r>
        <w:rPr>
          <w:rFonts w:hint="eastAsia" w:ascii="仿宋" w:hAnsi="仿宋" w:eastAsia="仿宋" w:cs="仿宋"/>
          <w:color w:val="auto"/>
          <w:sz w:val="24"/>
          <w:szCs w:val="24"/>
          <w:highlight w:val="none"/>
        </w:rPr>
        <w:t>。</w:t>
      </w:r>
    </w:p>
    <w:p w14:paraId="5C4D68B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11.6 缺陷责任期终止证书 </w:t>
      </w:r>
    </w:p>
    <w:p w14:paraId="6394AB8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承包人应于缺陷责任期届满后</w:t>
      </w:r>
      <w:r>
        <w:rPr>
          <w:rFonts w:hint="eastAsia" w:ascii="仿宋" w:hAnsi="仿宋" w:eastAsia="仿宋" w:cs="仿宋"/>
          <w:color w:val="auto"/>
          <w:sz w:val="24"/>
          <w:szCs w:val="24"/>
          <w:highlight w:val="none"/>
          <w:u w:val="single"/>
        </w:rPr>
        <w:t xml:space="preserve">  14  </w:t>
      </w:r>
      <w:r>
        <w:rPr>
          <w:rFonts w:hint="eastAsia" w:ascii="仿宋" w:hAnsi="仿宋" w:eastAsia="仿宋" w:cs="仿宋"/>
          <w:color w:val="auto"/>
          <w:sz w:val="24"/>
          <w:szCs w:val="24"/>
          <w:highlight w:val="none"/>
        </w:rPr>
        <w:t>天内向发包人发出缺陷责任期届满通知，发包人应在收到缺陷责任期满通知后</w:t>
      </w:r>
      <w:r>
        <w:rPr>
          <w:rFonts w:hint="eastAsia" w:ascii="仿宋" w:hAnsi="仿宋" w:eastAsia="仿宋" w:cs="仿宋"/>
          <w:color w:val="auto"/>
          <w:sz w:val="24"/>
          <w:szCs w:val="24"/>
          <w:highlight w:val="none"/>
          <w:u w:val="single"/>
        </w:rPr>
        <w:t xml:space="preserve">  14  </w:t>
      </w:r>
      <w:r>
        <w:rPr>
          <w:rFonts w:hint="eastAsia" w:ascii="仿宋" w:hAnsi="仿宋" w:eastAsia="仿宋" w:cs="仿宋"/>
          <w:color w:val="auto"/>
          <w:sz w:val="24"/>
          <w:szCs w:val="24"/>
          <w:highlight w:val="none"/>
        </w:rPr>
        <w:t>天内核实承包人是否履行缺陷修复义务，承包人未能履行缺陷修复义务的，发包人有权扣除相应金额的维修费用。发包人应在收到缺陷责任期届满通知后</w:t>
      </w:r>
      <w:r>
        <w:rPr>
          <w:rFonts w:hint="eastAsia" w:ascii="仿宋" w:hAnsi="仿宋" w:eastAsia="仿宋" w:cs="仿宋"/>
          <w:color w:val="auto"/>
          <w:sz w:val="24"/>
          <w:szCs w:val="24"/>
          <w:highlight w:val="none"/>
          <w:u w:val="single"/>
        </w:rPr>
        <w:t xml:space="preserve">  14  </w:t>
      </w:r>
      <w:r>
        <w:rPr>
          <w:rFonts w:hint="eastAsia" w:ascii="仿宋" w:hAnsi="仿宋" w:eastAsia="仿宋" w:cs="仿宋"/>
          <w:color w:val="auto"/>
          <w:sz w:val="24"/>
          <w:szCs w:val="24"/>
          <w:highlight w:val="none"/>
        </w:rPr>
        <w:t>天内，向承包人颁发缺陷责任期终止证书。</w:t>
      </w:r>
    </w:p>
    <w:p w14:paraId="14F4115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保修责任</w:t>
      </w:r>
    </w:p>
    <w:p w14:paraId="359610D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工程质量保修范围、期限和责任为：</w:t>
      </w:r>
      <w:r>
        <w:rPr>
          <w:rFonts w:hint="eastAsia" w:ascii="仿宋" w:hAnsi="仿宋" w:eastAsia="仿宋" w:cs="仿宋"/>
          <w:color w:val="auto"/>
          <w:sz w:val="24"/>
          <w:szCs w:val="24"/>
          <w:highlight w:val="none"/>
          <w:u w:val="single"/>
        </w:rPr>
        <w:t>按国家《建设工程质量管理条例》及双方约定承担工程质量缺陷的保修责任</w:t>
      </w:r>
      <w:r>
        <w:rPr>
          <w:rFonts w:hint="eastAsia" w:ascii="仿宋" w:hAnsi="仿宋" w:eastAsia="仿宋" w:cs="仿宋"/>
          <w:color w:val="auto"/>
          <w:sz w:val="24"/>
          <w:szCs w:val="24"/>
          <w:highlight w:val="none"/>
        </w:rPr>
        <w:t>。</w:t>
      </w:r>
    </w:p>
    <w:p w14:paraId="678D6C6D">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第12条 竣工后试验</w:t>
      </w:r>
    </w:p>
    <w:p w14:paraId="6186D9A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本合同工程是否包含竣工后试验：</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color w:val="auto"/>
          <w:sz w:val="24"/>
          <w:szCs w:val="24"/>
          <w:highlight w:val="none"/>
        </w:rPr>
        <w:t>。</w:t>
      </w:r>
    </w:p>
    <w:p w14:paraId="5EBB516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竣工后试验的程序</w:t>
      </w:r>
    </w:p>
    <w:p w14:paraId="048D9E5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仿宋" w:hAnsi="仿宋" w:eastAsia="仿宋" w:cs="仿宋"/>
          <w:color w:val="auto"/>
          <w:sz w:val="24"/>
          <w:szCs w:val="24"/>
          <w:highlight w:val="none"/>
          <w:u w:val="single"/>
        </w:rPr>
        <w:t>承包人</w:t>
      </w:r>
      <w:r>
        <w:rPr>
          <w:rFonts w:hint="eastAsia" w:ascii="仿宋" w:hAnsi="仿宋" w:eastAsia="仿宋" w:cs="仿宋"/>
          <w:color w:val="auto"/>
          <w:sz w:val="24"/>
          <w:szCs w:val="24"/>
          <w:highlight w:val="none"/>
        </w:rPr>
        <w:t>。</w:t>
      </w:r>
    </w:p>
    <w:p w14:paraId="345F6FB2">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第13条 变更与调整</w:t>
      </w:r>
    </w:p>
    <w:p w14:paraId="6DE3149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承包人的合理化建议</w:t>
      </w:r>
    </w:p>
    <w:p w14:paraId="04616A7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13.2.2 工程师应在收到承包人提交的合理化建议后</w:t>
      </w:r>
      <w:r>
        <w:rPr>
          <w:rFonts w:hint="eastAsia" w:ascii="仿宋" w:hAnsi="仿宋" w:eastAsia="仿宋" w:cs="仿宋"/>
          <w:color w:val="auto"/>
          <w:sz w:val="24"/>
          <w:szCs w:val="24"/>
          <w:highlight w:val="none"/>
          <w:u w:val="single"/>
        </w:rPr>
        <w:t xml:space="preserve">  7 </w:t>
      </w:r>
      <w:r>
        <w:rPr>
          <w:rFonts w:hint="eastAsia" w:ascii="仿宋" w:hAnsi="仿宋" w:eastAsia="仿宋" w:cs="仿宋"/>
          <w:color w:val="auto"/>
          <w:sz w:val="24"/>
          <w:szCs w:val="24"/>
          <w:highlight w:val="none"/>
        </w:rPr>
        <w:t>日内审查完毕并报送发包人，发现其中存在技术上的缺陷，应通知承包人修改。发包人应在收到工程师报送的合理化建议后</w:t>
      </w:r>
      <w:r>
        <w:rPr>
          <w:rFonts w:hint="eastAsia" w:ascii="仿宋" w:hAnsi="仿宋" w:eastAsia="仿宋" w:cs="仿宋"/>
          <w:color w:val="auto"/>
          <w:sz w:val="24"/>
          <w:szCs w:val="24"/>
          <w:highlight w:val="none"/>
          <w:u w:val="single"/>
        </w:rPr>
        <w:t xml:space="preserve">  7 </w:t>
      </w:r>
      <w:r>
        <w:rPr>
          <w:rFonts w:hint="eastAsia" w:ascii="仿宋" w:hAnsi="仿宋" w:eastAsia="仿宋" w:cs="仿宋"/>
          <w:color w:val="auto"/>
          <w:sz w:val="24"/>
          <w:szCs w:val="24"/>
          <w:highlight w:val="none"/>
        </w:rPr>
        <w:t>日内审批完毕。合理化建议经发包人批准的，工程师应及时发出变更指示，由此引起的合同价格调整按照</w:t>
      </w:r>
      <w:r>
        <w:rPr>
          <w:rFonts w:hint="eastAsia" w:ascii="仿宋" w:hAnsi="仿宋" w:eastAsia="仿宋" w:cs="仿宋"/>
          <w:color w:val="auto"/>
          <w:sz w:val="24"/>
          <w:szCs w:val="24"/>
          <w:highlight w:val="none"/>
          <w:u w:val="single"/>
        </w:rPr>
        <w:t xml:space="preserve"> 13.3.3.1</w:t>
      </w:r>
      <w:r>
        <w:rPr>
          <w:rFonts w:hint="eastAsia" w:ascii="仿宋" w:hAnsi="仿宋" w:eastAsia="仿宋" w:cs="仿宋"/>
          <w:color w:val="auto"/>
          <w:sz w:val="24"/>
          <w:szCs w:val="24"/>
          <w:highlight w:val="none"/>
        </w:rPr>
        <w:t>执行。发包人不同意变更的，工程师应书面通知承包人</w:t>
      </w:r>
    </w:p>
    <w:p w14:paraId="1D69758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13.2.3 承包人提出的合理化变更建议的利益分享约定：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E2A1FE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变更程序</w:t>
      </w:r>
    </w:p>
    <w:p w14:paraId="64B80B6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13.3.3 变更估价</w:t>
      </w:r>
    </w:p>
    <w:p w14:paraId="6618E3C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13.3.3.1 变更估价原则</w:t>
      </w:r>
    </w:p>
    <w:p w14:paraId="4BE90FD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关于变更估价原则的约定：</w:t>
      </w:r>
    </w:p>
    <w:p w14:paraId="63FBAEE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1、承、发包双方约定变更范围：</w:t>
      </w:r>
    </w:p>
    <w:p w14:paraId="74221F57">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（1）因发包人提出规模性、功能性或标准的重大变更（以发包人通过监理工程师发出的规模性、功能性或标准的变更联系单为标志）； </w:t>
      </w:r>
    </w:p>
    <w:p w14:paraId="6920BE69">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（2）因施工图图审完成之后新颁布实施的法律、标准、规范引起的变更； </w:t>
      </w:r>
    </w:p>
    <w:p w14:paraId="25CF109F">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（3）因发包人提出合同约定工程总承包工作范围的变更； </w:t>
      </w:r>
    </w:p>
    <w:p w14:paraId="2507BE3A">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（4）因发包人要求的主要材料设备品牌档次及关键技术参数、规格、外观效果等改变而引起的变更； </w:t>
      </w:r>
    </w:p>
    <w:p w14:paraId="4C664454">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（5）招标文件或合同规定其他可调整的情形； </w:t>
      </w:r>
    </w:p>
    <w:p w14:paraId="08DD0A98">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（6）工程实施过程中未按图施工到位的部分按实扣除； </w:t>
      </w:r>
    </w:p>
    <w:p w14:paraId="63E5CC04">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（7）工程费用中总价包干部分，由于承包人原因发生的设计变更、现场签证等事项，造成工程费用减少的按实调整，工程费用增加的不予计取； </w:t>
      </w:r>
    </w:p>
    <w:p w14:paraId="4D0B74C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2、双方根据本工程特点，商定的其它变更范围：</w:t>
      </w:r>
    </w:p>
    <w:p w14:paraId="0ADD5D4C">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本工程为设计施工一体化工程，原则上不作变更，不增加费用。材料、人工涨跌变化等变更费用经监理单位、跟踪审计、发包人确认后计入。</w:t>
      </w:r>
    </w:p>
    <w:p w14:paraId="5D435AC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3、变更价款确定</w:t>
      </w:r>
    </w:p>
    <w:p w14:paraId="1CF9589B">
      <w:pPr>
        <w:snapToGrid w:val="0"/>
        <w:spacing w:beforeLines="0" w:afterLines="0"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fldChar w:fldCharType="begin"/>
      </w:r>
      <w:r>
        <w:rPr>
          <w:rFonts w:hint="eastAsia" w:ascii="仿宋" w:hAnsi="仿宋" w:eastAsia="仿宋" w:cs="仿宋"/>
          <w:color w:val="auto"/>
          <w:kern w:val="0"/>
          <w:sz w:val="24"/>
          <w:szCs w:val="24"/>
          <w:highlight w:val="none"/>
          <w:u w:val="single"/>
        </w:rPr>
        <w:instrText xml:space="preserve">= 1 \* GB3</w:instrText>
      </w:r>
      <w:r>
        <w:rPr>
          <w:rFonts w:hint="eastAsia" w:ascii="仿宋" w:hAnsi="仿宋" w:eastAsia="仿宋" w:cs="仿宋"/>
          <w:color w:val="auto"/>
          <w:kern w:val="0"/>
          <w:sz w:val="24"/>
          <w:szCs w:val="24"/>
          <w:highlight w:val="none"/>
          <w:u w:val="single"/>
        </w:rPr>
        <w:fldChar w:fldCharType="separate"/>
      </w:r>
      <w:r>
        <w:rPr>
          <w:rFonts w:hint="eastAsia" w:ascii="仿宋" w:hAnsi="仿宋" w:eastAsia="仿宋" w:cs="仿宋"/>
          <w:color w:val="auto"/>
          <w:kern w:val="0"/>
          <w:sz w:val="24"/>
          <w:szCs w:val="24"/>
          <w:highlight w:val="none"/>
          <w:u w:val="single"/>
        </w:rPr>
        <w:t>①</w:t>
      </w:r>
      <w:r>
        <w:rPr>
          <w:rFonts w:hint="eastAsia" w:ascii="仿宋" w:hAnsi="仿宋" w:eastAsia="仿宋" w:cs="仿宋"/>
          <w:color w:val="auto"/>
          <w:kern w:val="0"/>
          <w:sz w:val="24"/>
          <w:szCs w:val="24"/>
          <w:highlight w:val="none"/>
          <w:u w:val="single"/>
        </w:rPr>
        <w:fldChar w:fldCharType="end"/>
      </w:r>
      <w:r>
        <w:rPr>
          <w:rFonts w:hint="eastAsia" w:ascii="仿宋" w:hAnsi="仿宋" w:eastAsia="仿宋" w:cs="仿宋"/>
          <w:color w:val="auto"/>
          <w:sz w:val="24"/>
          <w:szCs w:val="24"/>
          <w:highlight w:val="none"/>
          <w:u w:val="single"/>
        </w:rPr>
        <w:t>工程变更发生的内容及工程量增减，按照已经审定的预算基准价编制口径进行测算，下浮率按投标总下浮率不变，材料、人工价格按照工程变更当期的造价管理部门发布的正刊信息价，机械价格按定额机械费计取；材料价格无信息价的，由发包人、承包人、跟踪审计单位、监理单位共同进行市场调查询价后确定。以上增减部分不另计组织措施费。变更价格最终以结算审计为准。</w:t>
      </w:r>
    </w:p>
    <w:p w14:paraId="151F50DA">
      <w:pPr>
        <w:snapToGrid w:val="0"/>
        <w:spacing w:beforeLines="0" w:afterLines="0"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②</w:t>
      </w:r>
      <w:r>
        <w:rPr>
          <w:rFonts w:hint="eastAsia" w:ascii="仿宋" w:hAnsi="仿宋" w:eastAsia="仿宋" w:cs="仿宋"/>
          <w:color w:val="auto"/>
          <w:sz w:val="24"/>
          <w:szCs w:val="24"/>
          <w:highlight w:val="none"/>
          <w:u w:val="single"/>
        </w:rPr>
        <w:t>合同工期内因工程变更发生的内容及工程量增减导致人工材料的价格波动参照上条约定执行，价格最终以结算审计为准。</w:t>
      </w:r>
    </w:p>
    <w:p w14:paraId="7BCB9C08">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u w:val="single"/>
        </w:rPr>
        <w:t>③</w:t>
      </w:r>
      <w:r>
        <w:rPr>
          <w:rFonts w:hint="eastAsia" w:ascii="仿宋" w:hAnsi="仿宋" w:eastAsia="仿宋" w:cs="仿宋"/>
          <w:color w:val="auto"/>
          <w:sz w:val="24"/>
          <w:szCs w:val="24"/>
          <w:highlight w:val="none"/>
          <w:u w:val="single"/>
        </w:rPr>
        <w:t>施工如承包人遇材料因实际情况需要变更，不得降低品质，并且须经发包方、监理方书面签证同意，材料变更应在招标文件选定的品牌、规格范围内或在不低于投标档次品牌中选择，单价不应突破投标同档次材料的价格水平。</w:t>
      </w:r>
    </w:p>
    <w:p w14:paraId="72F8C117">
      <w:pPr>
        <w:snapToGrid w:val="0"/>
        <w:spacing w:beforeLines="0" w:afterLines="0"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④</w:t>
      </w:r>
      <w:r>
        <w:rPr>
          <w:rFonts w:hint="eastAsia" w:ascii="仿宋" w:hAnsi="仿宋" w:eastAsia="仿宋" w:cs="仿宋"/>
          <w:color w:val="auto"/>
          <w:sz w:val="24"/>
          <w:szCs w:val="24"/>
          <w:highlight w:val="none"/>
          <w:u w:val="single"/>
        </w:rPr>
        <w:t>施工中发包人需对原工程设计进行变更，应提前7天以书面形式向承包人发出变更通知。变更超过原设计标准或批准的建设规模时，发包人应报规划管理部门和其他有关部门重新审查批准，并由承包单位提供变更的相应图纸和说明。承包人按照发包人发出的变更通知及有关要求进行变更。</w:t>
      </w:r>
    </w:p>
    <w:p w14:paraId="44735D06">
      <w:pPr>
        <w:pStyle w:val="843"/>
        <w:spacing w:beforeLines="0" w:afterLines="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暂估价</w:t>
      </w:r>
    </w:p>
    <w:p w14:paraId="2859331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13.4.1 依法必须招标的暂估价项目</w:t>
      </w:r>
    </w:p>
    <w:p w14:paraId="537F442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承包人可以参与投标的暂估价项目范围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9B9190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承包人不得参与投标的暂估价项目范围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AE4C76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招投标程序及其他约定：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396205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13.4.2 不属于依法必须招标的暂估价项目</w:t>
      </w:r>
    </w:p>
    <w:p w14:paraId="26A8D52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不属于依法必须招标的暂估价项目的协商及估价的约定：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451C27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暂列金额</w:t>
      </w:r>
    </w:p>
    <w:p w14:paraId="6B580A9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其他关于暂列金额使用的约定：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DC4DC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 市场价格波动引起的调整</w:t>
      </w:r>
    </w:p>
    <w:p w14:paraId="2DF820B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13.8.2 关于是否采用《价格指数权重表》的约定：</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color w:val="auto"/>
          <w:sz w:val="24"/>
          <w:szCs w:val="24"/>
          <w:highlight w:val="none"/>
        </w:rPr>
        <w:t>。</w:t>
      </w:r>
    </w:p>
    <w:p w14:paraId="3BEDBC5F">
      <w:pPr>
        <w:pStyle w:val="60"/>
        <w:widowControl/>
        <w:snapToGrid w:val="0"/>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13.8.3 关于采用其他方式调整合同价款的约定：</w:t>
      </w:r>
    </w:p>
    <w:p w14:paraId="39DB207B">
      <w:pPr>
        <w:snapToGrid w:val="0"/>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（1）本合同为总价合同，除根据合同中相关增减金额的约定进行调整外，合同价格不做调整。</w:t>
      </w:r>
    </w:p>
    <w:p w14:paraId="0AFDE6BF">
      <w:pPr>
        <w:snapToGrid w:val="0"/>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（2）设计费、项目管理服务费、其他费用：按照中标价包干（防疫暂列金额除外）。</w:t>
      </w:r>
    </w:p>
    <w:p w14:paraId="1E3B8B9B">
      <w:pPr>
        <w:snapToGrid w:val="0"/>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工程需进行限额设计。承包人应在发包人提供的初步设计图纸的基础上进行施工图设计。施工图完成后15天内，承包人应随同图纸报送施工图预算（同时附上预算套价及算量软件版电子稿及计算底稿），逾期递交每延迟一天发包人有权按5000元/天要求承包人承担违约金，如造成损失的，由承包人承担。</w:t>
      </w:r>
    </w:p>
    <w:p w14:paraId="3188B0C1">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第14条 合同价格与支付</w:t>
      </w:r>
    </w:p>
    <w:p w14:paraId="7C738EA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合同价格形式</w:t>
      </w:r>
    </w:p>
    <w:p w14:paraId="73D54CE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14.1.1 关于合同价格形式的约定：</w:t>
      </w:r>
    </w:p>
    <w:p w14:paraId="04D2772B">
      <w:pPr>
        <w:snapToGrid w:val="0"/>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（1）固定总价的确定原则</w:t>
      </w:r>
    </w:p>
    <w:p w14:paraId="30BB04D6">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①“设计费”按照中标价包干。</w:t>
      </w:r>
    </w:p>
    <w:p w14:paraId="38CFC6F7">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②建筑安装工程费及设备购置费的确定口径：审定施工图工程预算价=施工图预算基准价×（工程费用中标价/工程费用招标控制价），经跟踪审计单位审定后作为工程费用合同固定价，若最终审定的施工图预算价超过工程费用中标价，则以工程费用中标价为工程费用固定总价，若最终经审定的施工图预算价低于工程费用中标价，则以审定的施工图预算价为工程费用固定总价。</w:t>
      </w:r>
    </w:p>
    <w:p w14:paraId="58CF616F">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③零星人工无法套用定额的，由发包人书面签证，零星人工费按造价管理部门发布的正刊中建筑工种人工工资信息价计算。</w:t>
      </w:r>
    </w:p>
    <w:p w14:paraId="726877E9">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（2）施工图预算基准价编制（审定）口径：</w:t>
      </w:r>
    </w:p>
    <w:p w14:paraId="4FBA8E83">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①按照《浙江省建设工程计价规则》（2018版）及浙江省2018版各专业预算定额、一般计税法计价及有关政策文件进行编制，按照国有项目招标控制价（国标工程量清单计价）的编制口径进行编制。</w:t>
      </w:r>
    </w:p>
    <w:p w14:paraId="441798A0">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②综合费用（管理费、利润）费率按中值计取，风险费用不计取，取费基数为定额人工费+定额机械费。</w:t>
      </w:r>
    </w:p>
    <w:p w14:paraId="5469D9C4">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③组织措施费仅计安全文明施工基本费、冬雨季施工增加费，费率按相应施工取费费率中值计取，取费基数为定额人工费+定额机械费。标化工地增加费、二次搬运费、缩短工期增加费、提前竣工增加费（赶工费）自行在投标费率中考虑，不再计取。 </w:t>
      </w:r>
    </w:p>
    <w:p w14:paraId="2541BC85">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④其他项目费用不计。</w:t>
      </w:r>
    </w:p>
    <w:p w14:paraId="7F4DC026">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⑤技术措施费：大型机械设备进退场及安拆费、脚手架及垂直运输费按2018版定额相应工程量计算规则计取和按规定应计取的技术措施费。（施工技术措施方案需经监理单位批准，确认为确实必要的、可行的技术措施方可计算技术措施费）</w:t>
      </w:r>
    </w:p>
    <w:p w14:paraId="6BF4136D">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⑥规费按浙江省建设工程计价规则2018版标准费率计取。取费基数为定额人工费+定额机械费。</w:t>
      </w:r>
    </w:p>
    <w:p w14:paraId="7DA4646E">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⑦设计费税率按6%计取，建筑安装工程费税金按增值税率9%计取，总承包管理费税率按照6%计取。当国家税收政策调整时按相应税率执行。</w:t>
      </w:r>
    </w:p>
    <w:p w14:paraId="7F2C5C91">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⑧人工、材料价格按照发包人书面确认的投标截止日前28</w:t>
      </w:r>
      <w:r>
        <w:rPr>
          <w:rFonts w:hint="eastAsia" w:ascii="仿宋" w:hAnsi="仿宋" w:eastAsia="仿宋" w:cs="仿宋"/>
          <w:color w:val="auto"/>
          <w:sz w:val="24"/>
          <w:szCs w:val="24"/>
          <w:highlight w:val="none"/>
          <w:u w:val="single"/>
        </w:rPr>
        <w:t>日历日</w:t>
      </w:r>
      <w:r>
        <w:rPr>
          <w:rFonts w:hint="eastAsia" w:ascii="仿宋" w:hAnsi="仿宋" w:eastAsia="仿宋" w:cs="仿宋"/>
          <w:color w:val="auto"/>
          <w:sz w:val="24"/>
          <w:szCs w:val="24"/>
          <w:highlight w:val="none"/>
          <w:u w:val="single"/>
        </w:rPr>
        <w:t>所在月份的造价管理部门发布的正刊信息价（信息价套用正刊发布的价格顺序：杭州造价信息（杭州市市区）、杭州市市区没有套用浙江省信息价、浙江省信息价中没有的按除税市场价执行），机械费按定额机械费计取。若招标有品牌要求的材料单价与正刊除税信息价相差10%以上的，按材料品牌除税市场价执行。</w:t>
      </w:r>
    </w:p>
    <w:p w14:paraId="53640A11">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无价材料的确定由建设单位组织监理单位、总承包单位、施工单位、跟踪审计单位以询价或其他形式共同确定主材单价。</w:t>
      </w:r>
    </w:p>
    <w:p w14:paraId="0472499F">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（3）原则上无联系单及变更，若发生变更需发包人认可及签证，由承包人按限额设计原则累计变更费用不得超出不可预见费，如无变更，结算时不可预见费扣回。</w:t>
      </w:r>
    </w:p>
    <w:p w14:paraId="1911DBA6">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（4）本工程合同价最终以结算审计定案为准。</w:t>
      </w:r>
    </w:p>
    <w:p w14:paraId="0F34B49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 关于合同价格调整的约定：</w:t>
      </w:r>
    </w:p>
    <w:p w14:paraId="1EF76BE2">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本合同采用总价合同，除合同约定可以调整的情况外，合同总价不予调整。调整后的合同总价不得超过经核定的投资概算。</w:t>
      </w:r>
    </w:p>
    <w:p w14:paraId="07290ABC">
      <w:pPr>
        <w:pStyle w:val="843"/>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14.1.3 按实际完成的工程量支付工程价款的计量方法、估价方法：</w:t>
      </w:r>
      <w:r>
        <w:rPr>
          <w:rFonts w:hint="eastAsia" w:ascii="仿宋" w:hAnsi="仿宋" w:eastAsia="仿宋" w:cs="仿宋"/>
          <w:color w:val="auto"/>
          <w:sz w:val="24"/>
          <w:szCs w:val="24"/>
          <w:highlight w:val="none"/>
          <w:u w:val="single"/>
        </w:rPr>
        <w:t>承包人应根据发包人提供的项目功能要求等进行施工图设计。各专业施工图纸完成后15天内，承包人按照组价口径编制施工图造价（工程量按施工图计算），应随同图纸报送施工图、造价资料(同时附上施工图造价套价及算量软件版电子稿及计算底稿)，甲方委托监理单位、跟审单位审核其建设范围、建设规模、建设标准、功能需求及所用的主要材料、设备等是否符合合同条款的要求，同时甲方委托的跟审单位对报送施工图造价进行审核，核对后的施工图造价作为进度款支付依据，施工图造价上限价为建筑安装工程合同价。由于时间紧，各专业施工图分批出图施工的，施工图造价分批进行审核，分批审核超过合同价格清单中对应合同价的，以对应价格清单合同价为准。</w:t>
      </w:r>
    </w:p>
    <w:p w14:paraId="0C92E44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预付款</w:t>
      </w:r>
    </w:p>
    <w:p w14:paraId="1A389BE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14.2.1 预付款支付</w:t>
      </w:r>
    </w:p>
    <w:p w14:paraId="66B78D78">
      <w:pPr>
        <w:pStyle w:val="843"/>
        <w:spacing w:beforeLines="0" w:afterLines="0" w:line="360" w:lineRule="auto"/>
        <w:ind w:firstLine="600"/>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rPr>
        <w:t>预付款的金额或比例为：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bidi="ar"/>
        </w:rPr>
        <w:t>预付款金额按合同施工部分总价的40%确定。</w:t>
      </w:r>
    </w:p>
    <w:p w14:paraId="61C466A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bidi="ar"/>
        </w:rPr>
        <w:t>合同签订、承包人施工队伍主要管理人员、主要施工机械进场后且发包人收到承包人发票 20个工作日内。</w:t>
      </w:r>
    </w:p>
    <w:p w14:paraId="36926E6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14.2.2预付款担保</w:t>
      </w:r>
    </w:p>
    <w:p w14:paraId="3E68D0E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提供预付款担保期限：</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6C2BCB5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预付款担保形式：</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213B9BA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工程进度款</w:t>
      </w:r>
    </w:p>
    <w:p w14:paraId="645D14B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14.3.1 工程进度付款申请</w:t>
      </w:r>
    </w:p>
    <w:p w14:paraId="45EECC8D">
      <w:pPr>
        <w:pStyle w:val="843"/>
        <w:spacing w:beforeLines="0" w:afterLines="0" w:line="360" w:lineRule="auto"/>
        <w:ind w:firstLine="600"/>
        <w:rPr>
          <w:rFonts w:hint="eastAsia" w:ascii="仿宋" w:hAnsi="仿宋" w:eastAsia="仿宋" w:cs="仿宋"/>
          <w:b/>
          <w:color w:val="auto"/>
          <w:sz w:val="24"/>
          <w:szCs w:val="24"/>
          <w:highlight w:val="none"/>
          <w:u w:val="single"/>
        </w:rPr>
      </w:pPr>
      <w:r>
        <w:rPr>
          <w:rFonts w:hint="eastAsia" w:ascii="仿宋" w:hAnsi="仿宋" w:eastAsia="仿宋" w:cs="仿宋"/>
          <w:color w:val="auto"/>
          <w:sz w:val="24"/>
          <w:szCs w:val="24"/>
          <w:highlight w:val="none"/>
        </w:rPr>
        <w:t>工程进度付款申请方式：</w:t>
      </w:r>
      <w:r>
        <w:rPr>
          <w:rFonts w:hint="eastAsia" w:ascii="仿宋" w:hAnsi="仿宋" w:eastAsia="仿宋" w:cs="仿宋"/>
          <w:color w:val="auto"/>
          <w:sz w:val="24"/>
          <w:szCs w:val="24"/>
          <w:highlight w:val="none"/>
          <w:u w:val="single"/>
        </w:rPr>
        <w:t>按通用条款约定和工程师要求。</w:t>
      </w:r>
    </w:p>
    <w:p w14:paraId="6AD64A1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承包人提交进度付款申请单的格式、内容、份数和时间：</w:t>
      </w:r>
      <w:r>
        <w:rPr>
          <w:rFonts w:hint="eastAsia" w:ascii="仿宋" w:hAnsi="仿宋" w:eastAsia="仿宋" w:cs="仿宋"/>
          <w:color w:val="auto"/>
          <w:sz w:val="24"/>
          <w:szCs w:val="24"/>
          <w:highlight w:val="none"/>
          <w:u w:val="single"/>
        </w:rPr>
        <w:t xml:space="preserve"> 按通用条款约定和工程师要求 </w:t>
      </w:r>
      <w:r>
        <w:rPr>
          <w:rFonts w:hint="eastAsia" w:ascii="仿宋" w:hAnsi="仿宋" w:eastAsia="仿宋" w:cs="仿宋"/>
          <w:color w:val="auto"/>
          <w:sz w:val="24"/>
          <w:szCs w:val="24"/>
          <w:highlight w:val="none"/>
        </w:rPr>
        <w:t>。</w:t>
      </w:r>
    </w:p>
    <w:p w14:paraId="0CE2CBA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进度付款申请单应包括的内容：</w:t>
      </w:r>
      <w:r>
        <w:rPr>
          <w:rFonts w:hint="eastAsia" w:ascii="仿宋" w:hAnsi="仿宋" w:eastAsia="仿宋" w:cs="仿宋"/>
          <w:color w:val="auto"/>
          <w:sz w:val="24"/>
          <w:szCs w:val="24"/>
          <w:highlight w:val="none"/>
          <w:u w:val="single"/>
        </w:rPr>
        <w:t xml:space="preserve"> 按通用条款约定和工程师要求 </w:t>
      </w:r>
      <w:r>
        <w:rPr>
          <w:rFonts w:hint="eastAsia" w:ascii="仿宋" w:hAnsi="仿宋" w:eastAsia="仿宋" w:cs="仿宋"/>
          <w:color w:val="auto"/>
          <w:sz w:val="24"/>
          <w:szCs w:val="24"/>
          <w:highlight w:val="none"/>
        </w:rPr>
        <w:t>。</w:t>
      </w:r>
    </w:p>
    <w:p w14:paraId="584C6EC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14.3.2 进度付款审核和支付</w:t>
      </w:r>
    </w:p>
    <w:p w14:paraId="26C8F1EA">
      <w:pPr>
        <w:pStyle w:val="63"/>
        <w:spacing w:beforeLines="0" w:afterLines="0"/>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进度付款的审核方式和支付的约定：</w:t>
      </w:r>
    </w:p>
    <w:p w14:paraId="7F7C5EE7">
      <w:pPr>
        <w:pStyle w:val="63"/>
        <w:spacing w:beforeLines="0" w:afterLines="0"/>
        <w:ind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（1）设计费：在所有施工蓝图、运行深化设计全部完成，并通过有关审批部门的审查后15天内支付至设计费的50%，完成施工现场服务和配合工作，工程竣工验收合格并完成各项资料备案手续后支付设计费的50%。</w:t>
      </w:r>
    </w:p>
    <w:p w14:paraId="676334B1">
      <w:pPr>
        <w:pStyle w:val="843"/>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（2）建筑安装工程费：</w:t>
      </w:r>
    </w:p>
    <w:p w14:paraId="06FF3268">
      <w:pPr>
        <w:snapToGrid w:val="0"/>
        <w:spacing w:beforeLines="0" w:afterLines="0"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1）合同签订、承包人施工队伍主要管理人员、主要施工机械进场后15天内，发包人向承包人预付合同施工部分总价的40%作为工程预付款；</w:t>
      </w:r>
    </w:p>
    <w:p w14:paraId="161011C9">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2）完工验收合格后支付至合同施工部分总价的85%；</w:t>
      </w:r>
    </w:p>
    <w:p w14:paraId="73588FE6">
      <w:pPr>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3）工程结算审计完成后支付至工程审计结算总价的100%；</w:t>
      </w:r>
    </w:p>
    <w:p w14:paraId="7C2D8ECD">
      <w:pPr>
        <w:snapToGrid w:val="0"/>
        <w:spacing w:beforeLines="0" w:afterLines="0"/>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每次付款前，承包人均应向发包人提前30日开具相应金额的正式发票，否则发包人有权顺延付款；工程经审计确定最终结算价后，承包人应向发包人开具剩余金额的全额发票。否则发包人有权无责暂缓付款。</w:t>
      </w:r>
    </w:p>
    <w:p w14:paraId="33D7B4E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付款计划表</w:t>
      </w:r>
    </w:p>
    <w:p w14:paraId="3FDAECC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14.4.1 付款计划表的编制要求：</w:t>
      </w:r>
      <w:r>
        <w:rPr>
          <w:rFonts w:hint="eastAsia" w:ascii="仿宋" w:hAnsi="仿宋" w:eastAsia="仿宋" w:cs="仿宋"/>
          <w:color w:val="auto"/>
          <w:sz w:val="24"/>
          <w:szCs w:val="24"/>
          <w:highlight w:val="none"/>
          <w:u w:val="single"/>
        </w:rPr>
        <w:t xml:space="preserve">      按发包人要求            </w:t>
      </w:r>
      <w:r>
        <w:rPr>
          <w:rFonts w:hint="eastAsia" w:ascii="仿宋" w:hAnsi="仿宋" w:eastAsia="仿宋" w:cs="仿宋"/>
          <w:color w:val="auto"/>
          <w:sz w:val="24"/>
          <w:szCs w:val="24"/>
          <w:highlight w:val="none"/>
        </w:rPr>
        <w:t>。</w:t>
      </w:r>
    </w:p>
    <w:p w14:paraId="35DDC57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14.4.2 付款计划表的编制与审批</w:t>
      </w:r>
    </w:p>
    <w:p w14:paraId="5E2C75A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付款计划表的编制：</w:t>
      </w:r>
      <w:r>
        <w:rPr>
          <w:rFonts w:hint="eastAsia" w:ascii="仿宋" w:hAnsi="仿宋" w:eastAsia="仿宋" w:cs="仿宋"/>
          <w:color w:val="auto"/>
          <w:sz w:val="24"/>
          <w:szCs w:val="24"/>
          <w:highlight w:val="none"/>
          <w:u w:val="single"/>
        </w:rPr>
        <w:t xml:space="preserve">         按发包人要求                </w:t>
      </w:r>
      <w:r>
        <w:rPr>
          <w:rFonts w:hint="eastAsia" w:ascii="仿宋" w:hAnsi="仿宋" w:eastAsia="仿宋" w:cs="仿宋"/>
          <w:color w:val="auto"/>
          <w:sz w:val="24"/>
          <w:szCs w:val="24"/>
          <w:highlight w:val="none"/>
        </w:rPr>
        <w:t>。</w:t>
      </w:r>
    </w:p>
    <w:p w14:paraId="45D2400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竣工结算</w:t>
      </w:r>
    </w:p>
    <w:p w14:paraId="457FC3E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14.5.1 竣工结算申请</w:t>
      </w:r>
    </w:p>
    <w:p w14:paraId="298CBA9F">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承包人提交竣工结算申请的时间：</w:t>
      </w:r>
      <w:r>
        <w:rPr>
          <w:rFonts w:hint="eastAsia" w:ascii="仿宋" w:hAnsi="仿宋" w:eastAsia="仿宋" w:cs="仿宋"/>
          <w:color w:val="auto"/>
          <w:sz w:val="24"/>
          <w:szCs w:val="24"/>
          <w:highlight w:val="none"/>
          <w:u w:val="single"/>
        </w:rPr>
        <w:t>承包人应在通用条款约定的时间内向发包人提交竣工结算报告和完整的竣工结算资料（完整的竣工结算资料以发包人及专业造价咨询认可的目录清单为准）。</w:t>
      </w:r>
    </w:p>
    <w:p w14:paraId="258EF0F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竣工结算申请的资料清单和份数：</w:t>
      </w:r>
      <w:r>
        <w:rPr>
          <w:rFonts w:hint="eastAsia" w:ascii="仿宋" w:hAnsi="仿宋" w:eastAsia="仿宋" w:cs="仿宋"/>
          <w:color w:val="auto"/>
          <w:sz w:val="24"/>
          <w:szCs w:val="24"/>
          <w:highlight w:val="none"/>
          <w:u w:val="single"/>
        </w:rPr>
        <w:t>按审计工作要求</w:t>
      </w:r>
      <w:r>
        <w:rPr>
          <w:rFonts w:hint="eastAsia" w:ascii="仿宋" w:hAnsi="仿宋" w:eastAsia="仿宋" w:cs="仿宋"/>
          <w:color w:val="auto"/>
          <w:sz w:val="24"/>
          <w:szCs w:val="24"/>
          <w:highlight w:val="none"/>
        </w:rPr>
        <w:t>。</w:t>
      </w:r>
    </w:p>
    <w:p w14:paraId="5AB1CC8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竣工结算申请单的内容应包括：</w:t>
      </w:r>
      <w:r>
        <w:rPr>
          <w:rFonts w:hint="eastAsia" w:ascii="仿宋" w:hAnsi="仿宋" w:eastAsia="仿宋" w:cs="仿宋"/>
          <w:color w:val="auto"/>
          <w:sz w:val="24"/>
          <w:szCs w:val="24"/>
          <w:highlight w:val="none"/>
          <w:u w:val="single"/>
        </w:rPr>
        <w:t xml:space="preserve">  按审计工作要求  </w:t>
      </w:r>
      <w:r>
        <w:rPr>
          <w:rFonts w:hint="eastAsia" w:ascii="仿宋" w:hAnsi="仿宋" w:eastAsia="仿宋" w:cs="仿宋"/>
          <w:color w:val="auto"/>
          <w:sz w:val="24"/>
          <w:szCs w:val="24"/>
          <w:highlight w:val="none"/>
        </w:rPr>
        <w:t>。</w:t>
      </w:r>
    </w:p>
    <w:p w14:paraId="18020AB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14.5.2 竣工结算审核</w:t>
      </w:r>
    </w:p>
    <w:p w14:paraId="76718508">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竣工结算价由调整后的设备购置费、建筑安装工程费、设计费及其他费用的合同价和变更价款组成。本项目竣工结算价最终以发包人委托的第三方审价机构审核报告为准，并以发包人委托的第三方审价机构审核报告作为双方最终的工程价款结算依据。</w:t>
      </w:r>
    </w:p>
    <w:p w14:paraId="5E144505">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提供竣工图的约定：工程交付使用后，提供按《建设工程文件归档整理规范》（GB/T50328-2001）和杭州市城建档案馆进档最新要求整理的竣工图及施工文件及光盘共八套，根据发包人需求，所发生费用由承包人承担。</w:t>
      </w:r>
    </w:p>
    <w:p w14:paraId="09700F5E">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工程竣工验收达到合格标准后，承包人应在28天内向发包人递交竣工结算报告及完整的结算资料。</w:t>
      </w:r>
    </w:p>
    <w:p w14:paraId="5D0D9CA3">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本工程为政府性投资项目，承包人在工程竣工验收合格后，应如实向发包人报送该工程的结算，发包人收到完整的结算资料后应及时复核。</w:t>
      </w:r>
    </w:p>
    <w:p w14:paraId="147CA4D3">
      <w:pPr>
        <w:pStyle w:val="60"/>
        <w:widowControl/>
        <w:snapToGrid w:val="0"/>
        <w:spacing w:beforeLines="0" w:after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审核报告经承发包人认可后，承包人须根据审核报告相应调整结算造价后重新上报发包人，由发包人在规定的时间内报发包人委托的第三方审价机构开展竣工结算审计工作。以发包人委托的第三方审价机构审核报告作为双方最终的工程价款结算依据。</w:t>
      </w:r>
    </w:p>
    <w:p w14:paraId="73978009">
      <w:pPr>
        <w:pStyle w:val="60"/>
        <w:widowControl/>
        <w:snapToGrid w:val="0"/>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竣工结算审计收费标准按照“浙价服〔2009〕84号文件”执行，工程结算审计基本收费由发包人承担（另详审计合同）；工程结算审核时，若工程结算审核核减率超过5％，承包人应承担核减额超过送审造价5％部分的核减追加费，核减追加审查费以核减额超过送审造价5％部分为基数，按5％计算，工程结算批复时直接从批复造价中扣除，扣除项名称为“合同约定的惩罚性追偿费用”</w:t>
      </w:r>
    </w:p>
    <w:p w14:paraId="29859E1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质量保证金</w:t>
      </w:r>
    </w:p>
    <w:p w14:paraId="1BAB908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14.6.1 承包人提供质量保证金的方式</w:t>
      </w:r>
    </w:p>
    <w:p w14:paraId="7CAB1DA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质量保证金采用以下第</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种方式：</w:t>
      </w:r>
    </w:p>
    <w:p w14:paraId="5A43F41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工程质量保证担保（担保形式同投标担保），保证金额为：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AB2116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的工程款；</w:t>
      </w:r>
    </w:p>
    <w:p w14:paraId="210FCB2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其他方式：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DF6FE8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14.6.2 质量保证金的预留</w:t>
      </w:r>
    </w:p>
    <w:p w14:paraId="2A9068A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质量保证金的预留采取以下第</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种方式：</w:t>
      </w:r>
    </w:p>
    <w:p w14:paraId="04939E7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在支付工程进度款时逐次预留的质量保证金的比例：</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，在此情形下，质量保证金的计算基数不包括预付款的支付、扣回以及价格调整的金额；</w:t>
      </w:r>
    </w:p>
    <w:p w14:paraId="3A7896B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工程竣工结算时一次性预留专用合同条件第14.6.1项第(2)目约定的工程款预留比例的质量保证金；</w:t>
      </w:r>
    </w:p>
    <w:p w14:paraId="13821EB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其他预留方式: </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18B79E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关于质量保证金的补充约定：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4534A0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最终结清</w:t>
      </w:r>
    </w:p>
    <w:p w14:paraId="12BE392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14.7.1 最终结清申请单</w:t>
      </w:r>
    </w:p>
    <w:p w14:paraId="6FEBCDF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当事人双方关于最终结清申请的其他约定：</w:t>
      </w:r>
      <w:r>
        <w:rPr>
          <w:rFonts w:hint="eastAsia" w:ascii="仿宋" w:hAnsi="仿宋" w:eastAsia="仿宋" w:cs="仿宋"/>
          <w:color w:val="auto"/>
          <w:sz w:val="24"/>
          <w:szCs w:val="24"/>
          <w:highlight w:val="none"/>
          <w:u w:val="single"/>
        </w:rPr>
        <w:t xml:space="preserve">    按通用条款约定      </w:t>
      </w:r>
      <w:r>
        <w:rPr>
          <w:rFonts w:hint="eastAsia" w:ascii="仿宋" w:hAnsi="仿宋" w:eastAsia="仿宋" w:cs="仿宋"/>
          <w:color w:val="auto"/>
          <w:sz w:val="24"/>
          <w:szCs w:val="24"/>
          <w:highlight w:val="none"/>
        </w:rPr>
        <w:t>。</w:t>
      </w:r>
    </w:p>
    <w:p w14:paraId="486DBFC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14.7.2 最终结清证书和支付</w:t>
      </w:r>
    </w:p>
    <w:p w14:paraId="548AB53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当事人双方关于最终结清支付的其他约定：</w:t>
      </w:r>
      <w:r>
        <w:rPr>
          <w:rFonts w:hint="eastAsia" w:ascii="仿宋" w:hAnsi="仿宋" w:eastAsia="仿宋" w:cs="仿宋"/>
          <w:color w:val="auto"/>
          <w:sz w:val="24"/>
          <w:szCs w:val="24"/>
          <w:highlight w:val="none"/>
          <w:u w:val="single"/>
        </w:rPr>
        <w:t xml:space="preserve"> 按通用条款约定</w:t>
      </w:r>
      <w:r>
        <w:rPr>
          <w:rFonts w:hint="eastAsia" w:ascii="仿宋" w:hAnsi="仿宋" w:eastAsia="仿宋" w:cs="仿宋"/>
          <w:color w:val="auto"/>
          <w:sz w:val="24"/>
          <w:szCs w:val="24"/>
          <w:highlight w:val="none"/>
        </w:rPr>
        <w:t>。</w:t>
      </w:r>
    </w:p>
    <w:p w14:paraId="62419C02">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第15条 违约</w:t>
      </w:r>
    </w:p>
    <w:p w14:paraId="485B967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发包人违约</w:t>
      </w:r>
    </w:p>
    <w:p w14:paraId="6DD3E60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15.1.1 发包人违约的情形</w:t>
      </w:r>
    </w:p>
    <w:p w14:paraId="74D742C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发包人违约的其他情形</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E1BDB8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15.1.3 发包人违约的责任</w:t>
      </w:r>
    </w:p>
    <w:p w14:paraId="5828058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发包人违约责任的承担方式和计算方法：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2356E3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承包人违约</w:t>
      </w:r>
    </w:p>
    <w:p w14:paraId="212F5E1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15.2.1 承包人违约的情形</w:t>
      </w:r>
    </w:p>
    <w:p w14:paraId="2375339E">
      <w:pPr>
        <w:pStyle w:val="843"/>
        <w:spacing w:beforeLines="0" w:after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详按15.2.3款</w:t>
      </w:r>
    </w:p>
    <w:p w14:paraId="430BEEF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15.2.2 通知改正</w:t>
      </w:r>
    </w:p>
    <w:p w14:paraId="26171F5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工程师通知承包人改正的合理期限是：</w:t>
      </w:r>
      <w:r>
        <w:rPr>
          <w:rFonts w:hint="eastAsia" w:ascii="仿宋" w:hAnsi="仿宋" w:eastAsia="仿宋" w:cs="仿宋"/>
          <w:color w:val="auto"/>
          <w:sz w:val="24"/>
          <w:szCs w:val="24"/>
          <w:highlight w:val="none"/>
          <w:u w:val="single"/>
        </w:rPr>
        <w:t xml:space="preserve">  按发包人指定期限       </w:t>
      </w:r>
      <w:r>
        <w:rPr>
          <w:rFonts w:hint="eastAsia" w:ascii="仿宋" w:hAnsi="仿宋" w:eastAsia="仿宋" w:cs="仿宋"/>
          <w:color w:val="auto"/>
          <w:sz w:val="24"/>
          <w:szCs w:val="24"/>
          <w:highlight w:val="none"/>
        </w:rPr>
        <w:t>。</w:t>
      </w:r>
    </w:p>
    <w:p w14:paraId="1628CFF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15.2.3 承包人违约的责任</w:t>
      </w:r>
    </w:p>
    <w:p w14:paraId="5FE0FB43">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承包人违约责任的承担方式和计算方法：</w:t>
      </w:r>
      <w:r>
        <w:rPr>
          <w:rFonts w:hint="eastAsia" w:ascii="仿宋" w:hAnsi="仿宋" w:eastAsia="仿宋" w:cs="仿宋"/>
          <w:color w:val="auto"/>
          <w:sz w:val="24"/>
          <w:szCs w:val="24"/>
          <w:highlight w:val="none"/>
          <w:u w:val="single"/>
        </w:rPr>
        <w:t xml:space="preserve"> 按合同对应条款执行。除另有约定以外，如承包人原因导致发包人损失的，均由承包人全额承担。</w:t>
      </w:r>
    </w:p>
    <w:p w14:paraId="0BDD88E7">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第16条 合同解除</w:t>
      </w:r>
    </w:p>
    <w:p w14:paraId="08FFEA0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由发包人解除合同</w:t>
      </w:r>
    </w:p>
    <w:p w14:paraId="619B2ED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 因承包人违约解除合同</w:t>
      </w:r>
    </w:p>
    <w:p w14:paraId="7E8AE69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双方约定可由发包人解除合同的其他事由：按通用条款执行，其中“实际进度明显落后于进度计划”指</w:t>
      </w:r>
      <w:r>
        <w:rPr>
          <w:rFonts w:hint="eastAsia" w:ascii="仿宋" w:hAnsi="仿宋" w:eastAsia="仿宋" w:cs="仿宋"/>
          <w:color w:val="auto"/>
          <w:sz w:val="24"/>
          <w:szCs w:val="24"/>
          <w:highlight w:val="none"/>
          <w:u w:val="single"/>
        </w:rPr>
        <w:t>因承包人原因使工期延误超过施工进度计划30天后，甲方有权单方面解除合同，所造成的损失由承包人承担</w:t>
      </w:r>
      <w:r>
        <w:rPr>
          <w:rFonts w:hint="eastAsia" w:ascii="仿宋" w:hAnsi="仿宋" w:eastAsia="仿宋" w:cs="仿宋"/>
          <w:color w:val="auto"/>
          <w:sz w:val="24"/>
          <w:szCs w:val="24"/>
          <w:highlight w:val="none"/>
        </w:rPr>
        <w:t>。</w:t>
      </w:r>
    </w:p>
    <w:p w14:paraId="70CD2B8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由承包人解除合同</w:t>
      </w:r>
    </w:p>
    <w:p w14:paraId="5516621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16.2.1 因发包人违约解除合同</w:t>
      </w:r>
    </w:p>
    <w:p w14:paraId="683D154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双方约定可由承包人解除合同的其他事由：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CD0B079">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第17条 不可抗力</w:t>
      </w:r>
    </w:p>
    <w:p w14:paraId="731309C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不可抗力的定义</w:t>
      </w:r>
    </w:p>
    <w:p w14:paraId="06096802">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除通用合同条件约定的不可抗力事件之外，视为不可抗力的其他情形：</w:t>
      </w:r>
      <w:r>
        <w:rPr>
          <w:rFonts w:hint="eastAsia" w:ascii="仿宋" w:hAnsi="仿宋" w:eastAsia="仿宋" w:cs="仿宋"/>
          <w:color w:val="auto"/>
          <w:sz w:val="24"/>
          <w:szCs w:val="24"/>
          <w:highlight w:val="none"/>
          <w:u w:val="single"/>
        </w:rPr>
        <w:t xml:space="preserve"> /。 </w:t>
      </w:r>
    </w:p>
    <w:p w14:paraId="3B101E5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17.6 因不可抗力解除合同</w:t>
      </w:r>
    </w:p>
    <w:p w14:paraId="6F083585">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合同解除后，发包人应当在商定或确定发包人应支付款项且收到承包人提供的发票后的</w:t>
      </w:r>
      <w:r>
        <w:rPr>
          <w:rFonts w:hint="eastAsia" w:ascii="仿宋" w:hAnsi="仿宋" w:eastAsia="仿宋" w:cs="仿宋"/>
          <w:color w:val="auto"/>
          <w:sz w:val="24"/>
          <w:szCs w:val="24"/>
          <w:highlight w:val="none"/>
          <w:u w:val="single"/>
        </w:rPr>
        <w:t xml:space="preserve"> 28 </w:t>
      </w:r>
      <w:r>
        <w:rPr>
          <w:rFonts w:hint="eastAsia" w:ascii="仿宋" w:hAnsi="仿宋" w:eastAsia="仿宋" w:cs="仿宋"/>
          <w:color w:val="auto"/>
          <w:sz w:val="24"/>
          <w:szCs w:val="24"/>
          <w:highlight w:val="none"/>
        </w:rPr>
        <w:t>天内完成款项的支付。</w:t>
      </w:r>
    </w:p>
    <w:p w14:paraId="2480669B">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第18条 保险</w:t>
      </w:r>
    </w:p>
    <w:p w14:paraId="2145FBB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设计和工程保险</w:t>
      </w:r>
    </w:p>
    <w:p w14:paraId="368AAA98">
      <w:pPr>
        <w:pStyle w:val="843"/>
        <w:spacing w:beforeLines="0" w:afterLines="0" w:line="360" w:lineRule="auto"/>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18.1.1 双方当事人关于设计和工程保险的特别约定：</w:t>
      </w:r>
      <w:r>
        <w:rPr>
          <w:rFonts w:hint="eastAsia" w:ascii="仿宋" w:hAnsi="仿宋" w:eastAsia="仿宋" w:cs="仿宋"/>
          <w:color w:val="auto"/>
          <w:sz w:val="24"/>
          <w:szCs w:val="24"/>
          <w:highlight w:val="none"/>
          <w:u w:val="single"/>
        </w:rPr>
        <w:t xml:space="preserve"> 承包人负责按国家地方有关规定投保建设工程设计责任险、建筑安装工程一切险并支付保费。</w:t>
      </w:r>
    </w:p>
    <w:p w14:paraId="08AB1E3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18.1.2 双方当事人关于第三方责任险的特别约定：</w:t>
      </w:r>
      <w:r>
        <w:rPr>
          <w:rFonts w:hint="eastAsia" w:ascii="仿宋" w:hAnsi="仿宋" w:eastAsia="仿宋" w:cs="仿宋"/>
          <w:color w:val="auto"/>
          <w:sz w:val="24"/>
          <w:szCs w:val="24"/>
          <w:highlight w:val="none"/>
          <w:u w:val="single"/>
        </w:rPr>
        <w:t xml:space="preserve"> 承包人按国家地方有关规定和工程建设需要投保，投保费用均由承包人承担。</w:t>
      </w:r>
      <w:r>
        <w:rPr>
          <w:rFonts w:hint="eastAsia" w:ascii="仿宋" w:hAnsi="仿宋" w:eastAsia="仿宋" w:cs="仿宋"/>
          <w:color w:val="auto"/>
          <w:sz w:val="24"/>
          <w:szCs w:val="24"/>
          <w:highlight w:val="none"/>
        </w:rPr>
        <w:t>。</w:t>
      </w:r>
    </w:p>
    <w:p w14:paraId="61FF20A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工伤和意外伤害保险</w:t>
      </w:r>
    </w:p>
    <w:p w14:paraId="2894BBF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18.2.3 关于工伤保险和意外伤害保险的特别约定：</w:t>
      </w:r>
      <w:r>
        <w:rPr>
          <w:rFonts w:hint="eastAsia" w:ascii="仿宋" w:hAnsi="仿宋" w:eastAsia="仿宋" w:cs="仿宋"/>
          <w:color w:val="auto"/>
          <w:sz w:val="24"/>
          <w:szCs w:val="24"/>
          <w:highlight w:val="none"/>
          <w:u w:val="single"/>
        </w:rPr>
        <w:t>承包人负责为其施工现场的全部人员办理意外伤害保险并支付保险费</w:t>
      </w:r>
      <w:r>
        <w:rPr>
          <w:rFonts w:hint="eastAsia" w:ascii="仿宋" w:hAnsi="仿宋" w:eastAsia="仿宋" w:cs="仿宋"/>
          <w:color w:val="auto"/>
          <w:sz w:val="24"/>
          <w:szCs w:val="24"/>
          <w:highlight w:val="none"/>
        </w:rPr>
        <w:t>。</w:t>
      </w:r>
    </w:p>
    <w:p w14:paraId="0D3DDDB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货物保险</w:t>
      </w:r>
    </w:p>
    <w:p w14:paraId="6D8ED3B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关于承包人应为其施工设备、材料、工程设备和临时工程等办理财产保险的特别约定：</w:t>
      </w:r>
      <w:r>
        <w:rPr>
          <w:rFonts w:hint="eastAsia" w:ascii="仿宋" w:hAnsi="仿宋" w:eastAsia="仿宋" w:cs="仿宋"/>
          <w:color w:val="auto"/>
          <w:sz w:val="24"/>
          <w:szCs w:val="24"/>
          <w:highlight w:val="none"/>
          <w:u w:val="single"/>
        </w:rPr>
        <w:t>承包人负责办理并支付保险费</w:t>
      </w:r>
      <w:r>
        <w:rPr>
          <w:rFonts w:hint="eastAsia" w:ascii="仿宋" w:hAnsi="仿宋" w:eastAsia="仿宋" w:cs="仿宋"/>
          <w:color w:val="auto"/>
          <w:sz w:val="24"/>
          <w:szCs w:val="24"/>
          <w:highlight w:val="none"/>
        </w:rPr>
        <w:t>。</w:t>
      </w:r>
    </w:p>
    <w:p w14:paraId="7841798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 其他保险</w:t>
      </w:r>
    </w:p>
    <w:p w14:paraId="699A217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关于其他保险的约定：</w:t>
      </w:r>
      <w:r>
        <w:rPr>
          <w:rFonts w:hint="eastAsia" w:ascii="仿宋" w:hAnsi="仿宋" w:eastAsia="仿宋" w:cs="仿宋"/>
          <w:color w:val="auto"/>
          <w:sz w:val="24"/>
          <w:szCs w:val="24"/>
          <w:highlight w:val="none"/>
          <w:u w:val="single"/>
        </w:rPr>
        <w:t>按通用条款约定</w:t>
      </w:r>
      <w:r>
        <w:rPr>
          <w:rFonts w:hint="eastAsia" w:ascii="仿宋" w:hAnsi="仿宋" w:eastAsia="仿宋" w:cs="仿宋"/>
          <w:color w:val="auto"/>
          <w:sz w:val="24"/>
          <w:szCs w:val="24"/>
          <w:highlight w:val="none"/>
        </w:rPr>
        <w:t>。</w:t>
      </w:r>
    </w:p>
    <w:p w14:paraId="18F479B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对各项保险的一般要求</w:t>
      </w:r>
    </w:p>
    <w:p w14:paraId="3E04A73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18.5.2 保险凭证</w:t>
      </w:r>
    </w:p>
    <w:p w14:paraId="08FEA7A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保险单的条件：</w:t>
      </w:r>
      <w:r>
        <w:rPr>
          <w:rFonts w:hint="eastAsia" w:ascii="仿宋" w:hAnsi="仿宋" w:eastAsia="仿宋" w:cs="仿宋"/>
          <w:color w:val="auto"/>
          <w:sz w:val="24"/>
          <w:szCs w:val="24"/>
          <w:highlight w:val="none"/>
          <w:u w:val="single"/>
        </w:rPr>
        <w:t xml:space="preserve">  合同当事人投保后7天内向另一方当事人提交 </w:t>
      </w:r>
      <w:r>
        <w:rPr>
          <w:rFonts w:hint="eastAsia" w:ascii="仿宋" w:hAnsi="仿宋" w:eastAsia="仿宋" w:cs="仿宋"/>
          <w:color w:val="auto"/>
          <w:sz w:val="24"/>
          <w:szCs w:val="24"/>
          <w:highlight w:val="none"/>
        </w:rPr>
        <w:t>。</w:t>
      </w:r>
    </w:p>
    <w:p w14:paraId="69CDA68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18.5.4 通知义务</w:t>
      </w:r>
    </w:p>
    <w:p w14:paraId="7FE98547">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关于变更保险合同时的通知义务的约定：</w:t>
      </w:r>
      <w:r>
        <w:rPr>
          <w:rFonts w:hint="eastAsia" w:ascii="仿宋" w:hAnsi="仿宋" w:eastAsia="仿宋" w:cs="仿宋"/>
          <w:color w:val="auto"/>
          <w:sz w:val="24"/>
          <w:szCs w:val="24"/>
          <w:highlight w:val="none"/>
          <w:u w:val="single"/>
        </w:rPr>
        <w:t xml:space="preserve"> 按通用条款约定 </w:t>
      </w:r>
      <w:r>
        <w:rPr>
          <w:rFonts w:hint="eastAsia" w:ascii="仿宋" w:hAnsi="仿宋" w:eastAsia="仿宋" w:cs="仿宋"/>
          <w:color w:val="auto"/>
          <w:sz w:val="24"/>
          <w:szCs w:val="24"/>
          <w:highlight w:val="none"/>
        </w:rPr>
        <w:t>。</w:t>
      </w:r>
    </w:p>
    <w:p w14:paraId="3C900C49">
      <w:pPr>
        <w:pStyle w:val="976"/>
        <w:spacing w:before="0" w:beforeLines="0" w:after="0" w:afterLines="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第20条 争议解决 </w:t>
      </w:r>
    </w:p>
    <w:p w14:paraId="180DA871">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争议评审</w:t>
      </w:r>
    </w:p>
    <w:p w14:paraId="65AB5B9D">
      <w:pPr>
        <w:pStyle w:val="60"/>
        <w:widowControl/>
        <w:wordWrap w:val="0"/>
        <w:topLinePunct/>
        <w:snapToGrid w:val="0"/>
        <w:spacing w:beforeLines="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合同当事人是否同意将工程争议提交争议评审小组决定：</w:t>
      </w:r>
      <w:r>
        <w:rPr>
          <w:rFonts w:hint="eastAsia" w:ascii="仿宋" w:hAnsi="仿宋" w:eastAsia="仿宋" w:cs="仿宋"/>
          <w:color w:val="auto"/>
          <w:sz w:val="24"/>
          <w:szCs w:val="24"/>
          <w:highlight w:val="none"/>
          <w:u w:val="single"/>
        </w:rPr>
        <w:t xml:space="preserve">对施工质量争议：（1）工程质量应当达到协议书约定的质量标准，质量标准的评定以国家或行业的质量检验评定标准为依据。因承包人原因造成工程质量达不到约定的质量标准，承包人承担违约责任。（2）双方对工程质量有争议，由双方同意的工程质量检测机构鉴定，所需费用及因此造成的损失，由责任方承担。双方均有责任，由双方根据其责任分别承担。鉴定费用由主张质量合格方预缴，未在检测机构指定的时间内预缴的视为其主张不能成立 </w:t>
      </w:r>
      <w:r>
        <w:rPr>
          <w:rFonts w:hint="eastAsia" w:ascii="仿宋" w:hAnsi="仿宋" w:eastAsia="仿宋" w:cs="仿宋"/>
          <w:color w:val="auto"/>
          <w:sz w:val="24"/>
          <w:szCs w:val="24"/>
          <w:highlight w:val="none"/>
        </w:rPr>
        <w:t>。</w:t>
      </w:r>
    </w:p>
    <w:p w14:paraId="1BDE891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20.3.1 争议评审小组的确定</w:t>
      </w:r>
    </w:p>
    <w:p w14:paraId="36412CB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争议评审小组成员的人数：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DB94A0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争议评审小组成员的确定：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0117C1B">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选定争议避免/评审组的期限：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E1685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评审机构：</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5E5923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B709A1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争议评审员报酬的承担人：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7566BEE">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20.3.2 争议的避免</w:t>
      </w:r>
    </w:p>
    <w:p w14:paraId="0F112F28">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发包人和承包人是否均出席争议避免的非正式讨论：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D6724C6">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20.3.3 争议评审小组的决定</w:t>
      </w:r>
    </w:p>
    <w:p w14:paraId="2B12568C">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关于争议评审小组的决定的特别约定：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4DB944F">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仲裁或诉讼</w:t>
      </w:r>
    </w:p>
    <w:p w14:paraId="69081B8A">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因合同及合同有关事项发生的争议，按下列第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种方式解决：</w:t>
      </w:r>
    </w:p>
    <w:p w14:paraId="0D73E9E3">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（1）向</w:t>
      </w:r>
      <w:r>
        <w:rPr>
          <w:rFonts w:hint="eastAsia" w:ascii="仿宋" w:hAnsi="仿宋" w:eastAsia="仿宋" w:cs="仿宋"/>
          <w:color w:val="auto"/>
          <w:sz w:val="24"/>
          <w:szCs w:val="24"/>
          <w:highlight w:val="none"/>
          <w:u w:val="single"/>
        </w:rPr>
        <w:t xml:space="preserve"> 杭州  </w:t>
      </w:r>
      <w:r>
        <w:rPr>
          <w:rFonts w:hint="eastAsia" w:ascii="仿宋" w:hAnsi="仿宋" w:eastAsia="仿宋" w:cs="仿宋"/>
          <w:color w:val="auto"/>
          <w:sz w:val="24"/>
          <w:szCs w:val="24"/>
          <w:highlight w:val="none"/>
        </w:rPr>
        <w:t>仲裁委员会申请仲裁；</w:t>
      </w:r>
    </w:p>
    <w:p w14:paraId="13791FB0">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本工程所在地</w:t>
      </w:r>
      <w:r>
        <w:rPr>
          <w:rFonts w:hint="eastAsia" w:ascii="仿宋" w:hAnsi="仿宋" w:eastAsia="仿宋" w:cs="仿宋"/>
          <w:color w:val="auto"/>
          <w:sz w:val="24"/>
          <w:szCs w:val="24"/>
          <w:highlight w:val="none"/>
        </w:rPr>
        <w:t>人民法院起诉。</w:t>
      </w:r>
    </w:p>
    <w:p w14:paraId="6B1CBCC3">
      <w:pPr>
        <w:pStyle w:val="970"/>
        <w:keepNext w:val="0"/>
        <w:keepLines w:val="0"/>
        <w:widowControl/>
        <w:adjustRightInd w:val="0"/>
        <w:snapToGrid w:val="0"/>
        <w:spacing w:before="0" w:beforeLines="0" w:after="50" w:after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专用合同条件附件</w:t>
      </w:r>
    </w:p>
    <w:p w14:paraId="1955643D">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附件1：采购内容及技术要求</w:t>
      </w:r>
    </w:p>
    <w:p w14:paraId="6214AE3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附件2：发包人供应材料设备一览表</w:t>
      </w:r>
    </w:p>
    <w:p w14:paraId="28AF0ED9">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附件3：工程质量保修书</w:t>
      </w:r>
    </w:p>
    <w:p w14:paraId="4E902322">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附件4：主要建设工程文件目录</w:t>
      </w:r>
    </w:p>
    <w:p w14:paraId="6D56B604">
      <w:pPr>
        <w:pStyle w:val="843"/>
        <w:spacing w:beforeLines="0" w:afterLines="0"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附件5：承包人主要管理人员表</w:t>
      </w:r>
    </w:p>
    <w:p w14:paraId="7AE7FAEC">
      <w:pPr>
        <w:pStyle w:val="843"/>
        <w:spacing w:beforeLines="0" w:afterLines="0"/>
        <w:rPr>
          <w:rFonts w:hint="eastAsia" w:ascii="仿宋" w:hAnsi="仿宋" w:eastAsia="仿宋" w:cs="仿宋"/>
          <w:color w:val="auto"/>
          <w:sz w:val="24"/>
          <w:szCs w:val="24"/>
          <w:highlight w:val="none"/>
        </w:rPr>
      </w:pPr>
    </w:p>
    <w:p w14:paraId="3483BEE0">
      <w:pPr>
        <w:pStyle w:val="843"/>
        <w:spacing w:beforeLines="0" w:afterLines="0"/>
        <w:rPr>
          <w:rFonts w:hint="eastAsia" w:ascii="仿宋" w:hAnsi="仿宋" w:eastAsia="仿宋" w:cs="仿宋"/>
          <w:color w:val="auto"/>
          <w:sz w:val="24"/>
          <w:szCs w:val="24"/>
          <w:highlight w:val="none"/>
        </w:rPr>
      </w:pPr>
    </w:p>
    <w:p w14:paraId="2C6B5A40">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3E9EC7">
      <w:pPr>
        <w:pStyle w:val="977"/>
        <w:spacing w:beforeLines="0" w:afterLines="0"/>
        <w:ind w:lef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 《采购内容及技术要求》</w:t>
      </w:r>
    </w:p>
    <w:p w14:paraId="11E49E3F">
      <w:pPr>
        <w:pStyle w:val="843"/>
        <w:spacing w:beforeLines="0" w:afterLines="0"/>
        <w:rPr>
          <w:rFonts w:hint="default" w:eastAsia="仿宋"/>
          <w:color w:val="auto"/>
          <w:sz w:val="21"/>
          <w:szCs w:val="21"/>
          <w:highlight w:val="none"/>
        </w:rPr>
      </w:pPr>
      <w:r>
        <w:rPr>
          <w:rFonts w:hint="eastAsia" w:ascii="仿宋" w:hAnsi="仿宋" w:eastAsia="仿宋" w:cs="仿宋"/>
          <w:color w:val="auto"/>
          <w:sz w:val="24"/>
          <w:szCs w:val="24"/>
          <w:highlight w:val="none"/>
        </w:rPr>
        <w:t>参照招标文件第三部分</w:t>
      </w:r>
    </w:p>
    <w:p w14:paraId="066703C1">
      <w:pPr>
        <w:pStyle w:val="843"/>
        <w:spacing w:beforeLines="0" w:afterLines="0"/>
        <w:rPr>
          <w:rFonts w:hint="eastAsia" w:ascii="仿宋" w:hAnsi="仿宋" w:eastAsia="仿宋" w:cs="仿宋"/>
          <w:color w:val="auto"/>
          <w:sz w:val="24"/>
          <w:szCs w:val="24"/>
          <w:highlight w:val="none"/>
        </w:rPr>
      </w:pPr>
    </w:p>
    <w:p w14:paraId="042545F5">
      <w:pPr>
        <w:pStyle w:val="843"/>
        <w:spacing w:beforeLines="0" w:afterLines="0"/>
        <w:rPr>
          <w:rFonts w:hint="eastAsia" w:ascii="仿宋" w:hAnsi="仿宋" w:eastAsia="仿宋" w:cs="仿宋"/>
          <w:color w:val="auto"/>
          <w:sz w:val="24"/>
          <w:szCs w:val="24"/>
          <w:highlight w:val="none"/>
        </w:rPr>
      </w:pPr>
    </w:p>
    <w:p w14:paraId="68524369">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A92958C">
      <w:pPr>
        <w:pStyle w:val="977"/>
        <w:spacing w:beforeLines="0" w:afterLines="0"/>
        <w:ind w:lef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附件2 发包人供应材料设备一览表</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82"/>
        <w:gridCol w:w="1018"/>
        <w:gridCol w:w="984"/>
        <w:gridCol w:w="495"/>
        <w:gridCol w:w="599"/>
        <w:gridCol w:w="867"/>
        <w:gridCol w:w="991"/>
        <w:gridCol w:w="991"/>
        <w:gridCol w:w="991"/>
        <w:gridCol w:w="619"/>
      </w:tblGrid>
      <w:tr w14:paraId="4FC21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482" w:type="dxa"/>
            <w:tcBorders>
              <w:top w:val="single" w:color="auto" w:sz="12" w:space="0"/>
              <w:left w:val="single" w:color="auto" w:sz="12" w:space="0"/>
              <w:bottom w:val="double" w:color="auto" w:sz="6" w:space="0"/>
              <w:right w:val="single" w:color="auto" w:sz="6" w:space="0"/>
              <w:tl2br w:val="nil"/>
              <w:tr2bl w:val="nil"/>
            </w:tcBorders>
            <w:noWrap/>
            <w:vAlign w:val="center"/>
          </w:tcPr>
          <w:p w14:paraId="59D66778">
            <w:pPr>
              <w:pStyle w:val="25"/>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18" w:type="dxa"/>
            <w:tcBorders>
              <w:top w:val="single" w:color="auto" w:sz="12" w:space="0"/>
              <w:left w:val="single" w:color="auto" w:sz="6" w:space="0"/>
              <w:bottom w:val="double" w:color="auto" w:sz="6" w:space="0"/>
              <w:right w:val="single" w:color="auto" w:sz="6" w:space="0"/>
              <w:tl2br w:val="nil"/>
              <w:tr2bl w:val="nil"/>
            </w:tcBorders>
            <w:noWrap/>
            <w:vAlign w:val="center"/>
          </w:tcPr>
          <w:p w14:paraId="0D704A5F">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材料、设备品种</w:t>
            </w:r>
          </w:p>
        </w:tc>
        <w:tc>
          <w:tcPr>
            <w:tcW w:w="984" w:type="dxa"/>
            <w:tcBorders>
              <w:top w:val="single" w:color="auto" w:sz="12" w:space="0"/>
              <w:left w:val="single" w:color="auto" w:sz="6" w:space="0"/>
              <w:bottom w:val="double" w:color="auto" w:sz="6" w:space="0"/>
              <w:right w:val="single" w:color="auto" w:sz="6" w:space="0"/>
              <w:tl2br w:val="nil"/>
              <w:tr2bl w:val="nil"/>
            </w:tcBorders>
            <w:noWrap/>
            <w:vAlign w:val="center"/>
          </w:tcPr>
          <w:p w14:paraId="2BD91EFC">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495" w:type="dxa"/>
            <w:tcBorders>
              <w:top w:val="single" w:color="auto" w:sz="12" w:space="0"/>
              <w:left w:val="single" w:color="auto" w:sz="6" w:space="0"/>
              <w:bottom w:val="double" w:color="auto" w:sz="6" w:space="0"/>
              <w:right w:val="single" w:color="auto" w:sz="6" w:space="0"/>
              <w:tl2br w:val="nil"/>
              <w:tr2bl w:val="nil"/>
            </w:tcBorders>
            <w:noWrap/>
            <w:vAlign w:val="center"/>
          </w:tcPr>
          <w:p w14:paraId="1347B6BB">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99" w:type="dxa"/>
            <w:tcBorders>
              <w:top w:val="single" w:color="auto" w:sz="12" w:space="0"/>
              <w:left w:val="single" w:color="auto" w:sz="6" w:space="0"/>
              <w:bottom w:val="double" w:color="auto" w:sz="6" w:space="0"/>
              <w:right w:val="single" w:color="auto" w:sz="6" w:space="0"/>
              <w:tl2br w:val="nil"/>
              <w:tr2bl w:val="nil"/>
            </w:tcBorders>
            <w:noWrap/>
            <w:vAlign w:val="center"/>
          </w:tcPr>
          <w:p w14:paraId="4078BB70">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67" w:type="dxa"/>
            <w:tcBorders>
              <w:top w:val="single" w:color="auto" w:sz="12" w:space="0"/>
              <w:left w:val="single" w:color="auto" w:sz="6" w:space="0"/>
              <w:bottom w:val="double" w:color="auto" w:sz="6" w:space="0"/>
              <w:right w:val="single" w:color="auto" w:sz="6" w:space="0"/>
              <w:tl2br w:val="nil"/>
              <w:tr2bl w:val="nil"/>
            </w:tcBorders>
            <w:noWrap/>
            <w:vAlign w:val="center"/>
          </w:tcPr>
          <w:p w14:paraId="5EED1B4E">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991" w:type="dxa"/>
            <w:tcBorders>
              <w:top w:val="single" w:color="auto" w:sz="12" w:space="0"/>
              <w:left w:val="single" w:color="auto" w:sz="6" w:space="0"/>
              <w:bottom w:val="double" w:color="auto" w:sz="6" w:space="0"/>
              <w:right w:val="single" w:color="auto" w:sz="6" w:space="0"/>
              <w:tl2br w:val="nil"/>
              <w:tr2bl w:val="nil"/>
            </w:tcBorders>
            <w:noWrap/>
            <w:vAlign w:val="center"/>
          </w:tcPr>
          <w:p w14:paraId="46C4B148">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质量等级</w:t>
            </w:r>
          </w:p>
        </w:tc>
        <w:tc>
          <w:tcPr>
            <w:tcW w:w="991" w:type="dxa"/>
            <w:tcBorders>
              <w:top w:val="single" w:color="auto" w:sz="12" w:space="0"/>
              <w:left w:val="single" w:color="auto" w:sz="6" w:space="0"/>
              <w:bottom w:val="double" w:color="auto" w:sz="6" w:space="0"/>
              <w:right w:val="single" w:color="auto" w:sz="6" w:space="0"/>
              <w:tl2br w:val="nil"/>
              <w:tr2bl w:val="nil"/>
            </w:tcBorders>
            <w:noWrap/>
            <w:vAlign w:val="center"/>
          </w:tcPr>
          <w:p w14:paraId="64074F59">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供应时间</w:t>
            </w:r>
          </w:p>
        </w:tc>
        <w:tc>
          <w:tcPr>
            <w:tcW w:w="991" w:type="dxa"/>
            <w:tcBorders>
              <w:top w:val="single" w:color="auto" w:sz="12" w:space="0"/>
              <w:left w:val="single" w:color="auto" w:sz="6" w:space="0"/>
              <w:bottom w:val="double" w:color="auto" w:sz="6" w:space="0"/>
              <w:right w:val="single" w:color="auto" w:sz="6" w:space="0"/>
              <w:tl2br w:val="nil"/>
              <w:tr2bl w:val="nil"/>
            </w:tcBorders>
            <w:noWrap/>
            <w:vAlign w:val="center"/>
          </w:tcPr>
          <w:p w14:paraId="62CC3166">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送达地点</w:t>
            </w:r>
          </w:p>
        </w:tc>
        <w:tc>
          <w:tcPr>
            <w:tcW w:w="619" w:type="dxa"/>
            <w:tcBorders>
              <w:top w:val="single" w:color="auto" w:sz="12" w:space="0"/>
              <w:left w:val="single" w:color="auto" w:sz="6" w:space="0"/>
              <w:bottom w:val="double" w:color="auto" w:sz="6" w:space="0"/>
              <w:right w:val="single" w:color="auto" w:sz="12" w:space="0"/>
              <w:tl2br w:val="nil"/>
              <w:tr2bl w:val="nil"/>
            </w:tcBorders>
            <w:noWrap/>
            <w:vAlign w:val="center"/>
          </w:tcPr>
          <w:p w14:paraId="26F3D2F2">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22F8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jc w:val="center"/>
        </w:trPr>
        <w:tc>
          <w:tcPr>
            <w:tcW w:w="482" w:type="dxa"/>
            <w:tcBorders>
              <w:top w:val="double" w:color="auto" w:sz="6" w:space="0"/>
              <w:left w:val="single" w:color="auto" w:sz="12" w:space="0"/>
              <w:bottom w:val="single" w:color="auto" w:sz="6" w:space="0"/>
              <w:right w:val="single" w:color="auto" w:sz="6" w:space="0"/>
              <w:tl2br w:val="nil"/>
              <w:tr2bl w:val="nil"/>
            </w:tcBorders>
            <w:noWrap/>
            <w:vAlign w:val="center"/>
          </w:tcPr>
          <w:p w14:paraId="691ABD97">
            <w:pPr>
              <w:pStyle w:val="25"/>
              <w:spacing w:beforeLines="0" w:afterLines="0"/>
              <w:rPr>
                <w:rFonts w:hint="eastAsia" w:ascii="仿宋" w:hAnsi="仿宋" w:eastAsia="仿宋" w:cs="仿宋"/>
                <w:color w:val="auto"/>
                <w:sz w:val="24"/>
                <w:szCs w:val="24"/>
                <w:highlight w:val="none"/>
              </w:rPr>
            </w:pPr>
          </w:p>
        </w:tc>
        <w:tc>
          <w:tcPr>
            <w:tcW w:w="1018" w:type="dxa"/>
            <w:tcBorders>
              <w:top w:val="double" w:color="auto" w:sz="6" w:space="0"/>
              <w:left w:val="single" w:color="auto" w:sz="6" w:space="0"/>
              <w:bottom w:val="single" w:color="auto" w:sz="6" w:space="0"/>
              <w:right w:val="single" w:color="auto" w:sz="6" w:space="0"/>
              <w:tl2br w:val="nil"/>
              <w:tr2bl w:val="nil"/>
            </w:tcBorders>
            <w:noWrap/>
            <w:vAlign w:val="center"/>
          </w:tcPr>
          <w:p w14:paraId="1DF41EAC">
            <w:pPr>
              <w:pStyle w:val="25"/>
              <w:spacing w:beforeLines="0" w:afterLines="0"/>
              <w:rPr>
                <w:rFonts w:hint="eastAsia" w:ascii="仿宋" w:hAnsi="仿宋" w:eastAsia="仿宋" w:cs="仿宋"/>
                <w:color w:val="auto"/>
                <w:sz w:val="24"/>
                <w:szCs w:val="24"/>
                <w:highlight w:val="none"/>
              </w:rPr>
            </w:pPr>
          </w:p>
        </w:tc>
        <w:tc>
          <w:tcPr>
            <w:tcW w:w="984" w:type="dxa"/>
            <w:tcBorders>
              <w:top w:val="double" w:color="auto" w:sz="6" w:space="0"/>
              <w:left w:val="single" w:color="auto" w:sz="6" w:space="0"/>
              <w:bottom w:val="single" w:color="auto" w:sz="6" w:space="0"/>
              <w:right w:val="single" w:color="auto" w:sz="6" w:space="0"/>
              <w:tl2br w:val="nil"/>
              <w:tr2bl w:val="nil"/>
            </w:tcBorders>
            <w:noWrap/>
            <w:vAlign w:val="center"/>
          </w:tcPr>
          <w:p w14:paraId="2B7139F2">
            <w:pPr>
              <w:pStyle w:val="25"/>
              <w:spacing w:beforeLines="0" w:afterLines="0"/>
              <w:rPr>
                <w:rFonts w:hint="eastAsia" w:ascii="仿宋" w:hAnsi="仿宋" w:eastAsia="仿宋" w:cs="仿宋"/>
                <w:color w:val="auto"/>
                <w:sz w:val="24"/>
                <w:szCs w:val="24"/>
                <w:highlight w:val="none"/>
              </w:rPr>
            </w:pPr>
          </w:p>
        </w:tc>
        <w:tc>
          <w:tcPr>
            <w:tcW w:w="495" w:type="dxa"/>
            <w:tcBorders>
              <w:top w:val="double" w:color="auto" w:sz="6" w:space="0"/>
              <w:left w:val="single" w:color="auto" w:sz="6" w:space="0"/>
              <w:bottom w:val="single" w:color="auto" w:sz="6" w:space="0"/>
              <w:right w:val="single" w:color="auto" w:sz="6" w:space="0"/>
              <w:tl2br w:val="nil"/>
              <w:tr2bl w:val="nil"/>
            </w:tcBorders>
            <w:noWrap/>
            <w:vAlign w:val="center"/>
          </w:tcPr>
          <w:p w14:paraId="5785F34F">
            <w:pPr>
              <w:pStyle w:val="25"/>
              <w:spacing w:beforeLines="0" w:afterLines="0"/>
              <w:rPr>
                <w:rFonts w:hint="eastAsia" w:ascii="仿宋" w:hAnsi="仿宋" w:eastAsia="仿宋" w:cs="仿宋"/>
                <w:color w:val="auto"/>
                <w:sz w:val="24"/>
                <w:szCs w:val="24"/>
                <w:highlight w:val="none"/>
              </w:rPr>
            </w:pPr>
          </w:p>
        </w:tc>
        <w:tc>
          <w:tcPr>
            <w:tcW w:w="599" w:type="dxa"/>
            <w:tcBorders>
              <w:top w:val="double" w:color="auto" w:sz="6" w:space="0"/>
              <w:left w:val="single" w:color="auto" w:sz="6" w:space="0"/>
              <w:bottom w:val="single" w:color="auto" w:sz="6" w:space="0"/>
              <w:right w:val="single" w:color="auto" w:sz="6" w:space="0"/>
              <w:tl2br w:val="nil"/>
              <w:tr2bl w:val="nil"/>
            </w:tcBorders>
            <w:noWrap/>
            <w:vAlign w:val="center"/>
          </w:tcPr>
          <w:p w14:paraId="22CC5C86">
            <w:pPr>
              <w:pStyle w:val="25"/>
              <w:spacing w:beforeLines="0" w:afterLines="0"/>
              <w:rPr>
                <w:rFonts w:hint="eastAsia" w:ascii="仿宋" w:hAnsi="仿宋" w:eastAsia="仿宋" w:cs="仿宋"/>
                <w:color w:val="auto"/>
                <w:sz w:val="24"/>
                <w:szCs w:val="24"/>
                <w:highlight w:val="none"/>
              </w:rPr>
            </w:pPr>
          </w:p>
        </w:tc>
        <w:tc>
          <w:tcPr>
            <w:tcW w:w="867" w:type="dxa"/>
            <w:tcBorders>
              <w:top w:val="double" w:color="auto" w:sz="6" w:space="0"/>
              <w:left w:val="single" w:color="auto" w:sz="6" w:space="0"/>
              <w:bottom w:val="single" w:color="auto" w:sz="6" w:space="0"/>
              <w:right w:val="single" w:color="auto" w:sz="6" w:space="0"/>
              <w:tl2br w:val="nil"/>
              <w:tr2bl w:val="nil"/>
            </w:tcBorders>
            <w:noWrap/>
            <w:vAlign w:val="top"/>
          </w:tcPr>
          <w:p w14:paraId="191CB83E">
            <w:pPr>
              <w:pStyle w:val="25"/>
              <w:spacing w:beforeLines="0" w:afterLines="0"/>
              <w:rPr>
                <w:rFonts w:hint="eastAsia" w:ascii="仿宋" w:hAnsi="仿宋" w:eastAsia="仿宋" w:cs="仿宋"/>
                <w:color w:val="auto"/>
                <w:sz w:val="24"/>
                <w:szCs w:val="24"/>
                <w:highlight w:val="none"/>
              </w:rPr>
            </w:pPr>
          </w:p>
        </w:tc>
        <w:tc>
          <w:tcPr>
            <w:tcW w:w="991" w:type="dxa"/>
            <w:tcBorders>
              <w:top w:val="double" w:color="auto" w:sz="6" w:space="0"/>
              <w:left w:val="single" w:color="auto" w:sz="6" w:space="0"/>
              <w:bottom w:val="single" w:color="auto" w:sz="6" w:space="0"/>
              <w:right w:val="single" w:color="auto" w:sz="6" w:space="0"/>
              <w:tl2br w:val="nil"/>
              <w:tr2bl w:val="nil"/>
            </w:tcBorders>
            <w:noWrap/>
            <w:vAlign w:val="center"/>
          </w:tcPr>
          <w:p w14:paraId="42D65F15">
            <w:pPr>
              <w:pStyle w:val="25"/>
              <w:spacing w:beforeLines="0" w:afterLines="0"/>
              <w:rPr>
                <w:rFonts w:hint="eastAsia" w:ascii="仿宋" w:hAnsi="仿宋" w:eastAsia="仿宋" w:cs="仿宋"/>
                <w:color w:val="auto"/>
                <w:sz w:val="24"/>
                <w:szCs w:val="24"/>
                <w:highlight w:val="none"/>
              </w:rPr>
            </w:pPr>
          </w:p>
        </w:tc>
        <w:tc>
          <w:tcPr>
            <w:tcW w:w="991" w:type="dxa"/>
            <w:tcBorders>
              <w:top w:val="double" w:color="auto" w:sz="6" w:space="0"/>
              <w:left w:val="single" w:color="auto" w:sz="6" w:space="0"/>
              <w:bottom w:val="single" w:color="auto" w:sz="6" w:space="0"/>
              <w:right w:val="single" w:color="auto" w:sz="6" w:space="0"/>
              <w:tl2br w:val="nil"/>
              <w:tr2bl w:val="nil"/>
            </w:tcBorders>
            <w:noWrap/>
            <w:vAlign w:val="center"/>
          </w:tcPr>
          <w:p w14:paraId="53757F88">
            <w:pPr>
              <w:pStyle w:val="25"/>
              <w:spacing w:beforeLines="0" w:afterLines="0"/>
              <w:rPr>
                <w:rFonts w:hint="eastAsia" w:ascii="仿宋" w:hAnsi="仿宋" w:eastAsia="仿宋" w:cs="仿宋"/>
                <w:color w:val="auto"/>
                <w:sz w:val="24"/>
                <w:szCs w:val="24"/>
                <w:highlight w:val="none"/>
              </w:rPr>
            </w:pPr>
          </w:p>
        </w:tc>
        <w:tc>
          <w:tcPr>
            <w:tcW w:w="991" w:type="dxa"/>
            <w:tcBorders>
              <w:top w:val="double" w:color="auto" w:sz="6" w:space="0"/>
              <w:left w:val="single" w:color="auto" w:sz="6" w:space="0"/>
              <w:bottom w:val="single" w:color="auto" w:sz="6" w:space="0"/>
              <w:right w:val="single" w:color="auto" w:sz="6" w:space="0"/>
              <w:tl2br w:val="nil"/>
              <w:tr2bl w:val="nil"/>
            </w:tcBorders>
            <w:noWrap/>
            <w:vAlign w:val="center"/>
          </w:tcPr>
          <w:p w14:paraId="43C964D8">
            <w:pPr>
              <w:pStyle w:val="25"/>
              <w:spacing w:beforeLines="0" w:afterLines="0"/>
              <w:rPr>
                <w:rFonts w:hint="eastAsia" w:ascii="仿宋" w:hAnsi="仿宋" w:eastAsia="仿宋" w:cs="仿宋"/>
                <w:color w:val="auto"/>
                <w:sz w:val="24"/>
                <w:szCs w:val="24"/>
                <w:highlight w:val="none"/>
              </w:rPr>
            </w:pPr>
          </w:p>
        </w:tc>
        <w:tc>
          <w:tcPr>
            <w:tcW w:w="619" w:type="dxa"/>
            <w:tcBorders>
              <w:top w:val="double" w:color="auto" w:sz="6" w:space="0"/>
              <w:left w:val="single" w:color="auto" w:sz="6" w:space="0"/>
              <w:bottom w:val="single" w:color="auto" w:sz="6" w:space="0"/>
              <w:right w:val="single" w:color="auto" w:sz="12" w:space="0"/>
              <w:tl2br w:val="nil"/>
              <w:tr2bl w:val="nil"/>
            </w:tcBorders>
            <w:noWrap/>
            <w:vAlign w:val="center"/>
          </w:tcPr>
          <w:p w14:paraId="64A6ADA4">
            <w:pPr>
              <w:pStyle w:val="25"/>
              <w:spacing w:beforeLines="0" w:afterLines="0"/>
              <w:rPr>
                <w:rFonts w:hint="eastAsia" w:ascii="仿宋" w:hAnsi="仿宋" w:eastAsia="仿宋" w:cs="仿宋"/>
                <w:color w:val="auto"/>
                <w:sz w:val="24"/>
                <w:szCs w:val="24"/>
                <w:highlight w:val="none"/>
              </w:rPr>
            </w:pPr>
          </w:p>
        </w:tc>
      </w:tr>
      <w:tr w14:paraId="0F074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482" w:type="dxa"/>
            <w:tcBorders>
              <w:top w:val="nil"/>
              <w:left w:val="single" w:color="auto" w:sz="12" w:space="0"/>
              <w:bottom w:val="single" w:color="auto" w:sz="6" w:space="0"/>
              <w:right w:val="single" w:color="auto" w:sz="6" w:space="0"/>
              <w:tl2br w:val="nil"/>
              <w:tr2bl w:val="nil"/>
            </w:tcBorders>
            <w:noWrap/>
            <w:vAlign w:val="center"/>
          </w:tcPr>
          <w:p w14:paraId="22DA6C99">
            <w:pPr>
              <w:pStyle w:val="25"/>
              <w:spacing w:beforeLines="0" w:afterLines="0"/>
              <w:rPr>
                <w:rFonts w:hint="eastAsia" w:ascii="仿宋" w:hAnsi="仿宋" w:eastAsia="仿宋" w:cs="仿宋"/>
                <w:color w:val="auto"/>
                <w:sz w:val="24"/>
                <w:szCs w:val="24"/>
                <w:highlight w:val="none"/>
              </w:rPr>
            </w:pPr>
          </w:p>
        </w:tc>
        <w:tc>
          <w:tcPr>
            <w:tcW w:w="1018" w:type="dxa"/>
            <w:tcBorders>
              <w:top w:val="nil"/>
              <w:left w:val="single" w:color="auto" w:sz="6" w:space="0"/>
              <w:bottom w:val="single" w:color="auto" w:sz="6" w:space="0"/>
              <w:right w:val="single" w:color="auto" w:sz="6" w:space="0"/>
              <w:tl2br w:val="nil"/>
              <w:tr2bl w:val="nil"/>
            </w:tcBorders>
            <w:noWrap/>
            <w:vAlign w:val="center"/>
          </w:tcPr>
          <w:p w14:paraId="726DF6F4">
            <w:pPr>
              <w:pStyle w:val="25"/>
              <w:spacing w:beforeLines="0" w:afterLines="0"/>
              <w:rPr>
                <w:rFonts w:hint="eastAsia" w:ascii="仿宋" w:hAnsi="仿宋" w:eastAsia="仿宋" w:cs="仿宋"/>
                <w:color w:val="auto"/>
                <w:sz w:val="24"/>
                <w:szCs w:val="24"/>
                <w:highlight w:val="none"/>
              </w:rPr>
            </w:pPr>
          </w:p>
        </w:tc>
        <w:tc>
          <w:tcPr>
            <w:tcW w:w="984" w:type="dxa"/>
            <w:tcBorders>
              <w:top w:val="nil"/>
              <w:left w:val="single" w:color="auto" w:sz="6" w:space="0"/>
              <w:bottom w:val="single" w:color="auto" w:sz="6" w:space="0"/>
              <w:right w:val="single" w:color="auto" w:sz="6" w:space="0"/>
              <w:tl2br w:val="nil"/>
              <w:tr2bl w:val="nil"/>
            </w:tcBorders>
            <w:noWrap/>
            <w:vAlign w:val="center"/>
          </w:tcPr>
          <w:p w14:paraId="2C2B2331">
            <w:pPr>
              <w:pStyle w:val="25"/>
              <w:spacing w:beforeLines="0" w:afterLines="0"/>
              <w:rPr>
                <w:rFonts w:hint="eastAsia" w:ascii="仿宋" w:hAnsi="仿宋" w:eastAsia="仿宋" w:cs="仿宋"/>
                <w:color w:val="auto"/>
                <w:sz w:val="24"/>
                <w:szCs w:val="24"/>
                <w:highlight w:val="none"/>
              </w:rPr>
            </w:pPr>
          </w:p>
        </w:tc>
        <w:tc>
          <w:tcPr>
            <w:tcW w:w="495" w:type="dxa"/>
            <w:tcBorders>
              <w:top w:val="nil"/>
              <w:left w:val="single" w:color="auto" w:sz="6" w:space="0"/>
              <w:bottom w:val="single" w:color="auto" w:sz="6" w:space="0"/>
              <w:right w:val="single" w:color="auto" w:sz="6" w:space="0"/>
              <w:tl2br w:val="nil"/>
              <w:tr2bl w:val="nil"/>
            </w:tcBorders>
            <w:noWrap/>
            <w:vAlign w:val="center"/>
          </w:tcPr>
          <w:p w14:paraId="2493F0AE">
            <w:pPr>
              <w:pStyle w:val="25"/>
              <w:spacing w:beforeLines="0" w:afterLines="0"/>
              <w:rPr>
                <w:rFonts w:hint="eastAsia" w:ascii="仿宋" w:hAnsi="仿宋" w:eastAsia="仿宋" w:cs="仿宋"/>
                <w:color w:val="auto"/>
                <w:sz w:val="24"/>
                <w:szCs w:val="24"/>
                <w:highlight w:val="none"/>
              </w:rPr>
            </w:pPr>
          </w:p>
        </w:tc>
        <w:tc>
          <w:tcPr>
            <w:tcW w:w="599" w:type="dxa"/>
            <w:tcBorders>
              <w:top w:val="nil"/>
              <w:left w:val="single" w:color="auto" w:sz="6" w:space="0"/>
              <w:bottom w:val="single" w:color="auto" w:sz="6" w:space="0"/>
              <w:right w:val="single" w:color="auto" w:sz="6" w:space="0"/>
              <w:tl2br w:val="nil"/>
              <w:tr2bl w:val="nil"/>
            </w:tcBorders>
            <w:noWrap/>
            <w:vAlign w:val="center"/>
          </w:tcPr>
          <w:p w14:paraId="5FDF542C">
            <w:pPr>
              <w:pStyle w:val="25"/>
              <w:spacing w:beforeLines="0" w:afterLines="0"/>
              <w:rPr>
                <w:rFonts w:hint="eastAsia" w:ascii="仿宋" w:hAnsi="仿宋" w:eastAsia="仿宋" w:cs="仿宋"/>
                <w:color w:val="auto"/>
                <w:sz w:val="24"/>
                <w:szCs w:val="24"/>
                <w:highlight w:val="none"/>
              </w:rPr>
            </w:pPr>
          </w:p>
        </w:tc>
        <w:tc>
          <w:tcPr>
            <w:tcW w:w="867" w:type="dxa"/>
            <w:tcBorders>
              <w:top w:val="nil"/>
              <w:left w:val="single" w:color="auto" w:sz="6" w:space="0"/>
              <w:bottom w:val="single" w:color="auto" w:sz="6" w:space="0"/>
              <w:right w:val="single" w:color="auto" w:sz="6" w:space="0"/>
              <w:tl2br w:val="nil"/>
              <w:tr2bl w:val="nil"/>
            </w:tcBorders>
            <w:noWrap/>
            <w:vAlign w:val="top"/>
          </w:tcPr>
          <w:p w14:paraId="4178A716">
            <w:pPr>
              <w:pStyle w:val="25"/>
              <w:spacing w:beforeLines="0" w:afterLines="0"/>
              <w:rPr>
                <w:rFonts w:hint="eastAsia" w:ascii="仿宋" w:hAnsi="仿宋" w:eastAsia="仿宋" w:cs="仿宋"/>
                <w:color w:val="auto"/>
                <w:sz w:val="24"/>
                <w:szCs w:val="24"/>
                <w:highlight w:val="none"/>
              </w:rPr>
            </w:pPr>
          </w:p>
        </w:tc>
        <w:tc>
          <w:tcPr>
            <w:tcW w:w="991" w:type="dxa"/>
            <w:tcBorders>
              <w:top w:val="nil"/>
              <w:left w:val="single" w:color="auto" w:sz="6" w:space="0"/>
              <w:bottom w:val="single" w:color="auto" w:sz="6" w:space="0"/>
              <w:right w:val="single" w:color="auto" w:sz="6" w:space="0"/>
              <w:tl2br w:val="nil"/>
              <w:tr2bl w:val="nil"/>
            </w:tcBorders>
            <w:noWrap/>
            <w:vAlign w:val="center"/>
          </w:tcPr>
          <w:p w14:paraId="22B70E29">
            <w:pPr>
              <w:pStyle w:val="25"/>
              <w:spacing w:beforeLines="0" w:afterLines="0"/>
              <w:rPr>
                <w:rFonts w:hint="eastAsia" w:ascii="仿宋" w:hAnsi="仿宋" w:eastAsia="仿宋" w:cs="仿宋"/>
                <w:color w:val="auto"/>
                <w:sz w:val="24"/>
                <w:szCs w:val="24"/>
                <w:highlight w:val="none"/>
              </w:rPr>
            </w:pPr>
          </w:p>
        </w:tc>
        <w:tc>
          <w:tcPr>
            <w:tcW w:w="991" w:type="dxa"/>
            <w:tcBorders>
              <w:top w:val="nil"/>
              <w:left w:val="single" w:color="auto" w:sz="6" w:space="0"/>
              <w:bottom w:val="single" w:color="auto" w:sz="6" w:space="0"/>
              <w:right w:val="single" w:color="auto" w:sz="6" w:space="0"/>
              <w:tl2br w:val="nil"/>
              <w:tr2bl w:val="nil"/>
            </w:tcBorders>
            <w:noWrap/>
            <w:vAlign w:val="center"/>
          </w:tcPr>
          <w:p w14:paraId="04F0AF80">
            <w:pPr>
              <w:pStyle w:val="25"/>
              <w:spacing w:beforeLines="0" w:afterLines="0"/>
              <w:rPr>
                <w:rFonts w:hint="eastAsia" w:ascii="仿宋" w:hAnsi="仿宋" w:eastAsia="仿宋" w:cs="仿宋"/>
                <w:color w:val="auto"/>
                <w:sz w:val="24"/>
                <w:szCs w:val="24"/>
                <w:highlight w:val="none"/>
              </w:rPr>
            </w:pPr>
          </w:p>
        </w:tc>
        <w:tc>
          <w:tcPr>
            <w:tcW w:w="991" w:type="dxa"/>
            <w:tcBorders>
              <w:top w:val="nil"/>
              <w:left w:val="single" w:color="auto" w:sz="6" w:space="0"/>
              <w:bottom w:val="single" w:color="auto" w:sz="6" w:space="0"/>
              <w:right w:val="single" w:color="auto" w:sz="6" w:space="0"/>
              <w:tl2br w:val="nil"/>
              <w:tr2bl w:val="nil"/>
            </w:tcBorders>
            <w:noWrap/>
            <w:vAlign w:val="center"/>
          </w:tcPr>
          <w:p w14:paraId="4CA8A12F">
            <w:pPr>
              <w:pStyle w:val="25"/>
              <w:spacing w:beforeLines="0" w:afterLines="0"/>
              <w:rPr>
                <w:rFonts w:hint="eastAsia" w:ascii="仿宋" w:hAnsi="仿宋" w:eastAsia="仿宋" w:cs="仿宋"/>
                <w:color w:val="auto"/>
                <w:sz w:val="24"/>
                <w:szCs w:val="24"/>
                <w:highlight w:val="none"/>
              </w:rPr>
            </w:pPr>
          </w:p>
        </w:tc>
        <w:tc>
          <w:tcPr>
            <w:tcW w:w="619" w:type="dxa"/>
            <w:tcBorders>
              <w:top w:val="nil"/>
              <w:left w:val="single" w:color="auto" w:sz="6" w:space="0"/>
              <w:bottom w:val="single" w:color="auto" w:sz="6" w:space="0"/>
              <w:right w:val="single" w:color="auto" w:sz="12" w:space="0"/>
              <w:tl2br w:val="nil"/>
              <w:tr2bl w:val="nil"/>
            </w:tcBorders>
            <w:noWrap/>
            <w:vAlign w:val="center"/>
          </w:tcPr>
          <w:p w14:paraId="365FA33A">
            <w:pPr>
              <w:pStyle w:val="25"/>
              <w:spacing w:beforeLines="0" w:afterLines="0"/>
              <w:rPr>
                <w:rFonts w:hint="eastAsia" w:ascii="仿宋" w:hAnsi="仿宋" w:eastAsia="仿宋" w:cs="仿宋"/>
                <w:color w:val="auto"/>
                <w:sz w:val="24"/>
                <w:szCs w:val="24"/>
                <w:highlight w:val="none"/>
              </w:rPr>
            </w:pPr>
          </w:p>
        </w:tc>
      </w:tr>
      <w:tr w14:paraId="6D35A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482" w:type="dxa"/>
            <w:tcBorders>
              <w:top w:val="single" w:color="auto" w:sz="6" w:space="0"/>
              <w:left w:val="single" w:color="auto" w:sz="12" w:space="0"/>
              <w:bottom w:val="single" w:color="auto" w:sz="6" w:space="0"/>
              <w:right w:val="single" w:color="auto" w:sz="6" w:space="0"/>
              <w:tl2br w:val="nil"/>
              <w:tr2bl w:val="nil"/>
            </w:tcBorders>
            <w:noWrap/>
            <w:vAlign w:val="center"/>
          </w:tcPr>
          <w:p w14:paraId="79DF103A">
            <w:pPr>
              <w:pStyle w:val="25"/>
              <w:spacing w:beforeLines="0" w:afterLines="0"/>
              <w:rPr>
                <w:rFonts w:hint="eastAsia" w:ascii="仿宋" w:hAnsi="仿宋" w:eastAsia="仿宋" w:cs="仿宋"/>
                <w:color w:val="auto"/>
                <w:sz w:val="24"/>
                <w:szCs w:val="24"/>
                <w:highlight w:val="none"/>
              </w:rPr>
            </w:pPr>
          </w:p>
        </w:tc>
        <w:tc>
          <w:tcPr>
            <w:tcW w:w="1018" w:type="dxa"/>
            <w:tcBorders>
              <w:top w:val="single" w:color="auto" w:sz="6" w:space="0"/>
              <w:left w:val="single" w:color="auto" w:sz="6" w:space="0"/>
              <w:bottom w:val="single" w:color="auto" w:sz="6" w:space="0"/>
              <w:right w:val="single" w:color="auto" w:sz="6" w:space="0"/>
              <w:tl2br w:val="nil"/>
              <w:tr2bl w:val="nil"/>
            </w:tcBorders>
            <w:noWrap/>
            <w:vAlign w:val="center"/>
          </w:tcPr>
          <w:p w14:paraId="2C336A4A">
            <w:pPr>
              <w:pStyle w:val="25"/>
              <w:spacing w:beforeLines="0" w:afterLines="0"/>
              <w:rPr>
                <w:rFonts w:hint="eastAsia" w:ascii="仿宋" w:hAnsi="仿宋" w:eastAsia="仿宋" w:cs="仿宋"/>
                <w:color w:val="auto"/>
                <w:sz w:val="24"/>
                <w:szCs w:val="24"/>
                <w:highlight w:val="none"/>
              </w:rPr>
            </w:pPr>
          </w:p>
        </w:tc>
        <w:tc>
          <w:tcPr>
            <w:tcW w:w="984" w:type="dxa"/>
            <w:tcBorders>
              <w:top w:val="single" w:color="auto" w:sz="6" w:space="0"/>
              <w:left w:val="single" w:color="auto" w:sz="6" w:space="0"/>
              <w:bottom w:val="single" w:color="auto" w:sz="6" w:space="0"/>
              <w:right w:val="single" w:color="auto" w:sz="6" w:space="0"/>
              <w:tl2br w:val="nil"/>
              <w:tr2bl w:val="nil"/>
            </w:tcBorders>
            <w:noWrap/>
            <w:vAlign w:val="center"/>
          </w:tcPr>
          <w:p w14:paraId="7C7398CF">
            <w:pPr>
              <w:pStyle w:val="25"/>
              <w:spacing w:beforeLines="0" w:afterLines="0"/>
              <w:rPr>
                <w:rFonts w:hint="eastAsia" w:ascii="仿宋" w:hAnsi="仿宋" w:eastAsia="仿宋" w:cs="仿宋"/>
                <w:color w:val="auto"/>
                <w:sz w:val="24"/>
                <w:szCs w:val="24"/>
                <w:highlight w:val="none"/>
              </w:rPr>
            </w:pPr>
          </w:p>
        </w:tc>
        <w:tc>
          <w:tcPr>
            <w:tcW w:w="495" w:type="dxa"/>
            <w:tcBorders>
              <w:top w:val="single" w:color="auto" w:sz="6" w:space="0"/>
              <w:left w:val="single" w:color="auto" w:sz="6" w:space="0"/>
              <w:bottom w:val="single" w:color="auto" w:sz="6" w:space="0"/>
              <w:right w:val="single" w:color="auto" w:sz="6" w:space="0"/>
              <w:tl2br w:val="nil"/>
              <w:tr2bl w:val="nil"/>
            </w:tcBorders>
            <w:noWrap/>
            <w:vAlign w:val="center"/>
          </w:tcPr>
          <w:p w14:paraId="1DFAD568">
            <w:pPr>
              <w:pStyle w:val="25"/>
              <w:spacing w:beforeLines="0" w:afterLines="0"/>
              <w:rPr>
                <w:rFonts w:hint="eastAsia" w:ascii="仿宋" w:hAnsi="仿宋" w:eastAsia="仿宋" w:cs="仿宋"/>
                <w:color w:val="auto"/>
                <w:sz w:val="24"/>
                <w:szCs w:val="24"/>
                <w:highlight w:val="none"/>
              </w:rPr>
            </w:pPr>
          </w:p>
        </w:tc>
        <w:tc>
          <w:tcPr>
            <w:tcW w:w="599" w:type="dxa"/>
            <w:tcBorders>
              <w:top w:val="single" w:color="auto" w:sz="6" w:space="0"/>
              <w:left w:val="single" w:color="auto" w:sz="6" w:space="0"/>
              <w:bottom w:val="single" w:color="auto" w:sz="6" w:space="0"/>
              <w:right w:val="single" w:color="auto" w:sz="6" w:space="0"/>
              <w:tl2br w:val="nil"/>
              <w:tr2bl w:val="nil"/>
            </w:tcBorders>
            <w:noWrap/>
            <w:vAlign w:val="center"/>
          </w:tcPr>
          <w:p w14:paraId="669AC227">
            <w:pPr>
              <w:pStyle w:val="25"/>
              <w:spacing w:beforeLines="0" w:afterLines="0"/>
              <w:rPr>
                <w:rFonts w:hint="eastAsia" w:ascii="仿宋" w:hAnsi="仿宋" w:eastAsia="仿宋" w:cs="仿宋"/>
                <w:color w:val="auto"/>
                <w:sz w:val="24"/>
                <w:szCs w:val="24"/>
                <w:highlight w:val="none"/>
              </w:rPr>
            </w:pPr>
          </w:p>
        </w:tc>
        <w:tc>
          <w:tcPr>
            <w:tcW w:w="867" w:type="dxa"/>
            <w:tcBorders>
              <w:top w:val="single" w:color="auto" w:sz="6" w:space="0"/>
              <w:left w:val="single" w:color="auto" w:sz="6" w:space="0"/>
              <w:bottom w:val="single" w:color="auto" w:sz="6" w:space="0"/>
              <w:right w:val="single" w:color="auto" w:sz="6" w:space="0"/>
              <w:tl2br w:val="nil"/>
              <w:tr2bl w:val="nil"/>
            </w:tcBorders>
            <w:noWrap/>
            <w:vAlign w:val="top"/>
          </w:tcPr>
          <w:p w14:paraId="516EAA78">
            <w:pPr>
              <w:pStyle w:val="25"/>
              <w:spacing w:beforeLines="0" w:afterLines="0"/>
              <w:rPr>
                <w:rFonts w:hint="eastAsia" w:ascii="仿宋" w:hAnsi="仿宋" w:eastAsia="仿宋" w:cs="仿宋"/>
                <w:color w:val="auto"/>
                <w:sz w:val="24"/>
                <w:szCs w:val="24"/>
                <w:highlight w:val="none"/>
              </w:rPr>
            </w:pPr>
          </w:p>
        </w:tc>
        <w:tc>
          <w:tcPr>
            <w:tcW w:w="991" w:type="dxa"/>
            <w:tcBorders>
              <w:top w:val="single" w:color="auto" w:sz="6" w:space="0"/>
              <w:left w:val="single" w:color="auto" w:sz="6" w:space="0"/>
              <w:bottom w:val="single" w:color="auto" w:sz="6" w:space="0"/>
              <w:right w:val="single" w:color="auto" w:sz="6" w:space="0"/>
              <w:tl2br w:val="nil"/>
              <w:tr2bl w:val="nil"/>
            </w:tcBorders>
            <w:noWrap/>
            <w:vAlign w:val="center"/>
          </w:tcPr>
          <w:p w14:paraId="242A66BD">
            <w:pPr>
              <w:pStyle w:val="25"/>
              <w:spacing w:beforeLines="0" w:afterLines="0"/>
              <w:rPr>
                <w:rFonts w:hint="eastAsia" w:ascii="仿宋" w:hAnsi="仿宋" w:eastAsia="仿宋" w:cs="仿宋"/>
                <w:color w:val="auto"/>
                <w:sz w:val="24"/>
                <w:szCs w:val="24"/>
                <w:highlight w:val="none"/>
              </w:rPr>
            </w:pPr>
          </w:p>
        </w:tc>
        <w:tc>
          <w:tcPr>
            <w:tcW w:w="991" w:type="dxa"/>
            <w:tcBorders>
              <w:top w:val="single" w:color="auto" w:sz="6" w:space="0"/>
              <w:left w:val="single" w:color="auto" w:sz="6" w:space="0"/>
              <w:bottom w:val="single" w:color="auto" w:sz="6" w:space="0"/>
              <w:right w:val="single" w:color="auto" w:sz="6" w:space="0"/>
              <w:tl2br w:val="nil"/>
              <w:tr2bl w:val="nil"/>
            </w:tcBorders>
            <w:noWrap/>
            <w:vAlign w:val="center"/>
          </w:tcPr>
          <w:p w14:paraId="600A8BD9">
            <w:pPr>
              <w:pStyle w:val="25"/>
              <w:spacing w:beforeLines="0" w:afterLines="0"/>
              <w:rPr>
                <w:rFonts w:hint="eastAsia" w:ascii="仿宋" w:hAnsi="仿宋" w:eastAsia="仿宋" w:cs="仿宋"/>
                <w:color w:val="auto"/>
                <w:sz w:val="24"/>
                <w:szCs w:val="24"/>
                <w:highlight w:val="none"/>
              </w:rPr>
            </w:pPr>
          </w:p>
        </w:tc>
        <w:tc>
          <w:tcPr>
            <w:tcW w:w="991" w:type="dxa"/>
            <w:tcBorders>
              <w:top w:val="single" w:color="auto" w:sz="6" w:space="0"/>
              <w:left w:val="single" w:color="auto" w:sz="6" w:space="0"/>
              <w:bottom w:val="single" w:color="auto" w:sz="6" w:space="0"/>
              <w:right w:val="single" w:color="auto" w:sz="6" w:space="0"/>
              <w:tl2br w:val="nil"/>
              <w:tr2bl w:val="nil"/>
            </w:tcBorders>
            <w:noWrap/>
            <w:vAlign w:val="center"/>
          </w:tcPr>
          <w:p w14:paraId="4F2723B7">
            <w:pPr>
              <w:pStyle w:val="25"/>
              <w:spacing w:beforeLines="0" w:afterLines="0"/>
              <w:rPr>
                <w:rFonts w:hint="eastAsia" w:ascii="仿宋" w:hAnsi="仿宋" w:eastAsia="仿宋" w:cs="仿宋"/>
                <w:color w:val="auto"/>
                <w:sz w:val="24"/>
                <w:szCs w:val="24"/>
                <w:highlight w:val="none"/>
              </w:rPr>
            </w:pPr>
          </w:p>
        </w:tc>
        <w:tc>
          <w:tcPr>
            <w:tcW w:w="619" w:type="dxa"/>
            <w:tcBorders>
              <w:top w:val="single" w:color="auto" w:sz="6" w:space="0"/>
              <w:left w:val="single" w:color="auto" w:sz="6" w:space="0"/>
              <w:bottom w:val="single" w:color="auto" w:sz="6" w:space="0"/>
              <w:right w:val="single" w:color="auto" w:sz="12" w:space="0"/>
              <w:tl2br w:val="nil"/>
              <w:tr2bl w:val="nil"/>
            </w:tcBorders>
            <w:noWrap/>
            <w:vAlign w:val="center"/>
          </w:tcPr>
          <w:p w14:paraId="1CCFBD18">
            <w:pPr>
              <w:pStyle w:val="25"/>
              <w:spacing w:beforeLines="0" w:afterLines="0"/>
              <w:rPr>
                <w:rFonts w:hint="eastAsia" w:ascii="仿宋" w:hAnsi="仿宋" w:eastAsia="仿宋" w:cs="仿宋"/>
                <w:color w:val="auto"/>
                <w:sz w:val="24"/>
                <w:szCs w:val="24"/>
                <w:highlight w:val="none"/>
              </w:rPr>
            </w:pPr>
          </w:p>
        </w:tc>
      </w:tr>
      <w:tr w14:paraId="1D779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482" w:type="dxa"/>
            <w:tcBorders>
              <w:top w:val="single" w:color="auto" w:sz="6" w:space="0"/>
              <w:left w:val="single" w:color="auto" w:sz="12" w:space="0"/>
              <w:bottom w:val="single" w:color="auto" w:sz="6" w:space="0"/>
              <w:right w:val="single" w:color="auto" w:sz="6" w:space="0"/>
              <w:tl2br w:val="nil"/>
              <w:tr2bl w:val="nil"/>
            </w:tcBorders>
            <w:noWrap/>
            <w:vAlign w:val="center"/>
          </w:tcPr>
          <w:p w14:paraId="30A34882">
            <w:pPr>
              <w:pStyle w:val="25"/>
              <w:spacing w:beforeLines="0" w:afterLines="0"/>
              <w:rPr>
                <w:rFonts w:hint="eastAsia" w:ascii="仿宋" w:hAnsi="仿宋" w:eastAsia="仿宋" w:cs="仿宋"/>
                <w:color w:val="auto"/>
                <w:sz w:val="24"/>
                <w:szCs w:val="24"/>
                <w:highlight w:val="none"/>
              </w:rPr>
            </w:pPr>
          </w:p>
        </w:tc>
        <w:tc>
          <w:tcPr>
            <w:tcW w:w="1018" w:type="dxa"/>
            <w:tcBorders>
              <w:top w:val="single" w:color="auto" w:sz="6" w:space="0"/>
              <w:left w:val="single" w:color="auto" w:sz="6" w:space="0"/>
              <w:bottom w:val="single" w:color="auto" w:sz="6" w:space="0"/>
              <w:right w:val="single" w:color="auto" w:sz="6" w:space="0"/>
              <w:tl2br w:val="nil"/>
              <w:tr2bl w:val="nil"/>
            </w:tcBorders>
            <w:noWrap/>
            <w:vAlign w:val="center"/>
          </w:tcPr>
          <w:p w14:paraId="48B0F420">
            <w:pPr>
              <w:pStyle w:val="25"/>
              <w:spacing w:beforeLines="0" w:afterLines="0"/>
              <w:rPr>
                <w:rFonts w:hint="eastAsia" w:ascii="仿宋" w:hAnsi="仿宋" w:eastAsia="仿宋" w:cs="仿宋"/>
                <w:color w:val="auto"/>
                <w:sz w:val="24"/>
                <w:szCs w:val="24"/>
                <w:highlight w:val="none"/>
              </w:rPr>
            </w:pPr>
          </w:p>
        </w:tc>
        <w:tc>
          <w:tcPr>
            <w:tcW w:w="984" w:type="dxa"/>
            <w:tcBorders>
              <w:top w:val="single" w:color="auto" w:sz="6" w:space="0"/>
              <w:left w:val="single" w:color="auto" w:sz="6" w:space="0"/>
              <w:bottom w:val="single" w:color="auto" w:sz="6" w:space="0"/>
              <w:right w:val="single" w:color="auto" w:sz="6" w:space="0"/>
              <w:tl2br w:val="nil"/>
              <w:tr2bl w:val="nil"/>
            </w:tcBorders>
            <w:noWrap/>
            <w:vAlign w:val="center"/>
          </w:tcPr>
          <w:p w14:paraId="1544CD55">
            <w:pPr>
              <w:pStyle w:val="25"/>
              <w:spacing w:beforeLines="0" w:afterLines="0"/>
              <w:rPr>
                <w:rFonts w:hint="eastAsia" w:ascii="仿宋" w:hAnsi="仿宋" w:eastAsia="仿宋" w:cs="仿宋"/>
                <w:color w:val="auto"/>
                <w:sz w:val="24"/>
                <w:szCs w:val="24"/>
                <w:highlight w:val="none"/>
              </w:rPr>
            </w:pPr>
          </w:p>
        </w:tc>
        <w:tc>
          <w:tcPr>
            <w:tcW w:w="495" w:type="dxa"/>
            <w:tcBorders>
              <w:top w:val="single" w:color="auto" w:sz="6" w:space="0"/>
              <w:left w:val="single" w:color="auto" w:sz="6" w:space="0"/>
              <w:bottom w:val="single" w:color="auto" w:sz="6" w:space="0"/>
              <w:right w:val="single" w:color="auto" w:sz="6" w:space="0"/>
              <w:tl2br w:val="nil"/>
              <w:tr2bl w:val="nil"/>
            </w:tcBorders>
            <w:noWrap/>
            <w:vAlign w:val="center"/>
          </w:tcPr>
          <w:p w14:paraId="1D89393E">
            <w:pPr>
              <w:pStyle w:val="25"/>
              <w:spacing w:beforeLines="0" w:afterLines="0"/>
              <w:rPr>
                <w:rFonts w:hint="eastAsia" w:ascii="仿宋" w:hAnsi="仿宋" w:eastAsia="仿宋" w:cs="仿宋"/>
                <w:color w:val="auto"/>
                <w:sz w:val="24"/>
                <w:szCs w:val="24"/>
                <w:highlight w:val="none"/>
              </w:rPr>
            </w:pPr>
          </w:p>
        </w:tc>
        <w:tc>
          <w:tcPr>
            <w:tcW w:w="599" w:type="dxa"/>
            <w:tcBorders>
              <w:top w:val="single" w:color="auto" w:sz="6" w:space="0"/>
              <w:left w:val="single" w:color="auto" w:sz="6" w:space="0"/>
              <w:bottom w:val="single" w:color="auto" w:sz="6" w:space="0"/>
              <w:right w:val="single" w:color="auto" w:sz="6" w:space="0"/>
              <w:tl2br w:val="nil"/>
              <w:tr2bl w:val="nil"/>
            </w:tcBorders>
            <w:noWrap/>
            <w:vAlign w:val="center"/>
          </w:tcPr>
          <w:p w14:paraId="0B8BFFD4">
            <w:pPr>
              <w:pStyle w:val="25"/>
              <w:spacing w:beforeLines="0" w:afterLines="0"/>
              <w:rPr>
                <w:rFonts w:hint="eastAsia" w:ascii="仿宋" w:hAnsi="仿宋" w:eastAsia="仿宋" w:cs="仿宋"/>
                <w:color w:val="auto"/>
                <w:sz w:val="24"/>
                <w:szCs w:val="24"/>
                <w:highlight w:val="none"/>
              </w:rPr>
            </w:pPr>
          </w:p>
        </w:tc>
        <w:tc>
          <w:tcPr>
            <w:tcW w:w="867" w:type="dxa"/>
            <w:tcBorders>
              <w:top w:val="single" w:color="auto" w:sz="6" w:space="0"/>
              <w:left w:val="single" w:color="auto" w:sz="6" w:space="0"/>
              <w:bottom w:val="single" w:color="auto" w:sz="6" w:space="0"/>
              <w:right w:val="single" w:color="auto" w:sz="6" w:space="0"/>
              <w:tl2br w:val="nil"/>
              <w:tr2bl w:val="nil"/>
            </w:tcBorders>
            <w:noWrap/>
            <w:vAlign w:val="top"/>
          </w:tcPr>
          <w:p w14:paraId="00681A2F">
            <w:pPr>
              <w:pStyle w:val="25"/>
              <w:spacing w:beforeLines="0" w:afterLines="0"/>
              <w:rPr>
                <w:rFonts w:hint="eastAsia" w:ascii="仿宋" w:hAnsi="仿宋" w:eastAsia="仿宋" w:cs="仿宋"/>
                <w:color w:val="auto"/>
                <w:sz w:val="24"/>
                <w:szCs w:val="24"/>
                <w:highlight w:val="none"/>
              </w:rPr>
            </w:pPr>
          </w:p>
        </w:tc>
        <w:tc>
          <w:tcPr>
            <w:tcW w:w="991" w:type="dxa"/>
            <w:tcBorders>
              <w:top w:val="single" w:color="auto" w:sz="6" w:space="0"/>
              <w:left w:val="single" w:color="auto" w:sz="6" w:space="0"/>
              <w:bottom w:val="single" w:color="auto" w:sz="6" w:space="0"/>
              <w:right w:val="single" w:color="auto" w:sz="6" w:space="0"/>
              <w:tl2br w:val="nil"/>
              <w:tr2bl w:val="nil"/>
            </w:tcBorders>
            <w:noWrap/>
            <w:vAlign w:val="center"/>
          </w:tcPr>
          <w:p w14:paraId="7053F09F">
            <w:pPr>
              <w:pStyle w:val="25"/>
              <w:spacing w:beforeLines="0" w:afterLines="0"/>
              <w:rPr>
                <w:rFonts w:hint="eastAsia" w:ascii="仿宋" w:hAnsi="仿宋" w:eastAsia="仿宋" w:cs="仿宋"/>
                <w:color w:val="auto"/>
                <w:sz w:val="24"/>
                <w:szCs w:val="24"/>
                <w:highlight w:val="none"/>
              </w:rPr>
            </w:pPr>
          </w:p>
        </w:tc>
        <w:tc>
          <w:tcPr>
            <w:tcW w:w="991" w:type="dxa"/>
            <w:tcBorders>
              <w:top w:val="single" w:color="auto" w:sz="6" w:space="0"/>
              <w:left w:val="single" w:color="auto" w:sz="6" w:space="0"/>
              <w:bottom w:val="single" w:color="auto" w:sz="6" w:space="0"/>
              <w:right w:val="single" w:color="auto" w:sz="6" w:space="0"/>
              <w:tl2br w:val="nil"/>
              <w:tr2bl w:val="nil"/>
            </w:tcBorders>
            <w:noWrap/>
            <w:vAlign w:val="center"/>
          </w:tcPr>
          <w:p w14:paraId="7CCDF271">
            <w:pPr>
              <w:pStyle w:val="25"/>
              <w:spacing w:beforeLines="0" w:afterLines="0"/>
              <w:rPr>
                <w:rFonts w:hint="eastAsia" w:ascii="仿宋" w:hAnsi="仿宋" w:eastAsia="仿宋" w:cs="仿宋"/>
                <w:color w:val="auto"/>
                <w:sz w:val="24"/>
                <w:szCs w:val="24"/>
                <w:highlight w:val="none"/>
              </w:rPr>
            </w:pPr>
          </w:p>
        </w:tc>
        <w:tc>
          <w:tcPr>
            <w:tcW w:w="991" w:type="dxa"/>
            <w:tcBorders>
              <w:top w:val="single" w:color="auto" w:sz="6" w:space="0"/>
              <w:left w:val="single" w:color="auto" w:sz="6" w:space="0"/>
              <w:bottom w:val="single" w:color="auto" w:sz="6" w:space="0"/>
              <w:right w:val="single" w:color="auto" w:sz="6" w:space="0"/>
              <w:tl2br w:val="nil"/>
              <w:tr2bl w:val="nil"/>
            </w:tcBorders>
            <w:noWrap/>
            <w:vAlign w:val="center"/>
          </w:tcPr>
          <w:p w14:paraId="22220B12">
            <w:pPr>
              <w:pStyle w:val="25"/>
              <w:spacing w:beforeLines="0" w:afterLines="0"/>
              <w:rPr>
                <w:rFonts w:hint="eastAsia" w:ascii="仿宋" w:hAnsi="仿宋" w:eastAsia="仿宋" w:cs="仿宋"/>
                <w:color w:val="auto"/>
                <w:sz w:val="24"/>
                <w:szCs w:val="24"/>
                <w:highlight w:val="none"/>
              </w:rPr>
            </w:pPr>
          </w:p>
        </w:tc>
        <w:tc>
          <w:tcPr>
            <w:tcW w:w="619" w:type="dxa"/>
            <w:tcBorders>
              <w:top w:val="single" w:color="auto" w:sz="6" w:space="0"/>
              <w:left w:val="single" w:color="auto" w:sz="6" w:space="0"/>
              <w:bottom w:val="single" w:color="auto" w:sz="6" w:space="0"/>
              <w:right w:val="single" w:color="auto" w:sz="12" w:space="0"/>
              <w:tl2br w:val="nil"/>
              <w:tr2bl w:val="nil"/>
            </w:tcBorders>
            <w:noWrap/>
            <w:vAlign w:val="center"/>
          </w:tcPr>
          <w:p w14:paraId="709BE84C">
            <w:pPr>
              <w:pStyle w:val="25"/>
              <w:spacing w:beforeLines="0" w:afterLines="0"/>
              <w:rPr>
                <w:rFonts w:hint="eastAsia" w:ascii="仿宋" w:hAnsi="仿宋" w:eastAsia="仿宋" w:cs="仿宋"/>
                <w:color w:val="auto"/>
                <w:sz w:val="24"/>
                <w:szCs w:val="24"/>
                <w:highlight w:val="none"/>
              </w:rPr>
            </w:pPr>
          </w:p>
        </w:tc>
      </w:tr>
      <w:tr w14:paraId="5CE73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482" w:type="dxa"/>
            <w:tcBorders>
              <w:top w:val="single" w:color="auto" w:sz="6" w:space="0"/>
              <w:left w:val="single" w:color="auto" w:sz="12" w:space="0"/>
              <w:bottom w:val="single" w:color="auto" w:sz="6" w:space="0"/>
              <w:right w:val="single" w:color="auto" w:sz="6" w:space="0"/>
              <w:tl2br w:val="nil"/>
              <w:tr2bl w:val="nil"/>
            </w:tcBorders>
            <w:noWrap/>
            <w:vAlign w:val="center"/>
          </w:tcPr>
          <w:p w14:paraId="086FE8EF">
            <w:pPr>
              <w:pStyle w:val="25"/>
              <w:spacing w:beforeLines="0" w:afterLines="0"/>
              <w:rPr>
                <w:rFonts w:hint="eastAsia" w:ascii="仿宋" w:hAnsi="仿宋" w:eastAsia="仿宋" w:cs="仿宋"/>
                <w:color w:val="auto"/>
                <w:sz w:val="24"/>
                <w:szCs w:val="24"/>
                <w:highlight w:val="none"/>
              </w:rPr>
            </w:pPr>
          </w:p>
        </w:tc>
        <w:tc>
          <w:tcPr>
            <w:tcW w:w="1018" w:type="dxa"/>
            <w:tcBorders>
              <w:top w:val="single" w:color="auto" w:sz="6" w:space="0"/>
              <w:left w:val="single" w:color="auto" w:sz="6" w:space="0"/>
              <w:bottom w:val="single" w:color="auto" w:sz="6" w:space="0"/>
              <w:right w:val="single" w:color="auto" w:sz="6" w:space="0"/>
              <w:tl2br w:val="nil"/>
              <w:tr2bl w:val="nil"/>
            </w:tcBorders>
            <w:noWrap/>
            <w:vAlign w:val="center"/>
          </w:tcPr>
          <w:p w14:paraId="689DD704">
            <w:pPr>
              <w:pStyle w:val="25"/>
              <w:spacing w:beforeLines="0" w:afterLines="0"/>
              <w:rPr>
                <w:rFonts w:hint="eastAsia" w:ascii="仿宋" w:hAnsi="仿宋" w:eastAsia="仿宋" w:cs="仿宋"/>
                <w:color w:val="auto"/>
                <w:sz w:val="24"/>
                <w:szCs w:val="24"/>
                <w:highlight w:val="none"/>
              </w:rPr>
            </w:pPr>
          </w:p>
        </w:tc>
        <w:tc>
          <w:tcPr>
            <w:tcW w:w="984" w:type="dxa"/>
            <w:tcBorders>
              <w:top w:val="single" w:color="auto" w:sz="6" w:space="0"/>
              <w:left w:val="single" w:color="auto" w:sz="6" w:space="0"/>
              <w:bottom w:val="single" w:color="auto" w:sz="6" w:space="0"/>
              <w:right w:val="single" w:color="auto" w:sz="6" w:space="0"/>
              <w:tl2br w:val="nil"/>
              <w:tr2bl w:val="nil"/>
            </w:tcBorders>
            <w:noWrap/>
            <w:vAlign w:val="center"/>
          </w:tcPr>
          <w:p w14:paraId="60B0C447">
            <w:pPr>
              <w:pStyle w:val="25"/>
              <w:spacing w:beforeLines="0" w:afterLines="0"/>
              <w:rPr>
                <w:rFonts w:hint="eastAsia" w:ascii="仿宋" w:hAnsi="仿宋" w:eastAsia="仿宋" w:cs="仿宋"/>
                <w:color w:val="auto"/>
                <w:sz w:val="24"/>
                <w:szCs w:val="24"/>
                <w:highlight w:val="none"/>
              </w:rPr>
            </w:pPr>
          </w:p>
        </w:tc>
        <w:tc>
          <w:tcPr>
            <w:tcW w:w="495" w:type="dxa"/>
            <w:tcBorders>
              <w:top w:val="single" w:color="auto" w:sz="6" w:space="0"/>
              <w:left w:val="single" w:color="auto" w:sz="6" w:space="0"/>
              <w:bottom w:val="single" w:color="auto" w:sz="6" w:space="0"/>
              <w:right w:val="single" w:color="auto" w:sz="6" w:space="0"/>
              <w:tl2br w:val="nil"/>
              <w:tr2bl w:val="nil"/>
            </w:tcBorders>
            <w:noWrap/>
            <w:vAlign w:val="center"/>
          </w:tcPr>
          <w:p w14:paraId="286FFD7B">
            <w:pPr>
              <w:pStyle w:val="25"/>
              <w:spacing w:beforeLines="0" w:afterLines="0"/>
              <w:rPr>
                <w:rFonts w:hint="eastAsia" w:ascii="仿宋" w:hAnsi="仿宋" w:eastAsia="仿宋" w:cs="仿宋"/>
                <w:color w:val="auto"/>
                <w:sz w:val="24"/>
                <w:szCs w:val="24"/>
                <w:highlight w:val="none"/>
              </w:rPr>
            </w:pPr>
          </w:p>
        </w:tc>
        <w:tc>
          <w:tcPr>
            <w:tcW w:w="599" w:type="dxa"/>
            <w:tcBorders>
              <w:top w:val="single" w:color="auto" w:sz="6" w:space="0"/>
              <w:left w:val="single" w:color="auto" w:sz="6" w:space="0"/>
              <w:bottom w:val="single" w:color="auto" w:sz="6" w:space="0"/>
              <w:right w:val="single" w:color="auto" w:sz="6" w:space="0"/>
              <w:tl2br w:val="nil"/>
              <w:tr2bl w:val="nil"/>
            </w:tcBorders>
            <w:noWrap/>
            <w:vAlign w:val="center"/>
          </w:tcPr>
          <w:p w14:paraId="6BDB983C">
            <w:pPr>
              <w:pStyle w:val="25"/>
              <w:spacing w:beforeLines="0" w:afterLines="0"/>
              <w:rPr>
                <w:rFonts w:hint="eastAsia" w:ascii="仿宋" w:hAnsi="仿宋" w:eastAsia="仿宋" w:cs="仿宋"/>
                <w:color w:val="auto"/>
                <w:sz w:val="24"/>
                <w:szCs w:val="24"/>
                <w:highlight w:val="none"/>
              </w:rPr>
            </w:pPr>
          </w:p>
        </w:tc>
        <w:tc>
          <w:tcPr>
            <w:tcW w:w="867" w:type="dxa"/>
            <w:tcBorders>
              <w:top w:val="single" w:color="auto" w:sz="6" w:space="0"/>
              <w:left w:val="single" w:color="auto" w:sz="6" w:space="0"/>
              <w:bottom w:val="single" w:color="auto" w:sz="6" w:space="0"/>
              <w:right w:val="single" w:color="auto" w:sz="6" w:space="0"/>
              <w:tl2br w:val="nil"/>
              <w:tr2bl w:val="nil"/>
            </w:tcBorders>
            <w:noWrap/>
            <w:vAlign w:val="top"/>
          </w:tcPr>
          <w:p w14:paraId="756E47FF">
            <w:pPr>
              <w:pStyle w:val="25"/>
              <w:spacing w:beforeLines="0" w:afterLines="0"/>
              <w:rPr>
                <w:rFonts w:hint="eastAsia" w:ascii="仿宋" w:hAnsi="仿宋" w:eastAsia="仿宋" w:cs="仿宋"/>
                <w:color w:val="auto"/>
                <w:sz w:val="24"/>
                <w:szCs w:val="24"/>
                <w:highlight w:val="none"/>
              </w:rPr>
            </w:pPr>
          </w:p>
        </w:tc>
        <w:tc>
          <w:tcPr>
            <w:tcW w:w="991" w:type="dxa"/>
            <w:tcBorders>
              <w:top w:val="single" w:color="auto" w:sz="6" w:space="0"/>
              <w:left w:val="single" w:color="auto" w:sz="6" w:space="0"/>
              <w:bottom w:val="single" w:color="auto" w:sz="6" w:space="0"/>
              <w:right w:val="single" w:color="auto" w:sz="6" w:space="0"/>
              <w:tl2br w:val="nil"/>
              <w:tr2bl w:val="nil"/>
            </w:tcBorders>
            <w:noWrap/>
            <w:vAlign w:val="center"/>
          </w:tcPr>
          <w:p w14:paraId="450EE9C9">
            <w:pPr>
              <w:pStyle w:val="25"/>
              <w:spacing w:beforeLines="0" w:afterLines="0"/>
              <w:rPr>
                <w:rFonts w:hint="eastAsia" w:ascii="仿宋" w:hAnsi="仿宋" w:eastAsia="仿宋" w:cs="仿宋"/>
                <w:color w:val="auto"/>
                <w:sz w:val="24"/>
                <w:szCs w:val="24"/>
                <w:highlight w:val="none"/>
              </w:rPr>
            </w:pPr>
          </w:p>
        </w:tc>
        <w:tc>
          <w:tcPr>
            <w:tcW w:w="991" w:type="dxa"/>
            <w:tcBorders>
              <w:top w:val="single" w:color="auto" w:sz="6" w:space="0"/>
              <w:left w:val="single" w:color="auto" w:sz="6" w:space="0"/>
              <w:bottom w:val="single" w:color="auto" w:sz="6" w:space="0"/>
              <w:right w:val="single" w:color="auto" w:sz="6" w:space="0"/>
              <w:tl2br w:val="nil"/>
              <w:tr2bl w:val="nil"/>
            </w:tcBorders>
            <w:noWrap/>
            <w:vAlign w:val="center"/>
          </w:tcPr>
          <w:p w14:paraId="6CE8DBF2">
            <w:pPr>
              <w:pStyle w:val="25"/>
              <w:spacing w:beforeLines="0" w:afterLines="0"/>
              <w:rPr>
                <w:rFonts w:hint="eastAsia" w:ascii="仿宋" w:hAnsi="仿宋" w:eastAsia="仿宋" w:cs="仿宋"/>
                <w:color w:val="auto"/>
                <w:sz w:val="24"/>
                <w:szCs w:val="24"/>
                <w:highlight w:val="none"/>
              </w:rPr>
            </w:pPr>
          </w:p>
        </w:tc>
        <w:tc>
          <w:tcPr>
            <w:tcW w:w="991" w:type="dxa"/>
            <w:tcBorders>
              <w:top w:val="single" w:color="auto" w:sz="6" w:space="0"/>
              <w:left w:val="single" w:color="auto" w:sz="6" w:space="0"/>
              <w:bottom w:val="single" w:color="auto" w:sz="6" w:space="0"/>
              <w:right w:val="single" w:color="auto" w:sz="6" w:space="0"/>
              <w:tl2br w:val="nil"/>
              <w:tr2bl w:val="nil"/>
            </w:tcBorders>
            <w:noWrap/>
            <w:vAlign w:val="center"/>
          </w:tcPr>
          <w:p w14:paraId="0EB8FD73">
            <w:pPr>
              <w:pStyle w:val="25"/>
              <w:spacing w:beforeLines="0" w:afterLines="0"/>
              <w:rPr>
                <w:rFonts w:hint="eastAsia" w:ascii="仿宋" w:hAnsi="仿宋" w:eastAsia="仿宋" w:cs="仿宋"/>
                <w:color w:val="auto"/>
                <w:sz w:val="24"/>
                <w:szCs w:val="24"/>
                <w:highlight w:val="none"/>
              </w:rPr>
            </w:pPr>
          </w:p>
        </w:tc>
        <w:tc>
          <w:tcPr>
            <w:tcW w:w="619" w:type="dxa"/>
            <w:tcBorders>
              <w:top w:val="single" w:color="auto" w:sz="6" w:space="0"/>
              <w:left w:val="single" w:color="auto" w:sz="6" w:space="0"/>
              <w:bottom w:val="single" w:color="auto" w:sz="6" w:space="0"/>
              <w:right w:val="single" w:color="auto" w:sz="12" w:space="0"/>
              <w:tl2br w:val="nil"/>
              <w:tr2bl w:val="nil"/>
            </w:tcBorders>
            <w:noWrap/>
            <w:vAlign w:val="center"/>
          </w:tcPr>
          <w:p w14:paraId="5155F92C">
            <w:pPr>
              <w:pStyle w:val="25"/>
              <w:spacing w:beforeLines="0" w:afterLines="0"/>
              <w:rPr>
                <w:rFonts w:hint="eastAsia" w:ascii="仿宋" w:hAnsi="仿宋" w:eastAsia="仿宋" w:cs="仿宋"/>
                <w:color w:val="auto"/>
                <w:sz w:val="24"/>
                <w:szCs w:val="24"/>
                <w:highlight w:val="none"/>
              </w:rPr>
            </w:pPr>
          </w:p>
        </w:tc>
      </w:tr>
    </w:tbl>
    <w:p w14:paraId="0843F2FC">
      <w:pPr>
        <w:pStyle w:val="843"/>
        <w:spacing w:beforeLines="0" w:afterLines="0"/>
        <w:rPr>
          <w:rFonts w:hint="eastAsia" w:ascii="仿宋" w:hAnsi="仿宋" w:eastAsia="仿宋" w:cs="仿宋"/>
          <w:color w:val="auto"/>
          <w:sz w:val="24"/>
          <w:szCs w:val="24"/>
          <w:highlight w:val="none"/>
        </w:rPr>
      </w:pPr>
    </w:p>
    <w:p w14:paraId="73D9BB37">
      <w:pPr>
        <w:pStyle w:val="843"/>
        <w:spacing w:beforeLines="0" w:afterLines="0"/>
        <w:rPr>
          <w:rFonts w:hint="eastAsia" w:ascii="仿宋" w:hAnsi="仿宋" w:eastAsia="仿宋" w:cs="仿宋"/>
          <w:color w:val="auto"/>
          <w:sz w:val="24"/>
          <w:szCs w:val="24"/>
          <w:highlight w:val="none"/>
        </w:rPr>
      </w:pPr>
    </w:p>
    <w:p w14:paraId="56E20B6C">
      <w:pPr>
        <w:pStyle w:val="843"/>
        <w:spacing w:beforeLines="0" w:afterLines="0"/>
        <w:rPr>
          <w:rFonts w:hint="eastAsia" w:ascii="仿宋" w:hAnsi="仿宋" w:eastAsia="仿宋" w:cs="仿宋"/>
          <w:color w:val="auto"/>
          <w:sz w:val="24"/>
          <w:szCs w:val="24"/>
          <w:highlight w:val="none"/>
        </w:rPr>
      </w:pPr>
    </w:p>
    <w:p w14:paraId="2294B0FA">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82B9EED">
      <w:pPr>
        <w:pStyle w:val="977"/>
        <w:spacing w:beforeLines="0" w:afterLines="0"/>
        <w:ind w:lef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附件3 工程质量保修书</w:t>
      </w:r>
    </w:p>
    <w:p w14:paraId="0E8E5B63">
      <w:pPr>
        <w:pStyle w:val="843"/>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rPr>
        <w:t xml:space="preserve">                                  </w:t>
      </w:r>
    </w:p>
    <w:p w14:paraId="4809D4D1">
      <w:pPr>
        <w:pStyle w:val="843"/>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rPr>
        <w:t xml:space="preserve">                                  </w:t>
      </w:r>
    </w:p>
    <w:p w14:paraId="7C6DD42A">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发包人和承包人根据《中华人民共和国建筑法》和《建设工程质量管理条例》，经协商一致就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（工程全称）订立工程质量保修书。</w:t>
      </w:r>
    </w:p>
    <w:p w14:paraId="30E2F566">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一、工程质量保修范围和内容</w:t>
      </w:r>
    </w:p>
    <w:p w14:paraId="00AD41BC">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承包人在质量保修期内，按照有关法律规定和合同约定，承担工程质量保修责任。</w:t>
      </w:r>
    </w:p>
    <w:p w14:paraId="16800F17">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auto"/>
          <w:sz w:val="24"/>
          <w:szCs w:val="24"/>
          <w:highlight w:val="none"/>
          <w:u w:val="single"/>
        </w:rPr>
        <w:t xml:space="preserve">    由承包人修复负责施工的全部内容  </w:t>
      </w:r>
      <w:r>
        <w:rPr>
          <w:rFonts w:hint="eastAsia" w:ascii="仿宋" w:hAnsi="仿宋" w:eastAsia="仿宋" w:cs="仿宋"/>
          <w:color w:val="auto"/>
          <w:sz w:val="24"/>
          <w:szCs w:val="24"/>
          <w:highlight w:val="none"/>
        </w:rPr>
        <w:t>。</w:t>
      </w:r>
    </w:p>
    <w:p w14:paraId="11839628">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二、质量保修期</w:t>
      </w:r>
    </w:p>
    <w:p w14:paraId="00337AEC">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根据《建设工程质量管理条例》及有关规定，工程的质量保修期如下：</w:t>
      </w:r>
    </w:p>
    <w:p w14:paraId="1C542E3B">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1．地基基础工程和主体结构工程为设计文件规定的工程合理使用年限；</w:t>
      </w:r>
    </w:p>
    <w:p w14:paraId="33A330E5">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2．屋面防水工程、有防水要求的卫生间、房间和外墙面的防渗为</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年；</w:t>
      </w:r>
    </w:p>
    <w:p w14:paraId="6C3D0C93">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3．装修工程为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w:t>
      </w:r>
    </w:p>
    <w:p w14:paraId="1DD1B609">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4．电气管线、给排水管道、设备安装工程为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w:t>
      </w:r>
    </w:p>
    <w:p w14:paraId="687ADFEA">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5．供热与供冷系统为</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个采暖期、供冷期；</w:t>
      </w:r>
    </w:p>
    <w:p w14:paraId="480FB5AF">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6．住宅小区内的给排水设施、道路等配套工程为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w:t>
      </w:r>
    </w:p>
    <w:p w14:paraId="64E80113">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7．其他项目保修期限约定如下：</w:t>
      </w:r>
      <w:r>
        <w:rPr>
          <w:rFonts w:hint="eastAsia" w:ascii="仿宋" w:hAnsi="仿宋" w:eastAsia="仿宋" w:cs="仿宋"/>
          <w:color w:val="auto"/>
          <w:sz w:val="24"/>
          <w:szCs w:val="24"/>
          <w:highlight w:val="none"/>
          <w:u w:val="single"/>
        </w:rPr>
        <w:t xml:space="preserve">    本工程保修期为2年    </w:t>
      </w:r>
      <w:r>
        <w:rPr>
          <w:rFonts w:hint="eastAsia" w:ascii="仿宋" w:hAnsi="仿宋" w:eastAsia="仿宋" w:cs="仿宋"/>
          <w:color w:val="auto"/>
          <w:sz w:val="24"/>
          <w:szCs w:val="24"/>
          <w:highlight w:val="none"/>
        </w:rPr>
        <w:t>。</w:t>
      </w:r>
    </w:p>
    <w:p w14:paraId="66E77BBC">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质量保修期自工程竣工验收合格之日起计算。</w:t>
      </w:r>
    </w:p>
    <w:p w14:paraId="4FCCA92E">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三、缺陷责任期</w:t>
      </w:r>
    </w:p>
    <w:p w14:paraId="1D3D9225">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工程缺陷责任期为</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个月，缺陷责任期自工程通过竣工验收之日起计算。</w:t>
      </w:r>
    </w:p>
    <w:p w14:paraId="762C1BDE">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四、质量保修责任</w:t>
      </w:r>
    </w:p>
    <w:p w14:paraId="1B00493D">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1．属于保修范围、内容的项目，承包人应当在接到保修通知之日起7天内派人保修。承包人不在约定期限内派人保修的，发包人可以委托他人修理。</w:t>
      </w:r>
    </w:p>
    <w:p w14:paraId="3DE2D0C9">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2．发生紧急事故需抢修的，承包人在接到事故通知后，应当立即到达事故现场抢修。</w:t>
      </w:r>
    </w:p>
    <w:p w14:paraId="5397710E">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5F240A08">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4．质量保修完成后，由发包人组织验收。</w:t>
      </w:r>
    </w:p>
    <w:p w14:paraId="488963AE">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五、保修费用</w:t>
      </w:r>
    </w:p>
    <w:p w14:paraId="6ADBED07">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保修费用由造成质量缺陷的责任方承担。</w:t>
      </w:r>
    </w:p>
    <w:p w14:paraId="536BA7F2">
      <w:pPr>
        <w:pStyle w:val="843"/>
        <w:spacing w:beforeLines="0" w:afterLines="0"/>
        <w:ind w:firstLine="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六、双方约定的其他工程质量保修事项：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751E295">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工程质量保修书由发包人、承包人在工程竣工验收前共同签署，作为工程总承包合同附件，其有效期限至保修期满。</w:t>
      </w:r>
    </w:p>
    <w:p w14:paraId="546D05E7">
      <w:pPr>
        <w:pStyle w:val="843"/>
        <w:spacing w:beforeLines="0" w:afterLines="0"/>
        <w:ind w:firstLine="600"/>
        <w:rPr>
          <w:rFonts w:hint="eastAsia" w:ascii="仿宋" w:hAnsi="仿宋" w:eastAsia="仿宋" w:cs="仿宋"/>
          <w:color w:val="auto"/>
          <w:sz w:val="24"/>
          <w:szCs w:val="24"/>
          <w:highlight w:val="none"/>
        </w:rPr>
      </w:pPr>
    </w:p>
    <w:p w14:paraId="34DCD3F7">
      <w:pPr>
        <w:pStyle w:val="843"/>
        <w:spacing w:beforeLines="0" w:afterLines="0"/>
        <w:rPr>
          <w:rFonts w:hint="eastAsia" w:ascii="仿宋" w:hAnsi="仿宋" w:eastAsia="仿宋" w:cs="仿宋"/>
          <w:color w:val="auto"/>
          <w:sz w:val="24"/>
          <w:szCs w:val="24"/>
          <w:highlight w:val="none"/>
        </w:rPr>
      </w:pPr>
    </w:p>
    <w:p w14:paraId="4188CBD0">
      <w:pPr>
        <w:pStyle w:val="843"/>
        <w:spacing w:beforeLines="0" w:afterLines="0"/>
        <w:rPr>
          <w:rFonts w:hint="eastAsia" w:ascii="仿宋" w:hAnsi="仿宋" w:eastAsia="仿宋" w:cs="仿宋"/>
          <w:color w:val="auto"/>
          <w:sz w:val="24"/>
          <w:szCs w:val="24"/>
          <w:highlight w:val="none"/>
        </w:rPr>
      </w:pPr>
    </w:p>
    <w:p w14:paraId="31863BC4">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发包人(公章)：               承包人(公章)：          </w:t>
      </w:r>
    </w:p>
    <w:p w14:paraId="7B5D2A4F">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                     地  址：       </w:t>
      </w:r>
    </w:p>
    <w:p w14:paraId="318E4CD9">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法定代表人(签字)：       </w:t>
      </w:r>
    </w:p>
    <w:p w14:paraId="11153AE5">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委托代理人(签字)：           委托代理人(签字)：       </w:t>
      </w:r>
    </w:p>
    <w:p w14:paraId="727D5718">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42BB1DF7">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  真：                     传  真：  </w:t>
      </w:r>
    </w:p>
    <w:p w14:paraId="55B565BA">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20D04BA9">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  号：                     账  号： </w:t>
      </w:r>
    </w:p>
    <w:p w14:paraId="493AB15B">
      <w:pPr>
        <w:pStyle w:val="843"/>
        <w:spacing w:beforeLines="0" w:afterLines="0"/>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邮政编码：                   邮政编码：   </w:t>
      </w:r>
    </w:p>
    <w:p w14:paraId="6471470A">
      <w:pPr>
        <w:pStyle w:val="843"/>
        <w:spacing w:beforeLines="0" w:afterLines="0"/>
        <w:ind w:firstLine="600"/>
        <w:rPr>
          <w:rFonts w:hint="eastAsia" w:ascii="仿宋" w:hAnsi="仿宋" w:eastAsia="仿宋" w:cs="仿宋"/>
          <w:color w:val="auto"/>
          <w:sz w:val="24"/>
          <w:szCs w:val="24"/>
          <w:highlight w:val="none"/>
        </w:rPr>
      </w:pPr>
    </w:p>
    <w:p w14:paraId="1887F0AC">
      <w:pPr>
        <w:pStyle w:val="843"/>
        <w:spacing w:beforeLines="0" w:afterLines="0"/>
        <w:ind w:firstLine="600"/>
        <w:rPr>
          <w:rFonts w:hint="eastAsia" w:ascii="仿宋" w:hAnsi="仿宋" w:eastAsia="仿宋" w:cs="仿宋"/>
          <w:color w:val="auto"/>
          <w:sz w:val="24"/>
          <w:szCs w:val="24"/>
          <w:highlight w:val="none"/>
        </w:rPr>
      </w:pPr>
    </w:p>
    <w:p w14:paraId="0CBAEB83">
      <w:pPr>
        <w:pStyle w:val="843"/>
        <w:spacing w:beforeLines="0" w:afterLines="0"/>
        <w:rPr>
          <w:rFonts w:hint="eastAsia" w:ascii="仿宋" w:hAnsi="仿宋" w:eastAsia="仿宋" w:cs="仿宋"/>
          <w:color w:val="auto"/>
          <w:sz w:val="24"/>
          <w:szCs w:val="24"/>
          <w:highlight w:val="none"/>
        </w:rPr>
      </w:pPr>
    </w:p>
    <w:p w14:paraId="3DBA22DD">
      <w:pPr>
        <w:pStyle w:val="977"/>
        <w:spacing w:beforeLines="0" w:afterLines="0"/>
        <w:ind w:left="0"/>
        <w:jc w:val="both"/>
        <w:rPr>
          <w:rFonts w:hint="eastAsia" w:ascii="仿宋" w:hAnsi="仿宋" w:eastAsia="仿宋" w:cs="仿宋"/>
          <w:color w:val="auto"/>
          <w:sz w:val="24"/>
          <w:szCs w:val="24"/>
          <w:highlight w:val="none"/>
        </w:rPr>
      </w:pPr>
    </w:p>
    <w:p w14:paraId="63A33BF8">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C8BB5AB">
      <w:pPr>
        <w:pStyle w:val="977"/>
        <w:spacing w:beforeLines="0" w:afterLines="0"/>
        <w:ind w:lef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附件4 主要建设工程文件目录</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1"/>
        <w:gridCol w:w="1171"/>
        <w:gridCol w:w="1331"/>
        <w:gridCol w:w="1141"/>
        <w:gridCol w:w="1331"/>
        <w:gridCol w:w="1533"/>
      </w:tblGrid>
      <w:tr w14:paraId="5CB7E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5" w:hRule="atLeast"/>
          <w:jc w:val="center"/>
        </w:trPr>
        <w:tc>
          <w:tcPr>
            <w:tcW w:w="1951" w:type="dxa"/>
            <w:tcBorders>
              <w:top w:val="single" w:color="auto" w:sz="12" w:space="0"/>
              <w:left w:val="single" w:color="auto" w:sz="12" w:space="0"/>
              <w:bottom w:val="double" w:color="auto" w:sz="6" w:space="0"/>
              <w:right w:val="single" w:color="auto" w:sz="6" w:space="0"/>
              <w:tl2br w:val="nil"/>
              <w:tr2bl w:val="nil"/>
            </w:tcBorders>
            <w:noWrap/>
            <w:vAlign w:val="center"/>
          </w:tcPr>
          <w:p w14:paraId="5E1A9772">
            <w:pPr>
              <w:pStyle w:val="25"/>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文件名称</w:t>
            </w:r>
          </w:p>
        </w:tc>
        <w:tc>
          <w:tcPr>
            <w:tcW w:w="1171" w:type="dxa"/>
            <w:tcBorders>
              <w:top w:val="single" w:color="auto" w:sz="12" w:space="0"/>
              <w:left w:val="single" w:color="auto" w:sz="6" w:space="0"/>
              <w:bottom w:val="double" w:color="auto" w:sz="6" w:space="0"/>
              <w:right w:val="single" w:color="auto" w:sz="6" w:space="0"/>
              <w:tl2br w:val="nil"/>
              <w:tr2bl w:val="nil"/>
            </w:tcBorders>
            <w:noWrap/>
            <w:vAlign w:val="center"/>
          </w:tcPr>
          <w:p w14:paraId="063CBA17">
            <w:pPr>
              <w:pStyle w:val="25"/>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套数</w:t>
            </w:r>
          </w:p>
        </w:tc>
        <w:tc>
          <w:tcPr>
            <w:tcW w:w="1331" w:type="dxa"/>
            <w:tcBorders>
              <w:top w:val="single" w:color="auto" w:sz="12" w:space="0"/>
              <w:left w:val="single" w:color="auto" w:sz="6" w:space="0"/>
              <w:bottom w:val="double" w:color="auto" w:sz="6" w:space="0"/>
              <w:right w:val="single" w:color="auto" w:sz="6" w:space="0"/>
              <w:tl2br w:val="nil"/>
              <w:tr2bl w:val="nil"/>
            </w:tcBorders>
            <w:noWrap/>
            <w:vAlign w:val="center"/>
          </w:tcPr>
          <w:p w14:paraId="3D0E073F">
            <w:pPr>
              <w:pStyle w:val="25"/>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费用（元）</w:t>
            </w:r>
          </w:p>
        </w:tc>
        <w:tc>
          <w:tcPr>
            <w:tcW w:w="1141" w:type="dxa"/>
            <w:tcBorders>
              <w:top w:val="single" w:color="auto" w:sz="12" w:space="0"/>
              <w:left w:val="single" w:color="auto" w:sz="6" w:space="0"/>
              <w:bottom w:val="double" w:color="auto" w:sz="6" w:space="0"/>
              <w:right w:val="single" w:color="auto" w:sz="6" w:space="0"/>
              <w:tl2br w:val="nil"/>
              <w:tr2bl w:val="nil"/>
            </w:tcBorders>
            <w:noWrap/>
            <w:vAlign w:val="center"/>
          </w:tcPr>
          <w:p w14:paraId="0CAE071E">
            <w:pPr>
              <w:pStyle w:val="25"/>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w:t>
            </w:r>
          </w:p>
        </w:tc>
        <w:tc>
          <w:tcPr>
            <w:tcW w:w="1331" w:type="dxa"/>
            <w:tcBorders>
              <w:top w:val="single" w:color="auto" w:sz="12" w:space="0"/>
              <w:left w:val="single" w:color="auto" w:sz="6" w:space="0"/>
              <w:bottom w:val="double" w:color="auto" w:sz="6" w:space="0"/>
              <w:right w:val="single" w:color="auto" w:sz="6" w:space="0"/>
              <w:tl2br w:val="nil"/>
              <w:tr2bl w:val="nil"/>
            </w:tcBorders>
            <w:noWrap/>
            <w:vAlign w:val="top"/>
          </w:tcPr>
          <w:p w14:paraId="5A27D813">
            <w:pPr>
              <w:pStyle w:val="843"/>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移交时间</w:t>
            </w:r>
          </w:p>
        </w:tc>
        <w:tc>
          <w:tcPr>
            <w:tcW w:w="1533" w:type="dxa"/>
            <w:tcBorders>
              <w:top w:val="single" w:color="auto" w:sz="12" w:space="0"/>
              <w:left w:val="single" w:color="auto" w:sz="6" w:space="0"/>
              <w:bottom w:val="double" w:color="auto" w:sz="6" w:space="0"/>
              <w:right w:val="single" w:color="auto" w:sz="12" w:space="0"/>
              <w:tl2br w:val="nil"/>
              <w:tr2bl w:val="nil"/>
            </w:tcBorders>
            <w:noWrap/>
            <w:vAlign w:val="top"/>
          </w:tcPr>
          <w:p w14:paraId="7C2519AC">
            <w:pPr>
              <w:pStyle w:val="843"/>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责任人</w:t>
            </w:r>
          </w:p>
        </w:tc>
      </w:tr>
      <w:tr w14:paraId="2301E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1951" w:type="dxa"/>
            <w:tcBorders>
              <w:top w:val="double" w:color="auto" w:sz="6" w:space="0"/>
              <w:left w:val="single" w:color="auto" w:sz="12" w:space="0"/>
              <w:bottom w:val="single" w:color="auto" w:sz="6" w:space="0"/>
              <w:right w:val="single" w:color="auto" w:sz="6" w:space="0"/>
              <w:tl2br w:val="nil"/>
              <w:tr2bl w:val="nil"/>
            </w:tcBorders>
            <w:noWrap/>
            <w:vAlign w:val="center"/>
          </w:tcPr>
          <w:p w14:paraId="7E9539D4">
            <w:pPr>
              <w:pStyle w:val="25"/>
              <w:spacing w:beforeLines="0" w:afterLines="0"/>
              <w:rPr>
                <w:rFonts w:hint="eastAsia" w:ascii="仿宋" w:hAnsi="仿宋" w:eastAsia="仿宋" w:cs="仿宋"/>
                <w:color w:val="auto"/>
                <w:sz w:val="24"/>
                <w:szCs w:val="24"/>
                <w:highlight w:val="none"/>
              </w:rPr>
            </w:pPr>
          </w:p>
        </w:tc>
        <w:tc>
          <w:tcPr>
            <w:tcW w:w="1171" w:type="dxa"/>
            <w:tcBorders>
              <w:top w:val="double" w:color="auto" w:sz="6" w:space="0"/>
              <w:left w:val="single" w:color="auto" w:sz="6" w:space="0"/>
              <w:bottom w:val="single" w:color="auto" w:sz="6" w:space="0"/>
              <w:right w:val="single" w:color="auto" w:sz="6" w:space="0"/>
              <w:tl2br w:val="nil"/>
              <w:tr2bl w:val="nil"/>
            </w:tcBorders>
            <w:noWrap/>
            <w:vAlign w:val="center"/>
          </w:tcPr>
          <w:p w14:paraId="03A4E3E3">
            <w:pPr>
              <w:pStyle w:val="25"/>
              <w:spacing w:beforeLines="0" w:afterLines="0"/>
              <w:rPr>
                <w:rFonts w:hint="eastAsia" w:ascii="仿宋" w:hAnsi="仿宋" w:eastAsia="仿宋" w:cs="仿宋"/>
                <w:color w:val="auto"/>
                <w:sz w:val="24"/>
                <w:szCs w:val="24"/>
                <w:highlight w:val="none"/>
              </w:rPr>
            </w:pPr>
          </w:p>
        </w:tc>
        <w:tc>
          <w:tcPr>
            <w:tcW w:w="1331" w:type="dxa"/>
            <w:tcBorders>
              <w:top w:val="double" w:color="auto" w:sz="6" w:space="0"/>
              <w:left w:val="single" w:color="auto" w:sz="6" w:space="0"/>
              <w:bottom w:val="single" w:color="auto" w:sz="6" w:space="0"/>
              <w:right w:val="single" w:color="auto" w:sz="6" w:space="0"/>
              <w:tl2br w:val="nil"/>
              <w:tr2bl w:val="nil"/>
            </w:tcBorders>
            <w:noWrap/>
            <w:vAlign w:val="center"/>
          </w:tcPr>
          <w:p w14:paraId="04AACC09">
            <w:pPr>
              <w:pStyle w:val="25"/>
              <w:spacing w:beforeLines="0" w:afterLines="0"/>
              <w:rPr>
                <w:rFonts w:hint="eastAsia" w:ascii="仿宋" w:hAnsi="仿宋" w:eastAsia="仿宋" w:cs="仿宋"/>
                <w:color w:val="auto"/>
                <w:sz w:val="24"/>
                <w:szCs w:val="24"/>
                <w:highlight w:val="none"/>
              </w:rPr>
            </w:pPr>
          </w:p>
        </w:tc>
        <w:tc>
          <w:tcPr>
            <w:tcW w:w="1141" w:type="dxa"/>
            <w:tcBorders>
              <w:top w:val="double" w:color="auto" w:sz="6" w:space="0"/>
              <w:left w:val="single" w:color="auto" w:sz="6" w:space="0"/>
              <w:bottom w:val="single" w:color="auto" w:sz="6" w:space="0"/>
              <w:right w:val="single" w:color="auto" w:sz="6" w:space="0"/>
              <w:tl2br w:val="nil"/>
              <w:tr2bl w:val="nil"/>
            </w:tcBorders>
            <w:noWrap/>
            <w:vAlign w:val="center"/>
          </w:tcPr>
          <w:p w14:paraId="59946FC6">
            <w:pPr>
              <w:pStyle w:val="25"/>
              <w:spacing w:beforeLines="0" w:afterLines="0"/>
              <w:rPr>
                <w:rFonts w:hint="eastAsia" w:ascii="仿宋" w:hAnsi="仿宋" w:eastAsia="仿宋" w:cs="仿宋"/>
                <w:color w:val="auto"/>
                <w:sz w:val="24"/>
                <w:szCs w:val="24"/>
                <w:highlight w:val="none"/>
              </w:rPr>
            </w:pPr>
          </w:p>
        </w:tc>
        <w:tc>
          <w:tcPr>
            <w:tcW w:w="1331" w:type="dxa"/>
            <w:tcBorders>
              <w:top w:val="double" w:color="auto" w:sz="6" w:space="0"/>
              <w:left w:val="single" w:color="auto" w:sz="6" w:space="0"/>
              <w:bottom w:val="single" w:color="auto" w:sz="6" w:space="0"/>
              <w:right w:val="single" w:color="auto" w:sz="6" w:space="0"/>
              <w:tl2br w:val="nil"/>
              <w:tr2bl w:val="nil"/>
            </w:tcBorders>
            <w:noWrap/>
            <w:vAlign w:val="center"/>
          </w:tcPr>
          <w:p w14:paraId="7E469122">
            <w:pPr>
              <w:pStyle w:val="25"/>
              <w:spacing w:beforeLines="0" w:afterLines="0"/>
              <w:rPr>
                <w:rFonts w:hint="eastAsia" w:ascii="仿宋" w:hAnsi="仿宋" w:eastAsia="仿宋" w:cs="仿宋"/>
                <w:color w:val="auto"/>
                <w:sz w:val="24"/>
                <w:szCs w:val="24"/>
                <w:highlight w:val="none"/>
              </w:rPr>
            </w:pPr>
          </w:p>
        </w:tc>
        <w:tc>
          <w:tcPr>
            <w:tcW w:w="1533" w:type="dxa"/>
            <w:tcBorders>
              <w:top w:val="double" w:color="auto" w:sz="6" w:space="0"/>
              <w:left w:val="single" w:color="auto" w:sz="6" w:space="0"/>
              <w:bottom w:val="single" w:color="auto" w:sz="6" w:space="0"/>
              <w:right w:val="single" w:color="auto" w:sz="12" w:space="0"/>
              <w:tl2br w:val="nil"/>
              <w:tr2bl w:val="nil"/>
            </w:tcBorders>
            <w:noWrap/>
            <w:vAlign w:val="center"/>
          </w:tcPr>
          <w:p w14:paraId="6D6AC8B0">
            <w:pPr>
              <w:pStyle w:val="25"/>
              <w:spacing w:beforeLines="0" w:afterLines="0"/>
              <w:rPr>
                <w:rFonts w:hint="eastAsia" w:ascii="仿宋" w:hAnsi="仿宋" w:eastAsia="仿宋" w:cs="仿宋"/>
                <w:color w:val="auto"/>
                <w:sz w:val="24"/>
                <w:szCs w:val="24"/>
                <w:highlight w:val="none"/>
              </w:rPr>
            </w:pPr>
          </w:p>
        </w:tc>
      </w:tr>
      <w:tr w14:paraId="41BE3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jc w:val="center"/>
        </w:trPr>
        <w:tc>
          <w:tcPr>
            <w:tcW w:w="1951" w:type="dxa"/>
            <w:tcBorders>
              <w:top w:val="nil"/>
              <w:left w:val="single" w:color="auto" w:sz="12" w:space="0"/>
              <w:bottom w:val="single" w:color="auto" w:sz="6" w:space="0"/>
              <w:right w:val="single" w:color="auto" w:sz="6" w:space="0"/>
              <w:tl2br w:val="nil"/>
              <w:tr2bl w:val="nil"/>
            </w:tcBorders>
            <w:noWrap/>
            <w:vAlign w:val="center"/>
          </w:tcPr>
          <w:p w14:paraId="1AA0361D">
            <w:pPr>
              <w:pStyle w:val="25"/>
              <w:spacing w:beforeLines="0" w:afterLines="0"/>
              <w:rPr>
                <w:rFonts w:hint="eastAsia" w:ascii="仿宋" w:hAnsi="仿宋" w:eastAsia="仿宋" w:cs="仿宋"/>
                <w:color w:val="auto"/>
                <w:sz w:val="24"/>
                <w:szCs w:val="24"/>
                <w:highlight w:val="none"/>
              </w:rPr>
            </w:pPr>
          </w:p>
        </w:tc>
        <w:tc>
          <w:tcPr>
            <w:tcW w:w="1171" w:type="dxa"/>
            <w:tcBorders>
              <w:top w:val="nil"/>
              <w:left w:val="single" w:color="auto" w:sz="6" w:space="0"/>
              <w:bottom w:val="single" w:color="auto" w:sz="6" w:space="0"/>
              <w:right w:val="single" w:color="auto" w:sz="6" w:space="0"/>
              <w:tl2br w:val="nil"/>
              <w:tr2bl w:val="nil"/>
            </w:tcBorders>
            <w:noWrap/>
            <w:vAlign w:val="center"/>
          </w:tcPr>
          <w:p w14:paraId="75F5D3B7">
            <w:pPr>
              <w:pStyle w:val="25"/>
              <w:spacing w:beforeLines="0" w:afterLines="0"/>
              <w:rPr>
                <w:rFonts w:hint="eastAsia" w:ascii="仿宋" w:hAnsi="仿宋" w:eastAsia="仿宋" w:cs="仿宋"/>
                <w:color w:val="auto"/>
                <w:sz w:val="24"/>
                <w:szCs w:val="24"/>
                <w:highlight w:val="none"/>
              </w:rPr>
            </w:pPr>
          </w:p>
        </w:tc>
        <w:tc>
          <w:tcPr>
            <w:tcW w:w="1331" w:type="dxa"/>
            <w:tcBorders>
              <w:top w:val="nil"/>
              <w:left w:val="single" w:color="auto" w:sz="6" w:space="0"/>
              <w:bottom w:val="single" w:color="auto" w:sz="6" w:space="0"/>
              <w:right w:val="single" w:color="auto" w:sz="6" w:space="0"/>
              <w:tl2br w:val="nil"/>
              <w:tr2bl w:val="nil"/>
            </w:tcBorders>
            <w:noWrap/>
            <w:vAlign w:val="center"/>
          </w:tcPr>
          <w:p w14:paraId="353A604D">
            <w:pPr>
              <w:pStyle w:val="25"/>
              <w:spacing w:beforeLines="0" w:afterLines="0"/>
              <w:rPr>
                <w:rFonts w:hint="eastAsia" w:ascii="仿宋" w:hAnsi="仿宋" w:eastAsia="仿宋" w:cs="仿宋"/>
                <w:color w:val="auto"/>
                <w:sz w:val="24"/>
                <w:szCs w:val="24"/>
                <w:highlight w:val="none"/>
              </w:rPr>
            </w:pPr>
          </w:p>
        </w:tc>
        <w:tc>
          <w:tcPr>
            <w:tcW w:w="1141" w:type="dxa"/>
            <w:tcBorders>
              <w:top w:val="nil"/>
              <w:left w:val="single" w:color="auto" w:sz="6" w:space="0"/>
              <w:bottom w:val="single" w:color="auto" w:sz="6" w:space="0"/>
              <w:right w:val="single" w:color="auto" w:sz="6" w:space="0"/>
              <w:tl2br w:val="nil"/>
              <w:tr2bl w:val="nil"/>
            </w:tcBorders>
            <w:noWrap/>
            <w:vAlign w:val="center"/>
          </w:tcPr>
          <w:p w14:paraId="06EE7F5B">
            <w:pPr>
              <w:pStyle w:val="25"/>
              <w:spacing w:beforeLines="0" w:afterLines="0"/>
              <w:rPr>
                <w:rFonts w:hint="eastAsia" w:ascii="仿宋" w:hAnsi="仿宋" w:eastAsia="仿宋" w:cs="仿宋"/>
                <w:color w:val="auto"/>
                <w:sz w:val="24"/>
                <w:szCs w:val="24"/>
                <w:highlight w:val="none"/>
              </w:rPr>
            </w:pPr>
          </w:p>
        </w:tc>
        <w:tc>
          <w:tcPr>
            <w:tcW w:w="1331" w:type="dxa"/>
            <w:tcBorders>
              <w:top w:val="nil"/>
              <w:left w:val="single" w:color="auto" w:sz="6" w:space="0"/>
              <w:bottom w:val="single" w:color="auto" w:sz="6" w:space="0"/>
              <w:right w:val="single" w:color="auto" w:sz="6" w:space="0"/>
              <w:tl2br w:val="nil"/>
              <w:tr2bl w:val="nil"/>
            </w:tcBorders>
            <w:noWrap/>
            <w:vAlign w:val="center"/>
          </w:tcPr>
          <w:p w14:paraId="28C13F25">
            <w:pPr>
              <w:pStyle w:val="25"/>
              <w:spacing w:beforeLines="0" w:afterLines="0"/>
              <w:rPr>
                <w:rFonts w:hint="eastAsia" w:ascii="仿宋" w:hAnsi="仿宋" w:eastAsia="仿宋" w:cs="仿宋"/>
                <w:color w:val="auto"/>
                <w:sz w:val="24"/>
                <w:szCs w:val="24"/>
                <w:highlight w:val="none"/>
              </w:rPr>
            </w:pPr>
          </w:p>
        </w:tc>
        <w:tc>
          <w:tcPr>
            <w:tcW w:w="1533" w:type="dxa"/>
            <w:tcBorders>
              <w:top w:val="nil"/>
              <w:left w:val="single" w:color="auto" w:sz="6" w:space="0"/>
              <w:bottom w:val="single" w:color="auto" w:sz="6" w:space="0"/>
              <w:right w:val="single" w:color="auto" w:sz="12" w:space="0"/>
              <w:tl2br w:val="nil"/>
              <w:tr2bl w:val="nil"/>
            </w:tcBorders>
            <w:noWrap/>
            <w:vAlign w:val="center"/>
          </w:tcPr>
          <w:p w14:paraId="3E02AF37">
            <w:pPr>
              <w:pStyle w:val="25"/>
              <w:spacing w:beforeLines="0" w:afterLines="0"/>
              <w:rPr>
                <w:rFonts w:hint="eastAsia" w:ascii="仿宋" w:hAnsi="仿宋" w:eastAsia="仿宋" w:cs="仿宋"/>
                <w:color w:val="auto"/>
                <w:sz w:val="24"/>
                <w:szCs w:val="24"/>
                <w:highlight w:val="none"/>
              </w:rPr>
            </w:pPr>
          </w:p>
        </w:tc>
      </w:tr>
      <w:tr w14:paraId="6BBC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jc w:val="center"/>
        </w:trPr>
        <w:tc>
          <w:tcPr>
            <w:tcW w:w="1951" w:type="dxa"/>
            <w:tcBorders>
              <w:top w:val="single" w:color="auto" w:sz="6" w:space="0"/>
              <w:left w:val="single" w:color="auto" w:sz="12" w:space="0"/>
              <w:bottom w:val="single" w:color="auto" w:sz="6" w:space="0"/>
              <w:right w:val="single" w:color="auto" w:sz="6" w:space="0"/>
              <w:tl2br w:val="nil"/>
              <w:tr2bl w:val="nil"/>
            </w:tcBorders>
            <w:noWrap/>
            <w:vAlign w:val="center"/>
          </w:tcPr>
          <w:p w14:paraId="7CEA010E">
            <w:pPr>
              <w:pStyle w:val="25"/>
              <w:spacing w:beforeLines="0" w:afterLines="0"/>
              <w:rPr>
                <w:rFonts w:hint="eastAsia" w:ascii="仿宋" w:hAnsi="仿宋" w:eastAsia="仿宋" w:cs="仿宋"/>
                <w:color w:val="auto"/>
                <w:sz w:val="24"/>
                <w:szCs w:val="24"/>
                <w:highlight w:val="none"/>
              </w:rPr>
            </w:pPr>
          </w:p>
        </w:tc>
        <w:tc>
          <w:tcPr>
            <w:tcW w:w="1171" w:type="dxa"/>
            <w:tcBorders>
              <w:top w:val="single" w:color="auto" w:sz="6" w:space="0"/>
              <w:left w:val="single" w:color="auto" w:sz="6" w:space="0"/>
              <w:bottom w:val="single" w:color="auto" w:sz="6" w:space="0"/>
              <w:right w:val="single" w:color="auto" w:sz="6" w:space="0"/>
              <w:tl2br w:val="nil"/>
              <w:tr2bl w:val="nil"/>
            </w:tcBorders>
            <w:noWrap/>
            <w:vAlign w:val="center"/>
          </w:tcPr>
          <w:p w14:paraId="692AA805">
            <w:pPr>
              <w:pStyle w:val="25"/>
              <w:spacing w:beforeLines="0" w:afterLines="0"/>
              <w:rPr>
                <w:rFonts w:hint="eastAsia" w:ascii="仿宋" w:hAnsi="仿宋" w:eastAsia="仿宋" w:cs="仿宋"/>
                <w:color w:val="auto"/>
                <w:sz w:val="24"/>
                <w:szCs w:val="24"/>
                <w:highlight w:val="none"/>
              </w:rPr>
            </w:pPr>
          </w:p>
        </w:tc>
        <w:tc>
          <w:tcPr>
            <w:tcW w:w="1331" w:type="dxa"/>
            <w:tcBorders>
              <w:top w:val="single" w:color="auto" w:sz="6" w:space="0"/>
              <w:left w:val="single" w:color="auto" w:sz="6" w:space="0"/>
              <w:bottom w:val="single" w:color="auto" w:sz="6" w:space="0"/>
              <w:right w:val="single" w:color="auto" w:sz="6" w:space="0"/>
              <w:tl2br w:val="nil"/>
              <w:tr2bl w:val="nil"/>
            </w:tcBorders>
            <w:noWrap/>
            <w:vAlign w:val="center"/>
          </w:tcPr>
          <w:p w14:paraId="66D3314F">
            <w:pPr>
              <w:pStyle w:val="25"/>
              <w:spacing w:beforeLines="0" w:afterLines="0"/>
              <w:rPr>
                <w:rFonts w:hint="eastAsia" w:ascii="仿宋" w:hAnsi="仿宋" w:eastAsia="仿宋" w:cs="仿宋"/>
                <w:color w:val="auto"/>
                <w:sz w:val="24"/>
                <w:szCs w:val="24"/>
                <w:highlight w:val="none"/>
              </w:rPr>
            </w:pPr>
          </w:p>
        </w:tc>
        <w:tc>
          <w:tcPr>
            <w:tcW w:w="1141" w:type="dxa"/>
            <w:tcBorders>
              <w:top w:val="single" w:color="auto" w:sz="6" w:space="0"/>
              <w:left w:val="single" w:color="auto" w:sz="6" w:space="0"/>
              <w:bottom w:val="single" w:color="auto" w:sz="6" w:space="0"/>
              <w:right w:val="single" w:color="auto" w:sz="6" w:space="0"/>
              <w:tl2br w:val="nil"/>
              <w:tr2bl w:val="nil"/>
            </w:tcBorders>
            <w:noWrap/>
            <w:vAlign w:val="center"/>
          </w:tcPr>
          <w:p w14:paraId="0B0AE8A3">
            <w:pPr>
              <w:pStyle w:val="25"/>
              <w:spacing w:beforeLines="0" w:afterLines="0"/>
              <w:rPr>
                <w:rFonts w:hint="eastAsia" w:ascii="仿宋" w:hAnsi="仿宋" w:eastAsia="仿宋" w:cs="仿宋"/>
                <w:color w:val="auto"/>
                <w:sz w:val="24"/>
                <w:szCs w:val="24"/>
                <w:highlight w:val="none"/>
              </w:rPr>
            </w:pPr>
          </w:p>
        </w:tc>
        <w:tc>
          <w:tcPr>
            <w:tcW w:w="1331" w:type="dxa"/>
            <w:tcBorders>
              <w:top w:val="single" w:color="auto" w:sz="6" w:space="0"/>
              <w:left w:val="single" w:color="auto" w:sz="6" w:space="0"/>
              <w:bottom w:val="single" w:color="auto" w:sz="6" w:space="0"/>
              <w:right w:val="single" w:color="auto" w:sz="6" w:space="0"/>
              <w:tl2br w:val="nil"/>
              <w:tr2bl w:val="nil"/>
            </w:tcBorders>
            <w:noWrap/>
            <w:vAlign w:val="center"/>
          </w:tcPr>
          <w:p w14:paraId="338725EA">
            <w:pPr>
              <w:pStyle w:val="25"/>
              <w:spacing w:beforeLines="0" w:afterLines="0"/>
              <w:rPr>
                <w:rFonts w:hint="eastAsia" w:ascii="仿宋" w:hAnsi="仿宋" w:eastAsia="仿宋" w:cs="仿宋"/>
                <w:color w:val="auto"/>
                <w:sz w:val="24"/>
                <w:szCs w:val="24"/>
                <w:highlight w:val="none"/>
              </w:rPr>
            </w:pPr>
          </w:p>
        </w:tc>
        <w:tc>
          <w:tcPr>
            <w:tcW w:w="1533" w:type="dxa"/>
            <w:tcBorders>
              <w:top w:val="single" w:color="auto" w:sz="6" w:space="0"/>
              <w:left w:val="single" w:color="auto" w:sz="6" w:space="0"/>
              <w:bottom w:val="single" w:color="auto" w:sz="6" w:space="0"/>
              <w:right w:val="single" w:color="auto" w:sz="12" w:space="0"/>
              <w:tl2br w:val="nil"/>
              <w:tr2bl w:val="nil"/>
            </w:tcBorders>
            <w:noWrap/>
            <w:vAlign w:val="center"/>
          </w:tcPr>
          <w:p w14:paraId="4C27AB8A">
            <w:pPr>
              <w:pStyle w:val="25"/>
              <w:spacing w:beforeLines="0" w:afterLines="0"/>
              <w:rPr>
                <w:rFonts w:hint="eastAsia" w:ascii="仿宋" w:hAnsi="仿宋" w:eastAsia="仿宋" w:cs="仿宋"/>
                <w:color w:val="auto"/>
                <w:sz w:val="24"/>
                <w:szCs w:val="24"/>
                <w:highlight w:val="none"/>
              </w:rPr>
            </w:pPr>
          </w:p>
        </w:tc>
      </w:tr>
      <w:tr w14:paraId="7F267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jc w:val="center"/>
        </w:trPr>
        <w:tc>
          <w:tcPr>
            <w:tcW w:w="1951" w:type="dxa"/>
            <w:tcBorders>
              <w:top w:val="single" w:color="auto" w:sz="6" w:space="0"/>
              <w:left w:val="single" w:color="auto" w:sz="12" w:space="0"/>
              <w:bottom w:val="single" w:color="auto" w:sz="6" w:space="0"/>
              <w:right w:val="single" w:color="auto" w:sz="6" w:space="0"/>
              <w:tl2br w:val="nil"/>
              <w:tr2bl w:val="nil"/>
            </w:tcBorders>
            <w:noWrap/>
            <w:vAlign w:val="center"/>
          </w:tcPr>
          <w:p w14:paraId="4795F9FE">
            <w:pPr>
              <w:pStyle w:val="25"/>
              <w:spacing w:beforeLines="0" w:afterLines="0"/>
              <w:rPr>
                <w:rFonts w:hint="eastAsia" w:ascii="仿宋" w:hAnsi="仿宋" w:eastAsia="仿宋" w:cs="仿宋"/>
                <w:color w:val="auto"/>
                <w:sz w:val="24"/>
                <w:szCs w:val="24"/>
                <w:highlight w:val="none"/>
              </w:rPr>
            </w:pPr>
          </w:p>
        </w:tc>
        <w:tc>
          <w:tcPr>
            <w:tcW w:w="1171" w:type="dxa"/>
            <w:tcBorders>
              <w:top w:val="single" w:color="auto" w:sz="6" w:space="0"/>
              <w:left w:val="single" w:color="auto" w:sz="6" w:space="0"/>
              <w:bottom w:val="single" w:color="auto" w:sz="6" w:space="0"/>
              <w:right w:val="single" w:color="auto" w:sz="6" w:space="0"/>
              <w:tl2br w:val="nil"/>
              <w:tr2bl w:val="nil"/>
            </w:tcBorders>
            <w:noWrap/>
            <w:vAlign w:val="center"/>
          </w:tcPr>
          <w:p w14:paraId="43ECCE38">
            <w:pPr>
              <w:pStyle w:val="25"/>
              <w:spacing w:beforeLines="0" w:afterLines="0"/>
              <w:rPr>
                <w:rFonts w:hint="eastAsia" w:ascii="仿宋" w:hAnsi="仿宋" w:eastAsia="仿宋" w:cs="仿宋"/>
                <w:color w:val="auto"/>
                <w:sz w:val="24"/>
                <w:szCs w:val="24"/>
                <w:highlight w:val="none"/>
              </w:rPr>
            </w:pPr>
          </w:p>
        </w:tc>
        <w:tc>
          <w:tcPr>
            <w:tcW w:w="1331" w:type="dxa"/>
            <w:tcBorders>
              <w:top w:val="single" w:color="auto" w:sz="6" w:space="0"/>
              <w:left w:val="single" w:color="auto" w:sz="6" w:space="0"/>
              <w:bottom w:val="single" w:color="auto" w:sz="6" w:space="0"/>
              <w:right w:val="single" w:color="auto" w:sz="6" w:space="0"/>
              <w:tl2br w:val="nil"/>
              <w:tr2bl w:val="nil"/>
            </w:tcBorders>
            <w:noWrap/>
            <w:vAlign w:val="center"/>
          </w:tcPr>
          <w:p w14:paraId="24062E78">
            <w:pPr>
              <w:pStyle w:val="25"/>
              <w:spacing w:beforeLines="0" w:afterLines="0"/>
              <w:rPr>
                <w:rFonts w:hint="eastAsia" w:ascii="仿宋" w:hAnsi="仿宋" w:eastAsia="仿宋" w:cs="仿宋"/>
                <w:color w:val="auto"/>
                <w:sz w:val="24"/>
                <w:szCs w:val="24"/>
                <w:highlight w:val="none"/>
              </w:rPr>
            </w:pPr>
          </w:p>
        </w:tc>
        <w:tc>
          <w:tcPr>
            <w:tcW w:w="1141" w:type="dxa"/>
            <w:tcBorders>
              <w:top w:val="single" w:color="auto" w:sz="6" w:space="0"/>
              <w:left w:val="single" w:color="auto" w:sz="6" w:space="0"/>
              <w:bottom w:val="single" w:color="auto" w:sz="6" w:space="0"/>
              <w:right w:val="single" w:color="auto" w:sz="6" w:space="0"/>
              <w:tl2br w:val="nil"/>
              <w:tr2bl w:val="nil"/>
            </w:tcBorders>
            <w:noWrap/>
            <w:vAlign w:val="center"/>
          </w:tcPr>
          <w:p w14:paraId="203FFD37">
            <w:pPr>
              <w:pStyle w:val="25"/>
              <w:spacing w:beforeLines="0" w:afterLines="0"/>
              <w:rPr>
                <w:rFonts w:hint="eastAsia" w:ascii="仿宋" w:hAnsi="仿宋" w:eastAsia="仿宋" w:cs="仿宋"/>
                <w:color w:val="auto"/>
                <w:sz w:val="24"/>
                <w:szCs w:val="24"/>
                <w:highlight w:val="none"/>
              </w:rPr>
            </w:pPr>
          </w:p>
        </w:tc>
        <w:tc>
          <w:tcPr>
            <w:tcW w:w="1331" w:type="dxa"/>
            <w:tcBorders>
              <w:top w:val="single" w:color="auto" w:sz="6" w:space="0"/>
              <w:left w:val="single" w:color="auto" w:sz="6" w:space="0"/>
              <w:bottom w:val="single" w:color="auto" w:sz="6" w:space="0"/>
              <w:right w:val="single" w:color="auto" w:sz="6" w:space="0"/>
              <w:tl2br w:val="nil"/>
              <w:tr2bl w:val="nil"/>
            </w:tcBorders>
            <w:noWrap/>
            <w:vAlign w:val="center"/>
          </w:tcPr>
          <w:p w14:paraId="3FFE2CE8">
            <w:pPr>
              <w:pStyle w:val="25"/>
              <w:spacing w:beforeLines="0" w:afterLines="0"/>
              <w:rPr>
                <w:rFonts w:hint="eastAsia" w:ascii="仿宋" w:hAnsi="仿宋" w:eastAsia="仿宋" w:cs="仿宋"/>
                <w:color w:val="auto"/>
                <w:sz w:val="24"/>
                <w:szCs w:val="24"/>
                <w:highlight w:val="none"/>
              </w:rPr>
            </w:pPr>
          </w:p>
        </w:tc>
        <w:tc>
          <w:tcPr>
            <w:tcW w:w="1533" w:type="dxa"/>
            <w:tcBorders>
              <w:top w:val="single" w:color="auto" w:sz="6" w:space="0"/>
              <w:left w:val="single" w:color="auto" w:sz="6" w:space="0"/>
              <w:bottom w:val="single" w:color="auto" w:sz="6" w:space="0"/>
              <w:right w:val="single" w:color="auto" w:sz="12" w:space="0"/>
              <w:tl2br w:val="nil"/>
              <w:tr2bl w:val="nil"/>
            </w:tcBorders>
            <w:noWrap/>
            <w:vAlign w:val="center"/>
          </w:tcPr>
          <w:p w14:paraId="2E1AB6EA">
            <w:pPr>
              <w:pStyle w:val="25"/>
              <w:spacing w:beforeLines="0" w:afterLines="0"/>
              <w:rPr>
                <w:rFonts w:hint="eastAsia" w:ascii="仿宋" w:hAnsi="仿宋" w:eastAsia="仿宋" w:cs="仿宋"/>
                <w:color w:val="auto"/>
                <w:sz w:val="24"/>
                <w:szCs w:val="24"/>
                <w:highlight w:val="none"/>
              </w:rPr>
            </w:pPr>
          </w:p>
        </w:tc>
      </w:tr>
      <w:tr w14:paraId="696CA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jc w:val="center"/>
        </w:trPr>
        <w:tc>
          <w:tcPr>
            <w:tcW w:w="1951" w:type="dxa"/>
            <w:tcBorders>
              <w:top w:val="single" w:color="auto" w:sz="6" w:space="0"/>
              <w:left w:val="single" w:color="auto" w:sz="12" w:space="0"/>
              <w:bottom w:val="single" w:color="auto" w:sz="6" w:space="0"/>
              <w:right w:val="single" w:color="auto" w:sz="6" w:space="0"/>
              <w:tl2br w:val="nil"/>
              <w:tr2bl w:val="nil"/>
            </w:tcBorders>
            <w:noWrap/>
            <w:vAlign w:val="center"/>
          </w:tcPr>
          <w:p w14:paraId="0CEA858A">
            <w:pPr>
              <w:pStyle w:val="25"/>
              <w:spacing w:beforeLines="0" w:afterLines="0"/>
              <w:rPr>
                <w:rFonts w:hint="eastAsia" w:ascii="仿宋" w:hAnsi="仿宋" w:eastAsia="仿宋" w:cs="仿宋"/>
                <w:color w:val="auto"/>
                <w:sz w:val="24"/>
                <w:szCs w:val="24"/>
                <w:highlight w:val="none"/>
              </w:rPr>
            </w:pPr>
          </w:p>
        </w:tc>
        <w:tc>
          <w:tcPr>
            <w:tcW w:w="1171" w:type="dxa"/>
            <w:tcBorders>
              <w:top w:val="single" w:color="auto" w:sz="6" w:space="0"/>
              <w:left w:val="single" w:color="auto" w:sz="6" w:space="0"/>
              <w:bottom w:val="single" w:color="auto" w:sz="6" w:space="0"/>
              <w:right w:val="single" w:color="auto" w:sz="6" w:space="0"/>
              <w:tl2br w:val="nil"/>
              <w:tr2bl w:val="nil"/>
            </w:tcBorders>
            <w:noWrap/>
            <w:vAlign w:val="center"/>
          </w:tcPr>
          <w:p w14:paraId="2D31FEFD">
            <w:pPr>
              <w:pStyle w:val="25"/>
              <w:spacing w:beforeLines="0" w:afterLines="0"/>
              <w:rPr>
                <w:rFonts w:hint="eastAsia" w:ascii="仿宋" w:hAnsi="仿宋" w:eastAsia="仿宋" w:cs="仿宋"/>
                <w:color w:val="auto"/>
                <w:sz w:val="24"/>
                <w:szCs w:val="24"/>
                <w:highlight w:val="none"/>
              </w:rPr>
            </w:pPr>
          </w:p>
        </w:tc>
        <w:tc>
          <w:tcPr>
            <w:tcW w:w="1331" w:type="dxa"/>
            <w:tcBorders>
              <w:top w:val="single" w:color="auto" w:sz="6" w:space="0"/>
              <w:left w:val="single" w:color="auto" w:sz="6" w:space="0"/>
              <w:bottom w:val="single" w:color="auto" w:sz="6" w:space="0"/>
              <w:right w:val="single" w:color="auto" w:sz="6" w:space="0"/>
              <w:tl2br w:val="nil"/>
              <w:tr2bl w:val="nil"/>
            </w:tcBorders>
            <w:noWrap/>
            <w:vAlign w:val="center"/>
          </w:tcPr>
          <w:p w14:paraId="7F888E30">
            <w:pPr>
              <w:pStyle w:val="25"/>
              <w:spacing w:beforeLines="0" w:afterLines="0"/>
              <w:rPr>
                <w:rFonts w:hint="eastAsia" w:ascii="仿宋" w:hAnsi="仿宋" w:eastAsia="仿宋" w:cs="仿宋"/>
                <w:color w:val="auto"/>
                <w:sz w:val="24"/>
                <w:szCs w:val="24"/>
                <w:highlight w:val="none"/>
              </w:rPr>
            </w:pPr>
          </w:p>
        </w:tc>
        <w:tc>
          <w:tcPr>
            <w:tcW w:w="1141" w:type="dxa"/>
            <w:tcBorders>
              <w:top w:val="single" w:color="auto" w:sz="6" w:space="0"/>
              <w:left w:val="single" w:color="auto" w:sz="6" w:space="0"/>
              <w:bottom w:val="single" w:color="auto" w:sz="6" w:space="0"/>
              <w:right w:val="single" w:color="auto" w:sz="6" w:space="0"/>
              <w:tl2br w:val="nil"/>
              <w:tr2bl w:val="nil"/>
            </w:tcBorders>
            <w:noWrap/>
            <w:vAlign w:val="center"/>
          </w:tcPr>
          <w:p w14:paraId="195046AA">
            <w:pPr>
              <w:pStyle w:val="25"/>
              <w:spacing w:beforeLines="0" w:afterLines="0"/>
              <w:rPr>
                <w:rFonts w:hint="eastAsia" w:ascii="仿宋" w:hAnsi="仿宋" w:eastAsia="仿宋" w:cs="仿宋"/>
                <w:color w:val="auto"/>
                <w:sz w:val="24"/>
                <w:szCs w:val="24"/>
                <w:highlight w:val="none"/>
              </w:rPr>
            </w:pPr>
          </w:p>
        </w:tc>
        <w:tc>
          <w:tcPr>
            <w:tcW w:w="1331" w:type="dxa"/>
            <w:tcBorders>
              <w:top w:val="single" w:color="auto" w:sz="6" w:space="0"/>
              <w:left w:val="single" w:color="auto" w:sz="6" w:space="0"/>
              <w:bottom w:val="single" w:color="auto" w:sz="6" w:space="0"/>
              <w:right w:val="single" w:color="auto" w:sz="6" w:space="0"/>
              <w:tl2br w:val="nil"/>
              <w:tr2bl w:val="nil"/>
            </w:tcBorders>
            <w:noWrap/>
            <w:vAlign w:val="center"/>
          </w:tcPr>
          <w:p w14:paraId="1E3AD8D5">
            <w:pPr>
              <w:pStyle w:val="25"/>
              <w:spacing w:beforeLines="0" w:afterLines="0"/>
              <w:rPr>
                <w:rFonts w:hint="eastAsia" w:ascii="仿宋" w:hAnsi="仿宋" w:eastAsia="仿宋" w:cs="仿宋"/>
                <w:color w:val="auto"/>
                <w:sz w:val="24"/>
                <w:szCs w:val="24"/>
                <w:highlight w:val="none"/>
              </w:rPr>
            </w:pPr>
          </w:p>
        </w:tc>
        <w:tc>
          <w:tcPr>
            <w:tcW w:w="1533" w:type="dxa"/>
            <w:tcBorders>
              <w:top w:val="single" w:color="auto" w:sz="6" w:space="0"/>
              <w:left w:val="single" w:color="auto" w:sz="6" w:space="0"/>
              <w:bottom w:val="single" w:color="auto" w:sz="6" w:space="0"/>
              <w:right w:val="single" w:color="auto" w:sz="12" w:space="0"/>
              <w:tl2br w:val="nil"/>
              <w:tr2bl w:val="nil"/>
            </w:tcBorders>
            <w:noWrap/>
            <w:vAlign w:val="center"/>
          </w:tcPr>
          <w:p w14:paraId="19B3DBDA">
            <w:pPr>
              <w:pStyle w:val="25"/>
              <w:spacing w:beforeLines="0" w:afterLines="0"/>
              <w:rPr>
                <w:rFonts w:hint="eastAsia" w:ascii="仿宋" w:hAnsi="仿宋" w:eastAsia="仿宋" w:cs="仿宋"/>
                <w:color w:val="auto"/>
                <w:sz w:val="24"/>
                <w:szCs w:val="24"/>
                <w:highlight w:val="none"/>
              </w:rPr>
            </w:pPr>
          </w:p>
        </w:tc>
      </w:tr>
      <w:tr w14:paraId="26DEE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jc w:val="center"/>
        </w:trPr>
        <w:tc>
          <w:tcPr>
            <w:tcW w:w="1951" w:type="dxa"/>
            <w:tcBorders>
              <w:top w:val="single" w:color="auto" w:sz="6" w:space="0"/>
              <w:left w:val="single" w:color="auto" w:sz="12" w:space="0"/>
              <w:bottom w:val="single" w:color="auto" w:sz="6" w:space="0"/>
              <w:right w:val="single" w:color="auto" w:sz="6" w:space="0"/>
              <w:tl2br w:val="nil"/>
              <w:tr2bl w:val="nil"/>
            </w:tcBorders>
            <w:noWrap/>
            <w:vAlign w:val="center"/>
          </w:tcPr>
          <w:p w14:paraId="3EE8AED7">
            <w:pPr>
              <w:pStyle w:val="25"/>
              <w:spacing w:beforeLines="0" w:afterLines="0"/>
              <w:rPr>
                <w:rFonts w:hint="eastAsia" w:ascii="仿宋" w:hAnsi="仿宋" w:eastAsia="仿宋" w:cs="仿宋"/>
                <w:color w:val="auto"/>
                <w:sz w:val="24"/>
                <w:szCs w:val="24"/>
                <w:highlight w:val="none"/>
              </w:rPr>
            </w:pPr>
          </w:p>
        </w:tc>
        <w:tc>
          <w:tcPr>
            <w:tcW w:w="1171" w:type="dxa"/>
            <w:tcBorders>
              <w:top w:val="single" w:color="auto" w:sz="6" w:space="0"/>
              <w:left w:val="single" w:color="auto" w:sz="6" w:space="0"/>
              <w:bottom w:val="single" w:color="auto" w:sz="6" w:space="0"/>
              <w:right w:val="single" w:color="auto" w:sz="6" w:space="0"/>
              <w:tl2br w:val="nil"/>
              <w:tr2bl w:val="nil"/>
            </w:tcBorders>
            <w:noWrap/>
            <w:vAlign w:val="center"/>
          </w:tcPr>
          <w:p w14:paraId="5CC65056">
            <w:pPr>
              <w:pStyle w:val="25"/>
              <w:spacing w:beforeLines="0" w:afterLines="0"/>
              <w:rPr>
                <w:rFonts w:hint="eastAsia" w:ascii="仿宋" w:hAnsi="仿宋" w:eastAsia="仿宋" w:cs="仿宋"/>
                <w:color w:val="auto"/>
                <w:sz w:val="24"/>
                <w:szCs w:val="24"/>
                <w:highlight w:val="none"/>
              </w:rPr>
            </w:pPr>
          </w:p>
        </w:tc>
        <w:tc>
          <w:tcPr>
            <w:tcW w:w="1331" w:type="dxa"/>
            <w:tcBorders>
              <w:top w:val="single" w:color="auto" w:sz="6" w:space="0"/>
              <w:left w:val="single" w:color="auto" w:sz="6" w:space="0"/>
              <w:bottom w:val="single" w:color="auto" w:sz="6" w:space="0"/>
              <w:right w:val="single" w:color="auto" w:sz="6" w:space="0"/>
              <w:tl2br w:val="nil"/>
              <w:tr2bl w:val="nil"/>
            </w:tcBorders>
            <w:noWrap/>
            <w:vAlign w:val="center"/>
          </w:tcPr>
          <w:p w14:paraId="16BE861A">
            <w:pPr>
              <w:pStyle w:val="25"/>
              <w:spacing w:beforeLines="0" w:afterLines="0"/>
              <w:rPr>
                <w:rFonts w:hint="eastAsia" w:ascii="仿宋" w:hAnsi="仿宋" w:eastAsia="仿宋" w:cs="仿宋"/>
                <w:color w:val="auto"/>
                <w:sz w:val="24"/>
                <w:szCs w:val="24"/>
                <w:highlight w:val="none"/>
              </w:rPr>
            </w:pPr>
          </w:p>
        </w:tc>
        <w:tc>
          <w:tcPr>
            <w:tcW w:w="1141" w:type="dxa"/>
            <w:tcBorders>
              <w:top w:val="single" w:color="auto" w:sz="6" w:space="0"/>
              <w:left w:val="single" w:color="auto" w:sz="6" w:space="0"/>
              <w:bottom w:val="single" w:color="auto" w:sz="6" w:space="0"/>
              <w:right w:val="single" w:color="auto" w:sz="6" w:space="0"/>
              <w:tl2br w:val="nil"/>
              <w:tr2bl w:val="nil"/>
            </w:tcBorders>
            <w:noWrap/>
            <w:vAlign w:val="center"/>
          </w:tcPr>
          <w:p w14:paraId="3CA85371">
            <w:pPr>
              <w:pStyle w:val="25"/>
              <w:spacing w:beforeLines="0" w:afterLines="0"/>
              <w:rPr>
                <w:rFonts w:hint="eastAsia" w:ascii="仿宋" w:hAnsi="仿宋" w:eastAsia="仿宋" w:cs="仿宋"/>
                <w:color w:val="auto"/>
                <w:sz w:val="24"/>
                <w:szCs w:val="24"/>
                <w:highlight w:val="none"/>
              </w:rPr>
            </w:pPr>
          </w:p>
        </w:tc>
        <w:tc>
          <w:tcPr>
            <w:tcW w:w="1331" w:type="dxa"/>
            <w:tcBorders>
              <w:top w:val="single" w:color="auto" w:sz="6" w:space="0"/>
              <w:left w:val="single" w:color="auto" w:sz="6" w:space="0"/>
              <w:bottom w:val="single" w:color="auto" w:sz="6" w:space="0"/>
              <w:right w:val="single" w:color="auto" w:sz="6" w:space="0"/>
              <w:tl2br w:val="nil"/>
              <w:tr2bl w:val="nil"/>
            </w:tcBorders>
            <w:noWrap/>
            <w:vAlign w:val="center"/>
          </w:tcPr>
          <w:p w14:paraId="0AF74582">
            <w:pPr>
              <w:pStyle w:val="25"/>
              <w:spacing w:beforeLines="0" w:afterLines="0"/>
              <w:rPr>
                <w:rFonts w:hint="eastAsia" w:ascii="仿宋" w:hAnsi="仿宋" w:eastAsia="仿宋" w:cs="仿宋"/>
                <w:color w:val="auto"/>
                <w:sz w:val="24"/>
                <w:szCs w:val="24"/>
                <w:highlight w:val="none"/>
              </w:rPr>
            </w:pPr>
          </w:p>
        </w:tc>
        <w:tc>
          <w:tcPr>
            <w:tcW w:w="1533" w:type="dxa"/>
            <w:tcBorders>
              <w:top w:val="single" w:color="auto" w:sz="6" w:space="0"/>
              <w:left w:val="single" w:color="auto" w:sz="6" w:space="0"/>
              <w:bottom w:val="single" w:color="auto" w:sz="6" w:space="0"/>
              <w:right w:val="single" w:color="auto" w:sz="12" w:space="0"/>
              <w:tl2br w:val="nil"/>
              <w:tr2bl w:val="nil"/>
            </w:tcBorders>
            <w:noWrap/>
            <w:vAlign w:val="center"/>
          </w:tcPr>
          <w:p w14:paraId="5DBAE86E">
            <w:pPr>
              <w:pStyle w:val="25"/>
              <w:spacing w:beforeLines="0" w:afterLines="0"/>
              <w:rPr>
                <w:rFonts w:hint="eastAsia" w:ascii="仿宋" w:hAnsi="仿宋" w:eastAsia="仿宋" w:cs="仿宋"/>
                <w:color w:val="auto"/>
                <w:sz w:val="24"/>
                <w:szCs w:val="24"/>
                <w:highlight w:val="none"/>
              </w:rPr>
            </w:pPr>
          </w:p>
        </w:tc>
      </w:tr>
    </w:tbl>
    <w:p w14:paraId="67D4673C">
      <w:pPr>
        <w:pStyle w:val="843"/>
        <w:spacing w:beforeLines="0" w:afterLines="0"/>
        <w:rPr>
          <w:rFonts w:hint="eastAsia" w:ascii="仿宋" w:hAnsi="仿宋" w:eastAsia="仿宋" w:cs="仿宋"/>
          <w:color w:val="auto"/>
          <w:sz w:val="24"/>
          <w:szCs w:val="24"/>
          <w:highlight w:val="none"/>
        </w:rPr>
      </w:pPr>
    </w:p>
    <w:p w14:paraId="5630FA28">
      <w:pPr>
        <w:pStyle w:val="843"/>
        <w:spacing w:beforeLines="0" w:afterLines="0"/>
        <w:rPr>
          <w:rFonts w:hint="eastAsia" w:ascii="仿宋" w:hAnsi="仿宋" w:eastAsia="仿宋" w:cs="仿宋"/>
          <w:color w:val="auto"/>
          <w:sz w:val="24"/>
          <w:szCs w:val="24"/>
          <w:highlight w:val="none"/>
        </w:rPr>
      </w:pPr>
    </w:p>
    <w:p w14:paraId="0BB9B536">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5530D36">
      <w:pPr>
        <w:pStyle w:val="977"/>
        <w:spacing w:beforeLines="0" w:afterLines="0"/>
        <w:ind w:lef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附件5 承包人主要管理人员表</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24"/>
        <w:gridCol w:w="1247"/>
        <w:gridCol w:w="998"/>
        <w:gridCol w:w="998"/>
        <w:gridCol w:w="3430"/>
      </w:tblGrid>
      <w:tr w14:paraId="35536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12" w:space="0"/>
              <w:left w:val="single" w:color="auto" w:sz="12" w:space="0"/>
              <w:bottom w:val="double" w:color="auto" w:sz="6" w:space="0"/>
              <w:right w:val="single" w:color="auto" w:sz="6" w:space="0"/>
              <w:tl2br w:val="nil"/>
              <w:tr2bl w:val="nil"/>
            </w:tcBorders>
            <w:noWrap/>
            <w:vAlign w:val="center"/>
          </w:tcPr>
          <w:p w14:paraId="630163E1">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1247" w:type="dxa"/>
            <w:tcBorders>
              <w:top w:val="single" w:color="auto" w:sz="12" w:space="0"/>
              <w:left w:val="single" w:color="auto" w:sz="6" w:space="0"/>
              <w:bottom w:val="double" w:color="auto" w:sz="6" w:space="0"/>
              <w:right w:val="single" w:color="auto" w:sz="6" w:space="0"/>
              <w:tl2br w:val="nil"/>
              <w:tr2bl w:val="nil"/>
            </w:tcBorders>
            <w:noWrap/>
            <w:vAlign w:val="center"/>
          </w:tcPr>
          <w:p w14:paraId="67882B15">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8" w:type="dxa"/>
            <w:tcBorders>
              <w:top w:val="single" w:color="auto" w:sz="12" w:space="0"/>
              <w:left w:val="single" w:color="auto" w:sz="6" w:space="0"/>
              <w:bottom w:val="double" w:color="auto" w:sz="6" w:space="0"/>
              <w:right w:val="single" w:color="auto" w:sz="6" w:space="0"/>
              <w:tl2br w:val="nil"/>
              <w:tr2bl w:val="nil"/>
            </w:tcBorders>
            <w:noWrap/>
            <w:vAlign w:val="center"/>
          </w:tcPr>
          <w:p w14:paraId="7AACFD99">
            <w:pPr>
              <w:pStyle w:val="25"/>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998" w:type="dxa"/>
            <w:tcBorders>
              <w:top w:val="single" w:color="auto" w:sz="12" w:space="0"/>
              <w:left w:val="single" w:color="auto" w:sz="6" w:space="0"/>
              <w:bottom w:val="double" w:color="auto" w:sz="6" w:space="0"/>
              <w:right w:val="single" w:color="auto" w:sz="6" w:space="0"/>
              <w:tl2br w:val="nil"/>
              <w:tr2bl w:val="nil"/>
            </w:tcBorders>
            <w:noWrap/>
            <w:vAlign w:val="center"/>
          </w:tcPr>
          <w:p w14:paraId="575524CA">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3430" w:type="dxa"/>
            <w:tcBorders>
              <w:top w:val="single" w:color="auto" w:sz="12" w:space="0"/>
              <w:left w:val="single" w:color="auto" w:sz="6" w:space="0"/>
              <w:bottom w:val="double" w:color="auto" w:sz="6" w:space="0"/>
              <w:right w:val="single" w:color="auto" w:sz="12" w:space="0"/>
              <w:tl2br w:val="nil"/>
              <w:tr2bl w:val="nil"/>
            </w:tcBorders>
            <w:noWrap/>
            <w:vAlign w:val="center"/>
          </w:tcPr>
          <w:p w14:paraId="00130F39">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63635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997" w:type="dxa"/>
            <w:gridSpan w:val="5"/>
            <w:tcBorders>
              <w:top w:val="double" w:color="auto" w:sz="6" w:space="0"/>
              <w:left w:val="single" w:color="auto" w:sz="12" w:space="0"/>
              <w:bottom w:val="single" w:color="auto" w:sz="6" w:space="0"/>
              <w:right w:val="single" w:color="auto" w:sz="12" w:space="0"/>
              <w:tl2br w:val="nil"/>
              <w:tr2bl w:val="nil"/>
            </w:tcBorders>
            <w:noWrap/>
            <w:vAlign w:val="center"/>
          </w:tcPr>
          <w:p w14:paraId="49BFFF89">
            <w:pPr>
              <w:pStyle w:val="25"/>
              <w:spacing w:beforeLines="0" w:afterLines="0"/>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一、总部人员</w:t>
            </w:r>
          </w:p>
        </w:tc>
      </w:tr>
      <w:tr w14:paraId="3CF92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nil"/>
              <w:left w:val="single" w:color="auto" w:sz="12" w:space="0"/>
              <w:bottom w:val="nil"/>
              <w:right w:val="single" w:color="auto" w:sz="6" w:space="0"/>
              <w:tl2br w:val="nil"/>
              <w:tr2bl w:val="nil"/>
            </w:tcBorders>
            <w:noWrap/>
            <w:vAlign w:val="center"/>
          </w:tcPr>
          <w:p w14:paraId="34BE0AFC">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项目主管</w:t>
            </w:r>
          </w:p>
        </w:tc>
        <w:tc>
          <w:tcPr>
            <w:tcW w:w="1247" w:type="dxa"/>
            <w:tcBorders>
              <w:top w:val="nil"/>
              <w:left w:val="single" w:color="auto" w:sz="6" w:space="0"/>
              <w:bottom w:val="single" w:color="auto" w:sz="6" w:space="0"/>
              <w:right w:val="single" w:color="auto" w:sz="6" w:space="0"/>
              <w:tl2br w:val="nil"/>
              <w:tr2bl w:val="nil"/>
            </w:tcBorders>
            <w:noWrap/>
            <w:vAlign w:val="center"/>
          </w:tcPr>
          <w:p w14:paraId="29931B34">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nil"/>
              <w:left w:val="single" w:color="auto" w:sz="6" w:space="0"/>
              <w:bottom w:val="single" w:color="auto" w:sz="6" w:space="0"/>
              <w:right w:val="single" w:color="auto" w:sz="6" w:space="0"/>
              <w:tl2br w:val="nil"/>
              <w:tr2bl w:val="nil"/>
            </w:tcBorders>
            <w:noWrap/>
            <w:vAlign w:val="center"/>
          </w:tcPr>
          <w:p w14:paraId="19E0EE5F">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nil"/>
              <w:left w:val="single" w:color="auto" w:sz="6" w:space="0"/>
              <w:bottom w:val="single" w:color="auto" w:sz="6" w:space="0"/>
              <w:right w:val="single" w:color="auto" w:sz="6" w:space="0"/>
              <w:tl2br w:val="nil"/>
              <w:tr2bl w:val="nil"/>
            </w:tcBorders>
            <w:noWrap/>
            <w:vAlign w:val="center"/>
          </w:tcPr>
          <w:p w14:paraId="7CB4133E">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nil"/>
              <w:left w:val="single" w:color="auto" w:sz="6" w:space="0"/>
              <w:bottom w:val="single" w:color="auto" w:sz="6" w:space="0"/>
              <w:right w:val="single" w:color="auto" w:sz="12" w:space="0"/>
              <w:tl2br w:val="nil"/>
              <w:tr2bl w:val="nil"/>
            </w:tcBorders>
            <w:noWrap/>
            <w:vAlign w:val="center"/>
          </w:tcPr>
          <w:p w14:paraId="2C861FFB">
            <w:pPr>
              <w:pStyle w:val="25"/>
              <w:spacing w:beforeLines="0" w:afterLines="0"/>
              <w:ind w:firstLine="420"/>
              <w:rPr>
                <w:rFonts w:hint="eastAsia" w:ascii="仿宋" w:hAnsi="仿宋" w:eastAsia="仿宋" w:cs="仿宋"/>
                <w:color w:val="auto"/>
                <w:sz w:val="24"/>
                <w:szCs w:val="24"/>
                <w:highlight w:val="none"/>
              </w:rPr>
            </w:pPr>
          </w:p>
        </w:tc>
      </w:tr>
      <w:tr w14:paraId="162CD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nil"/>
              <w:right w:val="single" w:color="auto" w:sz="6" w:space="0"/>
              <w:tl2br w:val="nil"/>
              <w:tr2bl w:val="nil"/>
            </w:tcBorders>
            <w:noWrap/>
            <w:vAlign w:val="center"/>
          </w:tcPr>
          <w:p w14:paraId="38AE0A8A">
            <w:pPr>
              <w:pStyle w:val="25"/>
              <w:spacing w:beforeLines="0" w:afterLines="0"/>
              <w:ind w:firstLine="420"/>
              <w:rPr>
                <w:rFonts w:hint="eastAsia" w:ascii="仿宋" w:hAnsi="仿宋" w:eastAsia="仿宋" w:cs="仿宋"/>
                <w:color w:val="auto"/>
                <w:sz w:val="24"/>
                <w:szCs w:val="24"/>
                <w:highlight w:val="none"/>
              </w:rPr>
            </w:pP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2C0DEBB0">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0481E7C1">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3BE70FFE">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2938C9CC">
            <w:pPr>
              <w:pStyle w:val="25"/>
              <w:spacing w:beforeLines="0" w:afterLines="0"/>
              <w:ind w:firstLine="420"/>
              <w:rPr>
                <w:rFonts w:hint="eastAsia" w:ascii="仿宋" w:hAnsi="仿宋" w:eastAsia="仿宋" w:cs="仿宋"/>
                <w:color w:val="auto"/>
                <w:sz w:val="24"/>
                <w:szCs w:val="24"/>
                <w:highlight w:val="none"/>
              </w:rPr>
            </w:pPr>
          </w:p>
        </w:tc>
      </w:tr>
      <w:tr w14:paraId="4810F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nil"/>
              <w:left w:val="single" w:color="auto" w:sz="12" w:space="0"/>
              <w:bottom w:val="nil"/>
              <w:right w:val="single" w:color="auto" w:sz="6" w:space="0"/>
              <w:tl2br w:val="nil"/>
              <w:tr2bl w:val="nil"/>
            </w:tcBorders>
            <w:noWrap/>
            <w:vAlign w:val="center"/>
          </w:tcPr>
          <w:p w14:paraId="124C246E">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其他人员</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0E40FB07">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032EED6D">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1E9CF0D2">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79C4EBEA">
            <w:pPr>
              <w:pStyle w:val="25"/>
              <w:spacing w:beforeLines="0" w:afterLines="0"/>
              <w:ind w:firstLine="420"/>
              <w:rPr>
                <w:rFonts w:hint="eastAsia" w:ascii="仿宋" w:hAnsi="仿宋" w:eastAsia="仿宋" w:cs="仿宋"/>
                <w:color w:val="auto"/>
                <w:sz w:val="24"/>
                <w:szCs w:val="24"/>
                <w:highlight w:val="none"/>
              </w:rPr>
            </w:pPr>
          </w:p>
        </w:tc>
      </w:tr>
      <w:tr w14:paraId="1B5A4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nil"/>
              <w:left w:val="single" w:color="auto" w:sz="12" w:space="0"/>
              <w:bottom w:val="nil"/>
              <w:right w:val="single" w:color="auto" w:sz="6" w:space="0"/>
              <w:tl2br w:val="nil"/>
              <w:tr2bl w:val="nil"/>
            </w:tcBorders>
            <w:noWrap/>
            <w:vAlign w:val="center"/>
          </w:tcPr>
          <w:p w14:paraId="4416A13F">
            <w:pPr>
              <w:pStyle w:val="25"/>
              <w:spacing w:beforeLines="0" w:afterLines="0"/>
              <w:ind w:firstLine="420"/>
              <w:rPr>
                <w:rFonts w:hint="eastAsia" w:ascii="仿宋" w:hAnsi="仿宋" w:eastAsia="仿宋" w:cs="仿宋"/>
                <w:color w:val="auto"/>
                <w:sz w:val="24"/>
                <w:szCs w:val="24"/>
                <w:highlight w:val="none"/>
              </w:rPr>
            </w:pP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7FE81391">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3EF8B02D">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60F73002">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06E8E45E">
            <w:pPr>
              <w:pStyle w:val="25"/>
              <w:spacing w:beforeLines="0" w:afterLines="0"/>
              <w:ind w:firstLine="420"/>
              <w:rPr>
                <w:rFonts w:hint="eastAsia" w:ascii="仿宋" w:hAnsi="仿宋" w:eastAsia="仿宋" w:cs="仿宋"/>
                <w:color w:val="auto"/>
                <w:sz w:val="24"/>
                <w:szCs w:val="24"/>
                <w:highlight w:val="none"/>
              </w:rPr>
            </w:pPr>
          </w:p>
        </w:tc>
      </w:tr>
      <w:tr w14:paraId="1560F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997" w:type="dxa"/>
            <w:gridSpan w:val="5"/>
            <w:tcBorders>
              <w:top w:val="single" w:color="auto" w:sz="6" w:space="0"/>
              <w:left w:val="single" w:color="auto" w:sz="12" w:space="0"/>
              <w:bottom w:val="single" w:color="auto" w:sz="6" w:space="0"/>
              <w:right w:val="single" w:color="auto" w:sz="12" w:space="0"/>
              <w:tl2br w:val="nil"/>
              <w:tr2bl w:val="nil"/>
            </w:tcBorders>
            <w:noWrap/>
            <w:vAlign w:val="center"/>
          </w:tcPr>
          <w:p w14:paraId="7FD9FD9D">
            <w:pPr>
              <w:pStyle w:val="25"/>
              <w:spacing w:beforeLines="0" w:afterLines="0"/>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二、现场人员</w:t>
            </w:r>
          </w:p>
        </w:tc>
      </w:tr>
      <w:tr w14:paraId="35F42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5CD4DAF9">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工程总承包</w:t>
            </w:r>
          </w:p>
          <w:p w14:paraId="02B6BBAD">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34867D8B">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47790141">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3AF49ABC">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2381DA6A">
            <w:pPr>
              <w:pStyle w:val="25"/>
              <w:spacing w:beforeLines="0" w:afterLines="0"/>
              <w:ind w:firstLine="420"/>
              <w:rPr>
                <w:rFonts w:hint="eastAsia" w:ascii="仿宋" w:hAnsi="仿宋" w:eastAsia="仿宋" w:cs="仿宋"/>
                <w:color w:val="auto"/>
                <w:sz w:val="24"/>
                <w:szCs w:val="24"/>
                <w:highlight w:val="none"/>
              </w:rPr>
            </w:pPr>
          </w:p>
          <w:p w14:paraId="4D6BCD5B">
            <w:pPr>
              <w:pStyle w:val="25"/>
              <w:spacing w:beforeLines="0" w:afterLines="0"/>
              <w:ind w:firstLine="420"/>
              <w:rPr>
                <w:rFonts w:hint="eastAsia" w:ascii="仿宋" w:hAnsi="仿宋" w:eastAsia="仿宋" w:cs="仿宋"/>
                <w:color w:val="auto"/>
                <w:sz w:val="24"/>
                <w:szCs w:val="24"/>
                <w:highlight w:val="none"/>
              </w:rPr>
            </w:pPr>
          </w:p>
        </w:tc>
      </w:tr>
      <w:tr w14:paraId="25926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420FA9DB">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项目副经理</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66103EAD">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399AB370">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54AC60D9">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325C5839">
            <w:pPr>
              <w:pStyle w:val="25"/>
              <w:spacing w:beforeLines="0" w:afterLines="0"/>
              <w:ind w:firstLine="420"/>
              <w:rPr>
                <w:rFonts w:hint="eastAsia" w:ascii="仿宋" w:hAnsi="仿宋" w:eastAsia="仿宋" w:cs="仿宋"/>
                <w:color w:val="auto"/>
                <w:sz w:val="24"/>
                <w:szCs w:val="24"/>
                <w:highlight w:val="none"/>
              </w:rPr>
            </w:pPr>
          </w:p>
        </w:tc>
      </w:tr>
      <w:tr w14:paraId="58FE9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3F7B62B7">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设计负责人</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16F50589">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43FC11B3">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317B773A">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616105E1">
            <w:pPr>
              <w:pStyle w:val="25"/>
              <w:spacing w:beforeLines="0" w:afterLines="0"/>
              <w:ind w:firstLine="420"/>
              <w:rPr>
                <w:rFonts w:hint="eastAsia" w:ascii="仿宋" w:hAnsi="仿宋" w:eastAsia="仿宋" w:cs="仿宋"/>
                <w:color w:val="auto"/>
                <w:sz w:val="24"/>
                <w:szCs w:val="24"/>
                <w:highlight w:val="none"/>
              </w:rPr>
            </w:pPr>
          </w:p>
        </w:tc>
      </w:tr>
      <w:tr w14:paraId="58734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57455DB0">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采购负责人</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317E6860">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21E06AF3">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0CFC177E">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4A5BC075">
            <w:pPr>
              <w:pStyle w:val="25"/>
              <w:spacing w:beforeLines="0" w:afterLines="0"/>
              <w:ind w:firstLine="420"/>
              <w:rPr>
                <w:rFonts w:hint="eastAsia" w:ascii="仿宋" w:hAnsi="仿宋" w:eastAsia="仿宋" w:cs="仿宋"/>
                <w:color w:val="auto"/>
                <w:sz w:val="24"/>
                <w:szCs w:val="24"/>
                <w:highlight w:val="none"/>
              </w:rPr>
            </w:pPr>
          </w:p>
        </w:tc>
      </w:tr>
      <w:tr w14:paraId="73B5B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08641DD4">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施工负责人</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0181B222">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6F48A0A2">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13BE2643">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53AAE6C3">
            <w:pPr>
              <w:pStyle w:val="25"/>
              <w:spacing w:beforeLines="0" w:afterLines="0"/>
              <w:ind w:firstLine="420"/>
              <w:rPr>
                <w:rFonts w:hint="eastAsia" w:ascii="仿宋" w:hAnsi="仿宋" w:eastAsia="仿宋" w:cs="仿宋"/>
                <w:color w:val="auto"/>
                <w:sz w:val="24"/>
                <w:szCs w:val="24"/>
                <w:highlight w:val="none"/>
              </w:rPr>
            </w:pPr>
          </w:p>
        </w:tc>
      </w:tr>
      <w:tr w14:paraId="0E120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6EE3917A">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0AC91708">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60D72D18">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22CD5D6A">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46FC85F7">
            <w:pPr>
              <w:pStyle w:val="25"/>
              <w:spacing w:beforeLines="0" w:afterLines="0"/>
              <w:ind w:firstLine="420"/>
              <w:rPr>
                <w:rFonts w:hint="eastAsia" w:ascii="仿宋" w:hAnsi="仿宋" w:eastAsia="仿宋" w:cs="仿宋"/>
                <w:color w:val="auto"/>
                <w:sz w:val="24"/>
                <w:szCs w:val="24"/>
                <w:highlight w:val="none"/>
              </w:rPr>
            </w:pPr>
          </w:p>
        </w:tc>
      </w:tr>
      <w:tr w14:paraId="49003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3AD57726">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造价管理</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2C7DD026">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7E52CF99">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044ED1E2">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2B67D186">
            <w:pPr>
              <w:pStyle w:val="25"/>
              <w:spacing w:beforeLines="0" w:afterLines="0"/>
              <w:ind w:firstLine="420"/>
              <w:rPr>
                <w:rFonts w:hint="eastAsia" w:ascii="仿宋" w:hAnsi="仿宋" w:eastAsia="仿宋" w:cs="仿宋"/>
                <w:color w:val="auto"/>
                <w:sz w:val="24"/>
                <w:szCs w:val="24"/>
                <w:highlight w:val="none"/>
              </w:rPr>
            </w:pPr>
          </w:p>
        </w:tc>
      </w:tr>
      <w:tr w14:paraId="43EB2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729C7DE5">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1DFF1549">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095E7F26">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5417C4E1">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0FDFDFF2">
            <w:pPr>
              <w:pStyle w:val="25"/>
              <w:spacing w:beforeLines="0" w:afterLines="0"/>
              <w:ind w:firstLine="420"/>
              <w:rPr>
                <w:rFonts w:hint="eastAsia" w:ascii="仿宋" w:hAnsi="仿宋" w:eastAsia="仿宋" w:cs="仿宋"/>
                <w:color w:val="auto"/>
                <w:sz w:val="24"/>
                <w:szCs w:val="24"/>
                <w:highlight w:val="none"/>
              </w:rPr>
            </w:pPr>
          </w:p>
        </w:tc>
      </w:tr>
      <w:tr w14:paraId="43822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62EF5148">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计划管理</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5FB86E9F">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4497D98C">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241645F8">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1927D03F">
            <w:pPr>
              <w:pStyle w:val="25"/>
              <w:spacing w:beforeLines="0" w:afterLines="0"/>
              <w:ind w:firstLine="420"/>
              <w:rPr>
                <w:rFonts w:hint="eastAsia" w:ascii="仿宋" w:hAnsi="仿宋" w:eastAsia="仿宋" w:cs="仿宋"/>
                <w:color w:val="auto"/>
                <w:sz w:val="24"/>
                <w:szCs w:val="24"/>
                <w:highlight w:val="none"/>
              </w:rPr>
            </w:pPr>
          </w:p>
        </w:tc>
      </w:tr>
      <w:tr w14:paraId="211ED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22AF88B4">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安全管理</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3FC7D450">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3E3303F0">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5E8A02F7">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4BBBFAF7">
            <w:pPr>
              <w:pStyle w:val="25"/>
              <w:spacing w:beforeLines="0" w:afterLines="0"/>
              <w:ind w:firstLine="420"/>
              <w:rPr>
                <w:rFonts w:hint="eastAsia" w:ascii="仿宋" w:hAnsi="仿宋" w:eastAsia="仿宋" w:cs="仿宋"/>
                <w:color w:val="auto"/>
                <w:sz w:val="24"/>
                <w:szCs w:val="24"/>
                <w:highlight w:val="none"/>
              </w:rPr>
            </w:pPr>
          </w:p>
        </w:tc>
      </w:tr>
      <w:tr w14:paraId="2D208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6" w:space="0"/>
              <w:right w:val="single" w:color="auto" w:sz="6" w:space="0"/>
              <w:tl2br w:val="nil"/>
              <w:tr2bl w:val="nil"/>
            </w:tcBorders>
            <w:noWrap/>
            <w:vAlign w:val="center"/>
          </w:tcPr>
          <w:p w14:paraId="6BB81E03">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环境管理</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2236DB36">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046CDD2B">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0D638C69">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766F17A0">
            <w:pPr>
              <w:pStyle w:val="25"/>
              <w:spacing w:beforeLines="0" w:afterLines="0"/>
              <w:ind w:firstLine="420"/>
              <w:rPr>
                <w:rFonts w:hint="eastAsia" w:ascii="仿宋" w:hAnsi="仿宋" w:eastAsia="仿宋" w:cs="仿宋"/>
                <w:color w:val="auto"/>
                <w:sz w:val="24"/>
                <w:szCs w:val="24"/>
                <w:highlight w:val="none"/>
              </w:rPr>
            </w:pPr>
          </w:p>
        </w:tc>
      </w:tr>
      <w:tr w14:paraId="7C684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4" w:type="dxa"/>
            <w:tcBorders>
              <w:top w:val="single" w:color="auto" w:sz="6" w:space="0"/>
              <w:left w:val="single" w:color="auto" w:sz="12" w:space="0"/>
              <w:bottom w:val="single" w:color="auto" w:sz="12" w:space="0"/>
              <w:right w:val="single" w:color="auto" w:sz="6" w:space="0"/>
              <w:tl2br w:val="nil"/>
              <w:tr2bl w:val="nil"/>
            </w:tcBorders>
            <w:noWrap/>
            <w:vAlign w:val="center"/>
          </w:tcPr>
          <w:p w14:paraId="716B71ED">
            <w:pPr>
              <w:pStyle w:val="25"/>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其他人员</w:t>
            </w:r>
          </w:p>
        </w:tc>
        <w:tc>
          <w:tcPr>
            <w:tcW w:w="1247" w:type="dxa"/>
            <w:tcBorders>
              <w:top w:val="single" w:color="auto" w:sz="6" w:space="0"/>
              <w:left w:val="single" w:color="auto" w:sz="6" w:space="0"/>
              <w:bottom w:val="single" w:color="auto" w:sz="6" w:space="0"/>
              <w:right w:val="single" w:color="auto" w:sz="6" w:space="0"/>
              <w:tl2br w:val="nil"/>
              <w:tr2bl w:val="nil"/>
            </w:tcBorders>
            <w:noWrap/>
            <w:vAlign w:val="center"/>
          </w:tcPr>
          <w:p w14:paraId="0270B543">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1874E8FC">
            <w:pPr>
              <w:pStyle w:val="25"/>
              <w:spacing w:beforeLines="0" w:afterLines="0"/>
              <w:ind w:firstLine="420"/>
              <w:rPr>
                <w:rFonts w:hint="eastAsia" w:ascii="仿宋" w:hAnsi="仿宋" w:eastAsia="仿宋" w:cs="仿宋"/>
                <w:color w:val="auto"/>
                <w:sz w:val="24"/>
                <w:szCs w:val="24"/>
                <w:highlight w:val="none"/>
              </w:rPr>
            </w:pPr>
          </w:p>
        </w:tc>
        <w:tc>
          <w:tcPr>
            <w:tcW w:w="998" w:type="dxa"/>
            <w:tcBorders>
              <w:top w:val="single" w:color="auto" w:sz="6" w:space="0"/>
              <w:left w:val="single" w:color="auto" w:sz="6" w:space="0"/>
              <w:bottom w:val="single" w:color="auto" w:sz="6" w:space="0"/>
              <w:right w:val="single" w:color="auto" w:sz="6" w:space="0"/>
              <w:tl2br w:val="nil"/>
              <w:tr2bl w:val="nil"/>
            </w:tcBorders>
            <w:noWrap/>
            <w:vAlign w:val="center"/>
          </w:tcPr>
          <w:p w14:paraId="3E2977E4">
            <w:pPr>
              <w:pStyle w:val="25"/>
              <w:spacing w:beforeLines="0" w:afterLines="0"/>
              <w:ind w:firstLine="420"/>
              <w:rPr>
                <w:rFonts w:hint="eastAsia" w:ascii="仿宋" w:hAnsi="仿宋" w:eastAsia="仿宋" w:cs="仿宋"/>
                <w:color w:val="auto"/>
                <w:sz w:val="24"/>
                <w:szCs w:val="24"/>
                <w:highlight w:val="none"/>
              </w:rPr>
            </w:pPr>
          </w:p>
        </w:tc>
        <w:tc>
          <w:tcPr>
            <w:tcW w:w="3430" w:type="dxa"/>
            <w:tcBorders>
              <w:top w:val="single" w:color="auto" w:sz="6" w:space="0"/>
              <w:left w:val="single" w:color="auto" w:sz="6" w:space="0"/>
              <w:bottom w:val="single" w:color="auto" w:sz="6" w:space="0"/>
              <w:right w:val="single" w:color="auto" w:sz="12" w:space="0"/>
              <w:tl2br w:val="nil"/>
              <w:tr2bl w:val="nil"/>
            </w:tcBorders>
            <w:noWrap/>
            <w:vAlign w:val="center"/>
          </w:tcPr>
          <w:p w14:paraId="320924AA">
            <w:pPr>
              <w:pStyle w:val="25"/>
              <w:spacing w:beforeLines="0" w:afterLines="0"/>
              <w:ind w:firstLine="420"/>
              <w:rPr>
                <w:rFonts w:hint="eastAsia" w:ascii="仿宋" w:hAnsi="仿宋" w:eastAsia="仿宋" w:cs="仿宋"/>
                <w:color w:val="auto"/>
                <w:sz w:val="24"/>
                <w:szCs w:val="24"/>
                <w:highlight w:val="none"/>
              </w:rPr>
            </w:pPr>
          </w:p>
        </w:tc>
      </w:tr>
    </w:tbl>
    <w:p w14:paraId="5F8C388C">
      <w:pPr>
        <w:adjustRightInd/>
        <w:spacing w:beforeLines="0" w:afterLines="0" w:line="300" w:lineRule="auto"/>
        <w:rPr>
          <w:rFonts w:ascii="宋体" w:hAnsi="宋体" w:cs="宋体"/>
          <w:color w:val="auto"/>
          <w:sz w:val="24"/>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r>
        <w:rPr>
          <w:rFonts w:hint="default" w:ascii="宋体" w:hAnsi="宋体"/>
          <w:snapToGrid w:val="0"/>
          <w:color w:val="auto"/>
          <w:kern w:val="0"/>
          <w:sz w:val="21"/>
          <w:szCs w:val="21"/>
          <w:highlight w:val="none"/>
        </w:rPr>
        <w:t xml:space="preserve">           </w:t>
      </w:r>
    </w:p>
    <w:p w14:paraId="64F15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4E6622AF">
      <w:pPr>
        <w:spacing w:line="360" w:lineRule="auto"/>
        <w:jc w:val="center"/>
        <w:outlineLvl w:val="0"/>
        <w:rPr>
          <w:rFonts w:ascii="宋体" w:hAnsi="宋体" w:cs="宋体"/>
          <w:b/>
          <w:color w:val="auto"/>
          <w:kern w:val="0"/>
          <w:sz w:val="36"/>
          <w:szCs w:val="36"/>
          <w:highlight w:val="none"/>
        </w:rPr>
      </w:pPr>
    </w:p>
    <w:p w14:paraId="6D5539D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B0657A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E14D42B">
      <w:pPr>
        <w:spacing w:line="360" w:lineRule="auto"/>
        <w:jc w:val="center"/>
        <w:outlineLvl w:val="0"/>
        <w:rPr>
          <w:rFonts w:ascii="宋体" w:hAnsi="宋体" w:cs="宋体"/>
          <w:b/>
          <w:color w:val="auto"/>
          <w:kern w:val="0"/>
          <w:sz w:val="36"/>
          <w:szCs w:val="36"/>
          <w:highlight w:val="none"/>
        </w:rPr>
      </w:pPr>
    </w:p>
    <w:p w14:paraId="1B5F07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F2D102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F07D1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645DF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B31DB28">
      <w:pPr>
        <w:snapToGrid w:val="0"/>
        <w:spacing w:line="360" w:lineRule="auto"/>
        <w:ind w:firstLine="480" w:firstLineChars="200"/>
        <w:rPr>
          <w:rFonts w:ascii="宋体" w:hAnsi="宋体" w:cs="宋体"/>
          <w:color w:val="auto"/>
          <w:sz w:val="24"/>
          <w:highlight w:val="none"/>
        </w:rPr>
      </w:pPr>
    </w:p>
    <w:p w14:paraId="3555F9DE">
      <w:pPr>
        <w:spacing w:line="360" w:lineRule="auto"/>
        <w:ind w:firstLine="480" w:firstLineChars="200"/>
        <w:rPr>
          <w:rFonts w:ascii="宋体" w:hAnsi="宋体" w:cs="宋体"/>
          <w:color w:val="auto"/>
          <w:sz w:val="24"/>
          <w:highlight w:val="none"/>
        </w:rPr>
      </w:pPr>
    </w:p>
    <w:p w14:paraId="1D6A737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59444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9818C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14:paraId="5949011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E08F1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922EB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F0AE9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1A3F5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9C352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094F5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13069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7B146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616DA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4A968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8B8D61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5541E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A2E1BD3">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97B343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168E89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138B012D">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F7AF19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0A1A5CA">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244967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300A1F4">
      <w:pPr>
        <w:widowControl/>
        <w:spacing w:line="360" w:lineRule="auto"/>
        <w:ind w:firstLine="480"/>
        <w:jc w:val="left"/>
        <w:rPr>
          <w:rFonts w:ascii="宋体" w:hAnsi="宋体" w:cs="宋体"/>
          <w:color w:val="auto"/>
          <w:sz w:val="24"/>
          <w:highlight w:val="none"/>
        </w:rPr>
      </w:pPr>
    </w:p>
    <w:p w14:paraId="2E6CE59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1DDB34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DB49B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0D76C73">
      <w:pPr>
        <w:widowControl/>
        <w:spacing w:line="360" w:lineRule="auto"/>
        <w:ind w:left="150"/>
        <w:jc w:val="center"/>
        <w:rPr>
          <w:rFonts w:ascii="宋体" w:hAnsi="宋体" w:cs="宋体"/>
          <w:b/>
          <w:color w:val="auto"/>
          <w:kern w:val="0"/>
          <w:sz w:val="32"/>
          <w:szCs w:val="32"/>
          <w:highlight w:val="none"/>
        </w:rPr>
      </w:pPr>
    </w:p>
    <w:p w14:paraId="1243FBA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5CF98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F2CFBCE">
      <w:pPr>
        <w:rPr>
          <w:rFonts w:ascii="宋体" w:hAnsi="宋体" w:cs="宋体"/>
          <w:color w:val="auto"/>
          <w:highlight w:val="none"/>
        </w:rPr>
      </w:pPr>
    </w:p>
    <w:p w14:paraId="18E4F103">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0095735">
      <w:pPr>
        <w:pStyle w:val="5"/>
        <w:rPr>
          <w:rFonts w:ascii="宋体" w:hAnsi="宋体" w:cs="宋体"/>
          <w:b w:val="0"/>
          <w:color w:val="auto"/>
          <w:kern w:val="0"/>
          <w:sz w:val="36"/>
          <w:szCs w:val="36"/>
          <w:highlight w:val="none"/>
        </w:rPr>
      </w:pPr>
    </w:p>
    <w:p w14:paraId="13BAC72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51779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CB0D943">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1CC9A46E">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D16EB6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63E33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54CAD3C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21D54CF0">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505EA1AB">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6B38B51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CD13D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A4D0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777B95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54709E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2016885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A53BD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F6698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7E8BA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4366D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6AE9BB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4DF5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30E916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4781F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9B287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E6B3B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68D5E4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61CB780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178F23A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14B70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24341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46615C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0C7C2A1E">
      <w:pPr>
        <w:pStyle w:val="81"/>
        <w:ind w:firstLine="960" w:firstLineChars="4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p>
    <w:p w14:paraId="6C9C7522">
      <w:pPr>
        <w:snapToGrid w:val="0"/>
        <w:spacing w:line="360" w:lineRule="auto"/>
        <w:ind w:firstLine="480" w:firstLineChars="200"/>
        <w:rPr>
          <w:rFonts w:ascii="宋体" w:hAnsi="宋体" w:cs="宋体"/>
          <w:color w:val="auto"/>
          <w:sz w:val="24"/>
          <w:highlight w:val="none"/>
        </w:rPr>
      </w:pPr>
    </w:p>
    <w:p w14:paraId="671A8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7854CE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71505E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079573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931D5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3EBDD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002EE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A7D9E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BE6C4F8">
      <w:pPr>
        <w:snapToGrid w:val="0"/>
        <w:spacing w:line="360" w:lineRule="auto"/>
        <w:ind w:left="420" w:leftChars="200" w:firstLine="4200" w:firstLineChars="1750"/>
        <w:rPr>
          <w:rFonts w:ascii="宋体" w:hAnsi="宋体" w:cs="宋体"/>
          <w:color w:val="auto"/>
          <w:kern w:val="0"/>
          <w:sz w:val="24"/>
          <w:highlight w:val="none"/>
          <w:u w:val="single"/>
        </w:rPr>
      </w:pPr>
    </w:p>
    <w:p w14:paraId="102EDC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320835">
      <w:pPr>
        <w:snapToGrid w:val="0"/>
        <w:spacing w:line="360" w:lineRule="auto"/>
        <w:jc w:val="center"/>
        <w:rPr>
          <w:rFonts w:ascii="宋体" w:hAnsi="宋体" w:cs="宋体"/>
          <w:b/>
          <w:color w:val="auto"/>
          <w:kern w:val="0"/>
          <w:sz w:val="32"/>
          <w:szCs w:val="32"/>
          <w:highlight w:val="none"/>
        </w:rPr>
      </w:pPr>
    </w:p>
    <w:p w14:paraId="068483C0">
      <w:pPr>
        <w:snapToGrid w:val="0"/>
        <w:spacing w:line="360" w:lineRule="auto"/>
        <w:rPr>
          <w:rFonts w:ascii="宋体" w:hAnsi="宋体" w:cs="宋体"/>
          <w:color w:val="auto"/>
          <w:sz w:val="24"/>
          <w:highlight w:val="none"/>
        </w:rPr>
      </w:pPr>
    </w:p>
    <w:p w14:paraId="08826E66">
      <w:pPr>
        <w:jc w:val="center"/>
        <w:rPr>
          <w:rFonts w:ascii="宋体" w:hAnsi="宋体" w:cs="宋体"/>
          <w:b/>
          <w:color w:val="auto"/>
          <w:kern w:val="0"/>
          <w:sz w:val="32"/>
          <w:szCs w:val="32"/>
          <w:highlight w:val="none"/>
        </w:rPr>
      </w:pPr>
    </w:p>
    <w:p w14:paraId="246DA7A9">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F5A8BAA">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58A92E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ED2FB82">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4B266A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7D45D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692A24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F3FC4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3A8F8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9B630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2BC3594">
      <w:pPr>
        <w:snapToGrid w:val="0"/>
        <w:spacing w:line="360" w:lineRule="auto"/>
        <w:rPr>
          <w:rFonts w:ascii="宋体" w:hAnsi="宋体" w:cs="宋体"/>
          <w:color w:val="auto"/>
          <w:sz w:val="24"/>
          <w:highlight w:val="none"/>
        </w:rPr>
      </w:pPr>
    </w:p>
    <w:p w14:paraId="72191416">
      <w:pPr>
        <w:snapToGrid w:val="0"/>
        <w:spacing w:line="360" w:lineRule="auto"/>
        <w:rPr>
          <w:rFonts w:ascii="宋体" w:hAnsi="宋体" w:cs="宋体"/>
          <w:color w:val="auto"/>
          <w:sz w:val="24"/>
          <w:highlight w:val="none"/>
        </w:rPr>
      </w:pPr>
    </w:p>
    <w:p w14:paraId="5D18D20C">
      <w:pPr>
        <w:snapToGrid w:val="0"/>
        <w:spacing w:line="360" w:lineRule="auto"/>
        <w:rPr>
          <w:rFonts w:ascii="宋体" w:hAnsi="宋体" w:cs="宋体"/>
          <w:color w:val="auto"/>
          <w:sz w:val="24"/>
          <w:highlight w:val="none"/>
        </w:rPr>
      </w:pPr>
    </w:p>
    <w:p w14:paraId="28C40BE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A76296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8A785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84A37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61F73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A9A3C2">
      <w:pPr>
        <w:jc w:val="center"/>
        <w:rPr>
          <w:rFonts w:ascii="宋体" w:hAnsi="宋体" w:cs="宋体"/>
          <w:b/>
          <w:color w:val="auto"/>
          <w:kern w:val="0"/>
          <w:sz w:val="32"/>
          <w:szCs w:val="32"/>
          <w:highlight w:val="none"/>
        </w:rPr>
      </w:pPr>
    </w:p>
    <w:p w14:paraId="6FC25516">
      <w:pPr>
        <w:jc w:val="center"/>
        <w:rPr>
          <w:rFonts w:ascii="宋体" w:hAnsi="宋体" w:cs="宋体"/>
          <w:b/>
          <w:color w:val="auto"/>
          <w:kern w:val="0"/>
          <w:sz w:val="32"/>
          <w:szCs w:val="32"/>
          <w:highlight w:val="none"/>
        </w:rPr>
      </w:pPr>
    </w:p>
    <w:p w14:paraId="6398ACAE">
      <w:pPr>
        <w:jc w:val="center"/>
        <w:rPr>
          <w:rFonts w:ascii="宋体" w:hAnsi="宋体" w:cs="宋体"/>
          <w:b/>
          <w:color w:val="auto"/>
          <w:kern w:val="0"/>
          <w:sz w:val="32"/>
          <w:szCs w:val="32"/>
          <w:highlight w:val="none"/>
        </w:rPr>
      </w:pPr>
    </w:p>
    <w:p w14:paraId="33115E90">
      <w:pPr>
        <w:rPr>
          <w:rFonts w:ascii="宋体" w:hAnsi="宋体" w:cs="宋体"/>
          <w:color w:val="auto"/>
          <w:highlight w:val="none"/>
        </w:rPr>
      </w:pPr>
    </w:p>
    <w:p w14:paraId="08FDDE6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A667B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853C8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BBC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3C90281">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6B50F12">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32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1CD255">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BA4881E">
            <w:pPr>
              <w:pStyle w:val="150"/>
              <w:adjustRightInd w:val="0"/>
              <w:spacing w:line="360" w:lineRule="auto"/>
              <w:rPr>
                <w:rFonts w:hAnsi="宋体" w:cs="宋体"/>
                <w:bCs/>
                <w:color w:val="auto"/>
                <w:sz w:val="24"/>
                <w:highlight w:val="none"/>
              </w:rPr>
            </w:pPr>
          </w:p>
        </w:tc>
      </w:tr>
    </w:tbl>
    <w:p w14:paraId="4C72D50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303D34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40115B3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2764DDC">
      <w:pPr>
        <w:jc w:val="center"/>
        <w:rPr>
          <w:rFonts w:ascii="宋体" w:hAnsi="宋体" w:cs="宋体"/>
          <w:b/>
          <w:color w:val="auto"/>
          <w:kern w:val="0"/>
          <w:sz w:val="32"/>
          <w:szCs w:val="32"/>
          <w:highlight w:val="none"/>
        </w:rPr>
      </w:pPr>
    </w:p>
    <w:p w14:paraId="09362F45">
      <w:pPr>
        <w:jc w:val="center"/>
        <w:rPr>
          <w:rFonts w:ascii="宋体" w:hAnsi="宋体" w:cs="宋体"/>
          <w:b/>
          <w:color w:val="auto"/>
          <w:kern w:val="0"/>
          <w:sz w:val="32"/>
          <w:szCs w:val="32"/>
          <w:highlight w:val="none"/>
        </w:rPr>
      </w:pPr>
    </w:p>
    <w:p w14:paraId="34B8F1AE">
      <w:pPr>
        <w:jc w:val="center"/>
        <w:rPr>
          <w:rFonts w:ascii="宋体" w:hAnsi="宋体" w:cs="宋体"/>
          <w:b/>
          <w:color w:val="auto"/>
          <w:kern w:val="0"/>
          <w:sz w:val="32"/>
          <w:szCs w:val="32"/>
          <w:highlight w:val="none"/>
        </w:rPr>
      </w:pPr>
    </w:p>
    <w:p w14:paraId="44BF743E">
      <w:pPr>
        <w:jc w:val="center"/>
        <w:rPr>
          <w:rFonts w:ascii="宋体" w:hAnsi="宋体" w:cs="宋体"/>
          <w:b/>
          <w:color w:val="auto"/>
          <w:kern w:val="0"/>
          <w:sz w:val="32"/>
          <w:szCs w:val="32"/>
          <w:highlight w:val="none"/>
        </w:rPr>
      </w:pPr>
    </w:p>
    <w:p w14:paraId="5C26C18F">
      <w:pPr>
        <w:jc w:val="center"/>
        <w:rPr>
          <w:rFonts w:ascii="宋体" w:hAnsi="宋体" w:cs="宋体"/>
          <w:b/>
          <w:color w:val="auto"/>
          <w:kern w:val="0"/>
          <w:sz w:val="32"/>
          <w:szCs w:val="32"/>
          <w:highlight w:val="none"/>
        </w:rPr>
      </w:pPr>
    </w:p>
    <w:p w14:paraId="2D3951D1">
      <w:pPr>
        <w:jc w:val="center"/>
        <w:rPr>
          <w:rFonts w:ascii="宋体" w:hAnsi="宋体" w:cs="宋体"/>
          <w:b/>
          <w:color w:val="auto"/>
          <w:kern w:val="0"/>
          <w:sz w:val="32"/>
          <w:szCs w:val="32"/>
          <w:highlight w:val="none"/>
        </w:rPr>
      </w:pPr>
    </w:p>
    <w:p w14:paraId="5A0B024A">
      <w:pPr>
        <w:jc w:val="center"/>
        <w:rPr>
          <w:rFonts w:ascii="宋体" w:hAnsi="宋体" w:cs="宋体"/>
          <w:b/>
          <w:color w:val="auto"/>
          <w:kern w:val="0"/>
          <w:sz w:val="32"/>
          <w:szCs w:val="32"/>
          <w:highlight w:val="none"/>
        </w:rPr>
      </w:pPr>
    </w:p>
    <w:p w14:paraId="0791E982">
      <w:pPr>
        <w:jc w:val="center"/>
        <w:rPr>
          <w:rFonts w:ascii="宋体" w:hAnsi="宋体" w:cs="宋体"/>
          <w:b/>
          <w:color w:val="auto"/>
          <w:kern w:val="0"/>
          <w:sz w:val="32"/>
          <w:szCs w:val="32"/>
          <w:highlight w:val="none"/>
        </w:rPr>
      </w:pPr>
    </w:p>
    <w:p w14:paraId="4C654276">
      <w:pPr>
        <w:jc w:val="center"/>
        <w:rPr>
          <w:rFonts w:ascii="宋体" w:hAnsi="宋体" w:cs="宋体"/>
          <w:b/>
          <w:color w:val="auto"/>
          <w:kern w:val="0"/>
          <w:sz w:val="32"/>
          <w:szCs w:val="32"/>
          <w:highlight w:val="none"/>
        </w:rPr>
      </w:pPr>
    </w:p>
    <w:p w14:paraId="6C95C690">
      <w:pPr>
        <w:jc w:val="center"/>
        <w:rPr>
          <w:rFonts w:ascii="宋体" w:hAnsi="宋体" w:cs="宋体"/>
          <w:b/>
          <w:color w:val="auto"/>
          <w:kern w:val="0"/>
          <w:sz w:val="32"/>
          <w:szCs w:val="32"/>
          <w:highlight w:val="none"/>
        </w:rPr>
      </w:pPr>
    </w:p>
    <w:p w14:paraId="5A2752D5">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3F6FC4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0F5A0944">
      <w:pPr>
        <w:widowControl/>
        <w:spacing w:line="360" w:lineRule="auto"/>
        <w:ind w:firstLine="120" w:firstLineChars="50"/>
        <w:jc w:val="left"/>
        <w:rPr>
          <w:rFonts w:ascii="宋体" w:hAnsi="宋体" w:cs="宋体"/>
          <w:color w:val="auto"/>
          <w:sz w:val="24"/>
          <w:highlight w:val="none"/>
        </w:rPr>
      </w:pPr>
      <w:bookmarkStart w:id="400"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00"/>
    <w:p w14:paraId="3586B9EA">
      <w:pPr>
        <w:snapToGrid w:val="0"/>
        <w:spacing w:line="360" w:lineRule="auto"/>
        <w:rPr>
          <w:rFonts w:ascii="宋体" w:hAnsi="宋体" w:cs="宋体"/>
          <w:color w:val="auto"/>
          <w:kern w:val="0"/>
          <w:sz w:val="24"/>
          <w:highlight w:val="none"/>
        </w:rPr>
      </w:pPr>
    </w:p>
    <w:p w14:paraId="42434C7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CD07335">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8C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24E09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95C3E3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0F3F7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5FA6D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569ABCC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2AE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9A26B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37BB06E">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0D344A72">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411A7E17">
            <w:pPr>
              <w:rPr>
                <w:rFonts w:ascii="宋体" w:hAnsi="宋体" w:cs="宋体"/>
                <w:color w:val="auto"/>
                <w:sz w:val="24"/>
                <w:highlight w:val="none"/>
              </w:rPr>
            </w:pPr>
            <w:r>
              <w:rPr>
                <w:rFonts w:hint="eastAsia" w:ascii="宋体" w:hAnsi="宋体" w:cs="宋体"/>
                <w:color w:val="auto"/>
                <w:sz w:val="24"/>
                <w:highlight w:val="none"/>
              </w:rPr>
              <w:t>见响应文件</w:t>
            </w:r>
          </w:p>
          <w:p w14:paraId="7196155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F0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F13C2D">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34FA36E">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230F3724">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7C575629">
            <w:pPr>
              <w:rPr>
                <w:rFonts w:ascii="宋体" w:hAnsi="宋体" w:cs="宋体"/>
                <w:color w:val="auto"/>
                <w:sz w:val="24"/>
                <w:highlight w:val="none"/>
              </w:rPr>
            </w:pPr>
            <w:r>
              <w:rPr>
                <w:rFonts w:hint="eastAsia" w:ascii="宋体" w:hAnsi="宋体" w:cs="宋体"/>
                <w:color w:val="auto"/>
                <w:sz w:val="24"/>
                <w:highlight w:val="none"/>
              </w:rPr>
              <w:t>见响应文件</w:t>
            </w:r>
          </w:p>
          <w:p w14:paraId="56959756">
            <w:pPr>
              <w:pStyle w:val="5"/>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13A7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120544">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B65BDF6">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31937438">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5FCF001">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A2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4E156A">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34473C62">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3B140BFA">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574ADEA1">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AF9407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A10B9F">
      <w:pPr>
        <w:jc w:val="center"/>
        <w:rPr>
          <w:rFonts w:ascii="宋体" w:hAnsi="宋体" w:cs="宋体"/>
          <w:b/>
          <w:color w:val="auto"/>
          <w:kern w:val="0"/>
          <w:sz w:val="32"/>
          <w:szCs w:val="32"/>
          <w:highlight w:val="none"/>
        </w:rPr>
      </w:pPr>
    </w:p>
    <w:p w14:paraId="3D30153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EFA19D1">
      <w:pPr>
        <w:jc w:val="center"/>
        <w:rPr>
          <w:rFonts w:ascii="宋体" w:hAnsi="宋体" w:cs="宋体"/>
          <w:b/>
          <w:color w:val="auto"/>
          <w:kern w:val="0"/>
          <w:sz w:val="32"/>
          <w:szCs w:val="32"/>
          <w:highlight w:val="none"/>
        </w:rPr>
      </w:pPr>
    </w:p>
    <w:p w14:paraId="5EABA655">
      <w:pPr>
        <w:jc w:val="center"/>
        <w:rPr>
          <w:rFonts w:ascii="宋体" w:hAnsi="宋体" w:cs="宋体"/>
          <w:b/>
          <w:color w:val="auto"/>
          <w:kern w:val="0"/>
          <w:sz w:val="32"/>
          <w:szCs w:val="32"/>
          <w:highlight w:val="none"/>
        </w:rPr>
      </w:pPr>
    </w:p>
    <w:p w14:paraId="3942334C">
      <w:pPr>
        <w:jc w:val="center"/>
        <w:rPr>
          <w:rFonts w:ascii="宋体" w:hAnsi="宋体" w:cs="宋体"/>
          <w:b/>
          <w:color w:val="auto"/>
          <w:kern w:val="0"/>
          <w:sz w:val="32"/>
          <w:szCs w:val="32"/>
          <w:highlight w:val="none"/>
        </w:rPr>
      </w:pPr>
    </w:p>
    <w:p w14:paraId="442C1178">
      <w:pPr>
        <w:jc w:val="center"/>
        <w:rPr>
          <w:rFonts w:ascii="宋体" w:hAnsi="宋体" w:cs="宋体"/>
          <w:b/>
          <w:color w:val="auto"/>
          <w:kern w:val="0"/>
          <w:sz w:val="32"/>
          <w:szCs w:val="32"/>
          <w:highlight w:val="none"/>
        </w:rPr>
      </w:pPr>
    </w:p>
    <w:p w14:paraId="068E0428">
      <w:pPr>
        <w:jc w:val="center"/>
        <w:rPr>
          <w:rFonts w:ascii="宋体" w:hAnsi="宋体" w:cs="宋体"/>
          <w:b/>
          <w:color w:val="auto"/>
          <w:kern w:val="0"/>
          <w:sz w:val="32"/>
          <w:szCs w:val="32"/>
          <w:highlight w:val="none"/>
        </w:rPr>
      </w:pPr>
    </w:p>
    <w:p w14:paraId="4D9A93A3">
      <w:pPr>
        <w:jc w:val="center"/>
        <w:rPr>
          <w:rFonts w:ascii="宋体" w:hAnsi="宋体" w:cs="宋体"/>
          <w:b/>
          <w:color w:val="auto"/>
          <w:kern w:val="0"/>
          <w:sz w:val="32"/>
          <w:szCs w:val="32"/>
          <w:highlight w:val="none"/>
        </w:rPr>
      </w:pPr>
    </w:p>
    <w:p w14:paraId="6239AE3C">
      <w:pPr>
        <w:jc w:val="center"/>
        <w:rPr>
          <w:rFonts w:ascii="宋体" w:hAnsi="宋体" w:cs="宋体"/>
          <w:b/>
          <w:color w:val="auto"/>
          <w:kern w:val="0"/>
          <w:sz w:val="32"/>
          <w:szCs w:val="32"/>
          <w:highlight w:val="none"/>
        </w:rPr>
      </w:pPr>
    </w:p>
    <w:p w14:paraId="57BD97AA">
      <w:pPr>
        <w:jc w:val="center"/>
        <w:rPr>
          <w:rFonts w:ascii="宋体" w:hAnsi="宋体" w:cs="宋体"/>
          <w:b/>
          <w:color w:val="auto"/>
          <w:kern w:val="0"/>
          <w:sz w:val="32"/>
          <w:szCs w:val="32"/>
          <w:highlight w:val="none"/>
        </w:rPr>
      </w:pPr>
    </w:p>
    <w:p w14:paraId="6F566CA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439A006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52DB3A35">
      <w:pPr>
        <w:jc w:val="center"/>
        <w:rPr>
          <w:rFonts w:ascii="宋体" w:hAnsi="宋体" w:cs="宋体"/>
          <w:b/>
          <w:color w:val="auto"/>
          <w:kern w:val="0"/>
          <w:sz w:val="32"/>
          <w:szCs w:val="32"/>
          <w:highlight w:val="none"/>
        </w:rPr>
      </w:pPr>
    </w:p>
    <w:p w14:paraId="43E63389">
      <w:pPr>
        <w:jc w:val="center"/>
        <w:rPr>
          <w:rFonts w:ascii="宋体" w:hAnsi="宋体" w:cs="宋体"/>
          <w:b/>
          <w:color w:val="auto"/>
          <w:kern w:val="0"/>
          <w:sz w:val="32"/>
          <w:szCs w:val="32"/>
          <w:highlight w:val="none"/>
        </w:rPr>
      </w:pPr>
    </w:p>
    <w:p w14:paraId="61992AB7">
      <w:pPr>
        <w:jc w:val="center"/>
        <w:rPr>
          <w:rFonts w:ascii="宋体" w:hAnsi="宋体" w:cs="宋体"/>
          <w:b/>
          <w:color w:val="auto"/>
          <w:kern w:val="0"/>
          <w:sz w:val="32"/>
          <w:szCs w:val="32"/>
          <w:highlight w:val="none"/>
        </w:rPr>
      </w:pPr>
    </w:p>
    <w:p w14:paraId="54FFCF6F">
      <w:pPr>
        <w:jc w:val="center"/>
        <w:rPr>
          <w:rFonts w:ascii="宋体" w:hAnsi="宋体" w:cs="宋体"/>
          <w:b/>
          <w:color w:val="auto"/>
          <w:kern w:val="0"/>
          <w:sz w:val="32"/>
          <w:szCs w:val="32"/>
          <w:highlight w:val="none"/>
        </w:rPr>
      </w:pPr>
    </w:p>
    <w:p w14:paraId="517E6262">
      <w:pPr>
        <w:jc w:val="center"/>
        <w:rPr>
          <w:rFonts w:ascii="宋体" w:hAnsi="宋体" w:cs="宋体"/>
          <w:b/>
          <w:color w:val="auto"/>
          <w:kern w:val="0"/>
          <w:sz w:val="32"/>
          <w:szCs w:val="32"/>
          <w:highlight w:val="none"/>
        </w:rPr>
      </w:pPr>
    </w:p>
    <w:p w14:paraId="0FE26EE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6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0D05B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E3FCD1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3D48AF6E">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053E5B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5B2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B4A05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0BA9A61">
            <w:pPr>
              <w:jc w:val="center"/>
              <w:rPr>
                <w:rFonts w:ascii="宋体" w:hAnsi="宋体" w:cs="宋体"/>
                <w:b/>
                <w:color w:val="auto"/>
                <w:kern w:val="0"/>
                <w:sz w:val="32"/>
                <w:szCs w:val="32"/>
                <w:highlight w:val="none"/>
              </w:rPr>
            </w:pPr>
          </w:p>
        </w:tc>
        <w:tc>
          <w:tcPr>
            <w:tcW w:w="3546" w:type="dxa"/>
          </w:tcPr>
          <w:p w14:paraId="71C3C91A">
            <w:pPr>
              <w:jc w:val="center"/>
              <w:rPr>
                <w:rFonts w:ascii="宋体" w:hAnsi="宋体" w:cs="宋体"/>
                <w:b/>
                <w:color w:val="auto"/>
                <w:kern w:val="0"/>
                <w:sz w:val="32"/>
                <w:szCs w:val="32"/>
                <w:highlight w:val="none"/>
              </w:rPr>
            </w:pPr>
          </w:p>
        </w:tc>
        <w:tc>
          <w:tcPr>
            <w:tcW w:w="1276" w:type="dxa"/>
          </w:tcPr>
          <w:p w14:paraId="568F0DC8">
            <w:pPr>
              <w:jc w:val="center"/>
              <w:rPr>
                <w:rFonts w:ascii="宋体" w:hAnsi="宋体" w:cs="宋体"/>
                <w:b/>
                <w:color w:val="auto"/>
                <w:kern w:val="0"/>
                <w:sz w:val="32"/>
                <w:szCs w:val="32"/>
                <w:highlight w:val="none"/>
              </w:rPr>
            </w:pPr>
          </w:p>
        </w:tc>
      </w:tr>
      <w:tr w14:paraId="4023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E92F0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885A0AD">
            <w:pPr>
              <w:jc w:val="center"/>
              <w:rPr>
                <w:rFonts w:ascii="宋体" w:hAnsi="宋体" w:cs="宋体"/>
                <w:b/>
                <w:color w:val="auto"/>
                <w:kern w:val="0"/>
                <w:sz w:val="32"/>
                <w:szCs w:val="32"/>
                <w:highlight w:val="none"/>
              </w:rPr>
            </w:pPr>
          </w:p>
        </w:tc>
        <w:tc>
          <w:tcPr>
            <w:tcW w:w="3546" w:type="dxa"/>
          </w:tcPr>
          <w:p w14:paraId="3281A2EE">
            <w:pPr>
              <w:jc w:val="center"/>
              <w:rPr>
                <w:rFonts w:ascii="宋体" w:hAnsi="宋体" w:cs="宋体"/>
                <w:b/>
                <w:color w:val="auto"/>
                <w:kern w:val="0"/>
                <w:sz w:val="32"/>
                <w:szCs w:val="32"/>
                <w:highlight w:val="none"/>
              </w:rPr>
            </w:pPr>
          </w:p>
        </w:tc>
        <w:tc>
          <w:tcPr>
            <w:tcW w:w="1276" w:type="dxa"/>
          </w:tcPr>
          <w:p w14:paraId="09F8DF4E">
            <w:pPr>
              <w:jc w:val="center"/>
              <w:rPr>
                <w:rFonts w:ascii="宋体" w:hAnsi="宋体" w:cs="宋体"/>
                <w:b/>
                <w:color w:val="auto"/>
                <w:kern w:val="0"/>
                <w:sz w:val="32"/>
                <w:szCs w:val="32"/>
                <w:highlight w:val="none"/>
              </w:rPr>
            </w:pPr>
          </w:p>
        </w:tc>
      </w:tr>
      <w:tr w14:paraId="5980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A91C2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328BDDB">
            <w:pPr>
              <w:jc w:val="center"/>
              <w:rPr>
                <w:rFonts w:ascii="宋体" w:hAnsi="宋体" w:cs="宋体"/>
                <w:b/>
                <w:color w:val="auto"/>
                <w:kern w:val="0"/>
                <w:sz w:val="32"/>
                <w:szCs w:val="32"/>
                <w:highlight w:val="none"/>
              </w:rPr>
            </w:pPr>
          </w:p>
        </w:tc>
        <w:tc>
          <w:tcPr>
            <w:tcW w:w="3546" w:type="dxa"/>
          </w:tcPr>
          <w:p w14:paraId="7DC2B7C4">
            <w:pPr>
              <w:jc w:val="center"/>
              <w:rPr>
                <w:rFonts w:ascii="宋体" w:hAnsi="宋体" w:cs="宋体"/>
                <w:b/>
                <w:color w:val="auto"/>
                <w:kern w:val="0"/>
                <w:sz w:val="32"/>
                <w:szCs w:val="32"/>
                <w:highlight w:val="none"/>
              </w:rPr>
            </w:pPr>
          </w:p>
        </w:tc>
        <w:tc>
          <w:tcPr>
            <w:tcW w:w="1276" w:type="dxa"/>
          </w:tcPr>
          <w:p w14:paraId="5070F295">
            <w:pPr>
              <w:jc w:val="center"/>
              <w:rPr>
                <w:rFonts w:ascii="宋体" w:hAnsi="宋体" w:cs="宋体"/>
                <w:b/>
                <w:color w:val="auto"/>
                <w:kern w:val="0"/>
                <w:sz w:val="32"/>
                <w:szCs w:val="32"/>
                <w:highlight w:val="none"/>
              </w:rPr>
            </w:pPr>
          </w:p>
        </w:tc>
      </w:tr>
    </w:tbl>
    <w:p w14:paraId="08CB1D37">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406FB7CC">
      <w:pPr>
        <w:jc w:val="center"/>
        <w:rPr>
          <w:rFonts w:ascii="宋体" w:hAnsi="宋体" w:cs="宋体"/>
          <w:b/>
          <w:color w:val="auto"/>
          <w:kern w:val="0"/>
          <w:sz w:val="32"/>
          <w:szCs w:val="32"/>
          <w:highlight w:val="none"/>
        </w:rPr>
      </w:pPr>
    </w:p>
    <w:p w14:paraId="4F6CAC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22AD6E">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626FF7A4">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C02558B">
      <w:pPr>
        <w:snapToGrid w:val="0"/>
        <w:spacing w:line="360" w:lineRule="auto"/>
        <w:rPr>
          <w:rFonts w:ascii="宋体" w:hAnsi="宋体" w:cs="宋体"/>
          <w:color w:val="auto"/>
          <w:sz w:val="24"/>
          <w:highlight w:val="none"/>
        </w:rPr>
      </w:pPr>
    </w:p>
    <w:p w14:paraId="09AF61B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4BE884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63A8D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3A5845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C92970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755C64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49FB5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3A9ECB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47045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FE63F7E">
      <w:pPr>
        <w:autoSpaceDE w:val="0"/>
        <w:autoSpaceDN w:val="0"/>
        <w:spacing w:line="360" w:lineRule="auto"/>
        <w:ind w:left="2"/>
        <w:jc w:val="left"/>
        <w:rPr>
          <w:rFonts w:ascii="宋体" w:hAnsi="宋体" w:cs="宋体"/>
          <w:color w:val="auto"/>
          <w:kern w:val="0"/>
          <w:sz w:val="24"/>
          <w:highlight w:val="none"/>
          <w:lang w:val="zh-CN"/>
        </w:rPr>
      </w:pPr>
    </w:p>
    <w:p w14:paraId="717FF336">
      <w:pPr>
        <w:autoSpaceDE w:val="0"/>
        <w:autoSpaceDN w:val="0"/>
        <w:spacing w:line="360" w:lineRule="auto"/>
        <w:ind w:left="2"/>
        <w:jc w:val="left"/>
        <w:rPr>
          <w:rFonts w:ascii="宋体" w:hAnsi="宋体" w:cs="宋体"/>
          <w:color w:val="auto"/>
          <w:kern w:val="0"/>
          <w:sz w:val="24"/>
          <w:highlight w:val="none"/>
          <w:lang w:val="zh-CN"/>
        </w:rPr>
      </w:pPr>
    </w:p>
    <w:p w14:paraId="7F3FD206">
      <w:pPr>
        <w:autoSpaceDE w:val="0"/>
        <w:autoSpaceDN w:val="0"/>
        <w:spacing w:line="360" w:lineRule="auto"/>
        <w:ind w:left="2"/>
        <w:jc w:val="left"/>
        <w:rPr>
          <w:rFonts w:ascii="宋体" w:hAnsi="宋体" w:cs="宋体"/>
          <w:color w:val="auto"/>
          <w:kern w:val="0"/>
          <w:sz w:val="24"/>
          <w:highlight w:val="none"/>
          <w:lang w:val="zh-CN"/>
        </w:rPr>
      </w:pPr>
    </w:p>
    <w:p w14:paraId="7FED7AF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E15252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42D866C">
      <w:pPr>
        <w:spacing w:line="360" w:lineRule="auto"/>
        <w:jc w:val="center"/>
        <w:rPr>
          <w:rFonts w:ascii="宋体" w:hAnsi="宋体" w:cs="宋体"/>
          <w:b/>
          <w:bCs/>
          <w:color w:val="auto"/>
          <w:sz w:val="24"/>
          <w:highlight w:val="none"/>
        </w:rPr>
      </w:pPr>
    </w:p>
    <w:p w14:paraId="0F4876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657521">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308CD78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AE0030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9A50D1">
      <w:pPr>
        <w:spacing w:line="360" w:lineRule="auto"/>
        <w:jc w:val="center"/>
        <w:outlineLvl w:val="0"/>
        <w:rPr>
          <w:rFonts w:ascii="宋体" w:hAnsi="宋体" w:cs="宋体"/>
          <w:b/>
          <w:color w:val="auto"/>
          <w:kern w:val="0"/>
          <w:sz w:val="36"/>
          <w:szCs w:val="36"/>
          <w:highlight w:val="none"/>
        </w:rPr>
      </w:pPr>
    </w:p>
    <w:p w14:paraId="37B8E6B0">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7A057D97">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A5190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14:paraId="1C0B609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1C360F78">
      <w:pPr>
        <w:pStyle w:val="81"/>
        <w:rPr>
          <w:color w:val="auto"/>
          <w:highlight w:val="none"/>
        </w:rPr>
      </w:pPr>
    </w:p>
    <w:p w14:paraId="1467C7B9">
      <w:pPr>
        <w:snapToGrid w:val="0"/>
        <w:spacing w:line="360" w:lineRule="auto"/>
        <w:ind w:right="480"/>
        <w:jc w:val="center"/>
        <w:rPr>
          <w:rFonts w:ascii="宋体" w:hAnsi="宋体" w:cs="宋体"/>
          <w:b/>
          <w:color w:val="auto"/>
          <w:kern w:val="0"/>
          <w:sz w:val="32"/>
          <w:szCs w:val="32"/>
          <w:highlight w:val="none"/>
        </w:rPr>
      </w:pPr>
    </w:p>
    <w:p w14:paraId="455CBA6E">
      <w:pPr>
        <w:snapToGrid w:val="0"/>
        <w:spacing w:line="360" w:lineRule="auto"/>
        <w:ind w:right="480"/>
        <w:jc w:val="center"/>
        <w:rPr>
          <w:rFonts w:ascii="宋体" w:hAnsi="宋体" w:cs="宋体"/>
          <w:b/>
          <w:color w:val="auto"/>
          <w:kern w:val="0"/>
          <w:sz w:val="32"/>
          <w:szCs w:val="32"/>
          <w:highlight w:val="none"/>
        </w:rPr>
      </w:pPr>
    </w:p>
    <w:p w14:paraId="11790E62">
      <w:pPr>
        <w:snapToGrid w:val="0"/>
        <w:spacing w:line="360" w:lineRule="auto"/>
        <w:ind w:right="480"/>
        <w:jc w:val="center"/>
        <w:rPr>
          <w:rFonts w:ascii="宋体" w:hAnsi="宋体" w:cs="宋体"/>
          <w:b/>
          <w:color w:val="auto"/>
          <w:kern w:val="0"/>
          <w:sz w:val="32"/>
          <w:szCs w:val="32"/>
          <w:highlight w:val="none"/>
        </w:rPr>
      </w:pPr>
    </w:p>
    <w:p w14:paraId="3D7932A3">
      <w:pPr>
        <w:snapToGrid w:val="0"/>
        <w:spacing w:line="360" w:lineRule="auto"/>
        <w:ind w:right="480"/>
        <w:jc w:val="center"/>
        <w:rPr>
          <w:rFonts w:ascii="宋体" w:hAnsi="宋体" w:cs="宋体"/>
          <w:b/>
          <w:color w:val="auto"/>
          <w:kern w:val="0"/>
          <w:sz w:val="32"/>
          <w:szCs w:val="32"/>
          <w:highlight w:val="none"/>
        </w:rPr>
      </w:pPr>
    </w:p>
    <w:p w14:paraId="1885F413">
      <w:pPr>
        <w:snapToGrid w:val="0"/>
        <w:spacing w:line="360" w:lineRule="auto"/>
        <w:ind w:right="480"/>
        <w:jc w:val="center"/>
        <w:rPr>
          <w:rFonts w:ascii="宋体" w:hAnsi="宋体" w:cs="宋体"/>
          <w:b/>
          <w:color w:val="auto"/>
          <w:kern w:val="0"/>
          <w:sz w:val="32"/>
          <w:szCs w:val="32"/>
          <w:highlight w:val="none"/>
        </w:rPr>
      </w:pPr>
    </w:p>
    <w:p w14:paraId="2F57BCF4">
      <w:pPr>
        <w:snapToGrid w:val="0"/>
        <w:spacing w:line="360" w:lineRule="auto"/>
        <w:ind w:right="480"/>
        <w:jc w:val="center"/>
        <w:rPr>
          <w:rFonts w:ascii="宋体" w:hAnsi="宋体" w:cs="宋体"/>
          <w:b/>
          <w:color w:val="auto"/>
          <w:kern w:val="0"/>
          <w:sz w:val="32"/>
          <w:szCs w:val="32"/>
          <w:highlight w:val="none"/>
        </w:rPr>
      </w:pPr>
    </w:p>
    <w:p w14:paraId="203F4261">
      <w:pPr>
        <w:snapToGrid w:val="0"/>
        <w:spacing w:line="360" w:lineRule="auto"/>
        <w:ind w:right="480"/>
        <w:jc w:val="center"/>
        <w:rPr>
          <w:rFonts w:ascii="宋体" w:hAnsi="宋体" w:cs="宋体"/>
          <w:b/>
          <w:color w:val="auto"/>
          <w:kern w:val="0"/>
          <w:sz w:val="32"/>
          <w:szCs w:val="32"/>
          <w:highlight w:val="none"/>
        </w:rPr>
      </w:pPr>
    </w:p>
    <w:p w14:paraId="405FAD50">
      <w:pPr>
        <w:snapToGrid w:val="0"/>
        <w:spacing w:line="360" w:lineRule="auto"/>
        <w:ind w:right="480"/>
        <w:jc w:val="center"/>
        <w:rPr>
          <w:rFonts w:ascii="宋体" w:hAnsi="宋体" w:cs="宋体"/>
          <w:b/>
          <w:color w:val="auto"/>
          <w:kern w:val="0"/>
          <w:sz w:val="32"/>
          <w:szCs w:val="32"/>
          <w:highlight w:val="none"/>
        </w:rPr>
      </w:pPr>
    </w:p>
    <w:p w14:paraId="5B988175">
      <w:pPr>
        <w:snapToGrid w:val="0"/>
        <w:spacing w:line="360" w:lineRule="auto"/>
        <w:ind w:right="480"/>
        <w:jc w:val="center"/>
        <w:rPr>
          <w:rFonts w:ascii="宋体" w:hAnsi="宋体" w:cs="宋体"/>
          <w:b/>
          <w:color w:val="auto"/>
          <w:kern w:val="0"/>
          <w:sz w:val="32"/>
          <w:szCs w:val="32"/>
          <w:highlight w:val="none"/>
        </w:rPr>
      </w:pPr>
    </w:p>
    <w:p w14:paraId="2421F881">
      <w:pPr>
        <w:snapToGrid w:val="0"/>
        <w:spacing w:line="360" w:lineRule="auto"/>
        <w:ind w:right="480"/>
        <w:jc w:val="center"/>
        <w:rPr>
          <w:rFonts w:ascii="宋体" w:hAnsi="宋体" w:cs="宋体"/>
          <w:b/>
          <w:color w:val="auto"/>
          <w:kern w:val="0"/>
          <w:sz w:val="32"/>
          <w:szCs w:val="32"/>
          <w:highlight w:val="none"/>
        </w:rPr>
      </w:pPr>
    </w:p>
    <w:p w14:paraId="6E60B643">
      <w:pPr>
        <w:snapToGrid w:val="0"/>
        <w:spacing w:line="360" w:lineRule="auto"/>
        <w:ind w:right="480"/>
        <w:jc w:val="center"/>
        <w:rPr>
          <w:rFonts w:ascii="宋体" w:hAnsi="宋体" w:cs="宋体"/>
          <w:b/>
          <w:color w:val="auto"/>
          <w:kern w:val="0"/>
          <w:sz w:val="32"/>
          <w:szCs w:val="32"/>
          <w:highlight w:val="none"/>
        </w:rPr>
      </w:pPr>
    </w:p>
    <w:p w14:paraId="25268210">
      <w:pPr>
        <w:snapToGrid w:val="0"/>
        <w:spacing w:line="360" w:lineRule="auto"/>
        <w:ind w:right="480"/>
        <w:jc w:val="center"/>
        <w:rPr>
          <w:rFonts w:ascii="宋体" w:hAnsi="宋体" w:cs="宋体"/>
          <w:b/>
          <w:color w:val="auto"/>
          <w:kern w:val="0"/>
          <w:sz w:val="32"/>
          <w:szCs w:val="32"/>
          <w:highlight w:val="none"/>
        </w:rPr>
      </w:pPr>
    </w:p>
    <w:p w14:paraId="242B7AA1">
      <w:pPr>
        <w:snapToGrid w:val="0"/>
        <w:spacing w:line="360" w:lineRule="auto"/>
        <w:ind w:right="480"/>
        <w:jc w:val="center"/>
        <w:rPr>
          <w:rFonts w:ascii="宋体" w:hAnsi="宋体" w:cs="宋体"/>
          <w:b/>
          <w:color w:val="auto"/>
          <w:kern w:val="0"/>
          <w:sz w:val="32"/>
          <w:szCs w:val="32"/>
          <w:highlight w:val="none"/>
        </w:rPr>
      </w:pPr>
    </w:p>
    <w:p w14:paraId="3500D204">
      <w:pPr>
        <w:snapToGrid w:val="0"/>
        <w:spacing w:line="360" w:lineRule="auto"/>
        <w:ind w:right="480"/>
        <w:jc w:val="center"/>
        <w:rPr>
          <w:rFonts w:ascii="宋体" w:hAnsi="宋体" w:cs="宋体"/>
          <w:b/>
          <w:color w:val="auto"/>
          <w:kern w:val="0"/>
          <w:sz w:val="32"/>
          <w:szCs w:val="32"/>
          <w:highlight w:val="none"/>
        </w:rPr>
      </w:pPr>
    </w:p>
    <w:p w14:paraId="6E1B9A21">
      <w:pPr>
        <w:snapToGrid w:val="0"/>
        <w:spacing w:line="360" w:lineRule="auto"/>
        <w:ind w:right="480"/>
        <w:jc w:val="center"/>
        <w:rPr>
          <w:rFonts w:ascii="宋体" w:hAnsi="宋体" w:cs="宋体"/>
          <w:b/>
          <w:color w:val="auto"/>
          <w:kern w:val="0"/>
          <w:sz w:val="32"/>
          <w:szCs w:val="32"/>
          <w:highlight w:val="none"/>
        </w:rPr>
      </w:pPr>
    </w:p>
    <w:p w14:paraId="432DF88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4D658A5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593AA4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6B895C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E95CDD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7A7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2E75E025">
            <w:pPr>
              <w:spacing w:beforeLines="0" w:afterLines="0" w:line="360" w:lineRule="auto"/>
              <w:jc w:val="center"/>
              <w:rPr>
                <w:rFonts w:ascii="宋体" w:hAnsi="宋体" w:cs="宋体"/>
                <w:b/>
                <w:color w:val="auto"/>
                <w:sz w:val="24"/>
                <w:highlight w:val="none"/>
              </w:rPr>
            </w:pPr>
            <w:r>
              <w:rPr>
                <w:rFonts w:hint="eastAsia" w:ascii="宋体" w:hAnsi="宋体" w:cs="宋体"/>
                <w:b/>
                <w:color w:val="auto"/>
                <w:sz w:val="24"/>
                <w:szCs w:val="24"/>
                <w:highlight w:val="none"/>
              </w:rPr>
              <w:t>项目名称</w:t>
            </w:r>
          </w:p>
        </w:tc>
        <w:tc>
          <w:tcPr>
            <w:tcW w:w="1843" w:type="dxa"/>
            <w:vAlign w:val="top"/>
          </w:tcPr>
          <w:p w14:paraId="5DFF086F">
            <w:pPr>
              <w:spacing w:beforeLines="0" w:afterLines="0" w:line="360" w:lineRule="auto"/>
              <w:jc w:val="center"/>
              <w:rPr>
                <w:rFonts w:hint="eastAsia" w:ascii="宋体" w:hAnsi="宋体" w:cs="宋体"/>
                <w:b/>
                <w:color w:val="auto"/>
                <w:sz w:val="24"/>
                <w:szCs w:val="24"/>
                <w:highlight w:val="none"/>
              </w:rPr>
            </w:pPr>
          </w:p>
          <w:p w14:paraId="2CDADA9D">
            <w:pPr>
              <w:spacing w:beforeLines="0" w:afterLines="0" w:line="360" w:lineRule="auto"/>
              <w:jc w:val="center"/>
              <w:rPr>
                <w:rFonts w:ascii="宋体" w:hAnsi="宋体" w:cs="宋体"/>
                <w:b/>
                <w:color w:val="auto"/>
                <w:sz w:val="24"/>
                <w:highlight w:val="none"/>
              </w:rPr>
            </w:pPr>
            <w:r>
              <w:rPr>
                <w:rFonts w:hint="eastAsia" w:ascii="宋体" w:hAnsi="宋体" w:cs="宋体"/>
                <w:b/>
                <w:color w:val="auto"/>
                <w:sz w:val="24"/>
                <w:szCs w:val="24"/>
                <w:highlight w:val="none"/>
              </w:rPr>
              <w:t>范围</w:t>
            </w:r>
          </w:p>
        </w:tc>
        <w:tc>
          <w:tcPr>
            <w:tcW w:w="3118" w:type="dxa"/>
            <w:vAlign w:val="center"/>
          </w:tcPr>
          <w:p w14:paraId="7B5B1B63">
            <w:pPr>
              <w:spacing w:beforeLines="0" w:afterLines="0" w:line="360" w:lineRule="auto"/>
              <w:jc w:val="center"/>
              <w:rPr>
                <w:rFonts w:ascii="宋体" w:hAnsi="宋体" w:cs="宋体"/>
                <w:b/>
                <w:color w:val="auto"/>
                <w:sz w:val="24"/>
                <w:highlight w:val="none"/>
              </w:rPr>
            </w:pPr>
            <w:r>
              <w:rPr>
                <w:rFonts w:hint="eastAsia" w:ascii="宋体" w:hAnsi="宋体" w:cs="宋体"/>
                <w:b/>
                <w:color w:val="auto"/>
                <w:sz w:val="24"/>
                <w:szCs w:val="24"/>
                <w:highlight w:val="none"/>
              </w:rPr>
              <w:t>工期</w:t>
            </w:r>
          </w:p>
        </w:tc>
        <w:tc>
          <w:tcPr>
            <w:tcW w:w="2552" w:type="dxa"/>
            <w:vAlign w:val="center"/>
          </w:tcPr>
          <w:p w14:paraId="6E4C546F">
            <w:pPr>
              <w:spacing w:beforeLines="0" w:afterLines="0" w:line="360" w:lineRule="auto"/>
              <w:jc w:val="center"/>
              <w:rPr>
                <w:rFonts w:ascii="宋体" w:hAnsi="宋体" w:cs="宋体"/>
                <w:b/>
                <w:color w:val="auto"/>
                <w:sz w:val="24"/>
                <w:highlight w:val="none"/>
              </w:rPr>
            </w:pPr>
            <w:r>
              <w:rPr>
                <w:rFonts w:hint="eastAsia" w:ascii="宋体" w:hAnsi="宋体" w:cs="宋体"/>
                <w:b/>
                <w:color w:val="auto"/>
                <w:sz w:val="24"/>
                <w:szCs w:val="24"/>
                <w:highlight w:val="none"/>
              </w:rPr>
              <w:t>项目</w:t>
            </w:r>
            <w:r>
              <w:rPr>
                <w:rFonts w:hint="eastAsia" w:ascii="宋体" w:hAnsi="宋体" w:cs="宋体"/>
                <w:b/>
                <w:color w:val="auto"/>
                <w:sz w:val="24"/>
                <w:szCs w:val="24"/>
                <w:highlight w:val="none"/>
                <w:lang w:val="en-US" w:eastAsia="zh-CN"/>
              </w:rPr>
              <w:t>负责人</w:t>
            </w:r>
          </w:p>
        </w:tc>
        <w:tc>
          <w:tcPr>
            <w:tcW w:w="1984" w:type="dxa"/>
            <w:vAlign w:val="center"/>
          </w:tcPr>
          <w:p w14:paraId="31ABCD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F553594">
            <w:pPr>
              <w:spacing w:line="360" w:lineRule="auto"/>
              <w:jc w:val="center"/>
              <w:rPr>
                <w:rFonts w:ascii="宋体" w:hAnsi="宋体" w:cs="宋体"/>
                <w:b/>
                <w:color w:val="auto"/>
                <w:sz w:val="24"/>
                <w:highlight w:val="none"/>
              </w:rPr>
            </w:pPr>
          </w:p>
          <w:p w14:paraId="6C38E8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55617EE">
            <w:pPr>
              <w:spacing w:line="360" w:lineRule="auto"/>
              <w:jc w:val="center"/>
              <w:rPr>
                <w:rFonts w:ascii="宋体" w:hAnsi="宋体" w:cs="宋体"/>
                <w:b/>
                <w:color w:val="auto"/>
                <w:sz w:val="24"/>
                <w:highlight w:val="none"/>
              </w:rPr>
            </w:pPr>
          </w:p>
        </w:tc>
      </w:tr>
      <w:tr w14:paraId="497C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01E1BC93">
            <w:pPr>
              <w:snapToGrid w:val="0"/>
              <w:spacing w:beforeLines="0" w:afterLines="0" w:line="360" w:lineRule="auto"/>
              <w:jc w:val="center"/>
              <w:rPr>
                <w:rFonts w:ascii="宋体" w:hAnsi="宋体" w:cs="宋体"/>
                <w:color w:val="auto"/>
                <w:sz w:val="24"/>
                <w:highlight w:val="none"/>
              </w:rPr>
            </w:pPr>
            <w:r>
              <w:rPr>
                <w:rFonts w:hint="eastAsia" w:ascii="宋体" w:hAnsi="宋体" w:cs="宋体"/>
                <w:color w:val="auto"/>
                <w:sz w:val="24"/>
                <w:szCs w:val="24"/>
                <w:highlight w:val="none"/>
                <w:lang w:val="en-US" w:eastAsia="zh-CN"/>
              </w:rPr>
              <w:t>设计部分</w:t>
            </w:r>
          </w:p>
        </w:tc>
        <w:tc>
          <w:tcPr>
            <w:tcW w:w="1843" w:type="dxa"/>
            <w:vAlign w:val="center"/>
          </w:tcPr>
          <w:p w14:paraId="7CA882C3">
            <w:pPr>
              <w:snapToGrid w:val="0"/>
              <w:spacing w:beforeLines="0" w:afterLines="0" w:line="360" w:lineRule="auto"/>
              <w:jc w:val="center"/>
              <w:rPr>
                <w:rFonts w:ascii="宋体" w:hAnsi="宋体" w:cs="宋体"/>
                <w:color w:val="auto"/>
                <w:sz w:val="24"/>
                <w:highlight w:val="none"/>
              </w:rPr>
            </w:pPr>
          </w:p>
        </w:tc>
        <w:tc>
          <w:tcPr>
            <w:tcW w:w="3118" w:type="dxa"/>
            <w:vAlign w:val="center"/>
          </w:tcPr>
          <w:p w14:paraId="26AF12CC">
            <w:pPr>
              <w:snapToGrid w:val="0"/>
              <w:spacing w:beforeLines="0" w:afterLines="0" w:line="360" w:lineRule="auto"/>
              <w:jc w:val="center"/>
              <w:rPr>
                <w:rFonts w:ascii="宋体" w:hAnsi="宋体" w:cs="宋体"/>
                <w:color w:val="auto"/>
                <w:sz w:val="24"/>
                <w:highlight w:val="none"/>
              </w:rPr>
            </w:pPr>
          </w:p>
        </w:tc>
        <w:tc>
          <w:tcPr>
            <w:tcW w:w="2552" w:type="dxa"/>
            <w:vAlign w:val="center"/>
          </w:tcPr>
          <w:p w14:paraId="1C6C6AC0">
            <w:pPr>
              <w:spacing w:beforeLines="0" w:afterLines="0" w:line="360" w:lineRule="auto"/>
              <w:jc w:val="center"/>
              <w:rPr>
                <w:rFonts w:ascii="宋体" w:hAnsi="宋体" w:cs="宋体"/>
                <w:color w:val="auto"/>
                <w:sz w:val="24"/>
                <w:highlight w:val="none"/>
              </w:rPr>
            </w:pPr>
          </w:p>
        </w:tc>
        <w:tc>
          <w:tcPr>
            <w:tcW w:w="1984" w:type="dxa"/>
            <w:vAlign w:val="center"/>
          </w:tcPr>
          <w:p w14:paraId="27A9DA27">
            <w:pPr>
              <w:spacing w:line="360" w:lineRule="auto"/>
              <w:jc w:val="center"/>
              <w:rPr>
                <w:rFonts w:ascii="宋体" w:hAnsi="宋体" w:cs="宋体"/>
                <w:color w:val="auto"/>
                <w:sz w:val="24"/>
                <w:highlight w:val="none"/>
              </w:rPr>
            </w:pPr>
          </w:p>
        </w:tc>
        <w:tc>
          <w:tcPr>
            <w:tcW w:w="3119" w:type="dxa"/>
            <w:vAlign w:val="center"/>
          </w:tcPr>
          <w:p w14:paraId="7CA1E351">
            <w:pPr>
              <w:spacing w:line="360" w:lineRule="auto"/>
              <w:jc w:val="center"/>
              <w:rPr>
                <w:rFonts w:ascii="宋体" w:hAnsi="宋体" w:cs="宋体"/>
                <w:color w:val="auto"/>
                <w:sz w:val="24"/>
                <w:highlight w:val="none"/>
              </w:rPr>
            </w:pPr>
          </w:p>
        </w:tc>
      </w:tr>
      <w:tr w14:paraId="4EA1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6EC1BB50">
            <w:pPr>
              <w:snapToGrid w:val="0"/>
              <w:spacing w:beforeLines="0" w:afterLines="0" w:line="360" w:lineRule="auto"/>
              <w:jc w:val="center"/>
              <w:rPr>
                <w:rFonts w:ascii="宋体" w:hAnsi="宋体" w:cs="宋体"/>
                <w:color w:val="auto"/>
                <w:sz w:val="24"/>
                <w:highlight w:val="none"/>
              </w:rPr>
            </w:pPr>
            <w:r>
              <w:rPr>
                <w:rFonts w:hint="eastAsia" w:ascii="宋体" w:hAnsi="宋体" w:cs="宋体"/>
                <w:color w:val="auto"/>
                <w:sz w:val="24"/>
                <w:szCs w:val="24"/>
                <w:highlight w:val="none"/>
                <w:lang w:val="en-US" w:eastAsia="zh-CN"/>
              </w:rPr>
              <w:t>施工部分</w:t>
            </w:r>
          </w:p>
        </w:tc>
        <w:tc>
          <w:tcPr>
            <w:tcW w:w="1843" w:type="dxa"/>
            <w:vAlign w:val="center"/>
          </w:tcPr>
          <w:p w14:paraId="36EF3C30">
            <w:pPr>
              <w:snapToGrid w:val="0"/>
              <w:spacing w:beforeLines="0" w:afterLines="0" w:line="360" w:lineRule="auto"/>
              <w:jc w:val="center"/>
              <w:rPr>
                <w:rFonts w:ascii="宋体" w:hAnsi="宋体" w:cs="宋体"/>
                <w:color w:val="auto"/>
                <w:sz w:val="24"/>
                <w:highlight w:val="none"/>
              </w:rPr>
            </w:pPr>
          </w:p>
        </w:tc>
        <w:tc>
          <w:tcPr>
            <w:tcW w:w="3118" w:type="dxa"/>
            <w:vAlign w:val="center"/>
          </w:tcPr>
          <w:p w14:paraId="15A2BFE0">
            <w:pPr>
              <w:snapToGrid w:val="0"/>
              <w:spacing w:beforeLines="0" w:afterLines="0" w:line="360" w:lineRule="auto"/>
              <w:jc w:val="center"/>
              <w:rPr>
                <w:rFonts w:ascii="宋体" w:hAnsi="宋体" w:cs="宋体"/>
                <w:color w:val="auto"/>
                <w:sz w:val="24"/>
                <w:highlight w:val="none"/>
              </w:rPr>
            </w:pPr>
          </w:p>
        </w:tc>
        <w:tc>
          <w:tcPr>
            <w:tcW w:w="2552" w:type="dxa"/>
            <w:vAlign w:val="center"/>
          </w:tcPr>
          <w:p w14:paraId="43972512">
            <w:pPr>
              <w:spacing w:beforeLines="0" w:afterLines="0" w:line="360" w:lineRule="auto"/>
              <w:jc w:val="center"/>
              <w:rPr>
                <w:rFonts w:ascii="宋体" w:hAnsi="宋体" w:cs="宋体"/>
                <w:color w:val="auto"/>
                <w:sz w:val="24"/>
                <w:highlight w:val="none"/>
              </w:rPr>
            </w:pPr>
          </w:p>
        </w:tc>
        <w:tc>
          <w:tcPr>
            <w:tcW w:w="1984" w:type="dxa"/>
            <w:vAlign w:val="center"/>
          </w:tcPr>
          <w:p w14:paraId="23E10E03">
            <w:pPr>
              <w:spacing w:line="360" w:lineRule="auto"/>
              <w:jc w:val="center"/>
              <w:rPr>
                <w:rFonts w:ascii="宋体" w:hAnsi="宋体" w:cs="宋体"/>
                <w:color w:val="auto"/>
                <w:sz w:val="24"/>
                <w:highlight w:val="none"/>
              </w:rPr>
            </w:pPr>
          </w:p>
        </w:tc>
        <w:tc>
          <w:tcPr>
            <w:tcW w:w="3119" w:type="dxa"/>
            <w:vAlign w:val="center"/>
          </w:tcPr>
          <w:p w14:paraId="2ABAA6B5">
            <w:pPr>
              <w:spacing w:line="360" w:lineRule="auto"/>
              <w:jc w:val="center"/>
              <w:rPr>
                <w:rFonts w:ascii="宋体" w:hAnsi="宋体" w:cs="宋体"/>
                <w:color w:val="auto"/>
                <w:sz w:val="24"/>
                <w:highlight w:val="none"/>
              </w:rPr>
            </w:pPr>
          </w:p>
        </w:tc>
      </w:tr>
      <w:tr w14:paraId="4B67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7C074B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w:t>
            </w:r>
            <w:r>
              <w:rPr>
                <w:rFonts w:hint="eastAsia" w:ascii="宋体" w:hAnsi="宋体" w:cs="宋体"/>
                <w:b/>
                <w:color w:val="auto"/>
                <w:sz w:val="24"/>
                <w:highlight w:val="none"/>
                <w:lang w:val="en-US" w:eastAsia="zh-CN"/>
              </w:rPr>
              <w:t>总计</w:t>
            </w:r>
            <w:r>
              <w:rPr>
                <w:rFonts w:hint="eastAsia" w:ascii="宋体" w:hAnsi="宋体" w:cs="宋体"/>
                <w:b/>
                <w:color w:val="auto"/>
                <w:sz w:val="24"/>
                <w:highlight w:val="none"/>
              </w:rPr>
              <w:t>（小写）</w:t>
            </w:r>
          </w:p>
        </w:tc>
        <w:tc>
          <w:tcPr>
            <w:tcW w:w="7655" w:type="dxa"/>
            <w:gridSpan w:val="3"/>
            <w:vAlign w:val="center"/>
          </w:tcPr>
          <w:p w14:paraId="1E0D122A">
            <w:pPr>
              <w:spacing w:line="360" w:lineRule="auto"/>
              <w:jc w:val="center"/>
              <w:rPr>
                <w:rFonts w:ascii="宋体" w:hAnsi="宋体" w:cs="宋体"/>
                <w:color w:val="auto"/>
                <w:sz w:val="24"/>
                <w:highlight w:val="none"/>
              </w:rPr>
            </w:pPr>
          </w:p>
        </w:tc>
      </w:tr>
      <w:tr w14:paraId="459A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40D752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w:t>
            </w:r>
            <w:r>
              <w:rPr>
                <w:rFonts w:hint="eastAsia" w:ascii="宋体" w:hAnsi="宋体" w:cs="宋体"/>
                <w:b/>
                <w:color w:val="auto"/>
                <w:sz w:val="24"/>
                <w:highlight w:val="none"/>
                <w:lang w:val="en-US" w:eastAsia="zh-CN"/>
              </w:rPr>
              <w:t>总计</w:t>
            </w:r>
            <w:r>
              <w:rPr>
                <w:rFonts w:hint="eastAsia" w:ascii="宋体" w:hAnsi="宋体" w:cs="宋体"/>
                <w:b/>
                <w:color w:val="auto"/>
                <w:sz w:val="24"/>
                <w:highlight w:val="none"/>
              </w:rPr>
              <w:t>（大写）</w:t>
            </w:r>
          </w:p>
        </w:tc>
        <w:tc>
          <w:tcPr>
            <w:tcW w:w="7655" w:type="dxa"/>
            <w:gridSpan w:val="3"/>
            <w:vAlign w:val="center"/>
          </w:tcPr>
          <w:p w14:paraId="07C245F2">
            <w:pPr>
              <w:spacing w:line="360" w:lineRule="auto"/>
              <w:jc w:val="center"/>
              <w:rPr>
                <w:rFonts w:ascii="宋体" w:hAnsi="宋体" w:cs="宋体"/>
                <w:color w:val="auto"/>
                <w:sz w:val="24"/>
                <w:highlight w:val="none"/>
              </w:rPr>
            </w:pPr>
          </w:p>
        </w:tc>
      </w:tr>
    </w:tbl>
    <w:p w14:paraId="1C67AF9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624462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1532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7180696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6CB3A685">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C77C781">
      <w:pPr>
        <w:spacing w:line="360" w:lineRule="auto"/>
        <w:ind w:firstLine="482" w:firstLineChars="200"/>
        <w:rPr>
          <w:rFonts w:ascii="宋体" w:hAnsi="宋体" w:cs="宋体"/>
          <w:b/>
          <w:color w:val="auto"/>
          <w:kern w:val="0"/>
          <w:sz w:val="24"/>
          <w:highlight w:val="none"/>
        </w:rPr>
      </w:pPr>
    </w:p>
    <w:p w14:paraId="21F4860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18B4C7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33719718">
      <w:pPr>
        <w:pStyle w:val="694"/>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1DE34C56">
      <w:pPr>
        <w:keepNext w:val="0"/>
        <w:pageBreakBefore w:val="0"/>
        <w:snapToGrid w:val="0"/>
        <w:spacing w:before="120" w:after="120"/>
        <w:outlineLvl w:val="9"/>
        <w:rPr>
          <w:rFonts w:hint="eastAsia"/>
          <w:color w:val="auto"/>
          <w:highlight w:val="none"/>
          <w:lang w:val="en-US" w:eastAsia="zh-CN"/>
        </w:rPr>
      </w:pPr>
    </w:p>
    <w:p w14:paraId="10E45227">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15C85BA">
      <w:pPr>
        <w:pStyle w:val="694"/>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14:paraId="25BA700A">
      <w:pPr>
        <w:pStyle w:val="694"/>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14:paraId="6A0BD97E">
      <w:pPr>
        <w:pStyle w:val="694"/>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14:paraId="08ADC1DD">
      <w:pPr>
        <w:pStyle w:val="694"/>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14:paraId="66FA27AE">
      <w:pPr>
        <w:pStyle w:val="694"/>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p>
    <w:p w14:paraId="255DE135">
      <w:pPr>
        <w:pStyle w:val="2"/>
        <w:ind w:firstLine="48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7E7CEFB2">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1" w:name="_Hlk101259491"/>
      <w:r>
        <w:rPr>
          <w:rFonts w:hint="eastAsia" w:ascii="宋体" w:hAnsi="宋体" w:eastAsia="宋体" w:cs="宋体"/>
          <w:color w:val="auto"/>
          <w:sz w:val="32"/>
          <w:szCs w:val="32"/>
          <w:highlight w:val="none"/>
        </w:rPr>
        <w:t>（如果有）</w:t>
      </w:r>
      <w:bookmarkEnd w:id="401"/>
    </w:p>
    <w:p w14:paraId="7A96892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1D9CC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2" w:name="_Toc465665161"/>
      <w:r>
        <w:rPr>
          <w:rFonts w:hint="eastAsia" w:ascii="宋体" w:hAnsi="宋体" w:cs="宋体"/>
          <w:color w:val="auto"/>
          <w:highlight w:val="none"/>
        </w:rPr>
        <w:t>附件</w:t>
      </w:r>
      <w:bookmarkEnd w:id="402"/>
    </w:p>
    <w:p w14:paraId="411AD55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E01AB16">
      <w:pPr>
        <w:spacing w:line="360" w:lineRule="auto"/>
        <w:jc w:val="center"/>
        <w:rPr>
          <w:rFonts w:ascii="宋体" w:hAnsi="宋体" w:cs="宋体"/>
          <w:b/>
          <w:color w:val="auto"/>
          <w:spacing w:val="6"/>
          <w:sz w:val="32"/>
          <w:szCs w:val="32"/>
          <w:highlight w:val="none"/>
        </w:rPr>
      </w:pPr>
      <w:bookmarkStart w:id="403" w:name="OLE_LINK13"/>
      <w:bookmarkStart w:id="404" w:name="OLE_LINK14"/>
      <w:r>
        <w:rPr>
          <w:rFonts w:hint="eastAsia" w:ascii="宋体" w:hAnsi="宋体" w:cs="宋体"/>
          <w:b/>
          <w:color w:val="auto"/>
          <w:spacing w:val="6"/>
          <w:sz w:val="32"/>
          <w:szCs w:val="32"/>
          <w:highlight w:val="none"/>
        </w:rPr>
        <w:t>残疾人福利性单位声明函</w:t>
      </w:r>
    </w:p>
    <w:bookmarkEnd w:id="403"/>
    <w:bookmarkEnd w:id="404"/>
    <w:p w14:paraId="12B79A8A">
      <w:pPr>
        <w:spacing w:line="360" w:lineRule="auto"/>
        <w:rPr>
          <w:rFonts w:ascii="宋体" w:hAnsi="宋体" w:cs="宋体"/>
          <w:b/>
          <w:color w:val="auto"/>
          <w:spacing w:val="6"/>
          <w:sz w:val="30"/>
          <w:szCs w:val="30"/>
          <w:highlight w:val="none"/>
        </w:rPr>
      </w:pPr>
    </w:p>
    <w:p w14:paraId="5A1E3B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2B6C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0D487F3">
      <w:pPr>
        <w:spacing w:line="360" w:lineRule="auto"/>
        <w:ind w:firstLine="480" w:firstLineChars="200"/>
        <w:rPr>
          <w:rFonts w:ascii="宋体" w:hAnsi="宋体" w:cs="宋体"/>
          <w:color w:val="auto"/>
          <w:sz w:val="24"/>
          <w:highlight w:val="none"/>
        </w:rPr>
      </w:pPr>
    </w:p>
    <w:p w14:paraId="7A2C0A24">
      <w:pPr>
        <w:spacing w:line="360" w:lineRule="auto"/>
        <w:ind w:firstLine="480" w:firstLineChars="200"/>
        <w:rPr>
          <w:rFonts w:ascii="宋体" w:hAnsi="宋体" w:cs="宋体"/>
          <w:color w:val="auto"/>
          <w:sz w:val="24"/>
          <w:highlight w:val="none"/>
        </w:rPr>
      </w:pPr>
    </w:p>
    <w:p w14:paraId="6C3FAD6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5DC35B7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E992548">
      <w:pPr>
        <w:spacing w:line="360" w:lineRule="auto"/>
        <w:ind w:firstLine="480" w:firstLineChars="200"/>
        <w:rPr>
          <w:rFonts w:ascii="宋体" w:hAnsi="宋体" w:cs="宋体"/>
          <w:color w:val="auto"/>
          <w:sz w:val="24"/>
          <w:highlight w:val="none"/>
        </w:rPr>
      </w:pPr>
    </w:p>
    <w:p w14:paraId="27B9FC0A">
      <w:pPr>
        <w:spacing w:line="360" w:lineRule="auto"/>
        <w:ind w:firstLine="420" w:firstLineChars="200"/>
        <w:rPr>
          <w:rFonts w:ascii="宋体" w:hAnsi="宋体" w:cs="宋体"/>
          <w:color w:val="auto"/>
          <w:highlight w:val="none"/>
        </w:rPr>
      </w:pPr>
    </w:p>
    <w:p w14:paraId="32914EFC">
      <w:pPr>
        <w:spacing w:line="360" w:lineRule="auto"/>
        <w:ind w:firstLine="420" w:firstLineChars="200"/>
        <w:rPr>
          <w:rFonts w:ascii="宋体" w:hAnsi="宋体" w:cs="宋体"/>
          <w:color w:val="auto"/>
          <w:highlight w:val="none"/>
        </w:rPr>
      </w:pPr>
    </w:p>
    <w:p w14:paraId="2F4A7434">
      <w:pPr>
        <w:spacing w:line="360" w:lineRule="auto"/>
        <w:ind w:firstLine="420" w:firstLineChars="200"/>
        <w:rPr>
          <w:rFonts w:ascii="宋体" w:hAnsi="宋体" w:cs="宋体"/>
          <w:color w:val="auto"/>
          <w:highlight w:val="none"/>
        </w:rPr>
      </w:pPr>
    </w:p>
    <w:p w14:paraId="4CA9201E">
      <w:pPr>
        <w:spacing w:line="360" w:lineRule="auto"/>
        <w:ind w:firstLine="420" w:firstLineChars="200"/>
        <w:rPr>
          <w:rFonts w:ascii="宋体" w:hAnsi="宋体" w:cs="宋体"/>
          <w:color w:val="auto"/>
          <w:highlight w:val="none"/>
        </w:rPr>
      </w:pPr>
    </w:p>
    <w:p w14:paraId="407BC193">
      <w:pPr>
        <w:spacing w:line="360" w:lineRule="auto"/>
        <w:rPr>
          <w:rFonts w:ascii="宋体" w:hAnsi="宋体" w:cs="宋体"/>
          <w:b/>
          <w:color w:val="auto"/>
          <w:sz w:val="24"/>
          <w:highlight w:val="none"/>
        </w:rPr>
      </w:pPr>
    </w:p>
    <w:p w14:paraId="1B5B0DF0">
      <w:pPr>
        <w:spacing w:line="360" w:lineRule="auto"/>
        <w:rPr>
          <w:rFonts w:ascii="宋体" w:hAnsi="宋体" w:cs="宋体"/>
          <w:b/>
          <w:color w:val="auto"/>
          <w:sz w:val="24"/>
          <w:highlight w:val="none"/>
        </w:rPr>
      </w:pPr>
    </w:p>
    <w:p w14:paraId="6D6D7F13">
      <w:pPr>
        <w:spacing w:line="360" w:lineRule="auto"/>
        <w:rPr>
          <w:rFonts w:ascii="宋体" w:hAnsi="宋体" w:cs="宋体"/>
          <w:b/>
          <w:color w:val="auto"/>
          <w:sz w:val="24"/>
          <w:highlight w:val="none"/>
        </w:rPr>
      </w:pPr>
    </w:p>
    <w:p w14:paraId="3DD13185">
      <w:pPr>
        <w:spacing w:line="360" w:lineRule="auto"/>
        <w:rPr>
          <w:rFonts w:ascii="宋体" w:hAnsi="宋体" w:cs="宋体"/>
          <w:b/>
          <w:color w:val="auto"/>
          <w:sz w:val="24"/>
          <w:highlight w:val="none"/>
        </w:rPr>
      </w:pPr>
    </w:p>
    <w:p w14:paraId="418E2EB3">
      <w:pPr>
        <w:spacing w:line="360" w:lineRule="auto"/>
        <w:rPr>
          <w:rFonts w:ascii="宋体" w:hAnsi="宋体" w:cs="宋体"/>
          <w:b/>
          <w:color w:val="auto"/>
          <w:sz w:val="24"/>
          <w:highlight w:val="none"/>
        </w:rPr>
      </w:pPr>
    </w:p>
    <w:p w14:paraId="1D771F3C">
      <w:pPr>
        <w:spacing w:line="360" w:lineRule="auto"/>
        <w:rPr>
          <w:rFonts w:ascii="宋体" w:hAnsi="宋体" w:cs="宋体"/>
          <w:b/>
          <w:color w:val="auto"/>
          <w:sz w:val="24"/>
          <w:highlight w:val="none"/>
        </w:rPr>
      </w:pPr>
    </w:p>
    <w:p w14:paraId="363930CB">
      <w:pPr>
        <w:spacing w:line="360" w:lineRule="auto"/>
        <w:rPr>
          <w:rFonts w:ascii="宋体" w:hAnsi="宋体" w:cs="宋体"/>
          <w:b/>
          <w:color w:val="auto"/>
          <w:sz w:val="24"/>
          <w:highlight w:val="none"/>
        </w:rPr>
      </w:pPr>
    </w:p>
    <w:p w14:paraId="42202AF2">
      <w:pPr>
        <w:spacing w:line="360" w:lineRule="auto"/>
        <w:rPr>
          <w:rFonts w:ascii="宋体" w:hAnsi="宋体" w:cs="宋体"/>
          <w:b/>
          <w:color w:val="auto"/>
          <w:sz w:val="24"/>
          <w:highlight w:val="none"/>
        </w:rPr>
      </w:pPr>
    </w:p>
    <w:p w14:paraId="7FADA64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05EDF5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D01736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C9EA7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51ADE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77455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75C30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A44FE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3657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9F7005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D3452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60984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B2F30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8EF78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29672D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08D64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FA563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C0592D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40000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640DE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FAA15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214D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E45D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41AA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5C160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4F086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3DA1F0D">
      <w:pPr>
        <w:spacing w:line="360" w:lineRule="auto"/>
        <w:jc w:val="center"/>
        <w:rPr>
          <w:rFonts w:ascii="宋体" w:hAnsi="宋体" w:cs="宋体"/>
          <w:b/>
          <w:bCs/>
          <w:color w:val="auto"/>
          <w:sz w:val="24"/>
          <w:highlight w:val="none"/>
        </w:rPr>
      </w:pPr>
    </w:p>
    <w:p w14:paraId="33A30AAF">
      <w:pPr>
        <w:spacing w:line="360" w:lineRule="auto"/>
        <w:rPr>
          <w:rFonts w:ascii="宋体" w:hAnsi="宋体" w:cs="宋体"/>
          <w:b/>
          <w:color w:val="auto"/>
          <w:sz w:val="24"/>
          <w:highlight w:val="none"/>
        </w:rPr>
      </w:pPr>
    </w:p>
    <w:p w14:paraId="1EFF10F3">
      <w:pPr>
        <w:spacing w:line="360" w:lineRule="auto"/>
        <w:rPr>
          <w:rFonts w:ascii="宋体" w:hAnsi="宋体" w:cs="宋体"/>
          <w:b/>
          <w:color w:val="auto"/>
          <w:sz w:val="24"/>
          <w:highlight w:val="none"/>
        </w:rPr>
      </w:pPr>
    </w:p>
    <w:p w14:paraId="49ECB7A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5A534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BC779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57452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87D07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27EB6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16003E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D1536C3">
      <w:pPr>
        <w:widowControl/>
        <w:spacing w:line="360" w:lineRule="auto"/>
        <w:ind w:firstLine="600" w:firstLineChars="200"/>
        <w:jc w:val="left"/>
        <w:rPr>
          <w:rFonts w:ascii="宋体" w:hAnsi="宋体" w:cs="宋体"/>
          <w:color w:val="auto"/>
          <w:sz w:val="30"/>
          <w:szCs w:val="30"/>
          <w:highlight w:val="none"/>
        </w:rPr>
      </w:pPr>
    </w:p>
    <w:p w14:paraId="187EDDB1">
      <w:pPr>
        <w:spacing w:line="360" w:lineRule="auto"/>
        <w:jc w:val="center"/>
        <w:rPr>
          <w:rFonts w:ascii="宋体" w:hAnsi="宋体" w:cs="宋体"/>
          <w:b/>
          <w:color w:val="auto"/>
          <w:spacing w:val="6"/>
          <w:sz w:val="32"/>
          <w:szCs w:val="32"/>
          <w:highlight w:val="none"/>
        </w:rPr>
      </w:pPr>
    </w:p>
    <w:p w14:paraId="79C1EC0D">
      <w:pPr>
        <w:spacing w:line="360" w:lineRule="auto"/>
        <w:jc w:val="center"/>
        <w:rPr>
          <w:rFonts w:ascii="宋体" w:hAnsi="宋体" w:cs="宋体"/>
          <w:b/>
          <w:color w:val="auto"/>
          <w:spacing w:val="6"/>
          <w:sz w:val="32"/>
          <w:szCs w:val="32"/>
          <w:highlight w:val="none"/>
        </w:rPr>
      </w:pPr>
    </w:p>
    <w:p w14:paraId="493FE549">
      <w:pPr>
        <w:spacing w:line="360" w:lineRule="auto"/>
        <w:jc w:val="center"/>
        <w:rPr>
          <w:rFonts w:ascii="宋体" w:hAnsi="宋体" w:cs="宋体"/>
          <w:b/>
          <w:color w:val="auto"/>
          <w:spacing w:val="6"/>
          <w:sz w:val="32"/>
          <w:szCs w:val="32"/>
          <w:highlight w:val="none"/>
        </w:rPr>
      </w:pPr>
    </w:p>
    <w:p w14:paraId="3A61447C">
      <w:pPr>
        <w:spacing w:line="360" w:lineRule="auto"/>
        <w:jc w:val="center"/>
        <w:rPr>
          <w:rFonts w:ascii="宋体" w:hAnsi="宋体" w:cs="宋体"/>
          <w:b/>
          <w:color w:val="auto"/>
          <w:spacing w:val="6"/>
          <w:sz w:val="32"/>
          <w:szCs w:val="32"/>
          <w:highlight w:val="none"/>
        </w:rPr>
      </w:pPr>
    </w:p>
    <w:p w14:paraId="6747F9B0">
      <w:pPr>
        <w:spacing w:line="360" w:lineRule="auto"/>
        <w:jc w:val="center"/>
        <w:rPr>
          <w:rFonts w:ascii="宋体" w:hAnsi="宋体" w:cs="宋体"/>
          <w:b/>
          <w:color w:val="auto"/>
          <w:spacing w:val="6"/>
          <w:sz w:val="32"/>
          <w:szCs w:val="32"/>
          <w:highlight w:val="none"/>
        </w:rPr>
      </w:pPr>
    </w:p>
    <w:p w14:paraId="206D2AFF">
      <w:pPr>
        <w:spacing w:line="360" w:lineRule="auto"/>
        <w:jc w:val="center"/>
        <w:rPr>
          <w:rFonts w:ascii="宋体" w:hAnsi="宋体" w:cs="宋体"/>
          <w:b/>
          <w:color w:val="auto"/>
          <w:spacing w:val="6"/>
          <w:sz w:val="32"/>
          <w:szCs w:val="32"/>
          <w:highlight w:val="none"/>
        </w:rPr>
      </w:pPr>
    </w:p>
    <w:p w14:paraId="7090C74B">
      <w:pPr>
        <w:spacing w:line="360" w:lineRule="auto"/>
        <w:jc w:val="center"/>
        <w:rPr>
          <w:rFonts w:ascii="宋体" w:hAnsi="宋体" w:cs="宋体"/>
          <w:b/>
          <w:color w:val="auto"/>
          <w:spacing w:val="6"/>
          <w:sz w:val="32"/>
          <w:szCs w:val="32"/>
          <w:highlight w:val="none"/>
        </w:rPr>
      </w:pPr>
    </w:p>
    <w:p w14:paraId="5B4166FB">
      <w:pPr>
        <w:spacing w:line="360" w:lineRule="auto"/>
        <w:jc w:val="center"/>
        <w:rPr>
          <w:rFonts w:ascii="宋体" w:hAnsi="宋体" w:cs="宋体"/>
          <w:b/>
          <w:color w:val="auto"/>
          <w:spacing w:val="6"/>
          <w:sz w:val="32"/>
          <w:szCs w:val="32"/>
          <w:highlight w:val="none"/>
        </w:rPr>
      </w:pPr>
    </w:p>
    <w:p w14:paraId="655CDA07">
      <w:pPr>
        <w:spacing w:line="360" w:lineRule="auto"/>
        <w:jc w:val="center"/>
        <w:rPr>
          <w:rFonts w:ascii="宋体" w:hAnsi="宋体" w:cs="宋体"/>
          <w:b/>
          <w:color w:val="auto"/>
          <w:spacing w:val="6"/>
          <w:sz w:val="32"/>
          <w:szCs w:val="32"/>
          <w:highlight w:val="none"/>
        </w:rPr>
      </w:pPr>
    </w:p>
    <w:p w14:paraId="290D62E2">
      <w:pPr>
        <w:spacing w:line="360" w:lineRule="auto"/>
        <w:jc w:val="center"/>
        <w:rPr>
          <w:rFonts w:ascii="宋体" w:hAnsi="宋体" w:cs="宋体"/>
          <w:b/>
          <w:color w:val="auto"/>
          <w:spacing w:val="6"/>
          <w:sz w:val="32"/>
          <w:szCs w:val="32"/>
          <w:highlight w:val="none"/>
        </w:rPr>
      </w:pPr>
    </w:p>
    <w:p w14:paraId="72261DA8">
      <w:pPr>
        <w:spacing w:line="360" w:lineRule="auto"/>
        <w:jc w:val="center"/>
        <w:rPr>
          <w:rFonts w:ascii="宋体" w:hAnsi="宋体" w:cs="宋体"/>
          <w:b/>
          <w:color w:val="auto"/>
          <w:spacing w:val="6"/>
          <w:sz w:val="32"/>
          <w:szCs w:val="32"/>
          <w:highlight w:val="none"/>
        </w:rPr>
      </w:pPr>
    </w:p>
    <w:p w14:paraId="6B140994">
      <w:pPr>
        <w:spacing w:line="360" w:lineRule="auto"/>
        <w:jc w:val="center"/>
        <w:rPr>
          <w:rFonts w:ascii="宋体" w:hAnsi="宋体" w:cs="宋体"/>
          <w:b/>
          <w:color w:val="auto"/>
          <w:spacing w:val="6"/>
          <w:sz w:val="32"/>
          <w:szCs w:val="32"/>
          <w:highlight w:val="none"/>
        </w:rPr>
      </w:pPr>
    </w:p>
    <w:p w14:paraId="6C95D9C3">
      <w:pPr>
        <w:spacing w:line="360" w:lineRule="auto"/>
        <w:jc w:val="left"/>
        <w:rPr>
          <w:rFonts w:ascii="宋体" w:hAnsi="宋体" w:cs="宋体"/>
          <w:b/>
          <w:color w:val="auto"/>
          <w:spacing w:val="6"/>
          <w:sz w:val="32"/>
          <w:szCs w:val="32"/>
          <w:highlight w:val="none"/>
        </w:rPr>
      </w:pPr>
    </w:p>
    <w:p w14:paraId="649153B8">
      <w:pPr>
        <w:spacing w:line="360" w:lineRule="auto"/>
        <w:jc w:val="left"/>
        <w:rPr>
          <w:rFonts w:ascii="宋体" w:hAnsi="宋体" w:cs="宋体"/>
          <w:b/>
          <w:color w:val="auto"/>
          <w:spacing w:val="6"/>
          <w:sz w:val="32"/>
          <w:szCs w:val="32"/>
          <w:highlight w:val="none"/>
        </w:rPr>
      </w:pPr>
    </w:p>
    <w:p w14:paraId="37E94E5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F371D5">
      <w:pPr>
        <w:spacing w:line="360" w:lineRule="auto"/>
        <w:jc w:val="center"/>
        <w:rPr>
          <w:rFonts w:ascii="宋体" w:hAnsi="宋体" w:cs="宋体"/>
          <w:b/>
          <w:color w:val="auto"/>
          <w:sz w:val="24"/>
          <w:highlight w:val="none"/>
        </w:rPr>
      </w:pPr>
    </w:p>
    <w:p w14:paraId="5A1F15F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8FAD12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41F81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AEC67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0D955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4D2C7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8A3B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025BE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1B785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CB9E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A8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A5833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ED38A9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6F57E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C57E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3E8D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649E9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AAC63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9A1A3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0C046B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1D66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90A2E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C685C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32C08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BA4D2B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7DBD81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1FC8F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1EAA52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D9748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B04A44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8C5535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0A63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E0205F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ECF7EB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6DA2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BCADB1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027631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17D6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E5970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013A8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479326E">
      <w:pPr>
        <w:spacing w:line="360" w:lineRule="auto"/>
        <w:rPr>
          <w:rFonts w:ascii="宋体" w:hAnsi="宋体" w:cs="宋体"/>
          <w:b/>
          <w:color w:val="auto"/>
          <w:sz w:val="24"/>
          <w:highlight w:val="none"/>
        </w:rPr>
      </w:pPr>
    </w:p>
    <w:p w14:paraId="392A48A9">
      <w:pPr>
        <w:spacing w:line="360" w:lineRule="auto"/>
        <w:rPr>
          <w:rFonts w:ascii="宋体" w:hAnsi="宋体" w:cs="宋体"/>
          <w:b/>
          <w:color w:val="auto"/>
          <w:sz w:val="24"/>
          <w:highlight w:val="none"/>
        </w:rPr>
      </w:pPr>
    </w:p>
    <w:p w14:paraId="3B46517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E92F44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58DC29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18A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D7C18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F8485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92A19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3D4647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D964F5">
      <w:pPr>
        <w:spacing w:line="360" w:lineRule="auto"/>
        <w:rPr>
          <w:rFonts w:ascii="宋体" w:hAnsi="宋体" w:cs="宋体"/>
          <w:b/>
          <w:color w:val="auto"/>
          <w:sz w:val="24"/>
          <w:highlight w:val="none"/>
        </w:rPr>
      </w:pPr>
    </w:p>
    <w:p w14:paraId="1CC78F72">
      <w:pPr>
        <w:autoSpaceDE w:val="0"/>
        <w:autoSpaceDN w:val="0"/>
        <w:jc w:val="center"/>
        <w:rPr>
          <w:rFonts w:ascii="宋体" w:hAnsi="宋体" w:cs="宋体"/>
          <w:b/>
          <w:color w:val="auto"/>
          <w:spacing w:val="6"/>
          <w:sz w:val="32"/>
          <w:szCs w:val="32"/>
          <w:highlight w:val="none"/>
        </w:rPr>
      </w:pPr>
    </w:p>
    <w:p w14:paraId="437E8DF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AEFCD96">
      <w:pPr>
        <w:spacing w:line="360" w:lineRule="auto"/>
        <w:rPr>
          <w:rFonts w:ascii="宋体" w:hAnsi="宋体" w:cs="宋体"/>
          <w:color w:val="auto"/>
          <w:sz w:val="24"/>
          <w:highlight w:val="none"/>
          <w:u w:val="single"/>
        </w:rPr>
      </w:pPr>
    </w:p>
    <w:p w14:paraId="48D43B4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8AA4E6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A440D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F6229A6">
      <w:pPr>
        <w:spacing w:line="360" w:lineRule="auto"/>
        <w:ind w:firstLine="494"/>
        <w:rPr>
          <w:rFonts w:ascii="宋体" w:hAnsi="宋体" w:cs="宋体"/>
          <w:color w:val="auto"/>
          <w:sz w:val="24"/>
          <w:highlight w:val="none"/>
        </w:rPr>
      </w:pPr>
    </w:p>
    <w:p w14:paraId="415C126E">
      <w:pPr>
        <w:spacing w:line="360" w:lineRule="auto"/>
        <w:ind w:firstLine="494"/>
        <w:rPr>
          <w:rFonts w:ascii="宋体" w:hAnsi="宋体" w:cs="宋体"/>
          <w:color w:val="auto"/>
          <w:sz w:val="24"/>
          <w:highlight w:val="none"/>
        </w:rPr>
      </w:pPr>
    </w:p>
    <w:p w14:paraId="198F7738">
      <w:pPr>
        <w:spacing w:line="360" w:lineRule="auto"/>
        <w:ind w:firstLine="494"/>
        <w:rPr>
          <w:rFonts w:ascii="宋体" w:hAnsi="宋体" w:cs="宋体"/>
          <w:color w:val="auto"/>
          <w:sz w:val="24"/>
          <w:highlight w:val="none"/>
        </w:rPr>
      </w:pPr>
    </w:p>
    <w:p w14:paraId="357D4BB8">
      <w:pPr>
        <w:spacing w:line="360" w:lineRule="auto"/>
        <w:ind w:firstLine="494"/>
        <w:rPr>
          <w:rFonts w:ascii="宋体" w:hAnsi="宋体" w:cs="宋体"/>
          <w:color w:val="auto"/>
          <w:sz w:val="24"/>
          <w:highlight w:val="none"/>
        </w:rPr>
      </w:pPr>
    </w:p>
    <w:p w14:paraId="08C891A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09E4DF7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968BDA2">
      <w:pPr>
        <w:rPr>
          <w:rFonts w:ascii="宋体" w:hAnsi="宋体" w:cs="宋体"/>
          <w:color w:val="auto"/>
          <w:sz w:val="24"/>
          <w:highlight w:val="none"/>
        </w:rPr>
      </w:pPr>
      <w:r>
        <w:rPr>
          <w:rFonts w:hint="eastAsia" w:ascii="宋体" w:hAnsi="宋体" w:cs="宋体"/>
          <w:b/>
          <w:bCs/>
          <w:color w:val="auto"/>
          <w:sz w:val="24"/>
          <w:highlight w:val="none"/>
        </w:rPr>
        <w:t>附：</w:t>
      </w:r>
    </w:p>
    <w:p w14:paraId="24C13001">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5ADA24C2">
      <w:pPr>
        <w:autoSpaceDE w:val="0"/>
        <w:autoSpaceDN w:val="0"/>
        <w:jc w:val="center"/>
        <w:rPr>
          <w:rFonts w:ascii="宋体" w:hAnsi="宋体" w:cs="宋体"/>
          <w:b/>
          <w:color w:val="auto"/>
          <w:spacing w:val="6"/>
          <w:sz w:val="32"/>
          <w:szCs w:val="32"/>
          <w:highlight w:val="none"/>
        </w:rPr>
      </w:pPr>
    </w:p>
    <w:p w14:paraId="04D228A6">
      <w:pPr>
        <w:autoSpaceDE w:val="0"/>
        <w:autoSpaceDN w:val="0"/>
        <w:jc w:val="center"/>
        <w:rPr>
          <w:rFonts w:ascii="宋体" w:hAnsi="宋体" w:cs="宋体"/>
          <w:b/>
          <w:color w:val="auto"/>
          <w:spacing w:val="6"/>
          <w:sz w:val="32"/>
          <w:szCs w:val="32"/>
          <w:highlight w:val="none"/>
        </w:rPr>
      </w:pPr>
    </w:p>
    <w:p w14:paraId="083F0862">
      <w:pPr>
        <w:autoSpaceDE w:val="0"/>
        <w:autoSpaceDN w:val="0"/>
        <w:jc w:val="center"/>
        <w:rPr>
          <w:rFonts w:ascii="宋体" w:hAnsi="宋体" w:cs="宋体"/>
          <w:b/>
          <w:color w:val="auto"/>
          <w:spacing w:val="6"/>
          <w:sz w:val="32"/>
          <w:szCs w:val="32"/>
          <w:highlight w:val="none"/>
        </w:rPr>
      </w:pPr>
    </w:p>
    <w:p w14:paraId="5E29E660">
      <w:pPr>
        <w:autoSpaceDE w:val="0"/>
        <w:autoSpaceDN w:val="0"/>
        <w:jc w:val="center"/>
        <w:rPr>
          <w:rFonts w:ascii="宋体" w:hAnsi="宋体" w:cs="宋体"/>
          <w:b/>
          <w:color w:val="auto"/>
          <w:spacing w:val="6"/>
          <w:sz w:val="32"/>
          <w:szCs w:val="32"/>
          <w:highlight w:val="none"/>
        </w:rPr>
      </w:pPr>
    </w:p>
    <w:p w14:paraId="20C1A314">
      <w:pPr>
        <w:autoSpaceDE w:val="0"/>
        <w:autoSpaceDN w:val="0"/>
        <w:jc w:val="center"/>
        <w:rPr>
          <w:rFonts w:ascii="宋体" w:hAnsi="宋体" w:cs="宋体"/>
          <w:b/>
          <w:color w:val="auto"/>
          <w:spacing w:val="6"/>
          <w:sz w:val="32"/>
          <w:szCs w:val="32"/>
          <w:highlight w:val="none"/>
        </w:rPr>
      </w:pPr>
    </w:p>
    <w:p w14:paraId="40FCCD7F">
      <w:pPr>
        <w:autoSpaceDE w:val="0"/>
        <w:autoSpaceDN w:val="0"/>
        <w:jc w:val="center"/>
        <w:rPr>
          <w:rFonts w:ascii="宋体" w:hAnsi="宋体" w:cs="宋体"/>
          <w:b/>
          <w:color w:val="auto"/>
          <w:spacing w:val="6"/>
          <w:sz w:val="32"/>
          <w:szCs w:val="32"/>
          <w:highlight w:val="none"/>
        </w:rPr>
      </w:pPr>
    </w:p>
    <w:p w14:paraId="6DA0303B">
      <w:pPr>
        <w:autoSpaceDE w:val="0"/>
        <w:autoSpaceDN w:val="0"/>
        <w:jc w:val="center"/>
        <w:rPr>
          <w:rFonts w:ascii="宋体" w:hAnsi="宋体" w:cs="宋体"/>
          <w:b/>
          <w:color w:val="auto"/>
          <w:spacing w:val="6"/>
          <w:sz w:val="32"/>
          <w:szCs w:val="32"/>
          <w:highlight w:val="none"/>
        </w:rPr>
      </w:pPr>
    </w:p>
    <w:p w14:paraId="793C6A19">
      <w:pPr>
        <w:autoSpaceDE w:val="0"/>
        <w:autoSpaceDN w:val="0"/>
        <w:jc w:val="center"/>
        <w:rPr>
          <w:rFonts w:ascii="宋体" w:hAnsi="宋体" w:cs="宋体"/>
          <w:b/>
          <w:color w:val="auto"/>
          <w:spacing w:val="6"/>
          <w:sz w:val="32"/>
          <w:szCs w:val="32"/>
          <w:highlight w:val="none"/>
        </w:rPr>
      </w:pPr>
    </w:p>
    <w:p w14:paraId="4B6BFCE4">
      <w:pPr>
        <w:autoSpaceDE w:val="0"/>
        <w:autoSpaceDN w:val="0"/>
        <w:jc w:val="center"/>
        <w:rPr>
          <w:rFonts w:ascii="宋体" w:hAnsi="宋体" w:cs="宋体"/>
          <w:b/>
          <w:color w:val="auto"/>
          <w:spacing w:val="6"/>
          <w:sz w:val="32"/>
          <w:szCs w:val="32"/>
          <w:highlight w:val="none"/>
        </w:rPr>
      </w:pPr>
    </w:p>
    <w:p w14:paraId="4012E295">
      <w:pPr>
        <w:autoSpaceDE w:val="0"/>
        <w:autoSpaceDN w:val="0"/>
        <w:jc w:val="center"/>
        <w:rPr>
          <w:rFonts w:ascii="宋体" w:hAnsi="宋体" w:cs="宋体"/>
          <w:b/>
          <w:color w:val="auto"/>
          <w:spacing w:val="6"/>
          <w:sz w:val="32"/>
          <w:szCs w:val="32"/>
          <w:highlight w:val="none"/>
        </w:rPr>
      </w:pPr>
    </w:p>
    <w:p w14:paraId="2FD5ACD6">
      <w:pPr>
        <w:autoSpaceDE w:val="0"/>
        <w:autoSpaceDN w:val="0"/>
        <w:jc w:val="center"/>
        <w:rPr>
          <w:rFonts w:ascii="宋体" w:hAnsi="宋体" w:cs="宋体"/>
          <w:b/>
          <w:color w:val="auto"/>
          <w:spacing w:val="6"/>
          <w:sz w:val="32"/>
          <w:szCs w:val="32"/>
          <w:highlight w:val="none"/>
        </w:rPr>
      </w:pPr>
    </w:p>
    <w:p w14:paraId="63524ADC">
      <w:pPr>
        <w:autoSpaceDE w:val="0"/>
        <w:autoSpaceDN w:val="0"/>
        <w:jc w:val="center"/>
        <w:rPr>
          <w:rFonts w:ascii="宋体" w:hAnsi="宋体" w:cs="宋体"/>
          <w:b/>
          <w:color w:val="auto"/>
          <w:spacing w:val="6"/>
          <w:sz w:val="32"/>
          <w:szCs w:val="32"/>
          <w:highlight w:val="none"/>
        </w:rPr>
      </w:pPr>
    </w:p>
    <w:p w14:paraId="10CB5D2A">
      <w:pPr>
        <w:autoSpaceDE w:val="0"/>
        <w:autoSpaceDN w:val="0"/>
        <w:jc w:val="center"/>
        <w:rPr>
          <w:rFonts w:ascii="宋体" w:hAnsi="宋体" w:cs="宋体"/>
          <w:b/>
          <w:color w:val="auto"/>
          <w:spacing w:val="6"/>
          <w:sz w:val="32"/>
          <w:szCs w:val="32"/>
          <w:highlight w:val="none"/>
        </w:rPr>
      </w:pPr>
    </w:p>
    <w:p w14:paraId="6B285580">
      <w:pPr>
        <w:autoSpaceDE w:val="0"/>
        <w:autoSpaceDN w:val="0"/>
        <w:jc w:val="center"/>
        <w:rPr>
          <w:rFonts w:ascii="宋体" w:hAnsi="宋体" w:cs="宋体"/>
          <w:b/>
          <w:color w:val="auto"/>
          <w:spacing w:val="6"/>
          <w:sz w:val="32"/>
          <w:szCs w:val="32"/>
          <w:highlight w:val="none"/>
        </w:rPr>
      </w:pPr>
    </w:p>
    <w:p w14:paraId="731BAD79">
      <w:pPr>
        <w:autoSpaceDE w:val="0"/>
        <w:autoSpaceDN w:val="0"/>
        <w:jc w:val="center"/>
        <w:rPr>
          <w:rFonts w:ascii="宋体" w:hAnsi="宋体" w:cs="宋体"/>
          <w:b/>
          <w:color w:val="auto"/>
          <w:spacing w:val="6"/>
          <w:sz w:val="32"/>
          <w:szCs w:val="32"/>
          <w:highlight w:val="none"/>
        </w:rPr>
      </w:pPr>
    </w:p>
    <w:p w14:paraId="663092BA">
      <w:pPr>
        <w:autoSpaceDE w:val="0"/>
        <w:autoSpaceDN w:val="0"/>
        <w:jc w:val="center"/>
        <w:rPr>
          <w:rFonts w:ascii="宋体" w:hAnsi="宋体" w:cs="宋体"/>
          <w:b/>
          <w:color w:val="auto"/>
          <w:spacing w:val="6"/>
          <w:sz w:val="32"/>
          <w:szCs w:val="32"/>
          <w:highlight w:val="none"/>
        </w:rPr>
      </w:pPr>
    </w:p>
    <w:p w14:paraId="61CC9ACB">
      <w:pPr>
        <w:autoSpaceDE w:val="0"/>
        <w:autoSpaceDN w:val="0"/>
        <w:jc w:val="center"/>
        <w:rPr>
          <w:rFonts w:ascii="宋体" w:hAnsi="宋体" w:cs="宋体"/>
          <w:b/>
          <w:color w:val="auto"/>
          <w:spacing w:val="6"/>
          <w:sz w:val="32"/>
          <w:szCs w:val="32"/>
          <w:highlight w:val="none"/>
        </w:rPr>
      </w:pPr>
    </w:p>
    <w:p w14:paraId="3EA6B35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EDE632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279000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125A0C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7582E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0A157D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9AD54F4">
      <w:pPr>
        <w:snapToGrid w:val="0"/>
        <w:spacing w:line="360" w:lineRule="auto"/>
        <w:ind w:firstLine="576"/>
        <w:rPr>
          <w:rFonts w:ascii="宋体" w:hAnsi="宋体" w:cs="宋体"/>
          <w:color w:val="auto"/>
          <w:kern w:val="0"/>
          <w:sz w:val="24"/>
          <w:highlight w:val="none"/>
          <w:lang w:val="zh-CN"/>
        </w:rPr>
      </w:pPr>
      <w:bookmarkStart w:id="40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EE88A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4FD0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5"/>
    <w:p w14:paraId="194988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DD8B78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3DEE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AF374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0B2FBF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0BBF63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22F71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06A1A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6B4EBE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ACAEB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BA7A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217A6A">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B946A5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01864D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8DED1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3BBC6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BB8D5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AA2A492">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69B36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827AA9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3F799F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6"/>
    </w:p>
    <w:p w14:paraId="5DDCF7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4472B6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70548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3AF8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C214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86448F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CEF5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98825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B98F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DEBFD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33ED9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CEC0C85">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49C9C62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E11BF0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4834AE">
      <w:pPr>
        <w:autoSpaceDE w:val="0"/>
        <w:autoSpaceDN w:val="0"/>
        <w:jc w:val="center"/>
        <w:rPr>
          <w:rFonts w:ascii="宋体" w:hAnsi="宋体" w:cs="宋体"/>
          <w:b/>
          <w:color w:val="auto"/>
          <w:spacing w:val="6"/>
          <w:sz w:val="32"/>
          <w:szCs w:val="32"/>
          <w:highlight w:val="none"/>
        </w:rPr>
      </w:pPr>
    </w:p>
    <w:p w14:paraId="111C75D9">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3799F2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4EA59F6">
      <w:pPr>
        <w:spacing w:line="360" w:lineRule="auto"/>
        <w:jc w:val="center"/>
        <w:rPr>
          <w:rFonts w:ascii="宋体" w:hAnsi="宋体" w:cs="宋体"/>
          <w:color w:val="auto"/>
          <w:sz w:val="24"/>
          <w:highlight w:val="none"/>
          <w:u w:val="single"/>
        </w:rPr>
      </w:pPr>
    </w:p>
    <w:p w14:paraId="568E861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27FE556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5184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E77DA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C1CBB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DBC90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13C4E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05EA923">
      <w:pPr>
        <w:spacing w:line="360" w:lineRule="auto"/>
        <w:ind w:firstLine="480" w:firstLineChars="200"/>
        <w:rPr>
          <w:rFonts w:ascii="宋体" w:hAnsi="宋体" w:cs="宋体"/>
          <w:color w:val="auto"/>
          <w:sz w:val="24"/>
          <w:highlight w:val="none"/>
        </w:rPr>
      </w:pPr>
    </w:p>
    <w:p w14:paraId="6E69EA7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D5A6C2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20D8A64">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0BDE837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9AB297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716EE0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98ED161">
      <w:pPr>
        <w:spacing w:line="360" w:lineRule="auto"/>
        <w:jc w:val="center"/>
        <w:rPr>
          <w:rFonts w:ascii="宋体" w:hAnsi="宋体" w:cs="宋体"/>
          <w:b/>
          <w:color w:val="auto"/>
          <w:sz w:val="32"/>
          <w:szCs w:val="32"/>
          <w:highlight w:val="none"/>
        </w:rPr>
      </w:pPr>
    </w:p>
    <w:p w14:paraId="4DD02306">
      <w:pPr>
        <w:spacing w:line="360" w:lineRule="auto"/>
        <w:jc w:val="center"/>
        <w:rPr>
          <w:rFonts w:ascii="宋体" w:hAnsi="宋体" w:cs="宋体"/>
          <w:b/>
          <w:color w:val="auto"/>
          <w:sz w:val="32"/>
          <w:szCs w:val="32"/>
          <w:highlight w:val="none"/>
        </w:rPr>
      </w:pPr>
    </w:p>
    <w:p w14:paraId="172514AF">
      <w:pPr>
        <w:spacing w:line="360" w:lineRule="auto"/>
        <w:jc w:val="center"/>
        <w:rPr>
          <w:rFonts w:ascii="宋体" w:hAnsi="宋体" w:cs="宋体"/>
          <w:b/>
          <w:color w:val="auto"/>
          <w:sz w:val="32"/>
          <w:szCs w:val="32"/>
          <w:highlight w:val="none"/>
        </w:rPr>
      </w:pPr>
    </w:p>
    <w:p w14:paraId="2F090562">
      <w:pPr>
        <w:spacing w:line="360" w:lineRule="auto"/>
        <w:jc w:val="center"/>
        <w:rPr>
          <w:rFonts w:ascii="宋体" w:hAnsi="宋体" w:cs="宋体"/>
          <w:b/>
          <w:color w:val="auto"/>
          <w:sz w:val="32"/>
          <w:szCs w:val="32"/>
          <w:highlight w:val="none"/>
        </w:rPr>
      </w:pPr>
    </w:p>
    <w:p w14:paraId="6CA99244">
      <w:pPr>
        <w:spacing w:line="360" w:lineRule="auto"/>
        <w:jc w:val="center"/>
        <w:rPr>
          <w:rFonts w:ascii="宋体" w:hAnsi="宋体" w:cs="宋体"/>
          <w:b/>
          <w:color w:val="auto"/>
          <w:sz w:val="32"/>
          <w:szCs w:val="32"/>
          <w:highlight w:val="none"/>
        </w:rPr>
      </w:pPr>
    </w:p>
    <w:p w14:paraId="2B4CC5C9">
      <w:pPr>
        <w:spacing w:line="360" w:lineRule="auto"/>
        <w:jc w:val="center"/>
        <w:rPr>
          <w:rFonts w:ascii="宋体" w:hAnsi="宋体" w:cs="宋体"/>
          <w:b/>
          <w:color w:val="auto"/>
          <w:sz w:val="32"/>
          <w:szCs w:val="32"/>
          <w:highlight w:val="none"/>
        </w:rPr>
      </w:pPr>
    </w:p>
    <w:p w14:paraId="61CA28A4">
      <w:pPr>
        <w:spacing w:line="360" w:lineRule="auto"/>
        <w:jc w:val="center"/>
        <w:rPr>
          <w:rFonts w:ascii="宋体" w:hAnsi="宋体" w:cs="宋体"/>
          <w:b/>
          <w:color w:val="auto"/>
          <w:sz w:val="32"/>
          <w:szCs w:val="32"/>
          <w:highlight w:val="none"/>
        </w:rPr>
      </w:pPr>
    </w:p>
    <w:p w14:paraId="6BE1E8F7">
      <w:pPr>
        <w:spacing w:line="360" w:lineRule="auto"/>
        <w:jc w:val="center"/>
        <w:rPr>
          <w:rFonts w:ascii="宋体" w:hAnsi="宋体" w:cs="宋体"/>
          <w:b/>
          <w:color w:val="auto"/>
          <w:sz w:val="32"/>
          <w:szCs w:val="32"/>
          <w:highlight w:val="none"/>
        </w:rPr>
      </w:pPr>
    </w:p>
    <w:p w14:paraId="5AE7C2FB">
      <w:pPr>
        <w:spacing w:line="360" w:lineRule="auto"/>
        <w:jc w:val="center"/>
        <w:rPr>
          <w:rFonts w:ascii="宋体" w:hAnsi="宋体" w:cs="宋体"/>
          <w:b/>
          <w:color w:val="auto"/>
          <w:sz w:val="32"/>
          <w:szCs w:val="32"/>
          <w:highlight w:val="none"/>
        </w:rPr>
      </w:pPr>
    </w:p>
    <w:p w14:paraId="48666D08">
      <w:pPr>
        <w:spacing w:line="360" w:lineRule="auto"/>
        <w:jc w:val="center"/>
        <w:rPr>
          <w:rFonts w:ascii="宋体" w:hAnsi="宋体" w:cs="宋体"/>
          <w:b/>
          <w:color w:val="auto"/>
          <w:sz w:val="32"/>
          <w:szCs w:val="32"/>
          <w:highlight w:val="none"/>
        </w:rPr>
      </w:pPr>
    </w:p>
    <w:p w14:paraId="43C693D0">
      <w:pPr>
        <w:spacing w:line="360" w:lineRule="auto"/>
        <w:jc w:val="center"/>
        <w:rPr>
          <w:rFonts w:ascii="宋体" w:hAnsi="宋体" w:cs="宋体"/>
          <w:b/>
          <w:color w:val="auto"/>
          <w:sz w:val="32"/>
          <w:szCs w:val="32"/>
          <w:highlight w:val="none"/>
        </w:rPr>
      </w:pPr>
    </w:p>
    <w:p w14:paraId="001535F2">
      <w:pPr>
        <w:spacing w:line="360" w:lineRule="auto"/>
        <w:jc w:val="center"/>
        <w:rPr>
          <w:rFonts w:ascii="宋体" w:hAnsi="宋体" w:cs="宋体"/>
          <w:b/>
          <w:color w:val="auto"/>
          <w:sz w:val="32"/>
          <w:szCs w:val="32"/>
          <w:highlight w:val="none"/>
        </w:rPr>
      </w:pPr>
    </w:p>
    <w:p w14:paraId="4E6C16F4">
      <w:pPr>
        <w:spacing w:line="360" w:lineRule="auto"/>
        <w:jc w:val="center"/>
        <w:rPr>
          <w:rFonts w:ascii="宋体" w:hAnsi="宋体" w:cs="宋体"/>
          <w:b/>
          <w:color w:val="auto"/>
          <w:sz w:val="32"/>
          <w:szCs w:val="32"/>
          <w:highlight w:val="none"/>
        </w:rPr>
      </w:pPr>
    </w:p>
    <w:p w14:paraId="628A3664">
      <w:pPr>
        <w:spacing w:line="360" w:lineRule="auto"/>
        <w:jc w:val="center"/>
        <w:rPr>
          <w:rFonts w:ascii="宋体" w:hAnsi="宋体" w:cs="宋体"/>
          <w:b/>
          <w:color w:val="auto"/>
          <w:sz w:val="32"/>
          <w:szCs w:val="32"/>
          <w:highlight w:val="none"/>
        </w:rPr>
      </w:pPr>
    </w:p>
    <w:p w14:paraId="20D7D17D">
      <w:pPr>
        <w:spacing w:line="360" w:lineRule="auto"/>
        <w:jc w:val="center"/>
        <w:rPr>
          <w:rFonts w:ascii="宋体" w:hAnsi="宋体" w:cs="宋体"/>
          <w:b/>
          <w:color w:val="auto"/>
          <w:sz w:val="32"/>
          <w:szCs w:val="32"/>
          <w:highlight w:val="none"/>
        </w:rPr>
      </w:pPr>
    </w:p>
    <w:p w14:paraId="40B355E7">
      <w:pPr>
        <w:pStyle w:val="3"/>
        <w:ind w:firstLine="0" w:firstLineChars="0"/>
        <w:rPr>
          <w:color w:val="auto"/>
          <w:highlight w:val="none"/>
        </w:rPr>
      </w:pPr>
    </w:p>
    <w:bookmarkEnd w:id="411"/>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69F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79A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B39B0">
    <w:pPr>
      <w:pStyle w:val="41"/>
      <w:framePr w:wrap="around" w:vAnchor="text" w:hAnchor="margin" w:xAlign="right" w:y="1"/>
      <w:rPr>
        <w:rStyle w:val="74"/>
      </w:rPr>
    </w:pPr>
    <w:r>
      <w:fldChar w:fldCharType="begin"/>
    </w:r>
    <w:r>
      <w:rPr>
        <w:rStyle w:val="74"/>
      </w:rPr>
      <w:instrText xml:space="preserve">PAGE  </w:instrText>
    </w:r>
    <w:r>
      <w:fldChar w:fldCharType="end"/>
    </w:r>
  </w:p>
  <w:p w14:paraId="018A95B8">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98C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07" w:name="_Toc131845147"/>
    <w:bookmarkStart w:id="408" w:name="_Toc164085800"/>
    <w:bookmarkStart w:id="409" w:name="_Toc36110187"/>
    <w:bookmarkStart w:id="410" w:name="_Toc91899912"/>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B144">
    <w:pPr>
      <w:pStyle w:val="41"/>
      <w:framePr w:wrap="around" w:vAnchor="text" w:hAnchor="margin" w:xAlign="right" w:y="1"/>
      <w:rPr>
        <w:rStyle w:val="74"/>
      </w:rPr>
    </w:pPr>
    <w:r>
      <w:fldChar w:fldCharType="begin"/>
    </w:r>
    <w:r>
      <w:rPr>
        <w:rStyle w:val="74"/>
      </w:rPr>
      <w:instrText xml:space="preserve">PAGE  </w:instrText>
    </w:r>
    <w:r>
      <w:fldChar w:fldCharType="end"/>
    </w:r>
  </w:p>
  <w:p w14:paraId="1A9DB02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F8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CEDB">
    <w:pPr>
      <w:pStyle w:val="41"/>
      <w:spacing w:beforeLines="0" w:afterLines="0"/>
      <w:jc w:val="center"/>
      <w:rPr>
        <w:rFonts w:hint="eastAsia" w:ascii="仿宋_GB2312" w:eastAsia="仿宋_GB2312"/>
        <w:sz w:val="18"/>
        <w:szCs w:val="18"/>
      </w:rPr>
    </w:pPr>
    <w:r>
      <w:rPr>
        <w:rFonts w:hint="eastAsia" w:ascii="仿宋_GB2312" w:eastAsia="仿宋_GB2312"/>
        <w:kern w:val="0"/>
        <w:sz w:val="18"/>
        <w:szCs w:val="18"/>
      </w:rPr>
      <w:t xml:space="preserve">第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PAGE </w:instrText>
    </w:r>
    <w:r>
      <w:rPr>
        <w:rFonts w:hint="eastAsia" w:ascii="仿宋_GB2312" w:eastAsia="仿宋_GB2312"/>
        <w:kern w:val="0"/>
        <w:sz w:val="18"/>
        <w:szCs w:val="18"/>
      </w:rPr>
      <w:fldChar w:fldCharType="separate"/>
    </w:r>
    <w:r>
      <w:rPr>
        <w:rFonts w:hint="eastAsia" w:ascii="仿宋_GB2312" w:eastAsia="仿宋_GB2312"/>
        <w:kern w:val="0"/>
        <w:sz w:val="18"/>
        <w:szCs w:val="18"/>
      </w:rPr>
      <w:t>62</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 共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NUMPAGES </w:instrText>
    </w:r>
    <w:r>
      <w:rPr>
        <w:rFonts w:hint="eastAsia" w:ascii="仿宋_GB2312" w:eastAsia="仿宋_GB2312"/>
        <w:kern w:val="0"/>
        <w:sz w:val="18"/>
        <w:szCs w:val="18"/>
      </w:rPr>
      <w:fldChar w:fldCharType="separate"/>
    </w:r>
    <w:r>
      <w:rPr>
        <w:rFonts w:hint="eastAsia" w:ascii="仿宋_GB2312" w:eastAsia="仿宋_GB2312"/>
        <w:kern w:val="0"/>
        <w:sz w:val="18"/>
        <w:szCs w:val="18"/>
      </w:rPr>
      <w:t>83</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w:t>
    </w:r>
  </w:p>
  <w:p w14:paraId="4D42F7DC">
    <w:pPr>
      <w:spacing w:beforeLines="0" w:afterLines="0"/>
      <w:rPr>
        <w:rFonts w:hint="eastAsia" w:ascii="仿宋_GB2312" w:eastAsia="仿宋_GB2312"/>
        <w:sz w:val="21"/>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CBCB6">
    <w:pPr>
      <w:pStyle w:val="41"/>
      <w:spacing w:beforeLines="0" w:afterLines="0"/>
      <w:jc w:val="center"/>
      <w:rPr>
        <w:rFonts w:hint="eastAsia" w:ascii="仿宋_GB2312" w:eastAsia="仿宋_GB2312"/>
        <w:sz w:val="18"/>
        <w:szCs w:val="18"/>
      </w:rPr>
    </w:pPr>
    <w:r>
      <w:rPr>
        <w:rFonts w:hint="eastAsia" w:ascii="仿宋_GB2312" w:eastAsia="仿宋_GB2312"/>
        <w:kern w:val="0"/>
        <w:sz w:val="18"/>
        <w:szCs w:val="18"/>
      </w:rPr>
      <w:t xml:space="preserve">第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PAGE </w:instrText>
    </w:r>
    <w:r>
      <w:rPr>
        <w:rFonts w:hint="eastAsia" w:ascii="仿宋_GB2312" w:eastAsia="仿宋_GB2312"/>
        <w:kern w:val="0"/>
        <w:sz w:val="18"/>
        <w:szCs w:val="18"/>
      </w:rPr>
      <w:fldChar w:fldCharType="separate"/>
    </w:r>
    <w:r>
      <w:rPr>
        <w:rFonts w:hint="eastAsia" w:ascii="仿宋_GB2312" w:eastAsia="仿宋_GB2312"/>
        <w:kern w:val="0"/>
        <w:sz w:val="18"/>
        <w:szCs w:val="18"/>
      </w:rPr>
      <w:t>61</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 共 </w:t>
    </w:r>
    <w:r>
      <w:rPr>
        <w:rFonts w:hint="eastAsia" w:ascii="仿宋_GB2312" w:eastAsia="仿宋_GB2312"/>
        <w:kern w:val="0"/>
        <w:sz w:val="18"/>
        <w:szCs w:val="18"/>
      </w:rPr>
      <w:fldChar w:fldCharType="begin"/>
    </w:r>
    <w:r>
      <w:rPr>
        <w:rFonts w:hint="eastAsia" w:ascii="仿宋_GB2312" w:eastAsia="仿宋_GB2312"/>
        <w:kern w:val="0"/>
        <w:sz w:val="18"/>
        <w:szCs w:val="18"/>
      </w:rPr>
      <w:instrText xml:space="preserve"> NUMPAGES </w:instrText>
    </w:r>
    <w:r>
      <w:rPr>
        <w:rFonts w:hint="eastAsia" w:ascii="仿宋_GB2312" w:eastAsia="仿宋_GB2312"/>
        <w:kern w:val="0"/>
        <w:sz w:val="18"/>
        <w:szCs w:val="18"/>
      </w:rPr>
      <w:fldChar w:fldCharType="separate"/>
    </w:r>
    <w:r>
      <w:rPr>
        <w:rFonts w:hint="eastAsia" w:ascii="仿宋_GB2312" w:eastAsia="仿宋_GB2312"/>
        <w:kern w:val="0"/>
        <w:sz w:val="18"/>
        <w:szCs w:val="18"/>
      </w:rPr>
      <w:t>83</w:t>
    </w:r>
    <w:r>
      <w:rPr>
        <w:rFonts w:hint="eastAsia" w:ascii="仿宋_GB2312" w:eastAsia="仿宋_GB2312"/>
        <w:kern w:val="0"/>
        <w:sz w:val="18"/>
        <w:szCs w:val="18"/>
      </w:rPr>
      <w:fldChar w:fldCharType="end"/>
    </w:r>
    <w:r>
      <w:rPr>
        <w:rFonts w:hint="eastAsia" w:ascii="仿宋_GB2312" w:eastAsia="仿宋_GB2312"/>
        <w:kern w:val="0"/>
        <w:sz w:val="18"/>
        <w:szCs w:val="18"/>
      </w:rPr>
      <w:t xml:space="preserve"> 页</w:t>
    </w:r>
  </w:p>
  <w:p w14:paraId="1EAA41A2">
    <w:pPr>
      <w:spacing w:beforeLines="0" w:afterLines="0"/>
      <w:rPr>
        <w:rFonts w:hint="eastAsia" w:ascii="仿宋_GB2312" w:eastAsia="仿宋_GB2312"/>
        <w:sz w:val="21"/>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B62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E613F7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50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4A9CAD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63D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465A12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40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8386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632D">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3FCC7">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FEAF">
    <w:pPr>
      <w:pStyle w:val="42"/>
      <w:pBdr>
        <w:bottom w:val="single" w:color="auto" w:sz="6" w:space="0"/>
      </w:pBdr>
      <w:spacing w:beforeLines="0" w:afterLines="0"/>
      <w:jc w:val="right"/>
      <w:rPr>
        <w:rFonts w:hint="eastAsia" w:ascii="仿宋_GB2312" w:eastAsia="仿宋_GB2312"/>
        <w:i/>
        <w:sz w:val="18"/>
        <w:szCs w:val="18"/>
        <w:u w:val="single"/>
      </w:rPr>
    </w:pPr>
    <w:r>
      <w:rPr>
        <w:rFonts w:hint="default" w:ascii="宋体"/>
        <w:sz w:val="18"/>
        <w:szCs w:val="18"/>
        <w:lang w:val="zh-CN"/>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FCD6">
    <w:pPr>
      <w:pStyle w:val="42"/>
      <w:pBdr>
        <w:bottom w:val="single" w:color="auto" w:sz="6" w:space="0"/>
      </w:pBdr>
      <w:tabs>
        <w:tab w:val="center" w:pos="4535"/>
        <w:tab w:val="right" w:pos="9070"/>
        <w:tab w:val="clear" w:pos="4153"/>
        <w:tab w:val="clear" w:pos="8306"/>
      </w:tabs>
      <w:spacing w:beforeLines="0" w:afterLines="0"/>
      <w:jc w:val="right"/>
      <w:rPr>
        <w:rFonts w:hint="default"/>
        <w:sz w:val="18"/>
        <w:szCs w:val="18"/>
      </w:rPr>
    </w:pPr>
    <w:r>
      <w:rPr>
        <w:rFonts w:hint="default" w:ascii="宋体"/>
        <w:sz w:val="18"/>
        <w:szCs w:val="18"/>
        <w:lang w:val="zh-CN"/>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9549">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47F99">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CAC4BBF4"/>
    <w:multiLevelType w:val="singleLevel"/>
    <w:tmpl w:val="CAC4BBF4"/>
    <w:lvl w:ilvl="0" w:tentative="0">
      <w:start w:val="4"/>
      <w:numFmt w:val="decimal"/>
      <w:lvlText w:val="%1."/>
      <w:lvlJc w:val="left"/>
      <w:pPr>
        <w:tabs>
          <w:tab w:val="left" w:pos="312"/>
        </w:tabs>
      </w:pPr>
    </w:lvl>
  </w:abstractNum>
  <w:abstractNum w:abstractNumId="2">
    <w:nsid w:val="0053208E"/>
    <w:multiLevelType w:val="multilevel"/>
    <w:tmpl w:val="0053208E"/>
    <w:lvl w:ilvl="0" w:tentative="0">
      <w:start w:val="2"/>
      <w:numFmt w:val="chineseCounting"/>
      <w:suff w:val="space"/>
      <w:lvlText w:val="第%1部分"/>
      <w:lvlJc w:val="left"/>
      <w:pPr>
        <w:ind w:left="0" w:firstLine="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E7EFA"/>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D82A91"/>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527A2"/>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336B1"/>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8A109B"/>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5A407D"/>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B34659"/>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qFormat/>
    <w:uiPriority w:val="0"/>
    <w:pPr>
      <w:adjustRightInd/>
      <w:spacing w:after="120" w:line="240" w:lineRule="auto"/>
      <w:ind w:left="420" w:leftChars="200" w:firstLine="210"/>
    </w:pPr>
    <w:rPr>
      <w:sz w:val="21"/>
    </w:rPr>
  </w:style>
  <w:style w:type="paragraph" w:styleId="3">
    <w:name w:val="Body Text Indent"/>
    <w:basedOn w:val="1"/>
    <w:next w:val="2"/>
    <w:link w:val="266"/>
    <w:qFormat/>
    <w:uiPriority w:val="0"/>
    <w:pPr>
      <w:spacing w:line="480" w:lineRule="exact"/>
      <w:ind w:firstLine="480" w:firstLineChars="200"/>
    </w:pPr>
    <w:rPr>
      <w:rFonts w:ascii="宋体" w:hAnsi="宋体"/>
      <w:sz w:val="24"/>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6"/>
    <w:qFormat/>
    <w:uiPriority w:val="0"/>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59"/>
    <w:qFormat/>
    <w:uiPriority w:val="99"/>
    <w:pPr>
      <w:widowControl/>
      <w:spacing w:before="100" w:beforeAutospacing="1" w:after="100" w:afterAutospacing="1"/>
      <w:jc w:val="left"/>
    </w:pPr>
    <w:rPr>
      <w:rFonts w:ascii="宋体" w:hAnsi="宋体"/>
      <w:kern w:val="0"/>
      <w:sz w:val="24"/>
    </w:rPr>
  </w:style>
  <w:style w:type="paragraph" w:customStyle="1" w:styleId="59">
    <w:name w:val="正文_0_0"/>
    <w:basedOn w:val="60"/>
    <w:unhideWhenUsed/>
    <w:qFormat/>
    <w:uiPriority w:val="99"/>
    <w:rPr>
      <w:rFonts w:hint="default" w:ascii="Times New Roman" w:hAnsi="Times New Roman"/>
      <w:sz w:val="21"/>
      <w:szCs w:val="21"/>
    </w:rPr>
  </w:style>
  <w:style w:type="paragraph" w:customStyle="1" w:styleId="60">
    <w:name w:val="正文_0"/>
    <w:unhideWhenUsed/>
    <w:qFormat/>
    <w:uiPriority w:val="0"/>
    <w:pPr>
      <w:widowControl w:val="0"/>
      <w:jc w:val="both"/>
    </w:pPr>
    <w:rPr>
      <w:rFonts w:hint="default" w:ascii="Calibri" w:hAnsi="Calibri" w:eastAsia="宋体" w:cs="Times New Roman"/>
      <w:kern w:val="2"/>
      <w:sz w:val="21"/>
      <w:szCs w:val="22"/>
      <w:lang w:val="en-US" w:eastAsia="zh-CN" w:bidi="ar-SA"/>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w:basedOn w:val="25"/>
    <w:link w:val="322"/>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6"/>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next w:val="516"/>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842"/>
    <w:next w:val="516"/>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Normal_0"/>
    <w:basedOn w:val="843"/>
    <w:unhideWhenUsed/>
    <w:qFormat/>
    <w:uiPriority w:val="99"/>
    <w:rPr>
      <w:rFonts w:hint="default" w:cs="Calibri"/>
      <w:sz w:val="21"/>
      <w:szCs w:val="21"/>
    </w:rPr>
  </w:style>
  <w:style w:type="paragraph" w:customStyle="1" w:styleId="843">
    <w:name w:val="正文_0_1"/>
    <w:basedOn w:val="60"/>
    <w:unhideWhenUsed/>
    <w:qFormat/>
    <w:uiPriority w:val="99"/>
    <w:rPr>
      <w:rFonts w:hint="default" w:ascii="Times New Roman" w:hAnsi="Times New Roman"/>
      <w:sz w:val="21"/>
      <w:szCs w:val="21"/>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3"/>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39"/>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0"/>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4"/>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3"/>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字符"/>
    <w:link w:val="484"/>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59"/>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qFormat/>
    <w:uiPriority w:val="0"/>
    <w:pPr>
      <w:widowControl/>
      <w:spacing w:before="100" w:after="100"/>
      <w:jc w:val="left"/>
    </w:pPr>
    <w:rPr>
      <w:rFonts w:ascii="宋体" w:hAnsi="宋体" w:cs="宋体"/>
      <w:color w:val="000000"/>
      <w:kern w:val="0"/>
      <w:sz w:val="24"/>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TOC 标题2"/>
    <w:basedOn w:val="971"/>
    <w:next w:val="843"/>
    <w:unhideWhenUsed/>
    <w:qFormat/>
    <w:uiPriority w:val="99"/>
    <w:pPr>
      <w:spacing w:before="260" w:after="260" w:line="410" w:lineRule="auto"/>
    </w:pPr>
    <w:rPr>
      <w:rFonts w:hint="default" w:ascii="宋体" w:hAnsi="宋体" w:cs="宋体"/>
      <w:sz w:val="36"/>
      <w:szCs w:val="36"/>
    </w:rPr>
  </w:style>
  <w:style w:type="paragraph" w:customStyle="1" w:styleId="971">
    <w:name w:val="标题 1_0"/>
    <w:basedOn w:val="843"/>
    <w:next w:val="843"/>
    <w:unhideWhenUsed/>
    <w:qFormat/>
    <w:uiPriority w:val="9"/>
    <w:pPr>
      <w:keepNext/>
      <w:keepLines/>
      <w:spacing w:before="340" w:after="330" w:line="576" w:lineRule="auto"/>
      <w:outlineLvl w:val="0"/>
    </w:pPr>
    <w:rPr>
      <w:rFonts w:hint="default"/>
      <w:b/>
      <w:kern w:val="44"/>
      <w:sz w:val="44"/>
      <w:szCs w:val="44"/>
    </w:rPr>
  </w:style>
  <w:style w:type="paragraph" w:customStyle="1" w:styleId="972">
    <w:name w:val="协议书标题2"/>
    <w:basedOn w:val="973"/>
    <w:next w:val="843"/>
    <w:unhideWhenUsed/>
    <w:qFormat/>
    <w:uiPriority w:val="99"/>
    <w:pPr>
      <w:keepNext w:val="0"/>
      <w:keepLines w:val="0"/>
      <w:ind w:left="425"/>
    </w:pPr>
    <w:rPr>
      <w:rFonts w:hint="default" w:ascii="宋体" w:hAnsi="宋体" w:cs="宋体"/>
      <w:sz w:val="32"/>
      <w:szCs w:val="32"/>
    </w:rPr>
  </w:style>
  <w:style w:type="paragraph" w:customStyle="1" w:styleId="973">
    <w:name w:val="标题 2_1"/>
    <w:basedOn w:val="843"/>
    <w:next w:val="843"/>
    <w:unhideWhenUsed/>
    <w:qFormat/>
    <w:uiPriority w:val="9"/>
    <w:pPr>
      <w:keepNext/>
      <w:keepLines/>
      <w:spacing w:before="260" w:after="260" w:line="412" w:lineRule="auto"/>
      <w:outlineLvl w:val="1"/>
    </w:pPr>
    <w:rPr>
      <w:rFonts w:hint="default" w:ascii="Calibri Light" w:hAnsi="Calibri Light" w:cs="Calibri Light"/>
      <w:b/>
      <w:sz w:val="32"/>
      <w:szCs w:val="32"/>
    </w:rPr>
  </w:style>
  <w:style w:type="paragraph" w:customStyle="1" w:styleId="974">
    <w:name w:val="列出段落_0"/>
    <w:basedOn w:val="60"/>
    <w:unhideWhenUsed/>
    <w:qFormat/>
    <w:uiPriority w:val="34"/>
    <w:pPr>
      <w:ind w:firstLine="420" w:firstLineChars="200"/>
    </w:pPr>
    <w:rPr>
      <w:rFonts w:hint="default"/>
      <w:sz w:val="21"/>
      <w:szCs w:val="22"/>
    </w:rPr>
  </w:style>
  <w:style w:type="paragraph" w:customStyle="1" w:styleId="975">
    <w:name w:val="table"/>
    <w:basedOn w:val="843"/>
    <w:unhideWhenUsed/>
    <w:qFormat/>
    <w:uiPriority w:val="99"/>
    <w:pPr>
      <w:widowControl/>
      <w:adjustRightInd w:val="0"/>
      <w:snapToGrid w:val="0"/>
      <w:jc w:val="left"/>
    </w:pPr>
    <w:rPr>
      <w:rFonts w:hint="default" w:ascii="宋体" w:hAnsi="宋体" w:cs="宋体"/>
      <w:sz w:val="24"/>
      <w:szCs w:val="24"/>
    </w:rPr>
  </w:style>
  <w:style w:type="paragraph" w:customStyle="1" w:styleId="976">
    <w:name w:val="专用标题2"/>
    <w:basedOn w:val="973"/>
    <w:next w:val="843"/>
    <w:unhideWhenUsed/>
    <w:qFormat/>
    <w:uiPriority w:val="99"/>
    <w:pPr>
      <w:keepNext w:val="0"/>
      <w:keepLines w:val="0"/>
    </w:pPr>
    <w:rPr>
      <w:rFonts w:hint="default" w:ascii="宋体" w:hAnsi="宋体" w:cs="Times"/>
      <w:sz w:val="32"/>
      <w:szCs w:val="32"/>
    </w:rPr>
  </w:style>
  <w:style w:type="paragraph" w:customStyle="1" w:styleId="977">
    <w:name w:val="附件标题"/>
    <w:basedOn w:val="973"/>
    <w:next w:val="843"/>
    <w:unhideWhenUsed/>
    <w:qFormat/>
    <w:uiPriority w:val="99"/>
    <w:pPr>
      <w:ind w:left="3681"/>
      <w:jc w:val="center"/>
    </w:pPr>
    <w:rPr>
      <w:rFonts w:hint="eastAsia" w:ascii="黑体" w:hAnsi="黑体" w:eastAsia="黑体" w:cs="宋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105</Pages>
  <Words>17167</Words>
  <Characters>18328</Characters>
  <Lines>405</Lines>
  <Paragraphs>114</Paragraphs>
  <TotalTime>68</TotalTime>
  <ScaleCrop>false</ScaleCrop>
  <LinksUpToDate>false</LinksUpToDate>
  <CharactersWithSpaces>18721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米拉</cp:lastModifiedBy>
  <cp:lastPrinted>2021-12-27T11:06:00Z</cp:lastPrinted>
  <dcterms:modified xsi:type="dcterms:W3CDTF">2025-01-26T03:05:48Z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E3CDF7DBAD0F47CABB5B471D55B33D7E_13</vt:lpwstr>
  </property>
  <property fmtid="{D5CDD505-2E9C-101B-9397-08002B2CF9AE}" pid="5" name="commondata">
    <vt:lpwstr>eyJoZGlkIjoiNGNlMmFkMDQ1NDY0ZmRiM2Q0NjY4NTFjN2IwMTllYjMifQ==</vt:lpwstr>
  </property>
  <property fmtid="{D5CDD505-2E9C-101B-9397-08002B2CF9AE}" pid="6" name="KSOTemplateDocerSaveRecord">
    <vt:lpwstr>eyJoZGlkIjoiZmM3MzQ4MzA3Y2VmNjFiMzExNWVkMDY5OWI1N2I4YWIiLCJ1c2VySWQiOiI0Mjc0Njk2MzUifQ==</vt:lpwstr>
  </property>
</Properties>
</file>